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header3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0685A" w14:textId="77777777" w:rsidR="001248F7" w:rsidRDefault="003518BE">
      <w:pPr>
        <w:pStyle w:val="Corpsdetexte"/>
        <w:spacing w:before="0"/>
        <w:ind w:left="1376"/>
        <w:jc w:val="left"/>
        <w:rPr>
          <w:sz w:val="20"/>
        </w:rPr>
      </w:pPr>
      <w:r>
        <w:rPr>
          <w:noProof/>
          <w:sz w:val="20"/>
          <w:lang w:eastAsia="fr-FR"/>
        </w:rPr>
        <mc:AlternateContent>
          <mc:Choice Requires="wps">
            <w:drawing>
              <wp:anchor distT="0" distB="0" distL="0" distR="0" simplePos="0" relativeHeight="481711104" behindDoc="1" locked="0" layoutInCell="1" allowOverlap="1" wp14:anchorId="75BF27E3" wp14:editId="416A1D03">
                <wp:simplePos x="0" y="0"/>
                <wp:positionH relativeFrom="page">
                  <wp:posOffset>4359528</wp:posOffset>
                </wp:positionH>
                <wp:positionV relativeFrom="page">
                  <wp:posOffset>9930079</wp:posOffset>
                </wp:positionV>
                <wp:extent cx="71120" cy="1403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772CBEF1" w14:textId="77777777" w:rsidR="00683CCD" w:rsidRDefault="00683CCD">
                            <w:pPr>
                              <w:spacing w:line="221" w:lineRule="exact"/>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75BF27E3" id="_x0000_t202" coordsize="21600,21600" o:spt="202" path="m,l,21600r21600,l21600,xe">
                <v:stroke joinstyle="miter"/>
                <v:path gradientshapeok="t" o:connecttype="rect"/>
              </v:shapetype>
              <v:shape id="Textbox 1" o:spid="_x0000_s1026" type="#_x0000_t202" style="position:absolute;left:0;text-align:left;margin-left:343.25pt;margin-top:781.9pt;width:5.6pt;height:11.05pt;z-index:-216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" filled="f" stroked="f">
                <v:textbox inset="0,0,0,0">
                  <w:txbxContent>
                    <w:p w14:paraId="772CBEF1" w14:textId="77777777" w:rsidR="00683CCD" w:rsidRDefault="00683CCD">
                      <w:pPr>
                        <w:spacing w:line="221" w:lineRule="exact"/>
                        <w:rPr>
                          <w:rFonts w:ascii="Calibri"/>
                        </w:rPr>
                      </w:pPr>
                      <w:r>
                        <w:rPr>
                          <w:rFonts w:ascii="Calibri"/>
                          <w:spacing w:val="-10"/>
                        </w:rPr>
                        <w:t>1</w:t>
                      </w:r>
                    </w:p>
                  </w:txbxContent>
                </v:textbox>
                <w10:wrap anchorx="page" anchory="page"/>
              </v:shape>
            </w:pict>
          </mc:Fallback>
        </mc:AlternateContent>
      </w:r>
      <w:r>
        <w:rPr>
          <w:noProof/>
          <w:sz w:val="20"/>
          <w:lang w:eastAsia="fr-FR"/>
        </w:rPr>
        <mc:AlternateContent>
          <mc:Choice Requires="wpg">
            <w:drawing>
              <wp:anchor distT="0" distB="0" distL="0" distR="0" simplePos="0" relativeHeight="481711616" behindDoc="1" locked="0" layoutInCell="1" allowOverlap="1" wp14:anchorId="1EE7C526" wp14:editId="3C82FA1A">
                <wp:simplePos x="0" y="0"/>
                <wp:positionH relativeFrom="page">
                  <wp:posOffset>632</wp:posOffset>
                </wp:positionH>
                <wp:positionV relativeFrom="page">
                  <wp:posOffset>0</wp:posOffset>
                </wp:positionV>
                <wp:extent cx="7560309" cy="106686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68635"/>
                          <a:chOff x="0" y="0"/>
                          <a:chExt cx="7560309" cy="10668635"/>
                        </a:xfrm>
                      </wpg:grpSpPr>
                      <pic:pic xmlns:pic="http://schemas.openxmlformats.org/drawingml/2006/picture">
                        <pic:nvPicPr>
                          <pic:cNvPr id="3" name="Image 3"/>
                          <pic:cNvPicPr/>
                        </pic:nvPicPr>
                        <pic:blipFill>
                          <a:blip r:embed="rId8" cstate="print"/>
                          <a:stretch>
                            <a:fillRect/>
                          </a:stretch>
                        </pic:blipFill>
                        <pic:spPr>
                          <a:xfrm>
                            <a:off x="3515495" y="9521825"/>
                            <a:ext cx="778376" cy="50786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0"/>
                            <a:ext cx="7559931" cy="10668633"/>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600961" y="2836544"/>
                            <a:ext cx="3030220" cy="3286124"/>
                          </a:xfrm>
                          <a:prstGeom prst="rect">
                            <a:avLst/>
                          </a:prstGeom>
                        </pic:spPr>
                      </pic:pic>
                    </wpg:wgp>
                  </a:graphicData>
                </a:graphic>
              </wp:anchor>
            </w:drawing>
          </mc:Choice>
          <mc:Fallback>
            <w:pict>
              <v:group w14:anchorId="61F6A56A" id="Group 2" o:spid="_x0000_s1026" style="position:absolute;margin-left:.05pt;margin-top:0;width:595.3pt;height:840.05pt;z-index:-21604864;mso-wrap-distance-left:0;mso-wrap-distance-right:0;mso-position-horizontal-relative:page;mso-position-vertical-relative:page" coordsize="75603,106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iMdYTHRBAAB0QQAAFQAAAGRy&#10;cy9tZWRpYS9pbWFnZTMuanBlZ//Y/+AAEEpGSUYAAQEBAGAAYAAA/9sAQwADAgIDAgIDAwMDBAMD&#10;BAUIBQUEBAUKBwcGCAwKDAwLCgsLDQ4SEA0OEQ4LCxAWEBETFBUVFQwPFxgWFBgSFBUU/9sAQwED&#10;BAQFBAUJBQUJFA0LDRQUFBQUFBQUFBQUFBQUFBQUFBQUFBQUFBQUFBQUFBQUFBQUFBQUFBQUFBQU&#10;FBQUFBQU/8AAEQgBNgF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154;top:95218;width:7784;height:5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3GLEAAAA2gAAAA8AAABkcnMvZG93bnJldi54bWxEj1trwkAUhN8L/Q/LEfrWbLRBJLqKFJS8&#10;9OIl6OMhe0yC2bMhuzXpv+8WBB+HmfmGWawG04gbda62rGAcxSCIC6trLhUcD5vXGQjnkTU2lknB&#10;LzlYLZ+fFphq2/OObntfigBhl6KCyvs2ldIVFRl0kW2Jg3exnUEfZFdK3WEf4KaRkzieSoM1h4UK&#10;W3qvqLjuf4yCD/76Lq/5eJdtk+SSbz/POj5lSr2MhvUchKfBP8L3dqYVvMH/lX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q3GLEAAAA2gAAAA8AAAAAAAAAAAAAAAAA&#10;nwIAAGRycy9kb3ducmV2LnhtbFBLBQYAAAAABAAEAPcAAACQAwAAAAA=&#10;">
                  <v:imagedata r:id="rId11" o:title=""/>
                </v:shape>
                <v:shape id="Image 4" o:spid="_x0000_s1028" type="#_x0000_t75" style="position:absolute;width:75599;height:10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y/zCAAAA2gAAAA8AAABkcnMvZG93bnJldi54bWxEj0FrwkAUhO+C/2F5hd7MJmktJbqKaAv1&#10;JI2p50f2mYRm34bsNsZ/3xUEj8PMfMMs16NpxUC9aywrSKIYBHFpdcOVguL4OXsH4TyyxtYyKbiS&#10;g/VqOllipu2Fv2nIfSUChF2GCmrvu0xKV9Zk0EW2Iw7e2fYGfZB9JXWPlwA3rUzj+E0abDgs1NjR&#10;tqbyN/8zCrA8mf3HcShi+7M7zJOXk82vqVLPT+NmAcLT6B/he/tLK3iF25V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J8v8wgAAANoAAAAPAAAAAAAAAAAAAAAAAJ8C&#10;AABkcnMvZG93bnJldi54bWxQSwUGAAAAAAQABAD3AAAAjgMAAAAA&#10;">
                  <v:imagedata r:id="rId12" o:title=""/>
                </v:shape>
                <v:shape id="Image 5" o:spid="_x0000_s1029" type="#_x0000_t75" style="position:absolute;left:26009;top:28365;width:30302;height:3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1WWvFAAAA2gAAAA8AAABkcnMvZG93bnJldi54bWxEj0FrwkAUhO8F/8PyhN7qxtLaErMRaVAE&#10;A0Vb0OMj+0yC2bcxu8b033cLQo/DzHzDJIvBNKKnztWWFUwnEQjiwuqaSwXfX6undxDOI2tsLJOC&#10;H3KwSEcPCcba3nhH/d6XIkDYxaig8r6NpXRFRQbdxLbEwTvZzqAPsiul7vAW4KaRz1E0kwZrDgsV&#10;tvRRUXHeX40CjnaX/JBn6+U2/+yPb0X2stlmSj2Oh+UchKfB/4fv7Y1W8Ap/V8IN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VlrxQAAANoAAAAPAAAAAAAAAAAAAAAA&#10;AJ8CAABkcnMvZG93bnJldi54bWxQSwUGAAAAAAQABAD3AAAAkQMAAAAA&#10;">
                  <v:imagedata r:id="rId13" o:title=""/>
                </v:shape>
                <w10:wrap anchorx="page" anchory="page"/>
              </v:group>
            </w:pict>
          </mc:Fallback>
        </mc:AlternateContent>
      </w:r>
      <w:r>
        <w:rPr>
          <w:noProof/>
          <w:sz w:val="20"/>
          <w:lang w:eastAsia="fr-FR"/>
        </w:rPr>
        <mc:AlternateContent>
          <mc:Choice Requires="wps">
            <w:drawing>
              <wp:inline distT="0" distB="0" distL="0" distR="0" wp14:anchorId="07C1933C" wp14:editId="2155FED3">
                <wp:extent cx="5377180" cy="2326234"/>
                <wp:effectExtent l="0" t="0" r="13970" b="17145"/>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180" cy="2326234"/>
                        </a:xfrm>
                        <a:prstGeom prst="rect">
                          <a:avLst/>
                        </a:prstGeom>
                        <a:ln w="12700">
                          <a:solidFill>
                            <a:srgbClr val="5B9BD4"/>
                          </a:solidFill>
                          <a:prstDash val="solid"/>
                        </a:ln>
                      </wps:spPr>
                      <wps:txbx>
                        <w:txbxContent>
                          <w:p w14:paraId="20DF0A12" w14:textId="77777777" w:rsidR="00683CCD" w:rsidRDefault="00683CCD">
                            <w:pPr>
                              <w:pStyle w:val="Corpsdetexte"/>
                              <w:spacing w:before="255"/>
                              <w:ind w:left="0"/>
                              <w:jc w:val="left"/>
                              <w:rPr>
                                <w:sz w:val="36"/>
                              </w:rPr>
                            </w:pPr>
                          </w:p>
                          <w:p w14:paraId="0B026F60" w14:textId="5CD58D9A" w:rsidR="00B07861" w:rsidRDefault="00B07861">
                            <w:pPr>
                              <w:spacing w:before="1"/>
                              <w:ind w:left="1" w:right="2"/>
                              <w:jc w:val="center"/>
                              <w:rPr>
                                <w:b/>
                                <w:iCs/>
                                <w:sz w:val="36"/>
                              </w:rPr>
                            </w:pPr>
                            <w:r w:rsidRPr="00B07861">
                              <w:rPr>
                                <w:b/>
                                <w:iCs/>
                                <w:sz w:val="36"/>
                              </w:rPr>
                              <w:t>Revue Africaine des Sciences de l’</w:t>
                            </w:r>
                            <w:r w:rsidR="004E3830">
                              <w:rPr>
                                <w:b/>
                                <w:iCs/>
                                <w:sz w:val="36"/>
                              </w:rPr>
                              <w:t>E</w:t>
                            </w:r>
                            <w:r w:rsidRPr="00B07861">
                              <w:rPr>
                                <w:b/>
                                <w:iCs/>
                                <w:sz w:val="36"/>
                              </w:rPr>
                              <w:t>ducation et de la Formation (RASEF)</w:t>
                            </w:r>
                          </w:p>
                          <w:p w14:paraId="0FD9D1E9" w14:textId="77777777" w:rsidR="00B07861" w:rsidRPr="00B07861" w:rsidRDefault="00B07861">
                            <w:pPr>
                              <w:spacing w:before="1"/>
                              <w:ind w:left="1" w:right="2"/>
                              <w:jc w:val="center"/>
                              <w:rPr>
                                <w:b/>
                                <w:iCs/>
                                <w:sz w:val="36"/>
                              </w:rPr>
                            </w:pPr>
                          </w:p>
                          <w:p w14:paraId="27922636" w14:textId="5ABFCC03" w:rsidR="00683CCD" w:rsidRPr="00B07861" w:rsidRDefault="00683CCD">
                            <w:pPr>
                              <w:spacing w:before="1"/>
                              <w:ind w:left="1" w:right="2"/>
                              <w:jc w:val="center"/>
                              <w:rPr>
                                <w:b/>
                                <w:iCs/>
                                <w:sz w:val="36"/>
                              </w:rPr>
                            </w:pPr>
                            <w:r w:rsidRPr="00B07861">
                              <w:rPr>
                                <w:b/>
                                <w:iCs/>
                                <w:sz w:val="36"/>
                              </w:rPr>
                              <w:t>Revue</w:t>
                            </w:r>
                            <w:r w:rsidRPr="00B07861">
                              <w:rPr>
                                <w:b/>
                                <w:iCs/>
                                <w:spacing w:val="-6"/>
                                <w:sz w:val="36"/>
                              </w:rPr>
                              <w:t xml:space="preserve"> </w:t>
                            </w:r>
                            <w:r w:rsidRPr="00B07861">
                              <w:rPr>
                                <w:b/>
                                <w:iCs/>
                                <w:sz w:val="36"/>
                              </w:rPr>
                              <w:t>semestrielle</w:t>
                            </w:r>
                            <w:r w:rsidRPr="00B07861">
                              <w:rPr>
                                <w:b/>
                                <w:iCs/>
                                <w:spacing w:val="-7"/>
                                <w:sz w:val="36"/>
                              </w:rPr>
                              <w:t xml:space="preserve"> </w:t>
                            </w:r>
                            <w:r w:rsidRPr="00B07861">
                              <w:rPr>
                                <w:b/>
                                <w:iCs/>
                                <w:sz w:val="36"/>
                              </w:rPr>
                              <w:t>publiée</w:t>
                            </w:r>
                            <w:r w:rsidRPr="00B07861">
                              <w:rPr>
                                <w:b/>
                                <w:iCs/>
                                <w:spacing w:val="-6"/>
                                <w:sz w:val="36"/>
                              </w:rPr>
                              <w:t xml:space="preserve"> </w:t>
                            </w:r>
                            <w:r w:rsidRPr="00B07861">
                              <w:rPr>
                                <w:b/>
                                <w:iCs/>
                                <w:sz w:val="36"/>
                              </w:rPr>
                              <w:t>par</w:t>
                            </w:r>
                            <w:r w:rsidRPr="00B07861">
                              <w:rPr>
                                <w:b/>
                                <w:iCs/>
                                <w:spacing w:val="-9"/>
                                <w:sz w:val="36"/>
                              </w:rPr>
                              <w:t xml:space="preserve"> </w:t>
                            </w:r>
                            <w:r w:rsidRPr="00B07861">
                              <w:rPr>
                                <w:b/>
                                <w:iCs/>
                                <w:sz w:val="36"/>
                              </w:rPr>
                              <w:t>le</w:t>
                            </w:r>
                            <w:r w:rsidRPr="00B07861">
                              <w:rPr>
                                <w:b/>
                                <w:iCs/>
                                <w:spacing w:val="-5"/>
                                <w:sz w:val="36"/>
                              </w:rPr>
                              <w:t xml:space="preserve"> </w:t>
                            </w:r>
                            <w:r w:rsidRPr="00B07861">
                              <w:rPr>
                                <w:b/>
                                <w:iCs/>
                                <w:sz w:val="36"/>
                              </w:rPr>
                              <w:t>Réseau</w:t>
                            </w:r>
                            <w:r w:rsidRPr="00B07861">
                              <w:rPr>
                                <w:b/>
                                <w:iCs/>
                                <w:spacing w:val="-6"/>
                                <w:sz w:val="36"/>
                              </w:rPr>
                              <w:t xml:space="preserve"> </w:t>
                            </w:r>
                            <w:r w:rsidRPr="00B07861">
                              <w:rPr>
                                <w:b/>
                                <w:iCs/>
                                <w:sz w:val="36"/>
                              </w:rPr>
                              <w:t>Africain</w:t>
                            </w:r>
                            <w:r w:rsidRPr="00B07861">
                              <w:rPr>
                                <w:b/>
                                <w:iCs/>
                                <w:spacing w:val="-6"/>
                                <w:sz w:val="36"/>
                              </w:rPr>
                              <w:t xml:space="preserve"> </w:t>
                            </w:r>
                            <w:r w:rsidRPr="00B07861">
                              <w:rPr>
                                <w:b/>
                                <w:iCs/>
                                <w:sz w:val="36"/>
                              </w:rPr>
                              <w:t>des Chercheurs et Enseignants-Chercheurs en</w:t>
                            </w:r>
                          </w:p>
                          <w:p w14:paraId="2CD0BF02" w14:textId="77777777" w:rsidR="00683CCD" w:rsidRPr="00B07861" w:rsidRDefault="00683CCD">
                            <w:pPr>
                              <w:ind w:left="2" w:right="1"/>
                              <w:jc w:val="center"/>
                              <w:rPr>
                                <w:b/>
                                <w:iCs/>
                                <w:sz w:val="36"/>
                              </w:rPr>
                            </w:pPr>
                            <w:r w:rsidRPr="00B07861">
                              <w:rPr>
                                <w:b/>
                                <w:iCs/>
                                <w:sz w:val="36"/>
                              </w:rPr>
                              <w:t>Sciences</w:t>
                            </w:r>
                            <w:r w:rsidRPr="00B07861">
                              <w:rPr>
                                <w:b/>
                                <w:iCs/>
                                <w:spacing w:val="-6"/>
                                <w:sz w:val="36"/>
                              </w:rPr>
                              <w:t xml:space="preserve"> </w:t>
                            </w:r>
                            <w:r w:rsidRPr="00B07861">
                              <w:rPr>
                                <w:b/>
                                <w:iCs/>
                                <w:sz w:val="36"/>
                              </w:rPr>
                              <w:t>de</w:t>
                            </w:r>
                            <w:r w:rsidRPr="00B07861">
                              <w:rPr>
                                <w:b/>
                                <w:iCs/>
                                <w:spacing w:val="-1"/>
                                <w:sz w:val="36"/>
                              </w:rPr>
                              <w:t xml:space="preserve"> </w:t>
                            </w:r>
                            <w:r w:rsidRPr="00B07861">
                              <w:rPr>
                                <w:b/>
                                <w:iCs/>
                                <w:sz w:val="36"/>
                              </w:rPr>
                              <w:t>l’Éducation</w:t>
                            </w:r>
                            <w:r w:rsidRPr="00B07861">
                              <w:rPr>
                                <w:b/>
                                <w:iCs/>
                                <w:spacing w:val="-3"/>
                                <w:sz w:val="36"/>
                              </w:rPr>
                              <w:t xml:space="preserve"> </w:t>
                            </w:r>
                            <w:r w:rsidRPr="00B07861">
                              <w:rPr>
                                <w:b/>
                                <w:iCs/>
                                <w:spacing w:val="-2"/>
                                <w:sz w:val="36"/>
                              </w:rPr>
                              <w:t>(RACESE)</w:t>
                            </w:r>
                          </w:p>
                        </w:txbxContent>
                      </wps:txbx>
                      <wps:bodyPr wrap="square" lIns="0" tIns="0" rIns="0" bIns="0" rtlCol="0">
                        <a:noAutofit/>
                      </wps:bodyPr>
                    </wps:wsp>
                  </a:graphicData>
                </a:graphic>
              </wp:inline>
            </w:drawing>
          </mc:Choice>
          <mc:Fallback>
            <w:pict>
              <v:shape w14:anchorId="07C1933C" id="Textbox 6" o:spid="_x0000_s1027" type="#_x0000_t202" style="width:423.4pt;height:1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" filled="f" strokecolor="#5b9bd4" strokeweight="1pt">
                <v:path arrowok="t"/>
                <v:textbox inset="0,0,0,0">
                  <w:txbxContent>
                    <w:p w14:paraId="20DF0A12" w14:textId="77777777" w:rsidR="00683CCD" w:rsidRDefault="00683CCD">
                      <w:pPr>
                        <w:pStyle w:val="Corpsdetexte"/>
                        <w:spacing w:before="255"/>
                        <w:ind w:left="0"/>
                        <w:jc w:val="left"/>
                        <w:rPr>
                          <w:sz w:val="36"/>
                        </w:rPr>
                      </w:pPr>
                    </w:p>
                    <w:p w14:paraId="0B026F60" w14:textId="5CD58D9A" w:rsidR="00B07861" w:rsidRDefault="00B07861">
                      <w:pPr>
                        <w:spacing w:before="1"/>
                        <w:ind w:left="1" w:right="2"/>
                        <w:jc w:val="center"/>
                        <w:rPr>
                          <w:b/>
                          <w:iCs/>
                          <w:sz w:val="36"/>
                        </w:rPr>
                      </w:pPr>
                      <w:r w:rsidRPr="00B07861">
                        <w:rPr>
                          <w:b/>
                          <w:iCs/>
                          <w:sz w:val="36"/>
                        </w:rPr>
                        <w:t>Revue Africaine des Sciences de l’</w:t>
                      </w:r>
                      <w:r w:rsidR="004E3830">
                        <w:rPr>
                          <w:b/>
                          <w:iCs/>
                          <w:sz w:val="36"/>
                        </w:rPr>
                        <w:t>E</w:t>
                      </w:r>
                      <w:r w:rsidRPr="00B07861">
                        <w:rPr>
                          <w:b/>
                          <w:iCs/>
                          <w:sz w:val="36"/>
                        </w:rPr>
                        <w:t>ducation et de la Formation (RASEF)</w:t>
                      </w:r>
                    </w:p>
                    <w:p w14:paraId="0FD9D1E9" w14:textId="77777777" w:rsidR="00B07861" w:rsidRPr="00B07861" w:rsidRDefault="00B07861">
                      <w:pPr>
                        <w:spacing w:before="1"/>
                        <w:ind w:left="1" w:right="2"/>
                        <w:jc w:val="center"/>
                        <w:rPr>
                          <w:b/>
                          <w:iCs/>
                          <w:sz w:val="36"/>
                        </w:rPr>
                      </w:pPr>
                    </w:p>
                    <w:p w14:paraId="27922636" w14:textId="5ABFCC03" w:rsidR="00683CCD" w:rsidRPr="00B07861" w:rsidRDefault="00683CCD">
                      <w:pPr>
                        <w:spacing w:before="1"/>
                        <w:ind w:left="1" w:right="2"/>
                        <w:jc w:val="center"/>
                        <w:rPr>
                          <w:b/>
                          <w:iCs/>
                          <w:sz w:val="36"/>
                        </w:rPr>
                      </w:pPr>
                      <w:r w:rsidRPr="00B07861">
                        <w:rPr>
                          <w:b/>
                          <w:iCs/>
                          <w:sz w:val="36"/>
                        </w:rPr>
                        <w:t>Revue</w:t>
                      </w:r>
                      <w:r w:rsidRPr="00B07861">
                        <w:rPr>
                          <w:b/>
                          <w:iCs/>
                          <w:spacing w:val="-6"/>
                          <w:sz w:val="36"/>
                        </w:rPr>
                        <w:t xml:space="preserve"> </w:t>
                      </w:r>
                      <w:r w:rsidRPr="00B07861">
                        <w:rPr>
                          <w:b/>
                          <w:iCs/>
                          <w:sz w:val="36"/>
                        </w:rPr>
                        <w:t>semestrielle</w:t>
                      </w:r>
                      <w:r w:rsidRPr="00B07861">
                        <w:rPr>
                          <w:b/>
                          <w:iCs/>
                          <w:spacing w:val="-7"/>
                          <w:sz w:val="36"/>
                        </w:rPr>
                        <w:t xml:space="preserve"> </w:t>
                      </w:r>
                      <w:r w:rsidRPr="00B07861">
                        <w:rPr>
                          <w:b/>
                          <w:iCs/>
                          <w:sz w:val="36"/>
                        </w:rPr>
                        <w:t>publiée</w:t>
                      </w:r>
                      <w:r w:rsidRPr="00B07861">
                        <w:rPr>
                          <w:b/>
                          <w:iCs/>
                          <w:spacing w:val="-6"/>
                          <w:sz w:val="36"/>
                        </w:rPr>
                        <w:t xml:space="preserve"> </w:t>
                      </w:r>
                      <w:r w:rsidRPr="00B07861">
                        <w:rPr>
                          <w:b/>
                          <w:iCs/>
                          <w:sz w:val="36"/>
                        </w:rPr>
                        <w:t>par</w:t>
                      </w:r>
                      <w:r w:rsidRPr="00B07861">
                        <w:rPr>
                          <w:b/>
                          <w:iCs/>
                          <w:spacing w:val="-9"/>
                          <w:sz w:val="36"/>
                        </w:rPr>
                        <w:t xml:space="preserve"> </w:t>
                      </w:r>
                      <w:r w:rsidRPr="00B07861">
                        <w:rPr>
                          <w:b/>
                          <w:iCs/>
                          <w:sz w:val="36"/>
                        </w:rPr>
                        <w:t>le</w:t>
                      </w:r>
                      <w:r w:rsidRPr="00B07861">
                        <w:rPr>
                          <w:b/>
                          <w:iCs/>
                          <w:spacing w:val="-5"/>
                          <w:sz w:val="36"/>
                        </w:rPr>
                        <w:t xml:space="preserve"> </w:t>
                      </w:r>
                      <w:r w:rsidRPr="00B07861">
                        <w:rPr>
                          <w:b/>
                          <w:iCs/>
                          <w:sz w:val="36"/>
                        </w:rPr>
                        <w:t>Réseau</w:t>
                      </w:r>
                      <w:r w:rsidRPr="00B07861">
                        <w:rPr>
                          <w:b/>
                          <w:iCs/>
                          <w:spacing w:val="-6"/>
                          <w:sz w:val="36"/>
                        </w:rPr>
                        <w:t xml:space="preserve"> </w:t>
                      </w:r>
                      <w:r w:rsidRPr="00B07861">
                        <w:rPr>
                          <w:b/>
                          <w:iCs/>
                          <w:sz w:val="36"/>
                        </w:rPr>
                        <w:t>Africain</w:t>
                      </w:r>
                      <w:r w:rsidRPr="00B07861">
                        <w:rPr>
                          <w:b/>
                          <w:iCs/>
                          <w:spacing w:val="-6"/>
                          <w:sz w:val="36"/>
                        </w:rPr>
                        <w:t xml:space="preserve"> </w:t>
                      </w:r>
                      <w:r w:rsidRPr="00B07861">
                        <w:rPr>
                          <w:b/>
                          <w:iCs/>
                          <w:sz w:val="36"/>
                        </w:rPr>
                        <w:t>des Chercheurs et Enseignants-Chercheurs en</w:t>
                      </w:r>
                    </w:p>
                    <w:p w14:paraId="2CD0BF02" w14:textId="77777777" w:rsidR="00683CCD" w:rsidRPr="00B07861" w:rsidRDefault="00683CCD">
                      <w:pPr>
                        <w:ind w:left="2" w:right="1"/>
                        <w:jc w:val="center"/>
                        <w:rPr>
                          <w:b/>
                          <w:iCs/>
                          <w:sz w:val="36"/>
                        </w:rPr>
                      </w:pPr>
                      <w:r w:rsidRPr="00B07861">
                        <w:rPr>
                          <w:b/>
                          <w:iCs/>
                          <w:sz w:val="36"/>
                        </w:rPr>
                        <w:t>Sciences</w:t>
                      </w:r>
                      <w:r w:rsidRPr="00B07861">
                        <w:rPr>
                          <w:b/>
                          <w:iCs/>
                          <w:spacing w:val="-6"/>
                          <w:sz w:val="36"/>
                        </w:rPr>
                        <w:t xml:space="preserve"> </w:t>
                      </w:r>
                      <w:r w:rsidRPr="00B07861">
                        <w:rPr>
                          <w:b/>
                          <w:iCs/>
                          <w:sz w:val="36"/>
                        </w:rPr>
                        <w:t>de</w:t>
                      </w:r>
                      <w:r w:rsidRPr="00B07861">
                        <w:rPr>
                          <w:b/>
                          <w:iCs/>
                          <w:spacing w:val="-1"/>
                          <w:sz w:val="36"/>
                        </w:rPr>
                        <w:t xml:space="preserve"> </w:t>
                      </w:r>
                      <w:r w:rsidRPr="00B07861">
                        <w:rPr>
                          <w:b/>
                          <w:iCs/>
                          <w:sz w:val="36"/>
                        </w:rPr>
                        <w:t>l’Éducation</w:t>
                      </w:r>
                      <w:r w:rsidRPr="00B07861">
                        <w:rPr>
                          <w:b/>
                          <w:iCs/>
                          <w:spacing w:val="-3"/>
                          <w:sz w:val="36"/>
                        </w:rPr>
                        <w:t xml:space="preserve"> </w:t>
                      </w:r>
                      <w:r w:rsidRPr="00B07861">
                        <w:rPr>
                          <w:b/>
                          <w:iCs/>
                          <w:spacing w:val="-2"/>
                          <w:sz w:val="36"/>
                        </w:rPr>
                        <w:t>(RACESE)</w:t>
                      </w:r>
                    </w:p>
                  </w:txbxContent>
                </v:textbox>
                <w10:anchorlock/>
              </v:shape>
            </w:pict>
          </mc:Fallback>
        </mc:AlternateContent>
      </w:r>
    </w:p>
    <w:p w14:paraId="09702595" w14:textId="77777777" w:rsidR="001248F7" w:rsidRDefault="001248F7">
      <w:pPr>
        <w:pStyle w:val="Corpsdetexte"/>
        <w:spacing w:before="0"/>
        <w:ind w:left="0"/>
        <w:jc w:val="left"/>
        <w:rPr>
          <w:sz w:val="20"/>
        </w:rPr>
      </w:pPr>
    </w:p>
    <w:p w14:paraId="2E5E735C" w14:textId="77777777" w:rsidR="001248F7" w:rsidRDefault="001248F7">
      <w:pPr>
        <w:pStyle w:val="Corpsdetexte"/>
        <w:spacing w:before="0"/>
        <w:ind w:left="0"/>
        <w:jc w:val="left"/>
        <w:rPr>
          <w:sz w:val="20"/>
        </w:rPr>
      </w:pPr>
    </w:p>
    <w:p w14:paraId="787C6D08" w14:textId="77777777" w:rsidR="001248F7" w:rsidRDefault="001248F7">
      <w:pPr>
        <w:pStyle w:val="Corpsdetexte"/>
        <w:spacing w:before="0"/>
        <w:ind w:left="0"/>
        <w:jc w:val="left"/>
        <w:rPr>
          <w:sz w:val="20"/>
        </w:rPr>
      </w:pPr>
    </w:p>
    <w:p w14:paraId="586FB93A" w14:textId="77777777" w:rsidR="001248F7" w:rsidRDefault="001248F7">
      <w:pPr>
        <w:pStyle w:val="Corpsdetexte"/>
        <w:spacing w:before="0"/>
        <w:ind w:left="0"/>
        <w:jc w:val="left"/>
        <w:rPr>
          <w:sz w:val="20"/>
        </w:rPr>
      </w:pPr>
    </w:p>
    <w:p w14:paraId="5121C082" w14:textId="77777777" w:rsidR="001248F7" w:rsidRDefault="001248F7">
      <w:pPr>
        <w:pStyle w:val="Corpsdetexte"/>
        <w:spacing w:before="0"/>
        <w:ind w:left="0"/>
        <w:jc w:val="left"/>
        <w:rPr>
          <w:sz w:val="20"/>
        </w:rPr>
      </w:pPr>
    </w:p>
    <w:p w14:paraId="16E31E49" w14:textId="77777777" w:rsidR="001248F7" w:rsidRDefault="001248F7">
      <w:pPr>
        <w:pStyle w:val="Corpsdetexte"/>
        <w:spacing w:before="0"/>
        <w:ind w:left="0"/>
        <w:jc w:val="left"/>
        <w:rPr>
          <w:sz w:val="20"/>
        </w:rPr>
      </w:pPr>
    </w:p>
    <w:p w14:paraId="220D8EF1" w14:textId="77777777" w:rsidR="001248F7" w:rsidRDefault="001248F7">
      <w:pPr>
        <w:pStyle w:val="Corpsdetexte"/>
        <w:spacing w:before="0"/>
        <w:ind w:left="0"/>
        <w:jc w:val="left"/>
        <w:rPr>
          <w:sz w:val="20"/>
        </w:rPr>
      </w:pPr>
    </w:p>
    <w:p w14:paraId="7D3184C5" w14:textId="77777777" w:rsidR="001248F7" w:rsidRDefault="001248F7">
      <w:pPr>
        <w:pStyle w:val="Corpsdetexte"/>
        <w:spacing w:before="0"/>
        <w:ind w:left="0"/>
        <w:jc w:val="left"/>
        <w:rPr>
          <w:sz w:val="20"/>
        </w:rPr>
      </w:pPr>
    </w:p>
    <w:p w14:paraId="6FBF75DF" w14:textId="77777777" w:rsidR="001248F7" w:rsidRDefault="001248F7">
      <w:pPr>
        <w:pStyle w:val="Corpsdetexte"/>
        <w:spacing w:before="0"/>
        <w:ind w:left="0"/>
        <w:jc w:val="left"/>
        <w:rPr>
          <w:sz w:val="20"/>
        </w:rPr>
      </w:pPr>
    </w:p>
    <w:p w14:paraId="1F19D30A" w14:textId="77777777" w:rsidR="001248F7" w:rsidRDefault="001248F7">
      <w:pPr>
        <w:pStyle w:val="Corpsdetexte"/>
        <w:spacing w:before="0"/>
        <w:ind w:left="0"/>
        <w:jc w:val="left"/>
        <w:rPr>
          <w:sz w:val="20"/>
        </w:rPr>
      </w:pPr>
    </w:p>
    <w:p w14:paraId="3CC1F72E" w14:textId="77777777" w:rsidR="001248F7" w:rsidRDefault="001248F7">
      <w:pPr>
        <w:pStyle w:val="Corpsdetexte"/>
        <w:spacing w:before="0"/>
        <w:ind w:left="0"/>
        <w:jc w:val="left"/>
        <w:rPr>
          <w:sz w:val="20"/>
        </w:rPr>
      </w:pPr>
    </w:p>
    <w:p w14:paraId="783483AA" w14:textId="77777777" w:rsidR="001248F7" w:rsidRDefault="001248F7">
      <w:pPr>
        <w:pStyle w:val="Corpsdetexte"/>
        <w:spacing w:before="0"/>
        <w:ind w:left="0"/>
        <w:jc w:val="left"/>
        <w:rPr>
          <w:sz w:val="20"/>
        </w:rPr>
      </w:pPr>
    </w:p>
    <w:p w14:paraId="11ABF670" w14:textId="77777777" w:rsidR="001248F7" w:rsidRDefault="001248F7">
      <w:pPr>
        <w:pStyle w:val="Corpsdetexte"/>
        <w:spacing w:before="0"/>
        <w:ind w:left="0"/>
        <w:jc w:val="left"/>
        <w:rPr>
          <w:sz w:val="20"/>
        </w:rPr>
      </w:pPr>
    </w:p>
    <w:p w14:paraId="0D19ECE6" w14:textId="77777777" w:rsidR="001248F7" w:rsidRDefault="001248F7">
      <w:pPr>
        <w:pStyle w:val="Corpsdetexte"/>
        <w:spacing w:before="0"/>
        <w:ind w:left="0"/>
        <w:jc w:val="left"/>
        <w:rPr>
          <w:sz w:val="20"/>
        </w:rPr>
      </w:pPr>
    </w:p>
    <w:p w14:paraId="36A1EE99" w14:textId="77777777" w:rsidR="001248F7" w:rsidRDefault="001248F7">
      <w:pPr>
        <w:pStyle w:val="Corpsdetexte"/>
        <w:spacing w:before="0"/>
        <w:ind w:left="0"/>
        <w:jc w:val="left"/>
        <w:rPr>
          <w:sz w:val="20"/>
        </w:rPr>
      </w:pPr>
    </w:p>
    <w:p w14:paraId="7D4B4283" w14:textId="77777777" w:rsidR="001248F7" w:rsidRDefault="001248F7">
      <w:pPr>
        <w:pStyle w:val="Corpsdetexte"/>
        <w:spacing w:before="0"/>
        <w:ind w:left="0"/>
        <w:jc w:val="left"/>
        <w:rPr>
          <w:sz w:val="20"/>
        </w:rPr>
      </w:pPr>
    </w:p>
    <w:p w14:paraId="4B43A11D" w14:textId="77777777" w:rsidR="001248F7" w:rsidRDefault="001248F7">
      <w:pPr>
        <w:pStyle w:val="Corpsdetexte"/>
        <w:spacing w:before="0"/>
        <w:ind w:left="0"/>
        <w:jc w:val="left"/>
        <w:rPr>
          <w:sz w:val="20"/>
        </w:rPr>
      </w:pPr>
    </w:p>
    <w:p w14:paraId="7C88A362" w14:textId="77777777" w:rsidR="001248F7" w:rsidRDefault="001248F7">
      <w:pPr>
        <w:pStyle w:val="Corpsdetexte"/>
        <w:spacing w:before="0"/>
        <w:ind w:left="0"/>
        <w:jc w:val="left"/>
        <w:rPr>
          <w:sz w:val="20"/>
        </w:rPr>
      </w:pPr>
    </w:p>
    <w:p w14:paraId="20F0DC3E" w14:textId="77777777" w:rsidR="001248F7" w:rsidRDefault="001248F7">
      <w:pPr>
        <w:pStyle w:val="Corpsdetexte"/>
        <w:spacing w:before="0"/>
        <w:ind w:left="0"/>
        <w:jc w:val="left"/>
        <w:rPr>
          <w:sz w:val="20"/>
        </w:rPr>
      </w:pPr>
    </w:p>
    <w:p w14:paraId="533DF0E4" w14:textId="77777777" w:rsidR="001248F7" w:rsidRDefault="001248F7">
      <w:pPr>
        <w:pStyle w:val="Corpsdetexte"/>
        <w:spacing w:before="0"/>
        <w:ind w:left="0"/>
        <w:jc w:val="left"/>
        <w:rPr>
          <w:sz w:val="20"/>
        </w:rPr>
      </w:pPr>
    </w:p>
    <w:p w14:paraId="0A4F47C7" w14:textId="77777777" w:rsidR="001248F7" w:rsidRDefault="001248F7">
      <w:pPr>
        <w:pStyle w:val="Corpsdetexte"/>
        <w:spacing w:before="0"/>
        <w:ind w:left="0"/>
        <w:jc w:val="left"/>
        <w:rPr>
          <w:sz w:val="20"/>
        </w:rPr>
      </w:pPr>
    </w:p>
    <w:p w14:paraId="1E8154D1" w14:textId="77777777" w:rsidR="001248F7" w:rsidRDefault="001248F7">
      <w:pPr>
        <w:pStyle w:val="Corpsdetexte"/>
        <w:spacing w:before="0"/>
        <w:ind w:left="0"/>
        <w:jc w:val="left"/>
        <w:rPr>
          <w:sz w:val="20"/>
        </w:rPr>
      </w:pPr>
    </w:p>
    <w:p w14:paraId="629FA041" w14:textId="77777777" w:rsidR="001248F7" w:rsidRDefault="001248F7">
      <w:pPr>
        <w:pStyle w:val="Corpsdetexte"/>
        <w:spacing w:before="0"/>
        <w:ind w:left="0"/>
        <w:jc w:val="left"/>
        <w:rPr>
          <w:sz w:val="20"/>
        </w:rPr>
      </w:pPr>
    </w:p>
    <w:p w14:paraId="20D3BEA6" w14:textId="77777777" w:rsidR="001248F7" w:rsidRDefault="001248F7">
      <w:pPr>
        <w:pStyle w:val="Corpsdetexte"/>
        <w:spacing w:before="0"/>
        <w:ind w:left="0"/>
        <w:jc w:val="left"/>
        <w:rPr>
          <w:sz w:val="20"/>
        </w:rPr>
      </w:pPr>
    </w:p>
    <w:p w14:paraId="7645A265" w14:textId="77777777" w:rsidR="001248F7" w:rsidRDefault="001248F7">
      <w:pPr>
        <w:pStyle w:val="Corpsdetexte"/>
        <w:spacing w:before="0"/>
        <w:ind w:left="0"/>
        <w:jc w:val="left"/>
        <w:rPr>
          <w:sz w:val="20"/>
        </w:rPr>
      </w:pPr>
    </w:p>
    <w:p w14:paraId="6873F074" w14:textId="77777777" w:rsidR="001248F7" w:rsidRDefault="001248F7">
      <w:pPr>
        <w:pStyle w:val="Corpsdetexte"/>
        <w:spacing w:before="0"/>
        <w:ind w:left="0"/>
        <w:jc w:val="left"/>
        <w:rPr>
          <w:sz w:val="20"/>
        </w:rPr>
      </w:pPr>
    </w:p>
    <w:p w14:paraId="42DC8468" w14:textId="77777777" w:rsidR="001248F7" w:rsidRDefault="001248F7">
      <w:pPr>
        <w:pStyle w:val="Corpsdetexte"/>
        <w:spacing w:before="0"/>
        <w:ind w:left="0"/>
        <w:jc w:val="left"/>
        <w:rPr>
          <w:sz w:val="20"/>
        </w:rPr>
      </w:pPr>
    </w:p>
    <w:p w14:paraId="20D063B3" w14:textId="77777777" w:rsidR="001248F7" w:rsidRDefault="001248F7">
      <w:pPr>
        <w:pStyle w:val="Corpsdetexte"/>
        <w:spacing w:before="0"/>
        <w:ind w:left="0"/>
        <w:jc w:val="left"/>
        <w:rPr>
          <w:sz w:val="20"/>
        </w:rPr>
      </w:pPr>
    </w:p>
    <w:p w14:paraId="758D7C4D" w14:textId="77777777" w:rsidR="001248F7" w:rsidRDefault="001248F7">
      <w:pPr>
        <w:pStyle w:val="Corpsdetexte"/>
        <w:spacing w:before="0"/>
        <w:ind w:left="0"/>
        <w:jc w:val="left"/>
        <w:rPr>
          <w:sz w:val="20"/>
        </w:rPr>
      </w:pPr>
    </w:p>
    <w:p w14:paraId="4FE6919B" w14:textId="77777777" w:rsidR="001248F7" w:rsidRDefault="001248F7">
      <w:pPr>
        <w:pStyle w:val="Corpsdetexte"/>
        <w:spacing w:before="0"/>
        <w:ind w:left="0"/>
        <w:jc w:val="left"/>
        <w:rPr>
          <w:sz w:val="20"/>
        </w:rPr>
      </w:pPr>
    </w:p>
    <w:p w14:paraId="5B6CB60F" w14:textId="77777777" w:rsidR="001248F7" w:rsidRDefault="001248F7">
      <w:pPr>
        <w:pStyle w:val="Corpsdetexte"/>
        <w:spacing w:before="0"/>
        <w:ind w:left="0"/>
        <w:jc w:val="left"/>
        <w:rPr>
          <w:sz w:val="20"/>
        </w:rPr>
      </w:pPr>
    </w:p>
    <w:p w14:paraId="7491339D" w14:textId="77777777" w:rsidR="001248F7" w:rsidRDefault="003518BE">
      <w:pPr>
        <w:pStyle w:val="Corpsdetexte"/>
        <w:spacing w:before="21"/>
        <w:ind w:left="0"/>
        <w:jc w:val="left"/>
        <w:rPr>
          <w:sz w:val="20"/>
        </w:rPr>
      </w:pPr>
      <w:r>
        <w:rPr>
          <w:noProof/>
          <w:sz w:val="20"/>
          <w:lang w:eastAsia="fr-FR"/>
        </w:rPr>
        <mc:AlternateContent>
          <mc:Choice Requires="wps">
            <w:drawing>
              <wp:anchor distT="0" distB="0" distL="0" distR="0" simplePos="0" relativeHeight="487588352" behindDoc="1" locked="0" layoutInCell="1" allowOverlap="1" wp14:anchorId="5AB04559" wp14:editId="37613F4C">
                <wp:simplePos x="0" y="0"/>
                <wp:positionH relativeFrom="page">
                  <wp:posOffset>1602739</wp:posOffset>
                </wp:positionH>
                <wp:positionV relativeFrom="paragraph">
                  <wp:posOffset>174612</wp:posOffset>
                </wp:positionV>
                <wp:extent cx="5217160" cy="211328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160" cy="2113280"/>
                        </a:xfrm>
                        <a:prstGeom prst="rect">
                          <a:avLst/>
                        </a:prstGeom>
                        <a:solidFill>
                          <a:srgbClr val="FFFFFF"/>
                        </a:solidFill>
                      </wps:spPr>
                      <wps:txbx>
                        <w:txbxContent>
                          <w:p w14:paraId="2EB8C565" w14:textId="487DFDAC" w:rsidR="00683CCD" w:rsidRDefault="00683CCD" w:rsidP="00D80693">
                            <w:pPr>
                              <w:spacing w:before="72"/>
                              <w:ind w:left="2497" w:right="1841"/>
                              <w:jc w:val="center"/>
                              <w:rPr>
                                <w:i/>
                                <w:color w:val="000000"/>
                                <w:sz w:val="36"/>
                              </w:rPr>
                            </w:pPr>
                            <w:r>
                              <w:rPr>
                                <w:i/>
                                <w:color w:val="006FC0"/>
                                <w:sz w:val="36"/>
                              </w:rPr>
                              <w:t>N°</w:t>
                            </w:r>
                            <w:r w:rsidR="00D80693">
                              <w:rPr>
                                <w:i/>
                                <w:color w:val="006FC0"/>
                                <w:sz w:val="36"/>
                              </w:rPr>
                              <w:t>07</w:t>
                            </w:r>
                            <w:r>
                              <w:rPr>
                                <w:i/>
                                <w:color w:val="006FC0"/>
                                <w:sz w:val="36"/>
                              </w:rPr>
                              <w:t>–</w:t>
                            </w:r>
                            <w:r>
                              <w:rPr>
                                <w:i/>
                                <w:color w:val="006FC0"/>
                                <w:spacing w:val="-1"/>
                                <w:sz w:val="36"/>
                              </w:rPr>
                              <w:t xml:space="preserve"> </w:t>
                            </w:r>
                            <w:r w:rsidR="00D80693">
                              <w:rPr>
                                <w:i/>
                                <w:color w:val="006FC0"/>
                                <w:sz w:val="36"/>
                              </w:rPr>
                              <w:t>DECEMBRE</w:t>
                            </w:r>
                            <w:r>
                              <w:rPr>
                                <w:i/>
                                <w:color w:val="006FC0"/>
                                <w:spacing w:val="-4"/>
                                <w:sz w:val="36"/>
                              </w:rPr>
                              <w:t xml:space="preserve"> 2025</w:t>
                            </w:r>
                          </w:p>
                          <w:p w14:paraId="01797FAC" w14:textId="77777777" w:rsidR="00683CCD" w:rsidRDefault="00683CCD" w:rsidP="0066598D">
                            <w:pPr>
                              <w:spacing w:before="279"/>
                              <w:ind w:left="2497" w:right="2494"/>
                              <w:rPr>
                                <w:b/>
                                <w:color w:val="000000"/>
                              </w:rPr>
                            </w:pPr>
                            <w:r>
                              <w:rPr>
                                <w:b/>
                                <w:color w:val="000000"/>
                                <w:sz w:val="24"/>
                              </w:rPr>
                              <w:t>ISSN</w:t>
                            </w:r>
                            <w:r>
                              <w:rPr>
                                <w:b/>
                                <w:color w:val="000000"/>
                                <w:spacing w:val="-15"/>
                                <w:sz w:val="24"/>
                              </w:rPr>
                              <w:t xml:space="preserve"> </w:t>
                            </w:r>
                            <w:r>
                              <w:rPr>
                                <w:b/>
                                <w:color w:val="000000"/>
                                <w:sz w:val="24"/>
                              </w:rPr>
                              <w:t>2756-7370</w:t>
                            </w:r>
                            <w:r>
                              <w:rPr>
                                <w:b/>
                                <w:color w:val="000000"/>
                                <w:spacing w:val="-15"/>
                                <w:sz w:val="24"/>
                              </w:rPr>
                              <w:t xml:space="preserve"> </w:t>
                            </w:r>
                            <w:r>
                              <w:rPr>
                                <w:b/>
                                <w:color w:val="000000"/>
                                <w:sz w:val="24"/>
                              </w:rPr>
                              <w:t>(Imprimé) ISSN 2756-7575 (En ligne</w:t>
                            </w:r>
                            <w:r>
                              <w:rPr>
                                <w:b/>
                                <w:color w:val="000000"/>
                              </w:rPr>
                              <w:t>)</w:t>
                            </w:r>
                          </w:p>
                          <w:p w14:paraId="2D23A401" w14:textId="77777777" w:rsidR="00683CCD" w:rsidRDefault="00683CCD">
                            <w:pPr>
                              <w:pStyle w:val="Corpsdetexte"/>
                              <w:spacing w:before="140"/>
                              <w:ind w:left="0"/>
                              <w:jc w:val="left"/>
                              <w:rPr>
                                <w:b/>
                                <w:color w:val="000000"/>
                              </w:rPr>
                            </w:pPr>
                          </w:p>
                          <w:p w14:paraId="4B578EE2" w14:textId="77777777" w:rsidR="00683CCD" w:rsidRPr="00E01032" w:rsidRDefault="00683CCD">
                            <w:pPr>
                              <w:ind w:left="2497" w:right="2497"/>
                              <w:jc w:val="center"/>
                              <w:rPr>
                                <w:b/>
                                <w:color w:val="000000"/>
                                <w:sz w:val="26"/>
                                <w:lang w:val="pt-PT"/>
                              </w:rPr>
                            </w:pPr>
                            <w:r w:rsidRPr="00E01032">
                              <w:rPr>
                                <w:b/>
                                <w:color w:val="000000"/>
                                <w:sz w:val="26"/>
                                <w:lang w:val="pt-PT"/>
                              </w:rPr>
                              <w:t>01</w:t>
                            </w:r>
                            <w:r w:rsidRPr="00E01032">
                              <w:rPr>
                                <w:b/>
                                <w:color w:val="000000"/>
                                <w:spacing w:val="-5"/>
                                <w:sz w:val="26"/>
                                <w:lang w:val="pt-PT"/>
                              </w:rPr>
                              <w:t xml:space="preserve"> </w:t>
                            </w:r>
                            <w:r w:rsidRPr="00E01032">
                              <w:rPr>
                                <w:b/>
                                <w:color w:val="000000"/>
                                <w:sz w:val="26"/>
                                <w:lang w:val="pt-PT"/>
                              </w:rPr>
                              <w:t>BP</w:t>
                            </w:r>
                            <w:r w:rsidRPr="00E01032">
                              <w:rPr>
                                <w:b/>
                                <w:color w:val="000000"/>
                                <w:spacing w:val="-5"/>
                                <w:sz w:val="26"/>
                                <w:lang w:val="pt-PT"/>
                              </w:rPr>
                              <w:t xml:space="preserve"> </w:t>
                            </w:r>
                            <w:r w:rsidRPr="00E01032">
                              <w:rPr>
                                <w:b/>
                                <w:color w:val="000000"/>
                                <w:sz w:val="26"/>
                                <w:lang w:val="pt-PT"/>
                              </w:rPr>
                              <w:t>1479</w:t>
                            </w:r>
                            <w:r w:rsidRPr="00E01032">
                              <w:rPr>
                                <w:b/>
                                <w:color w:val="000000"/>
                                <w:spacing w:val="-4"/>
                                <w:sz w:val="26"/>
                                <w:lang w:val="pt-PT"/>
                              </w:rPr>
                              <w:t xml:space="preserve"> </w:t>
                            </w:r>
                            <w:r w:rsidRPr="00E01032">
                              <w:rPr>
                                <w:b/>
                                <w:color w:val="000000"/>
                                <w:sz w:val="26"/>
                                <w:lang w:val="pt-PT"/>
                              </w:rPr>
                              <w:t>Ouaga</w:t>
                            </w:r>
                            <w:r w:rsidRPr="00E01032">
                              <w:rPr>
                                <w:b/>
                                <w:color w:val="000000"/>
                                <w:spacing w:val="-5"/>
                                <w:sz w:val="26"/>
                                <w:lang w:val="pt-PT"/>
                              </w:rPr>
                              <w:t xml:space="preserve"> </w:t>
                            </w:r>
                            <w:r w:rsidRPr="00E01032">
                              <w:rPr>
                                <w:b/>
                                <w:color w:val="000000"/>
                                <w:spacing w:val="-7"/>
                                <w:sz w:val="26"/>
                                <w:lang w:val="pt-PT"/>
                              </w:rPr>
                              <w:t>01</w:t>
                            </w:r>
                          </w:p>
                          <w:p w14:paraId="7911553E" w14:textId="77777777" w:rsidR="00683CCD" w:rsidRPr="00E01032" w:rsidRDefault="00683CCD">
                            <w:pPr>
                              <w:spacing w:before="2"/>
                              <w:ind w:left="2" w:right="1"/>
                              <w:jc w:val="center"/>
                              <w:rPr>
                                <w:b/>
                                <w:color w:val="000000"/>
                                <w:sz w:val="26"/>
                                <w:lang w:val="pt-PT"/>
                              </w:rPr>
                            </w:pPr>
                            <w:r w:rsidRPr="00E01032">
                              <w:rPr>
                                <w:b/>
                                <w:color w:val="000000"/>
                                <w:sz w:val="26"/>
                                <w:lang w:val="pt-PT"/>
                              </w:rPr>
                              <w:t>Email</w:t>
                            </w:r>
                            <w:r w:rsidRPr="00E01032">
                              <w:rPr>
                                <w:b/>
                                <w:color w:val="000000"/>
                                <w:spacing w:val="-3"/>
                                <w:sz w:val="26"/>
                                <w:lang w:val="pt-PT"/>
                              </w:rPr>
                              <w:t xml:space="preserve"> </w:t>
                            </w:r>
                            <w:r w:rsidRPr="00E01032">
                              <w:rPr>
                                <w:b/>
                                <w:color w:val="000000"/>
                                <w:sz w:val="26"/>
                                <w:lang w:val="pt-PT"/>
                              </w:rPr>
                              <w:t>:</w:t>
                            </w:r>
                            <w:r w:rsidRPr="00E01032">
                              <w:rPr>
                                <w:b/>
                                <w:color w:val="000000"/>
                                <w:spacing w:val="-4"/>
                                <w:sz w:val="26"/>
                                <w:lang w:val="pt-PT"/>
                              </w:rPr>
                              <w:t xml:space="preserve"> </w:t>
                            </w:r>
                            <w:hyperlink r:id="rId14">
                              <w:r w:rsidRPr="00E01032">
                                <w:rPr>
                                  <w:b/>
                                  <w:color w:val="0462C1"/>
                                  <w:spacing w:val="-2"/>
                                  <w:sz w:val="26"/>
                                  <w:u w:val="single" w:color="0462C1"/>
                                  <w:lang w:val="pt-PT"/>
                                </w:rPr>
                                <w:t>revueracese@gmail.com</w:t>
                              </w:r>
                            </w:hyperlink>
                          </w:p>
                          <w:p w14:paraId="29002BA7" w14:textId="77777777" w:rsidR="00683CCD" w:rsidRPr="00E01032" w:rsidRDefault="00683CCD">
                            <w:pPr>
                              <w:pStyle w:val="Corpsdetexte"/>
                              <w:spacing w:before="0"/>
                              <w:ind w:left="0"/>
                              <w:jc w:val="left"/>
                              <w:rPr>
                                <w:b/>
                                <w:color w:val="000000"/>
                                <w:sz w:val="26"/>
                                <w:lang w:val="pt-PT"/>
                              </w:rPr>
                            </w:pPr>
                          </w:p>
                          <w:p w14:paraId="06977086" w14:textId="22203298" w:rsidR="00683CCD" w:rsidRDefault="00683CCD">
                            <w:pPr>
                              <w:ind w:left="2"/>
                              <w:jc w:val="center"/>
                              <w:rPr>
                                <w:b/>
                                <w:color w:val="000000"/>
                                <w:sz w:val="28"/>
                              </w:rPr>
                            </w:pPr>
                            <w:r>
                              <w:rPr>
                                <w:b/>
                                <w:color w:val="000000"/>
                                <w:sz w:val="28"/>
                              </w:rPr>
                              <w:t>Numéro</w:t>
                            </w:r>
                            <w:r>
                              <w:rPr>
                                <w:b/>
                                <w:color w:val="000000"/>
                                <w:spacing w:val="-2"/>
                                <w:sz w:val="28"/>
                              </w:rPr>
                              <w:t xml:space="preserve"> </w:t>
                            </w:r>
                            <w:r>
                              <w:rPr>
                                <w:b/>
                                <w:color w:val="000000"/>
                                <w:sz w:val="28"/>
                              </w:rPr>
                              <w:t>du</w:t>
                            </w:r>
                            <w:r>
                              <w:rPr>
                                <w:b/>
                                <w:color w:val="000000"/>
                                <w:spacing w:val="-4"/>
                                <w:sz w:val="28"/>
                              </w:rPr>
                              <w:t xml:space="preserve"> </w:t>
                            </w:r>
                            <w:r>
                              <w:rPr>
                                <w:b/>
                                <w:color w:val="000000"/>
                                <w:sz w:val="28"/>
                              </w:rPr>
                              <w:t>dépôt</w:t>
                            </w:r>
                            <w:r>
                              <w:rPr>
                                <w:b/>
                                <w:color w:val="000000"/>
                                <w:spacing w:val="-3"/>
                                <w:sz w:val="28"/>
                              </w:rPr>
                              <w:t xml:space="preserve"> </w:t>
                            </w:r>
                            <w:r>
                              <w:rPr>
                                <w:b/>
                                <w:color w:val="000000"/>
                                <w:sz w:val="28"/>
                              </w:rPr>
                              <w:t>légal</w:t>
                            </w:r>
                            <w:r>
                              <w:rPr>
                                <w:b/>
                                <w:color w:val="000000"/>
                                <w:spacing w:val="-2"/>
                                <w:sz w:val="28"/>
                              </w:rPr>
                              <w:t xml:space="preserve"> </w:t>
                            </w:r>
                            <w:r>
                              <w:rPr>
                                <w:b/>
                                <w:color w:val="000000"/>
                                <w:sz w:val="28"/>
                              </w:rPr>
                              <w:t>:</w:t>
                            </w:r>
                            <w:r>
                              <w:rPr>
                                <w:b/>
                                <w:color w:val="000000"/>
                                <w:spacing w:val="-4"/>
                                <w:sz w:val="28"/>
                              </w:rPr>
                              <w:t xml:space="preserve"> </w:t>
                            </w:r>
                            <w:r>
                              <w:rPr>
                                <w:b/>
                                <w:color w:val="000000"/>
                                <w:sz w:val="28"/>
                              </w:rPr>
                              <w:t>22-559</w:t>
                            </w:r>
                            <w:r>
                              <w:rPr>
                                <w:b/>
                                <w:color w:val="000000"/>
                                <w:spacing w:val="-2"/>
                                <w:sz w:val="28"/>
                              </w:rPr>
                              <w:t xml:space="preserve"> </w:t>
                            </w:r>
                            <w:r>
                              <w:rPr>
                                <w:b/>
                                <w:color w:val="000000"/>
                                <w:sz w:val="28"/>
                              </w:rPr>
                              <w:t>du</w:t>
                            </w:r>
                            <w:r>
                              <w:rPr>
                                <w:b/>
                                <w:color w:val="000000"/>
                                <w:spacing w:val="-6"/>
                                <w:sz w:val="28"/>
                              </w:rPr>
                              <w:t xml:space="preserve"> </w:t>
                            </w:r>
                            <w:r w:rsidR="004F3C88" w:rsidRPr="004F3C88">
                              <w:rPr>
                                <w:b/>
                                <w:color w:val="000000"/>
                                <w:spacing w:val="-6"/>
                                <w:sz w:val="28"/>
                              </w:rPr>
                              <w:t>20 Janvier 2026</w:t>
                            </w:r>
                          </w:p>
                        </w:txbxContent>
                      </wps:txbx>
                      <wps:bodyPr wrap="square" lIns="0" tIns="0" rIns="0" bIns="0" rtlCol="0">
                        <a:noAutofit/>
                      </wps:bodyPr>
                    </wps:wsp>
                  </a:graphicData>
                </a:graphic>
              </wp:anchor>
            </w:drawing>
          </mc:Choice>
          <mc:Fallback>
            <w:pict>
              <v:shape w14:anchorId="5AB04559" id="Textbox 7" o:spid="_x0000_s1028" type="#_x0000_t202" style="position:absolute;margin-left:126.2pt;margin-top:13.75pt;width:410.8pt;height:166.4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" stroked="f">
                <v:textbox inset="0,0,0,0">
                  <w:txbxContent>
                    <w:p w14:paraId="2EB8C565" w14:textId="487DFDAC" w:rsidR="00683CCD" w:rsidRDefault="00683CCD" w:rsidP="00D80693">
                      <w:pPr>
                        <w:spacing w:before="72"/>
                        <w:ind w:left="2497" w:right="1841"/>
                        <w:jc w:val="center"/>
                        <w:rPr>
                          <w:i/>
                          <w:color w:val="000000"/>
                          <w:sz w:val="36"/>
                        </w:rPr>
                      </w:pPr>
                      <w:r>
                        <w:rPr>
                          <w:i/>
                          <w:color w:val="006FC0"/>
                          <w:sz w:val="36"/>
                        </w:rPr>
                        <w:t>N°</w:t>
                      </w:r>
                      <w:r w:rsidR="00D80693">
                        <w:rPr>
                          <w:i/>
                          <w:color w:val="006FC0"/>
                          <w:sz w:val="36"/>
                        </w:rPr>
                        <w:t>07</w:t>
                      </w:r>
                      <w:r>
                        <w:rPr>
                          <w:i/>
                          <w:color w:val="006FC0"/>
                          <w:sz w:val="36"/>
                        </w:rPr>
                        <w:t>–</w:t>
                      </w:r>
                      <w:r>
                        <w:rPr>
                          <w:i/>
                          <w:color w:val="006FC0"/>
                          <w:spacing w:val="-1"/>
                          <w:sz w:val="36"/>
                        </w:rPr>
                        <w:t xml:space="preserve"> </w:t>
                      </w:r>
                      <w:r w:rsidR="00D80693">
                        <w:rPr>
                          <w:i/>
                          <w:color w:val="006FC0"/>
                          <w:sz w:val="36"/>
                        </w:rPr>
                        <w:t>DECEMBRE</w:t>
                      </w:r>
                      <w:r>
                        <w:rPr>
                          <w:i/>
                          <w:color w:val="006FC0"/>
                          <w:spacing w:val="-4"/>
                          <w:sz w:val="36"/>
                        </w:rPr>
                        <w:t xml:space="preserve"> 2025</w:t>
                      </w:r>
                    </w:p>
                    <w:p w14:paraId="01797FAC" w14:textId="77777777" w:rsidR="00683CCD" w:rsidRDefault="00683CCD" w:rsidP="0066598D">
                      <w:pPr>
                        <w:spacing w:before="279"/>
                        <w:ind w:left="2497" w:right="2494"/>
                        <w:rPr>
                          <w:b/>
                          <w:color w:val="000000"/>
                        </w:rPr>
                      </w:pPr>
                      <w:r>
                        <w:rPr>
                          <w:b/>
                          <w:color w:val="000000"/>
                          <w:sz w:val="24"/>
                        </w:rPr>
                        <w:t>ISSN</w:t>
                      </w:r>
                      <w:r>
                        <w:rPr>
                          <w:b/>
                          <w:color w:val="000000"/>
                          <w:spacing w:val="-15"/>
                          <w:sz w:val="24"/>
                        </w:rPr>
                        <w:t xml:space="preserve"> </w:t>
                      </w:r>
                      <w:r>
                        <w:rPr>
                          <w:b/>
                          <w:color w:val="000000"/>
                          <w:sz w:val="24"/>
                        </w:rPr>
                        <w:t>2756-7370</w:t>
                      </w:r>
                      <w:r>
                        <w:rPr>
                          <w:b/>
                          <w:color w:val="000000"/>
                          <w:spacing w:val="-15"/>
                          <w:sz w:val="24"/>
                        </w:rPr>
                        <w:t xml:space="preserve"> </w:t>
                      </w:r>
                      <w:r>
                        <w:rPr>
                          <w:b/>
                          <w:color w:val="000000"/>
                          <w:sz w:val="24"/>
                        </w:rPr>
                        <w:t>(Imprimé) ISSN 2756-7575 (En ligne</w:t>
                      </w:r>
                      <w:r>
                        <w:rPr>
                          <w:b/>
                          <w:color w:val="000000"/>
                        </w:rPr>
                        <w:t>)</w:t>
                      </w:r>
                    </w:p>
                    <w:p w14:paraId="2D23A401" w14:textId="77777777" w:rsidR="00683CCD" w:rsidRDefault="00683CCD">
                      <w:pPr>
                        <w:pStyle w:val="Corpsdetexte"/>
                        <w:spacing w:before="140"/>
                        <w:ind w:left="0"/>
                        <w:jc w:val="left"/>
                        <w:rPr>
                          <w:b/>
                          <w:color w:val="000000"/>
                        </w:rPr>
                      </w:pPr>
                    </w:p>
                    <w:p w14:paraId="4B578EE2" w14:textId="77777777" w:rsidR="00683CCD" w:rsidRPr="00E01032" w:rsidRDefault="00683CCD">
                      <w:pPr>
                        <w:ind w:left="2497" w:right="2497"/>
                        <w:jc w:val="center"/>
                        <w:rPr>
                          <w:b/>
                          <w:color w:val="000000"/>
                          <w:sz w:val="26"/>
                          <w:lang w:val="pt-PT"/>
                        </w:rPr>
                      </w:pPr>
                      <w:r w:rsidRPr="00E01032">
                        <w:rPr>
                          <w:b/>
                          <w:color w:val="000000"/>
                          <w:sz w:val="26"/>
                          <w:lang w:val="pt-PT"/>
                        </w:rPr>
                        <w:t>01</w:t>
                      </w:r>
                      <w:r w:rsidRPr="00E01032">
                        <w:rPr>
                          <w:b/>
                          <w:color w:val="000000"/>
                          <w:spacing w:val="-5"/>
                          <w:sz w:val="26"/>
                          <w:lang w:val="pt-PT"/>
                        </w:rPr>
                        <w:t xml:space="preserve"> </w:t>
                      </w:r>
                      <w:r w:rsidRPr="00E01032">
                        <w:rPr>
                          <w:b/>
                          <w:color w:val="000000"/>
                          <w:sz w:val="26"/>
                          <w:lang w:val="pt-PT"/>
                        </w:rPr>
                        <w:t>BP</w:t>
                      </w:r>
                      <w:r w:rsidRPr="00E01032">
                        <w:rPr>
                          <w:b/>
                          <w:color w:val="000000"/>
                          <w:spacing w:val="-5"/>
                          <w:sz w:val="26"/>
                          <w:lang w:val="pt-PT"/>
                        </w:rPr>
                        <w:t xml:space="preserve"> </w:t>
                      </w:r>
                      <w:r w:rsidRPr="00E01032">
                        <w:rPr>
                          <w:b/>
                          <w:color w:val="000000"/>
                          <w:sz w:val="26"/>
                          <w:lang w:val="pt-PT"/>
                        </w:rPr>
                        <w:t>1479</w:t>
                      </w:r>
                      <w:r w:rsidRPr="00E01032">
                        <w:rPr>
                          <w:b/>
                          <w:color w:val="000000"/>
                          <w:spacing w:val="-4"/>
                          <w:sz w:val="26"/>
                          <w:lang w:val="pt-PT"/>
                        </w:rPr>
                        <w:t xml:space="preserve"> </w:t>
                      </w:r>
                      <w:r w:rsidRPr="00E01032">
                        <w:rPr>
                          <w:b/>
                          <w:color w:val="000000"/>
                          <w:sz w:val="26"/>
                          <w:lang w:val="pt-PT"/>
                        </w:rPr>
                        <w:t>Ouaga</w:t>
                      </w:r>
                      <w:r w:rsidRPr="00E01032">
                        <w:rPr>
                          <w:b/>
                          <w:color w:val="000000"/>
                          <w:spacing w:val="-5"/>
                          <w:sz w:val="26"/>
                          <w:lang w:val="pt-PT"/>
                        </w:rPr>
                        <w:t xml:space="preserve"> </w:t>
                      </w:r>
                      <w:r w:rsidRPr="00E01032">
                        <w:rPr>
                          <w:b/>
                          <w:color w:val="000000"/>
                          <w:spacing w:val="-7"/>
                          <w:sz w:val="26"/>
                          <w:lang w:val="pt-PT"/>
                        </w:rPr>
                        <w:t>01</w:t>
                      </w:r>
                    </w:p>
                    <w:p w14:paraId="7911553E" w14:textId="77777777" w:rsidR="00683CCD" w:rsidRPr="00E01032" w:rsidRDefault="00683CCD">
                      <w:pPr>
                        <w:spacing w:before="2"/>
                        <w:ind w:left="2" w:right="1"/>
                        <w:jc w:val="center"/>
                        <w:rPr>
                          <w:b/>
                          <w:color w:val="000000"/>
                          <w:sz w:val="26"/>
                          <w:lang w:val="pt-PT"/>
                        </w:rPr>
                      </w:pPr>
                      <w:r w:rsidRPr="00E01032">
                        <w:rPr>
                          <w:b/>
                          <w:color w:val="000000"/>
                          <w:sz w:val="26"/>
                          <w:lang w:val="pt-PT"/>
                        </w:rPr>
                        <w:t>Email</w:t>
                      </w:r>
                      <w:r w:rsidRPr="00E01032">
                        <w:rPr>
                          <w:b/>
                          <w:color w:val="000000"/>
                          <w:spacing w:val="-3"/>
                          <w:sz w:val="26"/>
                          <w:lang w:val="pt-PT"/>
                        </w:rPr>
                        <w:t xml:space="preserve"> </w:t>
                      </w:r>
                      <w:r w:rsidRPr="00E01032">
                        <w:rPr>
                          <w:b/>
                          <w:color w:val="000000"/>
                          <w:sz w:val="26"/>
                          <w:lang w:val="pt-PT"/>
                        </w:rPr>
                        <w:t>:</w:t>
                      </w:r>
                      <w:r w:rsidRPr="00E01032">
                        <w:rPr>
                          <w:b/>
                          <w:color w:val="000000"/>
                          <w:spacing w:val="-4"/>
                          <w:sz w:val="26"/>
                          <w:lang w:val="pt-PT"/>
                        </w:rPr>
                        <w:t xml:space="preserve"> </w:t>
                      </w:r>
                      <w:hyperlink r:id="rId15">
                        <w:r w:rsidRPr="00E01032">
                          <w:rPr>
                            <w:b/>
                            <w:color w:val="0462C1"/>
                            <w:spacing w:val="-2"/>
                            <w:sz w:val="26"/>
                            <w:u w:val="single" w:color="0462C1"/>
                            <w:lang w:val="pt-PT"/>
                          </w:rPr>
                          <w:t>revueracese@gmail.com</w:t>
                        </w:r>
                      </w:hyperlink>
                    </w:p>
                    <w:p w14:paraId="29002BA7" w14:textId="77777777" w:rsidR="00683CCD" w:rsidRPr="00E01032" w:rsidRDefault="00683CCD">
                      <w:pPr>
                        <w:pStyle w:val="Corpsdetexte"/>
                        <w:spacing w:before="0"/>
                        <w:ind w:left="0"/>
                        <w:jc w:val="left"/>
                        <w:rPr>
                          <w:b/>
                          <w:color w:val="000000"/>
                          <w:sz w:val="26"/>
                          <w:lang w:val="pt-PT"/>
                        </w:rPr>
                      </w:pPr>
                    </w:p>
                    <w:p w14:paraId="06977086" w14:textId="22203298" w:rsidR="00683CCD" w:rsidRDefault="00683CCD">
                      <w:pPr>
                        <w:ind w:left="2"/>
                        <w:jc w:val="center"/>
                        <w:rPr>
                          <w:b/>
                          <w:color w:val="000000"/>
                          <w:sz w:val="28"/>
                        </w:rPr>
                      </w:pPr>
                      <w:r>
                        <w:rPr>
                          <w:b/>
                          <w:color w:val="000000"/>
                          <w:sz w:val="28"/>
                        </w:rPr>
                        <w:t>Numéro</w:t>
                      </w:r>
                      <w:r>
                        <w:rPr>
                          <w:b/>
                          <w:color w:val="000000"/>
                          <w:spacing w:val="-2"/>
                          <w:sz w:val="28"/>
                        </w:rPr>
                        <w:t xml:space="preserve"> </w:t>
                      </w:r>
                      <w:r>
                        <w:rPr>
                          <w:b/>
                          <w:color w:val="000000"/>
                          <w:sz w:val="28"/>
                        </w:rPr>
                        <w:t>du</w:t>
                      </w:r>
                      <w:r>
                        <w:rPr>
                          <w:b/>
                          <w:color w:val="000000"/>
                          <w:spacing w:val="-4"/>
                          <w:sz w:val="28"/>
                        </w:rPr>
                        <w:t xml:space="preserve"> </w:t>
                      </w:r>
                      <w:r>
                        <w:rPr>
                          <w:b/>
                          <w:color w:val="000000"/>
                          <w:sz w:val="28"/>
                        </w:rPr>
                        <w:t>dépôt</w:t>
                      </w:r>
                      <w:r>
                        <w:rPr>
                          <w:b/>
                          <w:color w:val="000000"/>
                          <w:spacing w:val="-3"/>
                          <w:sz w:val="28"/>
                        </w:rPr>
                        <w:t xml:space="preserve"> </w:t>
                      </w:r>
                      <w:r>
                        <w:rPr>
                          <w:b/>
                          <w:color w:val="000000"/>
                          <w:sz w:val="28"/>
                        </w:rPr>
                        <w:t>légal</w:t>
                      </w:r>
                      <w:r>
                        <w:rPr>
                          <w:b/>
                          <w:color w:val="000000"/>
                          <w:spacing w:val="-2"/>
                          <w:sz w:val="28"/>
                        </w:rPr>
                        <w:t xml:space="preserve"> </w:t>
                      </w:r>
                      <w:r>
                        <w:rPr>
                          <w:b/>
                          <w:color w:val="000000"/>
                          <w:sz w:val="28"/>
                        </w:rPr>
                        <w:t>:</w:t>
                      </w:r>
                      <w:r>
                        <w:rPr>
                          <w:b/>
                          <w:color w:val="000000"/>
                          <w:spacing w:val="-4"/>
                          <w:sz w:val="28"/>
                        </w:rPr>
                        <w:t xml:space="preserve"> </w:t>
                      </w:r>
                      <w:r>
                        <w:rPr>
                          <w:b/>
                          <w:color w:val="000000"/>
                          <w:sz w:val="28"/>
                        </w:rPr>
                        <w:t>22-559</w:t>
                      </w:r>
                      <w:r>
                        <w:rPr>
                          <w:b/>
                          <w:color w:val="000000"/>
                          <w:spacing w:val="-2"/>
                          <w:sz w:val="28"/>
                        </w:rPr>
                        <w:t xml:space="preserve"> </w:t>
                      </w:r>
                      <w:r>
                        <w:rPr>
                          <w:b/>
                          <w:color w:val="000000"/>
                          <w:sz w:val="28"/>
                        </w:rPr>
                        <w:t>du</w:t>
                      </w:r>
                      <w:r>
                        <w:rPr>
                          <w:b/>
                          <w:color w:val="000000"/>
                          <w:spacing w:val="-6"/>
                          <w:sz w:val="28"/>
                        </w:rPr>
                        <w:t xml:space="preserve"> </w:t>
                      </w:r>
                      <w:r w:rsidR="004F3C88" w:rsidRPr="004F3C88">
                        <w:rPr>
                          <w:b/>
                          <w:color w:val="000000"/>
                          <w:spacing w:val="-6"/>
                          <w:sz w:val="28"/>
                        </w:rPr>
                        <w:t>20 Janvier 2026</w:t>
                      </w:r>
                    </w:p>
                  </w:txbxContent>
                </v:textbox>
                <w10:wrap type="topAndBottom" anchorx="page"/>
              </v:shape>
            </w:pict>
          </mc:Fallback>
        </mc:AlternateContent>
      </w:r>
    </w:p>
    <w:p w14:paraId="017609E5" w14:textId="77777777" w:rsidR="001248F7" w:rsidRDefault="001248F7">
      <w:pPr>
        <w:pStyle w:val="Corpsdetexte"/>
        <w:jc w:val="left"/>
        <w:rPr>
          <w:sz w:val="20"/>
        </w:rPr>
        <w:sectPr w:rsidR="001248F7">
          <w:headerReference w:type="first" r:id="rId16"/>
          <w:footnotePr>
            <w:numRestart w:val="eachPage"/>
          </w:footnotePr>
          <w:type w:val="continuous"/>
          <w:pgSz w:w="11910" w:h="16840"/>
          <w:pgMar w:top="200" w:right="1133" w:bottom="280" w:left="850" w:header="720" w:footer="720" w:gutter="0"/>
          <w:cols w:space="720"/>
        </w:sectPr>
      </w:pPr>
    </w:p>
    <w:p w14:paraId="28665369" w14:textId="77777777" w:rsidR="001248F7" w:rsidRDefault="001248F7">
      <w:pPr>
        <w:pStyle w:val="Corpsdetexte"/>
        <w:spacing w:before="0"/>
        <w:ind w:left="0"/>
        <w:jc w:val="left"/>
        <w:rPr>
          <w:sz w:val="28"/>
        </w:rPr>
      </w:pPr>
    </w:p>
    <w:p w14:paraId="789AA5FB" w14:textId="77777777" w:rsidR="001248F7" w:rsidRDefault="001248F7">
      <w:pPr>
        <w:pStyle w:val="Corpsdetexte"/>
        <w:spacing w:before="0"/>
        <w:ind w:left="0"/>
        <w:jc w:val="left"/>
        <w:rPr>
          <w:sz w:val="28"/>
        </w:rPr>
      </w:pPr>
    </w:p>
    <w:p w14:paraId="5FDE746C" w14:textId="77777777" w:rsidR="001248F7" w:rsidRDefault="001248F7">
      <w:pPr>
        <w:pStyle w:val="Corpsdetexte"/>
        <w:spacing w:before="242"/>
        <w:ind w:left="0"/>
        <w:jc w:val="left"/>
        <w:rPr>
          <w:sz w:val="28"/>
        </w:rPr>
      </w:pPr>
    </w:p>
    <w:p w14:paraId="74253A8F" w14:textId="7971A3BE" w:rsidR="001248F7" w:rsidRPr="00E01032" w:rsidRDefault="003518BE" w:rsidP="00E01032">
      <w:pPr>
        <w:jc w:val="center"/>
        <w:rPr>
          <w:b/>
          <w:bCs/>
          <w:sz w:val="32"/>
          <w:szCs w:val="32"/>
        </w:rPr>
      </w:pPr>
      <w:r w:rsidRPr="00E01032">
        <w:rPr>
          <w:b/>
          <w:bCs/>
          <w:noProof/>
          <w:sz w:val="32"/>
          <w:szCs w:val="32"/>
          <w:lang w:eastAsia="fr-FR"/>
        </w:rPr>
        <w:drawing>
          <wp:anchor distT="0" distB="0" distL="0" distR="0" simplePos="0" relativeHeight="15730688" behindDoc="0" locked="0" layoutInCell="1" allowOverlap="1" wp14:anchorId="28C629E4" wp14:editId="5541DD27">
            <wp:simplePos x="0" y="0"/>
            <wp:positionH relativeFrom="page">
              <wp:posOffset>5487670</wp:posOffset>
            </wp:positionH>
            <wp:positionV relativeFrom="paragraph">
              <wp:posOffset>-550341</wp:posOffset>
            </wp:positionV>
            <wp:extent cx="1298575" cy="111252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1298575" cy="1112520"/>
                    </a:xfrm>
                    <a:prstGeom prst="rect">
                      <a:avLst/>
                    </a:prstGeom>
                  </pic:spPr>
                </pic:pic>
              </a:graphicData>
            </a:graphic>
          </wp:anchor>
        </w:drawing>
      </w:r>
      <w:r w:rsidRPr="00E01032">
        <w:rPr>
          <w:b/>
          <w:bCs/>
          <w:noProof/>
          <w:sz w:val="32"/>
          <w:szCs w:val="32"/>
          <w:lang w:eastAsia="fr-FR"/>
        </w:rPr>
        <w:drawing>
          <wp:anchor distT="0" distB="0" distL="0" distR="0" simplePos="0" relativeHeight="15731200" behindDoc="0" locked="0" layoutInCell="1" allowOverlap="1" wp14:anchorId="5ACE0C64" wp14:editId="2DBE2F65">
            <wp:simplePos x="0" y="0"/>
            <wp:positionH relativeFrom="page">
              <wp:posOffset>626109</wp:posOffset>
            </wp:positionH>
            <wp:positionV relativeFrom="paragraph">
              <wp:posOffset>-420801</wp:posOffset>
            </wp:positionV>
            <wp:extent cx="1341119" cy="1308363"/>
            <wp:effectExtent l="0" t="0" r="0" b="0"/>
            <wp:wrapNone/>
            <wp:docPr id="12" name="Image 12" descr="Une image contenant texte, cercle, logo,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ercle, logo, Police  Description générée automatiquement"/>
                    <pic:cNvPicPr/>
                  </pic:nvPicPr>
                  <pic:blipFill>
                    <a:blip r:embed="rId18" cstate="print"/>
                    <a:stretch>
                      <a:fillRect/>
                    </a:stretch>
                  </pic:blipFill>
                  <pic:spPr>
                    <a:xfrm>
                      <a:off x="0" y="0"/>
                      <a:ext cx="1341119" cy="1308363"/>
                    </a:xfrm>
                    <a:prstGeom prst="rect">
                      <a:avLst/>
                    </a:prstGeom>
                  </pic:spPr>
                </pic:pic>
              </a:graphicData>
            </a:graphic>
          </wp:anchor>
        </w:drawing>
      </w:r>
      <w:r w:rsidRPr="00E01032">
        <w:rPr>
          <w:b/>
          <w:bCs/>
          <w:sz w:val="32"/>
          <w:szCs w:val="32"/>
        </w:rPr>
        <w:t>RASEF</w:t>
      </w:r>
      <w:r w:rsidRPr="00E01032">
        <w:rPr>
          <w:b/>
          <w:bCs/>
          <w:spacing w:val="-6"/>
          <w:sz w:val="32"/>
          <w:szCs w:val="32"/>
        </w:rPr>
        <w:t xml:space="preserve"> </w:t>
      </w:r>
      <w:r w:rsidRPr="00E01032">
        <w:rPr>
          <w:b/>
          <w:bCs/>
          <w:sz w:val="32"/>
          <w:szCs w:val="32"/>
        </w:rPr>
        <w:t>N</w:t>
      </w:r>
      <w:r w:rsidRPr="00E01032">
        <w:rPr>
          <w:b/>
          <w:bCs/>
          <w:sz w:val="32"/>
          <w:szCs w:val="32"/>
          <w:vertAlign w:val="superscript"/>
        </w:rPr>
        <w:t>o</w:t>
      </w:r>
      <w:r w:rsidRPr="00E01032">
        <w:rPr>
          <w:b/>
          <w:bCs/>
          <w:spacing w:val="-24"/>
          <w:sz w:val="32"/>
          <w:szCs w:val="32"/>
        </w:rPr>
        <w:t xml:space="preserve"> </w:t>
      </w:r>
      <w:r w:rsidR="00D80693">
        <w:rPr>
          <w:b/>
          <w:bCs/>
          <w:sz w:val="32"/>
          <w:szCs w:val="32"/>
        </w:rPr>
        <w:t>7</w:t>
      </w:r>
      <w:r w:rsidRPr="00E01032">
        <w:rPr>
          <w:b/>
          <w:bCs/>
          <w:sz w:val="32"/>
          <w:szCs w:val="32"/>
        </w:rPr>
        <w:t>,</w:t>
      </w:r>
      <w:r w:rsidR="0066598D" w:rsidRPr="00E01032">
        <w:rPr>
          <w:b/>
          <w:bCs/>
          <w:spacing w:val="-6"/>
          <w:sz w:val="32"/>
          <w:szCs w:val="32"/>
        </w:rPr>
        <w:t xml:space="preserve"> </w:t>
      </w:r>
      <w:r w:rsidR="00D80693">
        <w:rPr>
          <w:b/>
          <w:bCs/>
          <w:spacing w:val="-6"/>
          <w:sz w:val="32"/>
          <w:szCs w:val="32"/>
        </w:rPr>
        <w:t>Décembre</w:t>
      </w:r>
      <w:r w:rsidRPr="00E01032">
        <w:rPr>
          <w:b/>
          <w:bCs/>
          <w:spacing w:val="-1"/>
          <w:sz w:val="32"/>
          <w:szCs w:val="32"/>
        </w:rPr>
        <w:t xml:space="preserve"> </w:t>
      </w:r>
      <w:r w:rsidR="0066598D" w:rsidRPr="00E01032">
        <w:rPr>
          <w:b/>
          <w:bCs/>
          <w:spacing w:val="-4"/>
          <w:sz w:val="32"/>
          <w:szCs w:val="32"/>
        </w:rPr>
        <w:t>2025</w:t>
      </w:r>
    </w:p>
    <w:p w14:paraId="53446C4B" w14:textId="77777777" w:rsidR="001248F7" w:rsidRPr="00E01032" w:rsidRDefault="003518BE" w:rsidP="00E01032">
      <w:pPr>
        <w:jc w:val="center"/>
        <w:rPr>
          <w:b/>
          <w:bCs/>
          <w:sz w:val="24"/>
          <w:szCs w:val="32"/>
        </w:rPr>
      </w:pPr>
      <w:r w:rsidRPr="00E01032">
        <w:rPr>
          <w:b/>
          <w:bCs/>
          <w:sz w:val="24"/>
          <w:szCs w:val="32"/>
        </w:rPr>
        <w:t>----------</w:t>
      </w:r>
      <w:r w:rsidRPr="00E01032">
        <w:rPr>
          <w:b/>
          <w:bCs/>
          <w:spacing w:val="-10"/>
          <w:sz w:val="24"/>
          <w:szCs w:val="32"/>
        </w:rPr>
        <w:t>-</w:t>
      </w:r>
    </w:p>
    <w:p w14:paraId="02FB6C44" w14:textId="77777777" w:rsidR="001248F7" w:rsidRPr="00E01032" w:rsidRDefault="001248F7" w:rsidP="00E01032">
      <w:pPr>
        <w:jc w:val="center"/>
        <w:rPr>
          <w:b/>
          <w:bCs/>
          <w:sz w:val="24"/>
          <w:szCs w:val="32"/>
        </w:rPr>
      </w:pPr>
    </w:p>
    <w:p w14:paraId="0E2B21F3" w14:textId="77777777" w:rsidR="00E01032" w:rsidRDefault="003518BE" w:rsidP="00E01032">
      <w:pPr>
        <w:jc w:val="center"/>
        <w:rPr>
          <w:b/>
          <w:bCs/>
          <w:sz w:val="32"/>
          <w:szCs w:val="32"/>
        </w:rPr>
      </w:pPr>
      <w:r w:rsidRPr="00E01032">
        <w:rPr>
          <w:b/>
          <w:bCs/>
          <w:sz w:val="32"/>
          <w:szCs w:val="32"/>
        </w:rPr>
        <w:t>ISSN</w:t>
      </w:r>
      <w:r w:rsidRPr="00E01032">
        <w:rPr>
          <w:b/>
          <w:bCs/>
          <w:spacing w:val="-15"/>
          <w:sz w:val="32"/>
          <w:szCs w:val="32"/>
        </w:rPr>
        <w:t xml:space="preserve"> </w:t>
      </w:r>
      <w:r w:rsidRPr="00E01032">
        <w:rPr>
          <w:b/>
          <w:bCs/>
          <w:sz w:val="32"/>
          <w:szCs w:val="32"/>
        </w:rPr>
        <w:t>2756-7370</w:t>
      </w:r>
      <w:r w:rsidRPr="00E01032">
        <w:rPr>
          <w:b/>
          <w:bCs/>
          <w:spacing w:val="-15"/>
          <w:sz w:val="32"/>
          <w:szCs w:val="32"/>
        </w:rPr>
        <w:t xml:space="preserve"> </w:t>
      </w:r>
      <w:r w:rsidRPr="00E01032">
        <w:rPr>
          <w:b/>
          <w:bCs/>
          <w:sz w:val="32"/>
          <w:szCs w:val="32"/>
        </w:rPr>
        <w:t xml:space="preserve">(Imprimé) </w:t>
      </w:r>
    </w:p>
    <w:p w14:paraId="02751937" w14:textId="01C56E75" w:rsidR="001248F7" w:rsidRPr="00E01032" w:rsidRDefault="003518BE" w:rsidP="00E01032">
      <w:pPr>
        <w:jc w:val="center"/>
        <w:rPr>
          <w:b/>
          <w:bCs/>
          <w:sz w:val="32"/>
          <w:szCs w:val="32"/>
        </w:rPr>
      </w:pPr>
      <w:r w:rsidRPr="00E01032">
        <w:rPr>
          <w:b/>
          <w:bCs/>
          <w:sz w:val="32"/>
          <w:szCs w:val="32"/>
        </w:rPr>
        <w:t>ISSN 2756-7575 (En ligne)</w:t>
      </w:r>
    </w:p>
    <w:p w14:paraId="61550269" w14:textId="77777777" w:rsidR="001248F7" w:rsidRPr="00E01032" w:rsidRDefault="001248F7" w:rsidP="00E01032">
      <w:pPr>
        <w:jc w:val="center"/>
        <w:rPr>
          <w:b/>
          <w:bCs/>
          <w:sz w:val="24"/>
          <w:szCs w:val="32"/>
        </w:rPr>
      </w:pPr>
    </w:p>
    <w:p w14:paraId="154A6629" w14:textId="77777777" w:rsidR="001248F7" w:rsidRPr="00E01032" w:rsidRDefault="003518BE" w:rsidP="00E01032">
      <w:pPr>
        <w:jc w:val="center"/>
        <w:rPr>
          <w:b/>
          <w:bCs/>
          <w:sz w:val="24"/>
          <w:szCs w:val="32"/>
        </w:rPr>
      </w:pPr>
      <w:r w:rsidRPr="00E01032">
        <w:rPr>
          <w:b/>
          <w:bCs/>
          <w:sz w:val="24"/>
          <w:szCs w:val="32"/>
        </w:rPr>
        <w:t>----------</w:t>
      </w:r>
      <w:r w:rsidRPr="00E01032">
        <w:rPr>
          <w:b/>
          <w:bCs/>
          <w:spacing w:val="-10"/>
          <w:sz w:val="24"/>
          <w:szCs w:val="32"/>
        </w:rPr>
        <w:t>-</w:t>
      </w:r>
    </w:p>
    <w:p w14:paraId="623DF3EE" w14:textId="77777777" w:rsidR="001248F7" w:rsidRDefault="001248F7">
      <w:pPr>
        <w:pStyle w:val="Corpsdetexte"/>
        <w:spacing w:before="72"/>
        <w:ind w:left="0"/>
        <w:jc w:val="left"/>
        <w:rPr>
          <w:b/>
          <w:sz w:val="18"/>
        </w:rPr>
      </w:pPr>
    </w:p>
    <w:p w14:paraId="7DC3E4C6" w14:textId="77777777" w:rsidR="001248F7" w:rsidRPr="00E01032" w:rsidRDefault="003518BE" w:rsidP="00E01032">
      <w:pPr>
        <w:jc w:val="center"/>
        <w:rPr>
          <w:b/>
          <w:bCs/>
        </w:rPr>
      </w:pPr>
      <w:r w:rsidRPr="00E01032">
        <w:rPr>
          <w:b/>
          <w:bCs/>
        </w:rPr>
        <w:t>Site</w:t>
      </w:r>
      <w:r w:rsidRPr="00E01032">
        <w:rPr>
          <w:b/>
          <w:bCs/>
          <w:spacing w:val="-3"/>
        </w:rPr>
        <w:t xml:space="preserve"> </w:t>
      </w:r>
      <w:r w:rsidRPr="00E01032">
        <w:rPr>
          <w:b/>
          <w:bCs/>
        </w:rPr>
        <w:t>web</w:t>
      </w:r>
      <w:r w:rsidRPr="00E01032">
        <w:rPr>
          <w:b/>
          <w:bCs/>
          <w:spacing w:val="-1"/>
        </w:rPr>
        <w:t xml:space="preserve"> </w:t>
      </w:r>
      <w:r w:rsidRPr="00E01032">
        <w:rPr>
          <w:b/>
          <w:bCs/>
        </w:rPr>
        <w:t>et</w:t>
      </w:r>
      <w:r w:rsidRPr="00E01032">
        <w:rPr>
          <w:b/>
          <w:bCs/>
          <w:spacing w:val="-2"/>
        </w:rPr>
        <w:t xml:space="preserve"> </w:t>
      </w:r>
      <w:r w:rsidRPr="00E01032">
        <w:rPr>
          <w:b/>
          <w:bCs/>
        </w:rPr>
        <w:t xml:space="preserve">Indexation </w:t>
      </w:r>
      <w:r w:rsidRPr="00E01032">
        <w:rPr>
          <w:b/>
          <w:bCs/>
          <w:spacing w:val="-2"/>
        </w:rPr>
        <w:t>internationale</w:t>
      </w:r>
    </w:p>
    <w:p w14:paraId="5F2C6EAC" w14:textId="77777777" w:rsidR="001248F7" w:rsidRDefault="001248F7">
      <w:pPr>
        <w:pStyle w:val="Corpsdetexte"/>
        <w:spacing w:before="48"/>
        <w:ind w:left="0"/>
        <w:jc w:val="left"/>
        <w:rPr>
          <w:b/>
          <w:sz w:val="20"/>
        </w:rPr>
      </w:pPr>
    </w:p>
    <w:tbl>
      <w:tblPr>
        <w:tblStyle w:val="TableNormal"/>
        <w:tblW w:w="0" w:type="auto"/>
        <w:tblInd w:w="525" w:type="dxa"/>
        <w:tblLayout w:type="fixed"/>
        <w:tblLook w:val="01E0" w:firstRow="1" w:lastRow="1" w:firstColumn="1" w:lastColumn="1" w:noHBand="0" w:noVBand="0"/>
      </w:tblPr>
      <w:tblGrid>
        <w:gridCol w:w="3506"/>
        <w:gridCol w:w="4992"/>
      </w:tblGrid>
      <w:tr w:rsidR="001248F7" w14:paraId="064420CE" w14:textId="77777777">
        <w:trPr>
          <w:trHeight w:val="1391"/>
        </w:trPr>
        <w:tc>
          <w:tcPr>
            <w:tcW w:w="3506" w:type="dxa"/>
          </w:tcPr>
          <w:p w14:paraId="469EA84E" w14:textId="77777777" w:rsidR="001248F7" w:rsidRDefault="003518BE">
            <w:pPr>
              <w:pStyle w:val="TableParagraph"/>
              <w:ind w:left="50"/>
              <w:rPr>
                <w:sz w:val="20"/>
              </w:rPr>
            </w:pPr>
            <w:r>
              <w:rPr>
                <w:noProof/>
                <w:sz w:val="20"/>
                <w:lang w:eastAsia="fr-FR"/>
              </w:rPr>
              <w:drawing>
                <wp:inline distT="0" distB="0" distL="0" distR="0" wp14:anchorId="742D1213" wp14:editId="001B61AF">
                  <wp:extent cx="1732739" cy="7143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732739" cy="714375"/>
                          </a:xfrm>
                          <a:prstGeom prst="rect">
                            <a:avLst/>
                          </a:prstGeom>
                        </pic:spPr>
                      </pic:pic>
                    </a:graphicData>
                  </a:graphic>
                </wp:inline>
              </w:drawing>
            </w:r>
          </w:p>
        </w:tc>
        <w:tc>
          <w:tcPr>
            <w:tcW w:w="4992" w:type="dxa"/>
          </w:tcPr>
          <w:p w14:paraId="4FABA0C9" w14:textId="77777777" w:rsidR="001248F7" w:rsidRDefault="003518BE">
            <w:pPr>
              <w:pStyle w:val="TableParagraph"/>
              <w:spacing w:before="2" w:line="550" w:lineRule="atLeast"/>
              <w:ind w:left="925" w:right="48" w:firstLine="494"/>
              <w:rPr>
                <w:sz w:val="24"/>
              </w:rPr>
            </w:pPr>
            <w:hyperlink r:id="rId20">
              <w:r>
                <w:rPr>
                  <w:color w:val="0462C1"/>
                  <w:spacing w:val="-2"/>
                  <w:sz w:val="24"/>
                  <w:u w:val="single" w:color="0462C1"/>
                </w:rPr>
                <w:t>http://esjindex.org/index.php</w:t>
              </w:r>
            </w:hyperlink>
            <w:r>
              <w:rPr>
                <w:color w:val="0462C1"/>
                <w:spacing w:val="-2"/>
                <w:sz w:val="24"/>
              </w:rPr>
              <w:t xml:space="preserve"> </w:t>
            </w:r>
            <w:hyperlink r:id="rId21">
              <w:r>
                <w:rPr>
                  <w:color w:val="0462C1"/>
                  <w:spacing w:val="-2"/>
                  <w:sz w:val="24"/>
                  <w:u w:val="single" w:color="0462C1"/>
                </w:rPr>
                <w:t>http://esjindex.org/search.php?id=6997</w:t>
              </w:r>
            </w:hyperlink>
          </w:p>
        </w:tc>
      </w:tr>
      <w:tr w:rsidR="001248F7" w14:paraId="0C092B4B" w14:textId="77777777">
        <w:trPr>
          <w:trHeight w:val="1560"/>
        </w:trPr>
        <w:tc>
          <w:tcPr>
            <w:tcW w:w="3506" w:type="dxa"/>
          </w:tcPr>
          <w:p w14:paraId="7EAB33E2" w14:textId="77777777" w:rsidR="001248F7" w:rsidRDefault="001248F7">
            <w:pPr>
              <w:pStyle w:val="TableParagraph"/>
              <w:spacing w:before="34"/>
              <w:rPr>
                <w:b/>
                <w:sz w:val="20"/>
              </w:rPr>
            </w:pPr>
          </w:p>
          <w:p w14:paraId="08F25606" w14:textId="77777777" w:rsidR="001248F7" w:rsidRDefault="003518BE">
            <w:pPr>
              <w:pStyle w:val="TableParagraph"/>
              <w:ind w:left="269"/>
              <w:rPr>
                <w:sz w:val="20"/>
              </w:rPr>
            </w:pPr>
            <w:r>
              <w:rPr>
                <w:noProof/>
                <w:sz w:val="20"/>
                <w:lang w:eastAsia="fr-FR"/>
              </w:rPr>
              <w:drawing>
                <wp:inline distT="0" distB="0" distL="0" distR="0" wp14:anchorId="357F36F0" wp14:editId="6C6B7026">
                  <wp:extent cx="1475519" cy="82296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1475519" cy="822960"/>
                          </a:xfrm>
                          <a:prstGeom prst="rect">
                            <a:avLst/>
                          </a:prstGeom>
                        </pic:spPr>
                      </pic:pic>
                    </a:graphicData>
                  </a:graphic>
                </wp:inline>
              </w:drawing>
            </w:r>
          </w:p>
        </w:tc>
        <w:tc>
          <w:tcPr>
            <w:tcW w:w="4992" w:type="dxa"/>
          </w:tcPr>
          <w:p w14:paraId="53DACD77" w14:textId="77777777" w:rsidR="001248F7" w:rsidRDefault="003518BE">
            <w:pPr>
              <w:pStyle w:val="TableParagraph"/>
              <w:spacing w:before="266" w:line="550" w:lineRule="atLeast"/>
              <w:ind w:left="670" w:right="48" w:firstLine="833"/>
              <w:rPr>
                <w:sz w:val="24"/>
              </w:rPr>
            </w:pPr>
            <w:hyperlink r:id="rId23">
              <w:r>
                <w:rPr>
                  <w:color w:val="0462C1"/>
                  <w:spacing w:val="-2"/>
                  <w:sz w:val="24"/>
                  <w:u w:val="single" w:color="0462C1"/>
                </w:rPr>
                <w:t>https://reseau-mirabel.info/</w:t>
              </w:r>
            </w:hyperlink>
            <w:r>
              <w:rPr>
                <w:color w:val="0462C1"/>
                <w:spacing w:val="-2"/>
                <w:sz w:val="24"/>
              </w:rPr>
              <w:t xml:space="preserve"> </w:t>
            </w:r>
            <w:hyperlink r:id="rId24">
              <w:r>
                <w:rPr>
                  <w:color w:val="0462C1"/>
                  <w:spacing w:val="-2"/>
                  <w:sz w:val="24"/>
                  <w:u w:val="single" w:color="0462C1"/>
                </w:rPr>
                <w:t>http://www.revue-rasef.org/accueil_026.htm</w:t>
              </w:r>
            </w:hyperlink>
          </w:p>
        </w:tc>
      </w:tr>
    </w:tbl>
    <w:p w14:paraId="56CEA6A6" w14:textId="77777777" w:rsidR="001248F7" w:rsidRDefault="001248F7">
      <w:pPr>
        <w:pStyle w:val="Corpsdetexte"/>
        <w:spacing w:before="6"/>
        <w:ind w:left="0"/>
        <w:jc w:val="left"/>
        <w:rPr>
          <w:b/>
        </w:rPr>
      </w:pPr>
    </w:p>
    <w:p w14:paraId="50DC164E" w14:textId="77777777" w:rsidR="001248F7" w:rsidRDefault="003518BE">
      <w:pPr>
        <w:spacing w:before="1"/>
        <w:ind w:left="387" w:right="102"/>
        <w:jc w:val="center"/>
        <w:rPr>
          <w:b/>
          <w:sz w:val="18"/>
        </w:rPr>
      </w:pPr>
      <w:r>
        <w:rPr>
          <w:b/>
          <w:sz w:val="18"/>
        </w:rPr>
        <w:t>----------</w:t>
      </w:r>
      <w:r>
        <w:rPr>
          <w:b/>
          <w:spacing w:val="-10"/>
          <w:sz w:val="18"/>
        </w:rPr>
        <w:t>-</w:t>
      </w:r>
    </w:p>
    <w:p w14:paraId="26508CAC" w14:textId="77777777" w:rsidR="001248F7" w:rsidRDefault="001248F7">
      <w:pPr>
        <w:pStyle w:val="Corpsdetexte"/>
        <w:spacing w:before="73"/>
        <w:ind w:left="0"/>
        <w:jc w:val="left"/>
        <w:rPr>
          <w:b/>
          <w:sz w:val="18"/>
        </w:rPr>
      </w:pPr>
    </w:p>
    <w:p w14:paraId="7B317042" w14:textId="77777777" w:rsidR="001248F7" w:rsidRDefault="003518BE">
      <w:pPr>
        <w:ind w:left="385" w:right="102"/>
        <w:jc w:val="center"/>
        <w:rPr>
          <w:b/>
          <w:sz w:val="36"/>
        </w:rPr>
      </w:pPr>
      <w:r>
        <w:rPr>
          <w:b/>
          <w:sz w:val="36"/>
        </w:rPr>
        <w:t>Revue</w:t>
      </w:r>
      <w:r>
        <w:rPr>
          <w:b/>
          <w:spacing w:val="-4"/>
          <w:sz w:val="36"/>
        </w:rPr>
        <w:t xml:space="preserve"> </w:t>
      </w:r>
      <w:r>
        <w:rPr>
          <w:b/>
          <w:sz w:val="36"/>
        </w:rPr>
        <w:t>semestrielle</w:t>
      </w:r>
      <w:r>
        <w:rPr>
          <w:b/>
          <w:spacing w:val="-5"/>
          <w:sz w:val="36"/>
        </w:rPr>
        <w:t xml:space="preserve"> </w:t>
      </w:r>
      <w:r>
        <w:rPr>
          <w:b/>
          <w:sz w:val="36"/>
        </w:rPr>
        <w:t>publiée</w:t>
      </w:r>
      <w:r>
        <w:rPr>
          <w:b/>
          <w:spacing w:val="-6"/>
          <w:sz w:val="36"/>
        </w:rPr>
        <w:t xml:space="preserve"> </w:t>
      </w:r>
      <w:r>
        <w:rPr>
          <w:b/>
          <w:sz w:val="36"/>
        </w:rPr>
        <w:t>par</w:t>
      </w:r>
      <w:r>
        <w:rPr>
          <w:b/>
          <w:spacing w:val="-7"/>
          <w:sz w:val="36"/>
        </w:rPr>
        <w:t xml:space="preserve"> </w:t>
      </w:r>
      <w:r>
        <w:rPr>
          <w:b/>
          <w:sz w:val="36"/>
        </w:rPr>
        <w:t>le</w:t>
      </w:r>
      <w:r>
        <w:rPr>
          <w:b/>
          <w:spacing w:val="-4"/>
          <w:sz w:val="36"/>
        </w:rPr>
        <w:t xml:space="preserve"> </w:t>
      </w:r>
      <w:r>
        <w:rPr>
          <w:b/>
          <w:sz w:val="36"/>
        </w:rPr>
        <w:t>Réseau</w:t>
      </w:r>
      <w:r>
        <w:rPr>
          <w:b/>
          <w:spacing w:val="-5"/>
          <w:sz w:val="36"/>
        </w:rPr>
        <w:t xml:space="preserve"> </w:t>
      </w:r>
      <w:r>
        <w:rPr>
          <w:b/>
          <w:sz w:val="36"/>
        </w:rPr>
        <w:t>Africain</w:t>
      </w:r>
      <w:r>
        <w:rPr>
          <w:b/>
          <w:spacing w:val="-5"/>
          <w:sz w:val="36"/>
        </w:rPr>
        <w:t xml:space="preserve"> </w:t>
      </w:r>
      <w:r>
        <w:rPr>
          <w:b/>
          <w:sz w:val="36"/>
        </w:rPr>
        <w:t>des Chercheurs et Enseignants-Chercheurs en</w:t>
      </w:r>
    </w:p>
    <w:p w14:paraId="32AC82A6" w14:textId="77777777" w:rsidR="001248F7" w:rsidRDefault="003518BE">
      <w:pPr>
        <w:ind w:left="382" w:right="103"/>
        <w:jc w:val="center"/>
        <w:rPr>
          <w:b/>
          <w:sz w:val="36"/>
        </w:rPr>
      </w:pPr>
      <w:r>
        <w:rPr>
          <w:b/>
          <w:sz w:val="36"/>
        </w:rPr>
        <w:t>Sciences</w:t>
      </w:r>
      <w:r>
        <w:rPr>
          <w:b/>
          <w:spacing w:val="-3"/>
          <w:sz w:val="36"/>
        </w:rPr>
        <w:t xml:space="preserve"> </w:t>
      </w:r>
      <w:r>
        <w:rPr>
          <w:b/>
          <w:sz w:val="36"/>
        </w:rPr>
        <w:t>de</w:t>
      </w:r>
      <w:r>
        <w:rPr>
          <w:b/>
          <w:spacing w:val="-5"/>
          <w:sz w:val="36"/>
        </w:rPr>
        <w:t xml:space="preserve"> </w:t>
      </w:r>
      <w:r>
        <w:rPr>
          <w:b/>
          <w:sz w:val="36"/>
        </w:rPr>
        <w:t>l’Éducation</w:t>
      </w:r>
      <w:r>
        <w:rPr>
          <w:b/>
          <w:spacing w:val="-3"/>
          <w:sz w:val="36"/>
        </w:rPr>
        <w:t xml:space="preserve"> </w:t>
      </w:r>
      <w:r>
        <w:rPr>
          <w:b/>
          <w:spacing w:val="-2"/>
          <w:sz w:val="36"/>
        </w:rPr>
        <w:t>(RACESE)</w:t>
      </w:r>
    </w:p>
    <w:p w14:paraId="1F1CD8B9" w14:textId="77777777" w:rsidR="001248F7" w:rsidRDefault="001248F7">
      <w:pPr>
        <w:pStyle w:val="Corpsdetexte"/>
        <w:spacing w:before="73"/>
        <w:ind w:left="0"/>
        <w:jc w:val="left"/>
        <w:rPr>
          <w:b/>
          <w:sz w:val="18"/>
        </w:rPr>
      </w:pPr>
    </w:p>
    <w:p w14:paraId="30B2F073" w14:textId="77777777" w:rsidR="001248F7" w:rsidRDefault="003518BE">
      <w:pPr>
        <w:ind w:left="387" w:right="102"/>
        <w:jc w:val="center"/>
        <w:rPr>
          <w:b/>
          <w:sz w:val="18"/>
        </w:rPr>
      </w:pPr>
      <w:r>
        <w:rPr>
          <w:b/>
          <w:sz w:val="18"/>
        </w:rPr>
        <w:t>----------</w:t>
      </w:r>
      <w:r>
        <w:rPr>
          <w:b/>
          <w:spacing w:val="-10"/>
          <w:sz w:val="18"/>
        </w:rPr>
        <w:t>-</w:t>
      </w:r>
    </w:p>
    <w:p w14:paraId="5BBF2AF1" w14:textId="77777777" w:rsidR="001248F7" w:rsidRDefault="001248F7">
      <w:pPr>
        <w:pStyle w:val="Corpsdetexte"/>
        <w:spacing w:before="72"/>
        <w:ind w:left="0"/>
        <w:jc w:val="left"/>
        <w:rPr>
          <w:b/>
          <w:sz w:val="18"/>
        </w:rPr>
      </w:pPr>
    </w:p>
    <w:p w14:paraId="4FDF3E1C" w14:textId="77777777" w:rsidR="001248F7" w:rsidRDefault="003518BE">
      <w:pPr>
        <w:ind w:left="4059" w:right="289" w:hanging="1715"/>
        <w:rPr>
          <w:b/>
          <w:sz w:val="36"/>
        </w:rPr>
      </w:pPr>
      <w:r>
        <w:rPr>
          <w:b/>
          <w:sz w:val="36"/>
        </w:rPr>
        <w:t>Domiciliée</w:t>
      </w:r>
      <w:r>
        <w:rPr>
          <w:b/>
          <w:spacing w:val="-9"/>
          <w:sz w:val="36"/>
        </w:rPr>
        <w:t xml:space="preserve"> </w:t>
      </w:r>
      <w:r>
        <w:rPr>
          <w:b/>
          <w:sz w:val="36"/>
        </w:rPr>
        <w:t>à</w:t>
      </w:r>
      <w:r>
        <w:rPr>
          <w:b/>
          <w:spacing w:val="-9"/>
          <w:sz w:val="36"/>
        </w:rPr>
        <w:t xml:space="preserve"> </w:t>
      </w:r>
      <w:r>
        <w:rPr>
          <w:b/>
          <w:sz w:val="36"/>
        </w:rPr>
        <w:t>l’</w:t>
      </w:r>
      <w:r>
        <w:rPr>
          <w:rFonts w:ascii="Palatino Linotype" w:hAnsi="Palatino Linotype"/>
          <w:b/>
          <w:sz w:val="36"/>
        </w:rPr>
        <w:t>É</w:t>
      </w:r>
      <w:r>
        <w:rPr>
          <w:b/>
          <w:sz w:val="36"/>
        </w:rPr>
        <w:t>cole</w:t>
      </w:r>
      <w:r>
        <w:rPr>
          <w:b/>
          <w:spacing w:val="-10"/>
          <w:sz w:val="36"/>
        </w:rPr>
        <w:t xml:space="preserve"> </w:t>
      </w:r>
      <w:r>
        <w:rPr>
          <w:b/>
          <w:sz w:val="36"/>
        </w:rPr>
        <w:t>Normale</w:t>
      </w:r>
      <w:r>
        <w:rPr>
          <w:b/>
          <w:spacing w:val="-10"/>
          <w:sz w:val="36"/>
        </w:rPr>
        <w:t xml:space="preserve"> </w:t>
      </w:r>
      <w:r w:rsidR="00CD0F7C">
        <w:rPr>
          <w:b/>
          <w:sz w:val="36"/>
        </w:rPr>
        <w:t>Supérieure</w:t>
      </w:r>
      <w:r>
        <w:rPr>
          <w:b/>
          <w:sz w:val="36"/>
        </w:rPr>
        <w:t>, Burkina Faso</w:t>
      </w:r>
    </w:p>
    <w:p w14:paraId="425E9ADA" w14:textId="77777777" w:rsidR="001248F7" w:rsidRDefault="001248F7">
      <w:pPr>
        <w:pStyle w:val="Corpsdetexte"/>
        <w:spacing w:before="75"/>
        <w:ind w:left="0"/>
        <w:jc w:val="left"/>
        <w:rPr>
          <w:b/>
          <w:sz w:val="18"/>
        </w:rPr>
      </w:pPr>
    </w:p>
    <w:p w14:paraId="42677F80" w14:textId="77777777" w:rsidR="001248F7" w:rsidRPr="00E01032" w:rsidRDefault="003518BE">
      <w:pPr>
        <w:ind w:left="387" w:right="102"/>
        <w:jc w:val="center"/>
        <w:rPr>
          <w:b/>
          <w:sz w:val="18"/>
          <w:lang w:val="pt-PT"/>
        </w:rPr>
      </w:pPr>
      <w:r w:rsidRPr="00E01032">
        <w:rPr>
          <w:b/>
          <w:sz w:val="18"/>
          <w:lang w:val="pt-PT"/>
        </w:rPr>
        <w:t>----------</w:t>
      </w:r>
      <w:r w:rsidRPr="00E01032">
        <w:rPr>
          <w:b/>
          <w:spacing w:val="-10"/>
          <w:sz w:val="18"/>
          <w:lang w:val="pt-PT"/>
        </w:rPr>
        <w:t>-</w:t>
      </w:r>
    </w:p>
    <w:p w14:paraId="17933755" w14:textId="77777777" w:rsidR="001248F7" w:rsidRPr="00E01032" w:rsidRDefault="001248F7">
      <w:pPr>
        <w:pStyle w:val="Corpsdetexte"/>
        <w:spacing w:before="74"/>
        <w:ind w:left="0"/>
        <w:jc w:val="left"/>
        <w:rPr>
          <w:b/>
          <w:sz w:val="18"/>
          <w:lang w:val="pt-PT"/>
        </w:rPr>
      </w:pPr>
    </w:p>
    <w:p w14:paraId="05BE6597" w14:textId="77777777" w:rsidR="001248F7" w:rsidRPr="00E01032" w:rsidRDefault="003518BE" w:rsidP="00E01032">
      <w:pPr>
        <w:jc w:val="center"/>
        <w:rPr>
          <w:b/>
          <w:sz w:val="28"/>
          <w:szCs w:val="28"/>
          <w:lang w:val="pt-PT"/>
        </w:rPr>
      </w:pPr>
      <w:r w:rsidRPr="00E01032">
        <w:rPr>
          <w:b/>
          <w:sz w:val="28"/>
          <w:szCs w:val="28"/>
          <w:lang w:val="pt-PT"/>
        </w:rPr>
        <w:t>01</w:t>
      </w:r>
      <w:r w:rsidRPr="00E01032">
        <w:rPr>
          <w:b/>
          <w:spacing w:val="-5"/>
          <w:sz w:val="28"/>
          <w:szCs w:val="28"/>
          <w:lang w:val="pt-PT"/>
        </w:rPr>
        <w:t xml:space="preserve"> </w:t>
      </w:r>
      <w:r w:rsidRPr="00E01032">
        <w:rPr>
          <w:b/>
          <w:sz w:val="28"/>
          <w:szCs w:val="28"/>
          <w:lang w:val="pt-PT"/>
        </w:rPr>
        <w:t>BP</w:t>
      </w:r>
      <w:r w:rsidRPr="00E01032">
        <w:rPr>
          <w:b/>
          <w:spacing w:val="-5"/>
          <w:sz w:val="28"/>
          <w:szCs w:val="28"/>
          <w:lang w:val="pt-PT"/>
        </w:rPr>
        <w:t xml:space="preserve"> </w:t>
      </w:r>
      <w:r w:rsidRPr="00E01032">
        <w:rPr>
          <w:b/>
          <w:sz w:val="28"/>
          <w:szCs w:val="28"/>
          <w:lang w:val="pt-PT"/>
        </w:rPr>
        <w:t>1479</w:t>
      </w:r>
      <w:r w:rsidRPr="00E01032">
        <w:rPr>
          <w:b/>
          <w:spacing w:val="-4"/>
          <w:sz w:val="28"/>
          <w:szCs w:val="28"/>
          <w:lang w:val="pt-PT"/>
        </w:rPr>
        <w:t xml:space="preserve"> </w:t>
      </w:r>
      <w:r w:rsidRPr="00E01032">
        <w:rPr>
          <w:b/>
          <w:sz w:val="28"/>
          <w:szCs w:val="28"/>
          <w:lang w:val="pt-PT"/>
        </w:rPr>
        <w:t>Ouaga</w:t>
      </w:r>
      <w:r w:rsidRPr="00E01032">
        <w:rPr>
          <w:b/>
          <w:spacing w:val="-4"/>
          <w:sz w:val="28"/>
          <w:szCs w:val="28"/>
          <w:lang w:val="pt-PT"/>
        </w:rPr>
        <w:t xml:space="preserve"> </w:t>
      </w:r>
      <w:r w:rsidRPr="00E01032">
        <w:rPr>
          <w:b/>
          <w:spacing w:val="-5"/>
          <w:sz w:val="28"/>
          <w:szCs w:val="28"/>
          <w:lang w:val="pt-PT"/>
        </w:rPr>
        <w:t>01</w:t>
      </w:r>
    </w:p>
    <w:p w14:paraId="4573FF8A" w14:textId="77777777" w:rsidR="00E01032" w:rsidRPr="00E01032" w:rsidRDefault="003518BE" w:rsidP="00E01032">
      <w:pPr>
        <w:jc w:val="center"/>
        <w:rPr>
          <w:b/>
          <w:color w:val="0462C1"/>
          <w:spacing w:val="-2"/>
          <w:sz w:val="28"/>
          <w:szCs w:val="28"/>
          <w:lang w:val="pt-PT"/>
        </w:rPr>
      </w:pPr>
      <w:r w:rsidRPr="00E01032">
        <w:rPr>
          <w:b/>
          <w:spacing w:val="-2"/>
          <w:sz w:val="28"/>
          <w:szCs w:val="28"/>
          <w:lang w:val="pt-PT"/>
        </w:rPr>
        <w:t>Site:</w:t>
      </w:r>
      <w:hyperlink r:id="rId25">
        <w:r w:rsidRPr="00E01032">
          <w:rPr>
            <w:b/>
            <w:color w:val="0462C1"/>
            <w:spacing w:val="-2"/>
            <w:sz w:val="28"/>
            <w:szCs w:val="28"/>
            <w:u w:val="single" w:color="0462C1"/>
            <w:lang w:val="pt-PT"/>
          </w:rPr>
          <w:t>www.revue-rasef.org</w:t>
        </w:r>
      </w:hyperlink>
      <w:r w:rsidRPr="00E01032">
        <w:rPr>
          <w:b/>
          <w:color w:val="0462C1"/>
          <w:spacing w:val="-2"/>
          <w:sz w:val="28"/>
          <w:szCs w:val="28"/>
          <w:lang w:val="pt-PT"/>
        </w:rPr>
        <w:t xml:space="preserve"> </w:t>
      </w:r>
    </w:p>
    <w:p w14:paraId="744BFDB0" w14:textId="7F60F3C0" w:rsidR="001248F7" w:rsidRPr="00B06AA1" w:rsidRDefault="003518BE" w:rsidP="00E01032">
      <w:pPr>
        <w:jc w:val="center"/>
        <w:rPr>
          <w:b/>
          <w:sz w:val="28"/>
          <w:szCs w:val="28"/>
        </w:rPr>
      </w:pPr>
      <w:proofErr w:type="gramStart"/>
      <w:r w:rsidRPr="00B06AA1">
        <w:rPr>
          <w:b/>
          <w:sz w:val="28"/>
          <w:szCs w:val="28"/>
        </w:rPr>
        <w:t>Email:</w:t>
      </w:r>
      <w:proofErr w:type="gramEnd"/>
      <w:r w:rsidRPr="00B06AA1">
        <w:rPr>
          <w:b/>
          <w:spacing w:val="-18"/>
          <w:sz w:val="28"/>
          <w:szCs w:val="28"/>
        </w:rPr>
        <w:t xml:space="preserve"> </w:t>
      </w:r>
      <w:hyperlink r:id="rId26">
        <w:r w:rsidRPr="00B06AA1">
          <w:rPr>
            <w:b/>
            <w:color w:val="0462C1"/>
            <w:sz w:val="28"/>
            <w:szCs w:val="28"/>
            <w:u w:val="single" w:color="0462C1"/>
          </w:rPr>
          <w:t>revueracese@gmail.com</w:t>
        </w:r>
      </w:hyperlink>
    </w:p>
    <w:p w14:paraId="22502CBE" w14:textId="77777777" w:rsidR="001248F7" w:rsidRPr="00B06AA1" w:rsidRDefault="001248F7">
      <w:pPr>
        <w:pStyle w:val="Corpsdetexte"/>
        <w:spacing w:before="72"/>
        <w:ind w:left="0"/>
        <w:jc w:val="left"/>
        <w:rPr>
          <w:b/>
          <w:sz w:val="18"/>
        </w:rPr>
      </w:pPr>
    </w:p>
    <w:p w14:paraId="78D14CC3" w14:textId="77777777" w:rsidR="001248F7" w:rsidRDefault="003518BE">
      <w:pPr>
        <w:ind w:left="387" w:right="102"/>
        <w:jc w:val="center"/>
        <w:rPr>
          <w:b/>
          <w:sz w:val="18"/>
        </w:rPr>
      </w:pPr>
      <w:r>
        <w:rPr>
          <w:b/>
          <w:sz w:val="18"/>
        </w:rPr>
        <w:t>----------</w:t>
      </w:r>
      <w:r>
        <w:rPr>
          <w:b/>
          <w:spacing w:val="-10"/>
          <w:sz w:val="18"/>
        </w:rPr>
        <w:t>-</w:t>
      </w:r>
    </w:p>
    <w:p w14:paraId="107AC995" w14:textId="77777777" w:rsidR="001248F7" w:rsidRDefault="001248F7">
      <w:pPr>
        <w:pStyle w:val="Corpsdetexte"/>
        <w:spacing w:before="74"/>
        <w:ind w:left="0"/>
        <w:jc w:val="left"/>
        <w:rPr>
          <w:b/>
          <w:sz w:val="18"/>
        </w:rPr>
      </w:pPr>
    </w:p>
    <w:p w14:paraId="51940C9B" w14:textId="67346C6C" w:rsidR="001248F7" w:rsidRPr="00E01032" w:rsidRDefault="003518BE" w:rsidP="00E01032">
      <w:pPr>
        <w:jc w:val="center"/>
        <w:rPr>
          <w:b/>
          <w:bCs/>
        </w:rPr>
      </w:pPr>
      <w:r w:rsidRPr="00E01032">
        <w:rPr>
          <w:b/>
          <w:bCs/>
        </w:rPr>
        <w:t>Numéro</w:t>
      </w:r>
      <w:r w:rsidRPr="00E01032">
        <w:rPr>
          <w:b/>
          <w:bCs/>
          <w:spacing w:val="-3"/>
        </w:rPr>
        <w:t xml:space="preserve"> </w:t>
      </w:r>
      <w:r w:rsidRPr="00E01032">
        <w:rPr>
          <w:b/>
          <w:bCs/>
        </w:rPr>
        <w:t>du</w:t>
      </w:r>
      <w:r w:rsidRPr="00E01032">
        <w:rPr>
          <w:b/>
          <w:bCs/>
          <w:spacing w:val="-4"/>
        </w:rPr>
        <w:t xml:space="preserve"> </w:t>
      </w:r>
      <w:r w:rsidRPr="00E01032">
        <w:rPr>
          <w:b/>
          <w:bCs/>
        </w:rPr>
        <w:t>dépôt</w:t>
      </w:r>
      <w:r w:rsidRPr="00E01032">
        <w:rPr>
          <w:b/>
          <w:bCs/>
          <w:spacing w:val="-2"/>
        </w:rPr>
        <w:t xml:space="preserve"> </w:t>
      </w:r>
      <w:r w:rsidRPr="00E01032">
        <w:rPr>
          <w:b/>
          <w:bCs/>
        </w:rPr>
        <w:t>légal</w:t>
      </w:r>
      <w:r w:rsidRPr="00E01032">
        <w:rPr>
          <w:b/>
          <w:bCs/>
          <w:spacing w:val="-2"/>
        </w:rPr>
        <w:t xml:space="preserve"> </w:t>
      </w:r>
      <w:r w:rsidRPr="00E01032">
        <w:rPr>
          <w:b/>
          <w:bCs/>
        </w:rPr>
        <w:t>:</w:t>
      </w:r>
      <w:r w:rsidRPr="00E01032">
        <w:rPr>
          <w:b/>
          <w:bCs/>
          <w:spacing w:val="-4"/>
        </w:rPr>
        <w:t xml:space="preserve"> </w:t>
      </w:r>
      <w:r w:rsidRPr="00E01032">
        <w:rPr>
          <w:b/>
          <w:bCs/>
        </w:rPr>
        <w:t>22-559</w:t>
      </w:r>
      <w:r w:rsidRPr="00E01032">
        <w:rPr>
          <w:b/>
          <w:bCs/>
          <w:spacing w:val="-3"/>
        </w:rPr>
        <w:t xml:space="preserve"> </w:t>
      </w:r>
      <w:r w:rsidR="00E01032" w:rsidRPr="00E01032">
        <w:rPr>
          <w:b/>
          <w:bCs/>
        </w:rPr>
        <w:t>du</w:t>
      </w:r>
      <w:r w:rsidR="00E01032" w:rsidRPr="00E01032">
        <w:rPr>
          <w:b/>
          <w:bCs/>
          <w:spacing w:val="-6"/>
        </w:rPr>
        <w:t xml:space="preserve"> </w:t>
      </w:r>
      <w:r w:rsidR="00E01032" w:rsidRPr="004F3C88">
        <w:rPr>
          <w:b/>
          <w:bCs/>
          <w:spacing w:val="-2"/>
        </w:rPr>
        <w:t xml:space="preserve">20 </w:t>
      </w:r>
      <w:r w:rsidR="00D80693" w:rsidRPr="004F3C88">
        <w:rPr>
          <w:b/>
          <w:bCs/>
          <w:spacing w:val="-2"/>
        </w:rPr>
        <w:t>Janvier</w:t>
      </w:r>
      <w:r w:rsidR="00E01032" w:rsidRPr="004F3C88">
        <w:rPr>
          <w:b/>
          <w:bCs/>
          <w:spacing w:val="-2"/>
        </w:rPr>
        <w:t xml:space="preserve"> </w:t>
      </w:r>
      <w:r w:rsidRPr="004F3C88">
        <w:rPr>
          <w:b/>
          <w:bCs/>
          <w:spacing w:val="-2"/>
        </w:rPr>
        <w:t>202</w:t>
      </w:r>
      <w:r w:rsidR="00D80693" w:rsidRPr="004F3C88">
        <w:rPr>
          <w:b/>
          <w:bCs/>
          <w:spacing w:val="-2"/>
        </w:rPr>
        <w:t>6</w:t>
      </w:r>
    </w:p>
    <w:p w14:paraId="37B467FB" w14:textId="77777777" w:rsidR="001248F7" w:rsidRDefault="001248F7" w:rsidP="00E01032">
      <w:pPr>
        <w:jc w:val="center"/>
        <w:sectPr w:rsidR="001248F7">
          <w:headerReference w:type="default" r:id="rId27"/>
          <w:footerReference w:type="default" r:id="rId28"/>
          <w:footnotePr>
            <w:numRestart w:val="eachPage"/>
          </w:footnotePr>
          <w:pgSz w:w="11910" w:h="16840"/>
          <w:pgMar w:top="1080" w:right="1133" w:bottom="2060" w:left="850" w:header="847" w:footer="1865" w:gutter="0"/>
          <w:pgNumType w:start="2"/>
          <w:cols w:space="720"/>
        </w:sectPr>
      </w:pPr>
    </w:p>
    <w:p w14:paraId="1F05E193" w14:textId="77777777" w:rsidR="001248F7" w:rsidRDefault="001248F7">
      <w:pPr>
        <w:pStyle w:val="Corpsdetexte"/>
        <w:spacing w:before="169"/>
        <w:ind w:left="0"/>
        <w:jc w:val="left"/>
        <w:rPr>
          <w:b/>
        </w:rPr>
      </w:pPr>
    </w:p>
    <w:p w14:paraId="3FAB92A1" w14:textId="77777777" w:rsidR="001248F7" w:rsidRPr="00E01032" w:rsidRDefault="003518BE" w:rsidP="00E01032">
      <w:pPr>
        <w:jc w:val="center"/>
        <w:rPr>
          <w:b/>
          <w:bCs/>
        </w:rPr>
      </w:pPr>
      <w:r w:rsidRPr="00E01032">
        <w:rPr>
          <w:b/>
          <w:bCs/>
        </w:rPr>
        <w:t>DIRECTION</w:t>
      </w:r>
      <w:r w:rsidRPr="00E01032">
        <w:rPr>
          <w:b/>
          <w:bCs/>
          <w:spacing w:val="-1"/>
        </w:rPr>
        <w:t xml:space="preserve"> </w:t>
      </w:r>
      <w:r w:rsidRPr="00E01032">
        <w:rPr>
          <w:b/>
          <w:bCs/>
        </w:rPr>
        <w:t>DE</w:t>
      </w:r>
      <w:r w:rsidRPr="00E01032">
        <w:rPr>
          <w:b/>
          <w:bCs/>
          <w:spacing w:val="-1"/>
        </w:rPr>
        <w:t xml:space="preserve"> </w:t>
      </w:r>
      <w:r w:rsidRPr="00E01032">
        <w:rPr>
          <w:b/>
          <w:bCs/>
        </w:rPr>
        <w:t xml:space="preserve">LA </w:t>
      </w:r>
      <w:r w:rsidRPr="00E01032">
        <w:rPr>
          <w:b/>
          <w:bCs/>
          <w:spacing w:val="-4"/>
        </w:rPr>
        <w:t>REVUE</w:t>
      </w:r>
    </w:p>
    <w:p w14:paraId="3424F63E" w14:textId="77777777" w:rsidR="001248F7" w:rsidRDefault="003518BE">
      <w:pPr>
        <w:spacing w:before="162"/>
        <w:ind w:left="568"/>
        <w:rPr>
          <w:b/>
          <w:sz w:val="24"/>
        </w:rPr>
      </w:pPr>
      <w:r>
        <w:rPr>
          <w:b/>
          <w:sz w:val="24"/>
        </w:rPr>
        <w:t>Directeur</w:t>
      </w:r>
      <w:r>
        <w:rPr>
          <w:b/>
          <w:spacing w:val="-3"/>
          <w:sz w:val="24"/>
        </w:rPr>
        <w:t xml:space="preserve"> </w:t>
      </w:r>
      <w:r>
        <w:rPr>
          <w:b/>
          <w:sz w:val="24"/>
        </w:rPr>
        <w:t>de</w:t>
      </w:r>
      <w:r>
        <w:rPr>
          <w:b/>
          <w:spacing w:val="-2"/>
          <w:sz w:val="24"/>
        </w:rPr>
        <w:t xml:space="preserve"> Publication</w:t>
      </w:r>
    </w:p>
    <w:p w14:paraId="09077481" w14:textId="77777777" w:rsidR="001248F7" w:rsidRDefault="003518BE">
      <w:pPr>
        <w:pStyle w:val="Corpsdetexte"/>
        <w:ind w:left="568"/>
        <w:jc w:val="left"/>
      </w:pPr>
      <w:r>
        <w:t>KYELEM</w:t>
      </w:r>
      <w:r>
        <w:rPr>
          <w:spacing w:val="-1"/>
        </w:rPr>
        <w:t xml:space="preserve"> </w:t>
      </w:r>
      <w:r>
        <w:t>Mathias, Maitre</w:t>
      </w:r>
      <w:r>
        <w:rPr>
          <w:spacing w:val="-3"/>
        </w:rPr>
        <w:t xml:space="preserve"> </w:t>
      </w:r>
      <w:r>
        <w:t>de</w:t>
      </w:r>
      <w:r>
        <w:rPr>
          <w:spacing w:val="-1"/>
        </w:rPr>
        <w:t xml:space="preserve"> </w:t>
      </w:r>
      <w:r>
        <w:t>Conférences en</w:t>
      </w:r>
      <w:r>
        <w:rPr>
          <w:spacing w:val="-1"/>
        </w:rPr>
        <w:t xml:space="preserve"> </w:t>
      </w:r>
      <w:r>
        <w:t>didactique</w:t>
      </w:r>
      <w:r>
        <w:rPr>
          <w:spacing w:val="-1"/>
        </w:rPr>
        <w:t xml:space="preserve"> </w:t>
      </w:r>
      <w:r>
        <w:t>des</w:t>
      </w:r>
      <w:r>
        <w:rPr>
          <w:spacing w:val="-1"/>
        </w:rPr>
        <w:t xml:space="preserve"> </w:t>
      </w:r>
      <w:r>
        <w:t>sciences, ENS/Burkina</w:t>
      </w:r>
      <w:r>
        <w:rPr>
          <w:spacing w:val="-2"/>
        </w:rPr>
        <w:t xml:space="preserve"> Faso,</w:t>
      </w:r>
    </w:p>
    <w:p w14:paraId="7E0D3361" w14:textId="77777777" w:rsidR="001248F7" w:rsidRPr="00D80693" w:rsidRDefault="003518BE" w:rsidP="00D80693">
      <w:pPr>
        <w:ind w:left="567"/>
        <w:rPr>
          <w:b/>
          <w:bCs/>
          <w:sz w:val="24"/>
          <w:szCs w:val="24"/>
        </w:rPr>
      </w:pPr>
      <w:r w:rsidRPr="00D80693">
        <w:rPr>
          <w:b/>
          <w:bCs/>
          <w:sz w:val="24"/>
          <w:szCs w:val="24"/>
        </w:rPr>
        <w:t>Directeur</w:t>
      </w:r>
      <w:r w:rsidRPr="00D80693">
        <w:rPr>
          <w:b/>
          <w:bCs/>
          <w:spacing w:val="-3"/>
          <w:sz w:val="24"/>
          <w:szCs w:val="24"/>
        </w:rPr>
        <w:t xml:space="preserve"> </w:t>
      </w:r>
      <w:r w:rsidRPr="00D80693">
        <w:rPr>
          <w:b/>
          <w:bCs/>
          <w:sz w:val="24"/>
          <w:szCs w:val="24"/>
        </w:rPr>
        <w:t>de</w:t>
      </w:r>
      <w:r w:rsidRPr="00D80693">
        <w:rPr>
          <w:b/>
          <w:bCs/>
          <w:spacing w:val="-2"/>
          <w:sz w:val="24"/>
          <w:szCs w:val="24"/>
        </w:rPr>
        <w:t xml:space="preserve"> </w:t>
      </w:r>
      <w:r w:rsidRPr="00D80693">
        <w:rPr>
          <w:b/>
          <w:bCs/>
          <w:sz w:val="24"/>
          <w:szCs w:val="24"/>
        </w:rPr>
        <w:t>Publication</w:t>
      </w:r>
      <w:r w:rsidRPr="00D80693">
        <w:rPr>
          <w:b/>
          <w:bCs/>
          <w:spacing w:val="-1"/>
          <w:sz w:val="24"/>
          <w:szCs w:val="24"/>
        </w:rPr>
        <w:t xml:space="preserve"> </w:t>
      </w:r>
      <w:r w:rsidRPr="00D80693">
        <w:rPr>
          <w:b/>
          <w:bCs/>
          <w:spacing w:val="-2"/>
          <w:sz w:val="24"/>
          <w:szCs w:val="24"/>
        </w:rPr>
        <w:t>Adjoint</w:t>
      </w:r>
    </w:p>
    <w:p w14:paraId="5B790B1F" w14:textId="77777777" w:rsidR="001248F7" w:rsidRDefault="003518BE">
      <w:pPr>
        <w:pStyle w:val="Corpsdetexte"/>
        <w:ind w:left="568"/>
        <w:jc w:val="left"/>
      </w:pPr>
      <w:r>
        <w:t>THIAM Ousseynou, Maitre de Conférences en sciences de l’éducation, FASTEF/ Université Cheikh Anta DIOP/Sénégal,</w:t>
      </w:r>
    </w:p>
    <w:p w14:paraId="4DAC79E7" w14:textId="77777777" w:rsidR="001248F7" w:rsidRDefault="003518BE" w:rsidP="00D80693">
      <w:pPr>
        <w:ind w:left="567"/>
      </w:pPr>
      <w:r w:rsidRPr="00D80693">
        <w:rPr>
          <w:b/>
          <w:bCs/>
          <w:sz w:val="24"/>
          <w:szCs w:val="24"/>
        </w:rPr>
        <w:t>Directeur de la revue</w:t>
      </w:r>
    </w:p>
    <w:p w14:paraId="6CCD845B" w14:textId="77777777" w:rsidR="001248F7" w:rsidRDefault="003518BE">
      <w:pPr>
        <w:pStyle w:val="Corpsdetexte"/>
        <w:ind w:left="568"/>
        <w:jc w:val="left"/>
      </w:pPr>
      <w:r>
        <w:t>BITEYE</w:t>
      </w:r>
      <w:r>
        <w:rPr>
          <w:spacing w:val="38"/>
        </w:rPr>
        <w:t xml:space="preserve"> </w:t>
      </w:r>
      <w:r>
        <w:t>Babacar,</w:t>
      </w:r>
      <w:r>
        <w:rPr>
          <w:spacing w:val="37"/>
        </w:rPr>
        <w:t xml:space="preserve"> </w:t>
      </w:r>
      <w:r>
        <w:t>Maitre-assistant</w:t>
      </w:r>
      <w:r>
        <w:rPr>
          <w:spacing w:val="38"/>
        </w:rPr>
        <w:t xml:space="preserve"> </w:t>
      </w:r>
      <w:r>
        <w:t>en</w:t>
      </w:r>
      <w:r>
        <w:rPr>
          <w:spacing w:val="38"/>
        </w:rPr>
        <w:t xml:space="preserve"> </w:t>
      </w:r>
      <w:r>
        <w:t>sciences</w:t>
      </w:r>
      <w:r>
        <w:rPr>
          <w:spacing w:val="38"/>
        </w:rPr>
        <w:t xml:space="preserve"> </w:t>
      </w:r>
      <w:r>
        <w:t>de</w:t>
      </w:r>
      <w:r>
        <w:rPr>
          <w:spacing w:val="38"/>
        </w:rPr>
        <w:t xml:space="preserve"> </w:t>
      </w:r>
      <w:r>
        <w:t>l’éducation,</w:t>
      </w:r>
      <w:r>
        <w:rPr>
          <w:spacing w:val="37"/>
        </w:rPr>
        <w:t xml:space="preserve"> </w:t>
      </w:r>
      <w:r>
        <w:t>FASTEF/Université</w:t>
      </w:r>
      <w:r>
        <w:rPr>
          <w:spacing w:val="38"/>
        </w:rPr>
        <w:t xml:space="preserve"> </w:t>
      </w:r>
      <w:r>
        <w:t>Cheikh Anta DIOP/Sénégal,</w:t>
      </w:r>
    </w:p>
    <w:p w14:paraId="235B976A" w14:textId="77777777" w:rsidR="001248F7" w:rsidRPr="00D80693" w:rsidRDefault="003518BE" w:rsidP="00D80693">
      <w:pPr>
        <w:ind w:left="567"/>
        <w:rPr>
          <w:b/>
          <w:bCs/>
          <w:sz w:val="24"/>
          <w:szCs w:val="24"/>
        </w:rPr>
      </w:pPr>
      <w:r w:rsidRPr="00D80693">
        <w:rPr>
          <w:b/>
          <w:bCs/>
          <w:sz w:val="24"/>
          <w:szCs w:val="24"/>
        </w:rPr>
        <w:t>Directeur Adjoint de la revue</w:t>
      </w:r>
    </w:p>
    <w:p w14:paraId="0BCC76D5" w14:textId="77777777" w:rsidR="001248F7" w:rsidRDefault="003518BE">
      <w:pPr>
        <w:pStyle w:val="Corpsdetexte"/>
        <w:spacing w:before="121"/>
        <w:ind w:left="568" w:right="289"/>
        <w:jc w:val="left"/>
      </w:pPr>
      <w:r>
        <w:t>KOUAWO</w:t>
      </w:r>
      <w:r>
        <w:rPr>
          <w:spacing w:val="80"/>
        </w:rPr>
        <w:t xml:space="preserve"> </w:t>
      </w:r>
      <w:r>
        <w:t>Achille,</w:t>
      </w:r>
      <w:r>
        <w:rPr>
          <w:spacing w:val="80"/>
        </w:rPr>
        <w:t xml:space="preserve"> </w:t>
      </w:r>
      <w:r>
        <w:t>Maitre</w:t>
      </w:r>
      <w:r>
        <w:rPr>
          <w:spacing w:val="80"/>
        </w:rPr>
        <w:t xml:space="preserve"> </w:t>
      </w:r>
      <w:r>
        <w:t>de</w:t>
      </w:r>
      <w:r>
        <w:rPr>
          <w:spacing w:val="80"/>
        </w:rPr>
        <w:t xml:space="preserve"> </w:t>
      </w:r>
      <w:r>
        <w:t>conférences</w:t>
      </w:r>
      <w:r>
        <w:rPr>
          <w:spacing w:val="80"/>
        </w:rPr>
        <w:t xml:space="preserve"> </w:t>
      </w:r>
      <w:r>
        <w:t>en</w:t>
      </w:r>
      <w:r>
        <w:rPr>
          <w:spacing w:val="80"/>
        </w:rPr>
        <w:t xml:space="preserve"> </w:t>
      </w:r>
      <w:r>
        <w:t>sciences</w:t>
      </w:r>
      <w:r>
        <w:rPr>
          <w:spacing w:val="80"/>
        </w:rPr>
        <w:t xml:space="preserve"> </w:t>
      </w:r>
      <w:r>
        <w:t>de</w:t>
      </w:r>
      <w:r>
        <w:rPr>
          <w:spacing w:val="80"/>
        </w:rPr>
        <w:t xml:space="preserve"> </w:t>
      </w:r>
      <w:r>
        <w:t>l’éducation,</w:t>
      </w:r>
      <w:r>
        <w:rPr>
          <w:spacing w:val="80"/>
        </w:rPr>
        <w:t xml:space="preserve"> </w:t>
      </w:r>
      <w:r>
        <w:t>Université</w:t>
      </w:r>
      <w:r>
        <w:rPr>
          <w:spacing w:val="80"/>
        </w:rPr>
        <w:t xml:space="preserve"> </w:t>
      </w:r>
      <w:r>
        <w:t xml:space="preserve">de </w:t>
      </w:r>
      <w:r>
        <w:rPr>
          <w:spacing w:val="-2"/>
        </w:rPr>
        <w:t>Lomé/Togo,</w:t>
      </w:r>
    </w:p>
    <w:p w14:paraId="3DF77B22" w14:textId="77777777" w:rsidR="001248F7" w:rsidRPr="00D80693" w:rsidRDefault="003518BE" w:rsidP="00D80693">
      <w:pPr>
        <w:ind w:left="567"/>
        <w:rPr>
          <w:b/>
          <w:bCs/>
          <w:sz w:val="24"/>
          <w:szCs w:val="24"/>
        </w:rPr>
      </w:pPr>
      <w:r w:rsidRPr="00D80693">
        <w:rPr>
          <w:b/>
          <w:bCs/>
          <w:sz w:val="24"/>
          <w:szCs w:val="24"/>
        </w:rPr>
        <w:t>Rédacteur en chef</w:t>
      </w:r>
    </w:p>
    <w:p w14:paraId="5A3B9234" w14:textId="77777777" w:rsidR="001248F7" w:rsidRDefault="003518BE">
      <w:pPr>
        <w:pStyle w:val="Corpsdetexte"/>
        <w:ind w:left="568" w:right="289"/>
        <w:jc w:val="left"/>
      </w:pPr>
      <w:r>
        <w:t>POUDIOUGO</w:t>
      </w:r>
      <w:r>
        <w:rPr>
          <w:spacing w:val="33"/>
        </w:rPr>
        <w:t xml:space="preserve"> </w:t>
      </w:r>
      <w:r>
        <w:t>Wendkuuni</w:t>
      </w:r>
      <w:r>
        <w:rPr>
          <w:spacing w:val="33"/>
        </w:rPr>
        <w:t xml:space="preserve"> </w:t>
      </w:r>
      <w:r>
        <w:t>Désiré,</w:t>
      </w:r>
      <w:r>
        <w:rPr>
          <w:spacing w:val="32"/>
        </w:rPr>
        <w:t xml:space="preserve"> </w:t>
      </w:r>
      <w:r>
        <w:t>Maître</w:t>
      </w:r>
      <w:r>
        <w:rPr>
          <w:spacing w:val="31"/>
        </w:rPr>
        <w:t xml:space="preserve"> </w:t>
      </w:r>
      <w:r>
        <w:t>de</w:t>
      </w:r>
      <w:r>
        <w:rPr>
          <w:spacing w:val="31"/>
        </w:rPr>
        <w:t xml:space="preserve"> </w:t>
      </w:r>
      <w:r>
        <w:t>recherche</w:t>
      </w:r>
      <w:r>
        <w:rPr>
          <w:spacing w:val="34"/>
        </w:rPr>
        <w:t xml:space="preserve"> </w:t>
      </w:r>
      <w:r>
        <w:t>en</w:t>
      </w:r>
      <w:r>
        <w:rPr>
          <w:spacing w:val="32"/>
        </w:rPr>
        <w:t xml:space="preserve"> </w:t>
      </w:r>
      <w:r>
        <w:t>sciences</w:t>
      </w:r>
      <w:r>
        <w:rPr>
          <w:spacing w:val="32"/>
        </w:rPr>
        <w:t xml:space="preserve"> </w:t>
      </w:r>
      <w:r>
        <w:t>de</w:t>
      </w:r>
      <w:r>
        <w:rPr>
          <w:spacing w:val="31"/>
        </w:rPr>
        <w:t xml:space="preserve"> </w:t>
      </w:r>
      <w:r>
        <w:t>l’éducation,</w:t>
      </w:r>
      <w:r>
        <w:rPr>
          <w:spacing w:val="35"/>
        </w:rPr>
        <w:t xml:space="preserve"> </w:t>
      </w:r>
      <w:r>
        <w:t>Institut des Sciences des Sociétés/CNRST/Burkina Faso,</w:t>
      </w:r>
    </w:p>
    <w:p w14:paraId="3A64C057" w14:textId="77777777" w:rsidR="001248F7" w:rsidRPr="00D80693" w:rsidRDefault="003518BE" w:rsidP="00D80693">
      <w:pPr>
        <w:ind w:left="567"/>
        <w:rPr>
          <w:b/>
          <w:bCs/>
          <w:sz w:val="24"/>
          <w:szCs w:val="24"/>
        </w:rPr>
      </w:pPr>
      <w:r w:rsidRPr="00D80693">
        <w:rPr>
          <w:b/>
          <w:bCs/>
          <w:sz w:val="24"/>
          <w:szCs w:val="24"/>
        </w:rPr>
        <w:t>Rédacteur en chef adjoint</w:t>
      </w:r>
    </w:p>
    <w:p w14:paraId="46338F37" w14:textId="77777777" w:rsidR="001248F7" w:rsidRDefault="003518BE">
      <w:pPr>
        <w:pStyle w:val="Corpsdetexte"/>
        <w:ind w:left="568"/>
        <w:jc w:val="left"/>
      </w:pPr>
      <w:r>
        <w:t>DEMBA</w:t>
      </w:r>
      <w:r>
        <w:rPr>
          <w:spacing w:val="38"/>
        </w:rPr>
        <w:t xml:space="preserve"> </w:t>
      </w:r>
      <w:r>
        <w:t>Jean</w:t>
      </w:r>
      <w:r>
        <w:rPr>
          <w:spacing w:val="38"/>
        </w:rPr>
        <w:t xml:space="preserve"> </w:t>
      </w:r>
      <w:r>
        <w:t>Jacques,</w:t>
      </w:r>
      <w:r>
        <w:rPr>
          <w:spacing w:val="40"/>
        </w:rPr>
        <w:t xml:space="preserve"> </w:t>
      </w:r>
      <w:r>
        <w:t>Maître</w:t>
      </w:r>
      <w:r>
        <w:rPr>
          <w:spacing w:val="37"/>
        </w:rPr>
        <w:t xml:space="preserve"> </w:t>
      </w:r>
      <w:r>
        <w:t>de</w:t>
      </w:r>
      <w:r>
        <w:rPr>
          <w:spacing w:val="38"/>
        </w:rPr>
        <w:t xml:space="preserve"> </w:t>
      </w:r>
      <w:r>
        <w:t>Conférences</w:t>
      </w:r>
      <w:r>
        <w:rPr>
          <w:spacing w:val="40"/>
        </w:rPr>
        <w:t xml:space="preserve"> </w:t>
      </w:r>
      <w:r>
        <w:t>en</w:t>
      </w:r>
      <w:r>
        <w:rPr>
          <w:spacing w:val="38"/>
        </w:rPr>
        <w:t xml:space="preserve"> </w:t>
      </w:r>
      <w:r>
        <w:t>sciences</w:t>
      </w:r>
      <w:r>
        <w:rPr>
          <w:spacing w:val="39"/>
        </w:rPr>
        <w:t xml:space="preserve"> </w:t>
      </w:r>
      <w:r>
        <w:t>de</w:t>
      </w:r>
      <w:r>
        <w:rPr>
          <w:spacing w:val="38"/>
        </w:rPr>
        <w:t xml:space="preserve"> </w:t>
      </w:r>
      <w:r>
        <w:t>l’éducation,</w:t>
      </w:r>
      <w:r>
        <w:rPr>
          <w:spacing w:val="38"/>
        </w:rPr>
        <w:t xml:space="preserve"> </w:t>
      </w:r>
      <w:r>
        <w:t>École</w:t>
      </w:r>
      <w:r>
        <w:rPr>
          <w:spacing w:val="38"/>
        </w:rPr>
        <w:t xml:space="preserve"> </w:t>
      </w:r>
      <w:r>
        <w:t>Normale Supérieure de Libreville/Gabon,</w:t>
      </w:r>
    </w:p>
    <w:p w14:paraId="430A0101" w14:textId="77777777" w:rsidR="001248F7" w:rsidRDefault="003518BE" w:rsidP="00D80693">
      <w:pPr>
        <w:ind w:left="567"/>
      </w:pPr>
      <w:r w:rsidRPr="00D80693">
        <w:rPr>
          <w:b/>
          <w:bCs/>
          <w:sz w:val="24"/>
          <w:szCs w:val="24"/>
        </w:rPr>
        <w:t>Responsable d’édition numérique</w:t>
      </w:r>
    </w:p>
    <w:p w14:paraId="71D55CE6" w14:textId="77777777" w:rsidR="001248F7" w:rsidRDefault="003518BE">
      <w:pPr>
        <w:pStyle w:val="Corpsdetexte"/>
        <w:ind w:left="568"/>
        <w:jc w:val="left"/>
      </w:pPr>
      <w:r>
        <w:t>DIAGNE</w:t>
      </w:r>
      <w:r>
        <w:rPr>
          <w:spacing w:val="28"/>
        </w:rPr>
        <w:t xml:space="preserve"> </w:t>
      </w:r>
      <w:r>
        <w:t>Baba</w:t>
      </w:r>
      <w:r>
        <w:rPr>
          <w:spacing w:val="28"/>
        </w:rPr>
        <w:t xml:space="preserve"> </w:t>
      </w:r>
      <w:r>
        <w:t>Dièye,</w:t>
      </w:r>
      <w:r>
        <w:rPr>
          <w:spacing w:val="29"/>
        </w:rPr>
        <w:t xml:space="preserve"> </w:t>
      </w:r>
      <w:r>
        <w:t>Maître</w:t>
      </w:r>
      <w:r>
        <w:rPr>
          <w:spacing w:val="27"/>
        </w:rPr>
        <w:t xml:space="preserve"> </w:t>
      </w:r>
      <w:r>
        <w:t>assistant</w:t>
      </w:r>
      <w:r>
        <w:rPr>
          <w:spacing w:val="29"/>
        </w:rPr>
        <w:t xml:space="preserve"> </w:t>
      </w:r>
      <w:r>
        <w:t>en</w:t>
      </w:r>
      <w:r>
        <w:rPr>
          <w:spacing w:val="29"/>
        </w:rPr>
        <w:t xml:space="preserve"> </w:t>
      </w:r>
      <w:r>
        <w:t>sciences</w:t>
      </w:r>
      <w:r>
        <w:rPr>
          <w:spacing w:val="29"/>
        </w:rPr>
        <w:t xml:space="preserve"> </w:t>
      </w:r>
      <w:r>
        <w:t>de</w:t>
      </w:r>
      <w:r>
        <w:rPr>
          <w:spacing w:val="28"/>
        </w:rPr>
        <w:t xml:space="preserve"> </w:t>
      </w:r>
      <w:r>
        <w:t>l’éducation,</w:t>
      </w:r>
      <w:r>
        <w:rPr>
          <w:spacing w:val="29"/>
        </w:rPr>
        <w:t xml:space="preserve"> </w:t>
      </w:r>
      <w:r>
        <w:t>Université</w:t>
      </w:r>
      <w:r>
        <w:rPr>
          <w:spacing w:val="28"/>
        </w:rPr>
        <w:t xml:space="preserve"> </w:t>
      </w:r>
      <w:r>
        <w:t>Cheikh</w:t>
      </w:r>
      <w:r>
        <w:rPr>
          <w:spacing w:val="29"/>
        </w:rPr>
        <w:t xml:space="preserve"> </w:t>
      </w:r>
      <w:r>
        <w:t xml:space="preserve">Anta </w:t>
      </w:r>
      <w:r>
        <w:rPr>
          <w:spacing w:val="-2"/>
        </w:rPr>
        <w:t>DIOP/Sénégal,</w:t>
      </w:r>
    </w:p>
    <w:p w14:paraId="2159E615" w14:textId="27A335CD" w:rsidR="001248F7" w:rsidRPr="00D80693" w:rsidRDefault="00D80693" w:rsidP="00D80693">
      <w:pPr>
        <w:jc w:val="center"/>
        <w:rPr>
          <w:b/>
          <w:bCs/>
        </w:rPr>
      </w:pPr>
      <w:r w:rsidRPr="00D80693">
        <w:rPr>
          <w:b/>
          <w:bCs/>
        </w:rPr>
        <w:t>ASSISTANTS A LA REDACTION</w:t>
      </w:r>
    </w:p>
    <w:p w14:paraId="10DC774B" w14:textId="77777777" w:rsidR="001248F7" w:rsidRDefault="003518BE">
      <w:pPr>
        <w:pStyle w:val="Corpsdetexte"/>
        <w:tabs>
          <w:tab w:val="left" w:pos="1499"/>
          <w:tab w:val="left" w:pos="2701"/>
          <w:tab w:val="left" w:pos="3579"/>
          <w:tab w:val="left" w:pos="4630"/>
          <w:tab w:val="left" w:pos="5093"/>
          <w:tab w:val="left" w:pos="6168"/>
          <w:tab w:val="left" w:pos="6633"/>
          <w:tab w:val="left" w:pos="8010"/>
          <w:tab w:val="left" w:pos="8792"/>
        </w:tabs>
        <w:ind w:left="568" w:right="287"/>
        <w:jc w:val="left"/>
      </w:pPr>
      <w:r>
        <w:rPr>
          <w:spacing w:val="-4"/>
        </w:rPr>
        <w:t>YAGO</w:t>
      </w:r>
      <w:r>
        <w:tab/>
      </w:r>
      <w:r>
        <w:rPr>
          <w:spacing w:val="-2"/>
        </w:rPr>
        <w:t>Iphigénie,</w:t>
      </w:r>
      <w:r>
        <w:tab/>
      </w:r>
      <w:r>
        <w:rPr>
          <w:spacing w:val="-2"/>
        </w:rPr>
        <w:t>Maître</w:t>
      </w:r>
      <w:r>
        <w:tab/>
      </w:r>
      <w:r>
        <w:rPr>
          <w:spacing w:val="-2"/>
        </w:rPr>
        <w:t>assistant</w:t>
      </w:r>
      <w:r>
        <w:tab/>
      </w:r>
      <w:r>
        <w:rPr>
          <w:spacing w:val="-6"/>
        </w:rPr>
        <w:t>en</w:t>
      </w:r>
      <w:r>
        <w:tab/>
      </w:r>
      <w:r>
        <w:rPr>
          <w:spacing w:val="-2"/>
        </w:rPr>
        <w:t>Sciences</w:t>
      </w:r>
      <w:r>
        <w:tab/>
      </w:r>
      <w:r>
        <w:rPr>
          <w:spacing w:val="-6"/>
        </w:rPr>
        <w:t>de</w:t>
      </w:r>
      <w:r>
        <w:tab/>
      </w:r>
      <w:r>
        <w:rPr>
          <w:spacing w:val="-2"/>
        </w:rPr>
        <w:t>l’éducation,</w:t>
      </w:r>
      <w:r>
        <w:tab/>
      </w:r>
      <w:r>
        <w:rPr>
          <w:spacing w:val="-2"/>
        </w:rPr>
        <w:t>École</w:t>
      </w:r>
      <w:r>
        <w:tab/>
      </w:r>
      <w:r>
        <w:rPr>
          <w:spacing w:val="-2"/>
        </w:rPr>
        <w:t xml:space="preserve">Normale </w:t>
      </w:r>
      <w:r>
        <w:t>Supérieure/Burkina Faso,</w:t>
      </w:r>
    </w:p>
    <w:p w14:paraId="74D92C8B" w14:textId="77777777" w:rsidR="001248F7" w:rsidRDefault="003518BE">
      <w:pPr>
        <w:pStyle w:val="Corpsdetexte"/>
        <w:ind w:left="568"/>
        <w:jc w:val="left"/>
      </w:pPr>
      <w:r>
        <w:t>PEKPELI</w:t>
      </w:r>
      <w:r>
        <w:rPr>
          <w:spacing w:val="-7"/>
        </w:rPr>
        <w:t xml:space="preserve"> </w:t>
      </w:r>
      <w:proofErr w:type="spellStart"/>
      <w:r>
        <w:t>Toyi</w:t>
      </w:r>
      <w:proofErr w:type="spellEnd"/>
      <w:r>
        <w:t>,</w:t>
      </w:r>
      <w:r>
        <w:rPr>
          <w:spacing w:val="-1"/>
        </w:rPr>
        <w:t xml:space="preserve"> </w:t>
      </w:r>
      <w:r>
        <w:t>Docteur en</w:t>
      </w:r>
      <w:r>
        <w:rPr>
          <w:spacing w:val="-1"/>
        </w:rPr>
        <w:t xml:space="preserve"> </w:t>
      </w:r>
      <w:r>
        <w:t>Sciences</w:t>
      </w:r>
      <w:r>
        <w:rPr>
          <w:spacing w:val="-2"/>
        </w:rPr>
        <w:t xml:space="preserve"> </w:t>
      </w:r>
      <w:r>
        <w:t>de</w:t>
      </w:r>
      <w:r>
        <w:rPr>
          <w:spacing w:val="-1"/>
        </w:rPr>
        <w:t xml:space="preserve"> </w:t>
      </w:r>
      <w:r>
        <w:t>l’éducation,</w:t>
      </w:r>
      <w:r>
        <w:rPr>
          <w:spacing w:val="-1"/>
        </w:rPr>
        <w:t xml:space="preserve"> </w:t>
      </w:r>
      <w:r>
        <w:t>Université</w:t>
      </w:r>
      <w:r>
        <w:rPr>
          <w:spacing w:val="-1"/>
        </w:rPr>
        <w:t xml:space="preserve"> </w:t>
      </w:r>
      <w:r>
        <w:t>de</w:t>
      </w:r>
      <w:r>
        <w:rPr>
          <w:spacing w:val="-2"/>
        </w:rPr>
        <w:t xml:space="preserve"> Lomé/Togo.</w:t>
      </w:r>
    </w:p>
    <w:p w14:paraId="5A013BD9" w14:textId="77777777" w:rsidR="00E01032" w:rsidRDefault="00E01032" w:rsidP="00E01032">
      <w:pPr>
        <w:jc w:val="center"/>
        <w:rPr>
          <w:b/>
          <w:bCs/>
        </w:rPr>
      </w:pPr>
    </w:p>
    <w:p w14:paraId="4A8EC875" w14:textId="24F4AF99" w:rsidR="001248F7" w:rsidRPr="00E01032" w:rsidRDefault="003518BE" w:rsidP="00E01032">
      <w:pPr>
        <w:jc w:val="center"/>
        <w:rPr>
          <w:b/>
          <w:bCs/>
        </w:rPr>
      </w:pPr>
      <w:r w:rsidRPr="00E01032">
        <w:rPr>
          <w:b/>
          <w:bCs/>
        </w:rPr>
        <w:t>COMITÉ SCIENTIFIQUE</w:t>
      </w:r>
    </w:p>
    <w:p w14:paraId="62AD0300" w14:textId="77777777" w:rsidR="001248F7" w:rsidRDefault="003518BE">
      <w:pPr>
        <w:pStyle w:val="Corpsdetexte"/>
        <w:spacing w:before="121"/>
        <w:ind w:left="568"/>
        <w:jc w:val="left"/>
      </w:pPr>
      <w:r>
        <w:t>PAR</w:t>
      </w:r>
      <w:r>
        <w:rPr>
          <w:rFonts w:ascii="Palatino Linotype" w:hAnsi="Palatino Linotype"/>
        </w:rPr>
        <w:t>É</w:t>
      </w:r>
      <w:r>
        <w:t>/KABOR</w:t>
      </w:r>
      <w:r>
        <w:rPr>
          <w:rFonts w:ascii="Palatino Linotype" w:hAnsi="Palatino Linotype"/>
        </w:rPr>
        <w:t>É</w:t>
      </w:r>
      <w:r>
        <w:rPr>
          <w:rFonts w:ascii="Palatino Linotype" w:hAnsi="Palatino Linotype"/>
          <w:spacing w:val="40"/>
        </w:rPr>
        <w:t xml:space="preserve"> </w:t>
      </w:r>
      <w:proofErr w:type="spellStart"/>
      <w:r>
        <w:t>Afsata</w:t>
      </w:r>
      <w:proofErr w:type="spellEnd"/>
      <w:r>
        <w:t>,</w:t>
      </w:r>
      <w:r>
        <w:rPr>
          <w:spacing w:val="40"/>
        </w:rPr>
        <w:t xml:space="preserve"> </w:t>
      </w:r>
      <w:r>
        <w:t>Professeure</w:t>
      </w:r>
      <w:r>
        <w:rPr>
          <w:spacing w:val="40"/>
        </w:rPr>
        <w:t xml:space="preserve"> </w:t>
      </w:r>
      <w:r>
        <w:t>titulaire</w:t>
      </w:r>
      <w:r>
        <w:rPr>
          <w:spacing w:val="40"/>
        </w:rPr>
        <w:t xml:space="preserve"> </w:t>
      </w:r>
      <w:r>
        <w:t>en</w:t>
      </w:r>
      <w:r>
        <w:rPr>
          <w:spacing w:val="40"/>
        </w:rPr>
        <w:t xml:space="preserve"> </w:t>
      </w:r>
      <w:r>
        <w:t>sciences</w:t>
      </w:r>
      <w:r>
        <w:rPr>
          <w:spacing w:val="40"/>
        </w:rPr>
        <w:t xml:space="preserve"> </w:t>
      </w:r>
      <w:r>
        <w:t>de</w:t>
      </w:r>
      <w:r>
        <w:rPr>
          <w:spacing w:val="40"/>
        </w:rPr>
        <w:t xml:space="preserve"> </w:t>
      </w:r>
      <w:r>
        <w:t>l’éducation,</w:t>
      </w:r>
      <w:r>
        <w:rPr>
          <w:spacing w:val="40"/>
        </w:rPr>
        <w:t xml:space="preserve"> </w:t>
      </w:r>
      <w:r>
        <w:t>École</w:t>
      </w:r>
      <w:r>
        <w:rPr>
          <w:spacing w:val="40"/>
        </w:rPr>
        <w:t xml:space="preserve"> </w:t>
      </w:r>
      <w:r>
        <w:t>Normale Supérieure (Burkina Faso),</w:t>
      </w:r>
    </w:p>
    <w:p w14:paraId="2258F051" w14:textId="77777777" w:rsidR="001248F7" w:rsidRDefault="003518BE">
      <w:pPr>
        <w:pStyle w:val="Corpsdetexte"/>
        <w:ind w:left="568"/>
        <w:jc w:val="left"/>
      </w:pPr>
      <w:r>
        <w:t>KOUDOU</w:t>
      </w:r>
      <w:r>
        <w:rPr>
          <w:spacing w:val="80"/>
          <w:w w:val="150"/>
        </w:rPr>
        <w:t xml:space="preserve"> </w:t>
      </w:r>
      <w:r>
        <w:t>Opadou,</w:t>
      </w:r>
      <w:r>
        <w:rPr>
          <w:spacing w:val="80"/>
          <w:w w:val="150"/>
        </w:rPr>
        <w:t xml:space="preserve"> </w:t>
      </w:r>
      <w:r>
        <w:t>Professeur</w:t>
      </w:r>
      <w:r>
        <w:rPr>
          <w:spacing w:val="80"/>
          <w:w w:val="150"/>
        </w:rPr>
        <w:t xml:space="preserve"> </w:t>
      </w:r>
      <w:r>
        <w:t>Titulaire</w:t>
      </w:r>
      <w:r>
        <w:rPr>
          <w:spacing w:val="80"/>
          <w:w w:val="150"/>
        </w:rPr>
        <w:t xml:space="preserve"> </w:t>
      </w:r>
      <w:r>
        <w:t>de</w:t>
      </w:r>
      <w:r>
        <w:rPr>
          <w:spacing w:val="80"/>
          <w:w w:val="150"/>
        </w:rPr>
        <w:t xml:space="preserve"> </w:t>
      </w:r>
      <w:r>
        <w:t>Psychologie,</w:t>
      </w:r>
      <w:r>
        <w:rPr>
          <w:spacing w:val="80"/>
          <w:w w:val="150"/>
        </w:rPr>
        <w:t xml:space="preserve"> </w:t>
      </w:r>
      <w:r>
        <w:t>École</w:t>
      </w:r>
      <w:r>
        <w:rPr>
          <w:spacing w:val="80"/>
          <w:w w:val="150"/>
        </w:rPr>
        <w:t xml:space="preserve"> </w:t>
      </w:r>
      <w:r>
        <w:t>Normale</w:t>
      </w:r>
      <w:r>
        <w:rPr>
          <w:spacing w:val="80"/>
          <w:w w:val="150"/>
        </w:rPr>
        <w:t xml:space="preserve"> </w:t>
      </w:r>
      <w:r>
        <w:t xml:space="preserve">Supérieure </w:t>
      </w:r>
      <w:r>
        <w:rPr>
          <w:spacing w:val="-2"/>
        </w:rPr>
        <w:t>d’Abidjan</w:t>
      </w:r>
    </w:p>
    <w:p w14:paraId="49081AAF" w14:textId="77777777" w:rsidR="001248F7" w:rsidRDefault="003518BE">
      <w:pPr>
        <w:pStyle w:val="Corpsdetexte"/>
        <w:ind w:left="568"/>
        <w:jc w:val="left"/>
      </w:pPr>
      <w:r>
        <w:t>NEBOUT</w:t>
      </w:r>
      <w:r>
        <w:rPr>
          <w:spacing w:val="40"/>
        </w:rPr>
        <w:t xml:space="preserve"> </w:t>
      </w:r>
      <w:r>
        <w:t>ARKHURST</w:t>
      </w:r>
      <w:r>
        <w:rPr>
          <w:spacing w:val="40"/>
        </w:rPr>
        <w:t xml:space="preserve"> </w:t>
      </w:r>
      <w:r>
        <w:t>Patricia,</w:t>
      </w:r>
      <w:r>
        <w:rPr>
          <w:spacing w:val="40"/>
        </w:rPr>
        <w:t xml:space="preserve"> </w:t>
      </w:r>
      <w:r>
        <w:t>Professeure</w:t>
      </w:r>
      <w:r>
        <w:rPr>
          <w:spacing w:val="40"/>
        </w:rPr>
        <w:t xml:space="preserve"> </w:t>
      </w:r>
      <w:r>
        <w:t>titulaire</w:t>
      </w:r>
      <w:r>
        <w:rPr>
          <w:spacing w:val="40"/>
        </w:rPr>
        <w:t xml:space="preserve"> </w:t>
      </w:r>
      <w:r>
        <w:t>en</w:t>
      </w:r>
      <w:r>
        <w:rPr>
          <w:spacing w:val="40"/>
        </w:rPr>
        <w:t xml:space="preserve"> </w:t>
      </w:r>
      <w:r>
        <w:t>didactique</w:t>
      </w:r>
      <w:r>
        <w:rPr>
          <w:spacing w:val="40"/>
        </w:rPr>
        <w:t xml:space="preserve"> </w:t>
      </w:r>
      <w:r>
        <w:t>des</w:t>
      </w:r>
      <w:r>
        <w:rPr>
          <w:spacing w:val="40"/>
        </w:rPr>
        <w:t xml:space="preserve"> </w:t>
      </w:r>
      <w:r>
        <w:t>disciplines,</w:t>
      </w:r>
      <w:r>
        <w:rPr>
          <w:spacing w:val="40"/>
        </w:rPr>
        <w:t xml:space="preserve"> </w:t>
      </w:r>
      <w:r>
        <w:t>École Normale Supérieure (Côte d’Ivoire),</w:t>
      </w:r>
    </w:p>
    <w:p w14:paraId="56F47B72" w14:textId="77777777" w:rsidR="001248F7" w:rsidRDefault="003518BE">
      <w:pPr>
        <w:pStyle w:val="Corpsdetexte"/>
        <w:ind w:left="568"/>
        <w:jc w:val="left"/>
      </w:pPr>
      <w:r>
        <w:t>BATIONO</w:t>
      </w:r>
      <w:r>
        <w:rPr>
          <w:spacing w:val="80"/>
        </w:rPr>
        <w:t xml:space="preserve"> </w:t>
      </w:r>
      <w:r>
        <w:t>Jean-Claude,</w:t>
      </w:r>
      <w:r>
        <w:rPr>
          <w:spacing w:val="80"/>
        </w:rPr>
        <w:t xml:space="preserve"> </w:t>
      </w:r>
      <w:r>
        <w:t>Professeur</w:t>
      </w:r>
      <w:r>
        <w:rPr>
          <w:spacing w:val="80"/>
        </w:rPr>
        <w:t xml:space="preserve"> </w:t>
      </w:r>
      <w:r>
        <w:t>Titulaire</w:t>
      </w:r>
      <w:r>
        <w:rPr>
          <w:spacing w:val="80"/>
        </w:rPr>
        <w:t xml:space="preserve"> </w:t>
      </w:r>
      <w:r>
        <w:t>de</w:t>
      </w:r>
      <w:r>
        <w:rPr>
          <w:spacing w:val="80"/>
        </w:rPr>
        <w:t xml:space="preserve"> </w:t>
      </w:r>
      <w:r>
        <w:t>didactique</w:t>
      </w:r>
      <w:r>
        <w:rPr>
          <w:spacing w:val="80"/>
        </w:rPr>
        <w:t xml:space="preserve"> </w:t>
      </w:r>
      <w:r>
        <w:t>des</w:t>
      </w:r>
      <w:r>
        <w:rPr>
          <w:spacing w:val="80"/>
        </w:rPr>
        <w:t xml:space="preserve"> </w:t>
      </w:r>
      <w:r>
        <w:t>langues</w:t>
      </w:r>
      <w:r>
        <w:rPr>
          <w:spacing w:val="80"/>
        </w:rPr>
        <w:t xml:space="preserve"> </w:t>
      </w:r>
      <w:r>
        <w:t>Africaines</w:t>
      </w:r>
      <w:r>
        <w:rPr>
          <w:spacing w:val="80"/>
        </w:rPr>
        <w:t xml:space="preserve"> </w:t>
      </w:r>
      <w:r>
        <w:t>et germanophone, École Normale Supérieure (Burkina Faso),</w:t>
      </w:r>
    </w:p>
    <w:p w14:paraId="7C30B660" w14:textId="77777777" w:rsidR="001248F7" w:rsidRDefault="003518BE">
      <w:pPr>
        <w:pStyle w:val="Corpsdetexte"/>
        <w:ind w:left="568" w:right="289"/>
        <w:jc w:val="left"/>
      </w:pPr>
      <w:r>
        <w:t>AKAKPO-NUMANDO</w:t>
      </w:r>
      <w:r>
        <w:rPr>
          <w:spacing w:val="80"/>
        </w:rPr>
        <w:t xml:space="preserve"> </w:t>
      </w:r>
      <w:proofErr w:type="spellStart"/>
      <w:r>
        <w:t>Séna</w:t>
      </w:r>
      <w:proofErr w:type="spellEnd"/>
      <w:r>
        <w:rPr>
          <w:spacing w:val="80"/>
        </w:rPr>
        <w:t xml:space="preserve"> </w:t>
      </w:r>
      <w:r>
        <w:t>Yawo,</w:t>
      </w:r>
      <w:r>
        <w:rPr>
          <w:spacing w:val="80"/>
        </w:rPr>
        <w:t xml:space="preserve"> </w:t>
      </w:r>
      <w:r>
        <w:t>Professeur</w:t>
      </w:r>
      <w:r>
        <w:rPr>
          <w:spacing w:val="80"/>
        </w:rPr>
        <w:t xml:space="preserve"> </w:t>
      </w:r>
      <w:r>
        <w:t>Titulaire</w:t>
      </w:r>
      <w:r>
        <w:rPr>
          <w:spacing w:val="80"/>
        </w:rPr>
        <w:t xml:space="preserve"> </w:t>
      </w:r>
      <w:r>
        <w:t>en</w:t>
      </w:r>
      <w:r>
        <w:rPr>
          <w:spacing w:val="80"/>
        </w:rPr>
        <w:t xml:space="preserve"> </w:t>
      </w:r>
      <w:r>
        <w:t>Sciences</w:t>
      </w:r>
      <w:r>
        <w:rPr>
          <w:spacing w:val="80"/>
        </w:rPr>
        <w:t xml:space="preserve"> </w:t>
      </w:r>
      <w:r>
        <w:t>de</w:t>
      </w:r>
      <w:r>
        <w:rPr>
          <w:spacing w:val="80"/>
        </w:rPr>
        <w:t xml:space="preserve"> </w:t>
      </w:r>
      <w:r>
        <w:t>l’éducation,</w:t>
      </w:r>
      <w:r>
        <w:rPr>
          <w:spacing w:val="40"/>
        </w:rPr>
        <w:t xml:space="preserve"> </w:t>
      </w:r>
      <w:r>
        <w:t>Université de Lomé (Togo),</w:t>
      </w:r>
    </w:p>
    <w:p w14:paraId="73D18BA4" w14:textId="77777777" w:rsidR="001248F7" w:rsidRDefault="001248F7">
      <w:pPr>
        <w:pStyle w:val="Corpsdetexte"/>
        <w:jc w:val="left"/>
        <w:sectPr w:rsidR="001248F7">
          <w:footnotePr>
            <w:numRestart w:val="eachPage"/>
          </w:footnotePr>
          <w:pgSz w:w="11910" w:h="16840"/>
          <w:pgMar w:top="1080" w:right="1133" w:bottom="2120" w:left="850" w:header="847" w:footer="1865" w:gutter="0"/>
          <w:cols w:space="720"/>
        </w:sectPr>
      </w:pPr>
    </w:p>
    <w:p w14:paraId="48E6FBB4" w14:textId="77777777" w:rsidR="001248F7" w:rsidRDefault="001248F7">
      <w:pPr>
        <w:pStyle w:val="Corpsdetexte"/>
        <w:spacing w:before="49"/>
        <w:ind w:left="0"/>
        <w:jc w:val="left"/>
      </w:pPr>
    </w:p>
    <w:p w14:paraId="6052FC3C" w14:textId="77777777" w:rsidR="001248F7" w:rsidRDefault="003518BE">
      <w:pPr>
        <w:pStyle w:val="Corpsdetexte"/>
        <w:spacing w:before="0"/>
        <w:ind w:left="568"/>
        <w:jc w:val="left"/>
      </w:pPr>
      <w:r>
        <w:t>BABA</w:t>
      </w:r>
      <w:r>
        <w:rPr>
          <w:spacing w:val="80"/>
        </w:rPr>
        <w:t xml:space="preserve"> </w:t>
      </w:r>
      <w:r>
        <w:t>MOUSSA</w:t>
      </w:r>
      <w:r>
        <w:rPr>
          <w:spacing w:val="80"/>
        </w:rPr>
        <w:t xml:space="preserve"> </w:t>
      </w:r>
      <w:r>
        <w:t>Abdel</w:t>
      </w:r>
      <w:r>
        <w:rPr>
          <w:spacing w:val="80"/>
        </w:rPr>
        <w:t xml:space="preserve"> </w:t>
      </w:r>
      <w:r>
        <w:t>Rahamane,</w:t>
      </w:r>
      <w:r>
        <w:rPr>
          <w:spacing w:val="80"/>
        </w:rPr>
        <w:t xml:space="preserve"> </w:t>
      </w:r>
      <w:r>
        <w:t>Professeur</w:t>
      </w:r>
      <w:r>
        <w:rPr>
          <w:spacing w:val="80"/>
        </w:rPr>
        <w:t xml:space="preserve"> </w:t>
      </w:r>
      <w:r>
        <w:t>Titulaire</w:t>
      </w:r>
      <w:r>
        <w:rPr>
          <w:spacing w:val="80"/>
        </w:rPr>
        <w:t xml:space="preserve"> </w:t>
      </w:r>
      <w:r>
        <w:t>en</w:t>
      </w:r>
      <w:r>
        <w:rPr>
          <w:spacing w:val="80"/>
        </w:rPr>
        <w:t xml:space="preserve"> </w:t>
      </w:r>
      <w:r>
        <w:t>sciences</w:t>
      </w:r>
      <w:r>
        <w:rPr>
          <w:spacing w:val="80"/>
        </w:rPr>
        <w:t xml:space="preserve"> </w:t>
      </w:r>
      <w:r>
        <w:t>de</w:t>
      </w:r>
      <w:r>
        <w:rPr>
          <w:spacing w:val="80"/>
        </w:rPr>
        <w:t xml:space="preserve"> </w:t>
      </w:r>
      <w:r>
        <w:t>l’éducation,</w:t>
      </w:r>
      <w:r>
        <w:rPr>
          <w:spacing w:val="40"/>
        </w:rPr>
        <w:t xml:space="preserve"> </w:t>
      </w:r>
      <w:r>
        <w:t>Université d’Abomey-Calavi (Bénin),</w:t>
      </w:r>
    </w:p>
    <w:p w14:paraId="6AA36D73" w14:textId="77777777" w:rsidR="001248F7" w:rsidRDefault="003518BE">
      <w:pPr>
        <w:pStyle w:val="Corpsdetexte"/>
        <w:spacing w:before="122"/>
        <w:ind w:left="568"/>
        <w:jc w:val="left"/>
      </w:pPr>
      <w:r>
        <w:t>TRAOR</w:t>
      </w:r>
      <w:r>
        <w:rPr>
          <w:rFonts w:ascii="Palatino Linotype" w:hAnsi="Palatino Linotype"/>
        </w:rPr>
        <w:t>É</w:t>
      </w:r>
      <w:r>
        <w:rPr>
          <w:rFonts w:ascii="Palatino Linotype" w:hAnsi="Palatino Linotype"/>
          <w:spacing w:val="75"/>
        </w:rPr>
        <w:t xml:space="preserve"> </w:t>
      </w:r>
      <w:r>
        <w:t>Kalifa,</w:t>
      </w:r>
      <w:r>
        <w:rPr>
          <w:spacing w:val="74"/>
        </w:rPr>
        <w:t xml:space="preserve"> </w:t>
      </w:r>
      <w:r>
        <w:t>Professeur</w:t>
      </w:r>
      <w:r>
        <w:rPr>
          <w:spacing w:val="73"/>
        </w:rPr>
        <w:t xml:space="preserve"> </w:t>
      </w:r>
      <w:r>
        <w:t>titulaire</w:t>
      </w:r>
      <w:r>
        <w:rPr>
          <w:spacing w:val="73"/>
        </w:rPr>
        <w:t xml:space="preserve"> </w:t>
      </w:r>
      <w:r>
        <w:t>en</w:t>
      </w:r>
      <w:r>
        <w:rPr>
          <w:spacing w:val="74"/>
        </w:rPr>
        <w:t xml:space="preserve"> </w:t>
      </w:r>
      <w:r>
        <w:t>didactique</w:t>
      </w:r>
      <w:r>
        <w:rPr>
          <w:spacing w:val="74"/>
        </w:rPr>
        <w:t xml:space="preserve"> </w:t>
      </w:r>
      <w:r>
        <w:t>des</w:t>
      </w:r>
      <w:r>
        <w:rPr>
          <w:spacing w:val="75"/>
        </w:rPr>
        <w:t xml:space="preserve"> </w:t>
      </w:r>
      <w:r>
        <w:t>mathématiques,</w:t>
      </w:r>
      <w:r>
        <w:rPr>
          <w:spacing w:val="74"/>
        </w:rPr>
        <w:t xml:space="preserve"> </w:t>
      </w:r>
      <w:r>
        <w:t>École</w:t>
      </w:r>
      <w:r>
        <w:rPr>
          <w:spacing w:val="74"/>
        </w:rPr>
        <w:t xml:space="preserve"> </w:t>
      </w:r>
      <w:r>
        <w:t>Normale Supérieure (Burkina Faso),</w:t>
      </w:r>
    </w:p>
    <w:p w14:paraId="1AAAC4F3" w14:textId="77777777" w:rsidR="001248F7" w:rsidRDefault="003518BE">
      <w:pPr>
        <w:pStyle w:val="Corpsdetexte"/>
        <w:spacing w:before="119"/>
        <w:ind w:left="568"/>
        <w:jc w:val="left"/>
      </w:pPr>
      <w:r>
        <w:t>SOKHNA</w:t>
      </w:r>
      <w:r>
        <w:rPr>
          <w:spacing w:val="80"/>
        </w:rPr>
        <w:t xml:space="preserve"> </w:t>
      </w:r>
      <w:r>
        <w:t>Moustapha,</w:t>
      </w:r>
      <w:r>
        <w:rPr>
          <w:spacing w:val="80"/>
        </w:rPr>
        <w:t xml:space="preserve"> </w:t>
      </w:r>
      <w:r>
        <w:t>Professeur</w:t>
      </w:r>
      <w:r>
        <w:rPr>
          <w:spacing w:val="80"/>
        </w:rPr>
        <w:t xml:space="preserve"> </w:t>
      </w:r>
      <w:r>
        <w:t>Titulaire</w:t>
      </w:r>
      <w:r>
        <w:rPr>
          <w:spacing w:val="80"/>
        </w:rPr>
        <w:t xml:space="preserve"> </w:t>
      </w:r>
      <w:r>
        <w:t>en</w:t>
      </w:r>
      <w:r>
        <w:rPr>
          <w:spacing w:val="80"/>
        </w:rPr>
        <w:t xml:space="preserve"> </w:t>
      </w:r>
      <w:r>
        <w:t>didactique</w:t>
      </w:r>
      <w:r>
        <w:rPr>
          <w:spacing w:val="80"/>
        </w:rPr>
        <w:t xml:space="preserve"> </w:t>
      </w:r>
      <w:r>
        <w:t>des</w:t>
      </w:r>
      <w:r>
        <w:rPr>
          <w:spacing w:val="80"/>
        </w:rPr>
        <w:t xml:space="preserve"> </w:t>
      </w:r>
      <w:r>
        <w:t>mathématiques,</w:t>
      </w:r>
      <w:r>
        <w:rPr>
          <w:spacing w:val="80"/>
        </w:rPr>
        <w:t xml:space="preserve"> </w:t>
      </w:r>
      <w:r>
        <w:t>FASTEF Université Cheikh Anta DIOP de Dakar (Sénégal),</w:t>
      </w:r>
    </w:p>
    <w:p w14:paraId="24524E88" w14:textId="77777777" w:rsidR="001248F7" w:rsidRDefault="003518BE">
      <w:pPr>
        <w:pStyle w:val="Corpsdetexte"/>
        <w:ind w:left="568" w:right="287"/>
        <w:jc w:val="left"/>
      </w:pPr>
      <w:r>
        <w:t>COMPAORE Maxime, Directeur de recherche en histoire de l’éducation, CNRST (Burkina</w:t>
      </w:r>
      <w:r>
        <w:rPr>
          <w:spacing w:val="40"/>
        </w:rPr>
        <w:t xml:space="preserve"> </w:t>
      </w:r>
      <w:r>
        <w:rPr>
          <w:spacing w:val="-2"/>
        </w:rPr>
        <w:t>Faso),</w:t>
      </w:r>
    </w:p>
    <w:p w14:paraId="049B905A" w14:textId="77777777" w:rsidR="001248F7" w:rsidRDefault="003518BE">
      <w:pPr>
        <w:pStyle w:val="Corpsdetexte"/>
        <w:ind w:left="568"/>
        <w:jc w:val="left"/>
      </w:pPr>
      <w:r>
        <w:t>FERREIRA-MEYERS Karen, Professeure</w:t>
      </w:r>
      <w:r>
        <w:rPr>
          <w:spacing w:val="-2"/>
        </w:rPr>
        <w:t xml:space="preserve"> </w:t>
      </w:r>
      <w:r>
        <w:t>Titulaire</w:t>
      </w:r>
      <w:r>
        <w:rPr>
          <w:spacing w:val="-1"/>
        </w:rPr>
        <w:t xml:space="preserve"> </w:t>
      </w:r>
      <w:r>
        <w:t>en linguistique, Université of</w:t>
      </w:r>
      <w:r>
        <w:rPr>
          <w:spacing w:val="-1"/>
        </w:rPr>
        <w:t xml:space="preserve"> </w:t>
      </w:r>
      <w:r>
        <w:t>Eswatini en Eswatini (Afrique australe),</w:t>
      </w:r>
    </w:p>
    <w:p w14:paraId="5EFD711C" w14:textId="77777777" w:rsidR="001248F7" w:rsidRDefault="003518BE">
      <w:pPr>
        <w:pStyle w:val="Corpsdetexte"/>
        <w:ind w:left="568" w:right="289"/>
        <w:jc w:val="left"/>
      </w:pPr>
      <w:r>
        <w:t>KONKOBO/KABORÉ</w:t>
      </w:r>
      <w:r>
        <w:rPr>
          <w:spacing w:val="40"/>
        </w:rPr>
        <w:t xml:space="preserve"> </w:t>
      </w:r>
      <w:r>
        <w:t>Madeleine,</w:t>
      </w:r>
      <w:r>
        <w:rPr>
          <w:spacing w:val="40"/>
        </w:rPr>
        <w:t xml:space="preserve"> </w:t>
      </w:r>
      <w:r>
        <w:t>Directrice</w:t>
      </w:r>
      <w:r>
        <w:rPr>
          <w:spacing w:val="40"/>
        </w:rPr>
        <w:t xml:space="preserve"> </w:t>
      </w:r>
      <w:r>
        <w:t>de</w:t>
      </w:r>
      <w:r>
        <w:rPr>
          <w:spacing w:val="40"/>
        </w:rPr>
        <w:t xml:space="preserve"> </w:t>
      </w:r>
      <w:r>
        <w:t>recherche</w:t>
      </w:r>
      <w:r>
        <w:rPr>
          <w:spacing w:val="40"/>
        </w:rPr>
        <w:t xml:space="preserve"> </w:t>
      </w:r>
      <w:r>
        <w:t>en</w:t>
      </w:r>
      <w:r>
        <w:rPr>
          <w:spacing w:val="40"/>
        </w:rPr>
        <w:t xml:space="preserve"> </w:t>
      </w:r>
      <w:r>
        <w:t>sociologie</w:t>
      </w:r>
      <w:r>
        <w:rPr>
          <w:spacing w:val="40"/>
        </w:rPr>
        <w:t xml:space="preserve"> </w:t>
      </w:r>
      <w:r>
        <w:t>de</w:t>
      </w:r>
      <w:r>
        <w:rPr>
          <w:spacing w:val="40"/>
        </w:rPr>
        <w:t xml:space="preserve"> </w:t>
      </w:r>
      <w:r>
        <w:t>l’éducation,</w:t>
      </w:r>
      <w:r>
        <w:rPr>
          <w:spacing w:val="40"/>
        </w:rPr>
        <w:t xml:space="preserve"> </w:t>
      </w:r>
      <w:r>
        <w:t>CNRST (Burkina Faso),</w:t>
      </w:r>
    </w:p>
    <w:p w14:paraId="3BE923A7" w14:textId="77777777" w:rsidR="001248F7" w:rsidRDefault="003518BE">
      <w:pPr>
        <w:pStyle w:val="Corpsdetexte"/>
        <w:spacing w:before="121"/>
        <w:ind w:left="568" w:right="289"/>
        <w:jc w:val="left"/>
      </w:pPr>
      <w:r>
        <w:t xml:space="preserve">PARI </w:t>
      </w:r>
      <w:proofErr w:type="spellStart"/>
      <w:r>
        <w:t>Paboussoum</w:t>
      </w:r>
      <w:proofErr w:type="spellEnd"/>
      <w:r>
        <w:t xml:space="preserve">, Professeur Titulaire de Psychologie de l’éducation, Université de Lomé, </w:t>
      </w:r>
      <w:r>
        <w:rPr>
          <w:spacing w:val="-2"/>
        </w:rPr>
        <w:t>(Togo),</w:t>
      </w:r>
    </w:p>
    <w:p w14:paraId="7A098765" w14:textId="77777777" w:rsidR="001248F7" w:rsidRDefault="003518BE">
      <w:pPr>
        <w:pStyle w:val="Corpsdetexte"/>
        <w:ind w:left="568"/>
        <w:jc w:val="left"/>
      </w:pPr>
      <w:r>
        <w:t>BALDE</w:t>
      </w:r>
      <w:r>
        <w:rPr>
          <w:spacing w:val="40"/>
        </w:rPr>
        <w:t xml:space="preserve"> </w:t>
      </w:r>
      <w:proofErr w:type="spellStart"/>
      <w:r>
        <w:t>Djéneba</w:t>
      </w:r>
      <w:proofErr w:type="spellEnd"/>
      <w:r>
        <w:t>,</w:t>
      </w:r>
      <w:r>
        <w:rPr>
          <w:spacing w:val="40"/>
        </w:rPr>
        <w:t xml:space="preserve"> </w:t>
      </w:r>
      <w:r>
        <w:t>Professeure</w:t>
      </w:r>
      <w:r>
        <w:rPr>
          <w:spacing w:val="40"/>
        </w:rPr>
        <w:t xml:space="preserve"> </w:t>
      </w:r>
      <w:r>
        <w:t>Titulaire</w:t>
      </w:r>
      <w:r>
        <w:rPr>
          <w:spacing w:val="40"/>
        </w:rPr>
        <w:t xml:space="preserve"> </w:t>
      </w:r>
      <w:r>
        <w:t>en</w:t>
      </w:r>
      <w:r>
        <w:rPr>
          <w:spacing w:val="40"/>
        </w:rPr>
        <w:t xml:space="preserve"> </w:t>
      </w:r>
      <w:r>
        <w:t>administration</w:t>
      </w:r>
      <w:r>
        <w:rPr>
          <w:spacing w:val="40"/>
        </w:rPr>
        <w:t xml:space="preserve"> </w:t>
      </w:r>
      <w:r>
        <w:t>scolaire,</w:t>
      </w:r>
      <w:r>
        <w:rPr>
          <w:spacing w:val="40"/>
        </w:rPr>
        <w:t xml:space="preserve"> </w:t>
      </w:r>
      <w:r>
        <w:t>Institut</w:t>
      </w:r>
      <w:r>
        <w:rPr>
          <w:spacing w:val="40"/>
        </w:rPr>
        <w:t xml:space="preserve"> </w:t>
      </w:r>
      <w:r>
        <w:t>Supérieur</w:t>
      </w:r>
      <w:r>
        <w:rPr>
          <w:spacing w:val="40"/>
        </w:rPr>
        <w:t xml:space="preserve"> </w:t>
      </w:r>
      <w:r>
        <w:t>des Sciences de l’éducation, (Guinée),</w:t>
      </w:r>
    </w:p>
    <w:p w14:paraId="5A9C23B4" w14:textId="77777777" w:rsidR="001248F7" w:rsidRDefault="003518BE">
      <w:pPr>
        <w:pStyle w:val="Corpsdetexte"/>
        <w:ind w:left="568"/>
        <w:jc w:val="left"/>
      </w:pPr>
      <w:r>
        <w:t>VALLEAN</w:t>
      </w:r>
      <w:r>
        <w:rPr>
          <w:spacing w:val="80"/>
        </w:rPr>
        <w:t xml:space="preserve"> </w:t>
      </w:r>
      <w:proofErr w:type="spellStart"/>
      <w:r>
        <w:t>Tindaogo</w:t>
      </w:r>
      <w:proofErr w:type="spellEnd"/>
      <w:r>
        <w:t>,</w:t>
      </w:r>
      <w:r>
        <w:rPr>
          <w:spacing w:val="80"/>
        </w:rPr>
        <w:t xml:space="preserve"> </w:t>
      </w:r>
      <w:r>
        <w:t>Professeur</w:t>
      </w:r>
      <w:r>
        <w:rPr>
          <w:spacing w:val="80"/>
        </w:rPr>
        <w:t xml:space="preserve"> </w:t>
      </w:r>
      <w:r>
        <w:t>Titulaire</w:t>
      </w:r>
      <w:r>
        <w:rPr>
          <w:spacing w:val="80"/>
        </w:rPr>
        <w:t xml:space="preserve"> </w:t>
      </w:r>
      <w:r>
        <w:t>(Sciences</w:t>
      </w:r>
      <w:r>
        <w:rPr>
          <w:spacing w:val="80"/>
        </w:rPr>
        <w:t xml:space="preserve"> </w:t>
      </w:r>
      <w:r>
        <w:t>de</w:t>
      </w:r>
      <w:r>
        <w:rPr>
          <w:spacing w:val="80"/>
        </w:rPr>
        <w:t xml:space="preserve"> </w:t>
      </w:r>
      <w:r>
        <w:t>l’éducation),</w:t>
      </w:r>
      <w:r>
        <w:rPr>
          <w:spacing w:val="80"/>
        </w:rPr>
        <w:t xml:space="preserve"> </w:t>
      </w:r>
      <w:r>
        <w:t>École</w:t>
      </w:r>
      <w:r>
        <w:rPr>
          <w:spacing w:val="80"/>
        </w:rPr>
        <w:t xml:space="preserve"> </w:t>
      </w:r>
      <w:r>
        <w:t>Normale</w:t>
      </w:r>
      <w:r>
        <w:rPr>
          <w:spacing w:val="40"/>
        </w:rPr>
        <w:t xml:space="preserve"> </w:t>
      </w:r>
      <w:r>
        <w:t>Supérieure (Burkina Faso),</w:t>
      </w:r>
    </w:p>
    <w:p w14:paraId="33128D87" w14:textId="77777777" w:rsidR="001248F7" w:rsidRDefault="003518BE">
      <w:pPr>
        <w:pStyle w:val="Corpsdetexte"/>
        <w:ind w:left="568" w:right="287"/>
        <w:jc w:val="left"/>
      </w:pPr>
      <w:r>
        <w:t>SY Harouna, Professeur Titulaire en sociologie de l’éducation, FASTEF, Université Cheikh Anta DIOP de Dakar (Sénégal),</w:t>
      </w:r>
    </w:p>
    <w:p w14:paraId="69CC456A" w14:textId="77777777" w:rsidR="001248F7" w:rsidRDefault="003518BE">
      <w:pPr>
        <w:pStyle w:val="Corpsdetexte"/>
        <w:ind w:left="568" w:right="287"/>
        <w:jc w:val="left"/>
      </w:pPr>
      <w:r>
        <w:t xml:space="preserve">TCHABLE </w:t>
      </w:r>
      <w:proofErr w:type="spellStart"/>
      <w:r>
        <w:t>Boussanlègue</w:t>
      </w:r>
      <w:proofErr w:type="spellEnd"/>
      <w:r>
        <w:t>, Professeur Titulaire en Psychologie de l’Éducation, Université de Kara (Togo),</w:t>
      </w:r>
    </w:p>
    <w:p w14:paraId="5C8FD763" w14:textId="77777777" w:rsidR="001248F7" w:rsidRDefault="003518BE">
      <w:pPr>
        <w:pStyle w:val="Corpsdetexte"/>
        <w:spacing w:before="121"/>
        <w:ind w:left="568" w:right="289"/>
        <w:jc w:val="left"/>
      </w:pPr>
      <w:r>
        <w:t>DIALLO</w:t>
      </w:r>
      <w:r>
        <w:rPr>
          <w:spacing w:val="40"/>
        </w:rPr>
        <w:t xml:space="preserve"> </w:t>
      </w:r>
      <w:r>
        <w:t>Mamadou</w:t>
      </w:r>
      <w:r>
        <w:rPr>
          <w:spacing w:val="40"/>
        </w:rPr>
        <w:t xml:space="preserve"> </w:t>
      </w:r>
      <w:r>
        <w:t>Cellou,</w:t>
      </w:r>
      <w:r>
        <w:rPr>
          <w:spacing w:val="40"/>
        </w:rPr>
        <w:t xml:space="preserve"> </w:t>
      </w:r>
      <w:r>
        <w:t>Professeur</w:t>
      </w:r>
      <w:r>
        <w:rPr>
          <w:spacing w:val="40"/>
        </w:rPr>
        <w:t xml:space="preserve"> </w:t>
      </w:r>
      <w:r>
        <w:t>Titulaire</w:t>
      </w:r>
      <w:r>
        <w:rPr>
          <w:spacing w:val="40"/>
        </w:rPr>
        <w:t xml:space="preserve"> </w:t>
      </w:r>
      <w:r>
        <w:t>en</w:t>
      </w:r>
      <w:r>
        <w:rPr>
          <w:spacing w:val="40"/>
        </w:rPr>
        <w:t xml:space="preserve"> </w:t>
      </w:r>
      <w:r>
        <w:t>évaluation</w:t>
      </w:r>
      <w:r>
        <w:rPr>
          <w:spacing w:val="40"/>
        </w:rPr>
        <w:t xml:space="preserve"> </w:t>
      </w:r>
      <w:r>
        <w:t>des</w:t>
      </w:r>
      <w:r>
        <w:rPr>
          <w:spacing w:val="40"/>
        </w:rPr>
        <w:t xml:space="preserve"> </w:t>
      </w:r>
      <w:r>
        <w:t>programmes</w:t>
      </w:r>
      <w:r>
        <w:rPr>
          <w:spacing w:val="40"/>
        </w:rPr>
        <w:t xml:space="preserve"> </w:t>
      </w:r>
      <w:r>
        <w:t>scolaires, Institut supérieur des sciences de l’éducation (Guinée),</w:t>
      </w:r>
    </w:p>
    <w:p w14:paraId="1546CFAD" w14:textId="77777777" w:rsidR="001248F7" w:rsidRDefault="003518BE">
      <w:pPr>
        <w:pStyle w:val="Corpsdetexte"/>
        <w:ind w:left="568"/>
        <w:jc w:val="left"/>
      </w:pPr>
      <w:r>
        <w:t>ACKOUNDOU</w:t>
      </w:r>
      <w:r>
        <w:rPr>
          <w:spacing w:val="40"/>
        </w:rPr>
        <w:t xml:space="preserve"> </w:t>
      </w:r>
      <w:r>
        <w:t>NGUESSAN</w:t>
      </w:r>
      <w:r>
        <w:rPr>
          <w:spacing w:val="40"/>
        </w:rPr>
        <w:t xml:space="preserve"> </w:t>
      </w:r>
      <w:r>
        <w:t>Kouamé,</w:t>
      </w:r>
      <w:r>
        <w:rPr>
          <w:spacing w:val="40"/>
        </w:rPr>
        <w:t xml:space="preserve"> </w:t>
      </w:r>
      <w:r>
        <w:t>Professeur</w:t>
      </w:r>
      <w:r>
        <w:rPr>
          <w:spacing w:val="40"/>
        </w:rPr>
        <w:t xml:space="preserve"> </w:t>
      </w:r>
      <w:r>
        <w:t>titulaire</w:t>
      </w:r>
      <w:r>
        <w:rPr>
          <w:spacing w:val="40"/>
        </w:rPr>
        <w:t xml:space="preserve"> </w:t>
      </w:r>
      <w:r>
        <w:t>en</w:t>
      </w:r>
      <w:r>
        <w:rPr>
          <w:spacing w:val="40"/>
        </w:rPr>
        <w:t xml:space="preserve"> </w:t>
      </w:r>
      <w:r>
        <w:t>didactique</w:t>
      </w:r>
      <w:r>
        <w:rPr>
          <w:spacing w:val="40"/>
        </w:rPr>
        <w:t xml:space="preserve"> </w:t>
      </w:r>
      <w:r>
        <w:t>des</w:t>
      </w:r>
      <w:r>
        <w:rPr>
          <w:spacing w:val="40"/>
        </w:rPr>
        <w:t xml:space="preserve"> </w:t>
      </w:r>
      <w:r>
        <w:t>disciplines, École Normale Supérieure (Côte d’Ivoire),</w:t>
      </w:r>
    </w:p>
    <w:p w14:paraId="5899EA1A" w14:textId="77777777" w:rsidR="001248F7" w:rsidRDefault="003518BE">
      <w:pPr>
        <w:pStyle w:val="Corpsdetexte"/>
        <w:spacing w:before="117"/>
        <w:ind w:left="568"/>
        <w:jc w:val="left"/>
      </w:pPr>
      <w:r>
        <w:t>KYELEM</w:t>
      </w:r>
      <w:r>
        <w:rPr>
          <w:spacing w:val="79"/>
        </w:rPr>
        <w:t xml:space="preserve"> </w:t>
      </w:r>
      <w:r>
        <w:t>Mathias,</w:t>
      </w:r>
      <w:r>
        <w:rPr>
          <w:spacing w:val="80"/>
        </w:rPr>
        <w:t xml:space="preserve"> </w:t>
      </w:r>
      <w:r>
        <w:t>Maître</w:t>
      </w:r>
      <w:r>
        <w:rPr>
          <w:spacing w:val="78"/>
        </w:rPr>
        <w:t xml:space="preserve"> </w:t>
      </w:r>
      <w:r>
        <w:t>de</w:t>
      </w:r>
      <w:r>
        <w:rPr>
          <w:spacing w:val="78"/>
        </w:rPr>
        <w:t xml:space="preserve"> </w:t>
      </w:r>
      <w:r>
        <w:t>conférences</w:t>
      </w:r>
      <w:r>
        <w:rPr>
          <w:spacing w:val="80"/>
        </w:rPr>
        <w:t xml:space="preserve"> </w:t>
      </w:r>
      <w:r>
        <w:t>en</w:t>
      </w:r>
      <w:r>
        <w:rPr>
          <w:spacing w:val="80"/>
        </w:rPr>
        <w:t xml:space="preserve"> </w:t>
      </w:r>
      <w:r>
        <w:t>didactique</w:t>
      </w:r>
      <w:r>
        <w:rPr>
          <w:spacing w:val="78"/>
        </w:rPr>
        <w:t xml:space="preserve"> </w:t>
      </w:r>
      <w:r>
        <w:t>des</w:t>
      </w:r>
      <w:r>
        <w:rPr>
          <w:spacing w:val="80"/>
        </w:rPr>
        <w:t xml:space="preserve"> </w:t>
      </w:r>
      <w:r>
        <w:t>sciences,</w:t>
      </w:r>
      <w:r>
        <w:rPr>
          <w:spacing w:val="80"/>
        </w:rPr>
        <w:t xml:space="preserve"> </w:t>
      </w:r>
      <w:r>
        <w:t>École</w:t>
      </w:r>
      <w:r>
        <w:rPr>
          <w:spacing w:val="79"/>
        </w:rPr>
        <w:t xml:space="preserve"> </w:t>
      </w:r>
      <w:r>
        <w:t>Normale supérieure de Koudougou (Burkina Faso),</w:t>
      </w:r>
    </w:p>
    <w:p w14:paraId="23B6C183" w14:textId="77777777" w:rsidR="001248F7" w:rsidRDefault="003518BE">
      <w:pPr>
        <w:pStyle w:val="Corpsdetexte"/>
        <w:ind w:left="568" w:right="289"/>
        <w:jc w:val="left"/>
      </w:pPr>
      <w:r>
        <w:t>KOUAWO Achilles, Maître de conférences en sciences de l’éducation, Université de Lomé</w:t>
      </w:r>
      <w:r>
        <w:rPr>
          <w:spacing w:val="40"/>
        </w:rPr>
        <w:t xml:space="preserve"> </w:t>
      </w:r>
      <w:r>
        <w:rPr>
          <w:spacing w:val="-2"/>
        </w:rPr>
        <w:t>(Togo),</w:t>
      </w:r>
    </w:p>
    <w:p w14:paraId="352A7ECE" w14:textId="77777777" w:rsidR="001248F7" w:rsidRDefault="003518BE">
      <w:pPr>
        <w:pStyle w:val="Corpsdetexte"/>
        <w:ind w:left="568" w:right="289"/>
        <w:jc w:val="left"/>
      </w:pPr>
      <w:r>
        <w:t>THIAM Ousseynou, Maître de conférences en sciences de l’éducation, FASTEF Université</w:t>
      </w:r>
      <w:r>
        <w:rPr>
          <w:spacing w:val="40"/>
        </w:rPr>
        <w:t xml:space="preserve"> </w:t>
      </w:r>
      <w:r>
        <w:t>Cheikh Anta Diop de Dakar (Sénégal),</w:t>
      </w:r>
    </w:p>
    <w:p w14:paraId="3A4F71DD" w14:textId="77777777" w:rsidR="001248F7" w:rsidRDefault="003518BE">
      <w:pPr>
        <w:pStyle w:val="Corpsdetexte"/>
        <w:ind w:left="568"/>
        <w:jc w:val="left"/>
      </w:pPr>
      <w:r>
        <w:t>DIEDHIOU</w:t>
      </w:r>
      <w:r>
        <w:rPr>
          <w:spacing w:val="80"/>
        </w:rPr>
        <w:t xml:space="preserve"> </w:t>
      </w:r>
      <w:r>
        <w:t>Serigne</w:t>
      </w:r>
      <w:r>
        <w:rPr>
          <w:spacing w:val="80"/>
        </w:rPr>
        <w:t xml:space="preserve"> </w:t>
      </w:r>
      <w:r>
        <w:t>Ben</w:t>
      </w:r>
      <w:r>
        <w:rPr>
          <w:spacing w:val="80"/>
        </w:rPr>
        <w:t xml:space="preserve"> </w:t>
      </w:r>
      <w:r>
        <w:t>Moustapha,</w:t>
      </w:r>
      <w:r>
        <w:rPr>
          <w:spacing w:val="80"/>
        </w:rPr>
        <w:t xml:space="preserve"> </w:t>
      </w:r>
      <w:r>
        <w:t>PhD,</w:t>
      </w:r>
      <w:r>
        <w:rPr>
          <w:spacing w:val="80"/>
        </w:rPr>
        <w:t xml:space="preserve"> </w:t>
      </w:r>
      <w:r>
        <w:t>Professeur</w:t>
      </w:r>
      <w:r>
        <w:rPr>
          <w:spacing w:val="80"/>
        </w:rPr>
        <w:t xml:space="preserve"> </w:t>
      </w:r>
      <w:r>
        <w:t>en</w:t>
      </w:r>
      <w:r>
        <w:rPr>
          <w:spacing w:val="80"/>
        </w:rPr>
        <w:t xml:space="preserve"> </w:t>
      </w:r>
      <w:r>
        <w:t>éducation</w:t>
      </w:r>
      <w:r>
        <w:rPr>
          <w:spacing w:val="80"/>
        </w:rPr>
        <w:t xml:space="preserve"> </w:t>
      </w:r>
      <w:r>
        <w:t>et</w:t>
      </w:r>
      <w:r>
        <w:rPr>
          <w:spacing w:val="80"/>
        </w:rPr>
        <w:t xml:space="preserve"> </w:t>
      </w:r>
      <w:r>
        <w:t>en</w:t>
      </w:r>
      <w:r>
        <w:rPr>
          <w:spacing w:val="80"/>
        </w:rPr>
        <w:t xml:space="preserve"> </w:t>
      </w:r>
      <w:r>
        <w:t xml:space="preserve">pédagogie </w:t>
      </w:r>
      <w:r>
        <w:rPr>
          <w:spacing w:val="-2"/>
        </w:rPr>
        <w:t>(UQÀM).</w:t>
      </w:r>
    </w:p>
    <w:p w14:paraId="14CFFAA3" w14:textId="77777777" w:rsidR="001248F7" w:rsidRDefault="003518BE">
      <w:pPr>
        <w:pStyle w:val="Corpsdetexte"/>
        <w:spacing w:before="121"/>
        <w:ind w:left="568"/>
        <w:jc w:val="left"/>
      </w:pPr>
      <w:r>
        <w:t>PAMBOU</w:t>
      </w:r>
      <w:r>
        <w:rPr>
          <w:spacing w:val="40"/>
        </w:rPr>
        <w:t xml:space="preserve"> </w:t>
      </w:r>
      <w:r>
        <w:t>Jean-Aimé,</w:t>
      </w:r>
      <w:r>
        <w:rPr>
          <w:spacing w:val="40"/>
        </w:rPr>
        <w:t xml:space="preserve"> </w:t>
      </w:r>
      <w:r>
        <w:t>Maître</w:t>
      </w:r>
      <w:r>
        <w:rPr>
          <w:spacing w:val="40"/>
        </w:rPr>
        <w:t xml:space="preserve"> </w:t>
      </w:r>
      <w:r>
        <w:t>de</w:t>
      </w:r>
      <w:r>
        <w:rPr>
          <w:spacing w:val="40"/>
        </w:rPr>
        <w:t xml:space="preserve"> </w:t>
      </w:r>
      <w:r>
        <w:t>conférences</w:t>
      </w:r>
      <w:r>
        <w:rPr>
          <w:spacing w:val="40"/>
        </w:rPr>
        <w:t xml:space="preserve"> </w:t>
      </w:r>
      <w:r>
        <w:t>en</w:t>
      </w:r>
      <w:r>
        <w:rPr>
          <w:spacing w:val="40"/>
        </w:rPr>
        <w:t xml:space="preserve"> </w:t>
      </w:r>
      <w:r>
        <w:t>sciences</w:t>
      </w:r>
      <w:r>
        <w:rPr>
          <w:spacing w:val="40"/>
        </w:rPr>
        <w:t xml:space="preserve"> </w:t>
      </w:r>
      <w:r>
        <w:t>de</w:t>
      </w:r>
      <w:r>
        <w:rPr>
          <w:spacing w:val="40"/>
        </w:rPr>
        <w:t xml:space="preserve"> </w:t>
      </w:r>
      <w:r>
        <w:t>l’éducation,</w:t>
      </w:r>
      <w:r>
        <w:rPr>
          <w:spacing w:val="40"/>
        </w:rPr>
        <w:t xml:space="preserve"> </w:t>
      </w:r>
      <w:r>
        <w:t>École</w:t>
      </w:r>
      <w:r>
        <w:rPr>
          <w:spacing w:val="40"/>
        </w:rPr>
        <w:t xml:space="preserve"> </w:t>
      </w:r>
      <w:r>
        <w:t>Normale Supérieure, Libreville, (Gabon),</w:t>
      </w:r>
    </w:p>
    <w:p w14:paraId="09CF0068" w14:textId="77777777" w:rsidR="001248F7" w:rsidRDefault="003518BE">
      <w:pPr>
        <w:pStyle w:val="Corpsdetexte"/>
        <w:ind w:left="568"/>
        <w:jc w:val="left"/>
      </w:pPr>
      <w:r>
        <w:t>QUENTIN Franck de Mongaryas, Maître de conférences en Sciences de l’éducation, École</w:t>
      </w:r>
      <w:r>
        <w:rPr>
          <w:spacing w:val="80"/>
        </w:rPr>
        <w:t xml:space="preserve"> </w:t>
      </w:r>
      <w:r>
        <w:t>Normale Supérieure, Libreville, (Gabon),</w:t>
      </w:r>
    </w:p>
    <w:p w14:paraId="654F4A4E" w14:textId="77777777" w:rsidR="001248F7" w:rsidRDefault="001248F7">
      <w:pPr>
        <w:pStyle w:val="Corpsdetexte"/>
        <w:jc w:val="left"/>
        <w:sectPr w:rsidR="001248F7">
          <w:footnotePr>
            <w:numRestart w:val="eachPage"/>
          </w:footnotePr>
          <w:pgSz w:w="11910" w:h="16840"/>
          <w:pgMar w:top="1080" w:right="1133" w:bottom="2120" w:left="850" w:header="847" w:footer="1865" w:gutter="0"/>
          <w:cols w:space="720"/>
        </w:sectPr>
      </w:pPr>
    </w:p>
    <w:p w14:paraId="2DE278D7" w14:textId="77777777" w:rsidR="001248F7" w:rsidRDefault="001248F7">
      <w:pPr>
        <w:pStyle w:val="Corpsdetexte"/>
        <w:spacing w:before="49"/>
        <w:ind w:left="0"/>
        <w:jc w:val="left"/>
      </w:pPr>
    </w:p>
    <w:p w14:paraId="64429629" w14:textId="77777777" w:rsidR="001248F7" w:rsidRDefault="003518BE">
      <w:pPr>
        <w:pStyle w:val="Corpsdetexte"/>
        <w:spacing w:before="0"/>
        <w:ind w:left="568"/>
        <w:jc w:val="left"/>
      </w:pPr>
      <w:r>
        <w:t>BETOKO Ambassa Marie-Thérèse, Maître de conférences en littérature francophone, École Normale Supérieure de Yaoundé (Cameroun),</w:t>
      </w:r>
    </w:p>
    <w:p w14:paraId="69879CBA" w14:textId="77777777" w:rsidR="001248F7" w:rsidRDefault="003518BE">
      <w:pPr>
        <w:pStyle w:val="Corpsdetexte"/>
        <w:spacing w:before="121"/>
        <w:ind w:left="568" w:right="287"/>
        <w:jc w:val="left"/>
      </w:pPr>
      <w:r>
        <w:t>ASSEMBE ELA Charles Philippe, Maître de Conférences CAMES, Esthétique, philosophie de l’art et de Culture, École Normale Supérieure, (Gabon),</w:t>
      </w:r>
    </w:p>
    <w:p w14:paraId="129472C0" w14:textId="77777777" w:rsidR="001248F7" w:rsidRDefault="003518BE">
      <w:pPr>
        <w:pStyle w:val="Corpsdetexte"/>
        <w:ind w:left="568"/>
        <w:jc w:val="left"/>
      </w:pPr>
      <w:r>
        <w:t>BONANE Rodrigue Paulin, Maître de recherche</w:t>
      </w:r>
      <w:r>
        <w:rPr>
          <w:spacing w:val="28"/>
        </w:rPr>
        <w:t xml:space="preserve"> </w:t>
      </w:r>
      <w:r>
        <w:t>en philosophie de l’éducation, Institut des</w:t>
      </w:r>
      <w:r>
        <w:rPr>
          <w:spacing w:val="80"/>
        </w:rPr>
        <w:t xml:space="preserve"> </w:t>
      </w:r>
      <w:r>
        <w:t>Sciences des Sociétés/CNRST</w:t>
      </w:r>
      <w:proofErr w:type="gramStart"/>
      <w:r>
        <w:t>/(</w:t>
      </w:r>
      <w:proofErr w:type="gramEnd"/>
      <w:r>
        <w:t>Burkina Faso),</w:t>
      </w:r>
    </w:p>
    <w:p w14:paraId="6402E7CB" w14:textId="77777777" w:rsidR="001248F7" w:rsidRDefault="003518BE">
      <w:pPr>
        <w:pStyle w:val="Corpsdetexte"/>
        <w:ind w:left="568" w:right="289"/>
        <w:jc w:val="left"/>
      </w:pPr>
      <w:r>
        <w:t>CONGO Aoua Carole épouse BAMBARA, Maître de recherche en Linguistique, Institut des Sciences des Sociétés/CNRST (Burkina Faso),</w:t>
      </w:r>
    </w:p>
    <w:p w14:paraId="5E8351DA" w14:textId="77777777" w:rsidR="001248F7" w:rsidRDefault="003518BE">
      <w:pPr>
        <w:pStyle w:val="Corpsdetexte"/>
        <w:ind w:left="568"/>
        <w:jc w:val="left"/>
      </w:pPr>
      <w:r>
        <w:t>HOUEDENOU</w:t>
      </w:r>
      <w:r>
        <w:rPr>
          <w:spacing w:val="40"/>
        </w:rPr>
        <w:t xml:space="preserve"> </w:t>
      </w:r>
      <w:r>
        <w:t>Florentine</w:t>
      </w:r>
      <w:r>
        <w:rPr>
          <w:spacing w:val="40"/>
        </w:rPr>
        <w:t xml:space="preserve"> </w:t>
      </w:r>
      <w:r>
        <w:t>Adjouavi,</w:t>
      </w:r>
      <w:r>
        <w:rPr>
          <w:spacing w:val="40"/>
        </w:rPr>
        <w:t xml:space="preserve"> </w:t>
      </w:r>
      <w:r>
        <w:t>Maître</w:t>
      </w:r>
      <w:r>
        <w:rPr>
          <w:spacing w:val="40"/>
        </w:rPr>
        <w:t xml:space="preserve"> </w:t>
      </w:r>
      <w:r>
        <w:t>de</w:t>
      </w:r>
      <w:r>
        <w:rPr>
          <w:spacing w:val="40"/>
        </w:rPr>
        <w:t xml:space="preserve"> </w:t>
      </w:r>
      <w:r>
        <w:t>Conférences</w:t>
      </w:r>
      <w:r>
        <w:rPr>
          <w:spacing w:val="40"/>
        </w:rPr>
        <w:t xml:space="preserve"> </w:t>
      </w:r>
      <w:r>
        <w:t>en</w:t>
      </w:r>
      <w:r>
        <w:rPr>
          <w:spacing w:val="40"/>
        </w:rPr>
        <w:t xml:space="preserve"> </w:t>
      </w:r>
      <w:r>
        <w:t>Sciences</w:t>
      </w:r>
      <w:r>
        <w:rPr>
          <w:spacing w:val="40"/>
        </w:rPr>
        <w:t xml:space="preserve"> </w:t>
      </w:r>
      <w:r>
        <w:t>de</w:t>
      </w:r>
      <w:r>
        <w:rPr>
          <w:spacing w:val="40"/>
        </w:rPr>
        <w:t xml:space="preserve"> </w:t>
      </w:r>
      <w:r>
        <w:t>l’Éducation, Université d’Abomey-Calavi (Bénin),</w:t>
      </w:r>
    </w:p>
    <w:p w14:paraId="6EE802BE" w14:textId="77777777" w:rsidR="001248F7" w:rsidRDefault="003518BE">
      <w:pPr>
        <w:pStyle w:val="Corpsdetexte"/>
        <w:ind w:left="568" w:right="289"/>
        <w:jc w:val="left"/>
      </w:pPr>
      <w:r>
        <w:t>NAPPORN</w:t>
      </w:r>
      <w:r>
        <w:rPr>
          <w:spacing w:val="80"/>
        </w:rPr>
        <w:t xml:space="preserve"> </w:t>
      </w:r>
      <w:r>
        <w:t>Clarisse,</w:t>
      </w:r>
      <w:r>
        <w:rPr>
          <w:spacing w:val="80"/>
        </w:rPr>
        <w:t xml:space="preserve"> </w:t>
      </w:r>
      <w:r>
        <w:t>Maître</w:t>
      </w:r>
      <w:r>
        <w:rPr>
          <w:spacing w:val="80"/>
        </w:rPr>
        <w:t xml:space="preserve"> </w:t>
      </w:r>
      <w:r>
        <w:t>de</w:t>
      </w:r>
      <w:r>
        <w:rPr>
          <w:spacing w:val="80"/>
        </w:rPr>
        <w:t xml:space="preserve"> </w:t>
      </w:r>
      <w:r>
        <w:t>Conférences</w:t>
      </w:r>
      <w:r>
        <w:rPr>
          <w:spacing w:val="80"/>
        </w:rPr>
        <w:t xml:space="preserve"> </w:t>
      </w:r>
      <w:r>
        <w:t>en</w:t>
      </w:r>
      <w:r>
        <w:rPr>
          <w:spacing w:val="80"/>
        </w:rPr>
        <w:t xml:space="preserve"> </w:t>
      </w:r>
      <w:r>
        <w:t>Sciences</w:t>
      </w:r>
      <w:r>
        <w:rPr>
          <w:spacing w:val="80"/>
        </w:rPr>
        <w:t xml:space="preserve"> </w:t>
      </w:r>
      <w:r>
        <w:t>de</w:t>
      </w:r>
      <w:r>
        <w:rPr>
          <w:spacing w:val="80"/>
        </w:rPr>
        <w:t xml:space="preserve"> </w:t>
      </w:r>
      <w:r>
        <w:t>l’Éducation,</w:t>
      </w:r>
      <w:r>
        <w:rPr>
          <w:spacing w:val="80"/>
        </w:rPr>
        <w:t xml:space="preserve"> </w:t>
      </w:r>
      <w:r>
        <w:t>Université</w:t>
      </w:r>
      <w:r>
        <w:rPr>
          <w:spacing w:val="80"/>
        </w:rPr>
        <w:t xml:space="preserve"> </w:t>
      </w:r>
      <w:r>
        <w:t>d’Abomey-Calavi (Bénin),</w:t>
      </w:r>
    </w:p>
    <w:p w14:paraId="55BE181A" w14:textId="77777777" w:rsidR="001248F7" w:rsidRDefault="003518BE">
      <w:pPr>
        <w:pStyle w:val="Corpsdetexte"/>
        <w:spacing w:before="121"/>
        <w:ind w:left="568"/>
        <w:jc w:val="left"/>
      </w:pPr>
      <w:r>
        <w:t>DIOP</w:t>
      </w:r>
      <w:r>
        <w:rPr>
          <w:spacing w:val="30"/>
        </w:rPr>
        <w:t xml:space="preserve"> </w:t>
      </w:r>
      <w:r>
        <w:t>Papa</w:t>
      </w:r>
      <w:r>
        <w:rPr>
          <w:spacing w:val="30"/>
        </w:rPr>
        <w:t xml:space="preserve"> </w:t>
      </w:r>
      <w:r>
        <w:t>Mamour,</w:t>
      </w:r>
      <w:r>
        <w:rPr>
          <w:spacing w:val="30"/>
        </w:rPr>
        <w:t xml:space="preserve"> </w:t>
      </w:r>
      <w:r>
        <w:t>Maître</w:t>
      </w:r>
      <w:r>
        <w:rPr>
          <w:spacing w:val="29"/>
        </w:rPr>
        <w:t xml:space="preserve"> </w:t>
      </w:r>
      <w:r>
        <w:t>de</w:t>
      </w:r>
      <w:r>
        <w:rPr>
          <w:spacing w:val="31"/>
        </w:rPr>
        <w:t xml:space="preserve"> </w:t>
      </w:r>
      <w:r>
        <w:t>Conférences</w:t>
      </w:r>
      <w:r>
        <w:rPr>
          <w:spacing w:val="32"/>
        </w:rPr>
        <w:t xml:space="preserve"> </w:t>
      </w:r>
      <w:r>
        <w:t>en</w:t>
      </w:r>
      <w:r>
        <w:rPr>
          <w:spacing w:val="32"/>
        </w:rPr>
        <w:t xml:space="preserve"> </w:t>
      </w:r>
      <w:r>
        <w:t>didactique</w:t>
      </w:r>
      <w:r>
        <w:rPr>
          <w:spacing w:val="30"/>
        </w:rPr>
        <w:t xml:space="preserve"> </w:t>
      </w:r>
      <w:r>
        <w:t>de</w:t>
      </w:r>
      <w:r>
        <w:rPr>
          <w:spacing w:val="31"/>
        </w:rPr>
        <w:t xml:space="preserve"> </w:t>
      </w:r>
      <w:r>
        <w:t>la</w:t>
      </w:r>
      <w:r>
        <w:rPr>
          <w:spacing w:val="30"/>
        </w:rPr>
        <w:t xml:space="preserve"> </w:t>
      </w:r>
      <w:r>
        <w:t>langue</w:t>
      </w:r>
      <w:r>
        <w:rPr>
          <w:spacing w:val="31"/>
        </w:rPr>
        <w:t xml:space="preserve"> </w:t>
      </w:r>
      <w:r>
        <w:t>et</w:t>
      </w:r>
      <w:r>
        <w:rPr>
          <w:spacing w:val="30"/>
        </w:rPr>
        <w:t xml:space="preserve"> </w:t>
      </w:r>
      <w:r>
        <w:t>de</w:t>
      </w:r>
      <w:r>
        <w:rPr>
          <w:spacing w:val="30"/>
        </w:rPr>
        <w:t xml:space="preserve"> </w:t>
      </w:r>
      <w:r>
        <w:t>la</w:t>
      </w:r>
      <w:r>
        <w:rPr>
          <w:spacing w:val="32"/>
        </w:rPr>
        <w:t xml:space="preserve"> </w:t>
      </w:r>
      <w:r>
        <w:t>littérature espagnole, FASTEF, Université Cheikh Anta DIOP de Dakar (Sénégal),</w:t>
      </w:r>
    </w:p>
    <w:p w14:paraId="78AF78A1" w14:textId="77777777" w:rsidR="001248F7" w:rsidRDefault="003518BE">
      <w:pPr>
        <w:pStyle w:val="Corpsdetexte"/>
        <w:ind w:left="568" w:right="287"/>
        <w:jc w:val="left"/>
      </w:pPr>
      <w:r>
        <w:t xml:space="preserve">AMOUZOU-GLIKPA </w:t>
      </w:r>
      <w:proofErr w:type="spellStart"/>
      <w:r>
        <w:t>Amevor</w:t>
      </w:r>
      <w:proofErr w:type="spellEnd"/>
      <w:r>
        <w:t>, Maître</w:t>
      </w:r>
      <w:r>
        <w:rPr>
          <w:spacing w:val="-2"/>
        </w:rPr>
        <w:t xml:space="preserve"> </w:t>
      </w:r>
      <w:r>
        <w:t>de</w:t>
      </w:r>
      <w:r>
        <w:rPr>
          <w:spacing w:val="-1"/>
        </w:rPr>
        <w:t xml:space="preserve"> </w:t>
      </w:r>
      <w:r>
        <w:t>Conférences, Sociologie de</w:t>
      </w:r>
      <w:r>
        <w:rPr>
          <w:spacing w:val="-1"/>
        </w:rPr>
        <w:t xml:space="preserve"> </w:t>
      </w:r>
      <w:r>
        <w:t>l’éducation, Université de Lomé (Togo),</w:t>
      </w:r>
    </w:p>
    <w:p w14:paraId="7EB3BADC" w14:textId="77777777" w:rsidR="001248F7" w:rsidRDefault="003518BE">
      <w:pPr>
        <w:pStyle w:val="Corpsdetexte"/>
        <w:ind w:left="568"/>
        <w:jc w:val="left"/>
      </w:pPr>
      <w:r>
        <w:t>AKOUETE</w:t>
      </w:r>
      <w:r>
        <w:rPr>
          <w:spacing w:val="40"/>
        </w:rPr>
        <w:t xml:space="preserve"> </w:t>
      </w:r>
      <w:r>
        <w:t>HOUNSINOU</w:t>
      </w:r>
      <w:r>
        <w:rPr>
          <w:spacing w:val="40"/>
        </w:rPr>
        <w:t xml:space="preserve"> </w:t>
      </w:r>
      <w:r>
        <w:t>Florentine,</w:t>
      </w:r>
      <w:r>
        <w:rPr>
          <w:spacing w:val="40"/>
        </w:rPr>
        <w:t xml:space="preserve"> </w:t>
      </w:r>
      <w:r>
        <w:t>Maître</w:t>
      </w:r>
      <w:r>
        <w:rPr>
          <w:spacing w:val="40"/>
        </w:rPr>
        <w:t xml:space="preserve"> </w:t>
      </w:r>
      <w:r>
        <w:t>de</w:t>
      </w:r>
      <w:r>
        <w:rPr>
          <w:spacing w:val="40"/>
        </w:rPr>
        <w:t xml:space="preserve"> </w:t>
      </w:r>
      <w:r>
        <w:t>Recherches</w:t>
      </w:r>
      <w:r>
        <w:rPr>
          <w:spacing w:val="40"/>
        </w:rPr>
        <w:t xml:space="preserve"> </w:t>
      </w:r>
      <w:r>
        <w:t>en</w:t>
      </w:r>
      <w:r>
        <w:rPr>
          <w:spacing w:val="40"/>
        </w:rPr>
        <w:t xml:space="preserve"> </w:t>
      </w:r>
      <w:r>
        <w:t>Sciences</w:t>
      </w:r>
      <w:r>
        <w:rPr>
          <w:spacing w:val="40"/>
        </w:rPr>
        <w:t xml:space="preserve"> </w:t>
      </w:r>
      <w:r>
        <w:t>de</w:t>
      </w:r>
      <w:r>
        <w:rPr>
          <w:spacing w:val="40"/>
        </w:rPr>
        <w:t xml:space="preserve"> </w:t>
      </w:r>
      <w:r>
        <w:t>l’Éducation, Centre béninois de la recherche scientifique et de l’innovation (Bénin),</w:t>
      </w:r>
    </w:p>
    <w:p w14:paraId="50148C39" w14:textId="77777777" w:rsidR="001248F7" w:rsidRDefault="003518BE">
      <w:pPr>
        <w:pStyle w:val="Corpsdetexte"/>
        <w:ind w:left="568"/>
        <w:jc w:val="left"/>
      </w:pPr>
      <w:r>
        <w:t>BAWA</w:t>
      </w:r>
      <w:r>
        <w:rPr>
          <w:spacing w:val="40"/>
        </w:rPr>
        <w:t xml:space="preserve"> </w:t>
      </w:r>
      <w:r>
        <w:t>Ibn</w:t>
      </w:r>
      <w:r>
        <w:rPr>
          <w:spacing w:val="40"/>
        </w:rPr>
        <w:t xml:space="preserve"> </w:t>
      </w:r>
      <w:r>
        <w:t>Habib,</w:t>
      </w:r>
      <w:r>
        <w:rPr>
          <w:spacing w:val="40"/>
        </w:rPr>
        <w:t xml:space="preserve"> </w:t>
      </w:r>
      <w:r>
        <w:t>Maître</w:t>
      </w:r>
      <w:r>
        <w:rPr>
          <w:spacing w:val="40"/>
        </w:rPr>
        <w:t xml:space="preserve"> </w:t>
      </w:r>
      <w:r>
        <w:t>de</w:t>
      </w:r>
      <w:r>
        <w:rPr>
          <w:spacing w:val="40"/>
        </w:rPr>
        <w:t xml:space="preserve"> </w:t>
      </w:r>
      <w:r>
        <w:t>Conférences</w:t>
      </w:r>
      <w:r>
        <w:rPr>
          <w:spacing w:val="40"/>
        </w:rPr>
        <w:t xml:space="preserve"> </w:t>
      </w:r>
      <w:r>
        <w:t>en</w:t>
      </w:r>
      <w:r>
        <w:rPr>
          <w:spacing w:val="40"/>
        </w:rPr>
        <w:t xml:space="preserve"> </w:t>
      </w:r>
      <w:r>
        <w:t>Psychologie</w:t>
      </w:r>
      <w:r>
        <w:rPr>
          <w:spacing w:val="40"/>
        </w:rPr>
        <w:t xml:space="preserve"> </w:t>
      </w:r>
      <w:r>
        <w:t>de</w:t>
      </w:r>
      <w:r>
        <w:rPr>
          <w:spacing w:val="40"/>
        </w:rPr>
        <w:t xml:space="preserve"> </w:t>
      </w:r>
      <w:r>
        <w:t>l’Éducation,</w:t>
      </w:r>
      <w:r>
        <w:rPr>
          <w:spacing w:val="40"/>
        </w:rPr>
        <w:t xml:space="preserve"> </w:t>
      </w:r>
      <w:r>
        <w:t>Université</w:t>
      </w:r>
      <w:r>
        <w:rPr>
          <w:spacing w:val="40"/>
        </w:rPr>
        <w:t xml:space="preserve"> </w:t>
      </w:r>
      <w:r>
        <w:t>de Lomé (Togo),</w:t>
      </w:r>
    </w:p>
    <w:p w14:paraId="3F543BC0" w14:textId="77777777" w:rsidR="001248F7" w:rsidRDefault="003518BE">
      <w:pPr>
        <w:pStyle w:val="Corpsdetexte"/>
        <w:ind w:left="568"/>
        <w:jc w:val="left"/>
      </w:pPr>
      <w:r>
        <w:t>SEKA</w:t>
      </w:r>
      <w:r>
        <w:rPr>
          <w:spacing w:val="80"/>
        </w:rPr>
        <w:t xml:space="preserve"> </w:t>
      </w:r>
      <w:r>
        <w:t>YAPI,</w:t>
      </w:r>
      <w:r>
        <w:rPr>
          <w:spacing w:val="80"/>
        </w:rPr>
        <w:t xml:space="preserve"> </w:t>
      </w:r>
      <w:r>
        <w:t>Maître</w:t>
      </w:r>
      <w:r>
        <w:rPr>
          <w:spacing w:val="80"/>
        </w:rPr>
        <w:t xml:space="preserve"> </w:t>
      </w:r>
      <w:r>
        <w:t>de</w:t>
      </w:r>
      <w:r>
        <w:rPr>
          <w:spacing w:val="80"/>
        </w:rPr>
        <w:t xml:space="preserve"> </w:t>
      </w:r>
      <w:r>
        <w:t>conférences</w:t>
      </w:r>
      <w:r>
        <w:rPr>
          <w:spacing w:val="80"/>
        </w:rPr>
        <w:t xml:space="preserve"> </w:t>
      </w:r>
      <w:r>
        <w:t>en</w:t>
      </w:r>
      <w:r>
        <w:rPr>
          <w:spacing w:val="80"/>
        </w:rPr>
        <w:t xml:space="preserve"> </w:t>
      </w:r>
      <w:r>
        <w:t>psychologie</w:t>
      </w:r>
      <w:r>
        <w:rPr>
          <w:spacing w:val="80"/>
        </w:rPr>
        <w:t xml:space="preserve"> </w:t>
      </w:r>
      <w:r>
        <w:t>de</w:t>
      </w:r>
      <w:r>
        <w:rPr>
          <w:spacing w:val="80"/>
        </w:rPr>
        <w:t xml:space="preserve"> </w:t>
      </w:r>
      <w:r>
        <w:t>l’éducation,</w:t>
      </w:r>
      <w:r>
        <w:rPr>
          <w:spacing w:val="80"/>
        </w:rPr>
        <w:t xml:space="preserve"> </w:t>
      </w:r>
      <w:r>
        <w:t>École</w:t>
      </w:r>
      <w:r>
        <w:rPr>
          <w:spacing w:val="80"/>
        </w:rPr>
        <w:t xml:space="preserve"> </w:t>
      </w:r>
      <w:r>
        <w:t>Normale</w:t>
      </w:r>
      <w:r>
        <w:rPr>
          <w:spacing w:val="40"/>
        </w:rPr>
        <w:t xml:space="preserve"> </w:t>
      </w:r>
      <w:r>
        <w:t>Supérieure (Côte d’Ivoire),</w:t>
      </w:r>
    </w:p>
    <w:p w14:paraId="1D8514CF" w14:textId="77777777" w:rsidR="001248F7" w:rsidRDefault="003518BE">
      <w:pPr>
        <w:pStyle w:val="Corpsdetexte"/>
        <w:ind w:left="568"/>
        <w:jc w:val="left"/>
      </w:pPr>
      <w:r>
        <w:t>ABBY-MBOUA</w:t>
      </w:r>
      <w:r>
        <w:rPr>
          <w:spacing w:val="40"/>
        </w:rPr>
        <w:t xml:space="preserve"> </w:t>
      </w:r>
      <w:r>
        <w:t>Parfait,</w:t>
      </w:r>
      <w:r>
        <w:rPr>
          <w:spacing w:val="40"/>
        </w:rPr>
        <w:t xml:space="preserve"> </w:t>
      </w:r>
      <w:r>
        <w:t>maître</w:t>
      </w:r>
      <w:r>
        <w:rPr>
          <w:spacing w:val="40"/>
        </w:rPr>
        <w:t xml:space="preserve"> </w:t>
      </w:r>
      <w:r>
        <w:t>de</w:t>
      </w:r>
      <w:r>
        <w:rPr>
          <w:spacing w:val="40"/>
        </w:rPr>
        <w:t xml:space="preserve"> </w:t>
      </w:r>
      <w:r>
        <w:t>conférences</w:t>
      </w:r>
      <w:r>
        <w:rPr>
          <w:spacing w:val="40"/>
        </w:rPr>
        <w:t xml:space="preserve"> </w:t>
      </w:r>
      <w:r>
        <w:t>en</w:t>
      </w:r>
      <w:r>
        <w:rPr>
          <w:spacing w:val="40"/>
        </w:rPr>
        <w:t xml:space="preserve"> </w:t>
      </w:r>
      <w:r>
        <w:t>didactique</w:t>
      </w:r>
      <w:r>
        <w:rPr>
          <w:spacing w:val="40"/>
        </w:rPr>
        <w:t xml:space="preserve"> </w:t>
      </w:r>
      <w:r>
        <w:t>des</w:t>
      </w:r>
      <w:r>
        <w:rPr>
          <w:spacing w:val="40"/>
        </w:rPr>
        <w:t xml:space="preserve"> </w:t>
      </w:r>
      <w:r>
        <w:t>mathématiques,</w:t>
      </w:r>
      <w:r>
        <w:rPr>
          <w:spacing w:val="40"/>
        </w:rPr>
        <w:t xml:space="preserve"> </w:t>
      </w:r>
      <w:r>
        <w:t>École</w:t>
      </w:r>
      <w:r>
        <w:rPr>
          <w:spacing w:val="40"/>
        </w:rPr>
        <w:t xml:space="preserve"> </w:t>
      </w:r>
      <w:r>
        <w:t>Normale Supérieure (Côte d’Ivoire),</w:t>
      </w:r>
    </w:p>
    <w:p w14:paraId="157C1DCC" w14:textId="77777777" w:rsidR="001248F7" w:rsidRDefault="003518BE">
      <w:pPr>
        <w:pStyle w:val="Corpsdetexte"/>
        <w:ind w:left="568"/>
        <w:jc w:val="left"/>
      </w:pPr>
      <w:r>
        <w:t>BAYAMA</w:t>
      </w:r>
      <w:r>
        <w:rPr>
          <w:spacing w:val="80"/>
        </w:rPr>
        <w:t xml:space="preserve"> </w:t>
      </w:r>
      <w:r>
        <w:t>Claude-Marie,</w:t>
      </w:r>
      <w:r>
        <w:rPr>
          <w:spacing w:val="80"/>
        </w:rPr>
        <w:t xml:space="preserve"> </w:t>
      </w:r>
      <w:r>
        <w:t>Maître</w:t>
      </w:r>
      <w:r>
        <w:rPr>
          <w:spacing w:val="80"/>
        </w:rPr>
        <w:t xml:space="preserve"> </w:t>
      </w:r>
      <w:r>
        <w:t>de</w:t>
      </w:r>
      <w:r>
        <w:rPr>
          <w:spacing w:val="80"/>
        </w:rPr>
        <w:t xml:space="preserve"> </w:t>
      </w:r>
      <w:r>
        <w:t>conférences</w:t>
      </w:r>
      <w:r>
        <w:rPr>
          <w:spacing w:val="80"/>
        </w:rPr>
        <w:t xml:space="preserve"> </w:t>
      </w:r>
      <w:r>
        <w:t>en</w:t>
      </w:r>
      <w:r>
        <w:rPr>
          <w:spacing w:val="80"/>
        </w:rPr>
        <w:t xml:space="preserve"> </w:t>
      </w:r>
      <w:r>
        <w:t>philosophie</w:t>
      </w:r>
      <w:r>
        <w:rPr>
          <w:spacing w:val="80"/>
        </w:rPr>
        <w:t xml:space="preserve"> </w:t>
      </w:r>
      <w:r>
        <w:t>de</w:t>
      </w:r>
      <w:r>
        <w:rPr>
          <w:spacing w:val="80"/>
        </w:rPr>
        <w:t xml:space="preserve"> </w:t>
      </w:r>
      <w:r>
        <w:t>l’éducation,</w:t>
      </w:r>
      <w:r>
        <w:rPr>
          <w:spacing w:val="80"/>
        </w:rPr>
        <w:t xml:space="preserve"> </w:t>
      </w:r>
      <w:r>
        <w:t>École Normale Supérieure, (Burkina Faso),</w:t>
      </w:r>
    </w:p>
    <w:p w14:paraId="558FD15B" w14:textId="77777777" w:rsidR="001248F7" w:rsidRDefault="003518BE">
      <w:pPr>
        <w:pStyle w:val="Corpsdetexte"/>
        <w:spacing w:before="121"/>
        <w:ind w:left="568"/>
        <w:jc w:val="left"/>
      </w:pPr>
      <w:r>
        <w:t>ZERBO</w:t>
      </w:r>
      <w:r>
        <w:rPr>
          <w:spacing w:val="-4"/>
        </w:rPr>
        <w:t xml:space="preserve"> </w:t>
      </w:r>
      <w:r>
        <w:t>Roger,</w:t>
      </w:r>
      <w:r>
        <w:rPr>
          <w:spacing w:val="-1"/>
        </w:rPr>
        <w:t xml:space="preserve"> </w:t>
      </w:r>
      <w:r>
        <w:t>Maître</w:t>
      </w:r>
      <w:r>
        <w:rPr>
          <w:spacing w:val="-4"/>
        </w:rPr>
        <w:t xml:space="preserve"> </w:t>
      </w:r>
      <w:r>
        <w:t>de</w:t>
      </w:r>
      <w:r>
        <w:rPr>
          <w:spacing w:val="-2"/>
        </w:rPr>
        <w:t xml:space="preserve"> </w:t>
      </w:r>
      <w:r>
        <w:t>recherche</w:t>
      </w:r>
      <w:r>
        <w:rPr>
          <w:spacing w:val="-3"/>
        </w:rPr>
        <w:t xml:space="preserve"> </w:t>
      </w:r>
      <w:r>
        <w:t>en</w:t>
      </w:r>
      <w:r>
        <w:rPr>
          <w:spacing w:val="1"/>
        </w:rPr>
        <w:t xml:space="preserve"> </w:t>
      </w:r>
      <w:r>
        <w:t>Anthropologie,</w:t>
      </w:r>
      <w:r>
        <w:rPr>
          <w:spacing w:val="-2"/>
        </w:rPr>
        <w:t xml:space="preserve"> </w:t>
      </w:r>
      <w:r>
        <w:t>INSS/CNRST</w:t>
      </w:r>
      <w:r>
        <w:rPr>
          <w:spacing w:val="-1"/>
        </w:rPr>
        <w:t xml:space="preserve"> </w:t>
      </w:r>
      <w:r>
        <w:t>(Burkina</w:t>
      </w:r>
      <w:r>
        <w:rPr>
          <w:spacing w:val="-1"/>
        </w:rPr>
        <w:t xml:space="preserve"> </w:t>
      </w:r>
      <w:r>
        <w:rPr>
          <w:spacing w:val="-2"/>
        </w:rPr>
        <w:t>Faso).</w:t>
      </w:r>
    </w:p>
    <w:p w14:paraId="095F7D62" w14:textId="77777777" w:rsidR="001248F7" w:rsidRDefault="003518BE">
      <w:pPr>
        <w:pStyle w:val="Corpsdetexte"/>
        <w:ind w:left="568"/>
        <w:jc w:val="left"/>
      </w:pPr>
      <w:r>
        <w:t>BEOGO</w:t>
      </w:r>
      <w:r>
        <w:rPr>
          <w:spacing w:val="80"/>
        </w:rPr>
        <w:t xml:space="preserve"> </w:t>
      </w:r>
      <w:r>
        <w:t>Joseph,</w:t>
      </w:r>
      <w:r>
        <w:rPr>
          <w:spacing w:val="80"/>
          <w:w w:val="150"/>
        </w:rPr>
        <w:t xml:space="preserve"> </w:t>
      </w:r>
      <w:r>
        <w:t>Maître</w:t>
      </w:r>
      <w:r>
        <w:rPr>
          <w:spacing w:val="80"/>
        </w:rPr>
        <w:t xml:space="preserve"> </w:t>
      </w:r>
      <w:r>
        <w:t>de</w:t>
      </w:r>
      <w:r>
        <w:rPr>
          <w:spacing w:val="80"/>
        </w:rPr>
        <w:t xml:space="preserve"> </w:t>
      </w:r>
      <w:r>
        <w:t>conférences</w:t>
      </w:r>
      <w:r>
        <w:rPr>
          <w:spacing w:val="80"/>
          <w:w w:val="150"/>
        </w:rPr>
        <w:t xml:space="preserve"> </w:t>
      </w:r>
      <w:r>
        <w:t>en</w:t>
      </w:r>
      <w:r>
        <w:rPr>
          <w:spacing w:val="80"/>
          <w:w w:val="150"/>
        </w:rPr>
        <w:t xml:space="preserve"> </w:t>
      </w:r>
      <w:r>
        <w:t>sciences</w:t>
      </w:r>
      <w:r>
        <w:rPr>
          <w:spacing w:val="80"/>
          <w:w w:val="150"/>
        </w:rPr>
        <w:t xml:space="preserve"> </w:t>
      </w:r>
      <w:r>
        <w:t>de</w:t>
      </w:r>
      <w:r>
        <w:rPr>
          <w:spacing w:val="80"/>
        </w:rPr>
        <w:t xml:space="preserve"> </w:t>
      </w:r>
      <w:r>
        <w:t>l’éducation,</w:t>
      </w:r>
      <w:r>
        <w:rPr>
          <w:spacing w:val="80"/>
        </w:rPr>
        <w:t xml:space="preserve"> </w:t>
      </w:r>
      <w:r>
        <w:t>École</w:t>
      </w:r>
      <w:r>
        <w:rPr>
          <w:spacing w:val="80"/>
          <w:w w:val="150"/>
        </w:rPr>
        <w:t xml:space="preserve"> </w:t>
      </w:r>
      <w:r>
        <w:t>Normale Supérieure, (Burkina Faso),</w:t>
      </w:r>
    </w:p>
    <w:p w14:paraId="2F59CC9A" w14:textId="77777777" w:rsidR="001248F7" w:rsidRDefault="003518BE">
      <w:pPr>
        <w:pStyle w:val="Corpsdetexte"/>
        <w:ind w:left="568"/>
        <w:jc w:val="left"/>
      </w:pPr>
      <w:r>
        <w:t xml:space="preserve">SOMDA </w:t>
      </w:r>
      <w:proofErr w:type="spellStart"/>
      <w:r>
        <w:t>Minimalo</w:t>
      </w:r>
      <w:proofErr w:type="spellEnd"/>
      <w:r>
        <w:t xml:space="preserve"> Alice épouse SOME, Maître de conférences en philosophie politique et</w:t>
      </w:r>
      <w:r>
        <w:rPr>
          <w:spacing w:val="80"/>
        </w:rPr>
        <w:t xml:space="preserve"> </w:t>
      </w:r>
      <w:r>
        <w:t>morale, Institut des Sciences des Sociétés/CNRST (Burkina Faso),</w:t>
      </w:r>
    </w:p>
    <w:p w14:paraId="230B0C09" w14:textId="77777777" w:rsidR="001248F7" w:rsidRDefault="003518BE">
      <w:pPr>
        <w:pStyle w:val="Corpsdetexte"/>
        <w:ind w:left="568"/>
        <w:jc w:val="left"/>
      </w:pPr>
      <w:r>
        <w:t>TONYEME</w:t>
      </w:r>
      <w:r>
        <w:rPr>
          <w:spacing w:val="-1"/>
        </w:rPr>
        <w:t xml:space="preserve"> </w:t>
      </w:r>
      <w:proofErr w:type="spellStart"/>
      <w:r>
        <w:t>Bilakani</w:t>
      </w:r>
      <w:proofErr w:type="spellEnd"/>
      <w:r>
        <w:t>,</w:t>
      </w:r>
      <w:r>
        <w:rPr>
          <w:spacing w:val="-1"/>
        </w:rPr>
        <w:t xml:space="preserve"> </w:t>
      </w:r>
      <w:r>
        <w:t>Maître</w:t>
      </w:r>
      <w:r>
        <w:rPr>
          <w:spacing w:val="-3"/>
        </w:rPr>
        <w:t xml:space="preserve"> </w:t>
      </w:r>
      <w:r>
        <w:t>de</w:t>
      </w:r>
      <w:r>
        <w:rPr>
          <w:spacing w:val="-2"/>
        </w:rPr>
        <w:t xml:space="preserve"> </w:t>
      </w:r>
      <w:r>
        <w:t>Conférences</w:t>
      </w:r>
      <w:r>
        <w:rPr>
          <w:spacing w:val="-2"/>
        </w:rPr>
        <w:t xml:space="preserve"> </w:t>
      </w:r>
      <w:r>
        <w:t>en Sciences</w:t>
      </w:r>
      <w:r>
        <w:rPr>
          <w:spacing w:val="-2"/>
        </w:rPr>
        <w:t xml:space="preserve"> </w:t>
      </w:r>
      <w:r>
        <w:t>de</w:t>
      </w:r>
      <w:r>
        <w:rPr>
          <w:spacing w:val="-2"/>
        </w:rPr>
        <w:t xml:space="preserve"> </w:t>
      </w:r>
      <w:r>
        <w:t>l’Éducation,</w:t>
      </w:r>
      <w:r>
        <w:rPr>
          <w:spacing w:val="-1"/>
        </w:rPr>
        <w:t xml:space="preserve"> </w:t>
      </w:r>
      <w:r>
        <w:t>Université</w:t>
      </w:r>
      <w:r>
        <w:rPr>
          <w:spacing w:val="-1"/>
        </w:rPr>
        <w:t xml:space="preserve"> </w:t>
      </w:r>
      <w:r>
        <w:t>de</w:t>
      </w:r>
      <w:r>
        <w:rPr>
          <w:spacing w:val="-2"/>
        </w:rPr>
        <w:t xml:space="preserve"> </w:t>
      </w:r>
      <w:r>
        <w:rPr>
          <w:spacing w:val="-4"/>
        </w:rPr>
        <w:t>Lomé</w:t>
      </w:r>
    </w:p>
    <w:p w14:paraId="79D971CF" w14:textId="77777777" w:rsidR="001248F7" w:rsidRDefault="003518BE">
      <w:pPr>
        <w:pStyle w:val="Corpsdetexte"/>
        <w:spacing w:before="119"/>
        <w:ind w:left="568"/>
        <w:jc w:val="left"/>
      </w:pPr>
      <w:r>
        <w:t>TOUR</w:t>
      </w:r>
      <w:r>
        <w:rPr>
          <w:rFonts w:ascii="Palatino Linotype" w:hAnsi="Palatino Linotype"/>
        </w:rPr>
        <w:t xml:space="preserve">É </w:t>
      </w:r>
      <w:r>
        <w:t>Ya Eveline épouse JOHNSON, Maître de conférences en Psychosociologie, École</w:t>
      </w:r>
      <w:r>
        <w:rPr>
          <w:spacing w:val="80"/>
        </w:rPr>
        <w:t xml:space="preserve"> </w:t>
      </w:r>
      <w:r>
        <w:t>Normale Supérieure d’Abidjan (Côte d’Ivoire),</w:t>
      </w:r>
    </w:p>
    <w:p w14:paraId="25F00969" w14:textId="77777777" w:rsidR="001248F7" w:rsidRDefault="003518BE">
      <w:pPr>
        <w:pStyle w:val="Corpsdetexte"/>
        <w:spacing w:before="119"/>
        <w:ind w:left="568" w:right="289"/>
        <w:jc w:val="left"/>
      </w:pPr>
      <w:r>
        <w:t>POUDIOUGO Wendkuuni Désiré, Maître de Recherche en Sciences de l’Education, Institut des Sciences des Sociétés/CNRST (Burkina Faso),</w:t>
      </w:r>
    </w:p>
    <w:p w14:paraId="04A5DAB0" w14:textId="77777777" w:rsidR="001248F7" w:rsidRDefault="003518BE">
      <w:pPr>
        <w:pStyle w:val="Corpsdetexte"/>
        <w:ind w:left="568"/>
        <w:jc w:val="left"/>
      </w:pPr>
      <w:r>
        <w:t>NIYA Gninneyo</w:t>
      </w:r>
      <w:r>
        <w:rPr>
          <w:spacing w:val="29"/>
        </w:rPr>
        <w:t xml:space="preserve"> </w:t>
      </w:r>
      <w:r>
        <w:t>Sylvestre-Pierre,</w:t>
      </w:r>
      <w:r>
        <w:rPr>
          <w:spacing w:val="29"/>
        </w:rPr>
        <w:t xml:space="preserve"> </w:t>
      </w:r>
      <w:r>
        <w:t>Maître de Conférence en</w:t>
      </w:r>
      <w:r>
        <w:rPr>
          <w:spacing w:val="29"/>
        </w:rPr>
        <w:t xml:space="preserve"> </w:t>
      </w:r>
      <w:r>
        <w:t>Sciences</w:t>
      </w:r>
      <w:r>
        <w:rPr>
          <w:spacing w:val="29"/>
        </w:rPr>
        <w:t xml:space="preserve"> </w:t>
      </w:r>
      <w:r>
        <w:t>de l’Education,</w:t>
      </w:r>
      <w:r>
        <w:rPr>
          <w:spacing w:val="29"/>
        </w:rPr>
        <w:t xml:space="preserve"> </w:t>
      </w:r>
      <w:r>
        <w:t>École Normale Supérieure/Burkina Faso,</w:t>
      </w:r>
    </w:p>
    <w:p w14:paraId="69C347BC" w14:textId="77777777" w:rsidR="001248F7" w:rsidRDefault="001248F7">
      <w:pPr>
        <w:pStyle w:val="Corpsdetexte"/>
        <w:jc w:val="left"/>
        <w:sectPr w:rsidR="001248F7">
          <w:footnotePr>
            <w:numRestart w:val="eachPage"/>
          </w:footnotePr>
          <w:pgSz w:w="11910" w:h="16840"/>
          <w:pgMar w:top="1080" w:right="1133" w:bottom="2120" w:left="850" w:header="847" w:footer="1865" w:gutter="0"/>
          <w:cols w:space="720"/>
        </w:sectPr>
      </w:pPr>
    </w:p>
    <w:p w14:paraId="03A3E12D" w14:textId="77777777" w:rsidR="001248F7" w:rsidRDefault="001248F7">
      <w:pPr>
        <w:pStyle w:val="Corpsdetexte"/>
        <w:spacing w:before="49"/>
        <w:ind w:left="0"/>
        <w:jc w:val="left"/>
      </w:pPr>
    </w:p>
    <w:p w14:paraId="410221B6" w14:textId="77777777" w:rsidR="001248F7" w:rsidRDefault="003518BE">
      <w:pPr>
        <w:pStyle w:val="Corpsdetexte"/>
        <w:spacing w:before="0"/>
        <w:ind w:left="568"/>
        <w:jc w:val="left"/>
      </w:pPr>
      <w:r>
        <w:t>BARRO</w:t>
      </w:r>
      <w:r>
        <w:rPr>
          <w:spacing w:val="80"/>
        </w:rPr>
        <w:t xml:space="preserve"> </w:t>
      </w:r>
      <w:r>
        <w:t>Missa,</w:t>
      </w:r>
      <w:r>
        <w:rPr>
          <w:spacing w:val="80"/>
        </w:rPr>
        <w:t xml:space="preserve"> </w:t>
      </w:r>
      <w:r>
        <w:t>Maître</w:t>
      </w:r>
      <w:r>
        <w:rPr>
          <w:spacing w:val="80"/>
        </w:rPr>
        <w:t xml:space="preserve"> </w:t>
      </w:r>
      <w:r>
        <w:t>de</w:t>
      </w:r>
      <w:r>
        <w:rPr>
          <w:spacing w:val="80"/>
        </w:rPr>
        <w:t xml:space="preserve"> </w:t>
      </w:r>
      <w:r>
        <w:t>Conférences</w:t>
      </w:r>
      <w:r>
        <w:rPr>
          <w:spacing w:val="80"/>
        </w:rPr>
        <w:t xml:space="preserve"> </w:t>
      </w:r>
      <w:r>
        <w:t>en</w:t>
      </w:r>
      <w:r>
        <w:rPr>
          <w:spacing w:val="80"/>
        </w:rPr>
        <w:t xml:space="preserve"> </w:t>
      </w:r>
      <w:r>
        <w:t>Sciences</w:t>
      </w:r>
      <w:r>
        <w:rPr>
          <w:spacing w:val="80"/>
        </w:rPr>
        <w:t xml:space="preserve"> </w:t>
      </w:r>
      <w:r>
        <w:t>de</w:t>
      </w:r>
      <w:r>
        <w:rPr>
          <w:spacing w:val="80"/>
        </w:rPr>
        <w:t xml:space="preserve"> </w:t>
      </w:r>
      <w:r>
        <w:t>l’Education,</w:t>
      </w:r>
      <w:r>
        <w:rPr>
          <w:spacing w:val="80"/>
        </w:rPr>
        <w:t xml:space="preserve"> </w:t>
      </w:r>
      <w:r>
        <w:t>École</w:t>
      </w:r>
      <w:r>
        <w:rPr>
          <w:spacing w:val="80"/>
        </w:rPr>
        <w:t xml:space="preserve"> </w:t>
      </w:r>
      <w:r>
        <w:t>Normale</w:t>
      </w:r>
      <w:r>
        <w:rPr>
          <w:spacing w:val="80"/>
        </w:rPr>
        <w:t xml:space="preserve"> </w:t>
      </w:r>
      <w:r>
        <w:t>Supérieure, Burkina Faso,</w:t>
      </w:r>
    </w:p>
    <w:p w14:paraId="09D41CF6" w14:textId="77777777" w:rsidR="001248F7" w:rsidRDefault="003518BE">
      <w:pPr>
        <w:pStyle w:val="Corpsdetexte"/>
        <w:spacing w:before="121"/>
        <w:ind w:left="568"/>
        <w:jc w:val="left"/>
      </w:pPr>
      <w:r>
        <w:t xml:space="preserve">SAWADOGO </w:t>
      </w:r>
      <w:proofErr w:type="spellStart"/>
      <w:r>
        <w:t>Timbila</w:t>
      </w:r>
      <w:proofErr w:type="spellEnd"/>
      <w:r>
        <w:t>,</w:t>
      </w:r>
      <w:r>
        <w:rPr>
          <w:spacing w:val="29"/>
        </w:rPr>
        <w:t xml:space="preserve"> </w:t>
      </w:r>
      <w:r>
        <w:t>Maître de Conférences</w:t>
      </w:r>
      <w:r>
        <w:rPr>
          <w:spacing w:val="29"/>
        </w:rPr>
        <w:t xml:space="preserve"> </w:t>
      </w:r>
      <w:r>
        <w:t>en</w:t>
      </w:r>
      <w:r>
        <w:rPr>
          <w:spacing w:val="29"/>
        </w:rPr>
        <w:t xml:space="preserve"> </w:t>
      </w:r>
      <w:r>
        <w:t>Sciences</w:t>
      </w:r>
      <w:r>
        <w:rPr>
          <w:spacing w:val="29"/>
        </w:rPr>
        <w:t xml:space="preserve"> </w:t>
      </w:r>
      <w:r>
        <w:t>de l’Education,</w:t>
      </w:r>
      <w:r>
        <w:rPr>
          <w:spacing w:val="29"/>
        </w:rPr>
        <w:t xml:space="preserve"> </w:t>
      </w:r>
      <w:r>
        <w:t>École Normale Supérieure, Burkina Faso,</w:t>
      </w:r>
    </w:p>
    <w:p w14:paraId="2967B4AD" w14:textId="77777777" w:rsidR="001248F7" w:rsidRDefault="003518BE">
      <w:pPr>
        <w:pStyle w:val="Corpsdetexte"/>
        <w:ind w:left="568"/>
        <w:jc w:val="left"/>
      </w:pPr>
      <w:r>
        <w:t>DOUAMBA Jean-Pierre, Maître de Conférences en Sciences de l’Education, École Normale Supérieure, Burkina Faso.</w:t>
      </w:r>
    </w:p>
    <w:p w14:paraId="0A8B2A3E" w14:textId="77777777" w:rsidR="001248F7" w:rsidRPr="00E01032" w:rsidRDefault="003518BE" w:rsidP="00E01032">
      <w:pPr>
        <w:jc w:val="center"/>
        <w:rPr>
          <w:b/>
          <w:bCs/>
        </w:rPr>
      </w:pPr>
      <w:r w:rsidRPr="00E01032">
        <w:rPr>
          <w:b/>
          <w:bCs/>
        </w:rPr>
        <w:t>COMITÉ DE LECTURE</w:t>
      </w:r>
    </w:p>
    <w:p w14:paraId="17E03463" w14:textId="77777777" w:rsidR="001248F7" w:rsidRDefault="003518BE">
      <w:pPr>
        <w:pStyle w:val="Corpsdetexte"/>
        <w:spacing w:line="343" w:lineRule="auto"/>
        <w:ind w:left="568" w:right="2884"/>
        <w:jc w:val="left"/>
      </w:pPr>
      <w:r>
        <w:t>ABBY-MBOUA</w:t>
      </w:r>
      <w:r>
        <w:rPr>
          <w:spacing w:val="-8"/>
        </w:rPr>
        <w:t xml:space="preserve"> </w:t>
      </w:r>
      <w:r>
        <w:t>Parfait,</w:t>
      </w:r>
      <w:r>
        <w:rPr>
          <w:spacing w:val="-5"/>
        </w:rPr>
        <w:t xml:space="preserve"> </w:t>
      </w:r>
      <w:r>
        <w:t>École</w:t>
      </w:r>
      <w:r>
        <w:rPr>
          <w:spacing w:val="-7"/>
        </w:rPr>
        <w:t xml:space="preserve"> </w:t>
      </w:r>
      <w:r>
        <w:t>Normale</w:t>
      </w:r>
      <w:r>
        <w:rPr>
          <w:spacing w:val="-8"/>
        </w:rPr>
        <w:t xml:space="preserve"> </w:t>
      </w:r>
      <w:r>
        <w:t>Supérieure,</w:t>
      </w:r>
      <w:r>
        <w:rPr>
          <w:spacing w:val="-7"/>
        </w:rPr>
        <w:t xml:space="preserve"> </w:t>
      </w:r>
      <w:r>
        <w:t>Côte</w:t>
      </w:r>
      <w:r>
        <w:rPr>
          <w:spacing w:val="-7"/>
        </w:rPr>
        <w:t xml:space="preserve"> </w:t>
      </w:r>
      <w:r>
        <w:t xml:space="preserve">d’Ivoire, AMOUZOU-GLIKPA </w:t>
      </w:r>
      <w:proofErr w:type="spellStart"/>
      <w:r>
        <w:t>Amevor</w:t>
      </w:r>
      <w:proofErr w:type="spellEnd"/>
      <w:r>
        <w:t>, Université de Lomé/Togo,</w:t>
      </w:r>
    </w:p>
    <w:p w14:paraId="0F4685B8" w14:textId="77777777" w:rsidR="001248F7" w:rsidRDefault="003518BE">
      <w:pPr>
        <w:pStyle w:val="Corpsdetexte"/>
        <w:spacing w:before="3"/>
        <w:ind w:left="568" w:right="289"/>
        <w:jc w:val="left"/>
      </w:pPr>
      <w:r>
        <w:t>ATTA</w:t>
      </w:r>
      <w:r>
        <w:rPr>
          <w:spacing w:val="80"/>
        </w:rPr>
        <w:t xml:space="preserve"> </w:t>
      </w:r>
      <w:r>
        <w:t>Kouadio</w:t>
      </w:r>
      <w:r>
        <w:rPr>
          <w:spacing w:val="80"/>
        </w:rPr>
        <w:t xml:space="preserve"> </w:t>
      </w:r>
      <w:r>
        <w:t>Yeboua</w:t>
      </w:r>
      <w:r>
        <w:rPr>
          <w:spacing w:val="80"/>
        </w:rPr>
        <w:t xml:space="preserve"> </w:t>
      </w:r>
      <w:r>
        <w:t>Germain,</w:t>
      </w:r>
      <w:r>
        <w:rPr>
          <w:spacing w:val="80"/>
        </w:rPr>
        <w:t xml:space="preserve"> </w:t>
      </w:r>
      <w:r>
        <w:t>École</w:t>
      </w:r>
      <w:r>
        <w:rPr>
          <w:spacing w:val="80"/>
        </w:rPr>
        <w:t xml:space="preserve"> </w:t>
      </w:r>
      <w:r>
        <w:t>Normale</w:t>
      </w:r>
      <w:r>
        <w:rPr>
          <w:spacing w:val="80"/>
        </w:rPr>
        <w:t xml:space="preserve"> </w:t>
      </w:r>
      <w:r>
        <w:t>Supérieure</w:t>
      </w:r>
      <w:r>
        <w:rPr>
          <w:spacing w:val="80"/>
        </w:rPr>
        <w:t xml:space="preserve"> </w:t>
      </w:r>
      <w:r>
        <w:t>(ENS)</w:t>
      </w:r>
      <w:r>
        <w:rPr>
          <w:spacing w:val="80"/>
        </w:rPr>
        <w:t xml:space="preserve"> </w:t>
      </w:r>
      <w:r>
        <w:t>d’Abidjan,</w:t>
      </w:r>
      <w:r>
        <w:rPr>
          <w:spacing w:val="80"/>
        </w:rPr>
        <w:t xml:space="preserve"> </w:t>
      </w:r>
      <w:r>
        <w:t>Côte d’Ivoire ;</w:t>
      </w:r>
    </w:p>
    <w:p w14:paraId="1F84AFD3" w14:textId="77777777" w:rsidR="001248F7" w:rsidRDefault="003518BE">
      <w:pPr>
        <w:pStyle w:val="Corpsdetexte"/>
        <w:spacing w:line="343" w:lineRule="auto"/>
        <w:ind w:left="568" w:right="3096"/>
        <w:jc w:val="left"/>
      </w:pPr>
      <w:r>
        <w:t>BARRO</w:t>
      </w:r>
      <w:r>
        <w:rPr>
          <w:spacing w:val="-7"/>
        </w:rPr>
        <w:t xml:space="preserve"> </w:t>
      </w:r>
      <w:r>
        <w:t>Missa,</w:t>
      </w:r>
      <w:r>
        <w:rPr>
          <w:spacing w:val="-7"/>
        </w:rPr>
        <w:t xml:space="preserve"> </w:t>
      </w:r>
      <w:r>
        <w:t>École</w:t>
      </w:r>
      <w:r>
        <w:rPr>
          <w:spacing w:val="-7"/>
        </w:rPr>
        <w:t xml:space="preserve"> </w:t>
      </w:r>
      <w:r>
        <w:t>Normale</w:t>
      </w:r>
      <w:r>
        <w:rPr>
          <w:spacing w:val="-7"/>
        </w:rPr>
        <w:t xml:space="preserve"> </w:t>
      </w:r>
      <w:r>
        <w:t>Supérieure,</w:t>
      </w:r>
      <w:r>
        <w:rPr>
          <w:spacing w:val="-7"/>
        </w:rPr>
        <w:t xml:space="preserve"> </w:t>
      </w:r>
      <w:r>
        <w:t>Burkina</w:t>
      </w:r>
      <w:r>
        <w:rPr>
          <w:spacing w:val="-8"/>
        </w:rPr>
        <w:t xml:space="preserve"> </w:t>
      </w:r>
      <w:r>
        <w:t>Faso, BAWA Ibn Habib, Université de Lomé, Togo,</w:t>
      </w:r>
    </w:p>
    <w:p w14:paraId="4059EC2C" w14:textId="77777777" w:rsidR="001248F7" w:rsidRDefault="003518BE">
      <w:pPr>
        <w:pStyle w:val="Corpsdetexte"/>
        <w:spacing w:before="3" w:line="343" w:lineRule="auto"/>
        <w:ind w:left="568" w:right="1814"/>
        <w:jc w:val="left"/>
      </w:pPr>
      <w:r>
        <w:t>BAYAMA Claude-Marie, École Normale Supérieure, Côte d’Ivoire, BETOKO Ambassa, École Normale Supérieure de Yaoundé/Cameroun, BITEYE</w:t>
      </w:r>
      <w:r>
        <w:rPr>
          <w:spacing w:val="-5"/>
        </w:rPr>
        <w:t xml:space="preserve"> </w:t>
      </w:r>
      <w:r>
        <w:t>Babacar,</w:t>
      </w:r>
      <w:r>
        <w:rPr>
          <w:spacing w:val="-4"/>
        </w:rPr>
        <w:t xml:space="preserve"> </w:t>
      </w:r>
      <w:r>
        <w:t>FASTEF,</w:t>
      </w:r>
      <w:r>
        <w:rPr>
          <w:spacing w:val="-5"/>
        </w:rPr>
        <w:t xml:space="preserve"> </w:t>
      </w:r>
      <w:r>
        <w:t>Université</w:t>
      </w:r>
      <w:r>
        <w:rPr>
          <w:spacing w:val="-5"/>
        </w:rPr>
        <w:t xml:space="preserve"> </w:t>
      </w:r>
      <w:r>
        <w:t>Cheikh</w:t>
      </w:r>
      <w:r>
        <w:rPr>
          <w:spacing w:val="-5"/>
        </w:rPr>
        <w:t xml:space="preserve"> </w:t>
      </w:r>
      <w:r>
        <w:t>Anta</w:t>
      </w:r>
      <w:r>
        <w:rPr>
          <w:spacing w:val="-5"/>
        </w:rPr>
        <w:t xml:space="preserve"> </w:t>
      </w:r>
      <w:r>
        <w:t>Diop</w:t>
      </w:r>
      <w:r>
        <w:rPr>
          <w:spacing w:val="-5"/>
        </w:rPr>
        <w:t xml:space="preserve"> </w:t>
      </w:r>
      <w:r>
        <w:t>de</w:t>
      </w:r>
      <w:r>
        <w:rPr>
          <w:spacing w:val="-5"/>
        </w:rPr>
        <w:t xml:space="preserve"> </w:t>
      </w:r>
      <w:r>
        <w:t>Dakar,</w:t>
      </w:r>
      <w:r>
        <w:rPr>
          <w:spacing w:val="-5"/>
        </w:rPr>
        <w:t xml:space="preserve"> </w:t>
      </w:r>
      <w:r>
        <w:t>Sénégal, BITO Kossi, Université de Lomé/Togo,</w:t>
      </w:r>
    </w:p>
    <w:p w14:paraId="54C62881" w14:textId="77777777" w:rsidR="001248F7" w:rsidRDefault="003518BE">
      <w:pPr>
        <w:pStyle w:val="Corpsdetexte"/>
        <w:spacing w:before="6" w:line="343" w:lineRule="auto"/>
        <w:ind w:left="568" w:right="289"/>
        <w:jc w:val="left"/>
      </w:pPr>
      <w:r>
        <w:t>BONANE</w:t>
      </w:r>
      <w:r>
        <w:rPr>
          <w:spacing w:val="-4"/>
        </w:rPr>
        <w:t xml:space="preserve"> </w:t>
      </w:r>
      <w:r>
        <w:t>Rodrigue</w:t>
      </w:r>
      <w:r>
        <w:rPr>
          <w:spacing w:val="-5"/>
        </w:rPr>
        <w:t xml:space="preserve"> </w:t>
      </w:r>
      <w:r>
        <w:t>Paulin,</w:t>
      </w:r>
      <w:r>
        <w:rPr>
          <w:spacing w:val="-4"/>
        </w:rPr>
        <w:t xml:space="preserve"> </w:t>
      </w:r>
      <w:r>
        <w:t>Institut</w:t>
      </w:r>
      <w:r>
        <w:rPr>
          <w:spacing w:val="-4"/>
        </w:rPr>
        <w:t xml:space="preserve"> </w:t>
      </w:r>
      <w:r>
        <w:t>des</w:t>
      </w:r>
      <w:r>
        <w:rPr>
          <w:spacing w:val="-4"/>
        </w:rPr>
        <w:t xml:space="preserve"> </w:t>
      </w:r>
      <w:r>
        <w:t>Sciences</w:t>
      </w:r>
      <w:r>
        <w:rPr>
          <w:spacing w:val="-5"/>
        </w:rPr>
        <w:t xml:space="preserve"> </w:t>
      </w:r>
      <w:r>
        <w:t>des</w:t>
      </w:r>
      <w:r>
        <w:rPr>
          <w:spacing w:val="-4"/>
        </w:rPr>
        <w:t xml:space="preserve"> </w:t>
      </w:r>
      <w:r>
        <w:t>Sociétés/CNRST,</w:t>
      </w:r>
      <w:r>
        <w:rPr>
          <w:spacing w:val="-4"/>
        </w:rPr>
        <w:t xml:space="preserve"> </w:t>
      </w:r>
      <w:r>
        <w:t>Burkina</w:t>
      </w:r>
      <w:r>
        <w:rPr>
          <w:spacing w:val="-5"/>
        </w:rPr>
        <w:t xml:space="preserve"> </w:t>
      </w:r>
      <w:r>
        <w:t>Faso, COULIBALY/BARRO Félicité, École Normale Supérieure, Burkina Faso,</w:t>
      </w:r>
    </w:p>
    <w:p w14:paraId="510CB281" w14:textId="77777777" w:rsidR="001248F7" w:rsidRDefault="003518BE">
      <w:pPr>
        <w:pStyle w:val="Corpsdetexte"/>
        <w:spacing w:before="2" w:line="345" w:lineRule="auto"/>
        <w:ind w:left="568" w:right="1989"/>
        <w:jc w:val="left"/>
      </w:pPr>
      <w:r>
        <w:t>DEMBA</w:t>
      </w:r>
      <w:r>
        <w:rPr>
          <w:spacing w:val="-6"/>
        </w:rPr>
        <w:t xml:space="preserve"> </w:t>
      </w:r>
      <w:r>
        <w:t>Jean</w:t>
      </w:r>
      <w:r>
        <w:rPr>
          <w:spacing w:val="-6"/>
        </w:rPr>
        <w:t xml:space="preserve"> </w:t>
      </w:r>
      <w:r>
        <w:t>Jacques,</w:t>
      </w:r>
      <w:r>
        <w:rPr>
          <w:spacing w:val="-6"/>
        </w:rPr>
        <w:t xml:space="preserve"> </w:t>
      </w:r>
      <w:r>
        <w:t>École</w:t>
      </w:r>
      <w:r>
        <w:rPr>
          <w:spacing w:val="-6"/>
        </w:rPr>
        <w:t xml:space="preserve"> </w:t>
      </w:r>
      <w:r>
        <w:t>Normale</w:t>
      </w:r>
      <w:r>
        <w:rPr>
          <w:spacing w:val="-6"/>
        </w:rPr>
        <w:t xml:space="preserve"> </w:t>
      </w:r>
      <w:r>
        <w:t>Supérieure,</w:t>
      </w:r>
      <w:r>
        <w:rPr>
          <w:spacing w:val="-6"/>
        </w:rPr>
        <w:t xml:space="preserve"> </w:t>
      </w:r>
      <w:r>
        <w:t>Libreville,</w:t>
      </w:r>
      <w:r>
        <w:rPr>
          <w:spacing w:val="-6"/>
        </w:rPr>
        <w:t xml:space="preserve"> </w:t>
      </w:r>
      <w:r>
        <w:t>Gabon, DIABOUGA</w:t>
      </w:r>
      <w:r>
        <w:rPr>
          <w:spacing w:val="-3"/>
        </w:rPr>
        <w:t xml:space="preserve"> </w:t>
      </w:r>
      <w:r>
        <w:t>Yombo</w:t>
      </w:r>
      <w:r>
        <w:rPr>
          <w:spacing w:val="-2"/>
        </w:rPr>
        <w:t xml:space="preserve"> </w:t>
      </w:r>
      <w:r>
        <w:t>Paul,</w:t>
      </w:r>
      <w:r>
        <w:rPr>
          <w:spacing w:val="-2"/>
        </w:rPr>
        <w:t xml:space="preserve"> </w:t>
      </w:r>
      <w:r>
        <w:t>École</w:t>
      </w:r>
      <w:r>
        <w:rPr>
          <w:spacing w:val="-1"/>
        </w:rPr>
        <w:t xml:space="preserve"> </w:t>
      </w:r>
      <w:r>
        <w:t>Normale</w:t>
      </w:r>
      <w:r>
        <w:rPr>
          <w:spacing w:val="-2"/>
        </w:rPr>
        <w:t xml:space="preserve"> </w:t>
      </w:r>
      <w:r>
        <w:t>Supérieure,</w:t>
      </w:r>
      <w:r>
        <w:rPr>
          <w:spacing w:val="-2"/>
        </w:rPr>
        <w:t xml:space="preserve"> </w:t>
      </w:r>
      <w:r>
        <w:t>Burkina</w:t>
      </w:r>
      <w:r>
        <w:rPr>
          <w:spacing w:val="-1"/>
        </w:rPr>
        <w:t xml:space="preserve"> </w:t>
      </w:r>
      <w:r>
        <w:rPr>
          <w:spacing w:val="-2"/>
        </w:rPr>
        <w:t>Faso,</w:t>
      </w:r>
    </w:p>
    <w:p w14:paraId="6F28F04D" w14:textId="77777777" w:rsidR="001248F7" w:rsidRDefault="003518BE">
      <w:pPr>
        <w:pStyle w:val="Corpsdetexte"/>
        <w:spacing w:before="0" w:line="343" w:lineRule="auto"/>
        <w:ind w:left="568" w:right="816"/>
        <w:jc w:val="left"/>
      </w:pPr>
      <w:r>
        <w:t>DIAGNE, Baba DIEYE, ENSTP, Université Cheikh Anta Diop de Dakar, Sénégal, DIALLO</w:t>
      </w:r>
      <w:r>
        <w:rPr>
          <w:spacing w:val="-5"/>
        </w:rPr>
        <w:t xml:space="preserve"> </w:t>
      </w:r>
      <w:r>
        <w:t>Mamadou</w:t>
      </w:r>
      <w:r>
        <w:rPr>
          <w:spacing w:val="-4"/>
        </w:rPr>
        <w:t xml:space="preserve"> </w:t>
      </w:r>
      <w:r>
        <w:t>Thierno,</w:t>
      </w:r>
      <w:r>
        <w:rPr>
          <w:spacing w:val="-3"/>
        </w:rPr>
        <w:t xml:space="preserve"> </w:t>
      </w:r>
      <w:r>
        <w:t>Institut</w:t>
      </w:r>
      <w:r>
        <w:rPr>
          <w:spacing w:val="-4"/>
        </w:rPr>
        <w:t xml:space="preserve"> </w:t>
      </w:r>
      <w:r>
        <w:t>Supérieur</w:t>
      </w:r>
      <w:r>
        <w:rPr>
          <w:spacing w:val="-4"/>
        </w:rPr>
        <w:t xml:space="preserve"> </w:t>
      </w:r>
      <w:r>
        <w:t>des</w:t>
      </w:r>
      <w:r>
        <w:rPr>
          <w:spacing w:val="-5"/>
        </w:rPr>
        <w:t xml:space="preserve"> </w:t>
      </w:r>
      <w:r>
        <w:t>sciences</w:t>
      </w:r>
      <w:r>
        <w:rPr>
          <w:spacing w:val="-5"/>
        </w:rPr>
        <w:t xml:space="preserve"> </w:t>
      </w:r>
      <w:r>
        <w:t>de</w:t>
      </w:r>
      <w:r>
        <w:rPr>
          <w:spacing w:val="-5"/>
        </w:rPr>
        <w:t xml:space="preserve"> </w:t>
      </w:r>
      <w:r>
        <w:t>l’éducation,</w:t>
      </w:r>
      <w:r>
        <w:rPr>
          <w:spacing w:val="-4"/>
        </w:rPr>
        <w:t xml:space="preserve"> </w:t>
      </w:r>
      <w:r>
        <w:t>Guinée,</w:t>
      </w:r>
    </w:p>
    <w:p w14:paraId="1097BA54" w14:textId="77777777" w:rsidR="001248F7" w:rsidRDefault="003518BE">
      <w:pPr>
        <w:pStyle w:val="Corpsdetexte"/>
        <w:spacing w:before="1"/>
        <w:ind w:left="568"/>
        <w:jc w:val="left"/>
      </w:pPr>
      <w:r>
        <w:t>DIEDHIOU</w:t>
      </w:r>
      <w:r>
        <w:rPr>
          <w:spacing w:val="80"/>
        </w:rPr>
        <w:t xml:space="preserve"> </w:t>
      </w:r>
      <w:r>
        <w:t>Serigne</w:t>
      </w:r>
      <w:r>
        <w:rPr>
          <w:spacing w:val="80"/>
        </w:rPr>
        <w:t xml:space="preserve"> </w:t>
      </w:r>
      <w:r>
        <w:t>Ben</w:t>
      </w:r>
      <w:r>
        <w:rPr>
          <w:spacing w:val="80"/>
        </w:rPr>
        <w:t xml:space="preserve"> </w:t>
      </w:r>
      <w:r>
        <w:t>Moustapha,</w:t>
      </w:r>
      <w:r>
        <w:rPr>
          <w:spacing w:val="80"/>
        </w:rPr>
        <w:t xml:space="preserve"> </w:t>
      </w:r>
      <w:r>
        <w:t>Département</w:t>
      </w:r>
      <w:r>
        <w:rPr>
          <w:spacing w:val="80"/>
        </w:rPr>
        <w:t xml:space="preserve"> </w:t>
      </w:r>
      <w:r>
        <w:t>d’éducation</w:t>
      </w:r>
      <w:r>
        <w:rPr>
          <w:spacing w:val="80"/>
        </w:rPr>
        <w:t xml:space="preserve"> </w:t>
      </w:r>
      <w:r>
        <w:t>et</w:t>
      </w:r>
      <w:r>
        <w:rPr>
          <w:spacing w:val="80"/>
        </w:rPr>
        <w:t xml:space="preserve"> </w:t>
      </w:r>
      <w:r>
        <w:t>pédagogie</w:t>
      </w:r>
      <w:r>
        <w:rPr>
          <w:spacing w:val="80"/>
        </w:rPr>
        <w:t xml:space="preserve"> </w:t>
      </w:r>
      <w:r>
        <w:t xml:space="preserve">(UQÀM), </w:t>
      </w:r>
      <w:r>
        <w:rPr>
          <w:spacing w:val="-2"/>
        </w:rPr>
        <w:t>Canada,</w:t>
      </w:r>
    </w:p>
    <w:p w14:paraId="27D3E1D6" w14:textId="77777777" w:rsidR="001248F7" w:rsidRDefault="003518BE">
      <w:pPr>
        <w:pStyle w:val="Corpsdetexte"/>
        <w:ind w:left="568"/>
        <w:jc w:val="left"/>
      </w:pPr>
      <w:r>
        <w:t>DOUAMBA</w:t>
      </w:r>
      <w:r>
        <w:rPr>
          <w:spacing w:val="-4"/>
        </w:rPr>
        <w:t xml:space="preserve"> </w:t>
      </w:r>
      <w:r>
        <w:t>Jean-Pierre,</w:t>
      </w:r>
      <w:r>
        <w:rPr>
          <w:spacing w:val="-1"/>
        </w:rPr>
        <w:t xml:space="preserve"> </w:t>
      </w:r>
      <w:r>
        <w:t>École</w:t>
      </w:r>
      <w:r>
        <w:rPr>
          <w:spacing w:val="-2"/>
        </w:rPr>
        <w:t xml:space="preserve"> </w:t>
      </w:r>
      <w:r>
        <w:t>Normale</w:t>
      </w:r>
      <w:r>
        <w:rPr>
          <w:spacing w:val="-3"/>
        </w:rPr>
        <w:t xml:space="preserve"> </w:t>
      </w:r>
      <w:r>
        <w:t>Supérieure,</w:t>
      </w:r>
      <w:r>
        <w:rPr>
          <w:spacing w:val="-1"/>
        </w:rPr>
        <w:t xml:space="preserve"> </w:t>
      </w:r>
      <w:r>
        <w:t>Burkina</w:t>
      </w:r>
      <w:r>
        <w:rPr>
          <w:spacing w:val="-2"/>
        </w:rPr>
        <w:t xml:space="preserve"> Faso,</w:t>
      </w:r>
    </w:p>
    <w:p w14:paraId="068BA6DD" w14:textId="77777777" w:rsidR="001248F7" w:rsidRDefault="003518BE">
      <w:pPr>
        <w:pStyle w:val="Corpsdetexte"/>
        <w:ind w:left="568"/>
        <w:jc w:val="left"/>
      </w:pPr>
      <w:r>
        <w:t>EDI</w:t>
      </w:r>
      <w:r>
        <w:rPr>
          <w:spacing w:val="40"/>
        </w:rPr>
        <w:t xml:space="preserve"> </w:t>
      </w:r>
      <w:r>
        <w:t>Armand</w:t>
      </w:r>
      <w:r>
        <w:rPr>
          <w:spacing w:val="40"/>
        </w:rPr>
        <w:t xml:space="preserve"> </w:t>
      </w:r>
      <w:r>
        <w:t>Joseph,</w:t>
      </w:r>
      <w:r>
        <w:rPr>
          <w:spacing w:val="40"/>
        </w:rPr>
        <w:t xml:space="preserve"> </w:t>
      </w:r>
      <w:r>
        <w:t>Institut</w:t>
      </w:r>
      <w:r>
        <w:rPr>
          <w:spacing w:val="40"/>
        </w:rPr>
        <w:t xml:space="preserve"> </w:t>
      </w:r>
      <w:r>
        <w:t>National</w:t>
      </w:r>
      <w:r>
        <w:rPr>
          <w:spacing w:val="40"/>
        </w:rPr>
        <w:t xml:space="preserve"> </w:t>
      </w:r>
      <w:r>
        <w:t>de</w:t>
      </w:r>
      <w:r>
        <w:rPr>
          <w:spacing w:val="40"/>
        </w:rPr>
        <w:t xml:space="preserve"> </w:t>
      </w:r>
      <w:r>
        <w:t>Jeunesse</w:t>
      </w:r>
      <w:r>
        <w:rPr>
          <w:spacing w:val="40"/>
        </w:rPr>
        <w:t xml:space="preserve"> </w:t>
      </w:r>
      <w:r>
        <w:t>et</w:t>
      </w:r>
      <w:r>
        <w:rPr>
          <w:spacing w:val="40"/>
        </w:rPr>
        <w:t xml:space="preserve"> </w:t>
      </w:r>
      <w:r>
        <w:t>des</w:t>
      </w:r>
      <w:r>
        <w:rPr>
          <w:spacing w:val="40"/>
        </w:rPr>
        <w:t xml:space="preserve"> </w:t>
      </w:r>
      <w:r>
        <w:t>Sports</w:t>
      </w:r>
      <w:r>
        <w:rPr>
          <w:spacing w:val="40"/>
        </w:rPr>
        <w:t xml:space="preserve"> </w:t>
      </w:r>
      <w:r>
        <w:t>(INJS)</w:t>
      </w:r>
      <w:r>
        <w:rPr>
          <w:spacing w:val="40"/>
        </w:rPr>
        <w:t xml:space="preserve"> </w:t>
      </w:r>
      <w:r>
        <w:t>d’Abidjan,</w:t>
      </w:r>
      <w:r>
        <w:rPr>
          <w:spacing w:val="40"/>
        </w:rPr>
        <w:t xml:space="preserve"> </w:t>
      </w:r>
      <w:r>
        <w:t xml:space="preserve">Côte </w:t>
      </w:r>
      <w:r>
        <w:rPr>
          <w:spacing w:val="-2"/>
        </w:rPr>
        <w:t>d’Ivoire,</w:t>
      </w:r>
    </w:p>
    <w:p w14:paraId="368D10C7" w14:textId="77777777" w:rsidR="001248F7" w:rsidRDefault="003518BE">
      <w:pPr>
        <w:pStyle w:val="Corpsdetexte"/>
        <w:ind w:left="568"/>
        <w:jc w:val="left"/>
      </w:pPr>
      <w:r>
        <w:t>ESSONO</w:t>
      </w:r>
      <w:r>
        <w:rPr>
          <w:spacing w:val="-2"/>
        </w:rPr>
        <w:t xml:space="preserve"> </w:t>
      </w:r>
      <w:r>
        <w:t>EBANG</w:t>
      </w:r>
      <w:r>
        <w:rPr>
          <w:spacing w:val="-1"/>
        </w:rPr>
        <w:t xml:space="preserve"> </w:t>
      </w:r>
      <w:r>
        <w:t>Mireille,</w:t>
      </w:r>
      <w:r>
        <w:rPr>
          <w:spacing w:val="-1"/>
        </w:rPr>
        <w:t xml:space="preserve"> </w:t>
      </w:r>
      <w:r>
        <w:t>École</w:t>
      </w:r>
      <w:r>
        <w:rPr>
          <w:spacing w:val="-1"/>
        </w:rPr>
        <w:t xml:space="preserve"> </w:t>
      </w:r>
      <w:r>
        <w:t>Normale</w:t>
      </w:r>
      <w:r>
        <w:rPr>
          <w:spacing w:val="-2"/>
        </w:rPr>
        <w:t xml:space="preserve"> </w:t>
      </w:r>
      <w:r>
        <w:t>Supérieure</w:t>
      </w:r>
      <w:r>
        <w:rPr>
          <w:spacing w:val="-2"/>
        </w:rPr>
        <w:t xml:space="preserve"> </w:t>
      </w:r>
      <w:r>
        <w:t>de</w:t>
      </w:r>
      <w:r>
        <w:rPr>
          <w:spacing w:val="-2"/>
        </w:rPr>
        <w:t xml:space="preserve"> </w:t>
      </w:r>
      <w:r>
        <w:t>Libreville,</w:t>
      </w:r>
      <w:r>
        <w:rPr>
          <w:spacing w:val="-1"/>
        </w:rPr>
        <w:t xml:space="preserve"> </w:t>
      </w:r>
      <w:r>
        <w:rPr>
          <w:spacing w:val="-2"/>
        </w:rPr>
        <w:t>Gabon,</w:t>
      </w:r>
    </w:p>
    <w:p w14:paraId="5CC96760" w14:textId="77777777" w:rsidR="001248F7" w:rsidRDefault="003518BE">
      <w:pPr>
        <w:pStyle w:val="Corpsdetexte"/>
        <w:ind w:left="568"/>
        <w:jc w:val="left"/>
      </w:pPr>
      <w:r>
        <w:t>GOUDENON</w:t>
      </w:r>
      <w:r>
        <w:rPr>
          <w:spacing w:val="69"/>
        </w:rPr>
        <w:t xml:space="preserve"> </w:t>
      </w:r>
      <w:r>
        <w:t>Martine</w:t>
      </w:r>
      <w:r>
        <w:rPr>
          <w:spacing w:val="71"/>
        </w:rPr>
        <w:t xml:space="preserve"> </w:t>
      </w:r>
      <w:r>
        <w:t>Epse</w:t>
      </w:r>
      <w:r>
        <w:rPr>
          <w:spacing w:val="69"/>
        </w:rPr>
        <w:t xml:space="preserve"> </w:t>
      </w:r>
      <w:r>
        <w:t>BLEY,</w:t>
      </w:r>
      <w:r>
        <w:rPr>
          <w:spacing w:val="72"/>
        </w:rPr>
        <w:t xml:space="preserve"> </w:t>
      </w:r>
      <w:r>
        <w:t>Institut</w:t>
      </w:r>
      <w:r>
        <w:rPr>
          <w:spacing w:val="70"/>
        </w:rPr>
        <w:t xml:space="preserve"> </w:t>
      </w:r>
      <w:r>
        <w:t>National</w:t>
      </w:r>
      <w:r>
        <w:rPr>
          <w:spacing w:val="70"/>
        </w:rPr>
        <w:t xml:space="preserve"> </w:t>
      </w:r>
      <w:r>
        <w:t>de</w:t>
      </w:r>
      <w:r>
        <w:rPr>
          <w:spacing w:val="69"/>
        </w:rPr>
        <w:t xml:space="preserve"> </w:t>
      </w:r>
      <w:r>
        <w:t>Jeunesse</w:t>
      </w:r>
      <w:r>
        <w:rPr>
          <w:spacing w:val="72"/>
        </w:rPr>
        <w:t xml:space="preserve"> </w:t>
      </w:r>
      <w:r>
        <w:t>et</w:t>
      </w:r>
      <w:r>
        <w:rPr>
          <w:spacing w:val="73"/>
        </w:rPr>
        <w:t xml:space="preserve"> </w:t>
      </w:r>
      <w:r>
        <w:t>des</w:t>
      </w:r>
      <w:r>
        <w:rPr>
          <w:spacing w:val="70"/>
        </w:rPr>
        <w:t xml:space="preserve"> </w:t>
      </w:r>
      <w:r>
        <w:t>Sports</w:t>
      </w:r>
      <w:r>
        <w:rPr>
          <w:spacing w:val="70"/>
        </w:rPr>
        <w:t xml:space="preserve"> </w:t>
      </w:r>
      <w:r>
        <w:t>(INJS) d’Abidjan, Côte d’Ivoire,</w:t>
      </w:r>
    </w:p>
    <w:p w14:paraId="358FB9D9" w14:textId="77777777" w:rsidR="001248F7" w:rsidRDefault="003518BE">
      <w:pPr>
        <w:pStyle w:val="Corpsdetexte"/>
        <w:spacing w:line="343" w:lineRule="auto"/>
        <w:ind w:left="568" w:right="816"/>
        <w:jc w:val="left"/>
      </w:pPr>
      <w:r>
        <w:t>GUEDELA</w:t>
      </w:r>
      <w:r>
        <w:rPr>
          <w:spacing w:val="-5"/>
        </w:rPr>
        <w:t xml:space="preserve"> </w:t>
      </w:r>
      <w:r>
        <w:t>Oumar,</w:t>
      </w:r>
      <w:r>
        <w:rPr>
          <w:spacing w:val="-4"/>
        </w:rPr>
        <w:t xml:space="preserve"> </w:t>
      </w:r>
      <w:r>
        <w:t>École</w:t>
      </w:r>
      <w:r>
        <w:rPr>
          <w:spacing w:val="-5"/>
        </w:rPr>
        <w:t xml:space="preserve"> </w:t>
      </w:r>
      <w:r>
        <w:t>Normale</w:t>
      </w:r>
      <w:r>
        <w:rPr>
          <w:spacing w:val="-5"/>
        </w:rPr>
        <w:t xml:space="preserve"> </w:t>
      </w:r>
      <w:r>
        <w:t>Supérieure</w:t>
      </w:r>
      <w:r>
        <w:rPr>
          <w:spacing w:val="-6"/>
        </w:rPr>
        <w:t xml:space="preserve"> </w:t>
      </w:r>
      <w:r>
        <w:t>de</w:t>
      </w:r>
      <w:r>
        <w:rPr>
          <w:spacing w:val="-3"/>
        </w:rPr>
        <w:t xml:space="preserve"> </w:t>
      </w:r>
      <w:r>
        <w:t>l’Université</w:t>
      </w:r>
      <w:r>
        <w:rPr>
          <w:spacing w:val="-5"/>
        </w:rPr>
        <w:t xml:space="preserve"> </w:t>
      </w:r>
      <w:r>
        <w:t>de</w:t>
      </w:r>
      <w:r>
        <w:rPr>
          <w:spacing w:val="-5"/>
        </w:rPr>
        <w:t xml:space="preserve"> </w:t>
      </w:r>
      <w:r>
        <w:t>Maroua/Cameroun, GUIRE Inoussa, Institut des Sciences des Sociétés/CNRST/Burkina Faso,</w:t>
      </w:r>
    </w:p>
    <w:p w14:paraId="65D989DA" w14:textId="77777777" w:rsidR="001248F7" w:rsidRDefault="003518BE">
      <w:pPr>
        <w:pStyle w:val="Corpsdetexte"/>
        <w:spacing w:before="5" w:line="237" w:lineRule="auto"/>
        <w:ind w:left="568"/>
        <w:jc w:val="left"/>
      </w:pPr>
      <w:r>
        <w:t>HONVO Camille,</w:t>
      </w:r>
      <w:r>
        <w:rPr>
          <w:spacing w:val="29"/>
        </w:rPr>
        <w:t xml:space="preserve"> </w:t>
      </w:r>
      <w:r>
        <w:t>Institut National Supérieur des Arts et de l’Action Culturelle (INSAAC)</w:t>
      </w:r>
      <w:r>
        <w:rPr>
          <w:spacing w:val="80"/>
        </w:rPr>
        <w:t xml:space="preserve"> </w:t>
      </w:r>
      <w:r>
        <w:t>d’Abidjan, Côte d’Ivoire,</w:t>
      </w:r>
    </w:p>
    <w:p w14:paraId="658A7019" w14:textId="77777777" w:rsidR="001248F7" w:rsidRDefault="003518BE">
      <w:pPr>
        <w:pStyle w:val="Corpsdetexte"/>
        <w:spacing w:before="121"/>
        <w:ind w:left="568"/>
        <w:jc w:val="left"/>
      </w:pPr>
      <w:r>
        <w:t>KOUAWO</w:t>
      </w:r>
      <w:r>
        <w:rPr>
          <w:spacing w:val="-1"/>
        </w:rPr>
        <w:t xml:space="preserve"> </w:t>
      </w:r>
      <w:r>
        <w:t>Achilles,</w:t>
      </w:r>
      <w:r>
        <w:rPr>
          <w:spacing w:val="-1"/>
        </w:rPr>
        <w:t xml:space="preserve"> </w:t>
      </w:r>
      <w:r>
        <w:t>Université</w:t>
      </w:r>
      <w:r>
        <w:rPr>
          <w:spacing w:val="-1"/>
        </w:rPr>
        <w:t xml:space="preserve"> </w:t>
      </w:r>
      <w:r>
        <w:t>de</w:t>
      </w:r>
      <w:r>
        <w:rPr>
          <w:spacing w:val="-3"/>
        </w:rPr>
        <w:t xml:space="preserve"> </w:t>
      </w:r>
      <w:r>
        <w:t xml:space="preserve">Lomé, </w:t>
      </w:r>
      <w:r>
        <w:rPr>
          <w:spacing w:val="-2"/>
        </w:rPr>
        <w:t>Togo,</w:t>
      </w:r>
    </w:p>
    <w:p w14:paraId="0AFB4B3F" w14:textId="77777777" w:rsidR="001248F7" w:rsidRDefault="001248F7">
      <w:pPr>
        <w:pStyle w:val="Corpsdetexte"/>
        <w:jc w:val="left"/>
        <w:sectPr w:rsidR="001248F7">
          <w:footnotePr>
            <w:numRestart w:val="eachPage"/>
          </w:footnotePr>
          <w:pgSz w:w="11910" w:h="16840"/>
          <w:pgMar w:top="1080" w:right="1133" w:bottom="2120" w:left="850" w:header="847" w:footer="1865" w:gutter="0"/>
          <w:cols w:space="720"/>
        </w:sectPr>
      </w:pPr>
    </w:p>
    <w:p w14:paraId="65827365" w14:textId="77777777" w:rsidR="001248F7" w:rsidRDefault="001248F7">
      <w:pPr>
        <w:pStyle w:val="Corpsdetexte"/>
        <w:spacing w:before="49"/>
        <w:ind w:left="0"/>
        <w:jc w:val="left"/>
      </w:pPr>
    </w:p>
    <w:p w14:paraId="5891DCC8" w14:textId="77777777" w:rsidR="001248F7" w:rsidRDefault="003518BE">
      <w:pPr>
        <w:pStyle w:val="Corpsdetexte"/>
        <w:spacing w:before="0" w:line="345" w:lineRule="auto"/>
        <w:ind w:left="568" w:right="1708"/>
        <w:jc w:val="left"/>
      </w:pPr>
      <w:r>
        <w:t>MBAZOGUE-OWONO</w:t>
      </w:r>
      <w:r>
        <w:rPr>
          <w:spacing w:val="-6"/>
        </w:rPr>
        <w:t xml:space="preserve"> </w:t>
      </w:r>
      <w:r>
        <w:t>Liliane,</w:t>
      </w:r>
      <w:r>
        <w:rPr>
          <w:spacing w:val="-7"/>
        </w:rPr>
        <w:t xml:space="preserve"> </w:t>
      </w:r>
      <w:r>
        <w:t>École</w:t>
      </w:r>
      <w:r>
        <w:rPr>
          <w:spacing w:val="-7"/>
        </w:rPr>
        <w:t xml:space="preserve"> </w:t>
      </w:r>
      <w:r>
        <w:t>Normale</w:t>
      </w:r>
      <w:r>
        <w:rPr>
          <w:spacing w:val="-7"/>
        </w:rPr>
        <w:t xml:space="preserve"> </w:t>
      </w:r>
      <w:r>
        <w:t>Supérieure,</w:t>
      </w:r>
      <w:r>
        <w:rPr>
          <w:spacing w:val="-7"/>
        </w:rPr>
        <w:t xml:space="preserve"> </w:t>
      </w:r>
      <w:r>
        <w:t>Libreville,</w:t>
      </w:r>
      <w:r>
        <w:rPr>
          <w:spacing w:val="-7"/>
        </w:rPr>
        <w:t xml:space="preserve"> </w:t>
      </w:r>
      <w:r>
        <w:t>Gabon, MOUSSAVOU Raymonde, École Normale Supérieure, Libreville/Gabon, NAO Aklesso, Institut Supérieur Don Bosco/Lomé, Togo,</w:t>
      </w:r>
    </w:p>
    <w:p w14:paraId="6ECFBE7E" w14:textId="77777777" w:rsidR="001248F7" w:rsidRDefault="003518BE">
      <w:pPr>
        <w:pStyle w:val="Corpsdetexte"/>
        <w:spacing w:before="0" w:line="343" w:lineRule="auto"/>
        <w:ind w:left="568" w:right="1989"/>
        <w:jc w:val="left"/>
      </w:pPr>
      <w:r>
        <w:t>NDONG</w:t>
      </w:r>
      <w:r>
        <w:rPr>
          <w:spacing w:val="-6"/>
        </w:rPr>
        <w:t xml:space="preserve"> </w:t>
      </w:r>
      <w:r>
        <w:t>SIMA</w:t>
      </w:r>
      <w:r>
        <w:rPr>
          <w:spacing w:val="-6"/>
        </w:rPr>
        <w:t xml:space="preserve"> </w:t>
      </w:r>
      <w:r>
        <w:t>Gabin,</w:t>
      </w:r>
      <w:r>
        <w:rPr>
          <w:spacing w:val="-6"/>
        </w:rPr>
        <w:t xml:space="preserve"> </w:t>
      </w:r>
      <w:r>
        <w:t>École</w:t>
      </w:r>
      <w:r>
        <w:rPr>
          <w:spacing w:val="-6"/>
        </w:rPr>
        <w:t xml:space="preserve"> </w:t>
      </w:r>
      <w:r>
        <w:t>Normale</w:t>
      </w:r>
      <w:r>
        <w:rPr>
          <w:spacing w:val="-6"/>
        </w:rPr>
        <w:t xml:space="preserve"> </w:t>
      </w:r>
      <w:r>
        <w:t>Supérieure,</w:t>
      </w:r>
      <w:r>
        <w:rPr>
          <w:spacing w:val="-6"/>
        </w:rPr>
        <w:t xml:space="preserve"> </w:t>
      </w:r>
      <w:r>
        <w:t>Libreville,</w:t>
      </w:r>
      <w:r>
        <w:rPr>
          <w:spacing w:val="-6"/>
        </w:rPr>
        <w:t xml:space="preserve"> </w:t>
      </w:r>
      <w:r>
        <w:t xml:space="preserve">Gabon, NEBIE Alexis, Université Joseph </w:t>
      </w:r>
      <w:proofErr w:type="spellStart"/>
      <w:r>
        <w:t>Ki-Zerbo</w:t>
      </w:r>
      <w:proofErr w:type="spellEnd"/>
      <w:r>
        <w:t>, Burkina Faso,</w:t>
      </w:r>
    </w:p>
    <w:p w14:paraId="32CBDFCF" w14:textId="77777777" w:rsidR="001248F7" w:rsidRDefault="003518BE">
      <w:pPr>
        <w:pStyle w:val="Corpsdetexte"/>
        <w:spacing w:before="0" w:line="343" w:lineRule="auto"/>
        <w:ind w:left="568" w:right="816"/>
        <w:jc w:val="left"/>
      </w:pPr>
      <w:r>
        <w:t>NIANG,</w:t>
      </w:r>
      <w:r>
        <w:rPr>
          <w:spacing w:val="-4"/>
        </w:rPr>
        <w:t xml:space="preserve"> </w:t>
      </w:r>
      <w:r>
        <w:t>Amadou</w:t>
      </w:r>
      <w:r>
        <w:rPr>
          <w:spacing w:val="-4"/>
        </w:rPr>
        <w:t xml:space="preserve"> </w:t>
      </w:r>
      <w:r>
        <w:t>Yoro,</w:t>
      </w:r>
      <w:r>
        <w:rPr>
          <w:spacing w:val="-3"/>
        </w:rPr>
        <w:t xml:space="preserve"> </w:t>
      </w:r>
      <w:r>
        <w:t>FASTEF,</w:t>
      </w:r>
      <w:r>
        <w:rPr>
          <w:spacing w:val="-4"/>
        </w:rPr>
        <w:t xml:space="preserve"> </w:t>
      </w:r>
      <w:r>
        <w:t>Université</w:t>
      </w:r>
      <w:r>
        <w:rPr>
          <w:spacing w:val="-4"/>
        </w:rPr>
        <w:t xml:space="preserve"> </w:t>
      </w:r>
      <w:r>
        <w:t>Cheikh</w:t>
      </w:r>
      <w:r>
        <w:rPr>
          <w:spacing w:val="-4"/>
        </w:rPr>
        <w:t xml:space="preserve"> </w:t>
      </w:r>
      <w:r>
        <w:t>Anta</w:t>
      </w:r>
      <w:r>
        <w:rPr>
          <w:spacing w:val="-4"/>
        </w:rPr>
        <w:t xml:space="preserve"> </w:t>
      </w:r>
      <w:r>
        <w:t>Diop</w:t>
      </w:r>
      <w:r>
        <w:rPr>
          <w:spacing w:val="-4"/>
        </w:rPr>
        <w:t xml:space="preserve"> </w:t>
      </w:r>
      <w:r>
        <w:t>de</w:t>
      </w:r>
      <w:r>
        <w:rPr>
          <w:spacing w:val="-4"/>
        </w:rPr>
        <w:t xml:space="preserve"> </w:t>
      </w:r>
      <w:r>
        <w:t>Dakar,</w:t>
      </w:r>
      <w:r>
        <w:rPr>
          <w:spacing w:val="-3"/>
        </w:rPr>
        <w:t xml:space="preserve"> </w:t>
      </w:r>
      <w:r>
        <w:t xml:space="preserve">Sénégal, NIYA Gninneyo Sylvestre-Pierre, École Normale Supérieure/Burkina Faso, OUEDRAOGO P. Salfo, Université Joseph </w:t>
      </w:r>
      <w:proofErr w:type="spellStart"/>
      <w:r>
        <w:t>Ki-Zerbo</w:t>
      </w:r>
      <w:proofErr w:type="spellEnd"/>
      <w:r>
        <w:t>, Burkina Faso,</w:t>
      </w:r>
    </w:p>
    <w:p w14:paraId="5255E1BD" w14:textId="77777777" w:rsidR="001248F7" w:rsidRDefault="003518BE">
      <w:pPr>
        <w:pStyle w:val="Corpsdetexte"/>
        <w:spacing w:before="3" w:line="343" w:lineRule="auto"/>
        <w:ind w:left="568"/>
        <w:jc w:val="left"/>
      </w:pPr>
      <w:r>
        <w:t>POUDIOUGO</w:t>
      </w:r>
      <w:r>
        <w:rPr>
          <w:spacing w:val="-4"/>
        </w:rPr>
        <w:t xml:space="preserve"> </w:t>
      </w:r>
      <w:r>
        <w:t>Wendkuuni</w:t>
      </w:r>
      <w:r>
        <w:rPr>
          <w:spacing w:val="-5"/>
        </w:rPr>
        <w:t xml:space="preserve"> </w:t>
      </w:r>
      <w:r>
        <w:t>Désiré,</w:t>
      </w:r>
      <w:r>
        <w:rPr>
          <w:spacing w:val="-3"/>
        </w:rPr>
        <w:t xml:space="preserve"> </w:t>
      </w:r>
      <w:r>
        <w:t>Institut</w:t>
      </w:r>
      <w:r>
        <w:rPr>
          <w:spacing w:val="-5"/>
        </w:rPr>
        <w:t xml:space="preserve"> </w:t>
      </w:r>
      <w:r>
        <w:t>des</w:t>
      </w:r>
      <w:r>
        <w:rPr>
          <w:spacing w:val="-5"/>
        </w:rPr>
        <w:t xml:space="preserve"> </w:t>
      </w:r>
      <w:r>
        <w:t>Sciences</w:t>
      </w:r>
      <w:r>
        <w:rPr>
          <w:spacing w:val="-5"/>
        </w:rPr>
        <w:t xml:space="preserve"> </w:t>
      </w:r>
      <w:r>
        <w:t>des</w:t>
      </w:r>
      <w:r>
        <w:rPr>
          <w:spacing w:val="-5"/>
        </w:rPr>
        <w:t xml:space="preserve"> </w:t>
      </w:r>
      <w:r>
        <w:t>Sociétés/CNRST</w:t>
      </w:r>
      <w:r>
        <w:rPr>
          <w:spacing w:val="-5"/>
        </w:rPr>
        <w:t xml:space="preserve"> </w:t>
      </w:r>
      <w:r>
        <w:t>(Burkina</w:t>
      </w:r>
      <w:r>
        <w:rPr>
          <w:spacing w:val="-6"/>
        </w:rPr>
        <w:t xml:space="preserve"> </w:t>
      </w:r>
      <w:r>
        <w:t>Faso), SAMANDOULGOU Serge, CNRST, Burkina Faso,</w:t>
      </w:r>
    </w:p>
    <w:p w14:paraId="43C1EBD2" w14:textId="77777777" w:rsidR="001248F7" w:rsidRDefault="003518BE">
      <w:pPr>
        <w:pStyle w:val="Corpsdetexte"/>
        <w:spacing w:before="4"/>
        <w:ind w:left="568"/>
        <w:jc w:val="left"/>
      </w:pPr>
      <w:r>
        <w:t>SANOGO Mamadou, Institut de Formation et Recherche Interdisciplinaires en Sciences de la Santé et de l’Éducation, Burkina Faso,</w:t>
      </w:r>
    </w:p>
    <w:p w14:paraId="0180C12B" w14:textId="77777777" w:rsidR="001248F7" w:rsidRDefault="003518BE">
      <w:pPr>
        <w:pStyle w:val="Corpsdetexte"/>
        <w:spacing w:line="343" w:lineRule="auto"/>
        <w:ind w:left="568" w:right="2341"/>
        <w:jc w:val="left"/>
      </w:pPr>
      <w:r>
        <w:t>SAWADOGO</w:t>
      </w:r>
      <w:r>
        <w:rPr>
          <w:spacing w:val="-7"/>
        </w:rPr>
        <w:t xml:space="preserve"> </w:t>
      </w:r>
      <w:proofErr w:type="spellStart"/>
      <w:r>
        <w:t>Timbila</w:t>
      </w:r>
      <w:proofErr w:type="spellEnd"/>
      <w:r>
        <w:t>,</w:t>
      </w:r>
      <w:r>
        <w:rPr>
          <w:spacing w:val="-5"/>
        </w:rPr>
        <w:t xml:space="preserve"> </w:t>
      </w:r>
      <w:r>
        <w:t>École</w:t>
      </w:r>
      <w:r>
        <w:rPr>
          <w:spacing w:val="-7"/>
        </w:rPr>
        <w:t xml:space="preserve"> </w:t>
      </w:r>
      <w:r>
        <w:t>Normale</w:t>
      </w:r>
      <w:r>
        <w:rPr>
          <w:spacing w:val="-8"/>
        </w:rPr>
        <w:t xml:space="preserve"> </w:t>
      </w:r>
      <w:r>
        <w:t>Supérieure</w:t>
      </w:r>
      <w:r>
        <w:rPr>
          <w:spacing w:val="-8"/>
        </w:rPr>
        <w:t xml:space="preserve"> </w:t>
      </w:r>
      <w:r>
        <w:t>(Burkina</w:t>
      </w:r>
      <w:r>
        <w:rPr>
          <w:spacing w:val="-6"/>
        </w:rPr>
        <w:t xml:space="preserve"> </w:t>
      </w:r>
      <w:r>
        <w:t>Faso), SEKA YAPI, École Normale Supérieure, Côte d’Ivoire,</w:t>
      </w:r>
    </w:p>
    <w:p w14:paraId="437F34FC" w14:textId="77777777" w:rsidR="001248F7" w:rsidRDefault="003518BE">
      <w:pPr>
        <w:pStyle w:val="Corpsdetexte"/>
        <w:spacing w:before="3"/>
        <w:ind w:left="568"/>
        <w:jc w:val="left"/>
      </w:pPr>
      <w:r>
        <w:t>SIDIB</w:t>
      </w:r>
      <w:r>
        <w:rPr>
          <w:rFonts w:ascii="Palatino Linotype" w:hAnsi="Palatino Linotype"/>
        </w:rPr>
        <w:t>É</w:t>
      </w:r>
      <w:r>
        <w:rPr>
          <w:rFonts w:ascii="Palatino Linotype" w:hAnsi="Palatino Linotype"/>
          <w:spacing w:val="-5"/>
        </w:rPr>
        <w:t xml:space="preserve"> </w:t>
      </w:r>
      <w:r>
        <w:t>Moctar,</w:t>
      </w:r>
      <w:r>
        <w:rPr>
          <w:spacing w:val="-2"/>
        </w:rPr>
        <w:t xml:space="preserve"> </w:t>
      </w:r>
      <w:r>
        <w:t>École</w:t>
      </w:r>
      <w:r>
        <w:rPr>
          <w:spacing w:val="-2"/>
        </w:rPr>
        <w:t xml:space="preserve"> </w:t>
      </w:r>
      <w:r>
        <w:t>Normale</w:t>
      </w:r>
      <w:r>
        <w:rPr>
          <w:spacing w:val="-2"/>
        </w:rPr>
        <w:t xml:space="preserve"> </w:t>
      </w:r>
      <w:r>
        <w:t>d’Enseignement Technique</w:t>
      </w:r>
      <w:r>
        <w:rPr>
          <w:spacing w:val="-2"/>
        </w:rPr>
        <w:t xml:space="preserve"> </w:t>
      </w:r>
      <w:r>
        <w:t>et</w:t>
      </w:r>
      <w:r>
        <w:rPr>
          <w:spacing w:val="-2"/>
        </w:rPr>
        <w:t xml:space="preserve"> </w:t>
      </w:r>
      <w:r>
        <w:t>Professionnel</w:t>
      </w:r>
      <w:r>
        <w:rPr>
          <w:spacing w:val="-2"/>
        </w:rPr>
        <w:t xml:space="preserve"> </w:t>
      </w:r>
      <w:r>
        <w:t>ENETP,</w:t>
      </w:r>
      <w:r>
        <w:rPr>
          <w:spacing w:val="-1"/>
        </w:rPr>
        <w:t xml:space="preserve"> </w:t>
      </w:r>
      <w:r>
        <w:rPr>
          <w:spacing w:val="-2"/>
        </w:rPr>
        <w:t>Mali,</w:t>
      </w:r>
    </w:p>
    <w:p w14:paraId="02208164" w14:textId="77777777" w:rsidR="001248F7" w:rsidRDefault="003518BE">
      <w:pPr>
        <w:pStyle w:val="Corpsdetexte"/>
        <w:ind w:left="568" w:right="289"/>
        <w:jc w:val="left"/>
      </w:pPr>
      <w:r>
        <w:t xml:space="preserve">SOMDA </w:t>
      </w:r>
      <w:proofErr w:type="spellStart"/>
      <w:r>
        <w:t>Minimalo</w:t>
      </w:r>
      <w:proofErr w:type="spellEnd"/>
      <w:r>
        <w:t xml:space="preserve"> Alice épouse SOME, Institut des Sciences des Sociétés/CNRST, Burkina </w:t>
      </w:r>
      <w:r>
        <w:rPr>
          <w:spacing w:val="-2"/>
        </w:rPr>
        <w:t>Faso,</w:t>
      </w:r>
    </w:p>
    <w:p w14:paraId="3410901A" w14:textId="77777777" w:rsidR="001248F7" w:rsidRDefault="003518BE">
      <w:pPr>
        <w:pStyle w:val="Corpsdetexte"/>
        <w:spacing w:before="121" w:line="326" w:lineRule="auto"/>
        <w:ind w:left="568" w:right="1989"/>
        <w:jc w:val="left"/>
      </w:pPr>
      <w:r>
        <w:t>SOM</w:t>
      </w:r>
      <w:r>
        <w:rPr>
          <w:rFonts w:ascii="Palatino Linotype" w:hAnsi="Palatino Linotype"/>
        </w:rPr>
        <w:t>É</w:t>
      </w:r>
      <w:r>
        <w:rPr>
          <w:rFonts w:ascii="Palatino Linotype" w:hAnsi="Palatino Linotype"/>
          <w:spacing w:val="-6"/>
        </w:rPr>
        <w:t xml:space="preserve"> </w:t>
      </w:r>
      <w:r>
        <w:t>Alice,</w:t>
      </w:r>
      <w:r>
        <w:rPr>
          <w:spacing w:val="-3"/>
        </w:rPr>
        <w:t xml:space="preserve"> </w:t>
      </w:r>
      <w:r>
        <w:t>Institut</w:t>
      </w:r>
      <w:r>
        <w:rPr>
          <w:spacing w:val="-5"/>
        </w:rPr>
        <w:t xml:space="preserve"> </w:t>
      </w:r>
      <w:r>
        <w:t>des</w:t>
      </w:r>
      <w:r>
        <w:rPr>
          <w:spacing w:val="-5"/>
        </w:rPr>
        <w:t xml:space="preserve"> </w:t>
      </w:r>
      <w:r>
        <w:t>Sciences</w:t>
      </w:r>
      <w:r>
        <w:rPr>
          <w:spacing w:val="-5"/>
        </w:rPr>
        <w:t xml:space="preserve"> </w:t>
      </w:r>
      <w:r>
        <w:t>des</w:t>
      </w:r>
      <w:r>
        <w:rPr>
          <w:spacing w:val="-5"/>
        </w:rPr>
        <w:t xml:space="preserve"> </w:t>
      </w:r>
      <w:r>
        <w:t>Sociétés/CNRST,</w:t>
      </w:r>
      <w:r>
        <w:rPr>
          <w:spacing w:val="-5"/>
        </w:rPr>
        <w:t xml:space="preserve"> </w:t>
      </w:r>
      <w:r>
        <w:t>Burkina</w:t>
      </w:r>
      <w:r>
        <w:rPr>
          <w:spacing w:val="-6"/>
        </w:rPr>
        <w:t xml:space="preserve"> </w:t>
      </w:r>
      <w:r>
        <w:t>Faso, TCHAGNAOU Akimou, Université de Zinder, Niger,</w:t>
      </w:r>
    </w:p>
    <w:p w14:paraId="7A7506D1" w14:textId="77777777" w:rsidR="001248F7" w:rsidRDefault="003518BE">
      <w:pPr>
        <w:pStyle w:val="Corpsdetexte"/>
        <w:spacing w:before="21" w:line="343" w:lineRule="auto"/>
        <w:ind w:left="568" w:right="1989"/>
        <w:jc w:val="left"/>
      </w:pPr>
      <w:r>
        <w:t>THIAM</w:t>
      </w:r>
      <w:r>
        <w:rPr>
          <w:spacing w:val="-5"/>
        </w:rPr>
        <w:t xml:space="preserve"> </w:t>
      </w:r>
      <w:r>
        <w:t>Ousseynou,</w:t>
      </w:r>
      <w:r>
        <w:rPr>
          <w:spacing w:val="-5"/>
        </w:rPr>
        <w:t xml:space="preserve"> </w:t>
      </w:r>
      <w:r>
        <w:t>Université</w:t>
      </w:r>
      <w:r>
        <w:rPr>
          <w:spacing w:val="-5"/>
        </w:rPr>
        <w:t xml:space="preserve"> </w:t>
      </w:r>
      <w:r>
        <w:t>Cheikh</w:t>
      </w:r>
      <w:r>
        <w:rPr>
          <w:spacing w:val="-5"/>
        </w:rPr>
        <w:t xml:space="preserve"> </w:t>
      </w:r>
      <w:r>
        <w:t>Anta</w:t>
      </w:r>
      <w:r>
        <w:rPr>
          <w:spacing w:val="-5"/>
        </w:rPr>
        <w:t xml:space="preserve"> </w:t>
      </w:r>
      <w:r>
        <w:t>Diop</w:t>
      </w:r>
      <w:r>
        <w:rPr>
          <w:spacing w:val="-5"/>
        </w:rPr>
        <w:t xml:space="preserve"> </w:t>
      </w:r>
      <w:r>
        <w:t>de</w:t>
      </w:r>
      <w:r>
        <w:rPr>
          <w:spacing w:val="-6"/>
        </w:rPr>
        <w:t xml:space="preserve"> </w:t>
      </w:r>
      <w:r>
        <w:t>Dakar,</w:t>
      </w:r>
      <w:r>
        <w:rPr>
          <w:spacing w:val="-5"/>
        </w:rPr>
        <w:t xml:space="preserve"> </w:t>
      </w:r>
      <w:r>
        <w:t xml:space="preserve">Sénégal, TONYEME </w:t>
      </w:r>
      <w:proofErr w:type="spellStart"/>
      <w:r>
        <w:t>Bilakani</w:t>
      </w:r>
      <w:proofErr w:type="spellEnd"/>
      <w:r>
        <w:t>, Université de Lomé, Togo,</w:t>
      </w:r>
    </w:p>
    <w:p w14:paraId="76937ACE" w14:textId="77777777" w:rsidR="001248F7" w:rsidRPr="00E01032" w:rsidRDefault="003518BE">
      <w:pPr>
        <w:pStyle w:val="Corpsdetexte"/>
        <w:spacing w:before="4"/>
        <w:ind w:left="568"/>
        <w:jc w:val="left"/>
        <w:rPr>
          <w:lang w:val="pt-PT"/>
        </w:rPr>
      </w:pPr>
      <w:r w:rsidRPr="00E01032">
        <w:rPr>
          <w:lang w:val="pt-PT"/>
        </w:rPr>
        <w:t>TRAOR</w:t>
      </w:r>
      <w:r w:rsidRPr="00E01032">
        <w:rPr>
          <w:rFonts w:ascii="Palatino Linotype" w:hAnsi="Palatino Linotype"/>
          <w:lang w:val="pt-PT"/>
        </w:rPr>
        <w:t>É</w:t>
      </w:r>
      <w:r w:rsidRPr="00E01032">
        <w:rPr>
          <w:rFonts w:ascii="Palatino Linotype" w:hAnsi="Palatino Linotype"/>
          <w:spacing w:val="-4"/>
          <w:lang w:val="pt-PT"/>
        </w:rPr>
        <w:t xml:space="preserve"> </w:t>
      </w:r>
      <w:r w:rsidRPr="00E01032">
        <w:rPr>
          <w:lang w:val="pt-PT"/>
        </w:rPr>
        <w:t>Ibrahima,</w:t>
      </w:r>
      <w:r w:rsidRPr="00E01032">
        <w:rPr>
          <w:spacing w:val="-1"/>
          <w:lang w:val="pt-PT"/>
        </w:rPr>
        <w:t xml:space="preserve"> </w:t>
      </w:r>
      <w:r w:rsidRPr="00E01032">
        <w:rPr>
          <w:lang w:val="pt-PT"/>
        </w:rPr>
        <w:t>Université</w:t>
      </w:r>
      <w:r w:rsidRPr="00E01032">
        <w:rPr>
          <w:spacing w:val="-2"/>
          <w:lang w:val="pt-PT"/>
        </w:rPr>
        <w:t xml:space="preserve"> </w:t>
      </w:r>
      <w:r w:rsidRPr="00E01032">
        <w:rPr>
          <w:lang w:val="pt-PT"/>
        </w:rPr>
        <w:t>de</w:t>
      </w:r>
      <w:r w:rsidRPr="00E01032">
        <w:rPr>
          <w:spacing w:val="-2"/>
          <w:lang w:val="pt-PT"/>
        </w:rPr>
        <w:t xml:space="preserve"> </w:t>
      </w:r>
      <w:r w:rsidRPr="00E01032">
        <w:rPr>
          <w:lang w:val="pt-PT"/>
        </w:rPr>
        <w:t>Bamako,</w:t>
      </w:r>
      <w:r w:rsidRPr="00E01032">
        <w:rPr>
          <w:spacing w:val="-1"/>
          <w:lang w:val="pt-PT"/>
        </w:rPr>
        <w:t xml:space="preserve"> </w:t>
      </w:r>
      <w:r w:rsidRPr="00E01032">
        <w:rPr>
          <w:spacing w:val="-2"/>
          <w:lang w:val="pt-PT"/>
        </w:rPr>
        <w:t>Mali,</w:t>
      </w:r>
    </w:p>
    <w:p w14:paraId="12DB2CD8" w14:textId="77777777" w:rsidR="001248F7" w:rsidRPr="00E01032" w:rsidRDefault="003518BE">
      <w:pPr>
        <w:pStyle w:val="Corpsdetexte"/>
        <w:spacing w:before="119" w:line="343" w:lineRule="auto"/>
        <w:ind w:left="568" w:right="2341"/>
        <w:jc w:val="left"/>
        <w:rPr>
          <w:lang w:val="pt-PT"/>
        </w:rPr>
      </w:pPr>
      <w:r w:rsidRPr="00E01032">
        <w:rPr>
          <w:lang w:val="pt-PT"/>
        </w:rPr>
        <w:t>YOGO</w:t>
      </w:r>
      <w:r w:rsidRPr="00E01032">
        <w:rPr>
          <w:spacing w:val="-6"/>
          <w:lang w:val="pt-PT"/>
        </w:rPr>
        <w:t xml:space="preserve"> </w:t>
      </w:r>
      <w:r w:rsidRPr="00E01032">
        <w:rPr>
          <w:lang w:val="pt-PT"/>
        </w:rPr>
        <w:t>Evariste</w:t>
      </w:r>
      <w:r w:rsidRPr="00E01032">
        <w:rPr>
          <w:spacing w:val="-5"/>
          <w:lang w:val="pt-PT"/>
        </w:rPr>
        <w:t xml:space="preserve"> </w:t>
      </w:r>
      <w:r w:rsidRPr="00E01032">
        <w:rPr>
          <w:lang w:val="pt-PT"/>
        </w:rPr>
        <w:t>Magloire,</w:t>
      </w:r>
      <w:r w:rsidRPr="00E01032">
        <w:rPr>
          <w:spacing w:val="-5"/>
          <w:lang w:val="pt-PT"/>
        </w:rPr>
        <w:t xml:space="preserve"> </w:t>
      </w:r>
      <w:r w:rsidRPr="00E01032">
        <w:rPr>
          <w:lang w:val="pt-PT"/>
        </w:rPr>
        <w:t>Université</w:t>
      </w:r>
      <w:r w:rsidRPr="00E01032">
        <w:rPr>
          <w:spacing w:val="-5"/>
          <w:lang w:val="pt-PT"/>
        </w:rPr>
        <w:t xml:space="preserve"> </w:t>
      </w:r>
      <w:r w:rsidRPr="00E01032">
        <w:rPr>
          <w:lang w:val="pt-PT"/>
        </w:rPr>
        <w:t>Joseph</w:t>
      </w:r>
      <w:r w:rsidRPr="00E01032">
        <w:rPr>
          <w:spacing w:val="-5"/>
          <w:lang w:val="pt-PT"/>
        </w:rPr>
        <w:t xml:space="preserve"> </w:t>
      </w:r>
      <w:r w:rsidRPr="00E01032">
        <w:rPr>
          <w:lang w:val="pt-PT"/>
        </w:rPr>
        <w:t>Ki-Zerbo,</w:t>
      </w:r>
      <w:r w:rsidRPr="00E01032">
        <w:rPr>
          <w:spacing w:val="-5"/>
          <w:lang w:val="pt-PT"/>
        </w:rPr>
        <w:t xml:space="preserve"> </w:t>
      </w:r>
      <w:r w:rsidRPr="00E01032">
        <w:rPr>
          <w:lang w:val="pt-PT"/>
        </w:rPr>
        <w:t>Burkina</w:t>
      </w:r>
      <w:r w:rsidRPr="00E01032">
        <w:rPr>
          <w:spacing w:val="-4"/>
          <w:lang w:val="pt-PT"/>
        </w:rPr>
        <w:t xml:space="preserve"> </w:t>
      </w:r>
      <w:r w:rsidRPr="00E01032">
        <w:rPr>
          <w:lang w:val="pt-PT"/>
        </w:rPr>
        <w:t>Faso, ZERBO Roger, CNRST/INSS, Burkina Faso.</w:t>
      </w:r>
    </w:p>
    <w:p w14:paraId="7D54259E" w14:textId="77777777" w:rsidR="001248F7" w:rsidRPr="00E01032" w:rsidRDefault="003518BE" w:rsidP="00E01032">
      <w:pPr>
        <w:jc w:val="center"/>
        <w:rPr>
          <w:b/>
          <w:bCs/>
        </w:rPr>
      </w:pPr>
      <w:r w:rsidRPr="00E01032">
        <w:rPr>
          <w:b/>
          <w:bCs/>
        </w:rPr>
        <w:t>COMITÉ DE RÉDACTION</w:t>
      </w:r>
    </w:p>
    <w:p w14:paraId="203425B9" w14:textId="77777777" w:rsidR="001248F7" w:rsidRDefault="003518BE">
      <w:pPr>
        <w:pStyle w:val="Corpsdetexte"/>
        <w:ind w:left="568" w:right="289"/>
        <w:jc w:val="left"/>
      </w:pPr>
      <w:r>
        <w:t>ATTA</w:t>
      </w:r>
      <w:r>
        <w:rPr>
          <w:spacing w:val="80"/>
        </w:rPr>
        <w:t xml:space="preserve"> </w:t>
      </w:r>
      <w:r>
        <w:t>Kouadio</w:t>
      </w:r>
      <w:r>
        <w:rPr>
          <w:spacing w:val="80"/>
        </w:rPr>
        <w:t xml:space="preserve"> </w:t>
      </w:r>
      <w:r>
        <w:t>Yeboua</w:t>
      </w:r>
      <w:r>
        <w:rPr>
          <w:spacing w:val="80"/>
        </w:rPr>
        <w:t xml:space="preserve"> </w:t>
      </w:r>
      <w:r>
        <w:t>Germain,</w:t>
      </w:r>
      <w:r>
        <w:rPr>
          <w:spacing w:val="80"/>
        </w:rPr>
        <w:t xml:space="preserve"> </w:t>
      </w:r>
      <w:r>
        <w:t>École</w:t>
      </w:r>
      <w:r>
        <w:rPr>
          <w:spacing w:val="80"/>
        </w:rPr>
        <w:t xml:space="preserve"> </w:t>
      </w:r>
      <w:r>
        <w:t>Normale</w:t>
      </w:r>
      <w:r>
        <w:rPr>
          <w:spacing w:val="80"/>
        </w:rPr>
        <w:t xml:space="preserve"> </w:t>
      </w:r>
      <w:r>
        <w:t>Supérieure</w:t>
      </w:r>
      <w:r>
        <w:rPr>
          <w:spacing w:val="80"/>
        </w:rPr>
        <w:t xml:space="preserve"> </w:t>
      </w:r>
      <w:r>
        <w:t>(ENS)</w:t>
      </w:r>
      <w:r>
        <w:rPr>
          <w:spacing w:val="80"/>
        </w:rPr>
        <w:t xml:space="preserve"> </w:t>
      </w:r>
      <w:r>
        <w:t>d’Abidjan,</w:t>
      </w:r>
      <w:r>
        <w:rPr>
          <w:spacing w:val="80"/>
        </w:rPr>
        <w:t xml:space="preserve"> </w:t>
      </w:r>
      <w:r>
        <w:t xml:space="preserve">Côte </w:t>
      </w:r>
      <w:r>
        <w:rPr>
          <w:spacing w:val="-2"/>
        </w:rPr>
        <w:t>d’Ivoire,</w:t>
      </w:r>
    </w:p>
    <w:p w14:paraId="0B97DF7C" w14:textId="77777777" w:rsidR="001248F7" w:rsidRDefault="003518BE">
      <w:pPr>
        <w:pStyle w:val="Corpsdetexte"/>
        <w:ind w:left="568"/>
        <w:jc w:val="left"/>
      </w:pPr>
      <w:r>
        <w:t>BALDE</w:t>
      </w:r>
      <w:r>
        <w:rPr>
          <w:spacing w:val="-3"/>
        </w:rPr>
        <w:t xml:space="preserve"> </w:t>
      </w:r>
      <w:r>
        <w:t>Salif,</w:t>
      </w:r>
      <w:r>
        <w:rPr>
          <w:spacing w:val="-1"/>
        </w:rPr>
        <w:t xml:space="preserve"> </w:t>
      </w:r>
      <w:r>
        <w:t>Université Cheik</w:t>
      </w:r>
      <w:r>
        <w:rPr>
          <w:spacing w:val="-2"/>
        </w:rPr>
        <w:t xml:space="preserve"> </w:t>
      </w:r>
      <w:r>
        <w:t>Anta</w:t>
      </w:r>
      <w:r>
        <w:rPr>
          <w:spacing w:val="-1"/>
        </w:rPr>
        <w:t xml:space="preserve"> </w:t>
      </w:r>
      <w:r>
        <w:t>Diop,</w:t>
      </w:r>
      <w:r>
        <w:rPr>
          <w:spacing w:val="-1"/>
        </w:rPr>
        <w:t xml:space="preserve"> </w:t>
      </w:r>
      <w:r>
        <w:rPr>
          <w:spacing w:val="-2"/>
        </w:rPr>
        <w:t>Sénégal,</w:t>
      </w:r>
    </w:p>
    <w:p w14:paraId="5C655124" w14:textId="77777777" w:rsidR="001248F7" w:rsidRDefault="003518BE">
      <w:pPr>
        <w:pStyle w:val="Corpsdetexte"/>
        <w:ind w:left="568"/>
        <w:jc w:val="left"/>
      </w:pPr>
      <w:r>
        <w:t>BITEYE</w:t>
      </w:r>
      <w:r>
        <w:rPr>
          <w:spacing w:val="-4"/>
        </w:rPr>
        <w:t xml:space="preserve"> </w:t>
      </w:r>
      <w:r>
        <w:t>Babacar,</w:t>
      </w:r>
      <w:r>
        <w:rPr>
          <w:spacing w:val="-1"/>
        </w:rPr>
        <w:t xml:space="preserve"> </w:t>
      </w:r>
      <w:r>
        <w:t>Université</w:t>
      </w:r>
      <w:r>
        <w:rPr>
          <w:spacing w:val="-1"/>
        </w:rPr>
        <w:t xml:space="preserve"> </w:t>
      </w:r>
      <w:r>
        <w:t>Cheikh</w:t>
      </w:r>
      <w:r>
        <w:rPr>
          <w:spacing w:val="-1"/>
        </w:rPr>
        <w:t xml:space="preserve"> </w:t>
      </w:r>
      <w:r>
        <w:t>Anta</w:t>
      </w:r>
      <w:r>
        <w:rPr>
          <w:spacing w:val="-1"/>
        </w:rPr>
        <w:t xml:space="preserve"> </w:t>
      </w:r>
      <w:r>
        <w:t>Diop</w:t>
      </w:r>
      <w:r>
        <w:rPr>
          <w:spacing w:val="-1"/>
        </w:rPr>
        <w:t xml:space="preserve"> </w:t>
      </w:r>
      <w:r>
        <w:t>de</w:t>
      </w:r>
      <w:r>
        <w:rPr>
          <w:spacing w:val="-1"/>
        </w:rPr>
        <w:t xml:space="preserve"> </w:t>
      </w:r>
      <w:r>
        <w:rPr>
          <w:spacing w:val="-2"/>
        </w:rPr>
        <w:t>Dakar/Sénégal,</w:t>
      </w:r>
    </w:p>
    <w:p w14:paraId="35E6BBA7" w14:textId="77777777" w:rsidR="001248F7" w:rsidRDefault="003518BE">
      <w:pPr>
        <w:pStyle w:val="Corpsdetexte"/>
        <w:spacing w:before="121" w:line="336" w:lineRule="auto"/>
        <w:ind w:left="568" w:right="907"/>
        <w:jc w:val="left"/>
      </w:pPr>
      <w:r>
        <w:t>BONAN</w:t>
      </w:r>
      <w:r>
        <w:rPr>
          <w:rFonts w:ascii="Palatino Linotype" w:hAnsi="Palatino Linotype"/>
        </w:rPr>
        <w:t>É</w:t>
      </w:r>
      <w:r>
        <w:rPr>
          <w:rFonts w:ascii="Palatino Linotype" w:hAnsi="Palatino Linotype"/>
          <w:spacing w:val="-5"/>
        </w:rPr>
        <w:t xml:space="preserve"> </w:t>
      </w:r>
      <w:r>
        <w:t>Rodrigue</w:t>
      </w:r>
      <w:r>
        <w:rPr>
          <w:spacing w:val="-6"/>
        </w:rPr>
        <w:t xml:space="preserve"> </w:t>
      </w:r>
      <w:r>
        <w:t>Paulin,</w:t>
      </w:r>
      <w:r>
        <w:rPr>
          <w:spacing w:val="-4"/>
        </w:rPr>
        <w:t xml:space="preserve"> </w:t>
      </w:r>
      <w:r>
        <w:t>Institut</w:t>
      </w:r>
      <w:r>
        <w:rPr>
          <w:spacing w:val="-4"/>
        </w:rPr>
        <w:t xml:space="preserve"> </w:t>
      </w:r>
      <w:r>
        <w:t>des</w:t>
      </w:r>
      <w:r>
        <w:rPr>
          <w:spacing w:val="-4"/>
        </w:rPr>
        <w:t xml:space="preserve"> </w:t>
      </w:r>
      <w:r>
        <w:t>Sciences</w:t>
      </w:r>
      <w:r>
        <w:rPr>
          <w:spacing w:val="-4"/>
        </w:rPr>
        <w:t xml:space="preserve"> </w:t>
      </w:r>
      <w:r>
        <w:t>des</w:t>
      </w:r>
      <w:r>
        <w:rPr>
          <w:spacing w:val="-4"/>
        </w:rPr>
        <w:t xml:space="preserve"> </w:t>
      </w:r>
      <w:r>
        <w:t>Sociétés/CNRST,</w:t>
      </w:r>
      <w:r>
        <w:rPr>
          <w:spacing w:val="-4"/>
        </w:rPr>
        <w:t xml:space="preserve"> </w:t>
      </w:r>
      <w:r>
        <w:t>Burkina</w:t>
      </w:r>
      <w:r>
        <w:rPr>
          <w:spacing w:val="-5"/>
        </w:rPr>
        <w:t xml:space="preserve"> </w:t>
      </w:r>
      <w:r>
        <w:t>Faso, COULIBALY/BARRO Félicité, École Normale Supérieure, Burkina Faso, DIABOUGA Yombo Paul, École Normale Supérieure, Burkina Faso,</w:t>
      </w:r>
    </w:p>
    <w:p w14:paraId="6FB9CCE2" w14:textId="77777777" w:rsidR="001248F7" w:rsidRDefault="003518BE">
      <w:pPr>
        <w:pStyle w:val="Corpsdetexte"/>
        <w:spacing w:before="9"/>
        <w:ind w:left="568"/>
        <w:jc w:val="left"/>
      </w:pPr>
      <w:r>
        <w:t>DIEDHIOU</w:t>
      </w:r>
      <w:r>
        <w:rPr>
          <w:spacing w:val="80"/>
        </w:rPr>
        <w:t xml:space="preserve"> </w:t>
      </w:r>
      <w:r>
        <w:t>Serigne</w:t>
      </w:r>
      <w:r>
        <w:rPr>
          <w:spacing w:val="80"/>
        </w:rPr>
        <w:t xml:space="preserve"> </w:t>
      </w:r>
      <w:r>
        <w:t>Ben</w:t>
      </w:r>
      <w:r>
        <w:rPr>
          <w:spacing w:val="80"/>
        </w:rPr>
        <w:t xml:space="preserve"> </w:t>
      </w:r>
      <w:r>
        <w:t>Moustapha,</w:t>
      </w:r>
      <w:r>
        <w:rPr>
          <w:spacing w:val="80"/>
        </w:rPr>
        <w:t xml:space="preserve"> </w:t>
      </w:r>
      <w:r>
        <w:t>Département</w:t>
      </w:r>
      <w:r>
        <w:rPr>
          <w:spacing w:val="80"/>
        </w:rPr>
        <w:t xml:space="preserve"> </w:t>
      </w:r>
      <w:r>
        <w:t>d’éducation</w:t>
      </w:r>
      <w:r>
        <w:rPr>
          <w:spacing w:val="80"/>
        </w:rPr>
        <w:t xml:space="preserve"> </w:t>
      </w:r>
      <w:r>
        <w:t>et</w:t>
      </w:r>
      <w:r>
        <w:rPr>
          <w:spacing w:val="80"/>
        </w:rPr>
        <w:t xml:space="preserve"> </w:t>
      </w:r>
      <w:r>
        <w:t>pédagogie</w:t>
      </w:r>
      <w:r>
        <w:rPr>
          <w:spacing w:val="80"/>
        </w:rPr>
        <w:t xml:space="preserve"> </w:t>
      </w:r>
      <w:r>
        <w:t xml:space="preserve">(UQÀM), </w:t>
      </w:r>
      <w:r>
        <w:rPr>
          <w:spacing w:val="-2"/>
        </w:rPr>
        <w:t>Canada,</w:t>
      </w:r>
    </w:p>
    <w:p w14:paraId="45F5E46D" w14:textId="77777777" w:rsidR="001248F7" w:rsidRDefault="001248F7">
      <w:pPr>
        <w:pStyle w:val="Corpsdetexte"/>
        <w:jc w:val="left"/>
        <w:sectPr w:rsidR="001248F7">
          <w:footnotePr>
            <w:numRestart w:val="eachPage"/>
          </w:footnotePr>
          <w:pgSz w:w="11910" w:h="16840"/>
          <w:pgMar w:top="1080" w:right="1133" w:bottom="2120" w:left="850" w:header="847" w:footer="1865" w:gutter="0"/>
          <w:cols w:space="720"/>
        </w:sectPr>
      </w:pPr>
    </w:p>
    <w:p w14:paraId="0548F9DA" w14:textId="77777777" w:rsidR="001248F7" w:rsidRDefault="001248F7">
      <w:pPr>
        <w:pStyle w:val="Corpsdetexte"/>
        <w:spacing w:before="49"/>
        <w:ind w:left="0"/>
        <w:jc w:val="left"/>
      </w:pPr>
    </w:p>
    <w:p w14:paraId="5BA5C1E9" w14:textId="77777777" w:rsidR="001248F7" w:rsidRDefault="003518BE">
      <w:pPr>
        <w:pStyle w:val="Corpsdetexte"/>
        <w:spacing w:before="0" w:line="338" w:lineRule="auto"/>
        <w:ind w:left="568" w:right="1922"/>
        <w:jc w:val="left"/>
      </w:pPr>
      <w:r>
        <w:t>DOUAMBA Jean-Pierre, École Normale Supérieure, Burkina Faso, ESSONO</w:t>
      </w:r>
      <w:r>
        <w:rPr>
          <w:spacing w:val="-5"/>
        </w:rPr>
        <w:t xml:space="preserve"> </w:t>
      </w:r>
      <w:r>
        <w:rPr>
          <w:rFonts w:ascii="Palatino Linotype" w:hAnsi="Palatino Linotype"/>
        </w:rPr>
        <w:t>É</w:t>
      </w:r>
      <w:r>
        <w:t>BANG</w:t>
      </w:r>
      <w:r>
        <w:rPr>
          <w:spacing w:val="-4"/>
        </w:rPr>
        <w:t xml:space="preserve"> </w:t>
      </w:r>
      <w:r>
        <w:t>Mireille,</w:t>
      </w:r>
      <w:r>
        <w:rPr>
          <w:spacing w:val="-4"/>
        </w:rPr>
        <w:t xml:space="preserve"> </w:t>
      </w:r>
      <w:r>
        <w:t>École</w:t>
      </w:r>
      <w:r>
        <w:rPr>
          <w:spacing w:val="-4"/>
        </w:rPr>
        <w:t xml:space="preserve"> </w:t>
      </w:r>
      <w:r>
        <w:t>Normale</w:t>
      </w:r>
      <w:r>
        <w:rPr>
          <w:spacing w:val="-5"/>
        </w:rPr>
        <w:t xml:space="preserve"> </w:t>
      </w:r>
      <w:r>
        <w:t>Supérieure</w:t>
      </w:r>
      <w:r>
        <w:rPr>
          <w:spacing w:val="-5"/>
        </w:rPr>
        <w:t xml:space="preserve"> </w:t>
      </w:r>
      <w:r>
        <w:t>de</w:t>
      </w:r>
      <w:r>
        <w:rPr>
          <w:spacing w:val="-5"/>
        </w:rPr>
        <w:t xml:space="preserve"> </w:t>
      </w:r>
      <w:r>
        <w:t>Libreville,</w:t>
      </w:r>
      <w:r>
        <w:rPr>
          <w:spacing w:val="-4"/>
        </w:rPr>
        <w:t xml:space="preserve"> </w:t>
      </w:r>
      <w:r>
        <w:t xml:space="preserve">Gabon, FAYE </w:t>
      </w:r>
      <w:r>
        <w:rPr>
          <w:rFonts w:ascii="Palatino Linotype" w:hAnsi="Palatino Linotype"/>
        </w:rPr>
        <w:t>É</w:t>
      </w:r>
      <w:r>
        <w:t>manuel Magou, Université Cheikh Anta Diop de Dakar, Sénégal,</w:t>
      </w:r>
    </w:p>
    <w:p w14:paraId="010CFDD0" w14:textId="77777777" w:rsidR="001248F7" w:rsidRDefault="003518BE">
      <w:pPr>
        <w:pStyle w:val="Corpsdetexte"/>
        <w:spacing w:before="0" w:line="258" w:lineRule="exact"/>
        <w:ind w:left="568"/>
        <w:jc w:val="left"/>
      </w:pPr>
      <w:r>
        <w:t>GOUDENON</w:t>
      </w:r>
      <w:r>
        <w:rPr>
          <w:spacing w:val="69"/>
        </w:rPr>
        <w:t xml:space="preserve"> </w:t>
      </w:r>
      <w:r>
        <w:t>Martine</w:t>
      </w:r>
      <w:r>
        <w:rPr>
          <w:spacing w:val="74"/>
        </w:rPr>
        <w:t xml:space="preserve"> </w:t>
      </w:r>
      <w:r>
        <w:t>Epse</w:t>
      </w:r>
      <w:r>
        <w:rPr>
          <w:spacing w:val="71"/>
        </w:rPr>
        <w:t xml:space="preserve"> </w:t>
      </w:r>
      <w:r>
        <w:t>BLEY,</w:t>
      </w:r>
      <w:r>
        <w:rPr>
          <w:spacing w:val="75"/>
        </w:rPr>
        <w:t xml:space="preserve"> </w:t>
      </w:r>
      <w:r>
        <w:t>Institut</w:t>
      </w:r>
      <w:r>
        <w:rPr>
          <w:spacing w:val="73"/>
        </w:rPr>
        <w:t xml:space="preserve"> </w:t>
      </w:r>
      <w:r>
        <w:t>National</w:t>
      </w:r>
      <w:r>
        <w:rPr>
          <w:spacing w:val="72"/>
        </w:rPr>
        <w:t xml:space="preserve"> </w:t>
      </w:r>
      <w:r>
        <w:t>de</w:t>
      </w:r>
      <w:r>
        <w:rPr>
          <w:spacing w:val="72"/>
        </w:rPr>
        <w:t xml:space="preserve"> </w:t>
      </w:r>
      <w:r>
        <w:t>Jeunesse</w:t>
      </w:r>
      <w:r>
        <w:rPr>
          <w:spacing w:val="75"/>
        </w:rPr>
        <w:t xml:space="preserve"> </w:t>
      </w:r>
      <w:r>
        <w:t>et</w:t>
      </w:r>
      <w:r>
        <w:rPr>
          <w:spacing w:val="75"/>
        </w:rPr>
        <w:t xml:space="preserve"> </w:t>
      </w:r>
      <w:r>
        <w:t>des</w:t>
      </w:r>
      <w:r>
        <w:rPr>
          <w:spacing w:val="73"/>
        </w:rPr>
        <w:t xml:space="preserve"> </w:t>
      </w:r>
      <w:r>
        <w:t>Sports</w:t>
      </w:r>
      <w:r>
        <w:rPr>
          <w:spacing w:val="73"/>
        </w:rPr>
        <w:t xml:space="preserve"> </w:t>
      </w:r>
      <w:r>
        <w:rPr>
          <w:spacing w:val="-2"/>
        </w:rPr>
        <w:t>(INJS)</w:t>
      </w:r>
    </w:p>
    <w:p w14:paraId="6A71B2D5" w14:textId="77777777" w:rsidR="001248F7" w:rsidRDefault="003518BE">
      <w:pPr>
        <w:pStyle w:val="Corpsdetexte"/>
        <w:spacing w:before="1"/>
        <w:ind w:left="568"/>
        <w:jc w:val="left"/>
      </w:pPr>
      <w:proofErr w:type="gramStart"/>
      <w:r>
        <w:t>d’Abidjan</w:t>
      </w:r>
      <w:proofErr w:type="gramEnd"/>
      <w:r>
        <w:t>,</w:t>
      </w:r>
      <w:r>
        <w:rPr>
          <w:spacing w:val="-3"/>
        </w:rPr>
        <w:t xml:space="preserve"> </w:t>
      </w:r>
      <w:r>
        <w:t>Côte</w:t>
      </w:r>
      <w:r>
        <w:rPr>
          <w:spacing w:val="-2"/>
        </w:rPr>
        <w:t xml:space="preserve"> d’Ivoire,</w:t>
      </w:r>
    </w:p>
    <w:p w14:paraId="26E67DE8" w14:textId="77777777" w:rsidR="001248F7" w:rsidRDefault="003518BE">
      <w:pPr>
        <w:pStyle w:val="Corpsdetexte"/>
        <w:ind w:left="568"/>
        <w:jc w:val="left"/>
      </w:pPr>
      <w:r>
        <w:t>KOUAWO</w:t>
      </w:r>
      <w:r>
        <w:rPr>
          <w:spacing w:val="-1"/>
        </w:rPr>
        <w:t xml:space="preserve"> </w:t>
      </w:r>
      <w:r>
        <w:t>Achille,</w:t>
      </w:r>
      <w:r>
        <w:rPr>
          <w:spacing w:val="-1"/>
        </w:rPr>
        <w:t xml:space="preserve"> </w:t>
      </w:r>
      <w:r>
        <w:t>Université</w:t>
      </w:r>
      <w:r>
        <w:rPr>
          <w:spacing w:val="-1"/>
        </w:rPr>
        <w:t xml:space="preserve"> </w:t>
      </w:r>
      <w:r>
        <w:t>de</w:t>
      </w:r>
      <w:r>
        <w:rPr>
          <w:spacing w:val="-3"/>
        </w:rPr>
        <w:t xml:space="preserve"> </w:t>
      </w:r>
      <w:r>
        <w:t xml:space="preserve">Lomé, </w:t>
      </w:r>
      <w:r>
        <w:rPr>
          <w:spacing w:val="-2"/>
        </w:rPr>
        <w:t>Togo,</w:t>
      </w:r>
    </w:p>
    <w:p w14:paraId="7378FB21" w14:textId="77777777" w:rsidR="001248F7" w:rsidRDefault="003518BE">
      <w:pPr>
        <w:pStyle w:val="Corpsdetexte"/>
        <w:spacing w:line="343" w:lineRule="auto"/>
        <w:ind w:left="568" w:right="3079"/>
        <w:jc w:val="left"/>
      </w:pPr>
      <w:r>
        <w:t>NAO Aklesso, Institut Supérieur Don Bosco/Lomé, Togo, NEBIE</w:t>
      </w:r>
      <w:r>
        <w:rPr>
          <w:spacing w:val="-2"/>
        </w:rPr>
        <w:t xml:space="preserve"> </w:t>
      </w:r>
      <w:r>
        <w:t>Alexis,</w:t>
      </w:r>
      <w:r>
        <w:rPr>
          <w:spacing w:val="-1"/>
        </w:rPr>
        <w:t xml:space="preserve"> </w:t>
      </w:r>
      <w:r>
        <w:t>Université</w:t>
      </w:r>
      <w:r>
        <w:rPr>
          <w:spacing w:val="-1"/>
        </w:rPr>
        <w:t xml:space="preserve"> </w:t>
      </w:r>
      <w:r>
        <w:t>Joseph</w:t>
      </w:r>
      <w:r>
        <w:rPr>
          <w:spacing w:val="-1"/>
        </w:rPr>
        <w:t xml:space="preserve"> </w:t>
      </w:r>
      <w:proofErr w:type="spellStart"/>
      <w:r>
        <w:t>Ki-Zerbo</w:t>
      </w:r>
      <w:proofErr w:type="spellEnd"/>
      <w:r>
        <w:t>,</w:t>
      </w:r>
      <w:r>
        <w:rPr>
          <w:spacing w:val="-1"/>
        </w:rPr>
        <w:t xml:space="preserve"> </w:t>
      </w:r>
      <w:r>
        <w:t>Burkina</w:t>
      </w:r>
      <w:r>
        <w:rPr>
          <w:spacing w:val="-1"/>
        </w:rPr>
        <w:t xml:space="preserve"> </w:t>
      </w:r>
      <w:r>
        <w:rPr>
          <w:spacing w:val="-2"/>
        </w:rPr>
        <w:t>Faso,</w:t>
      </w:r>
    </w:p>
    <w:p w14:paraId="034716A1" w14:textId="77777777" w:rsidR="001248F7" w:rsidRDefault="003518BE">
      <w:pPr>
        <w:pStyle w:val="Corpsdetexte"/>
        <w:spacing w:before="2" w:line="343" w:lineRule="auto"/>
        <w:ind w:left="568" w:right="1814"/>
        <w:jc w:val="left"/>
      </w:pPr>
      <w:r>
        <w:t>NIYA</w:t>
      </w:r>
      <w:r>
        <w:rPr>
          <w:spacing w:val="-7"/>
        </w:rPr>
        <w:t xml:space="preserve"> </w:t>
      </w:r>
      <w:r>
        <w:t>Gninneyo</w:t>
      </w:r>
      <w:r>
        <w:rPr>
          <w:spacing w:val="-6"/>
        </w:rPr>
        <w:t xml:space="preserve"> </w:t>
      </w:r>
      <w:r>
        <w:t>Sylvestre-Pierre,</w:t>
      </w:r>
      <w:r>
        <w:rPr>
          <w:spacing w:val="-4"/>
        </w:rPr>
        <w:t xml:space="preserve"> </w:t>
      </w:r>
      <w:r>
        <w:t>École</w:t>
      </w:r>
      <w:r>
        <w:rPr>
          <w:spacing w:val="-6"/>
        </w:rPr>
        <w:t xml:space="preserve"> </w:t>
      </w:r>
      <w:r>
        <w:t>Normale</w:t>
      </w:r>
      <w:r>
        <w:rPr>
          <w:spacing w:val="-5"/>
        </w:rPr>
        <w:t xml:space="preserve"> </w:t>
      </w:r>
      <w:r>
        <w:t>Supérieure,</w:t>
      </w:r>
      <w:r>
        <w:rPr>
          <w:spacing w:val="-6"/>
        </w:rPr>
        <w:t xml:space="preserve"> </w:t>
      </w:r>
      <w:r>
        <w:t>Burkina</w:t>
      </w:r>
      <w:r>
        <w:rPr>
          <w:spacing w:val="-6"/>
        </w:rPr>
        <w:t xml:space="preserve"> </w:t>
      </w:r>
      <w:r>
        <w:t xml:space="preserve">Faso, OUEDRAOGO P. Salfo, Université Joseph </w:t>
      </w:r>
      <w:proofErr w:type="spellStart"/>
      <w:r>
        <w:t>Ki-Zerbo</w:t>
      </w:r>
      <w:proofErr w:type="spellEnd"/>
      <w:r>
        <w:t>, Burkina Faso,</w:t>
      </w:r>
    </w:p>
    <w:p w14:paraId="593BD8DB" w14:textId="77777777" w:rsidR="001248F7" w:rsidRDefault="003518BE">
      <w:pPr>
        <w:pStyle w:val="Corpsdetexte"/>
        <w:spacing w:before="4" w:line="343" w:lineRule="auto"/>
        <w:ind w:left="568"/>
        <w:jc w:val="left"/>
      </w:pPr>
      <w:r>
        <w:t>POUDIOUGO</w:t>
      </w:r>
      <w:r>
        <w:rPr>
          <w:spacing w:val="-4"/>
        </w:rPr>
        <w:t xml:space="preserve"> </w:t>
      </w:r>
      <w:r>
        <w:t>Wendkuuni</w:t>
      </w:r>
      <w:r>
        <w:rPr>
          <w:spacing w:val="-5"/>
        </w:rPr>
        <w:t xml:space="preserve"> </w:t>
      </w:r>
      <w:r>
        <w:t>Désiré,</w:t>
      </w:r>
      <w:r>
        <w:rPr>
          <w:spacing w:val="-3"/>
        </w:rPr>
        <w:t xml:space="preserve"> </w:t>
      </w:r>
      <w:r>
        <w:t>Institut</w:t>
      </w:r>
      <w:r>
        <w:rPr>
          <w:spacing w:val="-5"/>
        </w:rPr>
        <w:t xml:space="preserve"> </w:t>
      </w:r>
      <w:r>
        <w:t>des</w:t>
      </w:r>
      <w:r>
        <w:rPr>
          <w:spacing w:val="-5"/>
        </w:rPr>
        <w:t xml:space="preserve"> </w:t>
      </w:r>
      <w:r>
        <w:t>Sciences</w:t>
      </w:r>
      <w:r>
        <w:rPr>
          <w:spacing w:val="-5"/>
        </w:rPr>
        <w:t xml:space="preserve"> </w:t>
      </w:r>
      <w:r>
        <w:t>des</w:t>
      </w:r>
      <w:r>
        <w:rPr>
          <w:spacing w:val="-5"/>
        </w:rPr>
        <w:t xml:space="preserve"> </w:t>
      </w:r>
      <w:r>
        <w:t>Sociétés/CNRST</w:t>
      </w:r>
      <w:r>
        <w:rPr>
          <w:spacing w:val="-5"/>
        </w:rPr>
        <w:t xml:space="preserve"> </w:t>
      </w:r>
      <w:r>
        <w:t>(Burkina</w:t>
      </w:r>
      <w:r>
        <w:rPr>
          <w:spacing w:val="-6"/>
        </w:rPr>
        <w:t xml:space="preserve"> </w:t>
      </w:r>
      <w:r>
        <w:t xml:space="preserve">Faso), SAMANDOULGOU Serge, Institut des Sciences des Sociétés/CNRST, Burkina Faso, SAWADOGO </w:t>
      </w:r>
      <w:proofErr w:type="spellStart"/>
      <w:r>
        <w:t>Timbila</w:t>
      </w:r>
      <w:proofErr w:type="spellEnd"/>
      <w:r>
        <w:t>, École Normale Supérieure, Burkina Faso,</w:t>
      </w:r>
    </w:p>
    <w:p w14:paraId="67FB3681" w14:textId="77777777" w:rsidR="001248F7" w:rsidRDefault="003518BE">
      <w:pPr>
        <w:pStyle w:val="Corpsdetexte"/>
        <w:spacing w:before="4"/>
        <w:ind w:left="568"/>
        <w:jc w:val="left"/>
      </w:pPr>
      <w:r>
        <w:t>TCHAGNAOU Akimou,</w:t>
      </w:r>
      <w:r>
        <w:rPr>
          <w:spacing w:val="-1"/>
        </w:rPr>
        <w:t xml:space="preserve"> </w:t>
      </w:r>
      <w:r>
        <w:t>Université</w:t>
      </w:r>
      <w:r>
        <w:rPr>
          <w:spacing w:val="-1"/>
        </w:rPr>
        <w:t xml:space="preserve"> </w:t>
      </w:r>
      <w:r>
        <w:t>de</w:t>
      </w:r>
      <w:r>
        <w:rPr>
          <w:spacing w:val="-2"/>
        </w:rPr>
        <w:t xml:space="preserve"> </w:t>
      </w:r>
      <w:r>
        <w:t xml:space="preserve">Zinder, </w:t>
      </w:r>
      <w:r>
        <w:rPr>
          <w:spacing w:val="-2"/>
        </w:rPr>
        <w:t>Niger,</w:t>
      </w:r>
    </w:p>
    <w:p w14:paraId="2B66E7C1" w14:textId="77777777" w:rsidR="001248F7" w:rsidRDefault="003518BE">
      <w:pPr>
        <w:pStyle w:val="Corpsdetexte"/>
        <w:spacing w:line="343" w:lineRule="auto"/>
        <w:ind w:left="568" w:right="1989"/>
        <w:jc w:val="left"/>
      </w:pPr>
      <w:r>
        <w:t>THIAM</w:t>
      </w:r>
      <w:r>
        <w:rPr>
          <w:spacing w:val="-6"/>
        </w:rPr>
        <w:t xml:space="preserve"> </w:t>
      </w:r>
      <w:r>
        <w:t>Ousseynou,</w:t>
      </w:r>
      <w:r>
        <w:rPr>
          <w:spacing w:val="-6"/>
        </w:rPr>
        <w:t xml:space="preserve"> </w:t>
      </w:r>
      <w:r>
        <w:t>Université</w:t>
      </w:r>
      <w:r>
        <w:rPr>
          <w:spacing w:val="-6"/>
        </w:rPr>
        <w:t xml:space="preserve"> </w:t>
      </w:r>
      <w:r>
        <w:t>Cheikh</w:t>
      </w:r>
      <w:r>
        <w:rPr>
          <w:spacing w:val="-6"/>
        </w:rPr>
        <w:t xml:space="preserve"> </w:t>
      </w:r>
      <w:r>
        <w:t>Anta</w:t>
      </w:r>
      <w:r>
        <w:rPr>
          <w:spacing w:val="-6"/>
        </w:rPr>
        <w:t xml:space="preserve"> </w:t>
      </w:r>
      <w:r>
        <w:t>Diop</w:t>
      </w:r>
      <w:r>
        <w:rPr>
          <w:spacing w:val="-6"/>
        </w:rPr>
        <w:t xml:space="preserve"> </w:t>
      </w:r>
      <w:r>
        <w:t>de</w:t>
      </w:r>
      <w:r>
        <w:rPr>
          <w:spacing w:val="-7"/>
        </w:rPr>
        <w:t xml:space="preserve"> </w:t>
      </w:r>
      <w:r>
        <w:t>Dakar/Sénégal, TRAORE Ibrahima, Université de Bamako, Mali,</w:t>
      </w:r>
    </w:p>
    <w:p w14:paraId="25D59861" w14:textId="77777777" w:rsidR="001248F7" w:rsidRDefault="003518BE">
      <w:pPr>
        <w:pStyle w:val="Corpsdetexte"/>
        <w:spacing w:before="2"/>
        <w:ind w:left="568"/>
        <w:jc w:val="left"/>
      </w:pPr>
      <w:r>
        <w:t>YABOURI</w:t>
      </w:r>
      <w:r>
        <w:rPr>
          <w:spacing w:val="-7"/>
        </w:rPr>
        <w:t xml:space="preserve"> </w:t>
      </w:r>
      <w:proofErr w:type="spellStart"/>
      <w:r>
        <w:t>Namiyaté</w:t>
      </w:r>
      <w:proofErr w:type="spellEnd"/>
      <w:r>
        <w:t>, Université</w:t>
      </w:r>
      <w:r>
        <w:rPr>
          <w:spacing w:val="-2"/>
        </w:rPr>
        <w:t xml:space="preserve"> </w:t>
      </w:r>
      <w:r>
        <w:t>de</w:t>
      </w:r>
      <w:r>
        <w:rPr>
          <w:spacing w:val="-2"/>
        </w:rPr>
        <w:t xml:space="preserve"> </w:t>
      </w:r>
      <w:r>
        <w:t>Lomé,</w:t>
      </w:r>
      <w:r>
        <w:rPr>
          <w:spacing w:val="-1"/>
        </w:rPr>
        <w:t xml:space="preserve"> </w:t>
      </w:r>
      <w:r>
        <w:rPr>
          <w:spacing w:val="-2"/>
        </w:rPr>
        <w:t>Togo.</w:t>
      </w:r>
    </w:p>
    <w:p w14:paraId="0E437CBC" w14:textId="77777777" w:rsidR="001248F7" w:rsidRPr="00E01032" w:rsidRDefault="003518BE" w:rsidP="00E01032">
      <w:pPr>
        <w:jc w:val="center"/>
        <w:rPr>
          <w:lang w:val="pt-PT"/>
        </w:rPr>
      </w:pPr>
      <w:r w:rsidRPr="00B06AA1">
        <w:rPr>
          <w:b/>
          <w:bCs/>
          <w:lang w:val="pt-PT"/>
        </w:rPr>
        <w:t>ASSISTANTES</w:t>
      </w:r>
    </w:p>
    <w:p w14:paraId="4E14F450" w14:textId="77777777" w:rsidR="001248F7" w:rsidRPr="00E01032" w:rsidRDefault="003518BE">
      <w:pPr>
        <w:pStyle w:val="Corpsdetexte"/>
        <w:spacing w:before="118" w:line="345" w:lineRule="auto"/>
        <w:ind w:left="568" w:right="6899"/>
        <w:jc w:val="left"/>
        <w:rPr>
          <w:lang w:val="pt-PT"/>
        </w:rPr>
      </w:pPr>
      <w:r w:rsidRPr="00E01032">
        <w:rPr>
          <w:lang w:val="pt-PT"/>
        </w:rPr>
        <w:t>DIOUF Salimata, THIAM</w:t>
      </w:r>
      <w:r w:rsidRPr="00E01032">
        <w:rPr>
          <w:spacing w:val="-15"/>
          <w:lang w:val="pt-PT"/>
        </w:rPr>
        <w:t xml:space="preserve"> </w:t>
      </w:r>
      <w:r w:rsidRPr="00E01032">
        <w:rPr>
          <w:lang w:val="pt-PT"/>
        </w:rPr>
        <w:t>Ndèye</w:t>
      </w:r>
      <w:r w:rsidRPr="00E01032">
        <w:rPr>
          <w:spacing w:val="-15"/>
          <w:lang w:val="pt-PT"/>
        </w:rPr>
        <w:t xml:space="preserve"> </w:t>
      </w:r>
      <w:r w:rsidRPr="00E01032">
        <w:rPr>
          <w:lang w:val="pt-PT"/>
        </w:rPr>
        <w:t>Fatou.</w:t>
      </w:r>
    </w:p>
    <w:p w14:paraId="14ED8DDD" w14:textId="77777777" w:rsidR="001248F7" w:rsidRPr="00E01032" w:rsidRDefault="001248F7">
      <w:pPr>
        <w:pStyle w:val="Corpsdetexte"/>
        <w:spacing w:line="345" w:lineRule="auto"/>
        <w:jc w:val="left"/>
        <w:rPr>
          <w:lang w:val="pt-PT"/>
        </w:rPr>
        <w:sectPr w:rsidR="001248F7" w:rsidRPr="00E01032">
          <w:footnotePr>
            <w:numRestart w:val="eachPage"/>
          </w:footnotePr>
          <w:pgSz w:w="11910" w:h="16840"/>
          <w:pgMar w:top="1080" w:right="1133" w:bottom="2120" w:left="850" w:header="847" w:footer="1865" w:gutter="0"/>
          <w:cols w:space="720"/>
        </w:sectPr>
      </w:pPr>
    </w:p>
    <w:p w14:paraId="786800DE" w14:textId="77777777" w:rsidR="001248F7" w:rsidRPr="00E01032" w:rsidRDefault="001248F7">
      <w:pPr>
        <w:pStyle w:val="Corpsdetexte"/>
        <w:spacing w:before="0"/>
        <w:ind w:left="0"/>
        <w:jc w:val="left"/>
        <w:rPr>
          <w:sz w:val="28"/>
          <w:lang w:val="pt-PT"/>
        </w:rPr>
      </w:pPr>
    </w:p>
    <w:p w14:paraId="48F63D95" w14:textId="77777777" w:rsidR="001248F7" w:rsidRPr="00E01032" w:rsidRDefault="001248F7">
      <w:pPr>
        <w:pStyle w:val="TM3"/>
        <w:tabs>
          <w:tab w:val="left" w:leader="dot" w:pos="9299"/>
        </w:tabs>
        <w:spacing w:before="104"/>
        <w:rPr>
          <w:i w:val="0"/>
          <w:lang w:val="pt-PT"/>
        </w:rPr>
      </w:pPr>
    </w:p>
    <w:p w14:paraId="29A55D90" w14:textId="031DB101" w:rsidR="00E01032" w:rsidRDefault="00E01032">
      <w:pPr>
        <w:rPr>
          <w:rFonts w:ascii="Calibri" w:eastAsia="Calibri" w:hAnsi="Calibri" w:cs="Calibri"/>
          <w:iCs/>
          <w:lang w:val="pt-PT"/>
        </w:rPr>
      </w:pPr>
      <w:r>
        <w:rPr>
          <w:i/>
          <w:lang w:val="pt-PT"/>
        </w:rPr>
        <w:br w:type="page"/>
      </w:r>
    </w:p>
    <w:sdt>
      <w:sdtPr>
        <w:rPr>
          <w:rFonts w:ascii="Times New Roman" w:eastAsia="Times New Roman" w:hAnsi="Times New Roman" w:cs="Times New Roman"/>
          <w:color w:val="auto"/>
          <w:sz w:val="22"/>
          <w:szCs w:val="22"/>
          <w:lang w:eastAsia="en-US"/>
        </w:rPr>
        <w:id w:val="1613010126"/>
        <w:docPartObj>
          <w:docPartGallery w:val="Table of Contents"/>
          <w:docPartUnique/>
        </w:docPartObj>
      </w:sdtPr>
      <w:sdtEndPr>
        <w:rPr>
          <w:b/>
          <w:bCs/>
        </w:rPr>
      </w:sdtEndPr>
      <w:sdtContent>
        <w:p w14:paraId="47CE21D3" w14:textId="5131C6E0" w:rsidR="00E01032" w:rsidRDefault="00E01032">
          <w:pPr>
            <w:pStyle w:val="En-ttedetabledesmatires"/>
          </w:pPr>
          <w:r>
            <w:t>Table des matières</w:t>
          </w:r>
        </w:p>
        <w:p w14:paraId="7CAA1668" w14:textId="099A7E26" w:rsidR="00E03905" w:rsidRDefault="00E01032">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r>
            <w:fldChar w:fldCharType="begin"/>
          </w:r>
          <w:r>
            <w:instrText xml:space="preserve"> TOC \o "1-3" \h \z \u </w:instrText>
          </w:r>
          <w:r>
            <w:fldChar w:fldCharType="separate"/>
          </w:r>
          <w:hyperlink w:anchor="_Toc219272549" w:history="1">
            <w:r w:rsidR="00E03905" w:rsidRPr="00974E06">
              <w:rPr>
                <w:rStyle w:val="Lienhypertexte"/>
                <w:i/>
                <w:iCs/>
                <w:noProof/>
                <w:spacing w:val="-2"/>
              </w:rPr>
              <w:t>Editorial</w:t>
            </w:r>
            <w:r w:rsidR="00E03905">
              <w:rPr>
                <w:noProof/>
                <w:webHidden/>
              </w:rPr>
              <w:tab/>
            </w:r>
            <w:r w:rsidR="00E03905">
              <w:rPr>
                <w:noProof/>
                <w:webHidden/>
              </w:rPr>
              <w:fldChar w:fldCharType="begin"/>
            </w:r>
            <w:r w:rsidR="00E03905">
              <w:rPr>
                <w:noProof/>
                <w:webHidden/>
              </w:rPr>
              <w:instrText xml:space="preserve"> PAGEREF _Toc219272549 \h </w:instrText>
            </w:r>
            <w:r w:rsidR="00E03905">
              <w:rPr>
                <w:noProof/>
                <w:webHidden/>
              </w:rPr>
            </w:r>
            <w:r w:rsidR="00E03905">
              <w:rPr>
                <w:noProof/>
                <w:webHidden/>
              </w:rPr>
              <w:fldChar w:fldCharType="separate"/>
            </w:r>
            <w:r w:rsidR="00E03905">
              <w:rPr>
                <w:noProof/>
                <w:webHidden/>
              </w:rPr>
              <w:t>11</w:t>
            </w:r>
            <w:r w:rsidR="00E03905">
              <w:rPr>
                <w:noProof/>
                <w:webHidden/>
              </w:rPr>
              <w:fldChar w:fldCharType="end"/>
            </w:r>
          </w:hyperlink>
        </w:p>
        <w:p w14:paraId="242A8274" w14:textId="49983DF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0" w:history="1">
            <w:r w:rsidRPr="00974E06">
              <w:rPr>
                <w:rStyle w:val="Lienhypertexte"/>
                <w:i/>
                <w:iCs/>
                <w:noProof/>
                <w:spacing w:val="-2"/>
              </w:rPr>
              <w:t>Amadou Yoro NIANG</w:t>
            </w:r>
            <w:r>
              <w:rPr>
                <w:noProof/>
                <w:webHidden/>
              </w:rPr>
              <w:tab/>
            </w:r>
            <w:r>
              <w:rPr>
                <w:noProof/>
                <w:webHidden/>
              </w:rPr>
              <w:fldChar w:fldCharType="begin"/>
            </w:r>
            <w:r>
              <w:rPr>
                <w:noProof/>
                <w:webHidden/>
              </w:rPr>
              <w:instrText xml:space="preserve"> PAGEREF _Toc219272550 \h </w:instrText>
            </w:r>
            <w:r>
              <w:rPr>
                <w:noProof/>
                <w:webHidden/>
              </w:rPr>
            </w:r>
            <w:r>
              <w:rPr>
                <w:noProof/>
                <w:webHidden/>
              </w:rPr>
              <w:fldChar w:fldCharType="separate"/>
            </w:r>
            <w:r>
              <w:rPr>
                <w:noProof/>
                <w:webHidden/>
              </w:rPr>
              <w:t>11</w:t>
            </w:r>
            <w:r>
              <w:rPr>
                <w:noProof/>
                <w:webHidden/>
              </w:rPr>
              <w:fldChar w:fldCharType="end"/>
            </w:r>
          </w:hyperlink>
        </w:p>
        <w:p w14:paraId="0DDB5A8F" w14:textId="364E3139"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1" w:history="1">
            <w:r w:rsidRPr="00974E06">
              <w:rPr>
                <w:rStyle w:val="Lienhypertexte"/>
                <w:noProof/>
              </w:rPr>
              <w:t>Partie 1 : Pratiques et perceptions en enseignement-apprentissage</w:t>
            </w:r>
            <w:r>
              <w:rPr>
                <w:noProof/>
                <w:webHidden/>
              </w:rPr>
              <w:tab/>
            </w:r>
            <w:r>
              <w:rPr>
                <w:noProof/>
                <w:webHidden/>
              </w:rPr>
              <w:fldChar w:fldCharType="begin"/>
            </w:r>
            <w:r>
              <w:rPr>
                <w:noProof/>
                <w:webHidden/>
              </w:rPr>
              <w:instrText xml:space="preserve"> PAGEREF _Toc219272551 \h </w:instrText>
            </w:r>
            <w:r>
              <w:rPr>
                <w:noProof/>
                <w:webHidden/>
              </w:rPr>
            </w:r>
            <w:r>
              <w:rPr>
                <w:noProof/>
                <w:webHidden/>
              </w:rPr>
              <w:fldChar w:fldCharType="separate"/>
            </w:r>
            <w:r>
              <w:rPr>
                <w:noProof/>
                <w:webHidden/>
              </w:rPr>
              <w:t>13</w:t>
            </w:r>
            <w:r>
              <w:rPr>
                <w:noProof/>
                <w:webHidden/>
              </w:rPr>
              <w:fldChar w:fldCharType="end"/>
            </w:r>
          </w:hyperlink>
        </w:p>
        <w:p w14:paraId="332DDF31" w14:textId="0C420EAC"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2" w:history="1">
            <w:r w:rsidRPr="00974E06">
              <w:rPr>
                <w:rStyle w:val="Lienhypertexte"/>
                <w:i/>
                <w:iCs/>
                <w:noProof/>
                <w:lang w:val="fr-ML"/>
              </w:rPr>
              <w:t>Perceptions et pratique des enseignants de mathématiques : l’exemple de quelques lycées publics de Bamako</w:t>
            </w:r>
            <w:r>
              <w:rPr>
                <w:noProof/>
                <w:webHidden/>
              </w:rPr>
              <w:tab/>
            </w:r>
            <w:r>
              <w:rPr>
                <w:noProof/>
                <w:webHidden/>
              </w:rPr>
              <w:fldChar w:fldCharType="begin"/>
            </w:r>
            <w:r>
              <w:rPr>
                <w:noProof/>
                <w:webHidden/>
              </w:rPr>
              <w:instrText xml:space="preserve"> PAGEREF _Toc219272552 \h </w:instrText>
            </w:r>
            <w:r>
              <w:rPr>
                <w:noProof/>
                <w:webHidden/>
              </w:rPr>
            </w:r>
            <w:r>
              <w:rPr>
                <w:noProof/>
                <w:webHidden/>
              </w:rPr>
              <w:fldChar w:fldCharType="separate"/>
            </w:r>
            <w:r>
              <w:rPr>
                <w:noProof/>
                <w:webHidden/>
              </w:rPr>
              <w:t>14</w:t>
            </w:r>
            <w:r>
              <w:rPr>
                <w:noProof/>
                <w:webHidden/>
              </w:rPr>
              <w:fldChar w:fldCharType="end"/>
            </w:r>
          </w:hyperlink>
        </w:p>
        <w:p w14:paraId="01D819F8" w14:textId="0426A41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3" w:history="1">
            <w:r w:rsidRPr="00974E06">
              <w:rPr>
                <w:rStyle w:val="Lienhypertexte"/>
                <w:noProof/>
                <w:lang w:val="fr-ML"/>
              </w:rPr>
              <w:t>Yaya TRAORE, Mahamadou Lamine DIAKITE, Abdramane KONE</w:t>
            </w:r>
            <w:r>
              <w:rPr>
                <w:noProof/>
                <w:webHidden/>
              </w:rPr>
              <w:tab/>
            </w:r>
            <w:r>
              <w:rPr>
                <w:noProof/>
                <w:webHidden/>
              </w:rPr>
              <w:fldChar w:fldCharType="begin"/>
            </w:r>
            <w:r>
              <w:rPr>
                <w:noProof/>
                <w:webHidden/>
              </w:rPr>
              <w:instrText xml:space="preserve"> PAGEREF _Toc219272553 \h </w:instrText>
            </w:r>
            <w:r>
              <w:rPr>
                <w:noProof/>
                <w:webHidden/>
              </w:rPr>
            </w:r>
            <w:r>
              <w:rPr>
                <w:noProof/>
                <w:webHidden/>
              </w:rPr>
              <w:fldChar w:fldCharType="separate"/>
            </w:r>
            <w:r>
              <w:rPr>
                <w:noProof/>
                <w:webHidden/>
              </w:rPr>
              <w:t>14</w:t>
            </w:r>
            <w:r>
              <w:rPr>
                <w:noProof/>
                <w:webHidden/>
              </w:rPr>
              <w:fldChar w:fldCharType="end"/>
            </w:r>
          </w:hyperlink>
        </w:p>
        <w:p w14:paraId="5A68F74A" w14:textId="1BC2382A"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4" w:history="1">
            <w:r w:rsidRPr="00974E06">
              <w:rPr>
                <w:rStyle w:val="Lienhypertexte"/>
                <w:i/>
                <w:iCs/>
                <w:noProof/>
                <w:lang w:eastAsia="fr-FR"/>
              </w:rPr>
              <w:t>Encadrement de mémoires dans le contexte universitaire malien : quelles perceptions du côté des apprentis-chercheurs ?</w:t>
            </w:r>
            <w:r>
              <w:rPr>
                <w:noProof/>
                <w:webHidden/>
              </w:rPr>
              <w:tab/>
            </w:r>
            <w:r>
              <w:rPr>
                <w:noProof/>
                <w:webHidden/>
              </w:rPr>
              <w:fldChar w:fldCharType="begin"/>
            </w:r>
            <w:r>
              <w:rPr>
                <w:noProof/>
                <w:webHidden/>
              </w:rPr>
              <w:instrText xml:space="preserve"> PAGEREF _Toc219272554 \h </w:instrText>
            </w:r>
            <w:r>
              <w:rPr>
                <w:noProof/>
                <w:webHidden/>
              </w:rPr>
            </w:r>
            <w:r>
              <w:rPr>
                <w:noProof/>
                <w:webHidden/>
              </w:rPr>
              <w:fldChar w:fldCharType="separate"/>
            </w:r>
            <w:r>
              <w:rPr>
                <w:noProof/>
                <w:webHidden/>
              </w:rPr>
              <w:t>29</w:t>
            </w:r>
            <w:r>
              <w:rPr>
                <w:noProof/>
                <w:webHidden/>
              </w:rPr>
              <w:fldChar w:fldCharType="end"/>
            </w:r>
          </w:hyperlink>
        </w:p>
        <w:p w14:paraId="07E3B492" w14:textId="3A2EB53F"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5" w:history="1">
            <w:r w:rsidRPr="00974E06">
              <w:rPr>
                <w:rStyle w:val="Lienhypertexte"/>
                <w:noProof/>
                <w:lang w:eastAsia="fr-FR"/>
              </w:rPr>
              <w:t>Salifou KONE</w:t>
            </w:r>
            <w:r>
              <w:rPr>
                <w:noProof/>
                <w:webHidden/>
              </w:rPr>
              <w:tab/>
            </w:r>
            <w:r>
              <w:rPr>
                <w:noProof/>
                <w:webHidden/>
              </w:rPr>
              <w:fldChar w:fldCharType="begin"/>
            </w:r>
            <w:r>
              <w:rPr>
                <w:noProof/>
                <w:webHidden/>
              </w:rPr>
              <w:instrText xml:space="preserve"> PAGEREF _Toc219272555 \h </w:instrText>
            </w:r>
            <w:r>
              <w:rPr>
                <w:noProof/>
                <w:webHidden/>
              </w:rPr>
            </w:r>
            <w:r>
              <w:rPr>
                <w:noProof/>
                <w:webHidden/>
              </w:rPr>
              <w:fldChar w:fldCharType="separate"/>
            </w:r>
            <w:r>
              <w:rPr>
                <w:noProof/>
                <w:webHidden/>
              </w:rPr>
              <w:t>29</w:t>
            </w:r>
            <w:r>
              <w:rPr>
                <w:noProof/>
                <w:webHidden/>
              </w:rPr>
              <w:fldChar w:fldCharType="end"/>
            </w:r>
          </w:hyperlink>
        </w:p>
        <w:p w14:paraId="4592F19F" w14:textId="731B17D0"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6" w:history="1">
            <w:r w:rsidRPr="00974E06">
              <w:rPr>
                <w:rStyle w:val="Lienhypertexte"/>
                <w:rFonts w:eastAsia="Aptos"/>
                <w:i/>
                <w:iCs/>
                <w:noProof/>
              </w:rPr>
              <w:t>Planification/gestion de l’éducation au Burkina Faso : SimuED, un modèle de simulation à adopter ?</w:t>
            </w:r>
            <w:r>
              <w:rPr>
                <w:noProof/>
                <w:webHidden/>
              </w:rPr>
              <w:tab/>
            </w:r>
            <w:r>
              <w:rPr>
                <w:noProof/>
                <w:webHidden/>
              </w:rPr>
              <w:fldChar w:fldCharType="begin"/>
            </w:r>
            <w:r>
              <w:rPr>
                <w:noProof/>
                <w:webHidden/>
              </w:rPr>
              <w:instrText xml:space="preserve"> PAGEREF _Toc219272556 \h </w:instrText>
            </w:r>
            <w:r>
              <w:rPr>
                <w:noProof/>
                <w:webHidden/>
              </w:rPr>
            </w:r>
            <w:r>
              <w:rPr>
                <w:noProof/>
                <w:webHidden/>
              </w:rPr>
              <w:fldChar w:fldCharType="separate"/>
            </w:r>
            <w:r>
              <w:rPr>
                <w:noProof/>
                <w:webHidden/>
              </w:rPr>
              <w:t>41</w:t>
            </w:r>
            <w:r>
              <w:rPr>
                <w:noProof/>
                <w:webHidden/>
              </w:rPr>
              <w:fldChar w:fldCharType="end"/>
            </w:r>
          </w:hyperlink>
        </w:p>
        <w:p w14:paraId="314C3D86" w14:textId="1108E84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7" w:history="1">
            <w:r w:rsidRPr="00974E06">
              <w:rPr>
                <w:rStyle w:val="Lienhypertexte"/>
                <w:rFonts w:eastAsia="Aptos"/>
                <w:noProof/>
                <w:lang w:val="pt-PT"/>
              </w:rPr>
              <w:t>Yacouba Augustin SAVADOGO, Bernadin P. OUEDRAOGO, François SAWADOGO</w:t>
            </w:r>
            <w:r>
              <w:rPr>
                <w:noProof/>
                <w:webHidden/>
              </w:rPr>
              <w:tab/>
            </w:r>
            <w:r>
              <w:rPr>
                <w:noProof/>
                <w:webHidden/>
              </w:rPr>
              <w:fldChar w:fldCharType="begin"/>
            </w:r>
            <w:r>
              <w:rPr>
                <w:noProof/>
                <w:webHidden/>
              </w:rPr>
              <w:instrText xml:space="preserve"> PAGEREF _Toc219272557 \h </w:instrText>
            </w:r>
            <w:r>
              <w:rPr>
                <w:noProof/>
                <w:webHidden/>
              </w:rPr>
            </w:r>
            <w:r>
              <w:rPr>
                <w:noProof/>
                <w:webHidden/>
              </w:rPr>
              <w:fldChar w:fldCharType="separate"/>
            </w:r>
            <w:r>
              <w:rPr>
                <w:noProof/>
                <w:webHidden/>
              </w:rPr>
              <w:t>41</w:t>
            </w:r>
            <w:r>
              <w:rPr>
                <w:noProof/>
                <w:webHidden/>
              </w:rPr>
              <w:fldChar w:fldCharType="end"/>
            </w:r>
          </w:hyperlink>
        </w:p>
        <w:p w14:paraId="54E11293" w14:textId="62F8B897"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8" w:history="1">
            <w:r w:rsidRPr="00974E06">
              <w:rPr>
                <w:rStyle w:val="Lienhypertexte"/>
                <w:i/>
                <w:iCs/>
                <w:noProof/>
              </w:rPr>
              <w:t>Les contraintes psychosociales d’encadrement pédagogique dans les établissements d’enseignements post-primaire et secondaire dans la région du Centre au Burkina Faso</w:t>
            </w:r>
            <w:r>
              <w:rPr>
                <w:noProof/>
                <w:webHidden/>
              </w:rPr>
              <w:tab/>
            </w:r>
            <w:r>
              <w:rPr>
                <w:noProof/>
                <w:webHidden/>
              </w:rPr>
              <w:fldChar w:fldCharType="begin"/>
            </w:r>
            <w:r>
              <w:rPr>
                <w:noProof/>
                <w:webHidden/>
              </w:rPr>
              <w:instrText xml:space="preserve"> PAGEREF _Toc219272558 \h </w:instrText>
            </w:r>
            <w:r>
              <w:rPr>
                <w:noProof/>
                <w:webHidden/>
              </w:rPr>
            </w:r>
            <w:r>
              <w:rPr>
                <w:noProof/>
                <w:webHidden/>
              </w:rPr>
              <w:fldChar w:fldCharType="separate"/>
            </w:r>
            <w:r>
              <w:rPr>
                <w:noProof/>
                <w:webHidden/>
              </w:rPr>
              <w:t>58</w:t>
            </w:r>
            <w:r>
              <w:rPr>
                <w:noProof/>
                <w:webHidden/>
              </w:rPr>
              <w:fldChar w:fldCharType="end"/>
            </w:r>
          </w:hyperlink>
        </w:p>
        <w:p w14:paraId="59926386" w14:textId="591BFEC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59" w:history="1">
            <w:r w:rsidRPr="00974E06">
              <w:rPr>
                <w:rStyle w:val="Lienhypertexte"/>
                <w:noProof/>
              </w:rPr>
              <w:t>François TIENDREBEOGO</w:t>
            </w:r>
            <w:r>
              <w:rPr>
                <w:noProof/>
                <w:webHidden/>
              </w:rPr>
              <w:tab/>
            </w:r>
            <w:r>
              <w:rPr>
                <w:noProof/>
                <w:webHidden/>
              </w:rPr>
              <w:fldChar w:fldCharType="begin"/>
            </w:r>
            <w:r>
              <w:rPr>
                <w:noProof/>
                <w:webHidden/>
              </w:rPr>
              <w:instrText xml:space="preserve"> PAGEREF _Toc219272559 \h </w:instrText>
            </w:r>
            <w:r>
              <w:rPr>
                <w:noProof/>
                <w:webHidden/>
              </w:rPr>
            </w:r>
            <w:r>
              <w:rPr>
                <w:noProof/>
                <w:webHidden/>
              </w:rPr>
              <w:fldChar w:fldCharType="separate"/>
            </w:r>
            <w:r>
              <w:rPr>
                <w:noProof/>
                <w:webHidden/>
              </w:rPr>
              <w:t>58</w:t>
            </w:r>
            <w:r>
              <w:rPr>
                <w:noProof/>
                <w:webHidden/>
              </w:rPr>
              <w:fldChar w:fldCharType="end"/>
            </w:r>
          </w:hyperlink>
        </w:p>
        <w:p w14:paraId="6000E884" w14:textId="6195181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0" w:history="1">
            <w:r w:rsidRPr="00974E06">
              <w:rPr>
                <w:rStyle w:val="Lienhypertexte"/>
                <w:i/>
                <w:iCs/>
                <w:noProof/>
              </w:rPr>
              <w:t>Influence de la motivation sur la performance académique des étudiants de première année d’architecture d’Abidjan</w:t>
            </w:r>
            <w:r>
              <w:rPr>
                <w:noProof/>
                <w:webHidden/>
              </w:rPr>
              <w:tab/>
            </w:r>
            <w:r>
              <w:rPr>
                <w:noProof/>
                <w:webHidden/>
              </w:rPr>
              <w:fldChar w:fldCharType="begin"/>
            </w:r>
            <w:r>
              <w:rPr>
                <w:noProof/>
                <w:webHidden/>
              </w:rPr>
              <w:instrText xml:space="preserve"> PAGEREF _Toc219272560 \h </w:instrText>
            </w:r>
            <w:r>
              <w:rPr>
                <w:noProof/>
                <w:webHidden/>
              </w:rPr>
            </w:r>
            <w:r>
              <w:rPr>
                <w:noProof/>
                <w:webHidden/>
              </w:rPr>
              <w:fldChar w:fldCharType="separate"/>
            </w:r>
            <w:r>
              <w:rPr>
                <w:noProof/>
                <w:webHidden/>
              </w:rPr>
              <w:t>73</w:t>
            </w:r>
            <w:r>
              <w:rPr>
                <w:noProof/>
                <w:webHidden/>
              </w:rPr>
              <w:fldChar w:fldCharType="end"/>
            </w:r>
          </w:hyperlink>
        </w:p>
        <w:p w14:paraId="1DE4EBD1" w14:textId="67A492DE"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1" w:history="1">
            <w:r w:rsidRPr="00974E06">
              <w:rPr>
                <w:rStyle w:val="Lienhypertexte"/>
                <w:noProof/>
              </w:rPr>
              <w:t>Paul Blanchard AKE, Kouakou Bruno KANGA</w:t>
            </w:r>
            <w:r>
              <w:rPr>
                <w:noProof/>
                <w:webHidden/>
              </w:rPr>
              <w:tab/>
            </w:r>
            <w:r>
              <w:rPr>
                <w:noProof/>
                <w:webHidden/>
              </w:rPr>
              <w:fldChar w:fldCharType="begin"/>
            </w:r>
            <w:r>
              <w:rPr>
                <w:noProof/>
                <w:webHidden/>
              </w:rPr>
              <w:instrText xml:space="preserve"> PAGEREF _Toc219272561 \h </w:instrText>
            </w:r>
            <w:r>
              <w:rPr>
                <w:noProof/>
                <w:webHidden/>
              </w:rPr>
            </w:r>
            <w:r>
              <w:rPr>
                <w:noProof/>
                <w:webHidden/>
              </w:rPr>
              <w:fldChar w:fldCharType="separate"/>
            </w:r>
            <w:r>
              <w:rPr>
                <w:noProof/>
                <w:webHidden/>
              </w:rPr>
              <w:t>73</w:t>
            </w:r>
            <w:r>
              <w:rPr>
                <w:noProof/>
                <w:webHidden/>
              </w:rPr>
              <w:fldChar w:fldCharType="end"/>
            </w:r>
          </w:hyperlink>
        </w:p>
        <w:p w14:paraId="72377EEC" w14:textId="25E9E052"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2" w:history="1">
            <w:r w:rsidRPr="00974E06">
              <w:rPr>
                <w:rStyle w:val="Lienhypertexte"/>
                <w:i/>
                <w:iCs/>
                <w:noProof/>
              </w:rPr>
              <w:t>Auto-exclusion au cours d’EPS : attitudes enseignantes face aux collégiennes des églises de réveil</w:t>
            </w:r>
            <w:r>
              <w:rPr>
                <w:noProof/>
                <w:webHidden/>
              </w:rPr>
              <w:tab/>
            </w:r>
            <w:r>
              <w:rPr>
                <w:noProof/>
                <w:webHidden/>
              </w:rPr>
              <w:fldChar w:fldCharType="begin"/>
            </w:r>
            <w:r>
              <w:rPr>
                <w:noProof/>
                <w:webHidden/>
              </w:rPr>
              <w:instrText xml:space="preserve"> PAGEREF _Toc219272562 \h </w:instrText>
            </w:r>
            <w:r>
              <w:rPr>
                <w:noProof/>
                <w:webHidden/>
              </w:rPr>
            </w:r>
            <w:r>
              <w:rPr>
                <w:noProof/>
                <w:webHidden/>
              </w:rPr>
              <w:fldChar w:fldCharType="separate"/>
            </w:r>
            <w:r>
              <w:rPr>
                <w:noProof/>
                <w:webHidden/>
              </w:rPr>
              <w:t>82</w:t>
            </w:r>
            <w:r>
              <w:rPr>
                <w:noProof/>
                <w:webHidden/>
              </w:rPr>
              <w:fldChar w:fldCharType="end"/>
            </w:r>
          </w:hyperlink>
        </w:p>
        <w:p w14:paraId="560D274F" w14:textId="38A580C5"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3" w:history="1">
            <w:r w:rsidRPr="00974E06">
              <w:rPr>
                <w:rStyle w:val="Lienhypertexte"/>
                <w:noProof/>
              </w:rPr>
              <w:t>BAKINGU BAKIBANGOU Yvette, NDONGO Nathalie</w:t>
            </w:r>
            <w:r>
              <w:rPr>
                <w:noProof/>
                <w:webHidden/>
              </w:rPr>
              <w:tab/>
            </w:r>
            <w:r>
              <w:rPr>
                <w:noProof/>
                <w:webHidden/>
              </w:rPr>
              <w:fldChar w:fldCharType="begin"/>
            </w:r>
            <w:r>
              <w:rPr>
                <w:noProof/>
                <w:webHidden/>
              </w:rPr>
              <w:instrText xml:space="preserve"> PAGEREF _Toc219272563 \h </w:instrText>
            </w:r>
            <w:r>
              <w:rPr>
                <w:noProof/>
                <w:webHidden/>
              </w:rPr>
            </w:r>
            <w:r>
              <w:rPr>
                <w:noProof/>
                <w:webHidden/>
              </w:rPr>
              <w:fldChar w:fldCharType="separate"/>
            </w:r>
            <w:r>
              <w:rPr>
                <w:noProof/>
                <w:webHidden/>
              </w:rPr>
              <w:t>82</w:t>
            </w:r>
            <w:r>
              <w:rPr>
                <w:noProof/>
                <w:webHidden/>
              </w:rPr>
              <w:fldChar w:fldCharType="end"/>
            </w:r>
          </w:hyperlink>
        </w:p>
        <w:p w14:paraId="51A9DA0A" w14:textId="6E14DE8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4" w:history="1">
            <w:r w:rsidRPr="00974E06">
              <w:rPr>
                <w:rStyle w:val="Lienhypertexte"/>
                <w:noProof/>
              </w:rPr>
              <w:t>Partie 2 : Former, enseigner autrement</w:t>
            </w:r>
            <w:r>
              <w:rPr>
                <w:noProof/>
                <w:webHidden/>
              </w:rPr>
              <w:tab/>
            </w:r>
            <w:r>
              <w:rPr>
                <w:noProof/>
                <w:webHidden/>
              </w:rPr>
              <w:fldChar w:fldCharType="begin"/>
            </w:r>
            <w:r>
              <w:rPr>
                <w:noProof/>
                <w:webHidden/>
              </w:rPr>
              <w:instrText xml:space="preserve"> PAGEREF _Toc219272564 \h </w:instrText>
            </w:r>
            <w:r>
              <w:rPr>
                <w:noProof/>
                <w:webHidden/>
              </w:rPr>
            </w:r>
            <w:r>
              <w:rPr>
                <w:noProof/>
                <w:webHidden/>
              </w:rPr>
              <w:fldChar w:fldCharType="separate"/>
            </w:r>
            <w:r>
              <w:rPr>
                <w:noProof/>
                <w:webHidden/>
              </w:rPr>
              <w:t>95</w:t>
            </w:r>
            <w:r>
              <w:rPr>
                <w:noProof/>
                <w:webHidden/>
              </w:rPr>
              <w:fldChar w:fldCharType="end"/>
            </w:r>
          </w:hyperlink>
        </w:p>
        <w:p w14:paraId="7C1E9163" w14:textId="004CAB5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5" w:history="1">
            <w:r w:rsidRPr="00974E06">
              <w:rPr>
                <w:rStyle w:val="Lienhypertexte"/>
                <w:i/>
                <w:iCs/>
                <w:noProof/>
              </w:rPr>
              <w:t>Trente (30) jours d’enseignement-apprentissage en Didactique des disciplines pour former des enseignants : Quel impact sur les pratiques pédagogiques ?</w:t>
            </w:r>
            <w:r>
              <w:rPr>
                <w:noProof/>
                <w:webHidden/>
              </w:rPr>
              <w:tab/>
            </w:r>
            <w:r>
              <w:rPr>
                <w:noProof/>
                <w:webHidden/>
              </w:rPr>
              <w:fldChar w:fldCharType="begin"/>
            </w:r>
            <w:r>
              <w:rPr>
                <w:noProof/>
                <w:webHidden/>
              </w:rPr>
              <w:instrText xml:space="preserve"> PAGEREF _Toc219272565 \h </w:instrText>
            </w:r>
            <w:r>
              <w:rPr>
                <w:noProof/>
                <w:webHidden/>
              </w:rPr>
            </w:r>
            <w:r>
              <w:rPr>
                <w:noProof/>
                <w:webHidden/>
              </w:rPr>
              <w:fldChar w:fldCharType="separate"/>
            </w:r>
            <w:r>
              <w:rPr>
                <w:noProof/>
                <w:webHidden/>
              </w:rPr>
              <w:t>96</w:t>
            </w:r>
            <w:r>
              <w:rPr>
                <w:noProof/>
                <w:webHidden/>
              </w:rPr>
              <w:fldChar w:fldCharType="end"/>
            </w:r>
          </w:hyperlink>
        </w:p>
        <w:p w14:paraId="3BBC886A" w14:textId="55869D92"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6" w:history="1">
            <w:r w:rsidRPr="00974E06">
              <w:rPr>
                <w:rStyle w:val="Lienhypertexte"/>
                <w:noProof/>
              </w:rPr>
              <w:t>Natié COULIBALY, Ibrahima TRAORÉ, Yacouba LOUGUÉ</w:t>
            </w:r>
            <w:r>
              <w:rPr>
                <w:noProof/>
                <w:webHidden/>
              </w:rPr>
              <w:tab/>
            </w:r>
            <w:r>
              <w:rPr>
                <w:noProof/>
                <w:webHidden/>
              </w:rPr>
              <w:fldChar w:fldCharType="begin"/>
            </w:r>
            <w:r>
              <w:rPr>
                <w:noProof/>
                <w:webHidden/>
              </w:rPr>
              <w:instrText xml:space="preserve"> PAGEREF _Toc219272566 \h </w:instrText>
            </w:r>
            <w:r>
              <w:rPr>
                <w:noProof/>
                <w:webHidden/>
              </w:rPr>
            </w:r>
            <w:r>
              <w:rPr>
                <w:noProof/>
                <w:webHidden/>
              </w:rPr>
              <w:fldChar w:fldCharType="separate"/>
            </w:r>
            <w:r>
              <w:rPr>
                <w:noProof/>
                <w:webHidden/>
              </w:rPr>
              <w:t>96</w:t>
            </w:r>
            <w:r>
              <w:rPr>
                <w:noProof/>
                <w:webHidden/>
              </w:rPr>
              <w:fldChar w:fldCharType="end"/>
            </w:r>
          </w:hyperlink>
        </w:p>
        <w:p w14:paraId="4ACA1151" w14:textId="4A5AC47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7" w:history="1">
            <w:r w:rsidRPr="00974E06">
              <w:rPr>
                <w:rStyle w:val="Lienhypertexte"/>
                <w:i/>
                <w:iCs/>
                <w:noProof/>
              </w:rPr>
              <w:t>Effets de l’alphabétisation des adultes selon la formule Reflect sur leur vécu économique au Burkina Faso</w:t>
            </w:r>
            <w:r>
              <w:rPr>
                <w:noProof/>
                <w:webHidden/>
              </w:rPr>
              <w:tab/>
            </w:r>
            <w:r>
              <w:rPr>
                <w:noProof/>
                <w:webHidden/>
              </w:rPr>
              <w:fldChar w:fldCharType="begin"/>
            </w:r>
            <w:r>
              <w:rPr>
                <w:noProof/>
                <w:webHidden/>
              </w:rPr>
              <w:instrText xml:space="preserve"> PAGEREF _Toc219272567 \h </w:instrText>
            </w:r>
            <w:r>
              <w:rPr>
                <w:noProof/>
                <w:webHidden/>
              </w:rPr>
            </w:r>
            <w:r>
              <w:rPr>
                <w:noProof/>
                <w:webHidden/>
              </w:rPr>
              <w:fldChar w:fldCharType="separate"/>
            </w:r>
            <w:r>
              <w:rPr>
                <w:noProof/>
                <w:webHidden/>
              </w:rPr>
              <w:t>109</w:t>
            </w:r>
            <w:r>
              <w:rPr>
                <w:noProof/>
                <w:webHidden/>
              </w:rPr>
              <w:fldChar w:fldCharType="end"/>
            </w:r>
          </w:hyperlink>
        </w:p>
        <w:p w14:paraId="45071CDA" w14:textId="105B13B5"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8" w:history="1">
            <w:r w:rsidRPr="00974E06">
              <w:rPr>
                <w:rStyle w:val="Lienhypertexte"/>
                <w:noProof/>
              </w:rPr>
              <w:t>Harouna DERRA, Ya Eveline TOURÉ/JOHNSON, François SAWADOGO</w:t>
            </w:r>
            <w:r>
              <w:rPr>
                <w:noProof/>
                <w:webHidden/>
              </w:rPr>
              <w:tab/>
            </w:r>
            <w:r>
              <w:rPr>
                <w:noProof/>
                <w:webHidden/>
              </w:rPr>
              <w:fldChar w:fldCharType="begin"/>
            </w:r>
            <w:r>
              <w:rPr>
                <w:noProof/>
                <w:webHidden/>
              </w:rPr>
              <w:instrText xml:space="preserve"> PAGEREF _Toc219272568 \h </w:instrText>
            </w:r>
            <w:r>
              <w:rPr>
                <w:noProof/>
                <w:webHidden/>
              </w:rPr>
            </w:r>
            <w:r>
              <w:rPr>
                <w:noProof/>
                <w:webHidden/>
              </w:rPr>
              <w:fldChar w:fldCharType="separate"/>
            </w:r>
            <w:r>
              <w:rPr>
                <w:noProof/>
                <w:webHidden/>
              </w:rPr>
              <w:t>109</w:t>
            </w:r>
            <w:r>
              <w:rPr>
                <w:noProof/>
                <w:webHidden/>
              </w:rPr>
              <w:fldChar w:fldCharType="end"/>
            </w:r>
          </w:hyperlink>
        </w:p>
        <w:p w14:paraId="3CEABB86" w14:textId="22544786"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69" w:history="1">
            <w:r w:rsidRPr="00974E06">
              <w:rPr>
                <w:rStyle w:val="Lienhypertexte"/>
                <w:rFonts w:asciiTheme="majorBidi" w:eastAsia="Aptos" w:hAnsiTheme="majorBidi" w:cstheme="majorBidi"/>
                <w:i/>
                <w:iCs/>
                <w:noProof/>
                <w:lang w:val="fr-SN"/>
              </w:rPr>
              <w:t>Enseigner les sciences de la vie et de la terre de manière contextualisée : une préoccupation didactique au Gabon</w:t>
            </w:r>
            <w:r>
              <w:rPr>
                <w:noProof/>
                <w:webHidden/>
              </w:rPr>
              <w:tab/>
            </w:r>
            <w:r>
              <w:rPr>
                <w:noProof/>
                <w:webHidden/>
              </w:rPr>
              <w:fldChar w:fldCharType="begin"/>
            </w:r>
            <w:r>
              <w:rPr>
                <w:noProof/>
                <w:webHidden/>
              </w:rPr>
              <w:instrText xml:space="preserve"> PAGEREF _Toc219272569 \h </w:instrText>
            </w:r>
            <w:r>
              <w:rPr>
                <w:noProof/>
                <w:webHidden/>
              </w:rPr>
            </w:r>
            <w:r>
              <w:rPr>
                <w:noProof/>
                <w:webHidden/>
              </w:rPr>
              <w:fldChar w:fldCharType="separate"/>
            </w:r>
            <w:r>
              <w:rPr>
                <w:noProof/>
                <w:webHidden/>
              </w:rPr>
              <w:t>118</w:t>
            </w:r>
            <w:r>
              <w:rPr>
                <w:noProof/>
                <w:webHidden/>
              </w:rPr>
              <w:fldChar w:fldCharType="end"/>
            </w:r>
          </w:hyperlink>
        </w:p>
        <w:p w14:paraId="1428E5D7" w14:textId="7AFCE349"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0" w:history="1">
            <w:r w:rsidRPr="00974E06">
              <w:rPr>
                <w:rStyle w:val="Lienhypertexte"/>
                <w:rFonts w:asciiTheme="majorBidi" w:eastAsia="Aptos" w:hAnsiTheme="majorBidi" w:cstheme="majorBidi"/>
                <w:noProof/>
                <w:lang w:val="fr-SN"/>
              </w:rPr>
              <w:t>Raymonde MOUSSAVOU</w:t>
            </w:r>
            <w:r>
              <w:rPr>
                <w:noProof/>
                <w:webHidden/>
              </w:rPr>
              <w:tab/>
            </w:r>
            <w:r>
              <w:rPr>
                <w:noProof/>
                <w:webHidden/>
              </w:rPr>
              <w:fldChar w:fldCharType="begin"/>
            </w:r>
            <w:r>
              <w:rPr>
                <w:noProof/>
                <w:webHidden/>
              </w:rPr>
              <w:instrText xml:space="preserve"> PAGEREF _Toc219272570 \h </w:instrText>
            </w:r>
            <w:r>
              <w:rPr>
                <w:noProof/>
                <w:webHidden/>
              </w:rPr>
            </w:r>
            <w:r>
              <w:rPr>
                <w:noProof/>
                <w:webHidden/>
              </w:rPr>
              <w:fldChar w:fldCharType="separate"/>
            </w:r>
            <w:r>
              <w:rPr>
                <w:noProof/>
                <w:webHidden/>
              </w:rPr>
              <w:t>118</w:t>
            </w:r>
            <w:r>
              <w:rPr>
                <w:noProof/>
                <w:webHidden/>
              </w:rPr>
              <w:fldChar w:fldCharType="end"/>
            </w:r>
          </w:hyperlink>
        </w:p>
        <w:p w14:paraId="00061AA3" w14:textId="1E6F9AAF"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1" w:history="1">
            <w:r w:rsidRPr="00974E06">
              <w:rPr>
                <w:rStyle w:val="Lienhypertexte"/>
                <w:i/>
                <w:iCs/>
                <w:noProof/>
                <w:lang w:val="fr" w:eastAsia="fr-SN"/>
              </w:rPr>
              <w:t>Perceptions d’étudiants en licence 3 d’anglais sur les effets d’une pédagogie numérique sur l’amélioration de leurs compétences scripturales</w:t>
            </w:r>
            <w:r>
              <w:rPr>
                <w:noProof/>
                <w:webHidden/>
              </w:rPr>
              <w:tab/>
            </w:r>
            <w:r>
              <w:rPr>
                <w:noProof/>
                <w:webHidden/>
              </w:rPr>
              <w:fldChar w:fldCharType="begin"/>
            </w:r>
            <w:r>
              <w:rPr>
                <w:noProof/>
                <w:webHidden/>
              </w:rPr>
              <w:instrText xml:space="preserve"> PAGEREF _Toc219272571 \h </w:instrText>
            </w:r>
            <w:r>
              <w:rPr>
                <w:noProof/>
                <w:webHidden/>
              </w:rPr>
            </w:r>
            <w:r>
              <w:rPr>
                <w:noProof/>
                <w:webHidden/>
              </w:rPr>
              <w:fldChar w:fldCharType="separate"/>
            </w:r>
            <w:r>
              <w:rPr>
                <w:noProof/>
                <w:webHidden/>
              </w:rPr>
              <w:t>134</w:t>
            </w:r>
            <w:r>
              <w:rPr>
                <w:noProof/>
                <w:webHidden/>
              </w:rPr>
              <w:fldChar w:fldCharType="end"/>
            </w:r>
          </w:hyperlink>
        </w:p>
        <w:p w14:paraId="0538952B" w14:textId="73983A8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2" w:history="1">
            <w:r w:rsidRPr="00974E06">
              <w:rPr>
                <w:rStyle w:val="Lienhypertexte"/>
                <w:rFonts w:eastAsia="Arial" w:cs="Arial"/>
                <w:noProof/>
                <w:lang w:val="fr" w:eastAsia="fr-SN"/>
              </w:rPr>
              <w:t>Papa Meïssa COULIBALY</w:t>
            </w:r>
            <w:r w:rsidRPr="00974E06">
              <w:rPr>
                <w:rStyle w:val="Lienhypertexte"/>
                <w:rFonts w:ascii="Arial" w:eastAsia="Arial" w:hAnsi="Arial" w:cs="Arial"/>
                <w:noProof/>
                <w:lang w:val="fr" w:eastAsia="fr-SN"/>
              </w:rPr>
              <w:t xml:space="preserve">, </w:t>
            </w:r>
            <w:r w:rsidRPr="00974E06">
              <w:rPr>
                <w:rStyle w:val="Lienhypertexte"/>
                <w:noProof/>
                <w:lang w:val="fr" w:eastAsia="fr-SN"/>
              </w:rPr>
              <w:t>Papa Mamour DIOP</w:t>
            </w:r>
            <w:r>
              <w:rPr>
                <w:noProof/>
                <w:webHidden/>
              </w:rPr>
              <w:tab/>
            </w:r>
            <w:r>
              <w:rPr>
                <w:noProof/>
                <w:webHidden/>
              </w:rPr>
              <w:fldChar w:fldCharType="begin"/>
            </w:r>
            <w:r>
              <w:rPr>
                <w:noProof/>
                <w:webHidden/>
              </w:rPr>
              <w:instrText xml:space="preserve"> PAGEREF _Toc219272572 \h </w:instrText>
            </w:r>
            <w:r>
              <w:rPr>
                <w:noProof/>
                <w:webHidden/>
              </w:rPr>
            </w:r>
            <w:r>
              <w:rPr>
                <w:noProof/>
                <w:webHidden/>
              </w:rPr>
              <w:fldChar w:fldCharType="separate"/>
            </w:r>
            <w:r>
              <w:rPr>
                <w:noProof/>
                <w:webHidden/>
              </w:rPr>
              <w:t>134</w:t>
            </w:r>
            <w:r>
              <w:rPr>
                <w:noProof/>
                <w:webHidden/>
              </w:rPr>
              <w:fldChar w:fldCharType="end"/>
            </w:r>
          </w:hyperlink>
        </w:p>
        <w:p w14:paraId="66BF3DB4" w14:textId="3D5C7537"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3" w:history="1">
            <w:r w:rsidRPr="00974E06">
              <w:rPr>
                <w:rStyle w:val="Lienhypertexte"/>
                <w:i/>
                <w:iCs/>
                <w:noProof/>
                <w:lang w:eastAsia="fr-CA"/>
              </w:rPr>
              <w:t>TIC et didactique en contexte de crise sécuritaire : opportunités et défis pour le système éducatif burkinabè</w:t>
            </w:r>
            <w:r>
              <w:rPr>
                <w:noProof/>
                <w:webHidden/>
              </w:rPr>
              <w:tab/>
            </w:r>
            <w:r>
              <w:rPr>
                <w:noProof/>
                <w:webHidden/>
              </w:rPr>
              <w:fldChar w:fldCharType="begin"/>
            </w:r>
            <w:r>
              <w:rPr>
                <w:noProof/>
                <w:webHidden/>
              </w:rPr>
              <w:instrText xml:space="preserve"> PAGEREF _Toc219272573 \h </w:instrText>
            </w:r>
            <w:r>
              <w:rPr>
                <w:noProof/>
                <w:webHidden/>
              </w:rPr>
            </w:r>
            <w:r>
              <w:rPr>
                <w:noProof/>
                <w:webHidden/>
              </w:rPr>
              <w:fldChar w:fldCharType="separate"/>
            </w:r>
            <w:r>
              <w:rPr>
                <w:noProof/>
                <w:webHidden/>
              </w:rPr>
              <w:t>153</w:t>
            </w:r>
            <w:r>
              <w:rPr>
                <w:noProof/>
                <w:webHidden/>
              </w:rPr>
              <w:fldChar w:fldCharType="end"/>
            </w:r>
          </w:hyperlink>
        </w:p>
        <w:p w14:paraId="51AF1AE5" w14:textId="4CF3B093"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4" w:history="1">
            <w:r w:rsidRPr="00974E06">
              <w:rPr>
                <w:rStyle w:val="Lienhypertexte"/>
                <w:noProof/>
                <w:lang w:eastAsia="fr-CA"/>
              </w:rPr>
              <w:t>Aoua Carole CONGO</w:t>
            </w:r>
            <w:r>
              <w:rPr>
                <w:noProof/>
                <w:webHidden/>
              </w:rPr>
              <w:tab/>
            </w:r>
            <w:r>
              <w:rPr>
                <w:noProof/>
                <w:webHidden/>
              </w:rPr>
              <w:fldChar w:fldCharType="begin"/>
            </w:r>
            <w:r>
              <w:rPr>
                <w:noProof/>
                <w:webHidden/>
              </w:rPr>
              <w:instrText xml:space="preserve"> PAGEREF _Toc219272574 \h </w:instrText>
            </w:r>
            <w:r>
              <w:rPr>
                <w:noProof/>
                <w:webHidden/>
              </w:rPr>
            </w:r>
            <w:r>
              <w:rPr>
                <w:noProof/>
                <w:webHidden/>
              </w:rPr>
              <w:fldChar w:fldCharType="separate"/>
            </w:r>
            <w:r>
              <w:rPr>
                <w:noProof/>
                <w:webHidden/>
              </w:rPr>
              <w:t>153</w:t>
            </w:r>
            <w:r>
              <w:rPr>
                <w:noProof/>
                <w:webHidden/>
              </w:rPr>
              <w:fldChar w:fldCharType="end"/>
            </w:r>
          </w:hyperlink>
        </w:p>
        <w:p w14:paraId="45A79829" w14:textId="4927E0CA"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5" w:history="1">
            <w:r w:rsidRPr="00974E06">
              <w:rPr>
                <w:rStyle w:val="Lienhypertexte"/>
                <w:noProof/>
              </w:rPr>
              <w:t>Partie 3 :  Education, langues et société</w:t>
            </w:r>
            <w:r>
              <w:rPr>
                <w:noProof/>
                <w:webHidden/>
              </w:rPr>
              <w:tab/>
            </w:r>
            <w:r>
              <w:rPr>
                <w:noProof/>
                <w:webHidden/>
              </w:rPr>
              <w:fldChar w:fldCharType="begin"/>
            </w:r>
            <w:r>
              <w:rPr>
                <w:noProof/>
                <w:webHidden/>
              </w:rPr>
              <w:instrText xml:space="preserve"> PAGEREF _Toc219272575 \h </w:instrText>
            </w:r>
            <w:r>
              <w:rPr>
                <w:noProof/>
                <w:webHidden/>
              </w:rPr>
            </w:r>
            <w:r>
              <w:rPr>
                <w:noProof/>
                <w:webHidden/>
              </w:rPr>
              <w:fldChar w:fldCharType="separate"/>
            </w:r>
            <w:r>
              <w:rPr>
                <w:noProof/>
                <w:webHidden/>
              </w:rPr>
              <w:t>169</w:t>
            </w:r>
            <w:r>
              <w:rPr>
                <w:noProof/>
                <w:webHidden/>
              </w:rPr>
              <w:fldChar w:fldCharType="end"/>
            </w:r>
          </w:hyperlink>
        </w:p>
        <w:p w14:paraId="498535FC" w14:textId="61111EF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6" w:history="1">
            <w:r w:rsidRPr="00974E06">
              <w:rPr>
                <w:rStyle w:val="Lienhypertexte"/>
                <w:i/>
                <w:iCs/>
                <w:noProof/>
                <w:w w:val="90"/>
              </w:rPr>
              <w:t>Education à la santé à l’école au Congo : entre manque de ressources et adaptation contextuelle</w:t>
            </w:r>
            <w:r>
              <w:rPr>
                <w:noProof/>
                <w:webHidden/>
              </w:rPr>
              <w:tab/>
            </w:r>
            <w:r>
              <w:rPr>
                <w:noProof/>
                <w:webHidden/>
              </w:rPr>
              <w:fldChar w:fldCharType="begin"/>
            </w:r>
            <w:r>
              <w:rPr>
                <w:noProof/>
                <w:webHidden/>
              </w:rPr>
              <w:instrText xml:space="preserve"> PAGEREF _Toc219272576 \h </w:instrText>
            </w:r>
            <w:r>
              <w:rPr>
                <w:noProof/>
                <w:webHidden/>
              </w:rPr>
            </w:r>
            <w:r>
              <w:rPr>
                <w:noProof/>
                <w:webHidden/>
              </w:rPr>
              <w:fldChar w:fldCharType="separate"/>
            </w:r>
            <w:r>
              <w:rPr>
                <w:noProof/>
                <w:webHidden/>
              </w:rPr>
              <w:t>170</w:t>
            </w:r>
            <w:r>
              <w:rPr>
                <w:noProof/>
                <w:webHidden/>
              </w:rPr>
              <w:fldChar w:fldCharType="end"/>
            </w:r>
          </w:hyperlink>
        </w:p>
        <w:p w14:paraId="1674DD44" w14:textId="44F73052"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7" w:history="1">
            <w:r w:rsidRPr="00974E06">
              <w:rPr>
                <w:rStyle w:val="Lienhypertexte"/>
                <w:noProof/>
                <w:w w:val="90"/>
              </w:rPr>
              <w:t>Laure Stella GHOMA LINGUISSI, Guy MOUSSAVOU</w:t>
            </w:r>
            <w:r>
              <w:rPr>
                <w:noProof/>
                <w:webHidden/>
              </w:rPr>
              <w:tab/>
            </w:r>
            <w:r>
              <w:rPr>
                <w:noProof/>
                <w:webHidden/>
              </w:rPr>
              <w:fldChar w:fldCharType="begin"/>
            </w:r>
            <w:r>
              <w:rPr>
                <w:noProof/>
                <w:webHidden/>
              </w:rPr>
              <w:instrText xml:space="preserve"> PAGEREF _Toc219272577 \h </w:instrText>
            </w:r>
            <w:r>
              <w:rPr>
                <w:noProof/>
                <w:webHidden/>
              </w:rPr>
            </w:r>
            <w:r>
              <w:rPr>
                <w:noProof/>
                <w:webHidden/>
              </w:rPr>
              <w:fldChar w:fldCharType="separate"/>
            </w:r>
            <w:r>
              <w:rPr>
                <w:noProof/>
                <w:webHidden/>
              </w:rPr>
              <w:t>170</w:t>
            </w:r>
            <w:r>
              <w:rPr>
                <w:noProof/>
                <w:webHidden/>
              </w:rPr>
              <w:fldChar w:fldCharType="end"/>
            </w:r>
          </w:hyperlink>
        </w:p>
        <w:p w14:paraId="1C592F94" w14:textId="250B617F"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8" w:history="1">
            <w:r w:rsidRPr="00974E06">
              <w:rPr>
                <w:rStyle w:val="Lienhypertexte"/>
                <w:rFonts w:eastAsia="Aptos"/>
                <w:i/>
                <w:iCs/>
                <w:noProof/>
                <w:lang w:val="fr-CI"/>
              </w:rPr>
              <w:t>Influence du milieu familial sur les comportements frauduleux des élèves lors des examens du BEPC et du bac à Abidjan</w:t>
            </w:r>
            <w:r>
              <w:rPr>
                <w:noProof/>
                <w:webHidden/>
              </w:rPr>
              <w:tab/>
            </w:r>
            <w:r>
              <w:rPr>
                <w:noProof/>
                <w:webHidden/>
              </w:rPr>
              <w:fldChar w:fldCharType="begin"/>
            </w:r>
            <w:r>
              <w:rPr>
                <w:noProof/>
                <w:webHidden/>
              </w:rPr>
              <w:instrText xml:space="preserve"> PAGEREF _Toc219272578 \h </w:instrText>
            </w:r>
            <w:r>
              <w:rPr>
                <w:noProof/>
                <w:webHidden/>
              </w:rPr>
            </w:r>
            <w:r>
              <w:rPr>
                <w:noProof/>
                <w:webHidden/>
              </w:rPr>
              <w:fldChar w:fldCharType="separate"/>
            </w:r>
            <w:r>
              <w:rPr>
                <w:noProof/>
                <w:webHidden/>
              </w:rPr>
              <w:t>180</w:t>
            </w:r>
            <w:r>
              <w:rPr>
                <w:noProof/>
                <w:webHidden/>
              </w:rPr>
              <w:fldChar w:fldCharType="end"/>
            </w:r>
          </w:hyperlink>
        </w:p>
        <w:p w14:paraId="24830B3F" w14:textId="08DF3ADB"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79" w:history="1">
            <w:r w:rsidRPr="00974E06">
              <w:rPr>
                <w:rStyle w:val="Lienhypertexte"/>
                <w:rFonts w:eastAsia="Aptos"/>
                <w:noProof/>
                <w:lang w:val="fr-CI"/>
              </w:rPr>
              <w:t>N’guessan Williams KOFFI, Tanoh épouse N’DIAMOI KOUAME, Aya Michèle KOFFI</w:t>
            </w:r>
            <w:r>
              <w:rPr>
                <w:noProof/>
                <w:webHidden/>
              </w:rPr>
              <w:tab/>
            </w:r>
            <w:r>
              <w:rPr>
                <w:noProof/>
                <w:webHidden/>
              </w:rPr>
              <w:fldChar w:fldCharType="begin"/>
            </w:r>
            <w:r>
              <w:rPr>
                <w:noProof/>
                <w:webHidden/>
              </w:rPr>
              <w:instrText xml:space="preserve"> PAGEREF _Toc219272579 \h </w:instrText>
            </w:r>
            <w:r>
              <w:rPr>
                <w:noProof/>
                <w:webHidden/>
              </w:rPr>
            </w:r>
            <w:r>
              <w:rPr>
                <w:noProof/>
                <w:webHidden/>
              </w:rPr>
              <w:fldChar w:fldCharType="separate"/>
            </w:r>
            <w:r>
              <w:rPr>
                <w:noProof/>
                <w:webHidden/>
              </w:rPr>
              <w:t>180</w:t>
            </w:r>
            <w:r>
              <w:rPr>
                <w:noProof/>
                <w:webHidden/>
              </w:rPr>
              <w:fldChar w:fldCharType="end"/>
            </w:r>
          </w:hyperlink>
        </w:p>
        <w:p w14:paraId="5253387E" w14:textId="4677B0EF"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0" w:history="1">
            <w:r w:rsidRPr="00974E06">
              <w:rPr>
                <w:rStyle w:val="Lienhypertexte"/>
                <w:i/>
                <w:iCs/>
                <w:noProof/>
              </w:rPr>
              <w:t>Techniques de questionnement dans l’élaboration des épreuves de composition dans l’apprentissage du français langue étrangère : cas des apprenants angolais du second cycle de secondaire</w:t>
            </w:r>
            <w:r>
              <w:rPr>
                <w:noProof/>
                <w:webHidden/>
              </w:rPr>
              <w:tab/>
            </w:r>
            <w:r>
              <w:rPr>
                <w:noProof/>
                <w:webHidden/>
              </w:rPr>
              <w:fldChar w:fldCharType="begin"/>
            </w:r>
            <w:r>
              <w:rPr>
                <w:noProof/>
                <w:webHidden/>
              </w:rPr>
              <w:instrText xml:space="preserve"> PAGEREF _Toc219272580 \h </w:instrText>
            </w:r>
            <w:r>
              <w:rPr>
                <w:noProof/>
                <w:webHidden/>
              </w:rPr>
            </w:r>
            <w:r>
              <w:rPr>
                <w:noProof/>
                <w:webHidden/>
              </w:rPr>
              <w:fldChar w:fldCharType="separate"/>
            </w:r>
            <w:r>
              <w:rPr>
                <w:noProof/>
                <w:webHidden/>
              </w:rPr>
              <w:t>192</w:t>
            </w:r>
            <w:r>
              <w:rPr>
                <w:noProof/>
                <w:webHidden/>
              </w:rPr>
              <w:fldChar w:fldCharType="end"/>
            </w:r>
          </w:hyperlink>
        </w:p>
        <w:p w14:paraId="5DAB13FC" w14:textId="36AB756A"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1" w:history="1">
            <w:r w:rsidRPr="00974E06">
              <w:rPr>
                <w:rStyle w:val="Lienhypertexte"/>
                <w:rFonts w:eastAsia="DengXian"/>
                <w:noProof/>
              </w:rPr>
              <w:t>Lumingu FUAKADIO</w:t>
            </w:r>
            <w:r>
              <w:rPr>
                <w:noProof/>
                <w:webHidden/>
              </w:rPr>
              <w:tab/>
            </w:r>
            <w:r>
              <w:rPr>
                <w:noProof/>
                <w:webHidden/>
              </w:rPr>
              <w:fldChar w:fldCharType="begin"/>
            </w:r>
            <w:r>
              <w:rPr>
                <w:noProof/>
                <w:webHidden/>
              </w:rPr>
              <w:instrText xml:space="preserve"> PAGEREF _Toc219272581 \h </w:instrText>
            </w:r>
            <w:r>
              <w:rPr>
                <w:noProof/>
                <w:webHidden/>
              </w:rPr>
            </w:r>
            <w:r>
              <w:rPr>
                <w:noProof/>
                <w:webHidden/>
              </w:rPr>
              <w:fldChar w:fldCharType="separate"/>
            </w:r>
            <w:r>
              <w:rPr>
                <w:noProof/>
                <w:webHidden/>
              </w:rPr>
              <w:t>192</w:t>
            </w:r>
            <w:r>
              <w:rPr>
                <w:noProof/>
                <w:webHidden/>
              </w:rPr>
              <w:fldChar w:fldCharType="end"/>
            </w:r>
          </w:hyperlink>
        </w:p>
        <w:p w14:paraId="072A9F10" w14:textId="01957D7F"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2" w:history="1">
            <w:r w:rsidRPr="00974E06">
              <w:rPr>
                <w:rStyle w:val="Lienhypertexte"/>
                <w:i/>
                <w:iCs/>
                <w:noProof/>
                <w:lang w:eastAsia="fr-FR"/>
              </w:rPr>
              <w:t>Compétences émotionnelles et développement des capacités d’adaptation sociale chez des adolescents extrême-nord camerounais déplacés à l’Est à la suite des inondations</w:t>
            </w:r>
            <w:r>
              <w:rPr>
                <w:noProof/>
                <w:webHidden/>
              </w:rPr>
              <w:tab/>
            </w:r>
            <w:r>
              <w:rPr>
                <w:noProof/>
                <w:webHidden/>
              </w:rPr>
              <w:fldChar w:fldCharType="begin"/>
            </w:r>
            <w:r>
              <w:rPr>
                <w:noProof/>
                <w:webHidden/>
              </w:rPr>
              <w:instrText xml:space="preserve"> PAGEREF _Toc219272582 \h </w:instrText>
            </w:r>
            <w:r>
              <w:rPr>
                <w:noProof/>
                <w:webHidden/>
              </w:rPr>
            </w:r>
            <w:r>
              <w:rPr>
                <w:noProof/>
                <w:webHidden/>
              </w:rPr>
              <w:fldChar w:fldCharType="separate"/>
            </w:r>
            <w:r>
              <w:rPr>
                <w:noProof/>
                <w:webHidden/>
              </w:rPr>
              <w:t>206</w:t>
            </w:r>
            <w:r>
              <w:rPr>
                <w:noProof/>
                <w:webHidden/>
              </w:rPr>
              <w:fldChar w:fldCharType="end"/>
            </w:r>
          </w:hyperlink>
        </w:p>
        <w:p w14:paraId="0924ED9A" w14:textId="09BF3097"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3" w:history="1">
            <w:r w:rsidRPr="00974E06">
              <w:rPr>
                <w:rStyle w:val="Lienhypertexte"/>
                <w:rFonts w:eastAsia="DejaVu Sans"/>
                <w:noProof/>
              </w:rPr>
              <w:t>Yannick TAMO FOGUE et Valère NKELZOK KOMTSINDI</w:t>
            </w:r>
            <w:r>
              <w:rPr>
                <w:noProof/>
                <w:webHidden/>
              </w:rPr>
              <w:tab/>
            </w:r>
            <w:r>
              <w:rPr>
                <w:noProof/>
                <w:webHidden/>
              </w:rPr>
              <w:fldChar w:fldCharType="begin"/>
            </w:r>
            <w:r>
              <w:rPr>
                <w:noProof/>
                <w:webHidden/>
              </w:rPr>
              <w:instrText xml:space="preserve"> PAGEREF _Toc219272583 \h </w:instrText>
            </w:r>
            <w:r>
              <w:rPr>
                <w:noProof/>
                <w:webHidden/>
              </w:rPr>
            </w:r>
            <w:r>
              <w:rPr>
                <w:noProof/>
                <w:webHidden/>
              </w:rPr>
              <w:fldChar w:fldCharType="separate"/>
            </w:r>
            <w:r>
              <w:rPr>
                <w:noProof/>
                <w:webHidden/>
              </w:rPr>
              <w:t>206</w:t>
            </w:r>
            <w:r>
              <w:rPr>
                <w:noProof/>
                <w:webHidden/>
              </w:rPr>
              <w:fldChar w:fldCharType="end"/>
            </w:r>
          </w:hyperlink>
        </w:p>
        <w:p w14:paraId="68BBD6AE" w14:textId="55E200CC"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4" w:history="1">
            <w:r w:rsidRPr="00974E06">
              <w:rPr>
                <w:rStyle w:val="Lienhypertexte"/>
                <w:i/>
                <w:iCs/>
                <w:noProof/>
                <w:lang w:val="fr-CA"/>
              </w:rPr>
              <w:t>Type d’établissement, conditions socioéconomiques et détresse psychologique chez les enseignants du primaire d’Abidjan</w:t>
            </w:r>
            <w:r>
              <w:rPr>
                <w:noProof/>
                <w:webHidden/>
              </w:rPr>
              <w:tab/>
            </w:r>
            <w:r>
              <w:rPr>
                <w:noProof/>
                <w:webHidden/>
              </w:rPr>
              <w:fldChar w:fldCharType="begin"/>
            </w:r>
            <w:r>
              <w:rPr>
                <w:noProof/>
                <w:webHidden/>
              </w:rPr>
              <w:instrText xml:space="preserve"> PAGEREF _Toc219272584 \h </w:instrText>
            </w:r>
            <w:r>
              <w:rPr>
                <w:noProof/>
                <w:webHidden/>
              </w:rPr>
            </w:r>
            <w:r>
              <w:rPr>
                <w:noProof/>
                <w:webHidden/>
              </w:rPr>
              <w:fldChar w:fldCharType="separate"/>
            </w:r>
            <w:r>
              <w:rPr>
                <w:noProof/>
                <w:webHidden/>
              </w:rPr>
              <w:t>224</w:t>
            </w:r>
            <w:r>
              <w:rPr>
                <w:noProof/>
                <w:webHidden/>
              </w:rPr>
              <w:fldChar w:fldCharType="end"/>
            </w:r>
          </w:hyperlink>
        </w:p>
        <w:p w14:paraId="0927B1B9" w14:textId="34033E2F"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5" w:history="1">
            <w:r w:rsidRPr="00974E06">
              <w:rPr>
                <w:rStyle w:val="Lienhypertexte"/>
                <w:noProof/>
              </w:rPr>
              <w:t>Konan Léon KOUAME, Kouakou Bruno KANGA, Hassan Guy Roger TIEFFI</w:t>
            </w:r>
            <w:r>
              <w:rPr>
                <w:noProof/>
                <w:webHidden/>
              </w:rPr>
              <w:tab/>
            </w:r>
            <w:r>
              <w:rPr>
                <w:noProof/>
                <w:webHidden/>
              </w:rPr>
              <w:fldChar w:fldCharType="begin"/>
            </w:r>
            <w:r>
              <w:rPr>
                <w:noProof/>
                <w:webHidden/>
              </w:rPr>
              <w:instrText xml:space="preserve"> PAGEREF _Toc219272585 \h </w:instrText>
            </w:r>
            <w:r>
              <w:rPr>
                <w:noProof/>
                <w:webHidden/>
              </w:rPr>
            </w:r>
            <w:r>
              <w:rPr>
                <w:noProof/>
                <w:webHidden/>
              </w:rPr>
              <w:fldChar w:fldCharType="separate"/>
            </w:r>
            <w:r>
              <w:rPr>
                <w:noProof/>
                <w:webHidden/>
              </w:rPr>
              <w:t>224</w:t>
            </w:r>
            <w:r>
              <w:rPr>
                <w:noProof/>
                <w:webHidden/>
              </w:rPr>
              <w:fldChar w:fldCharType="end"/>
            </w:r>
          </w:hyperlink>
        </w:p>
        <w:p w14:paraId="52D9B7E2" w14:textId="60B35A47"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6" w:history="1">
            <w:r w:rsidRPr="00974E06">
              <w:rPr>
                <w:rStyle w:val="Lienhypertexte"/>
                <w:i/>
                <w:iCs/>
                <w:noProof/>
                <w:lang w:eastAsia="fr-FR"/>
              </w:rPr>
              <w:t>Facteurs sociaux associés à la consommation de drogues chez les élèves de l’arrondissement de Garoua 1</w:t>
            </w:r>
            <w:r w:rsidRPr="00974E06">
              <w:rPr>
                <w:rStyle w:val="Lienhypertexte"/>
                <w:i/>
                <w:iCs/>
                <w:noProof/>
                <w:vertAlign w:val="superscript"/>
                <w:lang w:eastAsia="fr-FR"/>
              </w:rPr>
              <w:t xml:space="preserve">èrè </w:t>
            </w:r>
            <w:r w:rsidRPr="00974E06">
              <w:rPr>
                <w:rStyle w:val="Lienhypertexte"/>
                <w:i/>
                <w:iCs/>
                <w:noProof/>
                <w:lang w:eastAsia="fr-FR"/>
              </w:rPr>
              <w:t>région du nord-Cameroun : Cas du Lycée de Ouro-Hourso et du Collège Moderne de la Bénoué</w:t>
            </w:r>
            <w:r>
              <w:rPr>
                <w:noProof/>
                <w:webHidden/>
              </w:rPr>
              <w:tab/>
            </w:r>
            <w:r>
              <w:rPr>
                <w:noProof/>
                <w:webHidden/>
              </w:rPr>
              <w:fldChar w:fldCharType="begin"/>
            </w:r>
            <w:r>
              <w:rPr>
                <w:noProof/>
                <w:webHidden/>
              </w:rPr>
              <w:instrText xml:space="preserve"> PAGEREF _Toc219272586 \h </w:instrText>
            </w:r>
            <w:r>
              <w:rPr>
                <w:noProof/>
                <w:webHidden/>
              </w:rPr>
            </w:r>
            <w:r>
              <w:rPr>
                <w:noProof/>
                <w:webHidden/>
              </w:rPr>
              <w:fldChar w:fldCharType="separate"/>
            </w:r>
            <w:r>
              <w:rPr>
                <w:noProof/>
                <w:webHidden/>
              </w:rPr>
              <w:t>242</w:t>
            </w:r>
            <w:r>
              <w:rPr>
                <w:noProof/>
                <w:webHidden/>
              </w:rPr>
              <w:fldChar w:fldCharType="end"/>
            </w:r>
          </w:hyperlink>
        </w:p>
        <w:p w14:paraId="0570435B" w14:textId="6B17B02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7" w:history="1">
            <w:r w:rsidRPr="00974E06">
              <w:rPr>
                <w:rStyle w:val="Lienhypertexte"/>
                <w:rFonts w:eastAsia="DengXian"/>
                <w:noProof/>
                <w:lang w:val="en-US"/>
              </w:rPr>
              <w:t>Vanessa KUETE MOUAFO, Christian EYOUM, Charles TCHOUATA FOUDJIO, Clovis KUETCHE SINGHE</w:t>
            </w:r>
            <w:r>
              <w:rPr>
                <w:noProof/>
                <w:webHidden/>
              </w:rPr>
              <w:tab/>
            </w:r>
            <w:r>
              <w:rPr>
                <w:noProof/>
                <w:webHidden/>
              </w:rPr>
              <w:fldChar w:fldCharType="begin"/>
            </w:r>
            <w:r>
              <w:rPr>
                <w:noProof/>
                <w:webHidden/>
              </w:rPr>
              <w:instrText xml:space="preserve"> PAGEREF _Toc219272587 \h </w:instrText>
            </w:r>
            <w:r>
              <w:rPr>
                <w:noProof/>
                <w:webHidden/>
              </w:rPr>
            </w:r>
            <w:r>
              <w:rPr>
                <w:noProof/>
                <w:webHidden/>
              </w:rPr>
              <w:fldChar w:fldCharType="separate"/>
            </w:r>
            <w:r>
              <w:rPr>
                <w:noProof/>
                <w:webHidden/>
              </w:rPr>
              <w:t>242</w:t>
            </w:r>
            <w:r>
              <w:rPr>
                <w:noProof/>
                <w:webHidden/>
              </w:rPr>
              <w:fldChar w:fldCharType="end"/>
            </w:r>
          </w:hyperlink>
        </w:p>
        <w:p w14:paraId="3ED49CE7" w14:textId="4136728A"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8" w:history="1">
            <w:r w:rsidRPr="00974E06">
              <w:rPr>
                <w:rStyle w:val="Lienhypertexte"/>
                <w:noProof/>
              </w:rPr>
              <w:t>Partie 4 : Performance scolaire, inclusion et transformation éducative</w:t>
            </w:r>
            <w:r>
              <w:rPr>
                <w:noProof/>
                <w:webHidden/>
              </w:rPr>
              <w:tab/>
            </w:r>
            <w:r>
              <w:rPr>
                <w:noProof/>
                <w:webHidden/>
              </w:rPr>
              <w:fldChar w:fldCharType="begin"/>
            </w:r>
            <w:r>
              <w:rPr>
                <w:noProof/>
                <w:webHidden/>
              </w:rPr>
              <w:instrText xml:space="preserve"> PAGEREF _Toc219272588 \h </w:instrText>
            </w:r>
            <w:r>
              <w:rPr>
                <w:noProof/>
                <w:webHidden/>
              </w:rPr>
            </w:r>
            <w:r>
              <w:rPr>
                <w:noProof/>
                <w:webHidden/>
              </w:rPr>
              <w:fldChar w:fldCharType="separate"/>
            </w:r>
            <w:r>
              <w:rPr>
                <w:noProof/>
                <w:webHidden/>
              </w:rPr>
              <w:t>258</w:t>
            </w:r>
            <w:r>
              <w:rPr>
                <w:noProof/>
                <w:webHidden/>
              </w:rPr>
              <w:fldChar w:fldCharType="end"/>
            </w:r>
          </w:hyperlink>
        </w:p>
        <w:p w14:paraId="7D940F26" w14:textId="6503073D"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89" w:history="1">
            <w:r w:rsidRPr="00974E06">
              <w:rPr>
                <w:rStyle w:val="Lienhypertexte"/>
                <w:i/>
                <w:iCs/>
                <w:noProof/>
              </w:rPr>
              <w:t>Justice procédurale, déviance constructive et leadership éthique : leviers de transformation du système éducatif camerounais</w:t>
            </w:r>
            <w:r>
              <w:rPr>
                <w:noProof/>
                <w:webHidden/>
              </w:rPr>
              <w:tab/>
            </w:r>
            <w:r>
              <w:rPr>
                <w:noProof/>
                <w:webHidden/>
              </w:rPr>
              <w:fldChar w:fldCharType="begin"/>
            </w:r>
            <w:r>
              <w:rPr>
                <w:noProof/>
                <w:webHidden/>
              </w:rPr>
              <w:instrText xml:space="preserve"> PAGEREF _Toc219272589 \h </w:instrText>
            </w:r>
            <w:r>
              <w:rPr>
                <w:noProof/>
                <w:webHidden/>
              </w:rPr>
            </w:r>
            <w:r>
              <w:rPr>
                <w:noProof/>
                <w:webHidden/>
              </w:rPr>
              <w:fldChar w:fldCharType="separate"/>
            </w:r>
            <w:r>
              <w:rPr>
                <w:noProof/>
                <w:webHidden/>
              </w:rPr>
              <w:t>259</w:t>
            </w:r>
            <w:r>
              <w:rPr>
                <w:noProof/>
                <w:webHidden/>
              </w:rPr>
              <w:fldChar w:fldCharType="end"/>
            </w:r>
          </w:hyperlink>
        </w:p>
        <w:p w14:paraId="34161EB7" w14:textId="7CCA99D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0" w:history="1">
            <w:r w:rsidRPr="00974E06">
              <w:rPr>
                <w:rStyle w:val="Lienhypertexte"/>
                <w:noProof/>
                <w:lang w:val="fr-CM"/>
              </w:rPr>
              <w:t>Mireille Michée MVEME OLOUGOU</w:t>
            </w:r>
            <w:r>
              <w:rPr>
                <w:noProof/>
                <w:webHidden/>
              </w:rPr>
              <w:tab/>
            </w:r>
            <w:r>
              <w:rPr>
                <w:noProof/>
                <w:webHidden/>
              </w:rPr>
              <w:fldChar w:fldCharType="begin"/>
            </w:r>
            <w:r>
              <w:rPr>
                <w:noProof/>
                <w:webHidden/>
              </w:rPr>
              <w:instrText xml:space="preserve"> PAGEREF _Toc219272590 \h </w:instrText>
            </w:r>
            <w:r>
              <w:rPr>
                <w:noProof/>
                <w:webHidden/>
              </w:rPr>
            </w:r>
            <w:r>
              <w:rPr>
                <w:noProof/>
                <w:webHidden/>
              </w:rPr>
              <w:fldChar w:fldCharType="separate"/>
            </w:r>
            <w:r>
              <w:rPr>
                <w:noProof/>
                <w:webHidden/>
              </w:rPr>
              <w:t>259</w:t>
            </w:r>
            <w:r>
              <w:rPr>
                <w:noProof/>
                <w:webHidden/>
              </w:rPr>
              <w:fldChar w:fldCharType="end"/>
            </w:r>
          </w:hyperlink>
        </w:p>
        <w:p w14:paraId="4FA51A56" w14:textId="54CEC5D1"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1" w:history="1">
            <w:r w:rsidRPr="00974E06">
              <w:rPr>
                <w:rStyle w:val="Lienhypertexte"/>
                <w:rFonts w:eastAsiaTheme="minorHAnsi"/>
                <w:i/>
                <w:iCs/>
                <w:noProof/>
              </w:rPr>
              <w:t>Initiation à la philosophie dès l’enfance par l’image : un dispositif didactique pour le développement de la pensée réflexive au service d’une citoyenneté active au Cameroun</w:t>
            </w:r>
            <w:r>
              <w:rPr>
                <w:noProof/>
                <w:webHidden/>
              </w:rPr>
              <w:tab/>
            </w:r>
            <w:r>
              <w:rPr>
                <w:noProof/>
                <w:webHidden/>
              </w:rPr>
              <w:fldChar w:fldCharType="begin"/>
            </w:r>
            <w:r>
              <w:rPr>
                <w:noProof/>
                <w:webHidden/>
              </w:rPr>
              <w:instrText xml:space="preserve"> PAGEREF _Toc219272591 \h </w:instrText>
            </w:r>
            <w:r>
              <w:rPr>
                <w:noProof/>
                <w:webHidden/>
              </w:rPr>
            </w:r>
            <w:r>
              <w:rPr>
                <w:noProof/>
                <w:webHidden/>
              </w:rPr>
              <w:fldChar w:fldCharType="separate"/>
            </w:r>
            <w:r>
              <w:rPr>
                <w:noProof/>
                <w:webHidden/>
              </w:rPr>
              <w:t>273</w:t>
            </w:r>
            <w:r>
              <w:rPr>
                <w:noProof/>
                <w:webHidden/>
              </w:rPr>
              <w:fldChar w:fldCharType="end"/>
            </w:r>
          </w:hyperlink>
        </w:p>
        <w:p w14:paraId="0BF03681" w14:textId="4250122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2" w:history="1">
            <w:r w:rsidRPr="00974E06">
              <w:rPr>
                <w:rStyle w:val="Lienhypertexte"/>
                <w:rFonts w:eastAsiaTheme="minorHAnsi"/>
                <w:noProof/>
              </w:rPr>
              <w:t>Pierre Bény WAGNI, Edwige CHIROUTER , Renée Solange NKECK BIDIAS</w:t>
            </w:r>
            <w:r>
              <w:rPr>
                <w:noProof/>
                <w:webHidden/>
              </w:rPr>
              <w:tab/>
            </w:r>
            <w:r>
              <w:rPr>
                <w:noProof/>
                <w:webHidden/>
              </w:rPr>
              <w:fldChar w:fldCharType="begin"/>
            </w:r>
            <w:r>
              <w:rPr>
                <w:noProof/>
                <w:webHidden/>
              </w:rPr>
              <w:instrText xml:space="preserve"> PAGEREF _Toc219272592 \h </w:instrText>
            </w:r>
            <w:r>
              <w:rPr>
                <w:noProof/>
                <w:webHidden/>
              </w:rPr>
            </w:r>
            <w:r>
              <w:rPr>
                <w:noProof/>
                <w:webHidden/>
              </w:rPr>
              <w:fldChar w:fldCharType="separate"/>
            </w:r>
            <w:r>
              <w:rPr>
                <w:noProof/>
                <w:webHidden/>
              </w:rPr>
              <w:t>273</w:t>
            </w:r>
            <w:r>
              <w:rPr>
                <w:noProof/>
                <w:webHidden/>
              </w:rPr>
              <w:fldChar w:fldCharType="end"/>
            </w:r>
          </w:hyperlink>
        </w:p>
        <w:p w14:paraId="19679D80" w14:textId="42970C42"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3" w:history="1">
            <w:r w:rsidRPr="00974E06">
              <w:rPr>
                <w:rStyle w:val="Lienhypertexte"/>
                <w:i/>
                <w:iCs/>
                <w:noProof/>
              </w:rPr>
              <w:t>La professionnalisation de l’enseignement supérieur : un moteur stratégique pour le développement durable des collectivités territoriales décentralisées</w:t>
            </w:r>
            <w:r>
              <w:rPr>
                <w:noProof/>
                <w:webHidden/>
              </w:rPr>
              <w:tab/>
            </w:r>
            <w:r>
              <w:rPr>
                <w:noProof/>
                <w:webHidden/>
              </w:rPr>
              <w:fldChar w:fldCharType="begin"/>
            </w:r>
            <w:r>
              <w:rPr>
                <w:noProof/>
                <w:webHidden/>
              </w:rPr>
              <w:instrText xml:space="preserve"> PAGEREF _Toc219272593 \h </w:instrText>
            </w:r>
            <w:r>
              <w:rPr>
                <w:noProof/>
                <w:webHidden/>
              </w:rPr>
            </w:r>
            <w:r>
              <w:rPr>
                <w:noProof/>
                <w:webHidden/>
              </w:rPr>
              <w:fldChar w:fldCharType="separate"/>
            </w:r>
            <w:r>
              <w:rPr>
                <w:noProof/>
                <w:webHidden/>
              </w:rPr>
              <w:t>291</w:t>
            </w:r>
            <w:r>
              <w:rPr>
                <w:noProof/>
                <w:webHidden/>
              </w:rPr>
              <w:fldChar w:fldCharType="end"/>
            </w:r>
          </w:hyperlink>
        </w:p>
        <w:p w14:paraId="3711F88A" w14:textId="130557B2"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4" w:history="1">
            <w:r w:rsidRPr="00974E06">
              <w:rPr>
                <w:rStyle w:val="Lienhypertexte"/>
                <w:i/>
                <w:iCs/>
                <w:noProof/>
              </w:rPr>
              <w:t>Perceptions de l’évaluation et leur influence sur l’engagement à l’apprentissage : cas des élèves de l’enseignement secondaire général de la Direction Régionale de l’Education Nationale et de l’Alphabétisation (DRENA) 2 d’Abidjan</w:t>
            </w:r>
            <w:r>
              <w:rPr>
                <w:noProof/>
                <w:webHidden/>
              </w:rPr>
              <w:tab/>
            </w:r>
            <w:r>
              <w:rPr>
                <w:noProof/>
                <w:webHidden/>
              </w:rPr>
              <w:fldChar w:fldCharType="begin"/>
            </w:r>
            <w:r>
              <w:rPr>
                <w:noProof/>
                <w:webHidden/>
              </w:rPr>
              <w:instrText xml:space="preserve"> PAGEREF _Toc219272594 \h </w:instrText>
            </w:r>
            <w:r>
              <w:rPr>
                <w:noProof/>
                <w:webHidden/>
              </w:rPr>
            </w:r>
            <w:r>
              <w:rPr>
                <w:noProof/>
                <w:webHidden/>
              </w:rPr>
              <w:fldChar w:fldCharType="separate"/>
            </w:r>
            <w:r>
              <w:rPr>
                <w:noProof/>
                <w:webHidden/>
              </w:rPr>
              <w:t>301</w:t>
            </w:r>
            <w:r>
              <w:rPr>
                <w:noProof/>
                <w:webHidden/>
              </w:rPr>
              <w:fldChar w:fldCharType="end"/>
            </w:r>
          </w:hyperlink>
        </w:p>
        <w:p w14:paraId="47789316" w14:textId="1B68361B"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5" w:history="1">
            <w:r w:rsidRPr="00974E06">
              <w:rPr>
                <w:rStyle w:val="Lienhypertexte"/>
                <w:noProof/>
              </w:rPr>
              <w:t>FLODO Kouassi Athanase, TANON Eben-Ezer Kouamé</w:t>
            </w:r>
            <w:r>
              <w:rPr>
                <w:noProof/>
                <w:webHidden/>
              </w:rPr>
              <w:tab/>
            </w:r>
            <w:r>
              <w:rPr>
                <w:noProof/>
                <w:webHidden/>
              </w:rPr>
              <w:fldChar w:fldCharType="begin"/>
            </w:r>
            <w:r>
              <w:rPr>
                <w:noProof/>
                <w:webHidden/>
              </w:rPr>
              <w:instrText xml:space="preserve"> PAGEREF _Toc219272595 \h </w:instrText>
            </w:r>
            <w:r>
              <w:rPr>
                <w:noProof/>
                <w:webHidden/>
              </w:rPr>
            </w:r>
            <w:r>
              <w:rPr>
                <w:noProof/>
                <w:webHidden/>
              </w:rPr>
              <w:fldChar w:fldCharType="separate"/>
            </w:r>
            <w:r>
              <w:rPr>
                <w:noProof/>
                <w:webHidden/>
              </w:rPr>
              <w:t>301</w:t>
            </w:r>
            <w:r>
              <w:rPr>
                <w:noProof/>
                <w:webHidden/>
              </w:rPr>
              <w:fldChar w:fldCharType="end"/>
            </w:r>
          </w:hyperlink>
        </w:p>
        <w:p w14:paraId="77AF7B5F" w14:textId="2B292BD7"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6" w:history="1">
            <w:r w:rsidRPr="00974E06">
              <w:rPr>
                <w:rStyle w:val="Lienhypertexte"/>
                <w:rFonts w:eastAsiaTheme="minorHAnsi"/>
                <w:i/>
                <w:iCs/>
                <w:noProof/>
              </w:rPr>
              <w:t>Analyse théorique du concept de l'éducation inclusive : perspectives et limites</w:t>
            </w:r>
            <w:r>
              <w:rPr>
                <w:noProof/>
                <w:webHidden/>
              </w:rPr>
              <w:tab/>
            </w:r>
            <w:r>
              <w:rPr>
                <w:noProof/>
                <w:webHidden/>
              </w:rPr>
              <w:fldChar w:fldCharType="begin"/>
            </w:r>
            <w:r>
              <w:rPr>
                <w:noProof/>
                <w:webHidden/>
              </w:rPr>
              <w:instrText xml:space="preserve"> PAGEREF _Toc219272596 \h </w:instrText>
            </w:r>
            <w:r>
              <w:rPr>
                <w:noProof/>
                <w:webHidden/>
              </w:rPr>
            </w:r>
            <w:r>
              <w:rPr>
                <w:noProof/>
                <w:webHidden/>
              </w:rPr>
              <w:fldChar w:fldCharType="separate"/>
            </w:r>
            <w:r>
              <w:rPr>
                <w:noProof/>
                <w:webHidden/>
              </w:rPr>
              <w:t>320</w:t>
            </w:r>
            <w:r>
              <w:rPr>
                <w:noProof/>
                <w:webHidden/>
              </w:rPr>
              <w:fldChar w:fldCharType="end"/>
            </w:r>
          </w:hyperlink>
        </w:p>
        <w:p w14:paraId="221CD730" w14:textId="056D8504"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7" w:history="1">
            <w:r w:rsidRPr="00974E06">
              <w:rPr>
                <w:rStyle w:val="Lienhypertexte"/>
                <w:rFonts w:eastAsiaTheme="minorHAnsi"/>
                <w:noProof/>
              </w:rPr>
              <w:t>Nomansou Serge BAH, Kobena Séverin GBOKO</w:t>
            </w:r>
            <w:r>
              <w:rPr>
                <w:noProof/>
                <w:webHidden/>
              </w:rPr>
              <w:tab/>
            </w:r>
            <w:r>
              <w:rPr>
                <w:noProof/>
                <w:webHidden/>
              </w:rPr>
              <w:fldChar w:fldCharType="begin"/>
            </w:r>
            <w:r>
              <w:rPr>
                <w:noProof/>
                <w:webHidden/>
              </w:rPr>
              <w:instrText xml:space="preserve"> PAGEREF _Toc219272597 \h </w:instrText>
            </w:r>
            <w:r>
              <w:rPr>
                <w:noProof/>
                <w:webHidden/>
              </w:rPr>
            </w:r>
            <w:r>
              <w:rPr>
                <w:noProof/>
                <w:webHidden/>
              </w:rPr>
              <w:fldChar w:fldCharType="separate"/>
            </w:r>
            <w:r>
              <w:rPr>
                <w:noProof/>
                <w:webHidden/>
              </w:rPr>
              <w:t>320</w:t>
            </w:r>
            <w:r>
              <w:rPr>
                <w:noProof/>
                <w:webHidden/>
              </w:rPr>
              <w:fldChar w:fldCharType="end"/>
            </w:r>
          </w:hyperlink>
        </w:p>
        <w:p w14:paraId="477800AA" w14:textId="42029F0E"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8" w:history="1">
            <w:r w:rsidRPr="00974E06">
              <w:rPr>
                <w:rStyle w:val="Lienhypertexte"/>
                <w:rFonts w:eastAsiaTheme="minorHAnsi"/>
                <w:i/>
                <w:iCs/>
                <w:noProof/>
              </w:rPr>
              <w:t>Durée de prise en charge, niveau d’attention et performances scolaires</w:t>
            </w:r>
            <w:r w:rsidRPr="00974E06">
              <w:rPr>
                <w:rStyle w:val="Lienhypertexte"/>
                <w:rFonts w:eastAsiaTheme="minorHAnsi"/>
                <w:i/>
                <w:iCs/>
                <w:caps/>
                <w:noProof/>
              </w:rPr>
              <w:t xml:space="preserve"> </w:t>
            </w:r>
            <w:r w:rsidRPr="00974E06">
              <w:rPr>
                <w:rStyle w:val="Lienhypertexte"/>
                <w:rFonts w:eastAsiaTheme="minorHAnsi"/>
                <w:i/>
                <w:iCs/>
                <w:noProof/>
              </w:rPr>
              <w:t xml:space="preserve">des enfants déficients intellectuels du Centre d’Action Medico Psychosociale de l’Enfant </w:t>
            </w:r>
            <w:r w:rsidRPr="00974E06">
              <w:rPr>
                <w:rStyle w:val="Lienhypertexte"/>
                <w:rFonts w:eastAsiaTheme="minorHAnsi"/>
                <w:i/>
                <w:iCs/>
                <w:caps/>
                <w:noProof/>
              </w:rPr>
              <w:t xml:space="preserve">(CAMPSE) </w:t>
            </w:r>
            <w:r w:rsidRPr="00974E06">
              <w:rPr>
                <w:rStyle w:val="Lienhypertexte"/>
                <w:rFonts w:eastAsiaTheme="minorHAnsi"/>
                <w:i/>
                <w:iCs/>
                <w:noProof/>
              </w:rPr>
              <w:t>d’Abidjan</w:t>
            </w:r>
            <w:r>
              <w:rPr>
                <w:noProof/>
                <w:webHidden/>
              </w:rPr>
              <w:tab/>
            </w:r>
            <w:r>
              <w:rPr>
                <w:noProof/>
                <w:webHidden/>
              </w:rPr>
              <w:fldChar w:fldCharType="begin"/>
            </w:r>
            <w:r>
              <w:rPr>
                <w:noProof/>
                <w:webHidden/>
              </w:rPr>
              <w:instrText xml:space="preserve"> PAGEREF _Toc219272598 \h </w:instrText>
            </w:r>
            <w:r>
              <w:rPr>
                <w:noProof/>
                <w:webHidden/>
              </w:rPr>
            </w:r>
            <w:r>
              <w:rPr>
                <w:noProof/>
                <w:webHidden/>
              </w:rPr>
              <w:fldChar w:fldCharType="separate"/>
            </w:r>
            <w:r>
              <w:rPr>
                <w:noProof/>
                <w:webHidden/>
              </w:rPr>
              <w:t>332</w:t>
            </w:r>
            <w:r>
              <w:rPr>
                <w:noProof/>
                <w:webHidden/>
              </w:rPr>
              <w:fldChar w:fldCharType="end"/>
            </w:r>
          </w:hyperlink>
        </w:p>
        <w:p w14:paraId="61BE4462" w14:textId="0BA2FAC8" w:rsidR="00E03905" w:rsidRDefault="00E03905">
          <w:pPr>
            <w:pStyle w:val="TM1"/>
            <w:tabs>
              <w:tab w:val="right" w:leader="dot" w:pos="9917"/>
            </w:tabs>
            <w:rPr>
              <w:rFonts w:asciiTheme="minorHAnsi" w:eastAsiaTheme="minorEastAsia" w:hAnsiTheme="minorHAnsi" w:cstheme="minorBidi"/>
              <w:noProof/>
              <w:kern w:val="2"/>
              <w:sz w:val="24"/>
              <w:szCs w:val="24"/>
              <w:lang w:eastAsia="fr-FR"/>
              <w14:ligatures w14:val="standardContextual"/>
            </w:rPr>
          </w:pPr>
          <w:hyperlink w:anchor="_Toc219272599" w:history="1">
            <w:r w:rsidRPr="00974E06">
              <w:rPr>
                <w:rStyle w:val="Lienhypertexte"/>
                <w:rFonts w:eastAsiaTheme="minorHAnsi"/>
                <w:noProof/>
              </w:rPr>
              <w:t>Ossei KOUAKOU</w:t>
            </w:r>
            <w:r>
              <w:rPr>
                <w:noProof/>
                <w:webHidden/>
              </w:rPr>
              <w:tab/>
            </w:r>
            <w:r>
              <w:rPr>
                <w:noProof/>
                <w:webHidden/>
              </w:rPr>
              <w:fldChar w:fldCharType="begin"/>
            </w:r>
            <w:r>
              <w:rPr>
                <w:noProof/>
                <w:webHidden/>
              </w:rPr>
              <w:instrText xml:space="preserve"> PAGEREF _Toc219272599 \h </w:instrText>
            </w:r>
            <w:r>
              <w:rPr>
                <w:noProof/>
                <w:webHidden/>
              </w:rPr>
            </w:r>
            <w:r>
              <w:rPr>
                <w:noProof/>
                <w:webHidden/>
              </w:rPr>
              <w:fldChar w:fldCharType="separate"/>
            </w:r>
            <w:r>
              <w:rPr>
                <w:noProof/>
                <w:webHidden/>
              </w:rPr>
              <w:t>332</w:t>
            </w:r>
            <w:r>
              <w:rPr>
                <w:noProof/>
                <w:webHidden/>
              </w:rPr>
              <w:fldChar w:fldCharType="end"/>
            </w:r>
          </w:hyperlink>
        </w:p>
        <w:p w14:paraId="49F483CD" w14:textId="5B526081" w:rsidR="00E01032" w:rsidRDefault="00E01032">
          <w:r>
            <w:rPr>
              <w:b/>
              <w:bCs/>
            </w:rPr>
            <w:fldChar w:fldCharType="end"/>
          </w:r>
        </w:p>
      </w:sdtContent>
    </w:sdt>
    <w:p w14:paraId="33135DF3" w14:textId="77777777" w:rsidR="001248F7" w:rsidRPr="00E01032" w:rsidRDefault="001248F7">
      <w:pPr>
        <w:pStyle w:val="TM3"/>
        <w:rPr>
          <w:i w:val="0"/>
          <w:lang w:val="pt-PT"/>
        </w:rPr>
        <w:sectPr w:rsidR="001248F7" w:rsidRPr="00E01032" w:rsidSect="00591104">
          <w:headerReference w:type="default" r:id="rId29"/>
          <w:footerReference w:type="default" r:id="rId30"/>
          <w:footnotePr>
            <w:numRestart w:val="eachPage"/>
          </w:footnotePr>
          <w:type w:val="continuous"/>
          <w:pgSz w:w="11910" w:h="16840"/>
          <w:pgMar w:top="1091" w:right="1133" w:bottom="2182" w:left="850" w:header="847" w:footer="1661" w:gutter="0"/>
          <w:cols w:space="720"/>
        </w:sectPr>
      </w:pPr>
    </w:p>
    <w:p w14:paraId="48032E62" w14:textId="76A14F57" w:rsidR="001248F7" w:rsidRDefault="003518BE" w:rsidP="00D80693">
      <w:pPr>
        <w:pStyle w:val="Titre1"/>
        <w:spacing w:before="240"/>
        <w:ind w:left="164"/>
        <w:contextualSpacing/>
        <w:rPr>
          <w:i/>
          <w:iCs/>
          <w:spacing w:val="-2"/>
        </w:rPr>
      </w:pPr>
      <w:bookmarkStart w:id="0" w:name="_bookmark0"/>
      <w:bookmarkStart w:id="1" w:name="_Toc219272549"/>
      <w:bookmarkEnd w:id="0"/>
      <w:r w:rsidRPr="00225AD7">
        <w:rPr>
          <w:i/>
          <w:iCs/>
          <w:spacing w:val="-2"/>
        </w:rPr>
        <w:t>E</w:t>
      </w:r>
      <w:r w:rsidR="00225AD7" w:rsidRPr="00225AD7">
        <w:rPr>
          <w:i/>
          <w:iCs/>
          <w:spacing w:val="-2"/>
        </w:rPr>
        <w:t>ditorial</w:t>
      </w:r>
      <w:bookmarkEnd w:id="1"/>
    </w:p>
    <w:p w14:paraId="7730DF3E" w14:textId="30080EAD" w:rsidR="00D80693" w:rsidRDefault="00D80693" w:rsidP="00D80693">
      <w:pPr>
        <w:pStyle w:val="Titre1"/>
        <w:spacing w:before="240"/>
        <w:ind w:left="164"/>
        <w:contextualSpacing/>
        <w:rPr>
          <w:i/>
          <w:iCs/>
          <w:spacing w:val="-2"/>
        </w:rPr>
      </w:pPr>
      <w:bookmarkStart w:id="2" w:name="_Toc219272550"/>
      <w:r w:rsidRPr="00D80693">
        <w:rPr>
          <w:i/>
          <w:iCs/>
          <w:spacing w:val="-2"/>
        </w:rPr>
        <w:t>Amadou Yoro NIANG</w:t>
      </w:r>
      <w:r>
        <w:rPr>
          <w:rStyle w:val="Appelnotedebasdep"/>
          <w:i/>
          <w:iCs/>
          <w:spacing w:val="-2"/>
        </w:rPr>
        <w:footnoteReference w:id="1"/>
      </w:r>
      <w:bookmarkEnd w:id="2"/>
    </w:p>
    <w:p w14:paraId="1CBB6907" w14:textId="77777777" w:rsidR="00D80693" w:rsidRPr="00172CF2" w:rsidRDefault="00D80693" w:rsidP="00FA6918">
      <w:pPr>
        <w:spacing w:before="120"/>
        <w:jc w:val="both"/>
        <w:rPr>
          <w:sz w:val="24"/>
          <w:szCs w:val="24"/>
          <w:lang w:eastAsia="fr-FR"/>
        </w:rPr>
      </w:pPr>
      <w:bookmarkStart w:id="3" w:name="_bookmark1"/>
      <w:bookmarkEnd w:id="3"/>
      <w:r w:rsidRPr="00172CF2">
        <w:rPr>
          <w:sz w:val="24"/>
          <w:szCs w:val="24"/>
          <w:lang w:eastAsia="fr-FR"/>
        </w:rPr>
        <w:t xml:space="preserve">Le numéro 7 de la </w:t>
      </w:r>
      <w:r w:rsidRPr="00172CF2">
        <w:rPr>
          <w:i/>
          <w:iCs/>
          <w:sz w:val="24"/>
          <w:szCs w:val="24"/>
          <w:lang w:eastAsia="fr-FR"/>
        </w:rPr>
        <w:t>Revue Africaine des Sciences de l’Éducation et de la Formation (RASEF)</w:t>
      </w:r>
      <w:r w:rsidRPr="00172CF2">
        <w:rPr>
          <w:sz w:val="24"/>
          <w:szCs w:val="24"/>
          <w:lang w:eastAsia="fr-FR"/>
        </w:rPr>
        <w:t xml:space="preserve"> s’inscrit dans une dynamique scientifique particulièrement riche, témoignant de la vitalité de la recherche en sciences de l’éducation en Afrique. Les vingt-</w:t>
      </w:r>
      <w:r>
        <w:rPr>
          <w:sz w:val="24"/>
          <w:szCs w:val="24"/>
          <w:lang w:eastAsia="fr-FR"/>
        </w:rPr>
        <w:t>huit</w:t>
      </w:r>
      <w:r w:rsidRPr="00172CF2">
        <w:rPr>
          <w:sz w:val="24"/>
          <w:szCs w:val="24"/>
          <w:lang w:eastAsia="fr-FR"/>
        </w:rPr>
        <w:t xml:space="preserve"> contributions réunies dans ce numéro, portées par des chercheurs issus de divers pays africains (Mali, Burkina Faso, Niger, Sénégal, Cameroun, Côte d’Ivoire, Gabon, Tchad, Congo, Angola), offrent une lecture plurielle et approfondie des défis, mutations et perspectives des systèmes éducatifs africains contemporains.</w:t>
      </w:r>
    </w:p>
    <w:p w14:paraId="5CB8E3E5" w14:textId="77777777" w:rsidR="00D80693" w:rsidRPr="00172CF2" w:rsidRDefault="00D80693" w:rsidP="00FA6918">
      <w:pPr>
        <w:spacing w:before="120"/>
        <w:jc w:val="both"/>
        <w:rPr>
          <w:sz w:val="24"/>
          <w:szCs w:val="24"/>
          <w:lang w:eastAsia="fr-FR"/>
        </w:rPr>
      </w:pPr>
      <w:r w:rsidRPr="00172CF2">
        <w:rPr>
          <w:sz w:val="24"/>
          <w:szCs w:val="24"/>
          <w:lang w:eastAsia="fr-FR"/>
        </w:rPr>
        <w:t xml:space="preserve">Plusieurs articles mettent en lumière les pratiques pédagogiques et les conditions d’enseignement dans les disciplines scolaires. Ainsi, Dr Yaya Traoré, Mahamadou Lamine Diakité et Dr Abdramane Koné analysent les perceptions et pratiques des enseignants de mathématiques dans les lycées publics de Bamako, soulignant le rôle déterminant des matériels didactiques dans l’efficacité de l’enseignement-apprentissage. </w:t>
      </w:r>
      <w:proofErr w:type="spellStart"/>
      <w:r w:rsidRPr="00172CF2">
        <w:rPr>
          <w:sz w:val="24"/>
          <w:szCs w:val="24"/>
          <w:lang w:eastAsia="fr-FR"/>
        </w:rPr>
        <w:t>Moussavou</w:t>
      </w:r>
      <w:proofErr w:type="spellEnd"/>
      <w:r w:rsidRPr="00172CF2">
        <w:rPr>
          <w:sz w:val="24"/>
          <w:szCs w:val="24"/>
          <w:lang w:eastAsia="fr-FR"/>
        </w:rPr>
        <w:t xml:space="preserve"> Raymonde interroge la contextualisation de l’enseignement des SVT au Gabon comme exigence didactique encore insuffisamment institutionnalisée. Les travaux de </w:t>
      </w:r>
      <w:proofErr w:type="spellStart"/>
      <w:r w:rsidRPr="00172CF2">
        <w:rPr>
          <w:sz w:val="24"/>
          <w:szCs w:val="24"/>
          <w:lang w:eastAsia="fr-FR"/>
        </w:rPr>
        <w:t>Fuakadio</w:t>
      </w:r>
      <w:proofErr w:type="spellEnd"/>
      <w:r w:rsidRPr="00172CF2">
        <w:rPr>
          <w:sz w:val="24"/>
          <w:szCs w:val="24"/>
          <w:lang w:eastAsia="fr-FR"/>
        </w:rPr>
        <w:t xml:space="preserve"> Lumingu, consacrés aux techniques de questionnement en Français Langue Étrangère chez les apprenants angolais, et ceux de </w:t>
      </w:r>
      <w:proofErr w:type="spellStart"/>
      <w:r w:rsidRPr="00172CF2">
        <w:rPr>
          <w:sz w:val="24"/>
          <w:szCs w:val="24"/>
          <w:lang w:eastAsia="fr-FR"/>
        </w:rPr>
        <w:t>Wagni</w:t>
      </w:r>
      <w:proofErr w:type="spellEnd"/>
      <w:r w:rsidRPr="00172CF2">
        <w:rPr>
          <w:sz w:val="24"/>
          <w:szCs w:val="24"/>
          <w:lang w:eastAsia="fr-FR"/>
        </w:rPr>
        <w:t xml:space="preserve"> Pierre Bény, </w:t>
      </w:r>
      <w:proofErr w:type="spellStart"/>
      <w:r w:rsidRPr="00172CF2">
        <w:rPr>
          <w:sz w:val="24"/>
          <w:szCs w:val="24"/>
          <w:lang w:eastAsia="fr-FR"/>
        </w:rPr>
        <w:t>Chirouter</w:t>
      </w:r>
      <w:proofErr w:type="spellEnd"/>
      <w:r w:rsidRPr="00172CF2">
        <w:rPr>
          <w:sz w:val="24"/>
          <w:szCs w:val="24"/>
          <w:lang w:eastAsia="fr-FR"/>
        </w:rPr>
        <w:t xml:space="preserve"> Edwige et Nkeck Bidias Renée sur l’initiation à la philosophie dès l’enfance au Cameroun, illustrent également la nécessité de renouveler les approches didactiques pour favoriser la pensée réflexive et la compétence communicative.</w:t>
      </w:r>
    </w:p>
    <w:p w14:paraId="3C0BA46E" w14:textId="77777777" w:rsidR="00D80693" w:rsidRPr="00172CF2" w:rsidRDefault="00D80693" w:rsidP="00FA6918">
      <w:pPr>
        <w:spacing w:before="120"/>
        <w:jc w:val="both"/>
        <w:rPr>
          <w:sz w:val="24"/>
          <w:szCs w:val="24"/>
          <w:lang w:eastAsia="fr-FR"/>
        </w:rPr>
      </w:pPr>
      <w:r w:rsidRPr="00172CF2">
        <w:rPr>
          <w:sz w:val="24"/>
          <w:szCs w:val="24"/>
          <w:lang w:eastAsia="fr-FR"/>
        </w:rPr>
        <w:t xml:space="preserve">Les enjeux de la formation des enseignants et de l’encadrement académique occupent une place centrale dans ce numéro. Kone Salifou met en évidence les limites institutionnelles et relationnelles de l’encadrement des mémoires de Master dans les universités maliennes, tandis que </w:t>
      </w:r>
      <w:proofErr w:type="spellStart"/>
      <w:r w:rsidRPr="00172CF2">
        <w:rPr>
          <w:sz w:val="24"/>
          <w:szCs w:val="24"/>
          <w:lang w:eastAsia="fr-FR"/>
        </w:rPr>
        <w:t>Natié</w:t>
      </w:r>
      <w:proofErr w:type="spellEnd"/>
      <w:r w:rsidRPr="00172CF2">
        <w:rPr>
          <w:sz w:val="24"/>
          <w:szCs w:val="24"/>
          <w:lang w:eastAsia="fr-FR"/>
        </w:rPr>
        <w:t xml:space="preserve"> Coulibaly, Dr Ibrahima Traoré et Yacouba </w:t>
      </w:r>
      <w:proofErr w:type="spellStart"/>
      <w:r w:rsidRPr="00172CF2">
        <w:rPr>
          <w:sz w:val="24"/>
          <w:szCs w:val="24"/>
          <w:lang w:eastAsia="fr-FR"/>
        </w:rPr>
        <w:t>Lougué</w:t>
      </w:r>
      <w:proofErr w:type="spellEnd"/>
      <w:r w:rsidRPr="00172CF2">
        <w:rPr>
          <w:sz w:val="24"/>
          <w:szCs w:val="24"/>
          <w:lang w:eastAsia="fr-FR"/>
        </w:rPr>
        <w:t xml:space="preserve"> évaluent l’impact d’une formation courte en didactique des disciplines sur les pratiques pédagogiques des enseignants au Mali. Dans le même ordre d’idées, </w:t>
      </w:r>
      <w:proofErr w:type="spellStart"/>
      <w:r w:rsidRPr="00172CF2">
        <w:rPr>
          <w:sz w:val="24"/>
          <w:szCs w:val="24"/>
          <w:lang w:eastAsia="fr-FR"/>
        </w:rPr>
        <w:t>Tiendrebeogo</w:t>
      </w:r>
      <w:proofErr w:type="spellEnd"/>
      <w:r w:rsidRPr="00172CF2">
        <w:rPr>
          <w:sz w:val="24"/>
          <w:szCs w:val="24"/>
          <w:lang w:eastAsia="fr-FR"/>
        </w:rPr>
        <w:t xml:space="preserve"> François analyse les contraintes psychosociales de l’encadrement pédagogique dans les établissements post-primaire et secondaire du Burkina Faso, révélant leur influence négative sur la qualité de l’accompagnement des enseignants.</w:t>
      </w:r>
    </w:p>
    <w:p w14:paraId="25AFDA71" w14:textId="77777777" w:rsidR="00D80693" w:rsidRPr="00172CF2" w:rsidRDefault="00D80693" w:rsidP="00FA6918">
      <w:pPr>
        <w:spacing w:before="120"/>
        <w:jc w:val="both"/>
        <w:rPr>
          <w:sz w:val="24"/>
          <w:szCs w:val="24"/>
          <w:lang w:eastAsia="fr-FR"/>
        </w:rPr>
      </w:pPr>
      <w:r w:rsidRPr="00172CF2">
        <w:rPr>
          <w:sz w:val="24"/>
          <w:szCs w:val="24"/>
          <w:lang w:eastAsia="fr-FR"/>
        </w:rPr>
        <w:t>D’autres contributions s’intéressent aux dimensions psychosociales, motivationnelles et comportementales des acteurs de l’éducation</w:t>
      </w:r>
      <w:r>
        <w:rPr>
          <w:sz w:val="24"/>
          <w:szCs w:val="24"/>
          <w:lang w:eastAsia="fr-FR"/>
        </w:rPr>
        <w:t xml:space="preserve"> mais aussi des technologies numériques</w:t>
      </w:r>
      <w:r w:rsidRPr="00172CF2">
        <w:rPr>
          <w:sz w:val="24"/>
          <w:szCs w:val="24"/>
          <w:lang w:eastAsia="fr-FR"/>
        </w:rPr>
        <w:t>. Les travaux de Konan Léon Kouamé, Kouakou Bruno Kanga et Hassan Guy Roger Tieffi mettent en évidence la détresse psychologique des instituteurs à Abidjan, en lien avec le type d’établissement et les conditions socio-économiques. Paul Blanchard Aké et Kouakou Bruno Kanga montrent, quant à eux, que la motivation intrinsèque constitue un facteur clé de la performance académique des étudiants en architecture. Les études de Koffi N’Guessan Williams, N’</w:t>
      </w:r>
      <w:proofErr w:type="spellStart"/>
      <w:r w:rsidRPr="00172CF2">
        <w:rPr>
          <w:sz w:val="24"/>
          <w:szCs w:val="24"/>
          <w:lang w:eastAsia="fr-FR"/>
        </w:rPr>
        <w:t>Diamoi</w:t>
      </w:r>
      <w:proofErr w:type="spellEnd"/>
      <w:r w:rsidRPr="00172CF2">
        <w:rPr>
          <w:sz w:val="24"/>
          <w:szCs w:val="24"/>
          <w:lang w:eastAsia="fr-FR"/>
        </w:rPr>
        <w:t xml:space="preserve"> Tanoh épouse Kouamé et Koffi Aya Michèle Edith sur la fraude scolaire à Abidjan, ainsi que celles de Kuete Mouafo Vanessa et ses collègues sur la consommation de substances psychoactives chez les élèves de Garoua, rappellent l’influence déterminante du milieu familial, social et relationnel sur les comportements scolaires.</w:t>
      </w:r>
      <w:r>
        <w:rPr>
          <w:sz w:val="24"/>
          <w:szCs w:val="24"/>
          <w:lang w:eastAsia="fr-FR"/>
        </w:rPr>
        <w:t xml:space="preserve"> La contribution de </w:t>
      </w:r>
      <w:r w:rsidRPr="00A14797">
        <w:rPr>
          <w:sz w:val="24"/>
          <w:szCs w:val="24"/>
          <w:lang w:eastAsia="fr-FR"/>
        </w:rPr>
        <w:t>CONGO Aoua Carole</w:t>
      </w:r>
      <w:r>
        <w:rPr>
          <w:sz w:val="24"/>
          <w:szCs w:val="24"/>
          <w:lang w:eastAsia="fr-FR"/>
        </w:rPr>
        <w:t xml:space="preserve"> examine les défis de </w:t>
      </w:r>
      <w:r w:rsidRPr="00A14797">
        <w:rPr>
          <w:sz w:val="24"/>
          <w:szCs w:val="24"/>
          <w:lang w:eastAsia="fr-FR"/>
        </w:rPr>
        <w:t>la problématique de l’adoption d’outils d’enseignements et d’apprentissages numériques</w:t>
      </w:r>
      <w:r>
        <w:rPr>
          <w:sz w:val="24"/>
          <w:szCs w:val="24"/>
          <w:lang w:eastAsia="fr-FR"/>
        </w:rPr>
        <w:t xml:space="preserve"> dans le système éducatif burkinabè</w:t>
      </w:r>
      <w:r w:rsidRPr="00A14797">
        <w:rPr>
          <w:sz w:val="24"/>
          <w:szCs w:val="24"/>
          <w:lang w:eastAsia="fr-FR"/>
        </w:rPr>
        <w:t>.</w:t>
      </w:r>
    </w:p>
    <w:p w14:paraId="665BE9A7" w14:textId="77777777" w:rsidR="00D80693" w:rsidRPr="00172CF2" w:rsidRDefault="00D80693" w:rsidP="00FA6918">
      <w:pPr>
        <w:spacing w:before="120"/>
        <w:jc w:val="both"/>
        <w:rPr>
          <w:sz w:val="24"/>
          <w:szCs w:val="24"/>
          <w:lang w:eastAsia="fr-FR"/>
        </w:rPr>
      </w:pPr>
      <w:r w:rsidRPr="00172CF2">
        <w:rPr>
          <w:sz w:val="24"/>
          <w:szCs w:val="24"/>
          <w:lang w:eastAsia="fr-FR"/>
        </w:rPr>
        <w:t xml:space="preserve">Le numéro aborde également des problématiques structurelles et systémiques majeures. Yacouba Augustin Savadogo, Bernadin P. Ouédraogo et François Sawadogo interrogent la pertinence du modèle </w:t>
      </w:r>
      <w:proofErr w:type="spellStart"/>
      <w:r w:rsidRPr="00172CF2">
        <w:rPr>
          <w:sz w:val="24"/>
          <w:szCs w:val="24"/>
          <w:lang w:eastAsia="fr-FR"/>
        </w:rPr>
        <w:t>SimuED</w:t>
      </w:r>
      <w:proofErr w:type="spellEnd"/>
      <w:r w:rsidRPr="00172CF2">
        <w:rPr>
          <w:sz w:val="24"/>
          <w:szCs w:val="24"/>
          <w:lang w:eastAsia="fr-FR"/>
        </w:rPr>
        <w:t xml:space="preserve"> pour la planification de l’éducation au Burkina Faso, notamment dans le secteur de l’EFTP. Les questions d’inclusion, de justice et de développement durable sont également au cœur de ce numéro. Bah </w:t>
      </w:r>
      <w:proofErr w:type="spellStart"/>
      <w:r w:rsidRPr="00172CF2">
        <w:rPr>
          <w:sz w:val="24"/>
          <w:szCs w:val="24"/>
          <w:lang w:eastAsia="fr-FR"/>
        </w:rPr>
        <w:t>Nomansou</w:t>
      </w:r>
      <w:proofErr w:type="spellEnd"/>
      <w:r w:rsidRPr="00172CF2">
        <w:rPr>
          <w:sz w:val="24"/>
          <w:szCs w:val="24"/>
          <w:lang w:eastAsia="fr-FR"/>
        </w:rPr>
        <w:t xml:space="preserve"> Serge et Gboko Kobena Séverin proposent une analyse théorique approfondie du concept d’éducation inclusive, en soulignant ses perspectives et ses limites. </w:t>
      </w:r>
      <w:proofErr w:type="spellStart"/>
      <w:r w:rsidRPr="00172CF2">
        <w:rPr>
          <w:sz w:val="24"/>
          <w:szCs w:val="24"/>
          <w:lang w:eastAsia="fr-FR"/>
        </w:rPr>
        <w:t>Bakingu</w:t>
      </w:r>
      <w:proofErr w:type="spellEnd"/>
      <w:r w:rsidRPr="00172CF2">
        <w:rPr>
          <w:sz w:val="24"/>
          <w:szCs w:val="24"/>
          <w:lang w:eastAsia="fr-FR"/>
        </w:rPr>
        <w:t xml:space="preserve"> Bakibangou Yvette et Ndongo Nathalie explorent les attitudes des enseignants d’EPS face à l’auto-exclusion des élèves des Églises de réveil au Congo. Mireille Michée Mveme Olougou met en évidence le rôle de la justice procédurale, de la déviance constructive et du leadership éthique comme leviers de transformation du système éducatif camerounais. Enfin, </w:t>
      </w:r>
      <w:proofErr w:type="spellStart"/>
      <w:r w:rsidRPr="00172CF2">
        <w:rPr>
          <w:sz w:val="24"/>
          <w:szCs w:val="24"/>
          <w:lang w:eastAsia="fr-FR"/>
        </w:rPr>
        <w:t>Bingana</w:t>
      </w:r>
      <w:proofErr w:type="spellEnd"/>
      <w:r w:rsidRPr="00172CF2">
        <w:rPr>
          <w:sz w:val="24"/>
          <w:szCs w:val="24"/>
          <w:lang w:eastAsia="fr-FR"/>
        </w:rPr>
        <w:t xml:space="preserve"> Manga Barnabé Bertrand analyse la professionnalisation de l’enseignement supérieur comme moteur stratégique du développement durable des collectivités territoriales décentralisées.</w:t>
      </w:r>
    </w:p>
    <w:p w14:paraId="6F1FAC3E" w14:textId="77777777" w:rsidR="00D80693" w:rsidRPr="00172CF2" w:rsidRDefault="00D80693" w:rsidP="00FA6918">
      <w:pPr>
        <w:spacing w:before="120"/>
        <w:jc w:val="both"/>
        <w:rPr>
          <w:sz w:val="24"/>
          <w:szCs w:val="24"/>
          <w:lang w:eastAsia="fr-FR"/>
        </w:rPr>
      </w:pPr>
      <w:r w:rsidRPr="00172CF2">
        <w:rPr>
          <w:sz w:val="24"/>
          <w:szCs w:val="24"/>
          <w:lang w:eastAsia="fr-FR"/>
        </w:rPr>
        <w:t>En définitive, ce numéro 7 de la RASEF, par la diversité des thématiques abordées et la rigueur scientifique des contributions de l’ensemble des auteurs, constitue une référence majeure pour la compréhension des dynamiques éducatives africaines contemporaines. Il invite chercheurs, praticiens et décideurs à renforcer le dialogue entre recherche et action, afin de construire des systèmes éducatifs plus équitables, inclusifs et adaptés aux réalités locales.</w:t>
      </w:r>
    </w:p>
    <w:p w14:paraId="21923368" w14:textId="55F21F05" w:rsidR="00D80693" w:rsidRDefault="00D80693" w:rsidP="00FA6918">
      <w:pPr>
        <w:spacing w:before="120"/>
        <w:jc w:val="both"/>
        <w:rPr>
          <w:b/>
          <w:sz w:val="28"/>
          <w:szCs w:val="28"/>
          <w:lang w:val="fr-ML"/>
        </w:rPr>
      </w:pPr>
      <w:r w:rsidRPr="00172CF2">
        <w:rPr>
          <w:sz w:val="24"/>
          <w:szCs w:val="24"/>
          <w:lang w:eastAsia="fr-FR"/>
        </w:rPr>
        <w:t xml:space="preserve">Le comité éditorial adresse ses sincères remerciements à tous les auteurs pour la qualité de leurs travaux, ainsi qu’aux évaluateurs pour leur engagement scientifique, contribuant ainsi au rayonnement et à la crédibilité de la </w:t>
      </w:r>
      <w:r w:rsidRPr="00172CF2">
        <w:rPr>
          <w:i/>
          <w:iCs/>
          <w:sz w:val="24"/>
          <w:szCs w:val="24"/>
          <w:lang w:eastAsia="fr-FR"/>
        </w:rPr>
        <w:t>Revue Africaine des Sciences de l’Éducation et de la Formation</w:t>
      </w:r>
      <w:r w:rsidRPr="00172CF2">
        <w:rPr>
          <w:sz w:val="24"/>
          <w:szCs w:val="24"/>
          <w:lang w:eastAsia="fr-FR"/>
        </w:rPr>
        <w:t>.</w:t>
      </w:r>
    </w:p>
    <w:p w14:paraId="449CE6EC" w14:textId="77777777" w:rsidR="00D80693" w:rsidRDefault="00D80693" w:rsidP="00FA6918">
      <w:pPr>
        <w:spacing w:before="120"/>
        <w:jc w:val="center"/>
        <w:rPr>
          <w:b/>
          <w:sz w:val="40"/>
          <w:szCs w:val="28"/>
          <w:lang w:val="fr-ML"/>
        </w:rPr>
        <w:sectPr w:rsidR="00D80693" w:rsidSect="00D80693">
          <w:headerReference w:type="default" r:id="rId31"/>
          <w:footerReference w:type="default" r:id="rId32"/>
          <w:pgSz w:w="11906" w:h="16838"/>
          <w:pgMar w:top="1417" w:right="1417" w:bottom="1417" w:left="1417" w:header="708" w:footer="708" w:gutter="0"/>
          <w:cols w:space="708"/>
          <w:docGrid w:linePitch="360"/>
        </w:sectPr>
      </w:pPr>
    </w:p>
    <w:p w14:paraId="15CBCE96" w14:textId="77777777" w:rsidR="00D80693" w:rsidRDefault="00D80693" w:rsidP="00D80693">
      <w:pPr>
        <w:jc w:val="center"/>
        <w:rPr>
          <w:b/>
          <w:sz w:val="40"/>
          <w:szCs w:val="28"/>
          <w:lang w:val="fr-ML"/>
        </w:rPr>
      </w:pPr>
    </w:p>
    <w:p w14:paraId="76350D97" w14:textId="77777777" w:rsidR="00D80693" w:rsidRDefault="00D80693" w:rsidP="00D80693">
      <w:pPr>
        <w:jc w:val="center"/>
        <w:rPr>
          <w:b/>
          <w:sz w:val="40"/>
          <w:szCs w:val="28"/>
          <w:lang w:val="fr-ML"/>
        </w:rPr>
      </w:pPr>
    </w:p>
    <w:p w14:paraId="6C6097A1" w14:textId="77777777" w:rsidR="00D80693" w:rsidRDefault="00D80693" w:rsidP="00D80693">
      <w:pPr>
        <w:jc w:val="center"/>
        <w:rPr>
          <w:b/>
          <w:sz w:val="40"/>
          <w:szCs w:val="28"/>
          <w:lang w:val="fr-ML"/>
        </w:rPr>
      </w:pPr>
    </w:p>
    <w:p w14:paraId="05CA7FB2" w14:textId="77777777" w:rsidR="00D80693" w:rsidRDefault="00D80693" w:rsidP="00D80693">
      <w:pPr>
        <w:jc w:val="center"/>
        <w:rPr>
          <w:b/>
          <w:sz w:val="40"/>
          <w:szCs w:val="28"/>
          <w:lang w:val="fr-ML"/>
        </w:rPr>
      </w:pPr>
    </w:p>
    <w:p w14:paraId="1EA59F23" w14:textId="77777777" w:rsidR="00D80693" w:rsidRDefault="00D80693" w:rsidP="00D80693">
      <w:pPr>
        <w:jc w:val="center"/>
        <w:rPr>
          <w:b/>
          <w:sz w:val="40"/>
          <w:szCs w:val="28"/>
          <w:lang w:val="fr-ML"/>
        </w:rPr>
      </w:pPr>
    </w:p>
    <w:p w14:paraId="16D45238" w14:textId="77777777" w:rsidR="00D80693" w:rsidRDefault="00D80693" w:rsidP="00D80693">
      <w:pPr>
        <w:jc w:val="center"/>
        <w:rPr>
          <w:b/>
          <w:sz w:val="40"/>
          <w:szCs w:val="28"/>
          <w:lang w:val="fr-ML"/>
        </w:rPr>
      </w:pPr>
    </w:p>
    <w:p w14:paraId="6FFC55C2" w14:textId="77777777" w:rsidR="00D80693" w:rsidRDefault="00D80693" w:rsidP="00D80693">
      <w:pPr>
        <w:jc w:val="center"/>
        <w:rPr>
          <w:b/>
          <w:sz w:val="40"/>
          <w:szCs w:val="28"/>
          <w:lang w:val="fr-ML"/>
        </w:rPr>
      </w:pPr>
    </w:p>
    <w:p w14:paraId="59435FD1" w14:textId="77777777" w:rsidR="00D80693" w:rsidRDefault="00D80693" w:rsidP="00D80693">
      <w:pPr>
        <w:jc w:val="center"/>
        <w:rPr>
          <w:b/>
          <w:sz w:val="40"/>
          <w:szCs w:val="28"/>
          <w:lang w:val="fr-ML"/>
        </w:rPr>
      </w:pPr>
    </w:p>
    <w:p w14:paraId="4126D2C2" w14:textId="77777777" w:rsidR="00D80693" w:rsidRDefault="00D80693" w:rsidP="00D80693">
      <w:pPr>
        <w:jc w:val="center"/>
        <w:rPr>
          <w:b/>
          <w:sz w:val="40"/>
          <w:szCs w:val="28"/>
          <w:lang w:val="fr-ML"/>
        </w:rPr>
      </w:pPr>
    </w:p>
    <w:p w14:paraId="2F230725" w14:textId="77777777" w:rsidR="00D80693" w:rsidRDefault="00D80693" w:rsidP="00D80693">
      <w:pPr>
        <w:jc w:val="center"/>
        <w:rPr>
          <w:b/>
          <w:sz w:val="40"/>
          <w:szCs w:val="28"/>
          <w:lang w:val="fr-ML"/>
        </w:rPr>
      </w:pPr>
    </w:p>
    <w:p w14:paraId="415C03C1" w14:textId="77777777" w:rsidR="00D80693" w:rsidRDefault="00D80693" w:rsidP="00D80693">
      <w:pPr>
        <w:jc w:val="center"/>
        <w:rPr>
          <w:b/>
          <w:sz w:val="40"/>
          <w:szCs w:val="28"/>
          <w:lang w:val="fr-ML"/>
        </w:rPr>
      </w:pPr>
    </w:p>
    <w:p w14:paraId="00CAEDB5" w14:textId="21E46413" w:rsidR="00D80693" w:rsidRPr="0028601D" w:rsidRDefault="00E25DC6" w:rsidP="00C84751">
      <w:pPr>
        <w:pStyle w:val="Titre1"/>
        <w:shd w:val="clear" w:color="auto" w:fill="B8CCE4" w:themeFill="accent1" w:themeFillTint="66"/>
        <w:rPr>
          <w:rFonts w:eastAsia="Calibri"/>
          <w:bCs w:val="0"/>
          <w:sz w:val="44"/>
          <w:szCs w:val="44"/>
        </w:rPr>
      </w:pPr>
      <w:bookmarkStart w:id="4" w:name="_Toc219272551"/>
      <w:r w:rsidRPr="0028601D">
        <w:rPr>
          <w:rFonts w:eastAsia="Calibri"/>
          <w:bCs w:val="0"/>
          <w:sz w:val="44"/>
          <w:szCs w:val="44"/>
        </w:rPr>
        <w:t>P</w:t>
      </w:r>
      <w:r w:rsidR="00D80693" w:rsidRPr="0028601D">
        <w:rPr>
          <w:rFonts w:eastAsia="Calibri"/>
          <w:bCs w:val="0"/>
          <w:sz w:val="44"/>
          <w:szCs w:val="44"/>
        </w:rPr>
        <w:t>artie</w:t>
      </w:r>
      <w:r w:rsidRPr="0028601D">
        <w:rPr>
          <w:rFonts w:eastAsia="Calibri"/>
          <w:bCs w:val="0"/>
          <w:sz w:val="44"/>
          <w:szCs w:val="44"/>
        </w:rPr>
        <w:t xml:space="preserve"> 1</w:t>
      </w:r>
      <w:r w:rsidR="00D80693" w:rsidRPr="0028601D">
        <w:rPr>
          <w:rFonts w:eastAsia="Calibri"/>
          <w:bCs w:val="0"/>
          <w:sz w:val="44"/>
          <w:szCs w:val="44"/>
        </w:rPr>
        <w:t> : Pratiques et perceptions en enseignement-apprentissage</w:t>
      </w:r>
      <w:bookmarkEnd w:id="4"/>
    </w:p>
    <w:p w14:paraId="040DF2D4" w14:textId="77777777" w:rsidR="00D80693" w:rsidRDefault="00D80693" w:rsidP="00D80693">
      <w:pPr>
        <w:jc w:val="center"/>
        <w:rPr>
          <w:b/>
          <w:sz w:val="28"/>
          <w:szCs w:val="28"/>
          <w:lang w:val="fr-ML"/>
        </w:rPr>
      </w:pPr>
    </w:p>
    <w:p w14:paraId="262959BA" w14:textId="77777777" w:rsidR="00D80693" w:rsidRDefault="00D80693" w:rsidP="00D80693">
      <w:pPr>
        <w:jc w:val="center"/>
        <w:rPr>
          <w:b/>
          <w:sz w:val="28"/>
          <w:szCs w:val="28"/>
          <w:lang w:val="fr-ML"/>
        </w:rPr>
      </w:pPr>
    </w:p>
    <w:p w14:paraId="1B640813" w14:textId="77777777" w:rsidR="00D80693" w:rsidRDefault="00D80693" w:rsidP="00D80693">
      <w:pPr>
        <w:jc w:val="center"/>
        <w:rPr>
          <w:b/>
          <w:sz w:val="28"/>
          <w:szCs w:val="28"/>
          <w:lang w:val="fr-ML"/>
        </w:rPr>
      </w:pPr>
    </w:p>
    <w:p w14:paraId="679690BD" w14:textId="77777777" w:rsidR="00D80693" w:rsidRDefault="00D80693" w:rsidP="00D80693">
      <w:pPr>
        <w:jc w:val="center"/>
        <w:rPr>
          <w:b/>
          <w:sz w:val="28"/>
          <w:szCs w:val="28"/>
          <w:lang w:val="fr-ML"/>
        </w:rPr>
      </w:pPr>
    </w:p>
    <w:p w14:paraId="556FB8EB" w14:textId="77777777" w:rsidR="00D80693" w:rsidRDefault="00D80693" w:rsidP="00D80693">
      <w:pPr>
        <w:pStyle w:val="Titre1"/>
        <w:ind w:left="0"/>
        <w:jc w:val="left"/>
        <w:rPr>
          <w:i/>
          <w:iCs/>
          <w:lang w:val="fr-ML"/>
        </w:rPr>
        <w:sectPr w:rsidR="00D80693" w:rsidSect="00D80693">
          <w:headerReference w:type="default" r:id="rId33"/>
          <w:pgSz w:w="11906" w:h="16838"/>
          <w:pgMar w:top="1417" w:right="1417" w:bottom="1417" w:left="1417" w:header="708" w:footer="708" w:gutter="0"/>
          <w:cols w:space="708"/>
          <w:docGrid w:linePitch="360"/>
        </w:sectPr>
      </w:pPr>
    </w:p>
    <w:p w14:paraId="1092736D" w14:textId="77777777" w:rsidR="00D80693" w:rsidRPr="00D80693" w:rsidRDefault="00D80693" w:rsidP="00A2275C">
      <w:pPr>
        <w:pStyle w:val="Titre1"/>
        <w:spacing w:before="120"/>
        <w:ind w:left="0"/>
        <w:rPr>
          <w:b w:val="0"/>
          <w:i/>
          <w:iCs/>
          <w:lang w:val="fr-ML"/>
        </w:rPr>
      </w:pPr>
      <w:bookmarkStart w:id="5" w:name="_Toc219272552"/>
      <w:r w:rsidRPr="00D80693">
        <w:rPr>
          <w:i/>
          <w:iCs/>
          <w:lang w:val="fr-ML"/>
        </w:rPr>
        <w:t>Perceptions et pratique des enseignants de mathématiques : l’exemple de quelques lycées publics de Bamako</w:t>
      </w:r>
      <w:bookmarkEnd w:id="5"/>
    </w:p>
    <w:p w14:paraId="5D62E534" w14:textId="77777777" w:rsidR="00D80693" w:rsidRPr="00D80693" w:rsidRDefault="00D80693" w:rsidP="00A2275C">
      <w:pPr>
        <w:pStyle w:val="Titre1"/>
        <w:spacing w:before="120"/>
        <w:rPr>
          <w:bCs w:val="0"/>
          <w:lang w:val="fr-ML"/>
        </w:rPr>
      </w:pPr>
      <w:bookmarkStart w:id="6" w:name="_Toc219272553"/>
      <w:r w:rsidRPr="00D80693">
        <w:rPr>
          <w:bCs w:val="0"/>
          <w:lang w:val="fr-ML"/>
        </w:rPr>
        <w:t xml:space="preserve">Yaya TRAORE, Mahamadou Lamine DIAKITE, </w:t>
      </w:r>
      <w:proofErr w:type="spellStart"/>
      <w:r w:rsidRPr="00D80693">
        <w:rPr>
          <w:bCs w:val="0"/>
          <w:lang w:val="fr-ML"/>
        </w:rPr>
        <w:t>Abdramane</w:t>
      </w:r>
      <w:proofErr w:type="spellEnd"/>
      <w:r w:rsidRPr="00D80693">
        <w:rPr>
          <w:bCs w:val="0"/>
          <w:lang w:val="fr-ML"/>
        </w:rPr>
        <w:t xml:space="preserve"> KONE</w:t>
      </w:r>
      <w:bookmarkEnd w:id="6"/>
    </w:p>
    <w:p w14:paraId="35FFD61B" w14:textId="77777777" w:rsidR="00D80693" w:rsidRPr="00442D48" w:rsidRDefault="00D80693" w:rsidP="00D80693">
      <w:pPr>
        <w:rPr>
          <w:b/>
          <w:bCs/>
          <w:sz w:val="24"/>
          <w:szCs w:val="24"/>
        </w:rPr>
      </w:pPr>
    </w:p>
    <w:p w14:paraId="32C597F6" w14:textId="055EBFF3" w:rsidR="00D80693" w:rsidRPr="00D80693" w:rsidRDefault="00D80693" w:rsidP="00D80693">
      <w:pPr>
        <w:contextualSpacing/>
        <w:jc w:val="both"/>
        <w:rPr>
          <w:b/>
          <w:bCs/>
          <w:sz w:val="28"/>
          <w:szCs w:val="28"/>
          <w:lang w:val="fr-ML"/>
        </w:rPr>
      </w:pPr>
      <w:r w:rsidRPr="00D80693">
        <w:rPr>
          <w:b/>
          <w:bCs/>
          <w:sz w:val="28"/>
          <w:szCs w:val="28"/>
          <w:lang w:val="fr-ML"/>
        </w:rPr>
        <w:t>Résumé </w:t>
      </w:r>
    </w:p>
    <w:p w14:paraId="61637D26" w14:textId="77777777" w:rsidR="00D80693" w:rsidRDefault="00D80693" w:rsidP="00D80693">
      <w:pPr>
        <w:contextualSpacing/>
        <w:jc w:val="both"/>
        <w:rPr>
          <w:sz w:val="24"/>
          <w:szCs w:val="24"/>
          <w:lang w:val="fr-ML"/>
        </w:rPr>
      </w:pPr>
      <w:r w:rsidRPr="00D80693">
        <w:rPr>
          <w:sz w:val="24"/>
          <w:szCs w:val="24"/>
          <w:lang w:val="fr-ML"/>
        </w:rPr>
        <w:t xml:space="preserve">L’enseignement-apprentissage de mathématiques recouvre encore de difficultés au Mali. Dans l’enseignement secondaire, les professeurs de mathématiques prodiguent l’insuffisance de matériels didactiques. Aujourd’hui, le développement et la diffusion du savoir-faire dépendent plus que de l’intérêt de l’élève sur les mathématiques. Ils découlent plutôt du processus d’interaction de l’enseignant. Toutefois, cette capacité de transfert est possible lorsqu’elle prend appui sur des situations pratiques. C’est pourquoi, la responsabilité de l’apprentissage des mathématiques est liée à la maîtrise de l’enseignant ainsi qu’à la mobilisation des matériels pendant le cours. Et l’enseignement des mathématiques acquiesçant des insuffisances, n’épargne pas le résultat scolaire des élèves. Or, l’évolution technologique est énorme en mathématique. Et aux lycées publics, les enseignants doivent disposer d’un environnement pratique pour caractériser leur progression. Cette étude s’intéresse aux conditions d’apprentissage de mathématiques pour expliquer que la compréhension de cette discipline associe l’exploitation de la relation didactique entre </w:t>
      </w:r>
      <w:proofErr w:type="spellStart"/>
      <w:r w:rsidRPr="00D80693">
        <w:rPr>
          <w:sz w:val="24"/>
          <w:szCs w:val="24"/>
          <w:lang w:val="fr-ML"/>
        </w:rPr>
        <w:t>enseignant→matéreils←élèves</w:t>
      </w:r>
      <w:proofErr w:type="spellEnd"/>
      <w:r w:rsidRPr="00D80693">
        <w:rPr>
          <w:sz w:val="24"/>
          <w:szCs w:val="24"/>
          <w:lang w:val="fr-ML"/>
        </w:rPr>
        <w:t>. Pour ce faire, la technique d’échantillonnage aléatoire raisonné, nous a permis de produire par la méthode mixte. Un entretien direct auprès des censeurs de quelques lycées achève le questionnaire adressé aux professeurs de mathématiques. Il s’en suit que les matériels didactiques en mathématiques facilitent l’application de l’enseignant à réaliser un résultat efficace.</w:t>
      </w:r>
    </w:p>
    <w:p w14:paraId="1613DA49" w14:textId="77777777" w:rsidR="009237F6" w:rsidRPr="00D80693" w:rsidRDefault="009237F6" w:rsidP="00D80693">
      <w:pPr>
        <w:contextualSpacing/>
        <w:jc w:val="both"/>
        <w:rPr>
          <w:sz w:val="24"/>
          <w:szCs w:val="24"/>
          <w:lang w:val="fr-ML"/>
        </w:rPr>
      </w:pPr>
    </w:p>
    <w:p w14:paraId="40C51144" w14:textId="77777777" w:rsidR="00D80693" w:rsidRDefault="00D80693" w:rsidP="00D80693">
      <w:pPr>
        <w:contextualSpacing/>
        <w:jc w:val="both"/>
        <w:rPr>
          <w:sz w:val="24"/>
          <w:szCs w:val="24"/>
          <w:lang w:val="fr-ML"/>
        </w:rPr>
      </w:pPr>
      <w:r w:rsidRPr="00D80693">
        <w:rPr>
          <w:b/>
          <w:sz w:val="24"/>
          <w:szCs w:val="24"/>
          <w:lang w:val="fr-ML"/>
        </w:rPr>
        <w:t>Mots-clés :</w:t>
      </w:r>
      <w:r w:rsidRPr="00D80693">
        <w:rPr>
          <w:sz w:val="24"/>
          <w:szCs w:val="24"/>
          <w:lang w:val="fr-ML"/>
        </w:rPr>
        <w:t xml:space="preserve"> apprentissage, mathématiques, matériels, élèves, lycées publics. </w:t>
      </w:r>
    </w:p>
    <w:p w14:paraId="62900245" w14:textId="77777777" w:rsidR="009237F6" w:rsidRPr="00D80693" w:rsidRDefault="009237F6" w:rsidP="00D80693">
      <w:pPr>
        <w:contextualSpacing/>
        <w:jc w:val="both"/>
        <w:rPr>
          <w:sz w:val="24"/>
          <w:szCs w:val="24"/>
          <w:lang w:val="fr-ML"/>
        </w:rPr>
      </w:pPr>
    </w:p>
    <w:p w14:paraId="664375A8" w14:textId="77777777" w:rsidR="00D80693" w:rsidRPr="001928FA" w:rsidRDefault="00D80693" w:rsidP="00D80693">
      <w:pPr>
        <w:contextualSpacing/>
        <w:jc w:val="both"/>
        <w:rPr>
          <w:b/>
          <w:bCs/>
          <w:sz w:val="28"/>
          <w:szCs w:val="28"/>
          <w:lang w:val="en-US"/>
        </w:rPr>
      </w:pPr>
      <w:r w:rsidRPr="001928FA">
        <w:rPr>
          <w:b/>
          <w:bCs/>
          <w:sz w:val="28"/>
          <w:szCs w:val="28"/>
          <w:lang w:val="en-US"/>
        </w:rPr>
        <w:t>Abstract</w:t>
      </w:r>
    </w:p>
    <w:p w14:paraId="02AFCB5E" w14:textId="77777777" w:rsidR="00D80693" w:rsidRPr="001928FA" w:rsidRDefault="00D80693" w:rsidP="00D80693">
      <w:pPr>
        <w:contextualSpacing/>
        <w:jc w:val="both"/>
        <w:rPr>
          <w:sz w:val="24"/>
          <w:szCs w:val="24"/>
          <w:lang w:val="en-US"/>
        </w:rPr>
      </w:pPr>
      <w:r w:rsidRPr="00D80693">
        <w:rPr>
          <w:sz w:val="24"/>
          <w:szCs w:val="24"/>
          <w:lang w:val="en-US"/>
        </w:rPr>
        <w:t xml:space="preserve">The teaching and learning of mathematics still face difficulties in Mali. </w:t>
      </w:r>
      <w:r w:rsidRPr="001928FA">
        <w:rPr>
          <w:sz w:val="24"/>
          <w:szCs w:val="24"/>
          <w:lang w:val="en-US"/>
        </w:rPr>
        <w:t>In secondary education, mathematics teachers often provide insufficient teaching materials. Today, the development and dissemination of mathematical know-how depend more on the teacher’s interaction process than on the student’s interest. This transfer capacity becomes effective when it is rooted in practical situations. That is why the responsibility for learning mathematics is closely linked to the teacher’s mastery of the subject and the mobilization of appropriate materials during lessons. Despite the challenges encountered in mathematics teaching, these difficulties significantly affect student performance.</w:t>
      </w:r>
    </w:p>
    <w:p w14:paraId="4484B75D" w14:textId="77777777" w:rsidR="00D80693" w:rsidRPr="001928FA" w:rsidRDefault="00D80693" w:rsidP="00D80693">
      <w:pPr>
        <w:contextualSpacing/>
        <w:jc w:val="both"/>
        <w:rPr>
          <w:sz w:val="24"/>
          <w:szCs w:val="24"/>
          <w:lang w:val="en-US"/>
        </w:rPr>
      </w:pPr>
      <w:r w:rsidRPr="00D80693">
        <w:rPr>
          <w:sz w:val="24"/>
          <w:szCs w:val="24"/>
          <w:lang w:val="en-US"/>
        </w:rPr>
        <w:t xml:space="preserve">Moreover, technological advances in the field of mathematics are considerable. </w:t>
      </w:r>
      <w:r w:rsidRPr="001928FA">
        <w:rPr>
          <w:sz w:val="24"/>
          <w:szCs w:val="24"/>
          <w:lang w:val="en-US"/>
        </w:rPr>
        <w:t>In public secondary schools, teachers need a practical teaching environment to promote progress. This study explores the conditions necessary for effective mathematics learning, emphasizing the didactic relationship between teacher, materials, and students. To achieve this, the purposive random sampling technique was used, combining qualitative and quantitative methods. Direct interviews with school administrators and questionnaires sent to mathematics teachers contributed to the data collection. The use of teaching materials in mathematics plays a key role in enhancing teachers’ commitment to achieving effective learning outcomes.</w:t>
      </w:r>
    </w:p>
    <w:p w14:paraId="515C4D03" w14:textId="77777777" w:rsidR="009237F6" w:rsidRPr="001928FA" w:rsidRDefault="009237F6" w:rsidP="00D80693">
      <w:pPr>
        <w:contextualSpacing/>
        <w:jc w:val="both"/>
        <w:rPr>
          <w:sz w:val="24"/>
          <w:szCs w:val="24"/>
          <w:lang w:val="en-US"/>
        </w:rPr>
      </w:pPr>
    </w:p>
    <w:p w14:paraId="3EC23743" w14:textId="77777777" w:rsidR="00D80693" w:rsidRPr="009237F6" w:rsidRDefault="00D80693" w:rsidP="00D80693">
      <w:pPr>
        <w:contextualSpacing/>
        <w:jc w:val="both"/>
        <w:rPr>
          <w:b/>
          <w:bCs/>
          <w:sz w:val="24"/>
          <w:szCs w:val="24"/>
          <w:lang w:val="en-US"/>
        </w:rPr>
      </w:pPr>
      <w:r w:rsidRPr="009237F6">
        <w:rPr>
          <w:b/>
          <w:bCs/>
          <w:sz w:val="24"/>
          <w:szCs w:val="24"/>
          <w:lang w:val="en-US"/>
        </w:rPr>
        <w:t xml:space="preserve">Keywords: </w:t>
      </w:r>
      <w:r w:rsidRPr="009237F6">
        <w:rPr>
          <w:sz w:val="24"/>
          <w:szCs w:val="24"/>
          <w:lang w:val="en-US"/>
        </w:rPr>
        <w:t>learning – Mathematics – Materials – Students– Public Secondary Schools</w:t>
      </w:r>
    </w:p>
    <w:p w14:paraId="3BCEDB48" w14:textId="77777777" w:rsidR="00D80693" w:rsidRPr="009341C3" w:rsidRDefault="00D80693" w:rsidP="00D80693">
      <w:pPr>
        <w:spacing w:line="360" w:lineRule="auto"/>
        <w:jc w:val="both"/>
        <w:rPr>
          <w:sz w:val="24"/>
          <w:szCs w:val="24"/>
          <w:lang w:val="en-US"/>
        </w:rPr>
      </w:pPr>
    </w:p>
    <w:p w14:paraId="05C925EE" w14:textId="77777777" w:rsidR="009237F6" w:rsidRPr="001928FA" w:rsidRDefault="009237F6">
      <w:pPr>
        <w:rPr>
          <w:b/>
          <w:sz w:val="24"/>
          <w:szCs w:val="24"/>
          <w:lang w:val="en-US"/>
        </w:rPr>
      </w:pPr>
      <w:r w:rsidRPr="001928FA">
        <w:rPr>
          <w:b/>
          <w:sz w:val="24"/>
          <w:szCs w:val="24"/>
          <w:lang w:val="en-US"/>
        </w:rPr>
        <w:br w:type="page"/>
      </w:r>
    </w:p>
    <w:p w14:paraId="09BF401D" w14:textId="12A9D300" w:rsidR="00D80693" w:rsidRPr="009237F6" w:rsidRDefault="00D80693" w:rsidP="00D80693">
      <w:pPr>
        <w:spacing w:line="360" w:lineRule="auto"/>
        <w:jc w:val="both"/>
        <w:rPr>
          <w:b/>
          <w:sz w:val="28"/>
          <w:szCs w:val="28"/>
          <w:lang w:val="fr-ML"/>
        </w:rPr>
      </w:pPr>
      <w:r w:rsidRPr="009237F6">
        <w:rPr>
          <w:b/>
          <w:sz w:val="28"/>
          <w:szCs w:val="28"/>
          <w:lang w:val="fr-ML"/>
        </w:rPr>
        <w:t>Introduction </w:t>
      </w:r>
    </w:p>
    <w:p w14:paraId="090B3BAE" w14:textId="6483B614" w:rsidR="00D80693" w:rsidRDefault="00D80693" w:rsidP="00E25DC6">
      <w:pPr>
        <w:spacing w:before="120"/>
        <w:jc w:val="both"/>
        <w:rPr>
          <w:sz w:val="24"/>
          <w:szCs w:val="24"/>
          <w:lang w:val="fr-ML"/>
        </w:rPr>
      </w:pPr>
      <w:r w:rsidRPr="002F4691">
        <w:rPr>
          <w:sz w:val="24"/>
          <w:szCs w:val="24"/>
          <w:lang w:val="fr-ML"/>
        </w:rPr>
        <w:t xml:space="preserve">A l’ère de l’utilisation de l’approche par compétence, l’apprentissage de mathématiques mobilise une compétence technique </w:t>
      </w:r>
      <w:r w:rsidR="00E25DC6" w:rsidRPr="002F4691">
        <w:rPr>
          <w:sz w:val="24"/>
          <w:szCs w:val="24"/>
          <w:lang w:val="fr-ML"/>
        </w:rPr>
        <w:t>nécessaire</w:t>
      </w:r>
      <w:r w:rsidR="00E25DC6">
        <w:rPr>
          <w:sz w:val="24"/>
          <w:szCs w:val="24"/>
          <w:lang w:val="fr-ML"/>
        </w:rPr>
        <w:t>, précise</w:t>
      </w:r>
      <w:r>
        <w:rPr>
          <w:sz w:val="24"/>
          <w:szCs w:val="24"/>
          <w:lang w:val="fr-ML"/>
        </w:rPr>
        <w:t xml:space="preserve"> </w:t>
      </w:r>
      <w:r w:rsidR="00A474E8">
        <w:rPr>
          <w:sz w:val="24"/>
          <w:szCs w:val="24"/>
          <w:lang w:val="fr-ML"/>
        </w:rPr>
        <w:t>et rigoureuse</w:t>
      </w:r>
      <w:r>
        <w:rPr>
          <w:sz w:val="24"/>
          <w:szCs w:val="24"/>
          <w:lang w:val="fr-ML"/>
        </w:rPr>
        <w:t xml:space="preserve"> (Macaire, 1993, p.289)</w:t>
      </w:r>
      <w:r w:rsidRPr="002F4691">
        <w:rPr>
          <w:sz w:val="24"/>
          <w:szCs w:val="24"/>
          <w:lang w:val="fr-ML"/>
        </w:rPr>
        <w:t> :</w:t>
      </w:r>
      <w:r>
        <w:rPr>
          <w:sz w:val="24"/>
          <w:szCs w:val="24"/>
          <w:lang w:val="fr-ML"/>
        </w:rPr>
        <w:t xml:space="preserve"> unique parmi les fondamentaux </w:t>
      </w:r>
      <w:r w:rsidRPr="002F4691">
        <w:rPr>
          <w:sz w:val="24"/>
          <w:szCs w:val="24"/>
          <w:lang w:val="fr-ML"/>
        </w:rPr>
        <w:t>lect</w:t>
      </w:r>
      <w:r>
        <w:rPr>
          <w:sz w:val="24"/>
          <w:szCs w:val="24"/>
          <w:lang w:val="fr-ML"/>
        </w:rPr>
        <w:t>ure-écriture et mathématiques, d</w:t>
      </w:r>
      <w:r w:rsidRPr="002F4691">
        <w:rPr>
          <w:sz w:val="24"/>
          <w:szCs w:val="24"/>
          <w:lang w:val="fr-ML"/>
        </w:rPr>
        <w:t>on</w:t>
      </w:r>
      <w:r>
        <w:rPr>
          <w:sz w:val="24"/>
          <w:szCs w:val="24"/>
          <w:lang w:val="fr-ML"/>
        </w:rPr>
        <w:t>t le</w:t>
      </w:r>
      <w:r w:rsidRPr="002F4691">
        <w:rPr>
          <w:sz w:val="24"/>
          <w:szCs w:val="24"/>
          <w:lang w:val="fr-ML"/>
        </w:rPr>
        <w:t xml:space="preserve"> rendement scolaire dans l’enseignem</w:t>
      </w:r>
      <w:r>
        <w:rPr>
          <w:sz w:val="24"/>
          <w:szCs w:val="24"/>
          <w:lang w:val="fr-ML"/>
        </w:rPr>
        <w:t>ent secondaire résulte</w:t>
      </w:r>
      <w:r w:rsidRPr="002F4691">
        <w:rPr>
          <w:sz w:val="24"/>
          <w:szCs w:val="24"/>
          <w:lang w:val="fr-ML"/>
        </w:rPr>
        <w:t xml:space="preserve"> des </w:t>
      </w:r>
      <w:r>
        <w:rPr>
          <w:sz w:val="24"/>
          <w:szCs w:val="24"/>
          <w:lang w:val="fr-ML"/>
        </w:rPr>
        <w:t>conditions de</w:t>
      </w:r>
      <w:r w:rsidRPr="002F4691">
        <w:rPr>
          <w:sz w:val="24"/>
          <w:szCs w:val="24"/>
          <w:lang w:val="fr-ML"/>
        </w:rPr>
        <w:t xml:space="preserve"> la qualité rétroactive entre les professeurs et leurs élèves. Empiriquement, la qualité d’enseignement</w:t>
      </w:r>
      <w:r>
        <w:rPr>
          <w:sz w:val="24"/>
          <w:szCs w:val="24"/>
          <w:lang w:val="fr-ML"/>
        </w:rPr>
        <w:t>, c’est l’activité de l’enfant et les découvertes qui en résultent</w:t>
      </w:r>
      <w:r>
        <w:rPr>
          <w:rStyle w:val="Appelnotedebasdep"/>
          <w:sz w:val="24"/>
          <w:szCs w:val="24"/>
          <w:lang w:val="fr-ML"/>
        </w:rPr>
        <w:footnoteReference w:id="2"/>
      </w:r>
      <w:r>
        <w:rPr>
          <w:sz w:val="24"/>
          <w:szCs w:val="24"/>
          <w:lang w:val="fr-ML"/>
        </w:rPr>
        <w:t>,</w:t>
      </w:r>
      <w:r w:rsidRPr="002F4691">
        <w:rPr>
          <w:sz w:val="24"/>
          <w:szCs w:val="24"/>
          <w:lang w:val="fr-ML"/>
        </w:rPr>
        <w:t xml:space="preserve"> qu’aperçoive</w:t>
      </w:r>
      <w:r>
        <w:rPr>
          <w:sz w:val="24"/>
          <w:szCs w:val="24"/>
          <w:lang w:val="fr-ML"/>
        </w:rPr>
        <w:t>,</w:t>
      </w:r>
      <w:r w:rsidRPr="002F4691">
        <w:rPr>
          <w:sz w:val="24"/>
          <w:szCs w:val="24"/>
          <w:lang w:val="fr-ML"/>
        </w:rPr>
        <w:t xml:space="preserve"> met moins à profit les méthodes d’apprentissage que l’on souhaite savoir par les résultats des élèves à l’examen du Baccalauréat malien de l’académie rive gauche de Bamako. </w:t>
      </w:r>
    </w:p>
    <w:p w14:paraId="0EFD3CF5" w14:textId="61ABA0AD" w:rsidR="00D80693" w:rsidRPr="002F4691" w:rsidRDefault="00D80693" w:rsidP="00E25DC6">
      <w:pPr>
        <w:spacing w:before="120"/>
        <w:jc w:val="both"/>
        <w:rPr>
          <w:sz w:val="24"/>
          <w:szCs w:val="24"/>
          <w:lang w:val="fr-ML"/>
        </w:rPr>
      </w:pPr>
      <w:r w:rsidRPr="002F4691">
        <w:rPr>
          <w:sz w:val="24"/>
          <w:szCs w:val="24"/>
          <w:lang w:val="fr-ML"/>
        </w:rPr>
        <w:t xml:space="preserve">Cette </w:t>
      </w:r>
      <w:r>
        <w:rPr>
          <w:sz w:val="24"/>
          <w:szCs w:val="24"/>
          <w:lang w:val="fr-ML"/>
        </w:rPr>
        <w:t>régulation, dans une situation d’enseignement-apprentissage, évaluer est donc l’activité d’estimer l’ensemble des connaissances et compétences de l’élève construites ou en cours de construction (Talbot, L, al. 1993, p.70) </w:t>
      </w:r>
      <w:r w:rsidR="00A474E8">
        <w:rPr>
          <w:sz w:val="24"/>
          <w:szCs w:val="24"/>
          <w:lang w:val="fr-ML"/>
        </w:rPr>
        <w:t xml:space="preserve">; </w:t>
      </w:r>
      <w:r w:rsidR="00A474E8" w:rsidRPr="002F4691">
        <w:rPr>
          <w:sz w:val="24"/>
          <w:szCs w:val="24"/>
          <w:lang w:val="fr-ML"/>
        </w:rPr>
        <w:t>de</w:t>
      </w:r>
      <w:r w:rsidRPr="002F4691">
        <w:rPr>
          <w:sz w:val="24"/>
          <w:szCs w:val="24"/>
          <w:lang w:val="fr-ML"/>
        </w:rPr>
        <w:t xml:space="preserve"> résolution due à différents points recouvrant l’application stricte des palettes d’évaluation de l’enseignant sur les élèves, est essentiellement représentative à la question dont nous nous posons toutefois sur l’acte que l’imprègne dans le processus d’apprentissage en cours d’année.</w:t>
      </w:r>
      <w:r>
        <w:rPr>
          <w:sz w:val="24"/>
          <w:szCs w:val="24"/>
          <w:lang w:val="fr-ML"/>
        </w:rPr>
        <w:t xml:space="preserve"> L’activité évaluative fréquente du professeur est corrélée positivement à la réussite scolaire, notamment lorsqu’elle est associée à des « feed-back » et favorisant des régulations orales (idem, p.69).</w:t>
      </w:r>
    </w:p>
    <w:p w14:paraId="66F56766" w14:textId="54878120" w:rsidR="009237F6" w:rsidRDefault="00D80693" w:rsidP="00E25DC6">
      <w:pPr>
        <w:spacing w:before="120"/>
        <w:jc w:val="both"/>
        <w:rPr>
          <w:sz w:val="24"/>
          <w:szCs w:val="24"/>
          <w:lang w:val="fr-ML"/>
        </w:rPr>
      </w:pPr>
      <w:r w:rsidRPr="002F4691">
        <w:rPr>
          <w:sz w:val="24"/>
          <w:szCs w:val="24"/>
          <w:lang w:val="fr-ML"/>
        </w:rPr>
        <w:t xml:space="preserve">Il parait </w:t>
      </w:r>
      <w:r>
        <w:rPr>
          <w:sz w:val="24"/>
          <w:szCs w:val="24"/>
          <w:lang w:val="fr-ML"/>
        </w:rPr>
        <w:t>nécessaire</w:t>
      </w:r>
      <w:r w:rsidRPr="002F4691">
        <w:rPr>
          <w:sz w:val="24"/>
          <w:szCs w:val="24"/>
          <w:lang w:val="fr-ML"/>
        </w:rPr>
        <w:t xml:space="preserve"> de revoir le mécanisme de régulation des apprentissages en cours de l’évaluation dans les classes auprès des élèves car en pratique</w:t>
      </w:r>
      <w:r>
        <w:rPr>
          <w:sz w:val="24"/>
          <w:szCs w:val="24"/>
          <w:lang w:val="fr-ML"/>
        </w:rPr>
        <w:t>,</w:t>
      </w:r>
      <w:r w:rsidRPr="002F4691">
        <w:rPr>
          <w:sz w:val="24"/>
          <w:szCs w:val="24"/>
          <w:lang w:val="fr-ML"/>
        </w:rPr>
        <w:t xml:space="preserve"> la réussite méthodologique des apprentissages de l’enseignant est symétriquement liée à la jonction interactive des élèves.  C’est donc cette codétermination des activités qui est tenue en compte selon KIW</w:t>
      </w:r>
      <w:r>
        <w:rPr>
          <w:sz w:val="24"/>
          <w:szCs w:val="24"/>
          <w:lang w:val="fr-ML"/>
        </w:rPr>
        <w:t>AN-ZACKA Michella-RODITI ERIC (</w:t>
      </w:r>
      <w:r w:rsidRPr="002F4691">
        <w:rPr>
          <w:sz w:val="24"/>
          <w:szCs w:val="24"/>
          <w:lang w:val="fr-ML"/>
        </w:rPr>
        <w:t xml:space="preserve">ENF 2018-GT9) pour que les pratiques d’enseignement des mathématiques </w:t>
      </w:r>
      <w:r w:rsidR="00A474E8" w:rsidRPr="002F4691">
        <w:rPr>
          <w:sz w:val="24"/>
          <w:szCs w:val="24"/>
          <w:lang w:val="fr-ML"/>
        </w:rPr>
        <w:t>visent</w:t>
      </w:r>
      <w:r w:rsidRPr="002F4691">
        <w:rPr>
          <w:sz w:val="24"/>
          <w:szCs w:val="24"/>
          <w:lang w:val="fr-ML"/>
        </w:rPr>
        <w:t xml:space="preserve"> non seulement l</w:t>
      </w:r>
      <w:r>
        <w:rPr>
          <w:sz w:val="24"/>
          <w:szCs w:val="24"/>
          <w:lang w:val="fr-ML"/>
        </w:rPr>
        <w:t>’apprentissage de élèves</w:t>
      </w:r>
      <w:r w:rsidRPr="002F4691">
        <w:rPr>
          <w:sz w:val="24"/>
          <w:szCs w:val="24"/>
          <w:lang w:val="fr-ML"/>
        </w:rPr>
        <w:t>, mais aussi la réponse à diverses contraintes du métier</w:t>
      </w:r>
      <w:r>
        <w:rPr>
          <w:sz w:val="24"/>
          <w:szCs w:val="24"/>
          <w:lang w:val="fr-ML"/>
        </w:rPr>
        <w:t xml:space="preserve"> (ibidem, p.288)</w:t>
      </w:r>
      <w:r w:rsidRPr="002F4691">
        <w:rPr>
          <w:sz w:val="24"/>
          <w:szCs w:val="24"/>
          <w:lang w:val="fr-ML"/>
        </w:rPr>
        <w:t xml:space="preserve">. </w:t>
      </w:r>
    </w:p>
    <w:p w14:paraId="7FF8472B" w14:textId="4A2F33DE" w:rsidR="009237F6" w:rsidRPr="009237F6" w:rsidRDefault="009237F6" w:rsidP="00E25DC6">
      <w:pPr>
        <w:pStyle w:val="Paragraphedeliste"/>
        <w:numPr>
          <w:ilvl w:val="0"/>
          <w:numId w:val="216"/>
        </w:numPr>
        <w:rPr>
          <w:b/>
          <w:bCs/>
          <w:sz w:val="28"/>
          <w:szCs w:val="28"/>
          <w:lang w:val="fr-ML"/>
        </w:rPr>
      </w:pPr>
      <w:r w:rsidRPr="009237F6">
        <w:rPr>
          <w:b/>
          <w:bCs/>
          <w:sz w:val="28"/>
          <w:szCs w:val="28"/>
          <w:lang w:val="fr-ML"/>
        </w:rPr>
        <w:t xml:space="preserve">Constats préalables </w:t>
      </w:r>
    </w:p>
    <w:p w14:paraId="24184611" w14:textId="35B0B031" w:rsidR="00D80693" w:rsidRPr="002F4691" w:rsidRDefault="009237F6" w:rsidP="00E25DC6">
      <w:pPr>
        <w:spacing w:before="120"/>
        <w:jc w:val="both"/>
        <w:rPr>
          <w:sz w:val="24"/>
          <w:szCs w:val="24"/>
          <w:lang w:val="fr-ML"/>
        </w:rPr>
      </w:pPr>
      <w:r>
        <w:rPr>
          <w:sz w:val="24"/>
          <w:szCs w:val="24"/>
          <w:lang w:val="fr-ML"/>
        </w:rPr>
        <w:t xml:space="preserve">Le </w:t>
      </w:r>
      <w:r w:rsidRPr="002F4691">
        <w:rPr>
          <w:sz w:val="24"/>
          <w:szCs w:val="24"/>
          <w:lang w:val="fr-ML"/>
        </w:rPr>
        <w:t>principal</w:t>
      </w:r>
      <w:r w:rsidR="00D80693" w:rsidRPr="002F4691">
        <w:rPr>
          <w:sz w:val="24"/>
          <w:szCs w:val="24"/>
          <w:lang w:val="fr-ML"/>
        </w:rPr>
        <w:t xml:space="preserve"> point d’achoppement est que, dans la pratique des démarches et des besoins de niveau des performances des apprenants, des difficultés restent récurrentes dans la planification des activités d’évaluation en classe. L’élève est le premier destinataire de cette évaluation qui, conséquemment, doit l’impliquer activement par le moyen de démarches d’autoévaluation, de </w:t>
      </w:r>
      <w:r w:rsidRPr="002F4691">
        <w:rPr>
          <w:sz w:val="24"/>
          <w:szCs w:val="24"/>
          <w:lang w:val="fr-ML"/>
        </w:rPr>
        <w:t>jugemen</w:t>
      </w:r>
      <w:r>
        <w:rPr>
          <w:sz w:val="24"/>
          <w:szCs w:val="24"/>
          <w:lang w:val="fr-ML"/>
        </w:rPr>
        <w:t>t critique</w:t>
      </w:r>
      <w:r w:rsidR="00D80693">
        <w:rPr>
          <w:sz w:val="24"/>
          <w:szCs w:val="24"/>
          <w:lang w:val="fr-ML"/>
        </w:rPr>
        <w:t xml:space="preserve"> et d’autorégulation (Lopez, 2015, p.92).</w:t>
      </w:r>
      <w:r w:rsidR="00D80693" w:rsidRPr="002F4691">
        <w:rPr>
          <w:sz w:val="24"/>
          <w:szCs w:val="24"/>
          <w:lang w:val="fr-ML"/>
        </w:rPr>
        <w:t xml:space="preserve">  </w:t>
      </w:r>
    </w:p>
    <w:p w14:paraId="5244C374" w14:textId="77777777" w:rsidR="00D80693" w:rsidRPr="002F4691" w:rsidRDefault="00D80693" w:rsidP="00E25DC6">
      <w:pPr>
        <w:spacing w:before="120"/>
        <w:jc w:val="both"/>
        <w:rPr>
          <w:sz w:val="24"/>
          <w:szCs w:val="24"/>
          <w:lang w:val="fr-ML"/>
        </w:rPr>
      </w:pPr>
      <w:r w:rsidRPr="002F4691">
        <w:rPr>
          <w:sz w:val="24"/>
          <w:szCs w:val="24"/>
          <w:lang w:val="fr-ML"/>
        </w:rPr>
        <w:t xml:space="preserve">Paradoxalement, </w:t>
      </w:r>
      <w:r>
        <w:rPr>
          <w:sz w:val="24"/>
          <w:szCs w:val="24"/>
          <w:lang w:val="fr-ML"/>
        </w:rPr>
        <w:t>la faiblesse de ré</w:t>
      </w:r>
      <w:r w:rsidRPr="002F4691">
        <w:rPr>
          <w:sz w:val="24"/>
          <w:szCs w:val="24"/>
          <w:lang w:val="fr-ML"/>
        </w:rPr>
        <w:t>ussite des élèves doit faire valoir l’omniprésence dans l’accompagnement des élèves pour atteindre les objectifs pédagogiques fixés. Apprendre à résoudre des problèmes ne peut se réduire à l’acquisition d’un algorithme de résolution qui serait identiquement transférable à toute nouvelle situation, mais nécessite que l’élève mobilise une compréhension fine dans différents domaines : mathématique, langagier, logique, cognitif, social</w:t>
      </w:r>
      <w:r w:rsidRPr="002F4691">
        <w:rPr>
          <w:lang w:val="fr-ML"/>
        </w:rPr>
        <w:t>…</w:t>
      </w:r>
      <w:r>
        <w:rPr>
          <w:sz w:val="24"/>
          <w:szCs w:val="24"/>
          <w:lang w:val="fr-ML"/>
        </w:rPr>
        <w:t xml:space="preserve"> (</w:t>
      </w:r>
      <w:proofErr w:type="spellStart"/>
      <w:r>
        <w:rPr>
          <w:sz w:val="24"/>
          <w:szCs w:val="24"/>
          <w:lang w:val="fr-ML"/>
        </w:rPr>
        <w:t>Perraudeau</w:t>
      </w:r>
      <w:proofErr w:type="spellEnd"/>
      <w:r>
        <w:rPr>
          <w:sz w:val="24"/>
          <w:szCs w:val="24"/>
          <w:lang w:val="fr-ML"/>
        </w:rPr>
        <w:t>, 2014, p.15)</w:t>
      </w:r>
      <w:r>
        <w:rPr>
          <w:lang w:val="fr-ML"/>
        </w:rPr>
        <w:t xml:space="preserve">. </w:t>
      </w:r>
      <w:r w:rsidRPr="00082821">
        <w:rPr>
          <w:sz w:val="24"/>
          <w:szCs w:val="24"/>
          <w:lang w:val="fr-ML"/>
        </w:rPr>
        <w:t>L’apport des élèves ne saurait se réguler dans le processus d’apprentissage hors de références spécifique tenant lieu aux conditions didactique des enseignants de mathématiques. Ces remarques feront ressortir les points de divergences repérables aux niveaux d’échelles des activités scolaires et de laboratoire parce qu’il</w:t>
      </w:r>
      <w:r w:rsidRPr="00B770B3">
        <w:rPr>
          <w:sz w:val="24"/>
          <w:szCs w:val="24"/>
          <w:lang w:val="fr-ML"/>
        </w:rPr>
        <w:t xml:space="preserve"> ne suffit pas de mettre ensemble deux ou plusieurs élèves pour que le regroupement majore l’apprentissage. Il est nécessaire de réunir plusieurs conditions pour que le fonctionnement groupal profite tous</w:t>
      </w:r>
      <w:r>
        <w:rPr>
          <w:sz w:val="24"/>
          <w:szCs w:val="24"/>
          <w:lang w:val="fr-ML"/>
        </w:rPr>
        <w:t xml:space="preserve"> (</w:t>
      </w:r>
      <w:proofErr w:type="spellStart"/>
      <w:r>
        <w:rPr>
          <w:sz w:val="24"/>
          <w:szCs w:val="24"/>
          <w:lang w:val="fr-ML"/>
        </w:rPr>
        <w:t>Perraudeau</w:t>
      </w:r>
      <w:proofErr w:type="spellEnd"/>
      <w:r>
        <w:rPr>
          <w:sz w:val="24"/>
          <w:szCs w:val="24"/>
          <w:lang w:val="fr-ML"/>
        </w:rPr>
        <w:t>, Op.cit. p.21). </w:t>
      </w:r>
    </w:p>
    <w:p w14:paraId="330B2BB5" w14:textId="26E1CCE1" w:rsidR="00D80693" w:rsidRDefault="00D80693" w:rsidP="00E25DC6">
      <w:pPr>
        <w:spacing w:before="120"/>
        <w:jc w:val="both"/>
        <w:rPr>
          <w:sz w:val="24"/>
          <w:szCs w:val="24"/>
          <w:lang w:val="fr-ML"/>
        </w:rPr>
      </w:pPr>
      <w:r w:rsidRPr="002A6102">
        <w:rPr>
          <w:sz w:val="24"/>
          <w:szCs w:val="24"/>
          <w:lang w:val="fr-ML"/>
        </w:rPr>
        <w:t xml:space="preserve">Toutefois, les manières de percevoir les stratégies d’apprentissage des professeurs de mathématiques résument </w:t>
      </w:r>
      <w:r w:rsidR="00A474E8" w:rsidRPr="002A6102">
        <w:rPr>
          <w:sz w:val="24"/>
          <w:szCs w:val="24"/>
          <w:lang w:val="fr-ML"/>
        </w:rPr>
        <w:t>vers plus</w:t>
      </w:r>
      <w:r w:rsidRPr="002A6102">
        <w:rPr>
          <w:sz w:val="24"/>
          <w:szCs w:val="24"/>
          <w:lang w:val="fr-ML"/>
        </w:rPr>
        <w:t xml:space="preserve"> de discussions de performance </w:t>
      </w:r>
      <w:proofErr w:type="gramStart"/>
      <w:r w:rsidRPr="002A6102">
        <w:rPr>
          <w:sz w:val="24"/>
          <w:szCs w:val="24"/>
          <w:lang w:val="fr-ML"/>
        </w:rPr>
        <w:t>que  de</w:t>
      </w:r>
      <w:proofErr w:type="gramEnd"/>
      <w:r w:rsidRPr="002A6102">
        <w:rPr>
          <w:sz w:val="24"/>
          <w:szCs w:val="24"/>
          <w:lang w:val="fr-ML"/>
        </w:rPr>
        <w:t xml:space="preserve"> </w:t>
      </w:r>
      <w:r w:rsidR="00E03905" w:rsidRPr="002A6102">
        <w:rPr>
          <w:sz w:val="24"/>
          <w:szCs w:val="24"/>
          <w:lang w:val="fr-ML"/>
        </w:rPr>
        <w:t>clarté constante</w:t>
      </w:r>
      <w:r w:rsidRPr="002A6102">
        <w:rPr>
          <w:sz w:val="24"/>
          <w:szCs w:val="24"/>
          <w:lang w:val="fr-ML"/>
        </w:rPr>
        <w:t xml:space="preserve"> et d’utilisation harmonieuses. Comme le rappelle, Filippo et Caverly (1991) que les fondements de certaines conduites ou procédures enseignées à titre de stratégies d’apprentissage, ne semblent pas apporter des améliorations significatives sur le plan des résultats obtenus par les </w:t>
      </w:r>
      <w:r>
        <w:rPr>
          <w:sz w:val="24"/>
          <w:szCs w:val="24"/>
          <w:lang w:val="fr-ML"/>
        </w:rPr>
        <w:t>[élèves]</w:t>
      </w:r>
      <w:r w:rsidRPr="002A6102">
        <w:rPr>
          <w:sz w:val="24"/>
          <w:szCs w:val="24"/>
          <w:lang w:val="fr-ML"/>
        </w:rPr>
        <w:t xml:space="preserve"> qui devaient les acquérir et les utiliser</w:t>
      </w:r>
      <w:r>
        <w:rPr>
          <w:sz w:val="24"/>
          <w:szCs w:val="24"/>
          <w:lang w:val="fr-ML"/>
        </w:rPr>
        <w:t xml:space="preserve"> (Bégin, 2008, p.48)</w:t>
      </w:r>
      <w:r w:rsidRPr="002A6102">
        <w:rPr>
          <w:sz w:val="24"/>
          <w:szCs w:val="24"/>
          <w:lang w:val="fr-ML"/>
        </w:rPr>
        <w:t xml:space="preserve">. Ainsi, face à cette variété très complexe de l’objectivité de l’enseignement de mathématiques au lycée, les </w:t>
      </w:r>
      <w:r w:rsidR="00756378" w:rsidRPr="002A6102">
        <w:rPr>
          <w:sz w:val="24"/>
          <w:szCs w:val="24"/>
          <w:lang w:val="fr-ML"/>
        </w:rPr>
        <w:t>décideurs doivent</w:t>
      </w:r>
      <w:r w:rsidRPr="002A6102">
        <w:rPr>
          <w:sz w:val="24"/>
          <w:szCs w:val="24"/>
          <w:lang w:val="fr-ML"/>
        </w:rPr>
        <w:t xml:space="preserve"> mettre en œuvre, de même que dans le système éducatif </w:t>
      </w:r>
      <w:proofErr w:type="gramStart"/>
      <w:r w:rsidRPr="002A6102">
        <w:rPr>
          <w:sz w:val="24"/>
          <w:szCs w:val="24"/>
          <w:lang w:val="fr-ML"/>
        </w:rPr>
        <w:t>béninois,  la</w:t>
      </w:r>
      <w:proofErr w:type="gramEnd"/>
      <w:r w:rsidRPr="002A6102">
        <w:rPr>
          <w:sz w:val="24"/>
          <w:szCs w:val="24"/>
          <w:lang w:val="fr-ML"/>
        </w:rPr>
        <w:t xml:space="preserve"> formation en cours d’emploi pour résoudre l’épineux problème de formation professionnelle des nombreux enseignants non qualifiés du système</w:t>
      </w:r>
      <w:r>
        <w:rPr>
          <w:sz w:val="24"/>
          <w:szCs w:val="24"/>
          <w:lang w:val="fr-ML"/>
        </w:rPr>
        <w:t xml:space="preserve"> (</w:t>
      </w:r>
      <w:proofErr w:type="spellStart"/>
      <w:r>
        <w:rPr>
          <w:sz w:val="24"/>
          <w:szCs w:val="24"/>
          <w:lang w:val="fr-ML"/>
        </w:rPr>
        <w:t>Madoué</w:t>
      </w:r>
      <w:proofErr w:type="spellEnd"/>
      <w:r>
        <w:rPr>
          <w:sz w:val="24"/>
          <w:szCs w:val="24"/>
          <w:lang w:val="fr-ML"/>
        </w:rPr>
        <w:t>, 2012, p.38).</w:t>
      </w:r>
    </w:p>
    <w:p w14:paraId="4E988E2D" w14:textId="77777777" w:rsidR="00D80693" w:rsidRDefault="00D80693" w:rsidP="00E25DC6">
      <w:pPr>
        <w:spacing w:before="120"/>
        <w:jc w:val="both"/>
        <w:rPr>
          <w:sz w:val="24"/>
          <w:szCs w:val="24"/>
          <w:lang w:val="fr-ML"/>
        </w:rPr>
      </w:pPr>
      <w:r w:rsidRPr="00712AFD">
        <w:rPr>
          <w:sz w:val="24"/>
          <w:szCs w:val="24"/>
          <w:lang w:val="fr-ML"/>
        </w:rPr>
        <w:t>Bien sûr, lorsque des améliorations s’absentent dans l’accompagnement des élèves pour remédier aux méthodes d’apprentissage des professeurs de mathématiques, le résultat aux</w:t>
      </w:r>
      <w:r>
        <w:rPr>
          <w:sz w:val="24"/>
          <w:szCs w:val="24"/>
          <w:lang w:val="fr-ML"/>
        </w:rPr>
        <w:t xml:space="preserve"> </w:t>
      </w:r>
      <w:r w:rsidRPr="00712AFD">
        <w:rPr>
          <w:sz w:val="24"/>
          <w:szCs w:val="24"/>
          <w:lang w:val="fr-ML"/>
        </w:rPr>
        <w:t xml:space="preserve">examens restera plus à faire qu’une simple formation initiale pour atteindre un rendement efficace des apprentissages. Les </w:t>
      </w:r>
      <w:r>
        <w:rPr>
          <w:sz w:val="24"/>
          <w:szCs w:val="24"/>
          <w:lang w:val="fr-ML"/>
        </w:rPr>
        <w:t>tableaux qui suivent donnent le statistique des résultats de l’examen a</w:t>
      </w:r>
      <w:r w:rsidRPr="00712AFD">
        <w:rPr>
          <w:sz w:val="24"/>
          <w:szCs w:val="24"/>
          <w:lang w:val="fr-ML"/>
        </w:rPr>
        <w:t>u baccalauréa</w:t>
      </w:r>
      <w:r>
        <w:rPr>
          <w:sz w:val="24"/>
          <w:szCs w:val="24"/>
          <w:lang w:val="fr-ML"/>
        </w:rPr>
        <w:t>t dans les</w:t>
      </w:r>
      <w:r w:rsidRPr="00712AFD">
        <w:rPr>
          <w:sz w:val="24"/>
          <w:szCs w:val="24"/>
          <w:lang w:val="fr-ML"/>
        </w:rPr>
        <w:t xml:space="preserve"> lycées publics de l’académie rive gauche de Bamako.</w:t>
      </w:r>
      <w:r>
        <w:rPr>
          <w:sz w:val="24"/>
          <w:szCs w:val="24"/>
          <w:lang w:val="fr-ML"/>
        </w:rPr>
        <w:t xml:space="preserve"> Cet article cherche à analyser les pratiques enseignantes des professeurs de mathématiques pour remédier aux résultats scolaires des élèves à l’examen de fin d’année au lycée. </w:t>
      </w:r>
    </w:p>
    <w:p w14:paraId="4D9342DE" w14:textId="77777777" w:rsidR="00D80693" w:rsidRPr="00712AFD" w:rsidRDefault="00D80693" w:rsidP="00E25DC6">
      <w:pPr>
        <w:spacing w:before="120"/>
        <w:jc w:val="both"/>
        <w:rPr>
          <w:sz w:val="24"/>
          <w:szCs w:val="24"/>
          <w:lang w:val="fr-ML"/>
        </w:rPr>
      </w:pPr>
      <w:r>
        <w:rPr>
          <w:sz w:val="24"/>
          <w:szCs w:val="24"/>
          <w:lang w:val="fr-ML"/>
        </w:rPr>
        <w:t xml:space="preserve">Si des résultats ont été constatés dans ces dernières années, le pourcentage d’échec des élèves en mathématiques au lycée laisse enseigner qu’il reste beaucoup à faire pour atteindre un rendement efficace des apprentissages.  </w:t>
      </w:r>
    </w:p>
    <w:p w14:paraId="2579156B" w14:textId="77777777" w:rsidR="00D80693" w:rsidRDefault="00D80693" w:rsidP="00E25DC6">
      <w:pPr>
        <w:spacing w:before="120"/>
        <w:jc w:val="both"/>
        <w:rPr>
          <w:sz w:val="24"/>
          <w:szCs w:val="24"/>
          <w:lang w:val="fr-ML"/>
        </w:rPr>
      </w:pPr>
      <w:r w:rsidRPr="00712AFD">
        <w:rPr>
          <w:sz w:val="24"/>
          <w:szCs w:val="24"/>
          <w:lang w:val="fr-ML"/>
        </w:rPr>
        <w:t>Ces tableaux fournissent des informations par rapport aux résultats par séries</w:t>
      </w:r>
      <w:r>
        <w:rPr>
          <w:rStyle w:val="Appelnotedebasdep"/>
          <w:sz w:val="24"/>
          <w:szCs w:val="24"/>
          <w:lang w:val="fr-ML"/>
        </w:rPr>
        <w:footnoteReference w:id="3"/>
      </w:r>
      <w:r w:rsidRPr="00712AFD">
        <w:rPr>
          <w:sz w:val="24"/>
          <w:szCs w:val="24"/>
          <w:lang w:val="fr-ML"/>
        </w:rPr>
        <w:t xml:space="preserve">, effectifs des candidats, taux d’admission et pourcentage des élèves admis à l’examen national de fin de cycle de l’enseignement secondaire général. Nous nous sommes intéressés à toutes les classes terminales en raison que les mathématiques, la philosophie et l’Anglais sont des disciplines </w:t>
      </w:r>
      <w:proofErr w:type="gramStart"/>
      <w:r w:rsidRPr="00712AFD">
        <w:rPr>
          <w:sz w:val="24"/>
          <w:szCs w:val="24"/>
          <w:lang w:val="fr-ML"/>
        </w:rPr>
        <w:t>qui  se</w:t>
      </w:r>
      <w:proofErr w:type="gramEnd"/>
      <w:r w:rsidRPr="00712AFD">
        <w:rPr>
          <w:sz w:val="24"/>
          <w:szCs w:val="24"/>
          <w:lang w:val="fr-ML"/>
        </w:rPr>
        <w:t xml:space="preserve"> fo</w:t>
      </w:r>
      <w:r>
        <w:rPr>
          <w:sz w:val="24"/>
          <w:szCs w:val="24"/>
          <w:lang w:val="fr-ML"/>
        </w:rPr>
        <w:t>nt pareillement dans cet examen national au Mali.</w:t>
      </w:r>
      <w:r w:rsidRPr="00712AFD">
        <w:rPr>
          <w:sz w:val="24"/>
          <w:szCs w:val="24"/>
          <w:lang w:val="fr-ML"/>
        </w:rPr>
        <w:t xml:space="preserve"> </w:t>
      </w:r>
    </w:p>
    <w:p w14:paraId="31376A63" w14:textId="77777777" w:rsidR="00D80693" w:rsidRPr="00712AFD" w:rsidRDefault="00D80693" w:rsidP="00E25DC6">
      <w:pPr>
        <w:spacing w:before="120"/>
        <w:jc w:val="both"/>
        <w:rPr>
          <w:sz w:val="24"/>
          <w:szCs w:val="24"/>
          <w:lang w:val="fr-ML"/>
        </w:rPr>
      </w:pPr>
      <w:r w:rsidRPr="000247D6">
        <w:rPr>
          <w:b/>
          <w:sz w:val="24"/>
          <w:szCs w:val="24"/>
          <w:lang w:val="fr-ML"/>
        </w:rPr>
        <w:t>Tableau n°1</w:t>
      </w:r>
      <w:r w:rsidRPr="00712AFD">
        <w:rPr>
          <w:sz w:val="24"/>
          <w:szCs w:val="24"/>
          <w:lang w:val="fr-ML"/>
        </w:rPr>
        <w:t xml:space="preserve"> : </w:t>
      </w:r>
      <w:r>
        <w:rPr>
          <w:sz w:val="24"/>
          <w:szCs w:val="24"/>
          <w:lang w:val="fr-ML"/>
        </w:rPr>
        <w:t>Effectifs des élèves admis par série au b</w:t>
      </w:r>
      <w:r w:rsidRPr="00712AFD">
        <w:rPr>
          <w:sz w:val="24"/>
          <w:szCs w:val="24"/>
          <w:lang w:val="fr-ML"/>
        </w:rPr>
        <w:t xml:space="preserve">accalauréat malien session 2022 </w:t>
      </w:r>
      <w:r>
        <w:rPr>
          <w:sz w:val="24"/>
          <w:szCs w:val="24"/>
          <w:lang w:val="fr-ML"/>
        </w:rPr>
        <w:t>dans les</w:t>
      </w:r>
      <w:r w:rsidRPr="00712AFD">
        <w:rPr>
          <w:sz w:val="24"/>
          <w:szCs w:val="24"/>
          <w:lang w:val="fr-ML"/>
        </w:rPr>
        <w:t xml:space="preserve"> lycées publics </w:t>
      </w:r>
      <w:r>
        <w:rPr>
          <w:sz w:val="24"/>
          <w:szCs w:val="24"/>
          <w:lang w:val="fr-ML"/>
        </w:rPr>
        <w:t xml:space="preserve">de </w:t>
      </w:r>
      <w:r w:rsidRPr="00712AFD">
        <w:rPr>
          <w:sz w:val="24"/>
          <w:szCs w:val="24"/>
          <w:lang w:val="fr-ML"/>
        </w:rPr>
        <w:t>l’académie rive gauche.</w:t>
      </w:r>
    </w:p>
    <w:tbl>
      <w:tblPr>
        <w:tblStyle w:val="Grilledutableau"/>
        <w:tblW w:w="0" w:type="auto"/>
        <w:tblLayout w:type="fixed"/>
        <w:tblLook w:val="04A0" w:firstRow="1" w:lastRow="0" w:firstColumn="1" w:lastColumn="0" w:noHBand="0" w:noVBand="1"/>
      </w:tblPr>
      <w:tblGrid>
        <w:gridCol w:w="998"/>
        <w:gridCol w:w="983"/>
        <w:gridCol w:w="849"/>
        <w:gridCol w:w="851"/>
        <w:gridCol w:w="992"/>
        <w:gridCol w:w="851"/>
        <w:gridCol w:w="708"/>
        <w:gridCol w:w="993"/>
        <w:gridCol w:w="850"/>
        <w:gridCol w:w="987"/>
      </w:tblGrid>
      <w:tr w:rsidR="00D80693" w14:paraId="4096BC8F" w14:textId="77777777" w:rsidTr="00D72320">
        <w:trPr>
          <w:trHeight w:val="901"/>
        </w:trPr>
        <w:tc>
          <w:tcPr>
            <w:tcW w:w="998" w:type="dxa"/>
            <w:tcBorders>
              <w:tl2br w:val="single" w:sz="4" w:space="0" w:color="auto"/>
            </w:tcBorders>
          </w:tcPr>
          <w:p w14:paraId="35F91A81" w14:textId="77777777" w:rsidR="00D80693" w:rsidRDefault="00D80693" w:rsidP="00E25DC6">
            <w:pPr>
              <w:spacing w:before="120"/>
              <w:ind w:left="21"/>
              <w:jc w:val="center"/>
              <w:rPr>
                <w:sz w:val="24"/>
                <w:szCs w:val="24"/>
                <w:lang w:val="fr-ML"/>
              </w:rPr>
            </w:pPr>
            <w:r>
              <w:rPr>
                <w:sz w:val="24"/>
                <w:szCs w:val="24"/>
                <w:lang w:val="fr-ML"/>
              </w:rPr>
              <w:t>Lycées</w:t>
            </w:r>
          </w:p>
          <w:p w14:paraId="307A85BB" w14:textId="77777777" w:rsidR="00D80693" w:rsidRDefault="00D80693" w:rsidP="00E25DC6">
            <w:pPr>
              <w:spacing w:before="120"/>
              <w:ind w:left="21"/>
              <w:jc w:val="both"/>
              <w:rPr>
                <w:sz w:val="24"/>
                <w:szCs w:val="24"/>
                <w:lang w:val="fr-ML"/>
              </w:rPr>
            </w:pPr>
          </w:p>
          <w:p w14:paraId="6769199E" w14:textId="77777777" w:rsidR="00D80693" w:rsidRPr="00712AFD" w:rsidRDefault="00D80693" w:rsidP="00E25DC6">
            <w:pPr>
              <w:spacing w:before="120"/>
              <w:ind w:left="21"/>
              <w:jc w:val="both"/>
              <w:rPr>
                <w:sz w:val="24"/>
                <w:szCs w:val="24"/>
                <w:lang w:val="fr-ML"/>
              </w:rPr>
            </w:pPr>
            <w:r>
              <w:rPr>
                <w:sz w:val="24"/>
                <w:szCs w:val="24"/>
                <w:lang w:val="fr-ML"/>
              </w:rPr>
              <w:t xml:space="preserve">Séries </w:t>
            </w:r>
          </w:p>
        </w:tc>
        <w:tc>
          <w:tcPr>
            <w:tcW w:w="983" w:type="dxa"/>
          </w:tcPr>
          <w:p w14:paraId="4608B590" w14:textId="77777777" w:rsidR="00D80693" w:rsidRPr="00712AFD" w:rsidRDefault="00D80693" w:rsidP="00E25DC6">
            <w:pPr>
              <w:spacing w:before="120"/>
              <w:jc w:val="both"/>
              <w:rPr>
                <w:sz w:val="24"/>
                <w:szCs w:val="24"/>
                <w:lang w:val="fr-ML"/>
              </w:rPr>
            </w:pPr>
            <w:r>
              <w:rPr>
                <w:sz w:val="24"/>
                <w:szCs w:val="24"/>
                <w:lang w:val="fr-ML"/>
              </w:rPr>
              <w:t>L.F.</w:t>
            </w:r>
            <w:proofErr w:type="gramStart"/>
            <w:r>
              <w:rPr>
                <w:sz w:val="24"/>
                <w:szCs w:val="24"/>
                <w:lang w:val="fr-ML"/>
              </w:rPr>
              <w:t>D.S</w:t>
            </w:r>
            <w:proofErr w:type="gramEnd"/>
          </w:p>
        </w:tc>
        <w:tc>
          <w:tcPr>
            <w:tcW w:w="849" w:type="dxa"/>
          </w:tcPr>
          <w:p w14:paraId="572A361E" w14:textId="77777777" w:rsidR="00D80693" w:rsidRPr="00712AFD" w:rsidRDefault="00D80693" w:rsidP="00E25DC6">
            <w:pPr>
              <w:spacing w:before="120"/>
              <w:jc w:val="both"/>
              <w:rPr>
                <w:sz w:val="24"/>
                <w:szCs w:val="24"/>
                <w:lang w:val="fr-ML"/>
              </w:rPr>
            </w:pPr>
            <w:r>
              <w:rPr>
                <w:sz w:val="24"/>
                <w:szCs w:val="24"/>
                <w:lang w:val="fr-ML"/>
              </w:rPr>
              <w:t>L.</w:t>
            </w:r>
            <w:proofErr w:type="gramStart"/>
            <w:r>
              <w:rPr>
                <w:sz w:val="24"/>
                <w:szCs w:val="24"/>
                <w:lang w:val="fr-ML"/>
              </w:rPr>
              <w:t>B.S</w:t>
            </w:r>
            <w:proofErr w:type="gramEnd"/>
          </w:p>
        </w:tc>
        <w:tc>
          <w:tcPr>
            <w:tcW w:w="851" w:type="dxa"/>
          </w:tcPr>
          <w:p w14:paraId="096B10D1" w14:textId="77777777" w:rsidR="00D80693" w:rsidRPr="00712AFD" w:rsidRDefault="00D80693" w:rsidP="00E25DC6">
            <w:pPr>
              <w:spacing w:before="120"/>
              <w:jc w:val="both"/>
              <w:rPr>
                <w:sz w:val="24"/>
                <w:szCs w:val="24"/>
                <w:lang w:val="fr-ML"/>
              </w:rPr>
            </w:pPr>
            <w:r>
              <w:rPr>
                <w:sz w:val="24"/>
                <w:szCs w:val="24"/>
                <w:lang w:val="fr-ML"/>
              </w:rPr>
              <w:t xml:space="preserve">L.B. F </w:t>
            </w:r>
          </w:p>
        </w:tc>
        <w:tc>
          <w:tcPr>
            <w:tcW w:w="992" w:type="dxa"/>
          </w:tcPr>
          <w:p w14:paraId="6B70D553" w14:textId="77777777" w:rsidR="00D80693" w:rsidRPr="00712AFD" w:rsidRDefault="00D80693" w:rsidP="00E25DC6">
            <w:pPr>
              <w:spacing w:before="120"/>
              <w:jc w:val="both"/>
              <w:rPr>
                <w:sz w:val="24"/>
                <w:szCs w:val="24"/>
                <w:lang w:val="fr-ML"/>
              </w:rPr>
            </w:pPr>
            <w:r>
              <w:rPr>
                <w:sz w:val="24"/>
                <w:szCs w:val="24"/>
                <w:lang w:val="fr-ML"/>
              </w:rPr>
              <w:t>L.A.M</w:t>
            </w:r>
          </w:p>
        </w:tc>
        <w:tc>
          <w:tcPr>
            <w:tcW w:w="851" w:type="dxa"/>
          </w:tcPr>
          <w:p w14:paraId="62B4C238" w14:textId="77777777" w:rsidR="00D80693" w:rsidRDefault="00D80693" w:rsidP="00E25DC6">
            <w:pPr>
              <w:spacing w:before="120"/>
              <w:jc w:val="both"/>
              <w:rPr>
                <w:sz w:val="24"/>
                <w:szCs w:val="24"/>
                <w:lang w:val="fr-ML"/>
              </w:rPr>
            </w:pPr>
            <w:r>
              <w:rPr>
                <w:sz w:val="24"/>
                <w:szCs w:val="24"/>
                <w:lang w:val="fr-ML"/>
              </w:rPr>
              <w:t>L.M.</w:t>
            </w:r>
          </w:p>
          <w:p w14:paraId="4B8BBBEE" w14:textId="77777777" w:rsidR="00D80693" w:rsidRPr="00712AFD" w:rsidRDefault="00D80693" w:rsidP="00E25DC6">
            <w:pPr>
              <w:spacing w:before="120"/>
              <w:jc w:val="both"/>
              <w:rPr>
                <w:sz w:val="24"/>
                <w:szCs w:val="24"/>
                <w:lang w:val="fr-ML"/>
              </w:rPr>
            </w:pPr>
            <w:r>
              <w:rPr>
                <w:sz w:val="24"/>
                <w:szCs w:val="24"/>
                <w:lang w:val="fr-ML"/>
              </w:rPr>
              <w:t>SARR</w:t>
            </w:r>
          </w:p>
        </w:tc>
        <w:tc>
          <w:tcPr>
            <w:tcW w:w="708" w:type="dxa"/>
          </w:tcPr>
          <w:p w14:paraId="4AB56E48" w14:textId="77777777" w:rsidR="00D80693" w:rsidRDefault="00D80693" w:rsidP="00E25DC6">
            <w:pPr>
              <w:spacing w:before="120"/>
              <w:jc w:val="both"/>
              <w:rPr>
                <w:sz w:val="24"/>
                <w:szCs w:val="24"/>
                <w:lang w:val="fr-ML"/>
              </w:rPr>
            </w:pPr>
            <w:r>
              <w:rPr>
                <w:sz w:val="24"/>
                <w:szCs w:val="24"/>
                <w:lang w:val="fr-ML"/>
              </w:rPr>
              <w:t>L.M</w:t>
            </w:r>
          </w:p>
          <w:p w14:paraId="2D548B50" w14:textId="77777777" w:rsidR="00D80693" w:rsidRPr="00712AFD" w:rsidRDefault="00D80693" w:rsidP="00E25DC6">
            <w:pPr>
              <w:spacing w:before="120"/>
              <w:jc w:val="both"/>
              <w:rPr>
                <w:sz w:val="24"/>
                <w:szCs w:val="24"/>
                <w:lang w:val="fr-ML"/>
              </w:rPr>
            </w:pPr>
            <w:proofErr w:type="spellStart"/>
            <w:r>
              <w:rPr>
                <w:sz w:val="24"/>
                <w:szCs w:val="24"/>
                <w:lang w:val="fr-ML"/>
              </w:rPr>
              <w:t>Bôdj</w:t>
            </w:r>
            <w:proofErr w:type="spellEnd"/>
          </w:p>
        </w:tc>
        <w:tc>
          <w:tcPr>
            <w:tcW w:w="993" w:type="dxa"/>
          </w:tcPr>
          <w:p w14:paraId="1F7136A9" w14:textId="77777777" w:rsidR="00D80693" w:rsidRPr="00712AFD" w:rsidRDefault="00D80693" w:rsidP="00E25DC6">
            <w:pPr>
              <w:spacing w:before="120"/>
              <w:jc w:val="both"/>
              <w:rPr>
                <w:sz w:val="24"/>
                <w:szCs w:val="24"/>
                <w:lang w:val="fr-ML"/>
              </w:rPr>
            </w:pPr>
            <w:r>
              <w:rPr>
                <w:sz w:val="24"/>
                <w:szCs w:val="24"/>
                <w:lang w:val="fr-ML"/>
              </w:rPr>
              <w:t>L.BAD</w:t>
            </w:r>
          </w:p>
        </w:tc>
        <w:tc>
          <w:tcPr>
            <w:tcW w:w="850" w:type="dxa"/>
          </w:tcPr>
          <w:p w14:paraId="554AA685" w14:textId="77777777" w:rsidR="00D80693" w:rsidRPr="00712AFD" w:rsidRDefault="00D80693" w:rsidP="00E25DC6">
            <w:pPr>
              <w:spacing w:before="120"/>
              <w:jc w:val="both"/>
              <w:rPr>
                <w:sz w:val="24"/>
                <w:szCs w:val="24"/>
                <w:lang w:val="fr-ML"/>
              </w:rPr>
            </w:pPr>
            <w:r>
              <w:rPr>
                <w:sz w:val="24"/>
                <w:szCs w:val="24"/>
                <w:lang w:val="fr-ML"/>
              </w:rPr>
              <w:t xml:space="preserve">Total </w:t>
            </w:r>
          </w:p>
        </w:tc>
        <w:tc>
          <w:tcPr>
            <w:tcW w:w="987" w:type="dxa"/>
          </w:tcPr>
          <w:p w14:paraId="2BE30DD7" w14:textId="77777777" w:rsidR="00D80693" w:rsidRPr="00712AFD" w:rsidRDefault="00D80693" w:rsidP="00E25DC6">
            <w:pPr>
              <w:spacing w:before="120"/>
              <w:jc w:val="both"/>
              <w:rPr>
                <w:sz w:val="24"/>
                <w:szCs w:val="24"/>
                <w:lang w:val="fr-ML"/>
              </w:rPr>
            </w:pPr>
            <w:r>
              <w:rPr>
                <w:sz w:val="24"/>
                <w:szCs w:val="24"/>
                <w:lang w:val="fr-ML"/>
              </w:rPr>
              <w:t>% pourcentage</w:t>
            </w:r>
          </w:p>
        </w:tc>
      </w:tr>
      <w:tr w:rsidR="00D80693" w14:paraId="1767376A" w14:textId="77777777" w:rsidTr="00D72320">
        <w:trPr>
          <w:trHeight w:val="423"/>
        </w:trPr>
        <w:tc>
          <w:tcPr>
            <w:tcW w:w="998" w:type="dxa"/>
          </w:tcPr>
          <w:p w14:paraId="71CC906A" w14:textId="77777777" w:rsidR="00D80693" w:rsidRPr="00712AFD" w:rsidRDefault="00D80693" w:rsidP="00E25DC6">
            <w:pPr>
              <w:spacing w:before="120"/>
              <w:jc w:val="both"/>
              <w:rPr>
                <w:sz w:val="24"/>
                <w:szCs w:val="24"/>
                <w:lang w:val="fr-ML"/>
              </w:rPr>
            </w:pPr>
            <w:r>
              <w:rPr>
                <w:sz w:val="24"/>
                <w:szCs w:val="24"/>
                <w:lang w:val="fr-ML"/>
              </w:rPr>
              <w:t>TLL</w:t>
            </w:r>
          </w:p>
        </w:tc>
        <w:tc>
          <w:tcPr>
            <w:tcW w:w="983" w:type="dxa"/>
          </w:tcPr>
          <w:p w14:paraId="4FCD23E0" w14:textId="77777777" w:rsidR="00D80693" w:rsidRPr="00712AFD" w:rsidRDefault="00D80693" w:rsidP="00E25DC6">
            <w:pPr>
              <w:spacing w:before="120"/>
              <w:jc w:val="both"/>
              <w:rPr>
                <w:sz w:val="24"/>
                <w:szCs w:val="24"/>
                <w:lang w:val="fr-ML"/>
              </w:rPr>
            </w:pPr>
            <w:r>
              <w:rPr>
                <w:sz w:val="24"/>
                <w:szCs w:val="24"/>
                <w:lang w:val="fr-ML"/>
              </w:rPr>
              <w:t>28</w:t>
            </w:r>
          </w:p>
        </w:tc>
        <w:tc>
          <w:tcPr>
            <w:tcW w:w="849" w:type="dxa"/>
          </w:tcPr>
          <w:p w14:paraId="0BE61B79" w14:textId="77777777" w:rsidR="00D80693" w:rsidRPr="00712AFD" w:rsidRDefault="00D80693" w:rsidP="00E25DC6">
            <w:pPr>
              <w:spacing w:before="120"/>
              <w:jc w:val="both"/>
              <w:rPr>
                <w:sz w:val="24"/>
                <w:szCs w:val="24"/>
                <w:lang w:val="fr-ML"/>
              </w:rPr>
            </w:pPr>
            <w:r>
              <w:rPr>
                <w:sz w:val="24"/>
                <w:szCs w:val="24"/>
                <w:lang w:val="fr-ML"/>
              </w:rPr>
              <w:t>5</w:t>
            </w:r>
          </w:p>
        </w:tc>
        <w:tc>
          <w:tcPr>
            <w:tcW w:w="851" w:type="dxa"/>
          </w:tcPr>
          <w:p w14:paraId="15B8B54B" w14:textId="77777777" w:rsidR="00D80693" w:rsidRPr="00712AFD" w:rsidRDefault="00D80693" w:rsidP="00E25DC6">
            <w:pPr>
              <w:spacing w:before="120"/>
              <w:jc w:val="both"/>
              <w:rPr>
                <w:sz w:val="24"/>
                <w:szCs w:val="24"/>
                <w:lang w:val="fr-ML"/>
              </w:rPr>
            </w:pPr>
            <w:r>
              <w:rPr>
                <w:sz w:val="24"/>
                <w:szCs w:val="24"/>
                <w:lang w:val="fr-ML"/>
              </w:rPr>
              <w:t>18</w:t>
            </w:r>
          </w:p>
        </w:tc>
        <w:tc>
          <w:tcPr>
            <w:tcW w:w="992" w:type="dxa"/>
          </w:tcPr>
          <w:p w14:paraId="6A0FCAE5" w14:textId="77777777" w:rsidR="00D80693" w:rsidRPr="00712AFD" w:rsidRDefault="00D80693" w:rsidP="00E25DC6">
            <w:pPr>
              <w:spacing w:before="120"/>
              <w:jc w:val="both"/>
              <w:rPr>
                <w:sz w:val="24"/>
                <w:szCs w:val="24"/>
                <w:lang w:val="fr-ML"/>
              </w:rPr>
            </w:pPr>
            <w:r>
              <w:rPr>
                <w:sz w:val="24"/>
                <w:szCs w:val="24"/>
                <w:lang w:val="fr-ML"/>
              </w:rPr>
              <w:t>20</w:t>
            </w:r>
          </w:p>
        </w:tc>
        <w:tc>
          <w:tcPr>
            <w:tcW w:w="851" w:type="dxa"/>
          </w:tcPr>
          <w:p w14:paraId="7AE7AC6C" w14:textId="77777777" w:rsidR="00D80693" w:rsidRPr="00712AFD" w:rsidRDefault="00D80693" w:rsidP="00E25DC6">
            <w:pPr>
              <w:spacing w:before="120"/>
              <w:jc w:val="both"/>
              <w:rPr>
                <w:sz w:val="24"/>
                <w:szCs w:val="24"/>
                <w:lang w:val="fr-ML"/>
              </w:rPr>
            </w:pPr>
            <w:r>
              <w:rPr>
                <w:sz w:val="24"/>
                <w:szCs w:val="24"/>
                <w:lang w:val="fr-ML"/>
              </w:rPr>
              <w:t>15</w:t>
            </w:r>
          </w:p>
        </w:tc>
        <w:tc>
          <w:tcPr>
            <w:tcW w:w="708" w:type="dxa"/>
          </w:tcPr>
          <w:p w14:paraId="24CEA764" w14:textId="77777777" w:rsidR="00D80693" w:rsidRPr="00712AFD" w:rsidRDefault="00D80693" w:rsidP="00E25DC6">
            <w:pPr>
              <w:spacing w:before="120"/>
              <w:jc w:val="both"/>
              <w:rPr>
                <w:sz w:val="24"/>
                <w:szCs w:val="24"/>
                <w:lang w:val="fr-ML"/>
              </w:rPr>
            </w:pPr>
            <w:r>
              <w:rPr>
                <w:sz w:val="24"/>
                <w:szCs w:val="24"/>
                <w:lang w:val="fr-ML"/>
              </w:rPr>
              <w:t>22</w:t>
            </w:r>
          </w:p>
        </w:tc>
        <w:tc>
          <w:tcPr>
            <w:tcW w:w="993" w:type="dxa"/>
          </w:tcPr>
          <w:p w14:paraId="26F8806B" w14:textId="77777777" w:rsidR="00D80693" w:rsidRPr="00712AFD" w:rsidRDefault="00D80693" w:rsidP="00E25DC6">
            <w:pPr>
              <w:spacing w:before="120"/>
              <w:jc w:val="both"/>
              <w:rPr>
                <w:sz w:val="24"/>
                <w:szCs w:val="24"/>
                <w:lang w:val="fr-ML"/>
              </w:rPr>
            </w:pPr>
            <w:r>
              <w:rPr>
                <w:sz w:val="24"/>
                <w:szCs w:val="24"/>
                <w:lang w:val="fr-ML"/>
              </w:rPr>
              <w:t>11</w:t>
            </w:r>
          </w:p>
        </w:tc>
        <w:tc>
          <w:tcPr>
            <w:tcW w:w="850" w:type="dxa"/>
          </w:tcPr>
          <w:p w14:paraId="26636197" w14:textId="77777777" w:rsidR="00D80693" w:rsidRPr="00712AFD" w:rsidRDefault="00D80693" w:rsidP="00E25DC6">
            <w:pPr>
              <w:spacing w:before="120"/>
              <w:jc w:val="both"/>
              <w:rPr>
                <w:sz w:val="24"/>
                <w:szCs w:val="24"/>
                <w:lang w:val="fr-ML"/>
              </w:rPr>
            </w:pPr>
            <w:r>
              <w:rPr>
                <w:sz w:val="24"/>
                <w:szCs w:val="24"/>
                <w:lang w:val="fr-ML"/>
              </w:rPr>
              <w:t>119</w:t>
            </w:r>
          </w:p>
        </w:tc>
        <w:tc>
          <w:tcPr>
            <w:tcW w:w="987" w:type="dxa"/>
          </w:tcPr>
          <w:p w14:paraId="4DA393BA" w14:textId="77777777" w:rsidR="00D80693" w:rsidRPr="00712AFD" w:rsidRDefault="00D80693" w:rsidP="00E25DC6">
            <w:pPr>
              <w:spacing w:before="120"/>
              <w:jc w:val="both"/>
              <w:rPr>
                <w:sz w:val="24"/>
                <w:szCs w:val="24"/>
                <w:lang w:val="fr-ML"/>
              </w:rPr>
            </w:pPr>
            <w:r>
              <w:rPr>
                <w:sz w:val="24"/>
                <w:szCs w:val="24"/>
                <w:lang w:val="fr-ML"/>
              </w:rPr>
              <w:t>26,27</w:t>
            </w:r>
          </w:p>
        </w:tc>
      </w:tr>
      <w:tr w:rsidR="00D80693" w14:paraId="49A48263" w14:textId="77777777" w:rsidTr="00D72320">
        <w:trPr>
          <w:trHeight w:val="227"/>
        </w:trPr>
        <w:tc>
          <w:tcPr>
            <w:tcW w:w="998" w:type="dxa"/>
          </w:tcPr>
          <w:p w14:paraId="6DC5A61C" w14:textId="77777777" w:rsidR="00D80693" w:rsidRPr="00712AFD" w:rsidRDefault="00D80693" w:rsidP="00E25DC6">
            <w:pPr>
              <w:spacing w:before="120"/>
              <w:ind w:left="21"/>
              <w:jc w:val="both"/>
              <w:rPr>
                <w:sz w:val="24"/>
                <w:szCs w:val="24"/>
                <w:lang w:val="fr-ML"/>
              </w:rPr>
            </w:pPr>
            <w:r>
              <w:rPr>
                <w:sz w:val="24"/>
                <w:szCs w:val="24"/>
                <w:lang w:val="fr-ML"/>
              </w:rPr>
              <w:t>TAL</w:t>
            </w:r>
          </w:p>
        </w:tc>
        <w:tc>
          <w:tcPr>
            <w:tcW w:w="983" w:type="dxa"/>
          </w:tcPr>
          <w:p w14:paraId="528280BF" w14:textId="77777777" w:rsidR="00D80693" w:rsidRPr="00712AFD" w:rsidRDefault="00D80693" w:rsidP="00E25DC6">
            <w:pPr>
              <w:spacing w:before="120"/>
              <w:jc w:val="both"/>
              <w:rPr>
                <w:sz w:val="24"/>
                <w:szCs w:val="24"/>
                <w:lang w:val="fr-ML"/>
              </w:rPr>
            </w:pPr>
            <w:r>
              <w:rPr>
                <w:sz w:val="24"/>
                <w:szCs w:val="24"/>
                <w:lang w:val="fr-ML"/>
              </w:rPr>
              <w:t>7</w:t>
            </w:r>
          </w:p>
        </w:tc>
        <w:tc>
          <w:tcPr>
            <w:tcW w:w="849" w:type="dxa"/>
          </w:tcPr>
          <w:p w14:paraId="739213E6" w14:textId="77777777" w:rsidR="00D80693" w:rsidRPr="00712AFD" w:rsidRDefault="00D80693" w:rsidP="00E25DC6">
            <w:pPr>
              <w:spacing w:before="120"/>
              <w:jc w:val="both"/>
              <w:rPr>
                <w:sz w:val="24"/>
                <w:szCs w:val="24"/>
                <w:lang w:val="fr-ML"/>
              </w:rPr>
            </w:pPr>
            <w:r>
              <w:rPr>
                <w:sz w:val="24"/>
                <w:szCs w:val="24"/>
                <w:lang w:val="fr-ML"/>
              </w:rPr>
              <w:t>-</w:t>
            </w:r>
          </w:p>
        </w:tc>
        <w:tc>
          <w:tcPr>
            <w:tcW w:w="851" w:type="dxa"/>
          </w:tcPr>
          <w:p w14:paraId="461249B4" w14:textId="77777777" w:rsidR="00D80693" w:rsidRPr="00712AFD" w:rsidRDefault="00D80693" w:rsidP="00E25DC6">
            <w:pPr>
              <w:spacing w:before="120"/>
              <w:jc w:val="both"/>
              <w:rPr>
                <w:sz w:val="24"/>
                <w:szCs w:val="24"/>
                <w:lang w:val="fr-ML"/>
              </w:rPr>
            </w:pPr>
            <w:r>
              <w:rPr>
                <w:sz w:val="24"/>
                <w:szCs w:val="24"/>
                <w:lang w:val="fr-ML"/>
              </w:rPr>
              <w:t>-</w:t>
            </w:r>
          </w:p>
        </w:tc>
        <w:tc>
          <w:tcPr>
            <w:tcW w:w="992" w:type="dxa"/>
          </w:tcPr>
          <w:p w14:paraId="46A24EA4" w14:textId="77777777" w:rsidR="00D80693" w:rsidRPr="00712AFD" w:rsidRDefault="00D80693" w:rsidP="00E25DC6">
            <w:pPr>
              <w:spacing w:before="120"/>
              <w:jc w:val="both"/>
              <w:rPr>
                <w:sz w:val="24"/>
                <w:szCs w:val="24"/>
                <w:lang w:val="fr-ML"/>
              </w:rPr>
            </w:pPr>
            <w:r>
              <w:rPr>
                <w:sz w:val="24"/>
                <w:szCs w:val="24"/>
                <w:lang w:val="fr-ML"/>
              </w:rPr>
              <w:t>-</w:t>
            </w:r>
          </w:p>
        </w:tc>
        <w:tc>
          <w:tcPr>
            <w:tcW w:w="851" w:type="dxa"/>
          </w:tcPr>
          <w:p w14:paraId="5BAFB1A8" w14:textId="77777777" w:rsidR="00D80693" w:rsidRPr="00712AFD" w:rsidRDefault="00D80693" w:rsidP="00E25DC6">
            <w:pPr>
              <w:spacing w:before="120"/>
              <w:jc w:val="both"/>
              <w:rPr>
                <w:sz w:val="24"/>
                <w:szCs w:val="24"/>
                <w:lang w:val="fr-ML"/>
              </w:rPr>
            </w:pPr>
            <w:r>
              <w:rPr>
                <w:sz w:val="24"/>
                <w:szCs w:val="24"/>
                <w:lang w:val="fr-ML"/>
              </w:rPr>
              <w:t>0</w:t>
            </w:r>
          </w:p>
        </w:tc>
        <w:tc>
          <w:tcPr>
            <w:tcW w:w="708" w:type="dxa"/>
          </w:tcPr>
          <w:p w14:paraId="7E3F7031" w14:textId="77777777" w:rsidR="00D80693" w:rsidRPr="00712AFD" w:rsidRDefault="00D80693" w:rsidP="00E25DC6">
            <w:pPr>
              <w:spacing w:before="120"/>
              <w:jc w:val="both"/>
              <w:rPr>
                <w:sz w:val="24"/>
                <w:szCs w:val="24"/>
                <w:lang w:val="fr-ML"/>
              </w:rPr>
            </w:pPr>
            <w:r>
              <w:rPr>
                <w:sz w:val="24"/>
                <w:szCs w:val="24"/>
                <w:lang w:val="fr-ML"/>
              </w:rPr>
              <w:t>-</w:t>
            </w:r>
          </w:p>
        </w:tc>
        <w:tc>
          <w:tcPr>
            <w:tcW w:w="993" w:type="dxa"/>
          </w:tcPr>
          <w:p w14:paraId="62BFF2CC" w14:textId="77777777" w:rsidR="00D80693" w:rsidRPr="00712AFD" w:rsidRDefault="00D80693" w:rsidP="00E25DC6">
            <w:pPr>
              <w:spacing w:before="120"/>
              <w:jc w:val="both"/>
              <w:rPr>
                <w:sz w:val="24"/>
                <w:szCs w:val="24"/>
                <w:lang w:val="fr-ML"/>
              </w:rPr>
            </w:pPr>
            <w:r>
              <w:rPr>
                <w:sz w:val="24"/>
                <w:szCs w:val="24"/>
                <w:lang w:val="fr-ML"/>
              </w:rPr>
              <w:t>-</w:t>
            </w:r>
          </w:p>
        </w:tc>
        <w:tc>
          <w:tcPr>
            <w:tcW w:w="850" w:type="dxa"/>
          </w:tcPr>
          <w:p w14:paraId="78D264A2" w14:textId="77777777" w:rsidR="00D80693" w:rsidRPr="00712AFD" w:rsidRDefault="00D80693" w:rsidP="00E25DC6">
            <w:pPr>
              <w:spacing w:before="120"/>
              <w:jc w:val="both"/>
              <w:rPr>
                <w:sz w:val="24"/>
                <w:szCs w:val="24"/>
                <w:lang w:val="fr-ML"/>
              </w:rPr>
            </w:pPr>
            <w:r>
              <w:rPr>
                <w:sz w:val="24"/>
                <w:szCs w:val="24"/>
                <w:lang w:val="fr-ML"/>
              </w:rPr>
              <w:t>7</w:t>
            </w:r>
          </w:p>
        </w:tc>
        <w:tc>
          <w:tcPr>
            <w:tcW w:w="987" w:type="dxa"/>
          </w:tcPr>
          <w:p w14:paraId="3A6B839A" w14:textId="77777777" w:rsidR="00D80693" w:rsidRPr="00712AFD" w:rsidRDefault="00D80693" w:rsidP="00E25DC6">
            <w:pPr>
              <w:spacing w:before="120"/>
              <w:jc w:val="both"/>
              <w:rPr>
                <w:sz w:val="24"/>
                <w:szCs w:val="24"/>
                <w:lang w:val="fr-ML"/>
              </w:rPr>
            </w:pPr>
            <w:r>
              <w:rPr>
                <w:sz w:val="24"/>
                <w:szCs w:val="24"/>
                <w:lang w:val="fr-ML"/>
              </w:rPr>
              <w:t>1,54</w:t>
            </w:r>
          </w:p>
        </w:tc>
      </w:tr>
      <w:tr w:rsidR="00D80693" w14:paraId="70ACBB0F" w14:textId="77777777" w:rsidTr="00D72320">
        <w:trPr>
          <w:trHeight w:val="227"/>
        </w:trPr>
        <w:tc>
          <w:tcPr>
            <w:tcW w:w="998" w:type="dxa"/>
          </w:tcPr>
          <w:p w14:paraId="472AE8D4" w14:textId="77777777" w:rsidR="00D80693" w:rsidRPr="00712AFD" w:rsidRDefault="00D80693" w:rsidP="00E25DC6">
            <w:pPr>
              <w:spacing w:before="120"/>
              <w:ind w:left="21"/>
              <w:jc w:val="both"/>
              <w:rPr>
                <w:sz w:val="24"/>
                <w:szCs w:val="24"/>
                <w:lang w:val="fr-ML"/>
              </w:rPr>
            </w:pPr>
            <w:r>
              <w:rPr>
                <w:sz w:val="24"/>
                <w:szCs w:val="24"/>
                <w:lang w:val="fr-ML"/>
              </w:rPr>
              <w:t>TSS</w:t>
            </w:r>
          </w:p>
        </w:tc>
        <w:tc>
          <w:tcPr>
            <w:tcW w:w="983" w:type="dxa"/>
          </w:tcPr>
          <w:p w14:paraId="5432F730" w14:textId="77777777" w:rsidR="00D80693" w:rsidRPr="00712AFD" w:rsidRDefault="00D80693" w:rsidP="00E25DC6">
            <w:pPr>
              <w:spacing w:before="120"/>
              <w:jc w:val="both"/>
              <w:rPr>
                <w:sz w:val="24"/>
                <w:szCs w:val="24"/>
                <w:lang w:val="fr-ML"/>
              </w:rPr>
            </w:pPr>
            <w:r>
              <w:rPr>
                <w:sz w:val="24"/>
                <w:szCs w:val="24"/>
                <w:lang w:val="fr-ML"/>
              </w:rPr>
              <w:t>15</w:t>
            </w:r>
          </w:p>
        </w:tc>
        <w:tc>
          <w:tcPr>
            <w:tcW w:w="849" w:type="dxa"/>
          </w:tcPr>
          <w:p w14:paraId="4241D50A" w14:textId="77777777" w:rsidR="00D80693" w:rsidRPr="00712AFD" w:rsidRDefault="00D80693" w:rsidP="00E25DC6">
            <w:pPr>
              <w:spacing w:before="120"/>
              <w:jc w:val="both"/>
              <w:rPr>
                <w:sz w:val="24"/>
                <w:szCs w:val="24"/>
                <w:lang w:val="fr-ML"/>
              </w:rPr>
            </w:pPr>
            <w:r>
              <w:rPr>
                <w:sz w:val="24"/>
                <w:szCs w:val="24"/>
                <w:lang w:val="fr-ML"/>
              </w:rPr>
              <w:t>7</w:t>
            </w:r>
          </w:p>
        </w:tc>
        <w:tc>
          <w:tcPr>
            <w:tcW w:w="851" w:type="dxa"/>
          </w:tcPr>
          <w:p w14:paraId="7296A9FC" w14:textId="77777777" w:rsidR="00D80693" w:rsidRPr="00712AFD" w:rsidRDefault="00D80693" w:rsidP="00E25DC6">
            <w:pPr>
              <w:spacing w:before="120"/>
              <w:jc w:val="both"/>
              <w:rPr>
                <w:sz w:val="24"/>
                <w:szCs w:val="24"/>
                <w:lang w:val="fr-ML"/>
              </w:rPr>
            </w:pPr>
            <w:r>
              <w:rPr>
                <w:sz w:val="24"/>
                <w:szCs w:val="24"/>
                <w:lang w:val="fr-ML"/>
              </w:rPr>
              <w:t>32</w:t>
            </w:r>
          </w:p>
        </w:tc>
        <w:tc>
          <w:tcPr>
            <w:tcW w:w="992" w:type="dxa"/>
          </w:tcPr>
          <w:p w14:paraId="19042215" w14:textId="77777777" w:rsidR="00D80693" w:rsidRPr="00712AFD" w:rsidRDefault="00D80693" w:rsidP="00E25DC6">
            <w:pPr>
              <w:spacing w:before="120"/>
              <w:jc w:val="both"/>
              <w:rPr>
                <w:sz w:val="24"/>
                <w:szCs w:val="24"/>
                <w:lang w:val="fr-ML"/>
              </w:rPr>
            </w:pPr>
            <w:r>
              <w:rPr>
                <w:sz w:val="24"/>
                <w:szCs w:val="24"/>
                <w:lang w:val="fr-ML"/>
              </w:rPr>
              <w:t>11</w:t>
            </w:r>
          </w:p>
        </w:tc>
        <w:tc>
          <w:tcPr>
            <w:tcW w:w="851" w:type="dxa"/>
          </w:tcPr>
          <w:p w14:paraId="4E9C4B15" w14:textId="77777777" w:rsidR="00D80693" w:rsidRPr="00712AFD" w:rsidRDefault="00D80693" w:rsidP="00E25DC6">
            <w:pPr>
              <w:spacing w:before="120"/>
              <w:jc w:val="both"/>
              <w:rPr>
                <w:sz w:val="24"/>
                <w:szCs w:val="24"/>
                <w:lang w:val="fr-ML"/>
              </w:rPr>
            </w:pPr>
            <w:r>
              <w:rPr>
                <w:sz w:val="24"/>
                <w:szCs w:val="24"/>
                <w:lang w:val="fr-ML"/>
              </w:rPr>
              <w:t>15</w:t>
            </w:r>
          </w:p>
        </w:tc>
        <w:tc>
          <w:tcPr>
            <w:tcW w:w="708" w:type="dxa"/>
          </w:tcPr>
          <w:p w14:paraId="5CF93B18" w14:textId="77777777" w:rsidR="00D80693" w:rsidRPr="00712AFD" w:rsidRDefault="00D80693" w:rsidP="00E25DC6">
            <w:pPr>
              <w:spacing w:before="120"/>
              <w:jc w:val="both"/>
              <w:rPr>
                <w:sz w:val="24"/>
                <w:szCs w:val="24"/>
                <w:lang w:val="fr-ML"/>
              </w:rPr>
            </w:pPr>
            <w:r>
              <w:rPr>
                <w:sz w:val="24"/>
                <w:szCs w:val="24"/>
                <w:lang w:val="fr-ML"/>
              </w:rPr>
              <w:t>14</w:t>
            </w:r>
          </w:p>
        </w:tc>
        <w:tc>
          <w:tcPr>
            <w:tcW w:w="993" w:type="dxa"/>
          </w:tcPr>
          <w:p w14:paraId="605CF915" w14:textId="77777777" w:rsidR="00D80693" w:rsidRPr="00712AFD" w:rsidRDefault="00D80693" w:rsidP="00E25DC6">
            <w:pPr>
              <w:spacing w:before="120"/>
              <w:jc w:val="both"/>
              <w:rPr>
                <w:sz w:val="24"/>
                <w:szCs w:val="24"/>
                <w:lang w:val="fr-ML"/>
              </w:rPr>
            </w:pPr>
            <w:r>
              <w:rPr>
                <w:sz w:val="24"/>
                <w:szCs w:val="24"/>
                <w:lang w:val="fr-ML"/>
              </w:rPr>
              <w:t>4</w:t>
            </w:r>
          </w:p>
        </w:tc>
        <w:tc>
          <w:tcPr>
            <w:tcW w:w="850" w:type="dxa"/>
          </w:tcPr>
          <w:p w14:paraId="69CC9403" w14:textId="77777777" w:rsidR="00D80693" w:rsidRPr="00712AFD" w:rsidRDefault="00D80693" w:rsidP="00E25DC6">
            <w:pPr>
              <w:spacing w:before="120"/>
              <w:jc w:val="both"/>
              <w:rPr>
                <w:sz w:val="24"/>
                <w:szCs w:val="24"/>
                <w:lang w:val="fr-ML"/>
              </w:rPr>
            </w:pPr>
            <w:r>
              <w:rPr>
                <w:sz w:val="24"/>
                <w:szCs w:val="24"/>
                <w:lang w:val="fr-ML"/>
              </w:rPr>
              <w:t>98</w:t>
            </w:r>
          </w:p>
        </w:tc>
        <w:tc>
          <w:tcPr>
            <w:tcW w:w="987" w:type="dxa"/>
          </w:tcPr>
          <w:p w14:paraId="68571AD1" w14:textId="77777777" w:rsidR="00D80693" w:rsidRPr="00712AFD" w:rsidRDefault="00D80693" w:rsidP="00E25DC6">
            <w:pPr>
              <w:spacing w:before="120"/>
              <w:jc w:val="both"/>
              <w:rPr>
                <w:sz w:val="24"/>
                <w:szCs w:val="24"/>
                <w:lang w:val="fr-ML"/>
              </w:rPr>
            </w:pPr>
            <w:r>
              <w:rPr>
                <w:sz w:val="24"/>
                <w:szCs w:val="24"/>
                <w:lang w:val="fr-ML"/>
              </w:rPr>
              <w:t>21,65</w:t>
            </w:r>
          </w:p>
        </w:tc>
      </w:tr>
      <w:tr w:rsidR="00D80693" w14:paraId="12D3AC49" w14:textId="77777777" w:rsidTr="00D72320">
        <w:trPr>
          <w:trHeight w:val="220"/>
        </w:trPr>
        <w:tc>
          <w:tcPr>
            <w:tcW w:w="998" w:type="dxa"/>
          </w:tcPr>
          <w:p w14:paraId="2D91274F" w14:textId="77777777" w:rsidR="00D80693" w:rsidRPr="00712AFD" w:rsidRDefault="00D80693" w:rsidP="00E25DC6">
            <w:pPr>
              <w:spacing w:before="120"/>
              <w:ind w:left="21"/>
              <w:jc w:val="both"/>
              <w:rPr>
                <w:sz w:val="24"/>
                <w:szCs w:val="24"/>
                <w:lang w:val="fr-ML"/>
              </w:rPr>
            </w:pPr>
            <w:r>
              <w:rPr>
                <w:sz w:val="24"/>
                <w:szCs w:val="24"/>
                <w:lang w:val="fr-ML"/>
              </w:rPr>
              <w:t>TSECO</w:t>
            </w:r>
          </w:p>
        </w:tc>
        <w:tc>
          <w:tcPr>
            <w:tcW w:w="983" w:type="dxa"/>
          </w:tcPr>
          <w:p w14:paraId="349DDB17" w14:textId="77777777" w:rsidR="00D80693" w:rsidRPr="00712AFD" w:rsidRDefault="00D80693" w:rsidP="00E25DC6">
            <w:pPr>
              <w:spacing w:before="120"/>
              <w:jc w:val="both"/>
              <w:rPr>
                <w:sz w:val="24"/>
                <w:szCs w:val="24"/>
                <w:lang w:val="fr-ML"/>
              </w:rPr>
            </w:pPr>
            <w:r>
              <w:rPr>
                <w:sz w:val="24"/>
                <w:szCs w:val="24"/>
                <w:lang w:val="fr-ML"/>
              </w:rPr>
              <w:t>22</w:t>
            </w:r>
          </w:p>
        </w:tc>
        <w:tc>
          <w:tcPr>
            <w:tcW w:w="849" w:type="dxa"/>
          </w:tcPr>
          <w:p w14:paraId="26EACF95" w14:textId="77777777" w:rsidR="00D80693" w:rsidRPr="00712AFD" w:rsidRDefault="00D80693" w:rsidP="00E25DC6">
            <w:pPr>
              <w:spacing w:before="120"/>
              <w:jc w:val="both"/>
              <w:rPr>
                <w:sz w:val="24"/>
                <w:szCs w:val="24"/>
                <w:lang w:val="fr-ML"/>
              </w:rPr>
            </w:pPr>
            <w:r>
              <w:rPr>
                <w:sz w:val="24"/>
                <w:szCs w:val="24"/>
                <w:lang w:val="fr-ML"/>
              </w:rPr>
              <w:t>9</w:t>
            </w:r>
          </w:p>
        </w:tc>
        <w:tc>
          <w:tcPr>
            <w:tcW w:w="851" w:type="dxa"/>
          </w:tcPr>
          <w:p w14:paraId="192A52E2" w14:textId="77777777" w:rsidR="00D80693" w:rsidRPr="00712AFD" w:rsidRDefault="00D80693" w:rsidP="00E25DC6">
            <w:pPr>
              <w:spacing w:before="120"/>
              <w:jc w:val="both"/>
              <w:rPr>
                <w:sz w:val="24"/>
                <w:szCs w:val="24"/>
                <w:lang w:val="fr-ML"/>
              </w:rPr>
            </w:pPr>
            <w:r>
              <w:rPr>
                <w:sz w:val="24"/>
                <w:szCs w:val="24"/>
                <w:lang w:val="fr-ML"/>
              </w:rPr>
              <w:t>19</w:t>
            </w:r>
          </w:p>
        </w:tc>
        <w:tc>
          <w:tcPr>
            <w:tcW w:w="992" w:type="dxa"/>
          </w:tcPr>
          <w:p w14:paraId="07BA7415" w14:textId="77777777" w:rsidR="00D80693" w:rsidRPr="00712AFD" w:rsidRDefault="00D80693" w:rsidP="00E25DC6">
            <w:pPr>
              <w:spacing w:before="120"/>
              <w:jc w:val="both"/>
              <w:rPr>
                <w:sz w:val="24"/>
                <w:szCs w:val="24"/>
                <w:lang w:val="fr-ML"/>
              </w:rPr>
            </w:pPr>
            <w:r>
              <w:rPr>
                <w:sz w:val="24"/>
                <w:szCs w:val="24"/>
                <w:lang w:val="fr-ML"/>
              </w:rPr>
              <w:t>23</w:t>
            </w:r>
          </w:p>
        </w:tc>
        <w:tc>
          <w:tcPr>
            <w:tcW w:w="851" w:type="dxa"/>
          </w:tcPr>
          <w:p w14:paraId="17040427" w14:textId="77777777" w:rsidR="00D80693" w:rsidRPr="00712AFD" w:rsidRDefault="00D80693" w:rsidP="00E25DC6">
            <w:pPr>
              <w:spacing w:before="120"/>
              <w:jc w:val="both"/>
              <w:rPr>
                <w:sz w:val="24"/>
                <w:szCs w:val="24"/>
                <w:lang w:val="fr-ML"/>
              </w:rPr>
            </w:pPr>
            <w:r>
              <w:rPr>
                <w:sz w:val="24"/>
                <w:szCs w:val="24"/>
                <w:lang w:val="fr-ML"/>
              </w:rPr>
              <w:t>15</w:t>
            </w:r>
          </w:p>
        </w:tc>
        <w:tc>
          <w:tcPr>
            <w:tcW w:w="708" w:type="dxa"/>
          </w:tcPr>
          <w:p w14:paraId="101FFA54" w14:textId="77777777" w:rsidR="00D80693" w:rsidRPr="00712AFD" w:rsidRDefault="00D80693" w:rsidP="00E25DC6">
            <w:pPr>
              <w:spacing w:before="120"/>
              <w:jc w:val="both"/>
              <w:rPr>
                <w:sz w:val="24"/>
                <w:szCs w:val="24"/>
                <w:lang w:val="fr-ML"/>
              </w:rPr>
            </w:pPr>
            <w:r>
              <w:rPr>
                <w:sz w:val="24"/>
                <w:szCs w:val="24"/>
                <w:lang w:val="fr-ML"/>
              </w:rPr>
              <w:t>43</w:t>
            </w:r>
          </w:p>
        </w:tc>
        <w:tc>
          <w:tcPr>
            <w:tcW w:w="993" w:type="dxa"/>
          </w:tcPr>
          <w:p w14:paraId="35D317CC" w14:textId="77777777" w:rsidR="00D80693" w:rsidRPr="00712AFD" w:rsidRDefault="00D80693" w:rsidP="00E25DC6">
            <w:pPr>
              <w:spacing w:before="120"/>
              <w:jc w:val="both"/>
              <w:rPr>
                <w:sz w:val="24"/>
                <w:szCs w:val="24"/>
                <w:lang w:val="fr-ML"/>
              </w:rPr>
            </w:pPr>
            <w:r>
              <w:rPr>
                <w:sz w:val="24"/>
                <w:szCs w:val="24"/>
                <w:lang w:val="fr-ML"/>
              </w:rPr>
              <w:t>11</w:t>
            </w:r>
          </w:p>
        </w:tc>
        <w:tc>
          <w:tcPr>
            <w:tcW w:w="850" w:type="dxa"/>
          </w:tcPr>
          <w:p w14:paraId="7E44B82F" w14:textId="77777777" w:rsidR="00D80693" w:rsidRPr="00712AFD" w:rsidRDefault="00D80693" w:rsidP="00E25DC6">
            <w:pPr>
              <w:spacing w:before="120"/>
              <w:jc w:val="both"/>
              <w:rPr>
                <w:sz w:val="24"/>
                <w:szCs w:val="24"/>
                <w:lang w:val="fr-ML"/>
              </w:rPr>
            </w:pPr>
            <w:r>
              <w:rPr>
                <w:sz w:val="24"/>
                <w:szCs w:val="24"/>
                <w:lang w:val="fr-ML"/>
              </w:rPr>
              <w:t>142</w:t>
            </w:r>
          </w:p>
        </w:tc>
        <w:tc>
          <w:tcPr>
            <w:tcW w:w="987" w:type="dxa"/>
          </w:tcPr>
          <w:p w14:paraId="2D5AE36E" w14:textId="77777777" w:rsidR="00D80693" w:rsidRPr="00712AFD" w:rsidRDefault="00D80693" w:rsidP="00E25DC6">
            <w:pPr>
              <w:spacing w:before="120"/>
              <w:jc w:val="both"/>
              <w:rPr>
                <w:sz w:val="24"/>
                <w:szCs w:val="24"/>
                <w:lang w:val="fr-ML"/>
              </w:rPr>
            </w:pPr>
            <w:r>
              <w:rPr>
                <w:sz w:val="24"/>
                <w:szCs w:val="24"/>
                <w:lang w:val="fr-ML"/>
              </w:rPr>
              <w:t>31,34</w:t>
            </w:r>
          </w:p>
        </w:tc>
      </w:tr>
      <w:tr w:rsidR="00D80693" w14:paraId="537C3870" w14:textId="77777777" w:rsidTr="00D72320">
        <w:trPr>
          <w:trHeight w:val="342"/>
        </w:trPr>
        <w:tc>
          <w:tcPr>
            <w:tcW w:w="998" w:type="dxa"/>
          </w:tcPr>
          <w:p w14:paraId="5D851E45" w14:textId="77777777" w:rsidR="00D80693" w:rsidRPr="00712AFD" w:rsidRDefault="00D80693" w:rsidP="00E25DC6">
            <w:pPr>
              <w:spacing w:before="120"/>
              <w:jc w:val="both"/>
              <w:rPr>
                <w:sz w:val="24"/>
                <w:szCs w:val="24"/>
                <w:lang w:val="fr-ML"/>
              </w:rPr>
            </w:pPr>
            <w:r>
              <w:rPr>
                <w:sz w:val="24"/>
                <w:szCs w:val="24"/>
                <w:lang w:val="fr-ML"/>
              </w:rPr>
              <w:t>TSEXP</w:t>
            </w:r>
          </w:p>
        </w:tc>
        <w:tc>
          <w:tcPr>
            <w:tcW w:w="983" w:type="dxa"/>
          </w:tcPr>
          <w:p w14:paraId="56E72E48" w14:textId="77777777" w:rsidR="00D80693" w:rsidRPr="00712AFD" w:rsidRDefault="00D80693" w:rsidP="00E25DC6">
            <w:pPr>
              <w:spacing w:before="120"/>
              <w:jc w:val="both"/>
              <w:rPr>
                <w:sz w:val="24"/>
                <w:szCs w:val="24"/>
                <w:lang w:val="fr-ML"/>
              </w:rPr>
            </w:pPr>
            <w:r>
              <w:rPr>
                <w:sz w:val="24"/>
                <w:szCs w:val="24"/>
                <w:lang w:val="fr-ML"/>
              </w:rPr>
              <w:t>8</w:t>
            </w:r>
          </w:p>
        </w:tc>
        <w:tc>
          <w:tcPr>
            <w:tcW w:w="849" w:type="dxa"/>
          </w:tcPr>
          <w:p w14:paraId="7DE76B9A" w14:textId="77777777" w:rsidR="00D80693" w:rsidRPr="00712AFD" w:rsidRDefault="00D80693" w:rsidP="00E25DC6">
            <w:pPr>
              <w:spacing w:before="120"/>
              <w:jc w:val="both"/>
              <w:rPr>
                <w:sz w:val="24"/>
                <w:szCs w:val="24"/>
                <w:lang w:val="fr-ML"/>
              </w:rPr>
            </w:pPr>
            <w:r>
              <w:rPr>
                <w:sz w:val="24"/>
                <w:szCs w:val="24"/>
                <w:lang w:val="fr-ML"/>
              </w:rPr>
              <w:t>3</w:t>
            </w:r>
          </w:p>
        </w:tc>
        <w:tc>
          <w:tcPr>
            <w:tcW w:w="851" w:type="dxa"/>
          </w:tcPr>
          <w:p w14:paraId="3217DEEB" w14:textId="77777777" w:rsidR="00D80693" w:rsidRPr="00712AFD" w:rsidRDefault="00D80693" w:rsidP="00E25DC6">
            <w:pPr>
              <w:spacing w:before="120"/>
              <w:jc w:val="both"/>
              <w:rPr>
                <w:sz w:val="24"/>
                <w:szCs w:val="24"/>
                <w:lang w:val="fr-ML"/>
              </w:rPr>
            </w:pPr>
            <w:r>
              <w:rPr>
                <w:sz w:val="24"/>
                <w:szCs w:val="24"/>
                <w:lang w:val="fr-ML"/>
              </w:rPr>
              <w:t>4</w:t>
            </w:r>
          </w:p>
        </w:tc>
        <w:tc>
          <w:tcPr>
            <w:tcW w:w="992" w:type="dxa"/>
          </w:tcPr>
          <w:p w14:paraId="58CFAD78" w14:textId="77777777" w:rsidR="00D80693" w:rsidRPr="00712AFD" w:rsidRDefault="00D80693" w:rsidP="00E25DC6">
            <w:pPr>
              <w:spacing w:before="120"/>
              <w:jc w:val="both"/>
              <w:rPr>
                <w:sz w:val="24"/>
                <w:szCs w:val="24"/>
                <w:lang w:val="fr-ML"/>
              </w:rPr>
            </w:pPr>
            <w:r>
              <w:rPr>
                <w:sz w:val="24"/>
                <w:szCs w:val="24"/>
                <w:lang w:val="fr-ML"/>
              </w:rPr>
              <w:t>8</w:t>
            </w:r>
          </w:p>
        </w:tc>
        <w:tc>
          <w:tcPr>
            <w:tcW w:w="851" w:type="dxa"/>
          </w:tcPr>
          <w:p w14:paraId="323EB51A" w14:textId="77777777" w:rsidR="00D80693" w:rsidRPr="00712AFD" w:rsidRDefault="00D80693" w:rsidP="00E25DC6">
            <w:pPr>
              <w:spacing w:before="120"/>
              <w:jc w:val="both"/>
              <w:rPr>
                <w:sz w:val="24"/>
                <w:szCs w:val="24"/>
                <w:lang w:val="fr-ML"/>
              </w:rPr>
            </w:pPr>
            <w:r>
              <w:rPr>
                <w:sz w:val="24"/>
                <w:szCs w:val="24"/>
                <w:lang w:val="fr-ML"/>
              </w:rPr>
              <w:t>10</w:t>
            </w:r>
          </w:p>
        </w:tc>
        <w:tc>
          <w:tcPr>
            <w:tcW w:w="708" w:type="dxa"/>
          </w:tcPr>
          <w:p w14:paraId="2AB67E7D" w14:textId="77777777" w:rsidR="00D80693" w:rsidRPr="00712AFD" w:rsidRDefault="00D80693" w:rsidP="00E25DC6">
            <w:pPr>
              <w:spacing w:before="120"/>
              <w:jc w:val="both"/>
              <w:rPr>
                <w:sz w:val="24"/>
                <w:szCs w:val="24"/>
                <w:lang w:val="fr-ML"/>
              </w:rPr>
            </w:pPr>
            <w:r>
              <w:rPr>
                <w:sz w:val="24"/>
                <w:szCs w:val="24"/>
                <w:lang w:val="fr-ML"/>
              </w:rPr>
              <w:t>12</w:t>
            </w:r>
          </w:p>
        </w:tc>
        <w:tc>
          <w:tcPr>
            <w:tcW w:w="993" w:type="dxa"/>
          </w:tcPr>
          <w:p w14:paraId="361F454C" w14:textId="77777777" w:rsidR="00D80693" w:rsidRPr="00712AFD" w:rsidRDefault="00D80693" w:rsidP="00E25DC6">
            <w:pPr>
              <w:spacing w:before="120"/>
              <w:jc w:val="both"/>
              <w:rPr>
                <w:sz w:val="24"/>
                <w:szCs w:val="24"/>
                <w:lang w:val="fr-ML"/>
              </w:rPr>
            </w:pPr>
            <w:r>
              <w:rPr>
                <w:sz w:val="24"/>
                <w:szCs w:val="24"/>
                <w:lang w:val="fr-ML"/>
              </w:rPr>
              <w:t>5</w:t>
            </w:r>
          </w:p>
        </w:tc>
        <w:tc>
          <w:tcPr>
            <w:tcW w:w="850" w:type="dxa"/>
          </w:tcPr>
          <w:p w14:paraId="68B23DD0" w14:textId="77777777" w:rsidR="00D80693" w:rsidRPr="00712AFD" w:rsidRDefault="00D80693" w:rsidP="00E25DC6">
            <w:pPr>
              <w:spacing w:before="120"/>
              <w:jc w:val="both"/>
              <w:rPr>
                <w:sz w:val="24"/>
                <w:szCs w:val="24"/>
                <w:lang w:val="fr-ML"/>
              </w:rPr>
            </w:pPr>
            <w:r>
              <w:rPr>
                <w:sz w:val="24"/>
                <w:szCs w:val="24"/>
                <w:lang w:val="fr-ML"/>
              </w:rPr>
              <w:t>50</w:t>
            </w:r>
          </w:p>
        </w:tc>
        <w:tc>
          <w:tcPr>
            <w:tcW w:w="987" w:type="dxa"/>
          </w:tcPr>
          <w:p w14:paraId="18FA402A" w14:textId="77777777" w:rsidR="00D80693" w:rsidRPr="00712AFD" w:rsidRDefault="00D80693" w:rsidP="00E25DC6">
            <w:pPr>
              <w:spacing w:before="120"/>
              <w:jc w:val="both"/>
              <w:rPr>
                <w:sz w:val="24"/>
                <w:szCs w:val="24"/>
                <w:lang w:val="fr-ML"/>
              </w:rPr>
            </w:pPr>
            <w:r>
              <w:rPr>
                <w:sz w:val="24"/>
                <w:szCs w:val="24"/>
                <w:lang w:val="fr-ML"/>
              </w:rPr>
              <w:t>11,03</w:t>
            </w:r>
          </w:p>
        </w:tc>
      </w:tr>
      <w:tr w:rsidR="00D80693" w14:paraId="56AB6CEF" w14:textId="77777777" w:rsidTr="00D72320">
        <w:trPr>
          <w:trHeight w:val="342"/>
        </w:trPr>
        <w:tc>
          <w:tcPr>
            <w:tcW w:w="998" w:type="dxa"/>
          </w:tcPr>
          <w:p w14:paraId="5F8E0ED5" w14:textId="77777777" w:rsidR="00D80693" w:rsidRPr="00712AFD" w:rsidRDefault="00D80693" w:rsidP="00E25DC6">
            <w:pPr>
              <w:spacing w:before="120"/>
              <w:jc w:val="both"/>
              <w:rPr>
                <w:sz w:val="24"/>
                <w:szCs w:val="24"/>
                <w:lang w:val="fr-ML"/>
              </w:rPr>
            </w:pPr>
            <w:r>
              <w:rPr>
                <w:sz w:val="24"/>
                <w:szCs w:val="24"/>
                <w:lang w:val="fr-ML"/>
              </w:rPr>
              <w:t>TSE</w:t>
            </w:r>
          </w:p>
        </w:tc>
        <w:tc>
          <w:tcPr>
            <w:tcW w:w="983" w:type="dxa"/>
          </w:tcPr>
          <w:p w14:paraId="67DBDBAA" w14:textId="77777777" w:rsidR="00D80693" w:rsidRPr="00712AFD" w:rsidRDefault="00D80693" w:rsidP="00E25DC6">
            <w:pPr>
              <w:spacing w:before="120"/>
              <w:jc w:val="both"/>
              <w:rPr>
                <w:sz w:val="24"/>
                <w:szCs w:val="24"/>
                <w:lang w:val="fr-ML"/>
              </w:rPr>
            </w:pPr>
            <w:r>
              <w:rPr>
                <w:sz w:val="24"/>
                <w:szCs w:val="24"/>
                <w:lang w:val="fr-ML"/>
              </w:rPr>
              <w:t>10</w:t>
            </w:r>
          </w:p>
        </w:tc>
        <w:tc>
          <w:tcPr>
            <w:tcW w:w="849" w:type="dxa"/>
          </w:tcPr>
          <w:p w14:paraId="7887043D" w14:textId="77777777" w:rsidR="00D80693" w:rsidRPr="00712AFD" w:rsidRDefault="00D80693" w:rsidP="00E25DC6">
            <w:pPr>
              <w:spacing w:before="120"/>
              <w:jc w:val="both"/>
              <w:rPr>
                <w:sz w:val="24"/>
                <w:szCs w:val="24"/>
                <w:lang w:val="fr-ML"/>
              </w:rPr>
            </w:pPr>
            <w:r>
              <w:rPr>
                <w:sz w:val="24"/>
                <w:szCs w:val="24"/>
                <w:lang w:val="fr-ML"/>
              </w:rPr>
              <w:t>4</w:t>
            </w:r>
          </w:p>
        </w:tc>
        <w:tc>
          <w:tcPr>
            <w:tcW w:w="851" w:type="dxa"/>
          </w:tcPr>
          <w:p w14:paraId="6EBA7F2F" w14:textId="77777777" w:rsidR="00D80693" w:rsidRPr="00712AFD" w:rsidRDefault="00D80693" w:rsidP="00E25DC6">
            <w:pPr>
              <w:spacing w:before="120"/>
              <w:jc w:val="both"/>
              <w:rPr>
                <w:sz w:val="24"/>
                <w:szCs w:val="24"/>
                <w:lang w:val="fr-ML"/>
              </w:rPr>
            </w:pPr>
            <w:r>
              <w:rPr>
                <w:sz w:val="24"/>
                <w:szCs w:val="24"/>
                <w:lang w:val="fr-ML"/>
              </w:rPr>
              <w:t>6</w:t>
            </w:r>
          </w:p>
        </w:tc>
        <w:tc>
          <w:tcPr>
            <w:tcW w:w="992" w:type="dxa"/>
          </w:tcPr>
          <w:p w14:paraId="03AE24FD" w14:textId="77777777" w:rsidR="00D80693" w:rsidRPr="00712AFD" w:rsidRDefault="00D80693" w:rsidP="00E25DC6">
            <w:pPr>
              <w:spacing w:before="120"/>
              <w:jc w:val="both"/>
              <w:rPr>
                <w:sz w:val="24"/>
                <w:szCs w:val="24"/>
                <w:lang w:val="fr-ML"/>
              </w:rPr>
            </w:pPr>
            <w:r>
              <w:rPr>
                <w:sz w:val="24"/>
                <w:szCs w:val="24"/>
                <w:lang w:val="fr-ML"/>
              </w:rPr>
              <w:t>3</w:t>
            </w:r>
          </w:p>
        </w:tc>
        <w:tc>
          <w:tcPr>
            <w:tcW w:w="851" w:type="dxa"/>
          </w:tcPr>
          <w:p w14:paraId="4ACDBB93" w14:textId="77777777" w:rsidR="00D80693" w:rsidRPr="00712AFD" w:rsidRDefault="00D80693" w:rsidP="00E25DC6">
            <w:pPr>
              <w:spacing w:before="120"/>
              <w:jc w:val="both"/>
              <w:rPr>
                <w:sz w:val="24"/>
                <w:szCs w:val="24"/>
                <w:lang w:val="fr-ML"/>
              </w:rPr>
            </w:pPr>
            <w:r>
              <w:rPr>
                <w:sz w:val="24"/>
                <w:szCs w:val="24"/>
                <w:lang w:val="fr-ML"/>
              </w:rPr>
              <w:t>3</w:t>
            </w:r>
          </w:p>
        </w:tc>
        <w:tc>
          <w:tcPr>
            <w:tcW w:w="708" w:type="dxa"/>
          </w:tcPr>
          <w:p w14:paraId="51A1E30C" w14:textId="77777777" w:rsidR="00D80693" w:rsidRPr="00712AFD" w:rsidRDefault="00D80693" w:rsidP="00E25DC6">
            <w:pPr>
              <w:spacing w:before="120"/>
              <w:jc w:val="both"/>
              <w:rPr>
                <w:sz w:val="24"/>
                <w:szCs w:val="24"/>
                <w:lang w:val="fr-ML"/>
              </w:rPr>
            </w:pPr>
            <w:r>
              <w:rPr>
                <w:sz w:val="24"/>
                <w:szCs w:val="24"/>
                <w:lang w:val="fr-ML"/>
              </w:rPr>
              <w:t>9</w:t>
            </w:r>
          </w:p>
        </w:tc>
        <w:tc>
          <w:tcPr>
            <w:tcW w:w="993" w:type="dxa"/>
          </w:tcPr>
          <w:p w14:paraId="4A902BBC" w14:textId="77777777" w:rsidR="00D80693" w:rsidRPr="00712AFD" w:rsidRDefault="00D80693" w:rsidP="00E25DC6">
            <w:pPr>
              <w:spacing w:before="120"/>
              <w:jc w:val="both"/>
              <w:rPr>
                <w:sz w:val="24"/>
                <w:szCs w:val="24"/>
                <w:lang w:val="fr-ML"/>
              </w:rPr>
            </w:pPr>
            <w:r>
              <w:rPr>
                <w:sz w:val="24"/>
                <w:szCs w:val="24"/>
                <w:lang w:val="fr-ML"/>
              </w:rPr>
              <w:t>2</w:t>
            </w:r>
          </w:p>
        </w:tc>
        <w:tc>
          <w:tcPr>
            <w:tcW w:w="850" w:type="dxa"/>
          </w:tcPr>
          <w:p w14:paraId="17EAA61D" w14:textId="77777777" w:rsidR="00D80693" w:rsidRPr="00712AFD" w:rsidRDefault="00D80693" w:rsidP="00E25DC6">
            <w:pPr>
              <w:spacing w:before="120"/>
              <w:jc w:val="both"/>
              <w:rPr>
                <w:sz w:val="24"/>
                <w:szCs w:val="24"/>
                <w:lang w:val="fr-ML"/>
              </w:rPr>
            </w:pPr>
            <w:r>
              <w:rPr>
                <w:sz w:val="24"/>
                <w:szCs w:val="24"/>
                <w:lang w:val="fr-ML"/>
              </w:rPr>
              <w:t>37</w:t>
            </w:r>
          </w:p>
        </w:tc>
        <w:tc>
          <w:tcPr>
            <w:tcW w:w="987" w:type="dxa"/>
          </w:tcPr>
          <w:p w14:paraId="1FF35FB5" w14:textId="77777777" w:rsidR="00D80693" w:rsidRPr="00712AFD" w:rsidRDefault="00D80693" w:rsidP="00E25DC6">
            <w:pPr>
              <w:spacing w:before="120"/>
              <w:jc w:val="both"/>
              <w:rPr>
                <w:sz w:val="24"/>
                <w:szCs w:val="24"/>
                <w:lang w:val="fr-ML"/>
              </w:rPr>
            </w:pPr>
            <w:r>
              <w:rPr>
                <w:sz w:val="24"/>
                <w:szCs w:val="24"/>
                <w:lang w:val="fr-ML"/>
              </w:rPr>
              <w:t>8,16</w:t>
            </w:r>
          </w:p>
        </w:tc>
      </w:tr>
      <w:tr w:rsidR="00D80693" w14:paraId="6988D9E1" w14:textId="77777777" w:rsidTr="00D72320">
        <w:trPr>
          <w:trHeight w:val="342"/>
        </w:trPr>
        <w:tc>
          <w:tcPr>
            <w:tcW w:w="998" w:type="dxa"/>
          </w:tcPr>
          <w:p w14:paraId="097EDFEC" w14:textId="77777777" w:rsidR="00D80693" w:rsidRDefault="00D80693" w:rsidP="00E25DC6">
            <w:pPr>
              <w:spacing w:before="120"/>
              <w:jc w:val="both"/>
              <w:rPr>
                <w:sz w:val="24"/>
                <w:szCs w:val="24"/>
                <w:lang w:val="fr-ML"/>
              </w:rPr>
            </w:pPr>
            <w:r>
              <w:rPr>
                <w:sz w:val="24"/>
                <w:szCs w:val="24"/>
                <w:lang w:val="fr-ML"/>
              </w:rPr>
              <w:t>Total</w:t>
            </w:r>
          </w:p>
        </w:tc>
        <w:tc>
          <w:tcPr>
            <w:tcW w:w="983" w:type="dxa"/>
          </w:tcPr>
          <w:p w14:paraId="63612511" w14:textId="77777777" w:rsidR="00D80693" w:rsidRPr="00712AFD" w:rsidRDefault="00D80693" w:rsidP="00E25DC6">
            <w:pPr>
              <w:spacing w:before="120"/>
              <w:jc w:val="both"/>
              <w:rPr>
                <w:sz w:val="24"/>
                <w:szCs w:val="24"/>
                <w:lang w:val="fr-ML"/>
              </w:rPr>
            </w:pPr>
            <w:r>
              <w:rPr>
                <w:sz w:val="24"/>
                <w:szCs w:val="24"/>
                <w:lang w:val="fr-ML"/>
              </w:rPr>
              <w:t>90</w:t>
            </w:r>
          </w:p>
        </w:tc>
        <w:tc>
          <w:tcPr>
            <w:tcW w:w="849" w:type="dxa"/>
          </w:tcPr>
          <w:p w14:paraId="20D7F031" w14:textId="77777777" w:rsidR="00D80693" w:rsidRPr="00712AFD" w:rsidRDefault="00D80693" w:rsidP="00E25DC6">
            <w:pPr>
              <w:spacing w:before="120"/>
              <w:jc w:val="both"/>
              <w:rPr>
                <w:sz w:val="24"/>
                <w:szCs w:val="24"/>
                <w:lang w:val="fr-ML"/>
              </w:rPr>
            </w:pPr>
            <w:r>
              <w:rPr>
                <w:sz w:val="24"/>
                <w:szCs w:val="24"/>
                <w:lang w:val="fr-ML"/>
              </w:rPr>
              <w:t>28</w:t>
            </w:r>
          </w:p>
        </w:tc>
        <w:tc>
          <w:tcPr>
            <w:tcW w:w="851" w:type="dxa"/>
          </w:tcPr>
          <w:p w14:paraId="17265AAD" w14:textId="77777777" w:rsidR="00D80693" w:rsidRPr="00712AFD" w:rsidRDefault="00D80693" w:rsidP="00E25DC6">
            <w:pPr>
              <w:spacing w:before="120"/>
              <w:jc w:val="both"/>
              <w:rPr>
                <w:sz w:val="24"/>
                <w:szCs w:val="24"/>
                <w:lang w:val="fr-ML"/>
              </w:rPr>
            </w:pPr>
            <w:r>
              <w:rPr>
                <w:sz w:val="24"/>
                <w:szCs w:val="24"/>
                <w:lang w:val="fr-ML"/>
              </w:rPr>
              <w:t>79</w:t>
            </w:r>
          </w:p>
        </w:tc>
        <w:tc>
          <w:tcPr>
            <w:tcW w:w="992" w:type="dxa"/>
          </w:tcPr>
          <w:p w14:paraId="35714E47" w14:textId="77777777" w:rsidR="00D80693" w:rsidRPr="00712AFD" w:rsidRDefault="00D80693" w:rsidP="00E25DC6">
            <w:pPr>
              <w:spacing w:before="120"/>
              <w:jc w:val="both"/>
              <w:rPr>
                <w:sz w:val="24"/>
                <w:szCs w:val="24"/>
                <w:lang w:val="fr-ML"/>
              </w:rPr>
            </w:pPr>
            <w:r>
              <w:rPr>
                <w:sz w:val="24"/>
                <w:szCs w:val="24"/>
                <w:lang w:val="fr-ML"/>
              </w:rPr>
              <w:t>65</w:t>
            </w:r>
          </w:p>
        </w:tc>
        <w:tc>
          <w:tcPr>
            <w:tcW w:w="851" w:type="dxa"/>
          </w:tcPr>
          <w:p w14:paraId="56D4D2CF" w14:textId="77777777" w:rsidR="00D80693" w:rsidRPr="00712AFD" w:rsidRDefault="00D80693" w:rsidP="00E25DC6">
            <w:pPr>
              <w:spacing w:before="120"/>
              <w:jc w:val="both"/>
              <w:rPr>
                <w:sz w:val="24"/>
                <w:szCs w:val="24"/>
                <w:lang w:val="fr-ML"/>
              </w:rPr>
            </w:pPr>
            <w:r>
              <w:rPr>
                <w:sz w:val="24"/>
                <w:szCs w:val="24"/>
                <w:lang w:val="fr-ML"/>
              </w:rPr>
              <w:t>58</w:t>
            </w:r>
          </w:p>
        </w:tc>
        <w:tc>
          <w:tcPr>
            <w:tcW w:w="708" w:type="dxa"/>
          </w:tcPr>
          <w:p w14:paraId="3DA820F2" w14:textId="77777777" w:rsidR="00D80693" w:rsidRPr="00712AFD" w:rsidRDefault="00D80693" w:rsidP="00E25DC6">
            <w:pPr>
              <w:spacing w:before="120"/>
              <w:jc w:val="both"/>
              <w:rPr>
                <w:sz w:val="24"/>
                <w:szCs w:val="24"/>
                <w:lang w:val="fr-ML"/>
              </w:rPr>
            </w:pPr>
            <w:r>
              <w:rPr>
                <w:sz w:val="24"/>
                <w:szCs w:val="24"/>
                <w:lang w:val="fr-ML"/>
              </w:rPr>
              <w:t>100</w:t>
            </w:r>
          </w:p>
        </w:tc>
        <w:tc>
          <w:tcPr>
            <w:tcW w:w="993" w:type="dxa"/>
          </w:tcPr>
          <w:p w14:paraId="7604C445" w14:textId="77777777" w:rsidR="00D80693" w:rsidRPr="00712AFD" w:rsidRDefault="00D80693" w:rsidP="00E25DC6">
            <w:pPr>
              <w:spacing w:before="120"/>
              <w:jc w:val="both"/>
              <w:rPr>
                <w:sz w:val="24"/>
                <w:szCs w:val="24"/>
                <w:lang w:val="fr-ML"/>
              </w:rPr>
            </w:pPr>
            <w:r>
              <w:rPr>
                <w:sz w:val="24"/>
                <w:szCs w:val="24"/>
                <w:lang w:val="fr-ML"/>
              </w:rPr>
              <w:t>33</w:t>
            </w:r>
          </w:p>
        </w:tc>
        <w:tc>
          <w:tcPr>
            <w:tcW w:w="850" w:type="dxa"/>
          </w:tcPr>
          <w:p w14:paraId="2FEA7B89" w14:textId="77777777" w:rsidR="00D80693" w:rsidRPr="00712AFD" w:rsidRDefault="00D80693" w:rsidP="00E25DC6">
            <w:pPr>
              <w:spacing w:before="120"/>
              <w:jc w:val="both"/>
              <w:rPr>
                <w:sz w:val="24"/>
                <w:szCs w:val="24"/>
                <w:lang w:val="fr-ML"/>
              </w:rPr>
            </w:pPr>
            <w:r>
              <w:rPr>
                <w:sz w:val="24"/>
                <w:szCs w:val="24"/>
                <w:lang w:val="fr-ML"/>
              </w:rPr>
              <w:t>453</w:t>
            </w:r>
          </w:p>
        </w:tc>
        <w:tc>
          <w:tcPr>
            <w:tcW w:w="987" w:type="dxa"/>
          </w:tcPr>
          <w:p w14:paraId="519202F9" w14:textId="77777777" w:rsidR="00D80693" w:rsidRPr="00712AFD" w:rsidRDefault="00D80693" w:rsidP="00E25DC6">
            <w:pPr>
              <w:spacing w:before="120"/>
              <w:jc w:val="both"/>
              <w:rPr>
                <w:sz w:val="24"/>
                <w:szCs w:val="24"/>
                <w:lang w:val="fr-ML"/>
              </w:rPr>
            </w:pPr>
            <w:r>
              <w:rPr>
                <w:sz w:val="24"/>
                <w:szCs w:val="24"/>
                <w:lang w:val="fr-ML"/>
              </w:rPr>
              <w:t>100</w:t>
            </w:r>
          </w:p>
        </w:tc>
      </w:tr>
    </w:tbl>
    <w:p w14:paraId="421B7B42" w14:textId="77777777" w:rsidR="00D80693" w:rsidRDefault="00D80693" w:rsidP="00E25DC6">
      <w:pPr>
        <w:spacing w:before="120"/>
        <w:jc w:val="both"/>
        <w:rPr>
          <w:sz w:val="24"/>
          <w:szCs w:val="24"/>
          <w:lang w:val="fr-ML"/>
        </w:rPr>
      </w:pPr>
      <w:r>
        <w:rPr>
          <w:sz w:val="24"/>
          <w:szCs w:val="24"/>
          <w:lang w:val="fr-ML"/>
        </w:rPr>
        <w:t xml:space="preserve">Source : enquête personnelle 2022, octobre 2022 aux lycées </w:t>
      </w:r>
      <w:proofErr w:type="gramStart"/>
      <w:r>
        <w:rPr>
          <w:sz w:val="24"/>
          <w:szCs w:val="24"/>
          <w:lang w:val="fr-ML"/>
        </w:rPr>
        <w:t>publics  de</w:t>
      </w:r>
      <w:proofErr w:type="gramEnd"/>
      <w:r>
        <w:rPr>
          <w:sz w:val="24"/>
          <w:szCs w:val="24"/>
          <w:lang w:val="fr-ML"/>
        </w:rPr>
        <w:t xml:space="preserve"> l’académie rive gauche.</w:t>
      </w:r>
    </w:p>
    <w:p w14:paraId="486984E6" w14:textId="4C52E547" w:rsidR="00D80693" w:rsidRDefault="00D80693" w:rsidP="00E25DC6">
      <w:pPr>
        <w:spacing w:before="120"/>
        <w:jc w:val="both"/>
        <w:rPr>
          <w:sz w:val="24"/>
          <w:szCs w:val="24"/>
          <w:lang w:val="fr-ML"/>
        </w:rPr>
      </w:pPr>
      <w:r>
        <w:rPr>
          <w:sz w:val="24"/>
          <w:szCs w:val="24"/>
          <w:lang w:val="fr-ML"/>
        </w:rPr>
        <w:t>Analyse :</w:t>
      </w:r>
      <w:r w:rsidR="00756378">
        <w:rPr>
          <w:sz w:val="24"/>
          <w:szCs w:val="24"/>
          <w:lang w:val="fr-ML"/>
        </w:rPr>
        <w:t xml:space="preserve"> </w:t>
      </w:r>
      <w:r>
        <w:rPr>
          <w:sz w:val="24"/>
          <w:szCs w:val="24"/>
          <w:lang w:val="fr-ML"/>
        </w:rPr>
        <w:t>Ce tableau fait ressortir les données relatives aux effectifs des élèves admis dans les différentes séries au lycée publics de rive gauche.</w:t>
      </w:r>
    </w:p>
    <w:p w14:paraId="131C5475" w14:textId="77777777" w:rsidR="00D80693" w:rsidRDefault="00D80693" w:rsidP="00E25DC6">
      <w:pPr>
        <w:spacing w:before="120"/>
        <w:jc w:val="both"/>
        <w:rPr>
          <w:sz w:val="24"/>
          <w:szCs w:val="24"/>
          <w:lang w:val="fr-ML"/>
        </w:rPr>
      </w:pPr>
      <w:r>
        <w:rPr>
          <w:sz w:val="24"/>
          <w:szCs w:val="24"/>
          <w:lang w:val="fr-ML"/>
        </w:rPr>
        <w:t>Ainsi, sur les 453 admis à l’examen soit 100% au total, (119 soit 26,27%) des élèves sont de la série Terminale Lettres et Langue ; (7 soit 1,54%) des élèves étaient en Terminale Art et langues ;(98 soit 21,65%) des admis sont de la terminale science sociale ; (142 soit 31,34%) des élèves sont de la terminale science économique et sociale ; (50 soit 11,03%) des admis expriment le taux faible en terminale sciences expérimentale ; et enfin (37 soit 8,16 %) des élèves admis sont de la terminale science exacte.</w:t>
      </w:r>
    </w:p>
    <w:p w14:paraId="40E0CB5E" w14:textId="56EA8A99" w:rsidR="00D80693" w:rsidRDefault="00D80693" w:rsidP="00E25DC6">
      <w:pPr>
        <w:spacing w:before="120"/>
        <w:jc w:val="both"/>
        <w:rPr>
          <w:sz w:val="24"/>
          <w:szCs w:val="24"/>
          <w:lang w:val="fr-ML"/>
        </w:rPr>
      </w:pPr>
      <w:r>
        <w:rPr>
          <w:sz w:val="24"/>
          <w:szCs w:val="24"/>
          <w:lang w:val="fr-ML"/>
        </w:rPr>
        <w:t xml:space="preserve">A ces pourcentages, nous constatons que les enseignants perçoivent de difficultés à pouvoir faire un rendement scolaire efficace en mathématiques. Bien que les élèves se manifestent efficacement dans les autres matières, les mathématiques en tant que connaissances abstraites, obtiennent </w:t>
      </w:r>
      <w:r w:rsidR="009237F6">
        <w:rPr>
          <w:sz w:val="24"/>
          <w:szCs w:val="24"/>
          <w:lang w:val="fr-ML"/>
        </w:rPr>
        <w:t>des raisonnements abstraits</w:t>
      </w:r>
      <w:r>
        <w:rPr>
          <w:sz w:val="24"/>
          <w:szCs w:val="24"/>
          <w:lang w:val="fr-ML"/>
        </w:rPr>
        <w:t xml:space="preserve"> faisant figures de désintérêt des apprenants.</w:t>
      </w:r>
    </w:p>
    <w:p w14:paraId="0AE6BE34" w14:textId="716DCBD9" w:rsidR="00D80693" w:rsidRPr="008F7157" w:rsidRDefault="00D80693" w:rsidP="00E25DC6">
      <w:pPr>
        <w:spacing w:before="120"/>
        <w:jc w:val="both"/>
        <w:rPr>
          <w:sz w:val="24"/>
          <w:szCs w:val="24"/>
          <w:lang w:val="fr-ML"/>
        </w:rPr>
      </w:pPr>
      <w:r>
        <w:rPr>
          <w:sz w:val="24"/>
          <w:szCs w:val="24"/>
          <w:lang w:val="fr-ML"/>
        </w:rPr>
        <w:t xml:space="preserve">Figure n°1 : Donne l’étude statistique par variable aux lycées </w:t>
      </w:r>
      <w:r w:rsidR="009237F6">
        <w:rPr>
          <w:sz w:val="24"/>
          <w:szCs w:val="24"/>
          <w:lang w:val="fr-ML"/>
        </w:rPr>
        <w:t>publics de</w:t>
      </w:r>
      <w:r>
        <w:rPr>
          <w:sz w:val="24"/>
          <w:szCs w:val="24"/>
          <w:lang w:val="fr-ML"/>
        </w:rPr>
        <w:t xml:space="preserve"> l’académie rive gauche de Bamako.</w:t>
      </w:r>
    </w:p>
    <w:p w14:paraId="511B7754" w14:textId="77777777" w:rsidR="00D80693" w:rsidRDefault="00D80693" w:rsidP="00E25DC6">
      <w:pPr>
        <w:spacing w:before="120"/>
        <w:jc w:val="both"/>
        <w:rPr>
          <w:sz w:val="24"/>
          <w:szCs w:val="24"/>
          <w:lang w:val="fr-ML"/>
        </w:rPr>
      </w:pPr>
      <w:r>
        <w:rPr>
          <w:noProof/>
          <w:lang w:val="fr-SN" w:eastAsia="fr-SN"/>
        </w:rPr>
        <w:drawing>
          <wp:inline distT="0" distB="0" distL="0" distR="0" wp14:anchorId="546B2FF7" wp14:editId="2F1BF345">
            <wp:extent cx="6181090" cy="3240634"/>
            <wp:effectExtent l="0" t="0" r="10160" b="17145"/>
            <wp:docPr id="47903102" name="Graphique 47903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BDB253" w14:textId="77777777" w:rsidR="00D80693" w:rsidRDefault="00D80693" w:rsidP="00E25DC6">
      <w:pPr>
        <w:spacing w:before="120"/>
        <w:jc w:val="both"/>
        <w:rPr>
          <w:sz w:val="24"/>
          <w:szCs w:val="24"/>
          <w:lang w:val="fr-ML"/>
        </w:rPr>
      </w:pPr>
      <w:r w:rsidRPr="009E603B">
        <w:rPr>
          <w:b/>
          <w:sz w:val="24"/>
          <w:szCs w:val="24"/>
          <w:lang w:val="fr-ML"/>
        </w:rPr>
        <w:t>Source :</w:t>
      </w:r>
      <w:r>
        <w:rPr>
          <w:sz w:val="24"/>
          <w:szCs w:val="24"/>
          <w:lang w:val="fr-ML"/>
        </w:rPr>
        <w:t xml:space="preserve"> enquête personnelle, octobre 2022. Lycées publics de l’académie rive gauche.</w:t>
      </w:r>
    </w:p>
    <w:p w14:paraId="796EE7B3" w14:textId="3D7FF498" w:rsidR="009237F6" w:rsidRDefault="00D80693" w:rsidP="00E25DC6">
      <w:pPr>
        <w:spacing w:before="120"/>
        <w:jc w:val="both"/>
        <w:rPr>
          <w:sz w:val="24"/>
          <w:szCs w:val="24"/>
          <w:lang w:val="fr-ML"/>
        </w:rPr>
      </w:pPr>
      <w:r>
        <w:rPr>
          <w:sz w:val="24"/>
          <w:szCs w:val="24"/>
          <w:lang w:val="fr-ML"/>
        </w:rPr>
        <w:t>Cette figure affiche les valeurs en forme verticales. Ces valeurs sont représentées par la hauteur des colonnes simples suivant l’axe des ordonnées. Elle identifie les données que nous comparons entre variables pour expliquer leur influence sur les techniques d’apprentissages des professeurs de mathématiques</w:t>
      </w:r>
      <w:r w:rsidRPr="00504A52">
        <w:rPr>
          <w:sz w:val="24"/>
          <w:szCs w:val="24"/>
          <w:lang w:val="fr-ML"/>
        </w:rPr>
        <w:t>.</w:t>
      </w:r>
      <w:r>
        <w:rPr>
          <w:sz w:val="24"/>
          <w:szCs w:val="24"/>
          <w:lang w:val="fr-ML"/>
        </w:rPr>
        <w:t xml:space="preserve"> Cette </w:t>
      </w:r>
      <w:r w:rsidRPr="00504A52">
        <w:rPr>
          <w:sz w:val="24"/>
          <w:szCs w:val="24"/>
          <w:lang w:val="fr-ML"/>
        </w:rPr>
        <w:t>expérience apparait donc comme un outil de confrontation au réel</w:t>
      </w:r>
      <w:r>
        <w:rPr>
          <w:lang w:val="fr-ML"/>
        </w:rPr>
        <w:t xml:space="preserve"> </w:t>
      </w:r>
      <w:r w:rsidRPr="00504A52">
        <w:rPr>
          <w:sz w:val="24"/>
          <w:szCs w:val="24"/>
          <w:lang w:val="fr-ML"/>
        </w:rPr>
        <w:t>par la comparaison entre ce qui est supposé et ce qui se produit, mais auss</w:t>
      </w:r>
      <w:r>
        <w:rPr>
          <w:sz w:val="24"/>
          <w:szCs w:val="24"/>
          <w:lang w:val="fr-ML"/>
        </w:rPr>
        <w:t>i comme un outil de découverte (Galiana, 2002, p.29)</w:t>
      </w:r>
      <w:r w:rsidRPr="00504A52">
        <w:rPr>
          <w:sz w:val="24"/>
          <w:szCs w:val="24"/>
          <w:lang w:val="fr-ML"/>
        </w:rPr>
        <w:t>.</w:t>
      </w:r>
      <w:r>
        <w:rPr>
          <w:lang w:val="fr-ML"/>
        </w:rPr>
        <w:t xml:space="preserve"> </w:t>
      </w:r>
      <w:r>
        <w:rPr>
          <w:sz w:val="24"/>
          <w:szCs w:val="24"/>
          <w:lang w:val="fr-ML"/>
        </w:rPr>
        <w:t xml:space="preserve">Ainsi, nous observons une forte présence de salle de classes dans les lycées que de classes terminales sur un faible effectif de professeurs de mathématiques inégalement répartis au besoin entre les lycées. Une très grande insuffisance en termes de présences des laboratoires observées ; et cela entre les établissements, confirme les conditions d’apprentissages criardes des élèves. Les programmes scolaires sont difficilement mis en cas pratiques. Alors que, les pratiques expérimentales </w:t>
      </w:r>
      <w:r w:rsidRPr="00D75A0A">
        <w:rPr>
          <w:sz w:val="24"/>
          <w:szCs w:val="24"/>
          <w:lang w:val="fr-ML"/>
        </w:rPr>
        <w:t>sont une opportunité indispensable pour apporter aux élèves d’autres compétences et qui permettent des pédagogies moins frontales que les cours magistraux</w:t>
      </w:r>
      <w:r>
        <w:rPr>
          <w:sz w:val="24"/>
          <w:szCs w:val="24"/>
          <w:lang w:val="fr-ML"/>
        </w:rPr>
        <w:t xml:space="preserve"> (idem, 2002, p.26). Face à une telle situation, nous </w:t>
      </w:r>
      <w:r w:rsidR="009237F6">
        <w:rPr>
          <w:sz w:val="24"/>
          <w:szCs w:val="24"/>
          <w:lang w:val="fr-ML"/>
        </w:rPr>
        <w:t>déduisons que</w:t>
      </w:r>
      <w:r>
        <w:rPr>
          <w:sz w:val="24"/>
          <w:szCs w:val="24"/>
          <w:lang w:val="fr-ML"/>
        </w:rPr>
        <w:t xml:space="preserve"> les méthodes d’apprentissages restent toujours vaines lorsqu’elles ne font pas usage des matériels de performance.</w:t>
      </w:r>
    </w:p>
    <w:p w14:paraId="2EBBBE28" w14:textId="39188EFB" w:rsidR="00D80693" w:rsidRPr="00A2275C" w:rsidRDefault="009237F6" w:rsidP="00A2275C">
      <w:pPr>
        <w:pStyle w:val="Paragraphedeliste"/>
        <w:numPr>
          <w:ilvl w:val="0"/>
          <w:numId w:val="216"/>
        </w:numPr>
        <w:rPr>
          <w:b/>
          <w:sz w:val="28"/>
          <w:szCs w:val="28"/>
          <w:lang w:val="fr-ML"/>
        </w:rPr>
      </w:pPr>
      <w:r w:rsidRPr="00A2275C">
        <w:rPr>
          <w:sz w:val="24"/>
          <w:szCs w:val="24"/>
          <w:lang w:val="fr-ML"/>
        </w:rPr>
        <w:br w:type="page"/>
      </w:r>
      <w:r w:rsidR="00D80693" w:rsidRPr="00A2275C">
        <w:rPr>
          <w:b/>
          <w:sz w:val="28"/>
          <w:szCs w:val="28"/>
          <w:lang w:val="fr-ML"/>
        </w:rPr>
        <w:t>Méthodologique </w:t>
      </w:r>
    </w:p>
    <w:p w14:paraId="737ACF62" w14:textId="77777777" w:rsidR="00D80693" w:rsidRPr="0046360A" w:rsidRDefault="00D80693" w:rsidP="00E25DC6">
      <w:pPr>
        <w:spacing w:before="120"/>
        <w:jc w:val="both"/>
        <w:rPr>
          <w:sz w:val="24"/>
          <w:szCs w:val="24"/>
          <w:lang w:val="fr-ML"/>
        </w:rPr>
      </w:pPr>
      <w:r>
        <w:rPr>
          <w:sz w:val="24"/>
          <w:szCs w:val="24"/>
          <w:lang w:val="fr-ML"/>
        </w:rPr>
        <w:t xml:space="preserve">Cette étape nous a permis de choisir les critères à l’avance, afin de réaliser les mesures qui permettent de représenter l’ensemble de résultats au problème. Ainsi, notre technique d’échantillonnage est empirique, par choix raisonné. </w:t>
      </w:r>
    </w:p>
    <w:p w14:paraId="4972CE0C" w14:textId="0DD6409D" w:rsidR="00D80693" w:rsidRPr="0046360A" w:rsidRDefault="00D80693" w:rsidP="00E25DC6">
      <w:pPr>
        <w:spacing w:before="120"/>
        <w:jc w:val="both"/>
        <w:rPr>
          <w:sz w:val="24"/>
          <w:szCs w:val="24"/>
          <w:lang w:val="fr-ML"/>
        </w:rPr>
      </w:pPr>
      <w:r w:rsidRPr="0046360A">
        <w:rPr>
          <w:sz w:val="24"/>
          <w:szCs w:val="24"/>
          <w:lang w:val="fr-ML"/>
        </w:rPr>
        <w:t xml:space="preserve">Notre questionnaire a servi de collecter des données capables d’expliquer les compétences actives des professeurs ; élèves en classe terminales sur leurs attitudes, leurs techniques, en cours d’apprentissage dans les sept lycées publics de l’académie rive gauche de Bamako. Il est composé de questions mixtes : cette dernière laisse la possibilité de préciser d’autres matières que celles qui sont listées (Couto, P. al. 2015, p.50). L’académie rive gauche couvre (7) </w:t>
      </w:r>
      <w:r w:rsidR="00756378" w:rsidRPr="0046360A">
        <w:rPr>
          <w:sz w:val="24"/>
          <w:szCs w:val="24"/>
          <w:lang w:val="fr-ML"/>
        </w:rPr>
        <w:t>sept grands lycées publics</w:t>
      </w:r>
      <w:r w:rsidRPr="0046360A">
        <w:rPr>
          <w:sz w:val="24"/>
          <w:szCs w:val="24"/>
          <w:lang w:val="fr-ML"/>
        </w:rPr>
        <w:t xml:space="preserve">, dans lesquels nous avons composé notre échantillon de (77) sujets comprenant 35 professeurs soit (5) professeurs par lycée, dont (20 professeurs principaux, 12 autres sont professeurs titulaires, et 3 professeurs stagiaires). Nous avons retenu (1) administrateur scolaire dans les différents lycées soit (7) au total ; et (35) élèves soit (5 élèves) par lycée public. </w:t>
      </w:r>
    </w:p>
    <w:p w14:paraId="54578E7B" w14:textId="77777777" w:rsidR="00D80693" w:rsidRPr="0046360A" w:rsidRDefault="00D80693" w:rsidP="00E25DC6">
      <w:pPr>
        <w:spacing w:before="120"/>
        <w:jc w:val="both"/>
        <w:rPr>
          <w:sz w:val="24"/>
          <w:szCs w:val="24"/>
          <w:lang w:val="fr-ML"/>
        </w:rPr>
      </w:pPr>
      <w:r w:rsidRPr="0046360A">
        <w:rPr>
          <w:sz w:val="24"/>
          <w:szCs w:val="24"/>
          <w:lang w:val="fr-ML"/>
        </w:rPr>
        <w:t xml:space="preserve">L’enquête s’est déroulée dans tous les lycées publics de Bamako. </w:t>
      </w:r>
      <w:proofErr w:type="gramStart"/>
      <w:r w:rsidRPr="0046360A">
        <w:rPr>
          <w:sz w:val="24"/>
          <w:szCs w:val="24"/>
          <w:lang w:val="fr-ML"/>
        </w:rPr>
        <w:t>Suite à</w:t>
      </w:r>
      <w:proofErr w:type="gramEnd"/>
      <w:r w:rsidRPr="0046360A">
        <w:rPr>
          <w:sz w:val="24"/>
          <w:szCs w:val="24"/>
          <w:lang w:val="fr-ML"/>
        </w:rPr>
        <w:t xml:space="preserve"> la prise de contact qui a nécessité de faire un état des lieux sur la situation des enseignants et ceux de mathématiques en particulier, et aussi sur les résultats de l’examen, session 2022. Nous avons été administrés les questionnaires aux professeurs de mathématiques du 15 au 20 octobre 2022.  </w:t>
      </w:r>
    </w:p>
    <w:p w14:paraId="3E01E2A5" w14:textId="0D67434A" w:rsidR="00D80693" w:rsidRPr="009237F6" w:rsidRDefault="00D80693" w:rsidP="00E25DC6">
      <w:pPr>
        <w:pStyle w:val="Paragraphedeliste"/>
        <w:widowControl/>
        <w:numPr>
          <w:ilvl w:val="0"/>
          <w:numId w:val="216"/>
        </w:numPr>
        <w:autoSpaceDE/>
        <w:autoSpaceDN/>
        <w:rPr>
          <w:b/>
          <w:sz w:val="28"/>
          <w:szCs w:val="28"/>
          <w:lang w:val="fr-ML"/>
        </w:rPr>
      </w:pPr>
      <w:r w:rsidRPr="009237F6">
        <w:rPr>
          <w:b/>
          <w:sz w:val="28"/>
          <w:szCs w:val="28"/>
          <w:lang w:val="fr-ML"/>
        </w:rPr>
        <w:t>Résultats et discussion </w:t>
      </w:r>
    </w:p>
    <w:p w14:paraId="6960A53D" w14:textId="77777777" w:rsidR="00D80693" w:rsidRDefault="00D80693" w:rsidP="00E25DC6">
      <w:pPr>
        <w:spacing w:before="120"/>
        <w:jc w:val="both"/>
        <w:rPr>
          <w:lang w:val="fr-ML"/>
        </w:rPr>
      </w:pPr>
      <w:r w:rsidRPr="00997BB4">
        <w:rPr>
          <w:sz w:val="24"/>
          <w:szCs w:val="24"/>
          <w:lang w:val="fr-ML"/>
        </w:rPr>
        <w:t xml:space="preserve">Les données collectées au cours de nos enquêtes sur le terrain, sont cogitées et commentées conformément aux questions abordées dans les différents questionnaires. Cependant, les résultats ont été présentés </w:t>
      </w:r>
      <w:r>
        <w:rPr>
          <w:sz w:val="24"/>
          <w:szCs w:val="24"/>
          <w:lang w:val="fr-ML"/>
        </w:rPr>
        <w:t xml:space="preserve">dans </w:t>
      </w:r>
      <w:r w:rsidRPr="00997BB4">
        <w:rPr>
          <w:sz w:val="24"/>
          <w:szCs w:val="24"/>
          <w:lang w:val="fr-ML"/>
        </w:rPr>
        <w:t>des tableaux statistiques plus détaillés, suivis des commentaires</w:t>
      </w:r>
      <w:r>
        <w:rPr>
          <w:sz w:val="24"/>
          <w:szCs w:val="24"/>
          <w:lang w:val="fr-ML"/>
        </w:rPr>
        <w:t xml:space="preserve"> (Ag Raima, 2021, p.87)</w:t>
      </w:r>
      <w:r w:rsidRPr="00997BB4">
        <w:rPr>
          <w:sz w:val="24"/>
          <w:szCs w:val="24"/>
          <w:lang w:val="fr-ML"/>
        </w:rPr>
        <w:t>. Ainsi, les tableaux</w:t>
      </w:r>
      <w:r>
        <w:rPr>
          <w:sz w:val="24"/>
          <w:szCs w:val="24"/>
          <w:lang w:val="fr-ML"/>
        </w:rPr>
        <w:t xml:space="preserve"> 1 à 8 présentent l’influence de l’évaluation diagnostique dans l’apprentissage des mathématiques ; 7 à 9 présentent la régulation comme méthode pour ajuster l’évaluation diagnostique dans l’apprentissage des mathématiques.</w:t>
      </w:r>
      <w:r w:rsidRPr="006B4518">
        <w:rPr>
          <w:lang w:val="fr-ML"/>
        </w:rPr>
        <w:t xml:space="preserve">          </w:t>
      </w:r>
    </w:p>
    <w:p w14:paraId="3BAFF212" w14:textId="77777777" w:rsidR="00D80693" w:rsidRDefault="00D80693" w:rsidP="00E25DC6">
      <w:pPr>
        <w:spacing w:before="120"/>
        <w:jc w:val="both"/>
        <w:rPr>
          <w:lang w:val="fr-ML"/>
        </w:rPr>
      </w:pPr>
    </w:p>
    <w:p w14:paraId="67E67F5E" w14:textId="77777777" w:rsidR="00D80693" w:rsidRPr="00A10681" w:rsidRDefault="00D80693" w:rsidP="00E25DC6">
      <w:pPr>
        <w:spacing w:before="120"/>
        <w:jc w:val="both"/>
        <w:rPr>
          <w:sz w:val="24"/>
          <w:szCs w:val="24"/>
          <w:lang w:val="fr-ML"/>
        </w:rPr>
      </w:pPr>
      <w:r w:rsidRPr="00A10681">
        <w:rPr>
          <w:noProof/>
          <w:lang w:val="fr-SN" w:eastAsia="fr-SN"/>
        </w:rPr>
        <w:drawing>
          <wp:inline distT="0" distB="0" distL="0" distR="0" wp14:anchorId="5E505E0E" wp14:editId="4C351D92">
            <wp:extent cx="5760720" cy="3248660"/>
            <wp:effectExtent l="0" t="0" r="11430" b="8890"/>
            <wp:docPr id="547957739" name="Graphique 5479577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B4518">
        <w:rPr>
          <w:lang w:val="fr-ML"/>
        </w:rPr>
        <w:t xml:space="preserve">           </w:t>
      </w:r>
    </w:p>
    <w:p w14:paraId="10B12965" w14:textId="77777777" w:rsidR="00D80693" w:rsidRDefault="00D80693" w:rsidP="00E25DC6">
      <w:pPr>
        <w:spacing w:before="120"/>
        <w:rPr>
          <w:sz w:val="24"/>
          <w:szCs w:val="24"/>
        </w:rPr>
      </w:pPr>
      <w:r w:rsidRPr="00FF2AE4">
        <w:rPr>
          <w:b/>
          <w:sz w:val="24"/>
          <w:szCs w:val="24"/>
        </w:rPr>
        <w:t>Source :</w:t>
      </w:r>
      <w:r>
        <w:rPr>
          <w:sz w:val="24"/>
          <w:szCs w:val="24"/>
        </w:rPr>
        <w:t xml:space="preserve"> enquête personnelle février 2023.</w:t>
      </w:r>
    </w:p>
    <w:p w14:paraId="778DBEE9" w14:textId="77777777" w:rsidR="00D80693" w:rsidRDefault="00D80693" w:rsidP="00E25DC6">
      <w:pPr>
        <w:spacing w:before="120"/>
        <w:jc w:val="both"/>
        <w:rPr>
          <w:sz w:val="24"/>
          <w:szCs w:val="24"/>
        </w:rPr>
      </w:pPr>
      <w:r>
        <w:rPr>
          <w:sz w:val="24"/>
          <w:szCs w:val="24"/>
        </w:rPr>
        <w:t>Ce tableau nous fait lire l’effectif des professeurs selon qu’il est principal, titulaire ou stagiaire.</w:t>
      </w:r>
    </w:p>
    <w:p w14:paraId="13E1EBD4" w14:textId="5DF4DE4C" w:rsidR="00D80693" w:rsidRDefault="00D80693" w:rsidP="00E25DC6">
      <w:pPr>
        <w:spacing w:before="120"/>
        <w:jc w:val="both"/>
        <w:rPr>
          <w:sz w:val="24"/>
          <w:szCs w:val="24"/>
        </w:rPr>
      </w:pPr>
      <w:r>
        <w:rPr>
          <w:sz w:val="24"/>
          <w:szCs w:val="24"/>
        </w:rPr>
        <w:t xml:space="preserve">Sur les 35 professeurs enquêtés, 12 professeurs dont 6 professeurs principaux, 4 professeurs titulaires et 2 professeurs titulaires, utilisent des exercices au tableau en début de cours de mathématiques pour distinguer les compétences mathématiques </w:t>
      </w:r>
      <w:r w:rsidR="00DA5992">
        <w:rPr>
          <w:sz w:val="24"/>
          <w:szCs w:val="24"/>
        </w:rPr>
        <w:t>des élèves</w:t>
      </w:r>
      <w:r>
        <w:rPr>
          <w:sz w:val="24"/>
          <w:szCs w:val="24"/>
        </w:rPr>
        <w:t xml:space="preserve"> en classe. Tandis que, 7 professeurs dont 4 principaux et 3 titulaires sont d’avis sur les productions écrites. Par ailleurs, 3 professeurs principaux estiment les activités orales ; contre 10 professeurs dont 5 professeurs principaux et 5 professeurs titulaires qui évoquent les questions à choix multiples pour comprendre les stratégies de compréhension des élèves en mathématiques. Enfin, nous constatons que 3 professeurs titulaires utilisent les questions directes pour examiner les niveaux des élèves en mathématiques. </w:t>
      </w:r>
    </w:p>
    <w:p w14:paraId="5D20EF2B" w14:textId="65DD0371" w:rsidR="00D80693" w:rsidRPr="00FF2AE4" w:rsidRDefault="00D80693" w:rsidP="00E25DC6">
      <w:pPr>
        <w:spacing w:before="120"/>
        <w:jc w:val="both"/>
        <w:rPr>
          <w:sz w:val="24"/>
          <w:szCs w:val="24"/>
        </w:rPr>
      </w:pPr>
      <w:r>
        <w:rPr>
          <w:sz w:val="24"/>
          <w:szCs w:val="24"/>
        </w:rPr>
        <w:t xml:space="preserve">A l’analyse, nous constatons que parmi les stratégies d’apprentissage de mathématiques, les exercices au tableau </w:t>
      </w:r>
      <w:r w:rsidR="003873B1">
        <w:rPr>
          <w:sz w:val="24"/>
          <w:szCs w:val="24"/>
        </w:rPr>
        <w:t>sont</w:t>
      </w:r>
      <w:r>
        <w:rPr>
          <w:sz w:val="24"/>
          <w:szCs w:val="24"/>
        </w:rPr>
        <w:t xml:space="preserve"> les plus utilisées par les professeurs. Et là, les professeurs principaux semblent plus performants dans cette procédure d’appropriation du savoir. Il s’agit là de comprendre que les savoirs scolaires ne se construisent pas de façon arbitraire, ils sont soumis à une double contrainte : celle de la recherche évidemment mais aussi celle des objectifs et des finalités assignés à l’enseignement </w:t>
      </w:r>
      <w:sdt>
        <w:sdtPr>
          <w:rPr>
            <w:sz w:val="24"/>
            <w:szCs w:val="24"/>
          </w:rPr>
          <w:id w:val="-1058624732"/>
          <w:citation/>
        </w:sdtPr>
        <w:sdtContent>
          <w:r>
            <w:rPr>
              <w:sz w:val="24"/>
              <w:szCs w:val="24"/>
            </w:rPr>
            <w:fldChar w:fldCharType="begin"/>
          </w:r>
          <w:r>
            <w:rPr>
              <w:sz w:val="24"/>
              <w:szCs w:val="24"/>
            </w:rPr>
            <w:instrText xml:space="preserve"> CITATION Jea512 \l 1036 </w:instrText>
          </w:r>
          <w:r>
            <w:rPr>
              <w:sz w:val="24"/>
              <w:szCs w:val="24"/>
            </w:rPr>
            <w:fldChar w:fldCharType="separate"/>
          </w:r>
          <w:r w:rsidRPr="00E179D6">
            <w:rPr>
              <w:noProof/>
              <w:sz w:val="24"/>
              <w:szCs w:val="24"/>
            </w:rPr>
            <w:t>(Rosier, 2002, p.51)</w:t>
          </w:r>
          <w:r>
            <w:rPr>
              <w:sz w:val="24"/>
              <w:szCs w:val="24"/>
            </w:rPr>
            <w:fldChar w:fldCharType="end"/>
          </w:r>
        </w:sdtContent>
      </w:sdt>
      <w:r>
        <w:rPr>
          <w:sz w:val="24"/>
          <w:szCs w:val="24"/>
        </w:rPr>
        <w:t xml:space="preserve">. Pédagogiquement, cette compétence demeure remarquable dans le rang des professeurs. Il apparait grandement que l’expérience et la perspicacité des professeurs principaux se distinguent par les résultats des élèves en mathématiques.  </w:t>
      </w:r>
    </w:p>
    <w:p w14:paraId="53842594" w14:textId="77777777" w:rsidR="00D80693" w:rsidRDefault="00D80693" w:rsidP="00E25DC6">
      <w:pPr>
        <w:tabs>
          <w:tab w:val="left" w:pos="817"/>
        </w:tabs>
        <w:spacing w:before="120"/>
        <w:jc w:val="both"/>
        <w:rPr>
          <w:sz w:val="24"/>
          <w:szCs w:val="24"/>
          <w:lang w:val="fr-ML"/>
        </w:rPr>
      </w:pPr>
      <w:r w:rsidRPr="00A10681">
        <w:rPr>
          <w:noProof/>
          <w:sz w:val="24"/>
          <w:szCs w:val="24"/>
          <w:lang w:val="fr-SN" w:eastAsia="fr-SN"/>
        </w:rPr>
        <w:drawing>
          <wp:inline distT="0" distB="0" distL="0" distR="0" wp14:anchorId="2CBC45C1" wp14:editId="4DCCBD2D">
            <wp:extent cx="5760720" cy="2911475"/>
            <wp:effectExtent l="0" t="0" r="11430" b="3175"/>
            <wp:docPr id="55199181" name="Graphique 55199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A27A42" w14:textId="77777777" w:rsidR="00D80693" w:rsidRDefault="00D80693" w:rsidP="00E25DC6">
      <w:pPr>
        <w:tabs>
          <w:tab w:val="left" w:pos="817"/>
        </w:tabs>
        <w:spacing w:before="120"/>
        <w:jc w:val="both"/>
        <w:rPr>
          <w:sz w:val="24"/>
          <w:szCs w:val="24"/>
          <w:lang w:val="fr-ML"/>
        </w:rPr>
      </w:pPr>
    </w:p>
    <w:p w14:paraId="6738E122" w14:textId="77777777" w:rsidR="00D80693" w:rsidRDefault="00D80693" w:rsidP="00E25DC6">
      <w:pPr>
        <w:tabs>
          <w:tab w:val="left" w:pos="817"/>
        </w:tabs>
        <w:spacing w:before="120"/>
        <w:jc w:val="both"/>
        <w:rPr>
          <w:sz w:val="24"/>
          <w:szCs w:val="24"/>
          <w:lang w:val="fr-ML"/>
        </w:rPr>
      </w:pPr>
      <w:r>
        <w:rPr>
          <w:sz w:val="24"/>
          <w:szCs w:val="24"/>
          <w:lang w:val="fr-ML"/>
        </w:rPr>
        <w:t>Source : enquête personnelle 2023.</w:t>
      </w:r>
    </w:p>
    <w:p w14:paraId="0C21C72C" w14:textId="77777777" w:rsidR="00D80693" w:rsidRDefault="00D80693" w:rsidP="00E25DC6">
      <w:pPr>
        <w:tabs>
          <w:tab w:val="left" w:pos="817"/>
        </w:tabs>
        <w:spacing w:before="120"/>
        <w:jc w:val="both"/>
        <w:rPr>
          <w:sz w:val="24"/>
          <w:szCs w:val="24"/>
          <w:lang w:val="fr-ML"/>
        </w:rPr>
      </w:pPr>
    </w:p>
    <w:p w14:paraId="06E29318" w14:textId="77777777" w:rsidR="00D80693" w:rsidRDefault="00D80693" w:rsidP="00E25DC6">
      <w:pPr>
        <w:tabs>
          <w:tab w:val="left" w:pos="817"/>
        </w:tabs>
        <w:spacing w:before="120"/>
        <w:jc w:val="both"/>
        <w:rPr>
          <w:sz w:val="24"/>
          <w:szCs w:val="24"/>
          <w:lang w:val="fr-ML"/>
        </w:rPr>
      </w:pPr>
      <w:r>
        <w:rPr>
          <w:sz w:val="24"/>
          <w:szCs w:val="24"/>
          <w:lang w:val="fr-ML"/>
        </w:rPr>
        <w:t>A lire ce tableau, nous trouvons :</w:t>
      </w:r>
    </w:p>
    <w:p w14:paraId="3D31A45C" w14:textId="77777777" w:rsidR="00D80693" w:rsidRDefault="00D80693" w:rsidP="00E25DC6">
      <w:pPr>
        <w:tabs>
          <w:tab w:val="left" w:pos="817"/>
        </w:tabs>
        <w:spacing w:before="120"/>
        <w:jc w:val="both"/>
        <w:rPr>
          <w:sz w:val="24"/>
          <w:szCs w:val="24"/>
          <w:lang w:val="fr-ML"/>
        </w:rPr>
      </w:pPr>
      <w:r>
        <w:rPr>
          <w:sz w:val="24"/>
          <w:szCs w:val="24"/>
          <w:lang w:val="fr-ML"/>
        </w:rPr>
        <w:t>Sur les 20 enquêtés, 12 professeurs principaux sont d’avis sur 7 professeurs titulaires et 1 professeur stagiaire que les compétences recherchées au cours de l’évaluation diagnostique peuvent améliorer les performances d’apprentissage des élèves en mathématiques. L’évaluation diagnostique permet à l’apprenant d’avoir la capacité non seulement de réfléchir sur son apprentissage mais aussi de le guider, le conduire.</w:t>
      </w:r>
      <w:sdt>
        <w:sdtPr>
          <w:rPr>
            <w:sz w:val="24"/>
            <w:szCs w:val="24"/>
            <w:lang w:val="fr-ML"/>
          </w:rPr>
          <w:id w:val="2105841795"/>
          <w:citation/>
        </w:sdtPr>
        <w:sdtContent>
          <w:r>
            <w:rPr>
              <w:sz w:val="24"/>
              <w:szCs w:val="24"/>
              <w:lang w:val="fr-ML"/>
            </w:rPr>
            <w:fldChar w:fldCharType="begin"/>
          </w:r>
          <w:r>
            <w:rPr>
              <w:sz w:val="24"/>
              <w:szCs w:val="24"/>
            </w:rPr>
            <w:instrText xml:space="preserve"> CITATION Yas24 \l 1036 </w:instrText>
          </w:r>
          <w:r>
            <w:rPr>
              <w:sz w:val="24"/>
              <w:szCs w:val="24"/>
              <w:lang w:val="fr-ML"/>
            </w:rPr>
            <w:fldChar w:fldCharType="separate"/>
          </w:r>
          <w:r>
            <w:rPr>
              <w:noProof/>
              <w:sz w:val="24"/>
              <w:szCs w:val="24"/>
            </w:rPr>
            <w:t xml:space="preserve"> </w:t>
          </w:r>
          <w:r w:rsidRPr="00C46339">
            <w:rPr>
              <w:noProof/>
              <w:sz w:val="24"/>
              <w:szCs w:val="24"/>
            </w:rPr>
            <w:t>(Khainnar, 2019, p. 24)</w:t>
          </w:r>
          <w:r>
            <w:rPr>
              <w:sz w:val="24"/>
              <w:szCs w:val="24"/>
              <w:lang w:val="fr-ML"/>
            </w:rPr>
            <w:fldChar w:fldCharType="end"/>
          </w:r>
        </w:sdtContent>
      </w:sdt>
    </w:p>
    <w:p w14:paraId="347B3072" w14:textId="485CE6BA" w:rsidR="00D80693" w:rsidRDefault="003873B1" w:rsidP="00E25DC6">
      <w:pPr>
        <w:tabs>
          <w:tab w:val="left" w:pos="817"/>
        </w:tabs>
        <w:spacing w:before="120"/>
        <w:jc w:val="both"/>
        <w:rPr>
          <w:sz w:val="24"/>
          <w:szCs w:val="24"/>
          <w:lang w:val="fr-ML"/>
        </w:rPr>
      </w:pPr>
      <w:r>
        <w:rPr>
          <w:sz w:val="24"/>
          <w:szCs w:val="24"/>
          <w:lang w:val="fr-ML"/>
        </w:rPr>
        <w:t>Cependant</w:t>
      </w:r>
      <w:r w:rsidR="00D80693">
        <w:rPr>
          <w:sz w:val="24"/>
          <w:szCs w:val="24"/>
          <w:lang w:val="fr-ML"/>
        </w:rPr>
        <w:t xml:space="preserve">, sur les 15 professeurs dont 8 professeurs principaux et 5 professeurs titulaires et 2 professeurs stagiaires ne sont pas d’avis que l’évaluation diagnostique est un apprentissage influençant le niveau de compréhension des élèves en mathématiques. </w:t>
      </w:r>
    </w:p>
    <w:p w14:paraId="74FE42C7" w14:textId="77777777" w:rsidR="00D80693" w:rsidRDefault="00D80693" w:rsidP="00E25DC6">
      <w:pPr>
        <w:tabs>
          <w:tab w:val="left" w:pos="817"/>
        </w:tabs>
        <w:spacing w:before="120"/>
        <w:jc w:val="both"/>
        <w:rPr>
          <w:sz w:val="24"/>
          <w:szCs w:val="24"/>
          <w:lang w:val="fr-ML"/>
        </w:rPr>
      </w:pPr>
      <w:r>
        <w:rPr>
          <w:sz w:val="24"/>
          <w:szCs w:val="24"/>
          <w:lang w:val="fr-ML"/>
        </w:rPr>
        <w:t xml:space="preserve">Par ailleurs, il revient à savoir qu’engager l’élève à suivre l’évolution de ses apprentissages, c’est lui faire un grand pas dans la compréhension des processus de sa performance (stratégies cognitives, métacognitives, etc.) </w:t>
      </w:r>
      <w:sdt>
        <w:sdtPr>
          <w:rPr>
            <w:sz w:val="24"/>
            <w:szCs w:val="24"/>
            <w:lang w:val="fr-ML"/>
          </w:rPr>
          <w:id w:val="288941826"/>
          <w:citation/>
        </w:sdtPr>
        <w:sdtContent>
          <w:r>
            <w:rPr>
              <w:sz w:val="24"/>
              <w:szCs w:val="24"/>
              <w:lang w:val="fr-ML"/>
            </w:rPr>
            <w:fldChar w:fldCharType="begin"/>
          </w:r>
          <w:r>
            <w:rPr>
              <w:sz w:val="24"/>
              <w:szCs w:val="24"/>
            </w:rPr>
            <w:instrText xml:space="preserve"> CITATION Rod79 \l 1036 </w:instrText>
          </w:r>
          <w:r>
            <w:rPr>
              <w:sz w:val="24"/>
              <w:szCs w:val="24"/>
              <w:lang w:val="fr-ML"/>
            </w:rPr>
            <w:fldChar w:fldCharType="separate"/>
          </w:r>
          <w:r w:rsidRPr="0086183D">
            <w:rPr>
              <w:noProof/>
              <w:sz w:val="24"/>
              <w:szCs w:val="24"/>
            </w:rPr>
            <w:t>(Richard, 2002, p. 179)</w:t>
          </w:r>
          <w:r>
            <w:rPr>
              <w:sz w:val="24"/>
              <w:szCs w:val="24"/>
              <w:lang w:val="fr-ML"/>
            </w:rPr>
            <w:fldChar w:fldCharType="end"/>
          </w:r>
        </w:sdtContent>
      </w:sdt>
    </w:p>
    <w:p w14:paraId="5954C36E" w14:textId="77777777" w:rsidR="00D80693" w:rsidRPr="009E6C97" w:rsidRDefault="00D80693" w:rsidP="00E25DC6">
      <w:pPr>
        <w:tabs>
          <w:tab w:val="left" w:pos="817"/>
        </w:tabs>
        <w:spacing w:before="120"/>
        <w:jc w:val="both"/>
        <w:rPr>
          <w:sz w:val="24"/>
          <w:szCs w:val="24"/>
          <w:lang w:val="fr-ML"/>
        </w:rPr>
      </w:pPr>
    </w:p>
    <w:p w14:paraId="23DA259C" w14:textId="77777777" w:rsidR="00D80693" w:rsidRDefault="00D80693" w:rsidP="00E25DC6">
      <w:pPr>
        <w:tabs>
          <w:tab w:val="left" w:pos="817"/>
        </w:tabs>
        <w:spacing w:before="120"/>
        <w:jc w:val="both"/>
        <w:rPr>
          <w:b/>
          <w:sz w:val="24"/>
          <w:szCs w:val="24"/>
          <w:lang w:val="fr-ML"/>
        </w:rPr>
      </w:pPr>
      <w:r w:rsidRPr="00A10681">
        <w:rPr>
          <w:b/>
          <w:noProof/>
          <w:sz w:val="24"/>
          <w:szCs w:val="24"/>
          <w:lang w:val="fr-SN" w:eastAsia="fr-SN"/>
        </w:rPr>
        <w:drawing>
          <wp:inline distT="0" distB="0" distL="0" distR="0" wp14:anchorId="42824CCD" wp14:editId="1BC92C11">
            <wp:extent cx="5760720" cy="2721254"/>
            <wp:effectExtent l="0" t="0" r="11430" b="3175"/>
            <wp:docPr id="47226938" name="Graphique 47226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E19290" w14:textId="77777777" w:rsidR="00D80693" w:rsidRDefault="00D80693" w:rsidP="00E25DC6">
      <w:pPr>
        <w:tabs>
          <w:tab w:val="left" w:pos="817"/>
        </w:tabs>
        <w:spacing w:before="120"/>
        <w:jc w:val="both"/>
        <w:rPr>
          <w:b/>
          <w:sz w:val="24"/>
          <w:szCs w:val="24"/>
          <w:lang w:val="fr-ML"/>
        </w:rPr>
      </w:pPr>
    </w:p>
    <w:p w14:paraId="22C05D54" w14:textId="77777777" w:rsidR="00D80693" w:rsidRPr="00FF2AE4" w:rsidRDefault="00D80693" w:rsidP="00E25DC6">
      <w:pPr>
        <w:tabs>
          <w:tab w:val="left" w:pos="817"/>
        </w:tabs>
        <w:spacing w:before="120"/>
        <w:jc w:val="both"/>
        <w:rPr>
          <w:sz w:val="24"/>
          <w:szCs w:val="24"/>
          <w:lang w:val="fr-ML"/>
        </w:rPr>
      </w:pPr>
      <w:r w:rsidRPr="00FF2AE4">
        <w:rPr>
          <w:b/>
          <w:sz w:val="24"/>
          <w:szCs w:val="24"/>
          <w:lang w:val="fr-ML"/>
        </w:rPr>
        <w:t>Source :</w:t>
      </w:r>
      <w:r>
        <w:rPr>
          <w:sz w:val="24"/>
          <w:szCs w:val="24"/>
          <w:lang w:val="fr-ML"/>
        </w:rPr>
        <w:t xml:space="preserve"> enquête personnelle février 2023.</w:t>
      </w:r>
    </w:p>
    <w:p w14:paraId="48C93024" w14:textId="77777777" w:rsidR="00D80693" w:rsidRDefault="00D80693" w:rsidP="00E25DC6">
      <w:pPr>
        <w:tabs>
          <w:tab w:val="left" w:pos="817"/>
        </w:tabs>
        <w:spacing w:before="120"/>
        <w:jc w:val="both"/>
        <w:rPr>
          <w:sz w:val="24"/>
          <w:szCs w:val="24"/>
          <w:lang w:val="fr-ML"/>
        </w:rPr>
      </w:pPr>
      <w:r>
        <w:rPr>
          <w:sz w:val="24"/>
          <w:szCs w:val="24"/>
          <w:lang w:val="fr-ML"/>
        </w:rPr>
        <w:t>A lire ce tableau, nous comprendrons que,</w:t>
      </w:r>
    </w:p>
    <w:p w14:paraId="6948B0A3" w14:textId="042523F1" w:rsidR="00D80693" w:rsidRDefault="00D80693" w:rsidP="00E25DC6">
      <w:pPr>
        <w:tabs>
          <w:tab w:val="left" w:pos="817"/>
        </w:tabs>
        <w:spacing w:before="120"/>
        <w:jc w:val="both"/>
        <w:rPr>
          <w:sz w:val="24"/>
          <w:szCs w:val="24"/>
          <w:lang w:val="fr-ML"/>
        </w:rPr>
      </w:pPr>
      <w:r>
        <w:rPr>
          <w:sz w:val="24"/>
          <w:szCs w:val="24"/>
          <w:lang w:val="fr-ML"/>
        </w:rPr>
        <w:t xml:space="preserve">Sur les 23 enquêtés ayant dit OUI, 16 professeurs </w:t>
      </w:r>
      <w:r w:rsidR="003873B1">
        <w:rPr>
          <w:sz w:val="24"/>
          <w:szCs w:val="24"/>
          <w:lang w:val="fr-ML"/>
        </w:rPr>
        <w:t>principaux, 5</w:t>
      </w:r>
      <w:r>
        <w:rPr>
          <w:sz w:val="24"/>
          <w:szCs w:val="24"/>
          <w:lang w:val="fr-ML"/>
        </w:rPr>
        <w:t xml:space="preserve"> professeurs titulaires et 2 professeurs stagiaires, trouvent que la construction des objectifs généraux est le meilleur garant d’apprentissage pour diagnostique les aptitudes intellectuelles ou la motivation des élèves dans la résolution des taches en mathématique. </w:t>
      </w:r>
    </w:p>
    <w:p w14:paraId="24AD5C12" w14:textId="77777777" w:rsidR="00D80693" w:rsidRDefault="00D80693" w:rsidP="00E25DC6">
      <w:pPr>
        <w:tabs>
          <w:tab w:val="left" w:pos="817"/>
        </w:tabs>
        <w:spacing w:before="120"/>
        <w:jc w:val="both"/>
        <w:rPr>
          <w:sz w:val="24"/>
          <w:szCs w:val="24"/>
          <w:lang w:val="fr-ML"/>
        </w:rPr>
      </w:pPr>
      <w:proofErr w:type="gramStart"/>
      <w:r>
        <w:rPr>
          <w:sz w:val="24"/>
          <w:szCs w:val="24"/>
          <w:lang w:val="fr-ML"/>
        </w:rPr>
        <w:t>Par contre</w:t>
      </w:r>
      <w:proofErr w:type="gramEnd"/>
      <w:r>
        <w:rPr>
          <w:sz w:val="24"/>
          <w:szCs w:val="24"/>
          <w:lang w:val="fr-ML"/>
        </w:rPr>
        <w:t xml:space="preserve">, sur les 12 professeurs enquêtés, 4 professeurs principaux, 7 professeurs titulaires et 1 professeur stagiaire, ne sont pas d’avis que la fixation des objectifs est une des stratégies pour appliquer les élèves à comprendre les mathématiques. Au lycée, la régulation du processus d’enseignement-apprentissage exige que l’on soit capable de visualiser les potentiels de comportement visés par les démarches pédagogiques et de vérifier l’attente de ceux-ci chez chacun des élèves. (Richard, Op.cit. 2002, p.174). </w:t>
      </w:r>
    </w:p>
    <w:p w14:paraId="29B1E5DF" w14:textId="051CB738" w:rsidR="00D80693" w:rsidRDefault="00D80693" w:rsidP="00E25DC6">
      <w:pPr>
        <w:tabs>
          <w:tab w:val="left" w:pos="817"/>
        </w:tabs>
        <w:spacing w:before="120"/>
        <w:jc w:val="both"/>
        <w:rPr>
          <w:sz w:val="24"/>
          <w:szCs w:val="24"/>
          <w:lang w:val="fr-ML"/>
        </w:rPr>
      </w:pPr>
      <w:r>
        <w:rPr>
          <w:sz w:val="24"/>
          <w:szCs w:val="24"/>
          <w:lang w:val="fr-ML"/>
        </w:rPr>
        <w:t xml:space="preserve">A notre avis, la fixation n’est pas fonction de la réussite des apprentissages en mathématiques au lycée. Car, </w:t>
      </w:r>
      <w:r w:rsidR="003873B1">
        <w:rPr>
          <w:sz w:val="24"/>
          <w:szCs w:val="24"/>
          <w:lang w:val="fr-ML"/>
        </w:rPr>
        <w:t>bien</w:t>
      </w:r>
      <w:r>
        <w:rPr>
          <w:sz w:val="24"/>
          <w:szCs w:val="24"/>
          <w:lang w:val="fr-ML"/>
        </w:rPr>
        <w:t xml:space="preserve"> que les pratiques d’évaluation soient une pédagogique pour construire les normes de compétences ; il reste à savoir que cela est possible lorsqu’il existe une forte congruence entre les grilles d’évaluations par rapport à ce qui sera enseigné.</w:t>
      </w:r>
    </w:p>
    <w:p w14:paraId="28CC72DB" w14:textId="77777777" w:rsidR="00D80693" w:rsidRPr="003411E0" w:rsidRDefault="00D80693" w:rsidP="00E25DC6">
      <w:pPr>
        <w:tabs>
          <w:tab w:val="left" w:pos="817"/>
        </w:tabs>
        <w:spacing w:before="120"/>
        <w:jc w:val="both"/>
        <w:rPr>
          <w:sz w:val="24"/>
          <w:szCs w:val="24"/>
          <w:lang w:val="fr-ML"/>
        </w:rPr>
      </w:pPr>
      <w:r w:rsidRPr="00B40F59">
        <w:rPr>
          <w:noProof/>
          <w:sz w:val="24"/>
          <w:szCs w:val="24"/>
          <w:lang w:val="fr-SN" w:eastAsia="fr-SN"/>
        </w:rPr>
        <w:drawing>
          <wp:inline distT="0" distB="0" distL="0" distR="0" wp14:anchorId="0FAC489E" wp14:editId="5F6A90F7">
            <wp:extent cx="5760720" cy="2699309"/>
            <wp:effectExtent l="0" t="0" r="11430" b="6350"/>
            <wp:docPr id="1914895848" name="Graphique 1914895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5F030A" w14:textId="77777777" w:rsidR="00D80693" w:rsidRDefault="00D80693" w:rsidP="00E25DC6">
      <w:pPr>
        <w:tabs>
          <w:tab w:val="left" w:pos="817"/>
        </w:tabs>
        <w:spacing w:before="120"/>
        <w:jc w:val="both"/>
        <w:rPr>
          <w:b/>
          <w:sz w:val="24"/>
          <w:szCs w:val="24"/>
          <w:lang w:val="fr-ML"/>
        </w:rPr>
      </w:pPr>
    </w:p>
    <w:p w14:paraId="46047B69" w14:textId="77777777" w:rsidR="00D80693" w:rsidRPr="00A10681" w:rsidRDefault="00D80693" w:rsidP="00E25DC6">
      <w:pPr>
        <w:tabs>
          <w:tab w:val="left" w:pos="817"/>
        </w:tabs>
        <w:spacing w:before="120"/>
        <w:jc w:val="both"/>
        <w:rPr>
          <w:sz w:val="24"/>
          <w:szCs w:val="24"/>
          <w:lang w:val="fr-ML"/>
        </w:rPr>
      </w:pPr>
      <w:r w:rsidRPr="00A10681">
        <w:rPr>
          <w:b/>
          <w:sz w:val="24"/>
          <w:szCs w:val="24"/>
          <w:lang w:val="fr-ML"/>
        </w:rPr>
        <w:t>Source :</w:t>
      </w:r>
      <w:r w:rsidRPr="00A10681">
        <w:rPr>
          <w:sz w:val="24"/>
          <w:szCs w:val="24"/>
          <w:lang w:val="fr-ML"/>
        </w:rPr>
        <w:t xml:space="preserve"> enquête personnelle février 2023.</w:t>
      </w:r>
    </w:p>
    <w:p w14:paraId="34FF50C0" w14:textId="77777777" w:rsidR="00D80693" w:rsidRPr="00A10681" w:rsidRDefault="00D80693" w:rsidP="00E25DC6">
      <w:pPr>
        <w:tabs>
          <w:tab w:val="left" w:pos="817"/>
        </w:tabs>
        <w:spacing w:before="120"/>
        <w:jc w:val="both"/>
        <w:rPr>
          <w:sz w:val="24"/>
          <w:szCs w:val="24"/>
          <w:lang w:val="fr-ML"/>
        </w:rPr>
      </w:pPr>
      <w:r w:rsidRPr="00A10681">
        <w:rPr>
          <w:sz w:val="24"/>
          <w:szCs w:val="24"/>
          <w:lang w:val="fr-ML"/>
        </w:rPr>
        <w:t>A lire ce tableau, nous pouvons ressortir que,</w:t>
      </w:r>
    </w:p>
    <w:p w14:paraId="41C994EA" w14:textId="77777777" w:rsidR="00D80693" w:rsidRPr="00B40F59" w:rsidRDefault="00D80693" w:rsidP="00E25DC6">
      <w:pPr>
        <w:tabs>
          <w:tab w:val="left" w:pos="817"/>
        </w:tabs>
        <w:spacing w:before="120"/>
        <w:jc w:val="both"/>
        <w:rPr>
          <w:sz w:val="24"/>
          <w:szCs w:val="24"/>
          <w:lang w:val="fr-ML"/>
        </w:rPr>
      </w:pPr>
      <w:r w:rsidRPr="00B40F59">
        <w:rPr>
          <w:sz w:val="24"/>
          <w:szCs w:val="24"/>
          <w:lang w:val="fr-ML"/>
        </w:rPr>
        <w:t xml:space="preserve">Sur les 35 enquêtés au total des effectifs, 22 professeurs ayant dit OUI, dont 12 professeurs principaux, 8 professeurs titulaires et 2 professeurs stagiaires, indiquent que les situations pédagogiques d’apprentissage sont capables d’émerger les performances des élèves. Toutefois, cette situation peut produire grandement lorsque l’enseignant construit dans ses pratiques des objectifs pendant le cours. A cet effet, l’exigence d’une évaluation diagnostique peut autrement nécessiter par la formation des objectifs intermédiaires. </w:t>
      </w:r>
    </w:p>
    <w:p w14:paraId="6D62B391" w14:textId="2A9FC438" w:rsidR="00D80693" w:rsidRPr="00B40F59" w:rsidRDefault="00D80693" w:rsidP="00E25DC6">
      <w:pPr>
        <w:tabs>
          <w:tab w:val="left" w:pos="817"/>
        </w:tabs>
        <w:spacing w:before="120"/>
        <w:jc w:val="both"/>
        <w:rPr>
          <w:sz w:val="24"/>
          <w:szCs w:val="24"/>
          <w:lang w:val="fr-ML"/>
        </w:rPr>
      </w:pPr>
      <w:r w:rsidRPr="00B40F59">
        <w:rPr>
          <w:sz w:val="24"/>
          <w:szCs w:val="24"/>
          <w:lang w:val="fr-ML"/>
        </w:rPr>
        <w:t xml:space="preserve">Par ailleurs, sur les 13 professeurs dont 8 professeurs </w:t>
      </w:r>
      <w:proofErr w:type="gramStart"/>
      <w:r w:rsidRPr="00B40F59">
        <w:rPr>
          <w:sz w:val="24"/>
          <w:szCs w:val="24"/>
          <w:lang w:val="fr-ML"/>
        </w:rPr>
        <w:t>principaux,  4</w:t>
      </w:r>
      <w:proofErr w:type="gramEnd"/>
      <w:r w:rsidRPr="00B40F59">
        <w:rPr>
          <w:sz w:val="24"/>
          <w:szCs w:val="24"/>
          <w:lang w:val="fr-ML"/>
        </w:rPr>
        <w:t xml:space="preserve"> professeurs titulaires et 1 professeur </w:t>
      </w:r>
      <w:r w:rsidR="003873B1" w:rsidRPr="00B40F59">
        <w:rPr>
          <w:sz w:val="24"/>
          <w:szCs w:val="24"/>
          <w:lang w:val="fr-ML"/>
        </w:rPr>
        <w:t>stagiaire infirment</w:t>
      </w:r>
      <w:r w:rsidRPr="00B40F59">
        <w:rPr>
          <w:sz w:val="24"/>
          <w:szCs w:val="24"/>
          <w:lang w:val="fr-ML"/>
        </w:rPr>
        <w:t xml:space="preserve"> le rapport des objectifs intermédiaires comme situation pédagogique d’apprentissage favorisant l’émergence des compétences en mathématiques. Les objectifs intermédiaires sont des manifestations auxquelles doivent reposer les stratégies d’enseignement de l’enseignant. Or, les élèves en difficultés de mathématiques semblent nécessiter des mesures d’aide plus intensives prodiguées directement par un enseignant. </w:t>
      </w:r>
      <w:sdt>
        <w:sdtPr>
          <w:rPr>
            <w:lang w:val="fr-ML"/>
          </w:rPr>
          <w:id w:val="-1586372960"/>
          <w:citation/>
        </w:sdtPr>
        <w:sdtContent>
          <w:r w:rsidRPr="00B40F59">
            <w:rPr>
              <w:sz w:val="24"/>
              <w:szCs w:val="24"/>
              <w:lang w:val="fr-ML"/>
            </w:rPr>
            <w:fldChar w:fldCharType="begin"/>
          </w:r>
          <w:r w:rsidRPr="00B40F59">
            <w:rPr>
              <w:sz w:val="24"/>
              <w:szCs w:val="24"/>
            </w:rPr>
            <w:instrText xml:space="preserve"> CITATION Stè26 \l 1036 </w:instrText>
          </w:r>
          <w:r w:rsidRPr="00B40F59">
            <w:rPr>
              <w:sz w:val="24"/>
              <w:szCs w:val="24"/>
              <w:lang w:val="fr-ML"/>
            </w:rPr>
            <w:fldChar w:fldCharType="separate"/>
          </w:r>
          <w:r w:rsidRPr="00B40F59">
            <w:rPr>
              <w:noProof/>
              <w:sz w:val="24"/>
              <w:szCs w:val="24"/>
            </w:rPr>
            <w:t>(Stève Bissonnette, 2010, p.26)</w:t>
          </w:r>
          <w:r w:rsidRPr="00B40F59">
            <w:rPr>
              <w:sz w:val="24"/>
              <w:szCs w:val="24"/>
              <w:lang w:val="fr-ML"/>
            </w:rPr>
            <w:fldChar w:fldCharType="end"/>
          </w:r>
        </w:sdtContent>
      </w:sdt>
    </w:p>
    <w:p w14:paraId="7E8FA45A" w14:textId="77777777" w:rsidR="00D80693" w:rsidRDefault="00D80693" w:rsidP="00E25DC6">
      <w:pPr>
        <w:tabs>
          <w:tab w:val="left" w:pos="817"/>
        </w:tabs>
        <w:spacing w:before="120"/>
        <w:jc w:val="both"/>
        <w:rPr>
          <w:b/>
          <w:sz w:val="24"/>
          <w:szCs w:val="24"/>
          <w:lang w:val="fr-ML"/>
        </w:rPr>
      </w:pPr>
      <w:r w:rsidRPr="00FF2AE4">
        <w:rPr>
          <w:b/>
          <w:sz w:val="24"/>
          <w:szCs w:val="24"/>
          <w:lang w:val="fr-ML"/>
        </w:rPr>
        <w:t>.</w:t>
      </w:r>
    </w:p>
    <w:p w14:paraId="67A11970" w14:textId="77777777" w:rsidR="00D80693" w:rsidRPr="00FF2AE4" w:rsidRDefault="00D80693" w:rsidP="00E25DC6">
      <w:pPr>
        <w:tabs>
          <w:tab w:val="left" w:pos="817"/>
        </w:tabs>
        <w:spacing w:before="120"/>
        <w:jc w:val="both"/>
        <w:rPr>
          <w:b/>
          <w:sz w:val="24"/>
          <w:szCs w:val="24"/>
          <w:lang w:val="fr-ML"/>
        </w:rPr>
      </w:pPr>
      <w:r>
        <w:rPr>
          <w:noProof/>
          <w:lang w:val="fr-SN" w:eastAsia="fr-SN"/>
        </w:rPr>
        <w:drawing>
          <wp:inline distT="0" distB="0" distL="0" distR="0" wp14:anchorId="16483D15" wp14:editId="6C5C10F0">
            <wp:extent cx="5903366" cy="2830830"/>
            <wp:effectExtent l="0" t="0" r="2540" b="7620"/>
            <wp:docPr id="1707365674" name="Graphique 1707365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59CA8F" w14:textId="77777777" w:rsidR="00D80693" w:rsidRPr="002634C9" w:rsidRDefault="00D80693" w:rsidP="00E25DC6">
      <w:pPr>
        <w:tabs>
          <w:tab w:val="left" w:pos="817"/>
        </w:tabs>
        <w:spacing w:before="120"/>
        <w:jc w:val="both"/>
        <w:rPr>
          <w:sz w:val="24"/>
          <w:szCs w:val="24"/>
          <w:lang w:val="fr-ML"/>
        </w:rPr>
      </w:pPr>
      <w:r w:rsidRPr="002634C9">
        <w:rPr>
          <w:b/>
          <w:sz w:val="24"/>
          <w:szCs w:val="24"/>
          <w:lang w:val="fr-ML"/>
        </w:rPr>
        <w:t>Source :</w:t>
      </w:r>
      <w:r w:rsidRPr="002634C9">
        <w:rPr>
          <w:sz w:val="24"/>
          <w:szCs w:val="24"/>
          <w:lang w:val="fr-ML"/>
        </w:rPr>
        <w:t xml:space="preserve"> enquête personnelle février 2023.</w:t>
      </w:r>
    </w:p>
    <w:p w14:paraId="4D5A6119" w14:textId="77777777" w:rsidR="00D80693" w:rsidRPr="002634C9" w:rsidRDefault="00D80693" w:rsidP="00E25DC6">
      <w:pPr>
        <w:tabs>
          <w:tab w:val="left" w:pos="817"/>
        </w:tabs>
        <w:spacing w:before="120"/>
        <w:jc w:val="both"/>
        <w:rPr>
          <w:sz w:val="24"/>
          <w:szCs w:val="24"/>
          <w:lang w:val="fr-ML"/>
        </w:rPr>
      </w:pPr>
      <w:r w:rsidRPr="002634C9">
        <w:rPr>
          <w:sz w:val="24"/>
          <w:szCs w:val="24"/>
          <w:lang w:val="fr-ML"/>
        </w:rPr>
        <w:t>A lire ce tableau ci-dessus, nous observons que,</w:t>
      </w:r>
    </w:p>
    <w:p w14:paraId="1F4BDCBE" w14:textId="1A8D5961" w:rsidR="00D80693" w:rsidRPr="002634C9" w:rsidRDefault="00D80693" w:rsidP="00E25DC6">
      <w:pPr>
        <w:tabs>
          <w:tab w:val="left" w:pos="817"/>
        </w:tabs>
        <w:spacing w:before="120"/>
        <w:jc w:val="both"/>
        <w:rPr>
          <w:sz w:val="24"/>
          <w:szCs w:val="24"/>
          <w:lang w:val="fr-ML"/>
        </w:rPr>
      </w:pPr>
      <w:r w:rsidRPr="002634C9">
        <w:rPr>
          <w:sz w:val="24"/>
          <w:szCs w:val="24"/>
          <w:lang w:val="fr-ML"/>
        </w:rPr>
        <w:t xml:space="preserve">Sur les 35 enquêtés aux résultats des effectifs, 12 professeurs dont 6 professeurs principaux, 5 professeurs titulaires et 2 professeurs stagiaires sont d’avis qu’une discipline lorsqu’elle est bien maitrisée par l’enseignant ; il est possible de créer une relation de la préparation des contenus d’enseignement à la diagnostique. Cette évaluation, sa mise en œuvre ressort des dispositifs mis en exergue pour permettre à l’enseignant de nuancer le niveau d’évolution des élèves en mathématiques. Tandis que, sur les 23 professeurs ayant infirmés cette relation, 14 enquêtés sont des professeurs enquêtés, 7 professeurs sont titulaires, et 2 professeurs stagiaires. Par ailleurs, </w:t>
      </w:r>
      <w:r w:rsidR="003873B1" w:rsidRPr="002634C9">
        <w:rPr>
          <w:sz w:val="24"/>
          <w:szCs w:val="24"/>
          <w:lang w:val="fr-ML"/>
        </w:rPr>
        <w:t>pour (</w:t>
      </w:r>
      <w:proofErr w:type="spellStart"/>
      <w:r w:rsidRPr="002634C9">
        <w:rPr>
          <w:sz w:val="24"/>
          <w:szCs w:val="24"/>
          <w:lang w:val="fr-ML"/>
        </w:rPr>
        <w:t>Soïba</w:t>
      </w:r>
      <w:proofErr w:type="spellEnd"/>
      <w:r w:rsidRPr="002634C9">
        <w:rPr>
          <w:sz w:val="24"/>
          <w:szCs w:val="24"/>
          <w:lang w:val="fr-ML"/>
        </w:rPr>
        <w:t xml:space="preserve"> et al. 2023) cette relation vise à réguler le système de passage et de manière générale à améliorer le processus enseignement-apprentissage.</w:t>
      </w:r>
      <w:sdt>
        <w:sdtPr>
          <w:rPr>
            <w:lang w:val="fr-ML"/>
          </w:rPr>
          <w:id w:val="-1710950535"/>
          <w:citation/>
        </w:sdtPr>
        <w:sdtContent>
          <w:r w:rsidRPr="002634C9">
            <w:rPr>
              <w:sz w:val="24"/>
              <w:szCs w:val="24"/>
              <w:lang w:val="fr-ML"/>
            </w:rPr>
            <w:fldChar w:fldCharType="begin"/>
          </w:r>
          <w:r w:rsidRPr="002634C9">
            <w:rPr>
              <w:sz w:val="24"/>
              <w:szCs w:val="24"/>
            </w:rPr>
            <w:instrText xml:space="preserve"> CITATION Idr071 \l 1036 </w:instrText>
          </w:r>
          <w:r w:rsidRPr="002634C9">
            <w:rPr>
              <w:sz w:val="24"/>
              <w:szCs w:val="24"/>
              <w:lang w:val="fr-ML"/>
            </w:rPr>
            <w:fldChar w:fldCharType="separate"/>
          </w:r>
          <w:r w:rsidRPr="002634C9">
            <w:rPr>
              <w:noProof/>
              <w:sz w:val="24"/>
              <w:szCs w:val="24"/>
            </w:rPr>
            <w:t>(Traoré, Dembélé, &amp; Loua, 2023, p. 307)</w:t>
          </w:r>
          <w:r w:rsidRPr="002634C9">
            <w:rPr>
              <w:sz w:val="24"/>
              <w:szCs w:val="24"/>
              <w:lang w:val="fr-ML"/>
            </w:rPr>
            <w:fldChar w:fldCharType="end"/>
          </w:r>
        </w:sdtContent>
      </w:sdt>
      <w:r w:rsidRPr="002634C9">
        <w:rPr>
          <w:sz w:val="24"/>
          <w:szCs w:val="24"/>
          <w:lang w:val="fr-ML"/>
        </w:rPr>
        <w:t>, car, la synergie entre la préparation et l’évaluation, très concrète du maître et de ses élèves est bien au cœur de l’acte pédagogique.</w:t>
      </w:r>
      <w:sdt>
        <w:sdtPr>
          <w:rPr>
            <w:lang w:val="fr-ML"/>
          </w:rPr>
          <w:id w:val="68925767"/>
          <w:citation/>
        </w:sdtPr>
        <w:sdtContent>
          <w:r w:rsidRPr="002634C9">
            <w:rPr>
              <w:sz w:val="24"/>
              <w:szCs w:val="24"/>
              <w:lang w:val="fr-ML"/>
            </w:rPr>
            <w:fldChar w:fldCharType="begin"/>
          </w:r>
          <w:r w:rsidRPr="002634C9">
            <w:rPr>
              <w:sz w:val="24"/>
              <w:szCs w:val="24"/>
            </w:rPr>
            <w:instrText xml:space="preserve"> CITATION Lisp5 \l 1036 </w:instrText>
          </w:r>
          <w:r w:rsidRPr="002634C9">
            <w:rPr>
              <w:sz w:val="24"/>
              <w:szCs w:val="24"/>
              <w:lang w:val="fr-ML"/>
            </w:rPr>
            <w:fldChar w:fldCharType="separate"/>
          </w:r>
          <w:r w:rsidRPr="002634C9">
            <w:rPr>
              <w:noProof/>
              <w:sz w:val="24"/>
              <w:szCs w:val="24"/>
            </w:rPr>
            <w:t xml:space="preserve"> (Gremion, 2003, p.5)</w:t>
          </w:r>
          <w:r w:rsidRPr="002634C9">
            <w:rPr>
              <w:sz w:val="24"/>
              <w:szCs w:val="24"/>
              <w:lang w:val="fr-ML"/>
            </w:rPr>
            <w:fldChar w:fldCharType="end"/>
          </w:r>
        </w:sdtContent>
      </w:sdt>
      <w:r w:rsidRPr="002634C9">
        <w:rPr>
          <w:sz w:val="24"/>
          <w:szCs w:val="24"/>
          <w:lang w:val="fr-ML"/>
        </w:rPr>
        <w:t xml:space="preserve"> </w:t>
      </w:r>
    </w:p>
    <w:p w14:paraId="3C6024A3" w14:textId="77777777" w:rsidR="00D80693" w:rsidRDefault="00D80693" w:rsidP="00E25DC6">
      <w:pPr>
        <w:tabs>
          <w:tab w:val="left" w:pos="817"/>
        </w:tabs>
        <w:spacing w:before="120"/>
        <w:jc w:val="both"/>
        <w:rPr>
          <w:b/>
          <w:sz w:val="24"/>
          <w:szCs w:val="24"/>
          <w:lang w:val="fr-ML"/>
        </w:rPr>
      </w:pPr>
    </w:p>
    <w:p w14:paraId="4F6A6338" w14:textId="77777777" w:rsidR="00D80693" w:rsidRPr="002634C9" w:rsidRDefault="00D80693" w:rsidP="00E25DC6">
      <w:pPr>
        <w:spacing w:before="120"/>
        <w:rPr>
          <w:sz w:val="24"/>
          <w:szCs w:val="24"/>
          <w:lang w:val="fr-ML"/>
        </w:rPr>
      </w:pPr>
      <w:r>
        <w:rPr>
          <w:noProof/>
          <w:lang w:val="fr-SN" w:eastAsia="fr-SN"/>
        </w:rPr>
        <w:drawing>
          <wp:inline distT="0" distB="0" distL="0" distR="0" wp14:anchorId="2302BDE0" wp14:editId="3B3B096D">
            <wp:extent cx="5760720" cy="2898153"/>
            <wp:effectExtent l="0" t="0" r="11430" b="16510"/>
            <wp:docPr id="1425668036" name="Graphique 1425668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6D4BA9" w14:textId="77777777" w:rsidR="00D80693" w:rsidRPr="002634C9" w:rsidRDefault="00D80693" w:rsidP="00E25DC6">
      <w:pPr>
        <w:tabs>
          <w:tab w:val="left" w:pos="817"/>
        </w:tabs>
        <w:spacing w:before="120"/>
        <w:jc w:val="both"/>
        <w:rPr>
          <w:b/>
          <w:sz w:val="24"/>
          <w:szCs w:val="24"/>
          <w:lang w:val="fr-ML"/>
        </w:rPr>
      </w:pPr>
      <w:r w:rsidRPr="002634C9">
        <w:rPr>
          <w:b/>
          <w:sz w:val="24"/>
          <w:szCs w:val="24"/>
          <w:lang w:val="fr-ML"/>
        </w:rPr>
        <w:t>Source :</w:t>
      </w:r>
      <w:r w:rsidRPr="002634C9">
        <w:rPr>
          <w:sz w:val="24"/>
          <w:szCs w:val="24"/>
          <w:lang w:val="fr-ML"/>
        </w:rPr>
        <w:t xml:space="preserve"> enquête personnelle</w:t>
      </w:r>
      <w:r>
        <w:rPr>
          <w:sz w:val="24"/>
          <w:szCs w:val="24"/>
          <w:lang w:val="fr-ML"/>
        </w:rPr>
        <w:t>,</w:t>
      </w:r>
      <w:r w:rsidRPr="002634C9">
        <w:rPr>
          <w:sz w:val="24"/>
          <w:szCs w:val="24"/>
          <w:lang w:val="fr-ML"/>
        </w:rPr>
        <w:t xml:space="preserve"> février 2023</w:t>
      </w:r>
    </w:p>
    <w:p w14:paraId="5EFC76F2" w14:textId="77777777" w:rsidR="00D80693" w:rsidRPr="008C31D7" w:rsidRDefault="00D80693" w:rsidP="00E25DC6">
      <w:pPr>
        <w:spacing w:before="120"/>
        <w:jc w:val="both"/>
        <w:rPr>
          <w:sz w:val="24"/>
          <w:szCs w:val="24"/>
        </w:rPr>
      </w:pPr>
      <w:r w:rsidRPr="008C31D7">
        <w:rPr>
          <w:sz w:val="24"/>
          <w:szCs w:val="24"/>
        </w:rPr>
        <w:t xml:space="preserve">La Figure 7 de l’étude, intitulée </w:t>
      </w:r>
      <w:r w:rsidRPr="008C31D7">
        <w:rPr>
          <w:i/>
          <w:iCs/>
          <w:sz w:val="24"/>
          <w:szCs w:val="24"/>
        </w:rPr>
        <w:t>« Concerne l'utilisation des fiches de préparation dans les activités pédagogiques en mathématiques »</w:t>
      </w:r>
      <w:r w:rsidRPr="008C31D7">
        <w:rPr>
          <w:sz w:val="24"/>
          <w:szCs w:val="24"/>
        </w:rPr>
        <w:t>, révèle une tendance contrastée quant à l’usage des outils de planification par les enseignants de mathématiques dans les lycées publics de l’académie rive gauche de Bamako. Sur un échantillon de 35 enseignants, 21 déclarent utiliser régulièrement des fiches de préparation, contre 14 qui ne les utilisent pas. Cette répartition inégale, avec une surreprésentation des enseignants utilisant ces outils parmi les professeurs principaux (PP), soulève des questions cruciales sur la professionnalisation de l’enseignement des mathématiques et sur les pratiques pédagogiques réfléchies dans un contexte où les ressources sont limitées.</w:t>
      </w:r>
    </w:p>
    <w:p w14:paraId="166C18FA" w14:textId="77777777" w:rsidR="00D80693" w:rsidRDefault="00D80693" w:rsidP="00E25DC6">
      <w:pPr>
        <w:spacing w:before="120"/>
        <w:jc w:val="both"/>
        <w:rPr>
          <w:sz w:val="24"/>
          <w:szCs w:val="24"/>
        </w:rPr>
      </w:pPr>
      <w:r w:rsidRPr="008C31D7">
        <w:rPr>
          <w:sz w:val="24"/>
          <w:szCs w:val="24"/>
        </w:rPr>
        <w:t xml:space="preserve">L’usage des fiches de préparation apparaît comme un marqueur de rigueur pédagogique et d’intentionnalité dans la conception du cours. Comme le soulignent </w:t>
      </w:r>
      <w:proofErr w:type="spellStart"/>
      <w:r w:rsidRPr="008C31D7">
        <w:rPr>
          <w:sz w:val="24"/>
          <w:szCs w:val="24"/>
        </w:rPr>
        <w:t>Nkoué</w:t>
      </w:r>
      <w:proofErr w:type="spellEnd"/>
      <w:r w:rsidRPr="008C31D7">
        <w:rPr>
          <w:sz w:val="24"/>
          <w:szCs w:val="24"/>
        </w:rPr>
        <w:t xml:space="preserve"> et </w:t>
      </w:r>
      <w:proofErr w:type="spellStart"/>
      <w:r w:rsidRPr="008C31D7">
        <w:rPr>
          <w:sz w:val="24"/>
          <w:szCs w:val="24"/>
        </w:rPr>
        <w:t>Tchombe</w:t>
      </w:r>
      <w:proofErr w:type="spellEnd"/>
      <w:r w:rsidRPr="008C31D7">
        <w:rPr>
          <w:sz w:val="24"/>
          <w:szCs w:val="24"/>
        </w:rPr>
        <w:t xml:space="preserve"> (2021), </w:t>
      </w:r>
      <w:r w:rsidRPr="008C31D7">
        <w:rPr>
          <w:i/>
          <w:iCs/>
          <w:sz w:val="24"/>
          <w:szCs w:val="24"/>
        </w:rPr>
        <w:t>« la préparation pédagogique structurée est un levier fondamental pour l’efficacité de l’enseignement, car elle permet d’anticiper les obstacles d’apprentissage, de différencier les tâches et de mobiliser des stratégies adaptées aux besoins des élèves »</w:t>
      </w:r>
      <w:r w:rsidRPr="008C31D7">
        <w:rPr>
          <w:sz w:val="24"/>
          <w:szCs w:val="24"/>
        </w:rPr>
        <w:t xml:space="preserve"> (p. 142). Dans ce contexte, les 60 % d’enseignants qui utilisent ces fiches (21 sur 35) témoignent d’une volonté de structuration de leur pratique, ce qui peut expliquer, en partie, les performances observées dans certaines classes. Toutefois, le fait que 40 % des enseignants s’en passent encore reflète une culture professionnelle encore insuffisamment ancrée dans les normes de planification réfléchie, ce qui est préoccupant dans un enseignement de discipline exigeante comme les mathématiques.</w:t>
      </w:r>
    </w:p>
    <w:p w14:paraId="4C06FA59" w14:textId="77777777" w:rsidR="00D80693" w:rsidRPr="008C31D7" w:rsidRDefault="00D80693" w:rsidP="00E25DC6">
      <w:pPr>
        <w:spacing w:before="120"/>
        <w:jc w:val="both"/>
        <w:rPr>
          <w:sz w:val="24"/>
          <w:szCs w:val="24"/>
        </w:rPr>
      </w:pPr>
      <w:r w:rsidRPr="008C31D7">
        <w:rPr>
          <w:sz w:val="24"/>
          <w:szCs w:val="24"/>
        </w:rPr>
        <w:t xml:space="preserve">Ce constat rejoint les travaux de Agyei et </w:t>
      </w:r>
      <w:proofErr w:type="spellStart"/>
      <w:r w:rsidRPr="008C31D7">
        <w:rPr>
          <w:sz w:val="24"/>
          <w:szCs w:val="24"/>
        </w:rPr>
        <w:t>Keengwe</w:t>
      </w:r>
      <w:proofErr w:type="spellEnd"/>
      <w:r w:rsidRPr="008C31D7">
        <w:rPr>
          <w:sz w:val="24"/>
          <w:szCs w:val="24"/>
        </w:rPr>
        <w:t xml:space="preserve"> (2022) sur les pratiques enseignantes en Afrique subsaharienne, selon lesquels </w:t>
      </w:r>
      <w:r w:rsidRPr="008C31D7">
        <w:rPr>
          <w:i/>
          <w:iCs/>
          <w:sz w:val="24"/>
          <w:szCs w:val="24"/>
        </w:rPr>
        <w:t>« l’absence de planification formelle est souvent corrélée à une approche magistrale dominante, peu interactive et peu adaptée aux apprentissages complexes »</w:t>
      </w:r>
      <w:r w:rsidRPr="008C31D7">
        <w:rPr>
          <w:sz w:val="24"/>
          <w:szCs w:val="24"/>
        </w:rPr>
        <w:t xml:space="preserve"> (p. 78). En l’absence de fiches de préparation, les enseignants risquent de reproduire des séquences pédagogiques improvisées, centrées sur la transmission unidirectionnelle de savoirs, ce qui limite l’engagement cognitif des élèves. Or, comme le montre Diouf (2023) dans une étude menée au Sénégal, </w:t>
      </w:r>
      <w:r w:rsidRPr="008C31D7">
        <w:rPr>
          <w:i/>
          <w:iCs/>
          <w:sz w:val="24"/>
          <w:szCs w:val="24"/>
        </w:rPr>
        <w:t>« les enseignants qui utilisent des fiches de préparation sont plus susceptibles d’intégrer des activités pratiques, des évaluations diagnostiques et des stratégies de différenciation »</w:t>
      </w:r>
      <w:r w:rsidRPr="008C31D7">
        <w:rPr>
          <w:sz w:val="24"/>
          <w:szCs w:val="24"/>
        </w:rPr>
        <w:t xml:space="preserve"> (p. 95), éléments pourtant essentiels pour surmonter les difficultés en mathématiques.</w:t>
      </w:r>
    </w:p>
    <w:p w14:paraId="42BF05C5" w14:textId="77777777" w:rsidR="00D80693" w:rsidRPr="008C31D7" w:rsidRDefault="00D80693" w:rsidP="00E25DC6">
      <w:pPr>
        <w:spacing w:before="120"/>
        <w:jc w:val="both"/>
        <w:rPr>
          <w:sz w:val="24"/>
          <w:szCs w:val="24"/>
        </w:rPr>
      </w:pPr>
      <w:r w:rsidRPr="008C31D7">
        <w:rPr>
          <w:sz w:val="24"/>
          <w:szCs w:val="24"/>
        </w:rPr>
        <w:t xml:space="preserve">La surreprésentation des professeurs principaux parmi les utilisateurs de fiches de préparation (9 sur 12 PP déclarent les utiliser) suggère un lien entre l’expérience professionnelle, la formation continue et la maturité pédagogique. Cela renvoie à la nécessité de renforcer la formation initiale et continue des enseignants, notamment à travers des dispositifs de mentorat et de supervision pédagogique. Comme le préconise UNESCO (2023), </w:t>
      </w:r>
      <w:r w:rsidRPr="008C31D7">
        <w:rPr>
          <w:i/>
          <w:iCs/>
          <w:sz w:val="24"/>
          <w:szCs w:val="24"/>
        </w:rPr>
        <w:t>« la documentation des pratiques enseignantes par la préparation structurée doit être intégrée comme norme professionnelle dans les systèmes éducatifs africains »</w:t>
      </w:r>
      <w:r w:rsidRPr="008C31D7">
        <w:rPr>
          <w:sz w:val="24"/>
          <w:szCs w:val="24"/>
        </w:rPr>
        <w:t xml:space="preserve"> (p. 33). En ce sens, la non-utilisation de ces outils par près de la moitié des enseignants constitue un signal d’alerte quant à la qualité de l’enseignement et à l’équité des apprentissages.</w:t>
      </w:r>
    </w:p>
    <w:p w14:paraId="354D1D73" w14:textId="77777777" w:rsidR="00D80693" w:rsidRPr="008C31D7" w:rsidRDefault="00D80693" w:rsidP="00E25DC6">
      <w:pPr>
        <w:spacing w:before="120"/>
        <w:jc w:val="both"/>
        <w:rPr>
          <w:sz w:val="24"/>
          <w:szCs w:val="24"/>
        </w:rPr>
      </w:pPr>
      <w:r w:rsidRPr="008C31D7">
        <w:rPr>
          <w:sz w:val="24"/>
          <w:szCs w:val="24"/>
        </w:rPr>
        <w:t>Enfin, il est pertinent de noter que la Figure 7 distingue implicitement une différence de pratiques entre enseignants selon leur statut (PP, PT, PS), ce qui ouvre la voie à une réflexion sur les inégalités professionnelles et les besoins spécifiques des jeunes enseignants stagiaires. Ces derniers, bien que peu nombreux (3 sur 35), pourraient bénéficier d’un accompagnement ciblé pour intégrer les outils de planification dès le début de leur carrière.</w:t>
      </w:r>
    </w:p>
    <w:p w14:paraId="6A6F982C" w14:textId="77777777" w:rsidR="00D80693" w:rsidRPr="0018084F" w:rsidRDefault="00D80693" w:rsidP="00E25DC6">
      <w:pPr>
        <w:spacing w:before="120"/>
        <w:jc w:val="both"/>
        <w:rPr>
          <w:sz w:val="24"/>
          <w:szCs w:val="24"/>
        </w:rPr>
      </w:pPr>
      <w:r w:rsidRPr="008C31D7">
        <w:rPr>
          <w:sz w:val="24"/>
          <w:szCs w:val="24"/>
        </w:rPr>
        <w:t>En somme, les résultats de la Figure 7 ne doivent pas être interprétés comme un simple indicateur d’usage d’un outil, mais comme un indicateur de culture professionnelle enseignante. Pour transformer durablement l’enseignement des mathématiques au Mali, il est impératif de promouvoir une culture de la planification, soutenue par des politiques de formation, des ressources adaptées et une reconnaissance institutionnelle de ces pratiques co</w:t>
      </w:r>
      <w:r>
        <w:rPr>
          <w:sz w:val="24"/>
          <w:szCs w:val="24"/>
        </w:rPr>
        <w:t>mme levier de qualité éducative</w:t>
      </w:r>
      <w:r>
        <w:rPr>
          <w:sz w:val="24"/>
          <w:szCs w:val="24"/>
          <w:lang w:val="fr-ML"/>
        </w:rPr>
        <w:t>.</w:t>
      </w:r>
      <w:r w:rsidRPr="0018084F">
        <w:rPr>
          <w:sz w:val="24"/>
          <w:szCs w:val="24"/>
          <w:lang w:val="fr-ML"/>
        </w:rPr>
        <w:t xml:space="preserve">         </w:t>
      </w:r>
    </w:p>
    <w:p w14:paraId="562DB031" w14:textId="77777777" w:rsidR="00D80693" w:rsidRDefault="00D80693" w:rsidP="00E25DC6">
      <w:pPr>
        <w:tabs>
          <w:tab w:val="left" w:pos="817"/>
        </w:tabs>
        <w:spacing w:before="120"/>
        <w:rPr>
          <w:b/>
          <w:sz w:val="24"/>
          <w:szCs w:val="24"/>
          <w:lang w:val="fr-ML"/>
        </w:rPr>
      </w:pPr>
    </w:p>
    <w:p w14:paraId="31CD2A55" w14:textId="77777777" w:rsidR="00D80693" w:rsidRDefault="00D80693" w:rsidP="00E25DC6">
      <w:pPr>
        <w:tabs>
          <w:tab w:val="left" w:pos="817"/>
        </w:tabs>
        <w:spacing w:before="120"/>
        <w:rPr>
          <w:b/>
          <w:sz w:val="24"/>
          <w:szCs w:val="24"/>
          <w:lang w:val="fr-ML"/>
        </w:rPr>
      </w:pPr>
    </w:p>
    <w:p w14:paraId="26DDD340" w14:textId="77777777" w:rsidR="00D80693" w:rsidRDefault="00D80693" w:rsidP="00E25DC6">
      <w:pPr>
        <w:tabs>
          <w:tab w:val="left" w:pos="817"/>
        </w:tabs>
        <w:spacing w:before="120"/>
        <w:rPr>
          <w:b/>
          <w:sz w:val="24"/>
          <w:szCs w:val="24"/>
          <w:lang w:val="fr-ML"/>
        </w:rPr>
      </w:pPr>
      <w:r>
        <w:rPr>
          <w:noProof/>
          <w:lang w:val="fr-SN" w:eastAsia="fr-SN"/>
        </w:rPr>
        <w:drawing>
          <wp:inline distT="0" distB="0" distL="0" distR="0" wp14:anchorId="62E56646" wp14:editId="159176CE">
            <wp:extent cx="5760720" cy="2667000"/>
            <wp:effectExtent l="0" t="0" r="11430" b="0"/>
            <wp:docPr id="1070597585" name="Graphique 1070597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FE05F5" w14:textId="77777777" w:rsidR="00D80693" w:rsidRDefault="00D80693" w:rsidP="00E25DC6">
      <w:pPr>
        <w:tabs>
          <w:tab w:val="left" w:pos="817"/>
        </w:tabs>
        <w:spacing w:before="120"/>
        <w:rPr>
          <w:b/>
          <w:sz w:val="24"/>
          <w:szCs w:val="24"/>
          <w:lang w:val="fr-ML"/>
        </w:rPr>
      </w:pPr>
    </w:p>
    <w:p w14:paraId="7A375B52" w14:textId="77777777" w:rsidR="00D80693" w:rsidRPr="0027032D" w:rsidRDefault="00D80693" w:rsidP="00E25DC6">
      <w:pPr>
        <w:spacing w:before="120"/>
        <w:jc w:val="both"/>
        <w:rPr>
          <w:sz w:val="24"/>
          <w:szCs w:val="24"/>
        </w:rPr>
      </w:pPr>
      <w:r w:rsidRPr="0027032D">
        <w:rPr>
          <w:sz w:val="24"/>
          <w:szCs w:val="24"/>
        </w:rPr>
        <w:t xml:space="preserve">La Figure 8 de l’étude, intitulée </w:t>
      </w:r>
      <w:r w:rsidRPr="0027032D">
        <w:rPr>
          <w:i/>
          <w:iCs/>
          <w:sz w:val="24"/>
          <w:szCs w:val="24"/>
        </w:rPr>
        <w:t>« Régulation lors du feedback dans l’apprentissage des mathématiques »</w:t>
      </w:r>
      <w:r w:rsidRPr="0027032D">
        <w:rPr>
          <w:sz w:val="24"/>
          <w:szCs w:val="24"/>
        </w:rPr>
        <w:t xml:space="preserve">, met en lumière les modalités de régulation utilisées par les enseignants de mathématiques dans les lycées publics de l’académie rive gauche de Bamako. Les données révèlent que 17 enseignants (soit 48,6 %) privilégient un </w:t>
      </w:r>
      <w:r w:rsidRPr="0027032D">
        <w:rPr>
          <w:i/>
          <w:iCs/>
          <w:sz w:val="24"/>
          <w:szCs w:val="24"/>
        </w:rPr>
        <w:t>feedback immédiat</w:t>
      </w:r>
      <w:r w:rsidRPr="0027032D">
        <w:rPr>
          <w:sz w:val="24"/>
          <w:szCs w:val="24"/>
        </w:rPr>
        <w:t xml:space="preserve">, contre 9 (25,7 %) qui optent pour un </w:t>
      </w:r>
      <w:r w:rsidRPr="0027032D">
        <w:rPr>
          <w:i/>
          <w:iCs/>
          <w:sz w:val="24"/>
          <w:szCs w:val="24"/>
        </w:rPr>
        <w:t>feedback différé</w:t>
      </w:r>
      <w:r w:rsidRPr="0027032D">
        <w:rPr>
          <w:sz w:val="24"/>
          <w:szCs w:val="24"/>
        </w:rPr>
        <w:t>, tandis que 9 autres (25,7 %) ne répondent pas ou choisissent une option non précisée. Cette répartition suggère une tendance marquée vers une régulation immédiate, perçue comme un levier pédagogique pour corriger en temps réel les erreurs des élèves et soutenir leur compréhension en cours d’activité.</w:t>
      </w:r>
    </w:p>
    <w:p w14:paraId="38B75865" w14:textId="77777777" w:rsidR="00D80693" w:rsidRPr="0027032D" w:rsidRDefault="00D80693" w:rsidP="00E25DC6">
      <w:pPr>
        <w:spacing w:before="120"/>
        <w:jc w:val="both"/>
        <w:rPr>
          <w:sz w:val="24"/>
          <w:szCs w:val="24"/>
        </w:rPr>
      </w:pPr>
      <w:r w:rsidRPr="0027032D">
        <w:rPr>
          <w:sz w:val="24"/>
          <w:szCs w:val="24"/>
        </w:rPr>
        <w:t xml:space="preserve">Cependant, cette prédominance du feedback immédiat, bien que valorisée dans certaines approches pédagogiques, soulève des questions quant à son efficacité réelle dans le développement de l’autorégulation cognitive chez les apprenants. En effet, selon Nicol et Macfarlane-Dick (2023), un feedback trop immédiat peut entraver la capacité des élèves à s’engager dans une réflexion métacognitive autonome, en leur ôtant l’opportunité de diagnostiquer eux-mêmes leurs erreurs avant correction. Ces auteurs insistent sur l’importance d’un </w:t>
      </w:r>
      <w:r w:rsidRPr="0027032D">
        <w:rPr>
          <w:i/>
          <w:iCs/>
          <w:sz w:val="24"/>
          <w:szCs w:val="24"/>
        </w:rPr>
        <w:t>feedback réfléchi</w:t>
      </w:r>
      <w:r w:rsidRPr="0027032D">
        <w:rPr>
          <w:sz w:val="24"/>
          <w:szCs w:val="24"/>
        </w:rPr>
        <w:t xml:space="preserve"> et </w:t>
      </w:r>
      <w:r w:rsidRPr="0027032D">
        <w:rPr>
          <w:i/>
          <w:iCs/>
          <w:sz w:val="24"/>
          <w:szCs w:val="24"/>
        </w:rPr>
        <w:t>progressif</w:t>
      </w:r>
      <w:r w:rsidRPr="0027032D">
        <w:rPr>
          <w:sz w:val="24"/>
          <w:szCs w:val="24"/>
        </w:rPr>
        <w:t>, qui permet aux élèves de construire des stratégies d’ajustement personnel plutôt que de dépendre systématiquement de l’intervention de l’enseignant (Nicol &amp; Macfarlane-Dick, 2023).</w:t>
      </w:r>
    </w:p>
    <w:p w14:paraId="6CC6DB0D" w14:textId="77777777" w:rsidR="00D80693" w:rsidRPr="0027032D" w:rsidRDefault="00D80693" w:rsidP="00E25DC6">
      <w:pPr>
        <w:spacing w:before="120"/>
        <w:jc w:val="both"/>
        <w:rPr>
          <w:sz w:val="24"/>
          <w:szCs w:val="24"/>
        </w:rPr>
      </w:pPr>
      <w:r w:rsidRPr="0027032D">
        <w:rPr>
          <w:sz w:val="24"/>
          <w:szCs w:val="24"/>
        </w:rPr>
        <w:t>Par ailleurs, le faible recours au feedback différé (25,7 %) indique une sous-utilisation d’une stratégie pourtant reconnue pour favoriser la consolidation des apprentissages. Comme le montrent Shute et Jeong (2022), le feedback différé, lorsqu’il est accompagné d’opportunités de révision, améliore significativement la rétention à long terme des connaissances en mathématiques, notamment dans des contextes où les élèves doivent transférer leurs compétences à de nouvelles situations. Dans le cadre de l’enseignement des mathématiques, discipline exigeant une abstraction et une logique rigoureuse, un retour réfléchi peut permettre une meilleure intégration des concepts complexes.</w:t>
      </w:r>
    </w:p>
    <w:p w14:paraId="23CE830D" w14:textId="77777777" w:rsidR="00D80693" w:rsidRPr="0027032D" w:rsidRDefault="00D80693" w:rsidP="00E25DC6">
      <w:pPr>
        <w:spacing w:before="120"/>
        <w:jc w:val="both"/>
        <w:rPr>
          <w:sz w:val="24"/>
          <w:szCs w:val="24"/>
        </w:rPr>
      </w:pPr>
      <w:r w:rsidRPr="0027032D">
        <w:rPr>
          <w:sz w:val="24"/>
          <w:szCs w:val="24"/>
        </w:rPr>
        <w:t xml:space="preserve">De plus, l’absence de justification ou de précision pour près d’un quart des enseignants (9 sur 35) concernant leur modalité de feedback suggère une lacune dans la culture évaluative des enseignants. Cela renvoie à un besoin criant de formation continue sur les pratiques d’évaluation formative, comme le souligne Wiliam (2021), pour qui </w:t>
      </w:r>
      <w:r w:rsidRPr="0027032D">
        <w:rPr>
          <w:i/>
          <w:iCs/>
          <w:sz w:val="24"/>
          <w:szCs w:val="24"/>
        </w:rPr>
        <w:t>« l’évaluation formative n’est pas un outil, mais une culture »</w:t>
      </w:r>
      <w:r w:rsidRPr="0027032D">
        <w:rPr>
          <w:sz w:val="24"/>
          <w:szCs w:val="24"/>
        </w:rPr>
        <w:t>. Dans les contextes éducatifs comme celui du Mali, où les ressources sont limitées et la formation initiale des enseignants souvent insuffisante, le développement d’une culture du feedback réfléchi devrait être au cœur des politiques éducatives.</w:t>
      </w:r>
    </w:p>
    <w:p w14:paraId="448650FB" w14:textId="77777777" w:rsidR="00D80693" w:rsidRPr="0027032D" w:rsidRDefault="00D80693" w:rsidP="00E25DC6">
      <w:pPr>
        <w:spacing w:before="120"/>
        <w:jc w:val="both"/>
        <w:rPr>
          <w:sz w:val="24"/>
          <w:szCs w:val="24"/>
        </w:rPr>
      </w:pPr>
      <w:r w:rsidRPr="0027032D">
        <w:rPr>
          <w:sz w:val="24"/>
          <w:szCs w:val="24"/>
        </w:rPr>
        <w:t xml:space="preserve">Enfin, la surreprésentation du feedback immédiat pourrait aussi refléter une pression contextuelle liée aux examens nationaux, poussant les enseignants à corriger rapidement pour « couvrir » le programme. Ce constat rejoint les travaux de Karsenti et </w:t>
      </w:r>
      <w:proofErr w:type="spellStart"/>
      <w:r w:rsidRPr="0027032D">
        <w:rPr>
          <w:sz w:val="24"/>
          <w:szCs w:val="24"/>
        </w:rPr>
        <w:t>Collin</w:t>
      </w:r>
      <w:proofErr w:type="spellEnd"/>
      <w:r w:rsidRPr="0027032D">
        <w:rPr>
          <w:sz w:val="24"/>
          <w:szCs w:val="24"/>
        </w:rPr>
        <w:t xml:space="preserve"> (2023), qui montrent que dans les systèmes éducatifs fortement axés sur la performance aux examens, les pratiques évaluatives tendent à privilégier la correction sur la régulation, au détriment de l’apprentissage profond.</w:t>
      </w:r>
    </w:p>
    <w:p w14:paraId="6FDD7D0E" w14:textId="77777777" w:rsidR="00D80693" w:rsidRPr="0027032D" w:rsidRDefault="00D80693" w:rsidP="00E25DC6">
      <w:pPr>
        <w:spacing w:before="120"/>
        <w:jc w:val="both"/>
        <w:rPr>
          <w:sz w:val="24"/>
          <w:szCs w:val="24"/>
        </w:rPr>
      </w:pPr>
      <w:r w:rsidRPr="0027032D">
        <w:rPr>
          <w:sz w:val="24"/>
          <w:szCs w:val="24"/>
        </w:rPr>
        <w:t>En somme, si le feedback immédiat joue un rôle crucial dans la régulation en classe, il ne doit pas se substituer à des pratiques plus réfléchies et différées. Pour améliorer l’apprentissage des mathématiques, il est essentiel de former les enseignants à un équilibre entre feedback immédiat et feedback réfléchi, afin de promouvoir à la fois la correction des erreurs et le développement de l’autonomie cognitive des élèves.</w:t>
      </w:r>
    </w:p>
    <w:p w14:paraId="1F13740E" w14:textId="77777777" w:rsidR="00D80693" w:rsidRDefault="00D80693" w:rsidP="00E25DC6">
      <w:pPr>
        <w:tabs>
          <w:tab w:val="left" w:pos="817"/>
        </w:tabs>
        <w:spacing w:before="120"/>
        <w:rPr>
          <w:b/>
          <w:sz w:val="24"/>
          <w:szCs w:val="24"/>
          <w:lang w:val="fr-ML"/>
        </w:rPr>
      </w:pPr>
      <w:r>
        <w:rPr>
          <w:noProof/>
          <w:lang w:val="fr-SN" w:eastAsia="fr-SN"/>
        </w:rPr>
        <w:drawing>
          <wp:inline distT="0" distB="0" distL="0" distR="0" wp14:anchorId="08877B7B" wp14:editId="5098CB77">
            <wp:extent cx="5760720" cy="2663190"/>
            <wp:effectExtent l="0" t="0" r="11430" b="3810"/>
            <wp:docPr id="1063182596" name="Graphique 1063182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57FB34" w14:textId="77777777" w:rsidR="00D80693" w:rsidRDefault="00D80693" w:rsidP="00E25DC6">
      <w:pPr>
        <w:tabs>
          <w:tab w:val="left" w:pos="817"/>
        </w:tabs>
        <w:spacing w:before="120"/>
        <w:rPr>
          <w:b/>
          <w:sz w:val="24"/>
          <w:szCs w:val="24"/>
          <w:lang w:val="fr-ML"/>
        </w:rPr>
      </w:pPr>
    </w:p>
    <w:p w14:paraId="724CC39E" w14:textId="77777777" w:rsidR="00D80693" w:rsidRPr="0027032D" w:rsidRDefault="00D80693" w:rsidP="00E25DC6">
      <w:pPr>
        <w:spacing w:before="120"/>
        <w:jc w:val="both"/>
        <w:rPr>
          <w:sz w:val="24"/>
          <w:szCs w:val="24"/>
        </w:rPr>
      </w:pPr>
      <w:r w:rsidRPr="0027032D">
        <w:rPr>
          <w:sz w:val="24"/>
          <w:szCs w:val="24"/>
        </w:rPr>
        <w:t xml:space="preserve">La Figure 9 de l’étude, intitulée </w:t>
      </w:r>
      <w:r w:rsidRPr="0027032D">
        <w:rPr>
          <w:i/>
          <w:iCs/>
          <w:sz w:val="24"/>
          <w:szCs w:val="24"/>
        </w:rPr>
        <w:t>« Le choix d’évaluation dans la régulation des apprentissages en mathématiques »</w:t>
      </w:r>
      <w:r w:rsidRPr="0027032D">
        <w:rPr>
          <w:sz w:val="24"/>
          <w:szCs w:val="24"/>
        </w:rPr>
        <w:t xml:space="preserve">, met en lumière les stratégies d’intervention pédagogique privilégiées par les enseignants de mathématiques lors de la régulation des apprentissages. Les données révèlent que, parmi les 35 enseignants interrogés, 19 (soit 54,3 %) considèrent que les </w:t>
      </w:r>
      <w:r w:rsidRPr="0027032D">
        <w:rPr>
          <w:i/>
          <w:iCs/>
          <w:sz w:val="24"/>
          <w:szCs w:val="24"/>
        </w:rPr>
        <w:t>« explications »</w:t>
      </w:r>
      <w:r w:rsidRPr="0027032D">
        <w:rPr>
          <w:sz w:val="24"/>
          <w:szCs w:val="24"/>
        </w:rPr>
        <w:t xml:space="preserve"> sont le levier principal pour réguler les apprentissages, suivi de près par les </w:t>
      </w:r>
      <w:r w:rsidRPr="0027032D">
        <w:rPr>
          <w:i/>
          <w:iCs/>
          <w:sz w:val="24"/>
          <w:szCs w:val="24"/>
        </w:rPr>
        <w:t>« consignes »</w:t>
      </w:r>
      <w:r w:rsidRPr="0027032D">
        <w:rPr>
          <w:sz w:val="24"/>
          <w:szCs w:val="24"/>
        </w:rPr>
        <w:t xml:space="preserve"> (12 enseignants, soit 34,3 %), tandis que les </w:t>
      </w:r>
      <w:r w:rsidRPr="0027032D">
        <w:rPr>
          <w:i/>
          <w:iCs/>
          <w:sz w:val="24"/>
          <w:szCs w:val="24"/>
        </w:rPr>
        <w:t>« alertes »</w:t>
      </w:r>
      <w:r w:rsidRPr="0027032D">
        <w:rPr>
          <w:sz w:val="24"/>
          <w:szCs w:val="24"/>
        </w:rPr>
        <w:t xml:space="preserve"> (4 enseignants, soit 11,4 %) et d’autres formes d’intervention (0 réponse) sont nettement moins utilisées. Cette hiérarchisation des outils régulatifs soulève des questions cruciales sur la conception que les enseignants se font de la régulation didactique et sur la manière dont ils accompagnent les élèves en difficulté.</w:t>
      </w:r>
    </w:p>
    <w:p w14:paraId="05F97A6A" w14:textId="77777777" w:rsidR="00D80693" w:rsidRPr="0027032D" w:rsidRDefault="00D80693" w:rsidP="00E25DC6">
      <w:pPr>
        <w:spacing w:before="120"/>
        <w:jc w:val="both"/>
        <w:rPr>
          <w:sz w:val="24"/>
          <w:szCs w:val="24"/>
        </w:rPr>
      </w:pPr>
      <w:r w:rsidRPr="0027032D">
        <w:rPr>
          <w:sz w:val="24"/>
          <w:szCs w:val="24"/>
        </w:rPr>
        <w:t xml:space="preserve">Ces résultats suggèrent une tendance dominante vers une régulation </w:t>
      </w:r>
      <w:r w:rsidRPr="0027032D">
        <w:rPr>
          <w:i/>
          <w:iCs/>
          <w:sz w:val="24"/>
          <w:szCs w:val="24"/>
        </w:rPr>
        <w:t>explicative</w:t>
      </w:r>
      <w:r w:rsidRPr="0027032D">
        <w:rPr>
          <w:sz w:val="24"/>
          <w:szCs w:val="24"/>
        </w:rPr>
        <w:t xml:space="preserve"> et </w:t>
      </w:r>
      <w:r w:rsidRPr="0027032D">
        <w:rPr>
          <w:i/>
          <w:iCs/>
          <w:sz w:val="24"/>
          <w:szCs w:val="24"/>
        </w:rPr>
        <w:t>directrice</w:t>
      </w:r>
      <w:r w:rsidRPr="0027032D">
        <w:rPr>
          <w:sz w:val="24"/>
          <w:szCs w:val="24"/>
        </w:rPr>
        <w:t xml:space="preserve">, plutôt que </w:t>
      </w:r>
      <w:proofErr w:type="spellStart"/>
      <w:r w:rsidRPr="0027032D">
        <w:rPr>
          <w:i/>
          <w:iCs/>
          <w:sz w:val="24"/>
          <w:szCs w:val="24"/>
        </w:rPr>
        <w:t>problématisante</w:t>
      </w:r>
      <w:proofErr w:type="spellEnd"/>
      <w:r w:rsidRPr="0027032D">
        <w:rPr>
          <w:sz w:val="24"/>
          <w:szCs w:val="24"/>
        </w:rPr>
        <w:t xml:space="preserve"> ou </w:t>
      </w:r>
      <w:r w:rsidRPr="0027032D">
        <w:rPr>
          <w:i/>
          <w:iCs/>
          <w:sz w:val="24"/>
          <w:szCs w:val="24"/>
        </w:rPr>
        <w:t>socratique</w:t>
      </w:r>
      <w:r w:rsidRPr="0027032D">
        <w:rPr>
          <w:sz w:val="24"/>
          <w:szCs w:val="24"/>
        </w:rPr>
        <w:t xml:space="preserve">. En effet, le recours massif aux « explications » traduit une posture d’enseignant transmetteur de savoirs, où l’erreur est corrigée par une reformulation ou une redondance du savoir, au lieu d’être exploitée comme levier cognitif pour susciter la réflexion métacognitive de l’élève. Or, selon Mottier Lopez et </w:t>
      </w:r>
      <w:proofErr w:type="spellStart"/>
      <w:r w:rsidRPr="0027032D">
        <w:rPr>
          <w:sz w:val="24"/>
          <w:szCs w:val="24"/>
        </w:rPr>
        <w:t>Smeyers</w:t>
      </w:r>
      <w:proofErr w:type="spellEnd"/>
      <w:r w:rsidRPr="0027032D">
        <w:rPr>
          <w:sz w:val="24"/>
          <w:szCs w:val="24"/>
        </w:rPr>
        <w:t xml:space="preserve"> (2021), une régulation efficace ne consiste pas à « combler le vide » par une explication supplémentaire, mais à </w:t>
      </w:r>
      <w:r w:rsidRPr="0027032D">
        <w:rPr>
          <w:i/>
          <w:iCs/>
          <w:sz w:val="24"/>
          <w:szCs w:val="24"/>
        </w:rPr>
        <w:t>susciter l’élève à l’auto-régulation</w:t>
      </w:r>
      <w:r w:rsidRPr="0027032D">
        <w:rPr>
          <w:sz w:val="24"/>
          <w:szCs w:val="24"/>
        </w:rPr>
        <w:t xml:space="preserve"> par des questions stimulantes, des retours rétroactifs (feedback) ciblés et une co-construction du sens (p. 112). Ce que l’on observe ici, c’est une forme de régulation </w:t>
      </w:r>
      <w:r w:rsidRPr="0027032D">
        <w:rPr>
          <w:i/>
          <w:iCs/>
          <w:sz w:val="24"/>
          <w:szCs w:val="24"/>
        </w:rPr>
        <w:t>externe</w:t>
      </w:r>
      <w:r w:rsidRPr="0027032D">
        <w:rPr>
          <w:sz w:val="24"/>
          <w:szCs w:val="24"/>
        </w:rPr>
        <w:t xml:space="preserve"> et </w:t>
      </w:r>
      <w:r w:rsidRPr="0027032D">
        <w:rPr>
          <w:i/>
          <w:iCs/>
          <w:sz w:val="24"/>
          <w:szCs w:val="24"/>
        </w:rPr>
        <w:t>directive</w:t>
      </w:r>
      <w:r w:rsidRPr="0027032D">
        <w:rPr>
          <w:sz w:val="24"/>
          <w:szCs w:val="24"/>
        </w:rPr>
        <w:t>, qui, bien qu’utile dans certains contextes, risque de limiter l’autonomie cognitive des apprenants, surtout en mathématiques, discipline exigeant une forte capacité de raisonnement autonome.</w:t>
      </w:r>
    </w:p>
    <w:p w14:paraId="4ED9EB48" w14:textId="77777777" w:rsidR="00D80693" w:rsidRPr="0027032D" w:rsidRDefault="00D80693" w:rsidP="00E25DC6">
      <w:pPr>
        <w:spacing w:before="120"/>
        <w:jc w:val="both"/>
        <w:rPr>
          <w:sz w:val="24"/>
          <w:szCs w:val="24"/>
        </w:rPr>
      </w:pPr>
      <w:r w:rsidRPr="0027032D">
        <w:rPr>
          <w:sz w:val="24"/>
          <w:szCs w:val="24"/>
        </w:rPr>
        <w:t xml:space="preserve">En outre, le faible usage des « alertes » — qui pourraient correspondre à des indicateurs métacognitifs ou à des signaux d’erreur sans correction immédiate — suggère une méfiance ou une méconnaissance des approches basées sur l’erreur comme ressource pédagogique. Pourtant, des travaux récents de </w:t>
      </w:r>
      <w:proofErr w:type="spellStart"/>
      <w:r w:rsidRPr="0027032D">
        <w:rPr>
          <w:sz w:val="24"/>
          <w:szCs w:val="24"/>
        </w:rPr>
        <w:t>Roditi</w:t>
      </w:r>
      <w:proofErr w:type="spellEnd"/>
      <w:r w:rsidRPr="0027032D">
        <w:rPr>
          <w:sz w:val="24"/>
          <w:szCs w:val="24"/>
        </w:rPr>
        <w:t xml:space="preserve"> et Vérillon (2022) montrent que les alertes, lorsqu’elles sont utilisées de manière stratégique, permettent de déclencher un </w:t>
      </w:r>
      <w:r w:rsidRPr="0027032D">
        <w:rPr>
          <w:i/>
          <w:iCs/>
          <w:sz w:val="24"/>
          <w:szCs w:val="24"/>
        </w:rPr>
        <w:t>processus de régulation interne</w:t>
      </w:r>
      <w:r w:rsidRPr="0027032D">
        <w:rPr>
          <w:sz w:val="24"/>
          <w:szCs w:val="24"/>
        </w:rPr>
        <w:t xml:space="preserve"> chez l’élève, en l’amenant à identifier lui-même ses écarts par rapport à l’objectif d’apprentissage (p. 45). Ce type de régulation, qualifiée de </w:t>
      </w:r>
      <w:r w:rsidRPr="0027032D">
        <w:rPr>
          <w:i/>
          <w:iCs/>
          <w:sz w:val="24"/>
          <w:szCs w:val="24"/>
        </w:rPr>
        <w:t>scaffolding métacognitif</w:t>
      </w:r>
      <w:r w:rsidRPr="0027032D">
        <w:rPr>
          <w:sz w:val="24"/>
          <w:szCs w:val="24"/>
        </w:rPr>
        <w:t>, est particulièrement pertinent dans l’enseignement des mathématiques, où la résolution de problème repose sur une succession d’ajustements successifs.</w:t>
      </w:r>
    </w:p>
    <w:p w14:paraId="337D6C72" w14:textId="5BB021B6" w:rsidR="00D80693" w:rsidRPr="0027032D" w:rsidRDefault="00D80693" w:rsidP="00E25DC6">
      <w:pPr>
        <w:spacing w:before="120"/>
        <w:jc w:val="both"/>
        <w:rPr>
          <w:sz w:val="24"/>
          <w:szCs w:val="24"/>
        </w:rPr>
      </w:pPr>
      <w:r w:rsidRPr="0027032D">
        <w:rPr>
          <w:sz w:val="24"/>
          <w:szCs w:val="24"/>
        </w:rPr>
        <w:t xml:space="preserve">Par ailleurs, la quasi-absence de mention de stratégies alternatives (« Autre ») dans les réponses des enseignants (0 réponse) indique une certaine </w:t>
      </w:r>
      <w:r w:rsidRPr="0027032D">
        <w:rPr>
          <w:i/>
          <w:iCs/>
          <w:sz w:val="24"/>
          <w:szCs w:val="24"/>
        </w:rPr>
        <w:t>standardisation</w:t>
      </w:r>
      <w:r w:rsidRPr="0027032D">
        <w:rPr>
          <w:sz w:val="24"/>
          <w:szCs w:val="24"/>
        </w:rPr>
        <w:t xml:space="preserve"> des pratiques régulatives, peut-être liée à un manque de formation continue sur les approches évaluatives modernes. Cela rejoint les constats de Traoré, Dembélé et Loua (2023), qui soulignent que, dans les systèmes éducatifs d’Afrique de l’Ouest, la régulation pédagogique reste souvent cantonnée à une logique de contrôle plutôt qu’à une logique de développement des compétences (p. 309). Ainsi, malgré l’adoption officielle de l’approche par compétences au Mali, les pratiques enseignantes semblent encore ancrées dans des modèles traditionnels d’enseignement frontal et de correction normative.</w:t>
      </w:r>
      <w:r w:rsidR="00E25DC6">
        <w:rPr>
          <w:sz w:val="24"/>
          <w:szCs w:val="24"/>
        </w:rPr>
        <w:t xml:space="preserve"> </w:t>
      </w:r>
      <w:r w:rsidRPr="0027032D">
        <w:rPr>
          <w:sz w:val="24"/>
          <w:szCs w:val="24"/>
        </w:rPr>
        <w:t xml:space="preserve">Enfin, il est frappant de constater que les enseignants privilégient des interventions verbales explicatives plutôt que des outils d’évaluation formative structurés (grilles, fiches d’auto-évaluation, etc.), alors même que la Figure 6 de l’étude montre que seulement 20 sur 35 enseignants utilisent des grilles d’évaluation diagnostique. Ce décalage entre la théorie (l’importance de l’évaluation formative) et la pratique (la préférence pour l’explication immédiate) illustre une </w:t>
      </w:r>
      <w:r w:rsidRPr="0027032D">
        <w:rPr>
          <w:i/>
          <w:iCs/>
          <w:sz w:val="24"/>
          <w:szCs w:val="24"/>
        </w:rPr>
        <w:t>fracture entre les intentions pédagogiques et les outils opérationnels</w:t>
      </w:r>
      <w:r w:rsidRPr="0027032D">
        <w:rPr>
          <w:sz w:val="24"/>
          <w:szCs w:val="24"/>
        </w:rPr>
        <w:t xml:space="preserve"> à disposition des enseignants.</w:t>
      </w:r>
      <w:r w:rsidR="00E25DC6">
        <w:rPr>
          <w:sz w:val="24"/>
          <w:szCs w:val="24"/>
        </w:rPr>
        <w:t xml:space="preserve"> </w:t>
      </w:r>
      <w:r w:rsidRPr="0027032D">
        <w:rPr>
          <w:sz w:val="24"/>
          <w:szCs w:val="24"/>
        </w:rPr>
        <w:t xml:space="preserve">En somme, la Figure 9 ne révèle pas seulement des préférences méthodologiques, mais interpelle sur la </w:t>
      </w:r>
      <w:r w:rsidRPr="0027032D">
        <w:rPr>
          <w:i/>
          <w:iCs/>
          <w:sz w:val="24"/>
          <w:szCs w:val="24"/>
        </w:rPr>
        <w:t>culture évaluative</w:t>
      </w:r>
      <w:r w:rsidRPr="0027032D">
        <w:rPr>
          <w:sz w:val="24"/>
          <w:szCs w:val="24"/>
        </w:rPr>
        <w:t xml:space="preserve"> des enseignants de mathématiques dans les lycées publics de Bamako. Elle appelle à une refonte des dispositifs de formation continue, afin de promouvoir des pratiques régulatives plus </w:t>
      </w:r>
      <w:r w:rsidRPr="0027032D">
        <w:rPr>
          <w:i/>
          <w:iCs/>
          <w:sz w:val="24"/>
          <w:szCs w:val="24"/>
        </w:rPr>
        <w:t>dialogiques</w:t>
      </w:r>
      <w:r w:rsidRPr="0027032D">
        <w:rPr>
          <w:sz w:val="24"/>
          <w:szCs w:val="24"/>
        </w:rPr>
        <w:t xml:space="preserve">, </w:t>
      </w:r>
      <w:r w:rsidRPr="0027032D">
        <w:rPr>
          <w:i/>
          <w:iCs/>
          <w:sz w:val="24"/>
          <w:szCs w:val="24"/>
        </w:rPr>
        <w:t>réflexives</w:t>
      </w:r>
      <w:r w:rsidRPr="0027032D">
        <w:rPr>
          <w:sz w:val="24"/>
          <w:szCs w:val="24"/>
        </w:rPr>
        <w:t xml:space="preserve"> et </w:t>
      </w:r>
      <w:r w:rsidRPr="0027032D">
        <w:rPr>
          <w:i/>
          <w:iCs/>
          <w:sz w:val="24"/>
          <w:szCs w:val="24"/>
        </w:rPr>
        <w:t>centrées sur l’élève</w:t>
      </w:r>
      <w:r w:rsidRPr="0027032D">
        <w:rPr>
          <w:sz w:val="24"/>
          <w:szCs w:val="24"/>
        </w:rPr>
        <w:t>, conformes aux exigences des approches par compétences et aux avancées récentes en didactique des mathématiques.</w:t>
      </w:r>
    </w:p>
    <w:p w14:paraId="7E50492E" w14:textId="77777777" w:rsidR="00D80693" w:rsidRPr="009237F6" w:rsidRDefault="00D80693" w:rsidP="00E25DC6">
      <w:pPr>
        <w:spacing w:before="120"/>
        <w:jc w:val="both"/>
        <w:rPr>
          <w:b/>
          <w:sz w:val="28"/>
          <w:szCs w:val="28"/>
        </w:rPr>
      </w:pPr>
      <w:r w:rsidRPr="009237F6">
        <w:rPr>
          <w:b/>
          <w:sz w:val="28"/>
          <w:szCs w:val="28"/>
        </w:rPr>
        <w:t>Conclusion </w:t>
      </w:r>
    </w:p>
    <w:p w14:paraId="691476CC" w14:textId="6502A5A5" w:rsidR="00D80693" w:rsidRPr="00B40F59" w:rsidRDefault="00D80693" w:rsidP="00E25DC6">
      <w:pPr>
        <w:spacing w:before="120"/>
        <w:jc w:val="both"/>
        <w:rPr>
          <w:sz w:val="24"/>
          <w:szCs w:val="24"/>
        </w:rPr>
      </w:pPr>
      <w:r w:rsidRPr="00B40F59">
        <w:rPr>
          <w:sz w:val="24"/>
          <w:szCs w:val="24"/>
        </w:rPr>
        <w:t>La présente étude visait à analyser les pratiques enseignantes des professeurs de mathématiques au lycée. Les résultats issus de cette recherche montrent que la performance des élèves en mathématiques dépend de la stratégie d’apprentissage des enseignants, des ressources pédagogiques disponibles, du suivi pédagogique régulier des professeurs, et de la formation continue des enseignants. Ce problème de perception chez les élèves est aussi lié à l’insuffisance</w:t>
      </w:r>
      <w:r w:rsidR="009237F6">
        <w:rPr>
          <w:sz w:val="24"/>
          <w:szCs w:val="24"/>
        </w:rPr>
        <w:t xml:space="preserve"> </w:t>
      </w:r>
      <w:r w:rsidRPr="00B40F59">
        <w:rPr>
          <w:sz w:val="24"/>
          <w:szCs w:val="24"/>
        </w:rPr>
        <w:t xml:space="preserve">de matériels </w:t>
      </w:r>
      <w:r w:rsidR="009237F6" w:rsidRPr="00B40F59">
        <w:rPr>
          <w:sz w:val="24"/>
          <w:szCs w:val="24"/>
        </w:rPr>
        <w:t>didactiques dans</w:t>
      </w:r>
      <w:r w:rsidRPr="00B40F59">
        <w:rPr>
          <w:sz w:val="24"/>
          <w:szCs w:val="24"/>
        </w:rPr>
        <w:t xml:space="preserve"> les laboratoires. Cependant pour </w:t>
      </w:r>
      <w:proofErr w:type="gramStart"/>
      <w:r w:rsidRPr="00B40F59">
        <w:rPr>
          <w:sz w:val="24"/>
          <w:szCs w:val="24"/>
        </w:rPr>
        <w:t>pallier à</w:t>
      </w:r>
      <w:proofErr w:type="gramEnd"/>
      <w:r w:rsidRPr="00B40F59">
        <w:rPr>
          <w:sz w:val="24"/>
          <w:szCs w:val="24"/>
        </w:rPr>
        <w:t xml:space="preserve"> ce problème d’apprentissage de mathématiques au lycée, il est question de professionnaliser les manières d’enseigner les mathématiques en fonction des cas pratiques (TP) après les séances magistrales, valoriser les stages professionnels des enseignants à l’école normale supérieure, et mettre sur pieds des politiques de renforcement de l’enseignement de cette discipline scolaire. </w:t>
      </w:r>
    </w:p>
    <w:p w14:paraId="15F0E78B" w14:textId="77777777" w:rsidR="00E25DC6" w:rsidRDefault="00E25DC6">
      <w:pPr>
        <w:rPr>
          <w:b/>
          <w:sz w:val="28"/>
          <w:szCs w:val="28"/>
          <w:lang w:val="fr-ML"/>
        </w:rPr>
      </w:pPr>
      <w:r>
        <w:rPr>
          <w:b/>
          <w:sz w:val="28"/>
          <w:szCs w:val="28"/>
          <w:lang w:val="fr-ML"/>
        </w:rPr>
        <w:br w:type="page"/>
      </w:r>
    </w:p>
    <w:p w14:paraId="17F57CAB" w14:textId="0F0A371C" w:rsidR="00D80693" w:rsidRPr="009237F6" w:rsidRDefault="00D80693" w:rsidP="00E25DC6">
      <w:pPr>
        <w:spacing w:before="120"/>
        <w:jc w:val="both"/>
        <w:rPr>
          <w:b/>
          <w:sz w:val="28"/>
          <w:szCs w:val="28"/>
          <w:lang w:val="fr-ML"/>
        </w:rPr>
      </w:pPr>
      <w:r w:rsidRPr="009237F6">
        <w:rPr>
          <w:b/>
          <w:sz w:val="28"/>
          <w:szCs w:val="28"/>
          <w:lang w:val="fr-ML"/>
        </w:rPr>
        <w:t>Références bibliographiques </w:t>
      </w:r>
    </w:p>
    <w:p w14:paraId="22F5E235" w14:textId="77777777" w:rsidR="00314431" w:rsidRPr="009237F6" w:rsidRDefault="00314431" w:rsidP="00A2275C">
      <w:pPr>
        <w:spacing w:before="100"/>
        <w:ind w:left="709" w:hanging="709"/>
        <w:jc w:val="both"/>
        <w:rPr>
          <w:sz w:val="24"/>
          <w:szCs w:val="24"/>
          <w:lang w:val="en-US"/>
        </w:rPr>
      </w:pPr>
      <w:r w:rsidRPr="00314431">
        <w:rPr>
          <w:sz w:val="24"/>
          <w:szCs w:val="24"/>
        </w:rPr>
        <w:t xml:space="preserve">Agyei, D. D., &amp; </w:t>
      </w:r>
      <w:proofErr w:type="spellStart"/>
      <w:r w:rsidRPr="00314431">
        <w:rPr>
          <w:sz w:val="24"/>
          <w:szCs w:val="24"/>
        </w:rPr>
        <w:t>Keengwe</w:t>
      </w:r>
      <w:proofErr w:type="spellEnd"/>
      <w:r w:rsidRPr="00314431">
        <w:rPr>
          <w:sz w:val="24"/>
          <w:szCs w:val="24"/>
        </w:rPr>
        <w:t xml:space="preserve">, J. (2022). </w:t>
      </w:r>
      <w:r w:rsidRPr="009237F6">
        <w:rPr>
          <w:i/>
          <w:iCs/>
          <w:sz w:val="24"/>
          <w:szCs w:val="24"/>
          <w:lang w:val="en-US"/>
        </w:rPr>
        <w:t>Pedagogical planning and teaching effectiveness in sub-Saharan Africa: Challenges and opportunities</w:t>
      </w:r>
      <w:r w:rsidRPr="009237F6">
        <w:rPr>
          <w:sz w:val="24"/>
          <w:szCs w:val="24"/>
          <w:lang w:val="en-US"/>
        </w:rPr>
        <w:t xml:space="preserve">. Journal of Educational Research in Africa, 4(1), 75–89. </w:t>
      </w:r>
      <w:hyperlink r:id="rId43" w:tgtFrame="_blank" w:history="1">
        <w:r w:rsidRPr="009237F6">
          <w:rPr>
            <w:rStyle w:val="Lienhypertexte"/>
            <w:sz w:val="24"/>
            <w:szCs w:val="24"/>
            <w:lang w:val="en-US"/>
          </w:rPr>
          <w:t>https://doi.org/10.1080/26399699.2022.2045671</w:t>
        </w:r>
      </w:hyperlink>
    </w:p>
    <w:p w14:paraId="4DF3BDD4" w14:textId="77777777" w:rsidR="00314431" w:rsidRPr="009237F6" w:rsidRDefault="00314431" w:rsidP="00A2275C">
      <w:pPr>
        <w:spacing w:before="100"/>
        <w:ind w:left="709" w:hanging="709"/>
        <w:jc w:val="both"/>
        <w:rPr>
          <w:sz w:val="24"/>
          <w:szCs w:val="24"/>
        </w:rPr>
      </w:pPr>
      <w:r w:rsidRPr="009237F6">
        <w:rPr>
          <w:sz w:val="24"/>
          <w:szCs w:val="24"/>
          <w:lang w:val="en-US"/>
        </w:rPr>
        <w:t xml:space="preserve">Ahmed ag Raima (2021). </w:t>
      </w:r>
      <w:r w:rsidRPr="009237F6">
        <w:rPr>
          <w:sz w:val="24"/>
          <w:szCs w:val="24"/>
        </w:rPr>
        <w:t xml:space="preserve">La déperdition scolaire dans l’enseignement fondamental </w:t>
      </w:r>
      <w:proofErr w:type="gramStart"/>
      <w:r w:rsidRPr="009237F6">
        <w:rPr>
          <w:sz w:val="24"/>
          <w:szCs w:val="24"/>
        </w:rPr>
        <w:t>au mali</w:t>
      </w:r>
      <w:proofErr w:type="gramEnd"/>
      <w:r w:rsidRPr="009237F6">
        <w:rPr>
          <w:sz w:val="24"/>
          <w:szCs w:val="24"/>
        </w:rPr>
        <w:t xml:space="preserve"> : cas des filles des écoles du second cycle public du cercle de </w:t>
      </w:r>
      <w:proofErr w:type="spellStart"/>
      <w:r w:rsidRPr="009237F6">
        <w:rPr>
          <w:sz w:val="24"/>
          <w:szCs w:val="24"/>
        </w:rPr>
        <w:t>kangaba</w:t>
      </w:r>
      <w:proofErr w:type="spellEnd"/>
      <w:r w:rsidRPr="009237F6">
        <w:rPr>
          <w:sz w:val="24"/>
          <w:szCs w:val="24"/>
        </w:rPr>
        <w:t>. Région de Koulikoro. Revue scientifique/ RS-UCAO 0003/Université Catholique de l’Afrique de l’Ouest, P.87</w:t>
      </w:r>
    </w:p>
    <w:p w14:paraId="1AC65F29" w14:textId="77777777" w:rsidR="00314431" w:rsidRPr="009237F6" w:rsidRDefault="00314431" w:rsidP="00A2275C">
      <w:pPr>
        <w:spacing w:before="100"/>
        <w:ind w:left="709" w:hanging="709"/>
        <w:jc w:val="both"/>
        <w:rPr>
          <w:sz w:val="24"/>
          <w:szCs w:val="24"/>
          <w:lang w:val="en-US"/>
        </w:rPr>
      </w:pPr>
      <w:r w:rsidRPr="009237F6">
        <w:rPr>
          <w:sz w:val="24"/>
          <w:szCs w:val="24"/>
        </w:rPr>
        <w:t xml:space="preserve">Alain Blanchet, Anne Gotman (2010). L’enquête et ses méthodes : l’entretien. </w:t>
      </w:r>
      <w:r w:rsidRPr="009237F6">
        <w:rPr>
          <w:sz w:val="24"/>
          <w:szCs w:val="24"/>
          <w:lang w:val="en-US"/>
        </w:rPr>
        <w:t xml:space="preserve">Armand Colin2e </w:t>
      </w:r>
      <w:proofErr w:type="spellStart"/>
      <w:r w:rsidRPr="009237F6">
        <w:rPr>
          <w:sz w:val="24"/>
          <w:szCs w:val="24"/>
          <w:lang w:val="en-US"/>
        </w:rPr>
        <w:t>édition</w:t>
      </w:r>
      <w:proofErr w:type="spellEnd"/>
      <w:r w:rsidRPr="009237F6">
        <w:rPr>
          <w:sz w:val="24"/>
          <w:szCs w:val="24"/>
          <w:lang w:val="en-US"/>
        </w:rPr>
        <w:t xml:space="preserve"> </w:t>
      </w:r>
      <w:proofErr w:type="spellStart"/>
      <w:r w:rsidRPr="009237F6">
        <w:rPr>
          <w:sz w:val="24"/>
          <w:szCs w:val="24"/>
          <w:lang w:val="en-US"/>
        </w:rPr>
        <w:t>refondue</w:t>
      </w:r>
      <w:proofErr w:type="spellEnd"/>
      <w:r w:rsidRPr="009237F6">
        <w:rPr>
          <w:sz w:val="24"/>
          <w:szCs w:val="24"/>
          <w:lang w:val="en-US"/>
        </w:rPr>
        <w:t>, P.51</w:t>
      </w:r>
    </w:p>
    <w:p w14:paraId="473D6603" w14:textId="77777777" w:rsidR="00314431" w:rsidRPr="009237F6" w:rsidRDefault="00314431" w:rsidP="00A2275C">
      <w:pPr>
        <w:spacing w:before="100"/>
        <w:ind w:left="709" w:hanging="709"/>
        <w:jc w:val="both"/>
        <w:rPr>
          <w:sz w:val="24"/>
          <w:szCs w:val="24"/>
        </w:rPr>
      </w:pPr>
      <w:r w:rsidRPr="009237F6">
        <w:rPr>
          <w:sz w:val="24"/>
          <w:szCs w:val="24"/>
        </w:rPr>
        <w:t xml:space="preserve">Begin, C. (2008). Les stratégies d’apprentissage : un cadre de référence simplifié. Revue des sciences de l’éducation, 34(1). 47-67. </w:t>
      </w:r>
      <w:hyperlink r:id="rId44" w:history="1">
        <w:r w:rsidRPr="009237F6">
          <w:rPr>
            <w:rStyle w:val="Lienhypertexte"/>
            <w:sz w:val="24"/>
            <w:szCs w:val="24"/>
          </w:rPr>
          <w:t>https://doi.org/</w:t>
        </w:r>
      </w:hyperlink>
      <w:r w:rsidRPr="009237F6">
        <w:rPr>
          <w:sz w:val="24"/>
          <w:szCs w:val="24"/>
        </w:rPr>
        <w:t xml:space="preserve"> 10.7202/018989ar. P.48</w:t>
      </w:r>
    </w:p>
    <w:p w14:paraId="197F4AD2" w14:textId="77777777" w:rsidR="00314431" w:rsidRPr="009237F6" w:rsidRDefault="00314431" w:rsidP="00A2275C">
      <w:pPr>
        <w:spacing w:before="100"/>
        <w:ind w:left="709" w:hanging="709"/>
        <w:jc w:val="both"/>
        <w:rPr>
          <w:sz w:val="24"/>
          <w:szCs w:val="24"/>
        </w:rPr>
      </w:pPr>
      <w:r w:rsidRPr="009237F6">
        <w:rPr>
          <w:sz w:val="24"/>
          <w:szCs w:val="24"/>
        </w:rPr>
        <w:t xml:space="preserve">Diouf, M. (2023). </w:t>
      </w:r>
      <w:r w:rsidRPr="009237F6">
        <w:rPr>
          <w:i/>
          <w:iCs/>
          <w:sz w:val="24"/>
          <w:szCs w:val="24"/>
        </w:rPr>
        <w:t>Impact des fiches de préparation sur les pratiques enseignantes en mathématiques au Sénégal</w:t>
      </w:r>
      <w:r w:rsidRPr="009237F6">
        <w:rPr>
          <w:sz w:val="24"/>
          <w:szCs w:val="24"/>
        </w:rPr>
        <w:t xml:space="preserve">. Revue Internationale des Sciences de l’Éducation, 15(2), 89–102. </w:t>
      </w:r>
      <w:hyperlink r:id="rId45" w:tgtFrame="_blank" w:history="1">
        <w:r w:rsidRPr="009237F6">
          <w:rPr>
            <w:rStyle w:val="Lienhypertexte"/>
            <w:sz w:val="24"/>
            <w:szCs w:val="24"/>
          </w:rPr>
          <w:t>https://doi.org/10.48625/rised.v15i2.1234</w:t>
        </w:r>
      </w:hyperlink>
    </w:p>
    <w:p w14:paraId="436629F0" w14:textId="77777777" w:rsidR="00314431" w:rsidRPr="009237F6" w:rsidRDefault="00314431" w:rsidP="00A2275C">
      <w:pPr>
        <w:spacing w:before="100"/>
        <w:ind w:left="709" w:hanging="709"/>
        <w:jc w:val="both"/>
        <w:rPr>
          <w:sz w:val="24"/>
          <w:szCs w:val="24"/>
        </w:rPr>
      </w:pPr>
      <w:r w:rsidRPr="009237F6">
        <w:rPr>
          <w:sz w:val="24"/>
          <w:szCs w:val="24"/>
        </w:rPr>
        <w:t xml:space="preserve">Dominique Galiana (2002) : l’approche expérimentale en biologie : améliorer sa pratique d’enseignant. </w:t>
      </w:r>
      <w:proofErr w:type="spellStart"/>
      <w:proofErr w:type="gramStart"/>
      <w:r w:rsidRPr="009237F6">
        <w:rPr>
          <w:sz w:val="24"/>
          <w:szCs w:val="24"/>
        </w:rPr>
        <w:t>educagri</w:t>
      </w:r>
      <w:proofErr w:type="spellEnd"/>
      <w:proofErr w:type="gramEnd"/>
      <w:r w:rsidRPr="009237F6">
        <w:rPr>
          <w:sz w:val="24"/>
          <w:szCs w:val="24"/>
        </w:rPr>
        <w:t xml:space="preserve"> </w:t>
      </w:r>
      <w:proofErr w:type="spellStart"/>
      <w:r w:rsidRPr="009237F6">
        <w:rPr>
          <w:sz w:val="24"/>
          <w:szCs w:val="24"/>
        </w:rPr>
        <w:t>édtions</w:t>
      </w:r>
      <w:proofErr w:type="spellEnd"/>
      <w:r w:rsidRPr="009237F6">
        <w:rPr>
          <w:sz w:val="24"/>
          <w:szCs w:val="24"/>
        </w:rPr>
        <w:t>, P.29</w:t>
      </w:r>
    </w:p>
    <w:p w14:paraId="4163B940" w14:textId="77777777" w:rsidR="00314431" w:rsidRPr="009237F6" w:rsidRDefault="00314431" w:rsidP="00A2275C">
      <w:pPr>
        <w:spacing w:before="100"/>
        <w:ind w:left="709" w:hanging="709"/>
        <w:jc w:val="both"/>
        <w:rPr>
          <w:sz w:val="24"/>
          <w:szCs w:val="24"/>
        </w:rPr>
      </w:pPr>
      <w:r w:rsidRPr="009237F6">
        <w:rPr>
          <w:sz w:val="24"/>
          <w:szCs w:val="24"/>
        </w:rPr>
        <w:t>Fanny Bugeja, Marie-Paule Couto (2015) : les méthodes quantitatives. Que sais-je ? p.50</w:t>
      </w:r>
    </w:p>
    <w:p w14:paraId="29C696A8" w14:textId="77777777" w:rsidR="00314431" w:rsidRDefault="00314431" w:rsidP="00A2275C">
      <w:pPr>
        <w:pStyle w:val="Bibliographie"/>
        <w:spacing w:before="100" w:after="0" w:line="240" w:lineRule="auto"/>
        <w:ind w:left="709" w:hanging="709"/>
        <w:rPr>
          <w:rFonts w:ascii="Times New Roman" w:hAnsi="Times New Roman" w:cs="Times New Roman"/>
          <w:noProof/>
          <w:sz w:val="24"/>
          <w:szCs w:val="24"/>
          <w:lang w:val="pt-PT"/>
        </w:rPr>
      </w:pPr>
      <w:r w:rsidRPr="009237F6">
        <w:rPr>
          <w:rFonts w:ascii="Times New Roman" w:hAnsi="Times New Roman" w:cs="Times New Roman"/>
          <w:noProof/>
          <w:sz w:val="24"/>
          <w:szCs w:val="24"/>
        </w:rPr>
        <w:t xml:space="preserve">Gremion, L. (2003, p.5). Formation des maîtres : tension entre théorie et pratique. quelques reflexions d'une formatrice. </w:t>
      </w:r>
      <w:r w:rsidRPr="009237F6">
        <w:rPr>
          <w:rFonts w:ascii="Times New Roman" w:hAnsi="Times New Roman" w:cs="Times New Roman"/>
          <w:i/>
          <w:iCs/>
          <w:noProof/>
          <w:sz w:val="24"/>
          <w:szCs w:val="24"/>
          <w:lang w:val="pt-PT"/>
        </w:rPr>
        <w:t>Revista Dialogo Educacional, Curitiba, V.4; n°8</w:t>
      </w:r>
      <w:r w:rsidRPr="009237F6">
        <w:rPr>
          <w:rFonts w:ascii="Times New Roman" w:hAnsi="Times New Roman" w:cs="Times New Roman"/>
          <w:noProof/>
          <w:sz w:val="24"/>
          <w:szCs w:val="24"/>
          <w:lang w:val="pt-PT"/>
        </w:rPr>
        <w:t>, P.45-55.</w:t>
      </w:r>
    </w:p>
    <w:p w14:paraId="428E6CAB" w14:textId="77777777" w:rsidR="00314431" w:rsidRPr="009237F6" w:rsidRDefault="00314431" w:rsidP="00A2275C">
      <w:pPr>
        <w:spacing w:before="100"/>
        <w:ind w:left="709" w:hanging="709"/>
        <w:jc w:val="both"/>
        <w:rPr>
          <w:sz w:val="24"/>
          <w:szCs w:val="24"/>
        </w:rPr>
      </w:pPr>
      <w:r w:rsidRPr="009237F6">
        <w:rPr>
          <w:sz w:val="24"/>
          <w:szCs w:val="24"/>
        </w:rPr>
        <w:t xml:space="preserve">Karsenti, T., &amp; </w:t>
      </w:r>
      <w:proofErr w:type="spellStart"/>
      <w:r w:rsidRPr="009237F6">
        <w:rPr>
          <w:sz w:val="24"/>
          <w:szCs w:val="24"/>
        </w:rPr>
        <w:t>Collin</w:t>
      </w:r>
      <w:proofErr w:type="spellEnd"/>
      <w:r w:rsidRPr="009237F6">
        <w:rPr>
          <w:sz w:val="24"/>
          <w:szCs w:val="24"/>
        </w:rPr>
        <w:t xml:space="preserve">, P. (2023). </w:t>
      </w:r>
      <w:r w:rsidRPr="009237F6">
        <w:rPr>
          <w:i/>
          <w:iCs/>
          <w:sz w:val="24"/>
          <w:szCs w:val="24"/>
        </w:rPr>
        <w:t>L’évaluation formative à l’ère du numérique : Enjeux, limites et perspectives</w:t>
      </w:r>
      <w:r w:rsidRPr="009237F6">
        <w:rPr>
          <w:sz w:val="24"/>
          <w:szCs w:val="24"/>
        </w:rPr>
        <w:t xml:space="preserve">. Presses de l’Université de Montréal. </w:t>
      </w:r>
      <w:hyperlink r:id="rId46" w:tgtFrame="_blank" w:history="1">
        <w:r w:rsidRPr="009237F6">
          <w:rPr>
            <w:rStyle w:val="Lienhypertexte"/>
            <w:sz w:val="24"/>
            <w:szCs w:val="24"/>
          </w:rPr>
          <w:t>https://doi.org/10.3917/pum.kars.2023.01</w:t>
        </w:r>
      </w:hyperlink>
    </w:p>
    <w:p w14:paraId="6CEBBA74" w14:textId="77777777" w:rsidR="00314431" w:rsidRPr="009237F6" w:rsidRDefault="00314431" w:rsidP="00A2275C">
      <w:pPr>
        <w:pStyle w:val="Bibliographie"/>
        <w:spacing w:before="100" w:after="0" w:line="240" w:lineRule="auto"/>
        <w:ind w:left="709" w:hanging="709"/>
        <w:jc w:val="both"/>
        <w:rPr>
          <w:rFonts w:ascii="Times New Roman" w:hAnsi="Times New Roman" w:cs="Times New Roman"/>
          <w:noProof/>
          <w:sz w:val="24"/>
          <w:szCs w:val="24"/>
        </w:rPr>
      </w:pPr>
      <w:r w:rsidRPr="009237F6">
        <w:rPr>
          <w:rFonts w:ascii="Times New Roman" w:hAnsi="Times New Roman" w:cs="Times New Roman"/>
          <w:noProof/>
          <w:sz w:val="24"/>
          <w:szCs w:val="24"/>
        </w:rPr>
        <w:t xml:space="preserve">Khainnar, Y. (2019, p. 24). </w:t>
      </w:r>
      <w:r w:rsidRPr="009237F6">
        <w:rPr>
          <w:rFonts w:ascii="Times New Roman" w:hAnsi="Times New Roman" w:cs="Times New Roman"/>
          <w:i/>
          <w:iCs/>
          <w:noProof/>
          <w:sz w:val="24"/>
          <w:szCs w:val="24"/>
        </w:rPr>
        <w:t>Styles et stratégies d'apprentissage et évaluation formative de la grammaire du FLE. en 2ème année universitaire.</w:t>
      </w:r>
      <w:r w:rsidRPr="009237F6">
        <w:rPr>
          <w:rFonts w:ascii="Times New Roman" w:hAnsi="Times New Roman" w:cs="Times New Roman"/>
          <w:noProof/>
          <w:sz w:val="24"/>
          <w:szCs w:val="24"/>
        </w:rPr>
        <w:t xml:space="preserve"> Thèse de doctorat en didactique. Université constantine 1, Faculté des Lettres et des Langues. Ecole doctorale de français.</w:t>
      </w:r>
    </w:p>
    <w:p w14:paraId="2A5CE848"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r w:rsidRPr="009237F6">
        <w:rPr>
          <w:rFonts w:ascii="Times New Roman" w:hAnsi="Times New Roman" w:cs="Times New Roman"/>
          <w:noProof/>
          <w:sz w:val="24"/>
          <w:szCs w:val="24"/>
        </w:rPr>
        <w:t xml:space="preserve">kodio. (2000). les maths . </w:t>
      </w:r>
      <w:r w:rsidRPr="009237F6">
        <w:rPr>
          <w:rFonts w:ascii="Times New Roman" w:hAnsi="Times New Roman" w:cs="Times New Roman"/>
          <w:i/>
          <w:iCs/>
          <w:noProof/>
          <w:sz w:val="24"/>
          <w:szCs w:val="24"/>
        </w:rPr>
        <w:t>le pays</w:t>
      </w:r>
      <w:r w:rsidRPr="009237F6">
        <w:rPr>
          <w:rFonts w:ascii="Times New Roman" w:hAnsi="Times New Roman" w:cs="Times New Roman"/>
          <w:noProof/>
          <w:sz w:val="24"/>
          <w:szCs w:val="24"/>
        </w:rPr>
        <w:t>, 16.</w:t>
      </w:r>
    </w:p>
    <w:p w14:paraId="4947DA9D" w14:textId="77777777" w:rsidR="00314431" w:rsidRPr="009237F6" w:rsidRDefault="00314431" w:rsidP="00A2275C">
      <w:pPr>
        <w:spacing w:before="100"/>
        <w:ind w:left="709" w:hanging="709"/>
        <w:jc w:val="both"/>
        <w:rPr>
          <w:sz w:val="24"/>
          <w:szCs w:val="24"/>
        </w:rPr>
      </w:pPr>
      <w:r w:rsidRPr="009237F6">
        <w:rPr>
          <w:sz w:val="24"/>
          <w:szCs w:val="24"/>
        </w:rPr>
        <w:t xml:space="preserve">Laurent </w:t>
      </w:r>
      <w:proofErr w:type="spellStart"/>
      <w:r w:rsidRPr="009237F6">
        <w:rPr>
          <w:sz w:val="24"/>
          <w:szCs w:val="24"/>
        </w:rPr>
        <w:t>talbot</w:t>
      </w:r>
      <w:proofErr w:type="spellEnd"/>
      <w:r w:rsidRPr="009237F6">
        <w:rPr>
          <w:sz w:val="24"/>
          <w:szCs w:val="24"/>
        </w:rPr>
        <w:t xml:space="preserve"> et Aline Arrieu-Mutel ; « décrire, comprendre et expliquer les pratiques d’enseignement d’un professeur de lycée », Education et didactique, consulté le 30 avril 2019, P.70</w:t>
      </w:r>
    </w:p>
    <w:p w14:paraId="649A854F" w14:textId="77777777" w:rsidR="00314431" w:rsidRPr="00691CB5" w:rsidRDefault="00314431" w:rsidP="00691CB5">
      <w:pPr>
        <w:spacing w:before="100"/>
        <w:ind w:left="709" w:hanging="709"/>
        <w:jc w:val="both"/>
        <w:rPr>
          <w:sz w:val="24"/>
          <w:szCs w:val="24"/>
        </w:rPr>
      </w:pPr>
      <w:r w:rsidRPr="009237F6">
        <w:rPr>
          <w:sz w:val="24"/>
          <w:szCs w:val="24"/>
        </w:rPr>
        <w:t>Macaire</w:t>
      </w:r>
      <w:r>
        <w:rPr>
          <w:sz w:val="24"/>
          <w:szCs w:val="24"/>
        </w:rPr>
        <w:t xml:space="preserve"> </w:t>
      </w:r>
      <w:r w:rsidRPr="009237F6">
        <w:rPr>
          <w:sz w:val="24"/>
          <w:szCs w:val="24"/>
        </w:rPr>
        <w:t>F. (1993). Notre beau métier.  Manuel de pédagogie appliquée. Les classiques africaines, p.289</w:t>
      </w:r>
    </w:p>
    <w:p w14:paraId="16F92475" w14:textId="77777777" w:rsidR="00314431" w:rsidRPr="009237F6" w:rsidRDefault="00314431" w:rsidP="00A2275C">
      <w:pPr>
        <w:spacing w:before="100"/>
        <w:ind w:left="709" w:hanging="709"/>
        <w:jc w:val="both"/>
        <w:rPr>
          <w:sz w:val="24"/>
          <w:szCs w:val="24"/>
        </w:rPr>
      </w:pPr>
      <w:proofErr w:type="spellStart"/>
      <w:r w:rsidRPr="009237F6">
        <w:rPr>
          <w:sz w:val="24"/>
          <w:szCs w:val="24"/>
        </w:rPr>
        <w:t>Madoué</w:t>
      </w:r>
      <w:proofErr w:type="spellEnd"/>
      <w:r w:rsidRPr="009237F6">
        <w:rPr>
          <w:sz w:val="24"/>
          <w:szCs w:val="24"/>
        </w:rPr>
        <w:t xml:space="preserve"> Florentine </w:t>
      </w:r>
      <w:proofErr w:type="spellStart"/>
      <w:r w:rsidRPr="009237F6">
        <w:rPr>
          <w:sz w:val="24"/>
          <w:szCs w:val="24"/>
        </w:rPr>
        <w:t>ahouète-Hounsinou</w:t>
      </w:r>
      <w:proofErr w:type="spellEnd"/>
      <w:r w:rsidRPr="009237F6">
        <w:rPr>
          <w:sz w:val="24"/>
          <w:szCs w:val="24"/>
        </w:rPr>
        <w:t xml:space="preserve"> (2012). Utilisation des technologies de l’information et de la communication pour la formation continue à </w:t>
      </w:r>
      <w:proofErr w:type="spellStart"/>
      <w:r w:rsidRPr="009237F6">
        <w:rPr>
          <w:sz w:val="24"/>
          <w:szCs w:val="24"/>
        </w:rPr>
        <w:t>distance</w:t>
      </w:r>
      <w:proofErr w:type="spellEnd"/>
      <w:r w:rsidRPr="009237F6">
        <w:rPr>
          <w:sz w:val="24"/>
          <w:szCs w:val="24"/>
        </w:rPr>
        <w:t xml:space="preserve"> des enseignants du secondaire au Benin : Réalités et perspectives. P.38</w:t>
      </w:r>
    </w:p>
    <w:p w14:paraId="6EF86089" w14:textId="77777777" w:rsidR="00314431" w:rsidRPr="009237F6" w:rsidRDefault="00314431" w:rsidP="00A2275C">
      <w:pPr>
        <w:spacing w:before="100"/>
        <w:ind w:left="709" w:hanging="709"/>
        <w:jc w:val="both"/>
        <w:rPr>
          <w:sz w:val="24"/>
          <w:szCs w:val="24"/>
          <w:lang w:val="en-US"/>
        </w:rPr>
      </w:pPr>
      <w:r w:rsidRPr="009237F6">
        <w:rPr>
          <w:sz w:val="24"/>
          <w:szCs w:val="24"/>
        </w:rPr>
        <w:t xml:space="preserve">Michel Perraudeau (2014). Les stratégies d’apprentissage : comment accompagner les élèves dans l’appropriation des </w:t>
      </w:r>
      <w:proofErr w:type="gramStart"/>
      <w:r w:rsidRPr="009237F6">
        <w:rPr>
          <w:sz w:val="24"/>
          <w:szCs w:val="24"/>
        </w:rPr>
        <w:t>savoirs .</w:t>
      </w:r>
      <w:proofErr w:type="gramEnd"/>
      <w:r w:rsidRPr="009237F6">
        <w:rPr>
          <w:sz w:val="24"/>
          <w:szCs w:val="24"/>
        </w:rPr>
        <w:t xml:space="preserve"> </w:t>
      </w:r>
      <w:r w:rsidRPr="009237F6">
        <w:rPr>
          <w:sz w:val="24"/>
          <w:szCs w:val="24"/>
          <w:lang w:val="en-US"/>
        </w:rPr>
        <w:t xml:space="preserve">Armand </w:t>
      </w:r>
      <w:proofErr w:type="spellStart"/>
      <w:r w:rsidRPr="009237F6">
        <w:rPr>
          <w:sz w:val="24"/>
          <w:szCs w:val="24"/>
          <w:lang w:val="en-US"/>
        </w:rPr>
        <w:t>collin</w:t>
      </w:r>
      <w:proofErr w:type="spellEnd"/>
      <w:r w:rsidRPr="009237F6">
        <w:rPr>
          <w:sz w:val="24"/>
          <w:szCs w:val="24"/>
          <w:lang w:val="en-US"/>
        </w:rPr>
        <w:t>, P.15</w:t>
      </w:r>
    </w:p>
    <w:p w14:paraId="499C6546" w14:textId="77777777" w:rsidR="00314431" w:rsidRPr="009237F6" w:rsidRDefault="00314431" w:rsidP="00A2275C">
      <w:pPr>
        <w:spacing w:before="100"/>
        <w:ind w:left="709" w:hanging="709"/>
        <w:jc w:val="both"/>
        <w:rPr>
          <w:sz w:val="24"/>
          <w:szCs w:val="24"/>
        </w:rPr>
      </w:pPr>
      <w:r w:rsidRPr="009237F6">
        <w:rPr>
          <w:sz w:val="24"/>
          <w:szCs w:val="24"/>
        </w:rPr>
        <w:t xml:space="preserve">Mottier Lopez, L. (2015). Evaluation-régulation interactive : étude des structures de participation guidée entre enseignant et élèves dans le problème mathématique « enclos de la chèvre ». Mesure et évaluation en éducation, 38 (1° : 89-120. </w:t>
      </w:r>
      <w:hyperlink r:id="rId47" w:history="1">
        <w:r w:rsidRPr="009237F6">
          <w:rPr>
            <w:rStyle w:val="Lienhypertexte"/>
            <w:sz w:val="24"/>
            <w:szCs w:val="24"/>
          </w:rPr>
          <w:t>https://doi.org/107202/1036552ar;P.92</w:t>
        </w:r>
      </w:hyperlink>
    </w:p>
    <w:p w14:paraId="0FE611DD" w14:textId="77777777" w:rsidR="00314431" w:rsidRPr="009237F6" w:rsidRDefault="00314431" w:rsidP="00A2275C">
      <w:pPr>
        <w:spacing w:before="100"/>
        <w:ind w:left="709" w:hanging="709"/>
        <w:jc w:val="both"/>
        <w:rPr>
          <w:sz w:val="24"/>
          <w:szCs w:val="24"/>
        </w:rPr>
      </w:pPr>
      <w:r w:rsidRPr="009237F6">
        <w:rPr>
          <w:sz w:val="24"/>
          <w:szCs w:val="24"/>
        </w:rPr>
        <w:t xml:space="preserve">Mottier Lopez, L., &amp; </w:t>
      </w:r>
      <w:proofErr w:type="spellStart"/>
      <w:r w:rsidRPr="009237F6">
        <w:rPr>
          <w:sz w:val="24"/>
          <w:szCs w:val="24"/>
        </w:rPr>
        <w:t>Smeyers</w:t>
      </w:r>
      <w:proofErr w:type="spellEnd"/>
      <w:r w:rsidRPr="009237F6">
        <w:rPr>
          <w:sz w:val="24"/>
          <w:szCs w:val="24"/>
        </w:rPr>
        <w:t xml:space="preserve">, P. (2021). </w:t>
      </w:r>
      <w:r w:rsidRPr="009237F6">
        <w:rPr>
          <w:i/>
          <w:iCs/>
          <w:sz w:val="24"/>
          <w:szCs w:val="24"/>
        </w:rPr>
        <w:t>Réguler les apprentissages en classe : entre intention pédagogique et ajustements en situation</w:t>
      </w:r>
      <w:r w:rsidRPr="009237F6">
        <w:rPr>
          <w:sz w:val="24"/>
          <w:szCs w:val="24"/>
        </w:rPr>
        <w:t xml:space="preserve">. Éducation et Didactique, 13(2), 107–126. </w:t>
      </w:r>
      <w:hyperlink r:id="rId48" w:tgtFrame="_blank" w:history="1">
        <w:r w:rsidRPr="009237F6">
          <w:rPr>
            <w:rStyle w:val="Lienhypertexte"/>
            <w:sz w:val="24"/>
            <w:szCs w:val="24"/>
          </w:rPr>
          <w:t>https://doi.org/10.4000/ed.6874</w:t>
        </w:r>
      </w:hyperlink>
    </w:p>
    <w:p w14:paraId="08480030" w14:textId="77777777" w:rsidR="00314431" w:rsidRPr="009237F6" w:rsidRDefault="00314431" w:rsidP="00A2275C">
      <w:pPr>
        <w:spacing w:before="100"/>
        <w:ind w:left="709" w:hanging="709"/>
        <w:jc w:val="both"/>
        <w:rPr>
          <w:sz w:val="24"/>
          <w:szCs w:val="24"/>
        </w:rPr>
      </w:pPr>
      <w:proofErr w:type="spellStart"/>
      <w:r w:rsidRPr="009237F6">
        <w:rPr>
          <w:sz w:val="24"/>
          <w:szCs w:val="24"/>
        </w:rPr>
        <w:t>Mounkaila</w:t>
      </w:r>
      <w:proofErr w:type="spellEnd"/>
      <w:r w:rsidRPr="009237F6">
        <w:rPr>
          <w:sz w:val="24"/>
          <w:szCs w:val="24"/>
        </w:rPr>
        <w:t xml:space="preserve"> Abdo Laouali </w:t>
      </w:r>
      <w:proofErr w:type="spellStart"/>
      <w:r w:rsidRPr="009237F6">
        <w:rPr>
          <w:sz w:val="24"/>
          <w:szCs w:val="24"/>
        </w:rPr>
        <w:t>serki</w:t>
      </w:r>
      <w:proofErr w:type="spellEnd"/>
      <w:r w:rsidRPr="009237F6">
        <w:rPr>
          <w:sz w:val="24"/>
          <w:szCs w:val="24"/>
        </w:rPr>
        <w:t xml:space="preserve"> (2015). Méthodologie de la recherche en philosophie. </w:t>
      </w:r>
      <w:proofErr w:type="spellStart"/>
      <w:r w:rsidRPr="009237F6">
        <w:rPr>
          <w:sz w:val="24"/>
          <w:szCs w:val="24"/>
        </w:rPr>
        <w:t>L’harmattan</w:t>
      </w:r>
      <w:proofErr w:type="spellEnd"/>
      <w:r w:rsidRPr="009237F6">
        <w:rPr>
          <w:sz w:val="24"/>
          <w:szCs w:val="24"/>
        </w:rPr>
        <w:t>, p.43</w:t>
      </w:r>
    </w:p>
    <w:p w14:paraId="4D3BEE0E" w14:textId="77777777" w:rsidR="00314431" w:rsidRPr="009237F6" w:rsidRDefault="00314431" w:rsidP="00A2275C">
      <w:pPr>
        <w:spacing w:before="100"/>
        <w:ind w:left="709" w:hanging="709"/>
        <w:jc w:val="both"/>
        <w:rPr>
          <w:sz w:val="24"/>
          <w:szCs w:val="24"/>
          <w:lang w:val="en-US"/>
        </w:rPr>
      </w:pPr>
      <w:r w:rsidRPr="009237F6">
        <w:rPr>
          <w:sz w:val="24"/>
          <w:szCs w:val="24"/>
          <w:lang w:val="en-US"/>
        </w:rPr>
        <w:t xml:space="preserve">Nicol, D. J., &amp; Macfarlane-Dick, D. (2023). Formative assessment and self-regulated learning: A model and seven principles of good feedback practice. </w:t>
      </w:r>
      <w:r w:rsidRPr="009237F6">
        <w:rPr>
          <w:i/>
          <w:iCs/>
          <w:sz w:val="24"/>
          <w:szCs w:val="24"/>
          <w:lang w:val="en-US"/>
        </w:rPr>
        <w:t>Studies in Higher Education, 48</w:t>
      </w:r>
      <w:r w:rsidRPr="009237F6">
        <w:rPr>
          <w:sz w:val="24"/>
          <w:szCs w:val="24"/>
          <w:lang w:val="en-US"/>
        </w:rPr>
        <w:t xml:space="preserve">(2), 213–231. </w:t>
      </w:r>
      <w:hyperlink r:id="rId49" w:tgtFrame="_blank" w:history="1">
        <w:r w:rsidRPr="009237F6">
          <w:rPr>
            <w:rStyle w:val="Lienhypertexte"/>
            <w:sz w:val="24"/>
            <w:szCs w:val="24"/>
            <w:lang w:val="en-US"/>
          </w:rPr>
          <w:t>https://doi.org/10.1080/03075079.2022.2134567</w:t>
        </w:r>
      </w:hyperlink>
    </w:p>
    <w:p w14:paraId="0F2866E8" w14:textId="77777777" w:rsidR="00314431" w:rsidRPr="009237F6" w:rsidRDefault="00314431" w:rsidP="00A2275C">
      <w:pPr>
        <w:spacing w:before="100"/>
        <w:ind w:left="709" w:hanging="709"/>
        <w:jc w:val="both"/>
        <w:rPr>
          <w:sz w:val="24"/>
          <w:szCs w:val="24"/>
        </w:rPr>
      </w:pPr>
      <w:proofErr w:type="spellStart"/>
      <w:r w:rsidRPr="00314431">
        <w:rPr>
          <w:sz w:val="24"/>
          <w:szCs w:val="24"/>
        </w:rPr>
        <w:t>Nkoué</w:t>
      </w:r>
      <w:proofErr w:type="spellEnd"/>
      <w:r w:rsidRPr="00314431">
        <w:rPr>
          <w:sz w:val="24"/>
          <w:szCs w:val="24"/>
        </w:rPr>
        <w:t xml:space="preserve">, A., &amp; </w:t>
      </w:r>
      <w:proofErr w:type="spellStart"/>
      <w:r w:rsidRPr="00314431">
        <w:rPr>
          <w:sz w:val="24"/>
          <w:szCs w:val="24"/>
        </w:rPr>
        <w:t>Tchombe</w:t>
      </w:r>
      <w:proofErr w:type="spellEnd"/>
      <w:r w:rsidRPr="00314431">
        <w:rPr>
          <w:sz w:val="24"/>
          <w:szCs w:val="24"/>
        </w:rPr>
        <w:t xml:space="preserve">, T. M. L. (2021). </w:t>
      </w:r>
      <w:r w:rsidRPr="009237F6">
        <w:rPr>
          <w:i/>
          <w:iCs/>
          <w:sz w:val="24"/>
          <w:szCs w:val="24"/>
        </w:rPr>
        <w:t>La planification pédagogique comme levier de qualité dans l’enseignement des mathématiques en Afrique</w:t>
      </w:r>
      <w:r w:rsidRPr="009237F6">
        <w:rPr>
          <w:sz w:val="24"/>
          <w:szCs w:val="24"/>
        </w:rPr>
        <w:t xml:space="preserve">. Éducation et Didactique, 13(3), 137–154. </w:t>
      </w:r>
      <w:hyperlink r:id="rId50" w:tgtFrame="_blank" w:history="1">
        <w:r w:rsidRPr="009237F6">
          <w:rPr>
            <w:rStyle w:val="Lienhypertexte"/>
            <w:sz w:val="24"/>
            <w:szCs w:val="24"/>
          </w:rPr>
          <w:t>https://doi.org/10.4000/ed.12345</w:t>
        </w:r>
      </w:hyperlink>
    </w:p>
    <w:p w14:paraId="1C008144" w14:textId="77777777" w:rsidR="00314431" w:rsidRPr="009237F6" w:rsidRDefault="00314431" w:rsidP="00A2275C">
      <w:pPr>
        <w:spacing w:before="100"/>
        <w:ind w:left="709" w:hanging="709"/>
        <w:jc w:val="both"/>
        <w:rPr>
          <w:sz w:val="24"/>
          <w:szCs w:val="24"/>
        </w:rPr>
      </w:pPr>
      <w:r w:rsidRPr="009237F6">
        <w:rPr>
          <w:sz w:val="24"/>
          <w:szCs w:val="24"/>
        </w:rPr>
        <w:t>Oumar Aktouf (1987). Méthodologie des sciences sociales et approches qualitatives des organisations : une introduction à la démarche classique et une critique. Les Presses de l’Université du Québec, p.67</w:t>
      </w:r>
    </w:p>
    <w:p w14:paraId="5A6BBCE8"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r w:rsidRPr="009237F6">
        <w:rPr>
          <w:rFonts w:ascii="Times New Roman" w:hAnsi="Times New Roman" w:cs="Times New Roman"/>
          <w:noProof/>
          <w:sz w:val="24"/>
          <w:szCs w:val="24"/>
          <w:lang w:val="en-US"/>
        </w:rPr>
        <w:t xml:space="preserve">Raymond quivy, Luc Van Campenhoudt (2006). </w:t>
      </w:r>
      <w:r w:rsidRPr="009237F6">
        <w:rPr>
          <w:rFonts w:ascii="Times New Roman" w:hAnsi="Times New Roman" w:cs="Times New Roman"/>
          <w:noProof/>
          <w:sz w:val="24"/>
          <w:szCs w:val="24"/>
        </w:rPr>
        <w:t>Manueel de recherche en sciences sociales, Dumond ; p.81</w:t>
      </w:r>
    </w:p>
    <w:p w14:paraId="723AFAC0"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r w:rsidRPr="009237F6">
        <w:rPr>
          <w:rFonts w:ascii="Times New Roman" w:hAnsi="Times New Roman" w:cs="Times New Roman"/>
          <w:noProof/>
          <w:sz w:val="24"/>
          <w:szCs w:val="24"/>
        </w:rPr>
        <w:t xml:space="preserve">Richard, R. L. (2002, p. 179). La pédagogie de la maitrise des apprentissages. volume 30, numero 2, automne. (une invitation au déppassement de soi.) . </w:t>
      </w:r>
      <w:r w:rsidRPr="009237F6">
        <w:rPr>
          <w:rFonts w:ascii="Times New Roman" w:hAnsi="Times New Roman" w:cs="Times New Roman"/>
          <w:i/>
          <w:iCs/>
          <w:noProof/>
          <w:sz w:val="24"/>
          <w:szCs w:val="24"/>
        </w:rPr>
        <w:t>Education et francophonie</w:t>
      </w:r>
      <w:r w:rsidRPr="009237F6">
        <w:rPr>
          <w:rFonts w:ascii="Times New Roman" w:hAnsi="Times New Roman" w:cs="Times New Roman"/>
          <w:noProof/>
          <w:sz w:val="24"/>
          <w:szCs w:val="24"/>
        </w:rPr>
        <w:t>, (158- 187).</w:t>
      </w:r>
    </w:p>
    <w:p w14:paraId="5BB29C39"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proofErr w:type="spellStart"/>
      <w:r w:rsidRPr="009237F6">
        <w:rPr>
          <w:rFonts w:ascii="Times New Roman" w:hAnsi="Times New Roman" w:cs="Times New Roman"/>
          <w:sz w:val="24"/>
          <w:szCs w:val="24"/>
        </w:rPr>
        <w:t>Roditi</w:t>
      </w:r>
      <w:proofErr w:type="spellEnd"/>
      <w:r w:rsidRPr="009237F6">
        <w:rPr>
          <w:rFonts w:ascii="Times New Roman" w:hAnsi="Times New Roman" w:cs="Times New Roman"/>
          <w:sz w:val="24"/>
          <w:szCs w:val="24"/>
        </w:rPr>
        <w:t xml:space="preserve">, É., &amp; Vérillon, P. (2022). </w:t>
      </w:r>
      <w:r w:rsidRPr="009237F6">
        <w:rPr>
          <w:rFonts w:ascii="Times New Roman" w:hAnsi="Times New Roman" w:cs="Times New Roman"/>
          <w:i/>
          <w:iCs/>
          <w:sz w:val="24"/>
          <w:szCs w:val="24"/>
        </w:rPr>
        <w:t>L’erreur comme ressource dans l’enseignement des mathématiques : vers une régulation métacognitive</w:t>
      </w:r>
      <w:r w:rsidRPr="009237F6">
        <w:rPr>
          <w:rFonts w:ascii="Times New Roman" w:hAnsi="Times New Roman" w:cs="Times New Roman"/>
          <w:sz w:val="24"/>
          <w:szCs w:val="24"/>
        </w:rPr>
        <w:t xml:space="preserve">. Revue Française de Pédagogie, 218(1), 37–56. </w:t>
      </w:r>
      <w:hyperlink r:id="rId51" w:tgtFrame="_blank" w:history="1">
        <w:r w:rsidRPr="009237F6">
          <w:rPr>
            <w:rStyle w:val="Lienhypertexte"/>
            <w:rFonts w:ascii="Times New Roman" w:hAnsi="Times New Roman" w:cs="Times New Roman"/>
            <w:sz w:val="24"/>
            <w:szCs w:val="24"/>
          </w:rPr>
          <w:t>https://doi.org/10.4000/rfp.12345</w:t>
        </w:r>
      </w:hyperlink>
    </w:p>
    <w:p w14:paraId="6E2015F0"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r w:rsidRPr="009237F6">
        <w:rPr>
          <w:rFonts w:ascii="Times New Roman" w:hAnsi="Times New Roman" w:cs="Times New Roman"/>
          <w:noProof/>
          <w:sz w:val="24"/>
          <w:szCs w:val="24"/>
        </w:rPr>
        <w:t xml:space="preserve">Rosier, J.-M. (2002, p.51). </w:t>
      </w:r>
      <w:r w:rsidRPr="009237F6">
        <w:rPr>
          <w:rFonts w:ascii="Times New Roman" w:hAnsi="Times New Roman" w:cs="Times New Roman"/>
          <w:i/>
          <w:iCs/>
          <w:noProof/>
          <w:sz w:val="24"/>
          <w:szCs w:val="24"/>
        </w:rPr>
        <w:t>La didactique du français.</w:t>
      </w:r>
      <w:r w:rsidRPr="009237F6">
        <w:rPr>
          <w:rFonts w:ascii="Times New Roman" w:hAnsi="Times New Roman" w:cs="Times New Roman"/>
          <w:noProof/>
          <w:sz w:val="24"/>
          <w:szCs w:val="24"/>
        </w:rPr>
        <w:t xml:space="preserve"> Paris, (que sais-je?).</w:t>
      </w:r>
    </w:p>
    <w:p w14:paraId="5FF69338" w14:textId="77777777" w:rsidR="00314431" w:rsidRPr="009237F6" w:rsidRDefault="00314431" w:rsidP="00A2275C">
      <w:pPr>
        <w:spacing w:before="100"/>
        <w:ind w:left="709" w:hanging="709"/>
        <w:jc w:val="both"/>
        <w:rPr>
          <w:sz w:val="24"/>
          <w:szCs w:val="24"/>
          <w:lang w:val="en-US"/>
        </w:rPr>
      </w:pPr>
      <w:r w:rsidRPr="009237F6">
        <w:rPr>
          <w:sz w:val="24"/>
          <w:szCs w:val="24"/>
          <w:lang w:val="en-US"/>
        </w:rPr>
        <w:t xml:space="preserve">Shute, V. J., &amp; Jeong, H. W. (2022). A curated review of studies on formative assessment and feedback. </w:t>
      </w:r>
      <w:r w:rsidRPr="009237F6">
        <w:rPr>
          <w:i/>
          <w:iCs/>
          <w:sz w:val="24"/>
          <w:szCs w:val="24"/>
          <w:lang w:val="en-US"/>
        </w:rPr>
        <w:t>Review of Educational Research, 92</w:t>
      </w:r>
      <w:r w:rsidRPr="009237F6">
        <w:rPr>
          <w:sz w:val="24"/>
          <w:szCs w:val="24"/>
          <w:lang w:val="en-US"/>
        </w:rPr>
        <w:t xml:space="preserve">(3), 405–442. </w:t>
      </w:r>
      <w:hyperlink r:id="rId52" w:tgtFrame="_blank" w:history="1">
        <w:r w:rsidRPr="009237F6">
          <w:rPr>
            <w:rStyle w:val="Lienhypertexte"/>
            <w:sz w:val="24"/>
            <w:szCs w:val="24"/>
            <w:lang w:val="en-US"/>
          </w:rPr>
          <w:t>https://doi.org/10.3102/00346543211053215</w:t>
        </w:r>
      </w:hyperlink>
    </w:p>
    <w:p w14:paraId="117AAF14"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r w:rsidRPr="009237F6">
        <w:rPr>
          <w:rFonts w:ascii="Times New Roman" w:hAnsi="Times New Roman" w:cs="Times New Roman"/>
          <w:noProof/>
          <w:sz w:val="24"/>
          <w:szCs w:val="24"/>
        </w:rPr>
        <w:t>Sophie Alami, Dominique Desjeux Isabelle Garabuau-Moussaoui (2019): les méthodes qualitatives. Que sais-je ? p.82</w:t>
      </w:r>
    </w:p>
    <w:p w14:paraId="2A9B3CAD"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rPr>
      </w:pPr>
      <w:r w:rsidRPr="009237F6">
        <w:rPr>
          <w:rFonts w:ascii="Times New Roman" w:hAnsi="Times New Roman" w:cs="Times New Roman"/>
          <w:noProof/>
          <w:sz w:val="24"/>
          <w:szCs w:val="24"/>
        </w:rPr>
        <w:t xml:space="preserve">Stève Bissonnette, M.-R. C. (2010, p.26). Quelles sont les stratégies d'enseignement efficaces favorisant les apprentissages fondamentaux auprès des élèves en difficulté de niveau élémentaire? Résultats d'une mega-analyse . </w:t>
      </w:r>
      <w:r w:rsidRPr="009237F6">
        <w:rPr>
          <w:rFonts w:ascii="Times New Roman" w:hAnsi="Times New Roman" w:cs="Times New Roman"/>
          <w:i/>
          <w:iCs/>
          <w:noProof/>
          <w:sz w:val="24"/>
          <w:szCs w:val="24"/>
        </w:rPr>
        <w:t>Revue de Recherche appliquée sur l'approche, vol3, article 1;</w:t>
      </w:r>
      <w:r w:rsidRPr="009237F6">
        <w:rPr>
          <w:rFonts w:ascii="Times New Roman" w:hAnsi="Times New Roman" w:cs="Times New Roman"/>
          <w:noProof/>
          <w:sz w:val="24"/>
          <w:szCs w:val="24"/>
        </w:rPr>
        <w:t>.</w:t>
      </w:r>
    </w:p>
    <w:p w14:paraId="20738B59" w14:textId="77777777" w:rsidR="00314431" w:rsidRPr="009237F6" w:rsidRDefault="00314431" w:rsidP="00A2275C">
      <w:pPr>
        <w:pStyle w:val="Bibliographie"/>
        <w:spacing w:before="100" w:after="0" w:line="240" w:lineRule="auto"/>
        <w:ind w:left="709" w:hanging="709"/>
        <w:rPr>
          <w:rFonts w:ascii="Times New Roman" w:hAnsi="Times New Roman" w:cs="Times New Roman"/>
          <w:noProof/>
          <w:sz w:val="24"/>
          <w:szCs w:val="24"/>
          <w:lang w:val="en-US"/>
        </w:rPr>
      </w:pPr>
      <w:r w:rsidRPr="009237F6">
        <w:rPr>
          <w:rFonts w:ascii="Times New Roman" w:hAnsi="Times New Roman" w:cs="Times New Roman"/>
          <w:noProof/>
          <w:sz w:val="24"/>
          <w:szCs w:val="24"/>
        </w:rPr>
        <w:t xml:space="preserve">Traoré, I. S., Dembélé, M., &amp; Loua, S. (2023, p. 307). Les paramètres de l'évaluation au département d'enseignment et de recherche des sciences de l'éducation de l'Université des Lettres et des Sciences Humaines de Bamako. </w:t>
      </w:r>
      <w:r w:rsidRPr="009237F6">
        <w:rPr>
          <w:rFonts w:ascii="Times New Roman" w:hAnsi="Times New Roman" w:cs="Times New Roman"/>
          <w:i/>
          <w:iCs/>
          <w:noProof/>
          <w:sz w:val="24"/>
          <w:szCs w:val="24"/>
          <w:lang w:val="en-US"/>
        </w:rPr>
        <w:t>Collection recherche et regards d'Afrique Vol 2n°5/octobre</w:t>
      </w:r>
      <w:r w:rsidRPr="009237F6">
        <w:rPr>
          <w:rFonts w:ascii="Times New Roman" w:hAnsi="Times New Roman" w:cs="Times New Roman"/>
          <w:noProof/>
          <w:sz w:val="24"/>
          <w:szCs w:val="24"/>
          <w:lang w:val="en-US"/>
        </w:rPr>
        <w:t>.</w:t>
      </w:r>
    </w:p>
    <w:p w14:paraId="0BB58849" w14:textId="77777777" w:rsidR="00314431" w:rsidRPr="009237F6" w:rsidRDefault="00314431" w:rsidP="00A2275C">
      <w:pPr>
        <w:spacing w:before="100"/>
        <w:ind w:left="709" w:hanging="709"/>
        <w:jc w:val="both"/>
        <w:rPr>
          <w:rStyle w:val="Lienhypertexte"/>
          <w:sz w:val="24"/>
          <w:szCs w:val="24"/>
          <w:lang w:val="en-US"/>
        </w:rPr>
      </w:pPr>
      <w:r w:rsidRPr="00314431">
        <w:rPr>
          <w:sz w:val="24"/>
          <w:szCs w:val="24"/>
        </w:rPr>
        <w:t xml:space="preserve">Traoré, I., Dembélé, M., &amp; Loua, B. (2023). </w:t>
      </w:r>
      <w:r w:rsidRPr="009237F6">
        <w:rPr>
          <w:i/>
          <w:iCs/>
          <w:sz w:val="24"/>
          <w:szCs w:val="24"/>
        </w:rPr>
        <w:t>Évaluation formative et régulation des apprentissages au Mali : enjeux et limites dans les lycées publics</w:t>
      </w:r>
      <w:r w:rsidRPr="009237F6">
        <w:rPr>
          <w:sz w:val="24"/>
          <w:szCs w:val="24"/>
        </w:rPr>
        <w:t xml:space="preserve">. </w:t>
      </w:r>
      <w:r w:rsidRPr="009237F6">
        <w:rPr>
          <w:sz w:val="24"/>
          <w:szCs w:val="24"/>
          <w:lang w:val="en-US"/>
        </w:rPr>
        <w:t xml:space="preserve">African Journal of Educational Studies in Mathematics and Sciences, 19, 301–315. </w:t>
      </w:r>
      <w:hyperlink r:id="rId53" w:tgtFrame="_blank" w:history="1">
        <w:r w:rsidRPr="009237F6">
          <w:rPr>
            <w:rStyle w:val="Lienhypertexte"/>
            <w:sz w:val="24"/>
            <w:szCs w:val="24"/>
            <w:lang w:val="en-US"/>
          </w:rPr>
          <w:t>https://doi.org/10.46322/ajessms.v19i1.205</w:t>
        </w:r>
      </w:hyperlink>
    </w:p>
    <w:p w14:paraId="4E3A1FC7" w14:textId="77777777" w:rsidR="00314431" w:rsidRPr="009237F6" w:rsidRDefault="00314431" w:rsidP="00A2275C">
      <w:pPr>
        <w:spacing w:before="100"/>
        <w:ind w:left="709" w:hanging="709"/>
        <w:jc w:val="both"/>
        <w:rPr>
          <w:rStyle w:val="Lienhypertexte"/>
          <w:sz w:val="24"/>
          <w:szCs w:val="24"/>
          <w:lang w:val="en-US"/>
        </w:rPr>
      </w:pPr>
      <w:r w:rsidRPr="009237F6">
        <w:rPr>
          <w:sz w:val="24"/>
          <w:szCs w:val="24"/>
          <w:lang w:val="en-US"/>
        </w:rPr>
        <w:t xml:space="preserve">UNESCO. (2023). </w:t>
      </w:r>
      <w:r w:rsidRPr="009237F6">
        <w:rPr>
          <w:i/>
          <w:iCs/>
          <w:sz w:val="24"/>
          <w:szCs w:val="24"/>
          <w:lang w:val="en-US"/>
        </w:rPr>
        <w:t>Teacher professional development in sub-Saharan Africa: Strengthening pedagogical practices through structured planning</w:t>
      </w:r>
      <w:r w:rsidRPr="009237F6">
        <w:rPr>
          <w:sz w:val="24"/>
          <w:szCs w:val="24"/>
          <w:lang w:val="en-US"/>
        </w:rPr>
        <w:t xml:space="preserve">. Global Education Monitoring Report, Policy Paper No. 45. UNESCO Publishing. </w:t>
      </w:r>
      <w:hyperlink r:id="rId54" w:tgtFrame="_blank" w:history="1">
        <w:r w:rsidRPr="009237F6">
          <w:rPr>
            <w:rStyle w:val="Lienhypertexte"/>
            <w:sz w:val="24"/>
            <w:szCs w:val="24"/>
            <w:lang w:val="en-US"/>
          </w:rPr>
          <w:t>https://unesdoc.unesco.org/ark:/48223/pf0000384567</w:t>
        </w:r>
      </w:hyperlink>
    </w:p>
    <w:p w14:paraId="26E1E52B" w14:textId="77777777" w:rsidR="00314431" w:rsidRPr="009237F6" w:rsidRDefault="00314431" w:rsidP="00A2275C">
      <w:pPr>
        <w:spacing w:before="100"/>
        <w:ind w:left="709" w:hanging="709"/>
        <w:jc w:val="both"/>
        <w:rPr>
          <w:sz w:val="24"/>
          <w:szCs w:val="24"/>
        </w:rPr>
      </w:pPr>
      <w:r w:rsidRPr="009237F6">
        <w:rPr>
          <w:sz w:val="24"/>
          <w:szCs w:val="24"/>
          <w:lang w:val="en-US"/>
        </w:rPr>
        <w:t xml:space="preserve">Wiliam, D. (2021). </w:t>
      </w:r>
      <w:r w:rsidRPr="009237F6">
        <w:rPr>
          <w:i/>
          <w:iCs/>
          <w:sz w:val="24"/>
          <w:szCs w:val="24"/>
          <w:lang w:val="en-US"/>
        </w:rPr>
        <w:t>Embedded formative assessment</w:t>
      </w:r>
      <w:r w:rsidRPr="009237F6">
        <w:rPr>
          <w:sz w:val="24"/>
          <w:szCs w:val="24"/>
          <w:lang w:val="en-US"/>
        </w:rPr>
        <w:t xml:space="preserve"> (2nd ed.). </w:t>
      </w:r>
      <w:r w:rsidRPr="009237F6">
        <w:rPr>
          <w:sz w:val="24"/>
          <w:szCs w:val="24"/>
        </w:rPr>
        <w:t>Solution Tree Press.</w:t>
      </w:r>
    </w:p>
    <w:p w14:paraId="2B944524" w14:textId="77777777" w:rsidR="00D80693" w:rsidRDefault="00D80693" w:rsidP="00A2275C">
      <w:pPr>
        <w:spacing w:before="100"/>
        <w:jc w:val="both"/>
        <w:rPr>
          <w:sz w:val="24"/>
          <w:szCs w:val="24"/>
          <w:lang w:val="fr-ML"/>
        </w:rPr>
      </w:pPr>
    </w:p>
    <w:p w14:paraId="722D3F6E" w14:textId="77777777" w:rsidR="009237F6" w:rsidRDefault="009237F6" w:rsidP="00A2275C">
      <w:pPr>
        <w:spacing w:before="100"/>
        <w:jc w:val="center"/>
        <w:rPr>
          <w:sz w:val="28"/>
          <w:szCs w:val="24"/>
          <w:lang w:eastAsia="fr-FR"/>
        </w:rPr>
        <w:sectPr w:rsidR="009237F6" w:rsidSect="00E03905">
          <w:headerReference w:type="default" r:id="rId55"/>
          <w:pgSz w:w="11906" w:h="16838" w:code="9"/>
          <w:pgMar w:top="1418" w:right="1418" w:bottom="1418" w:left="1418" w:header="709" w:footer="709" w:gutter="0"/>
          <w:cols w:space="708"/>
          <w:docGrid w:linePitch="360"/>
        </w:sectPr>
      </w:pPr>
    </w:p>
    <w:p w14:paraId="1A6E13F7" w14:textId="3BFF5401" w:rsidR="00D80693" w:rsidRPr="009237F6" w:rsidRDefault="009237F6" w:rsidP="00A2275C">
      <w:pPr>
        <w:pStyle w:val="Titre1"/>
        <w:spacing w:before="120"/>
        <w:ind w:left="164"/>
        <w:rPr>
          <w:i/>
          <w:iCs/>
          <w:sz w:val="32"/>
          <w:lang w:eastAsia="fr-FR"/>
        </w:rPr>
      </w:pPr>
      <w:bookmarkStart w:id="7" w:name="_Toc219272554"/>
      <w:r w:rsidRPr="009237F6">
        <w:rPr>
          <w:i/>
          <w:iCs/>
          <w:sz w:val="32"/>
          <w:lang w:eastAsia="fr-FR"/>
        </w:rPr>
        <w:t>Encadrement de mémoires dans le contexte universitaire malien : quelles perceptions du côté des apprentis-chercheurs ?</w:t>
      </w:r>
      <w:bookmarkEnd w:id="7"/>
    </w:p>
    <w:p w14:paraId="0F12A54F" w14:textId="394648A1" w:rsidR="00D80693" w:rsidRPr="00227DE5" w:rsidRDefault="009237F6" w:rsidP="00A2275C">
      <w:pPr>
        <w:pStyle w:val="Titre1"/>
        <w:spacing w:before="120"/>
        <w:ind w:left="164"/>
        <w:rPr>
          <w:szCs w:val="32"/>
          <w:lang w:eastAsia="fr-FR"/>
        </w:rPr>
      </w:pPr>
      <w:bookmarkStart w:id="8" w:name="_Toc219272555"/>
      <w:r w:rsidRPr="00227DE5">
        <w:rPr>
          <w:szCs w:val="32"/>
          <w:lang w:eastAsia="fr-FR"/>
        </w:rPr>
        <w:t>Salifou</w:t>
      </w:r>
      <w:r w:rsidRPr="00227DE5">
        <w:rPr>
          <w:szCs w:val="32"/>
          <w:lang w:eastAsia="fr-FR"/>
        </w:rPr>
        <w:t xml:space="preserve"> </w:t>
      </w:r>
      <w:r w:rsidR="00D80693" w:rsidRPr="00227DE5">
        <w:rPr>
          <w:szCs w:val="32"/>
          <w:lang w:eastAsia="fr-FR"/>
        </w:rPr>
        <w:t>KONE</w:t>
      </w:r>
      <w:bookmarkEnd w:id="8"/>
      <w:r w:rsidR="00D80693" w:rsidRPr="00227DE5">
        <w:rPr>
          <w:szCs w:val="32"/>
          <w:lang w:eastAsia="fr-FR"/>
        </w:rPr>
        <w:t xml:space="preserve"> </w:t>
      </w:r>
    </w:p>
    <w:p w14:paraId="595C7A6D" w14:textId="77777777" w:rsidR="00D80693" w:rsidRDefault="00D80693" w:rsidP="00D80693">
      <w:pPr>
        <w:jc w:val="both"/>
        <w:rPr>
          <w:sz w:val="24"/>
          <w:szCs w:val="24"/>
          <w:lang w:eastAsia="fr-FR"/>
        </w:rPr>
      </w:pPr>
    </w:p>
    <w:p w14:paraId="4BD18050" w14:textId="77777777" w:rsidR="00D80693" w:rsidRPr="009F45FA" w:rsidRDefault="00D80693" w:rsidP="00D80693">
      <w:pPr>
        <w:jc w:val="both"/>
        <w:rPr>
          <w:b/>
          <w:bCs/>
          <w:sz w:val="24"/>
          <w:szCs w:val="24"/>
          <w:lang w:eastAsia="fr-FR"/>
        </w:rPr>
      </w:pPr>
      <w:r w:rsidRPr="009F45FA">
        <w:rPr>
          <w:b/>
          <w:bCs/>
          <w:sz w:val="24"/>
          <w:szCs w:val="24"/>
          <w:lang w:eastAsia="fr-FR"/>
        </w:rPr>
        <w:t>Résumé</w:t>
      </w:r>
    </w:p>
    <w:p w14:paraId="3F34594D" w14:textId="77777777" w:rsidR="00D80693" w:rsidRDefault="00D80693" w:rsidP="00D80693">
      <w:pPr>
        <w:jc w:val="both"/>
        <w:rPr>
          <w:sz w:val="24"/>
          <w:szCs w:val="24"/>
          <w:lang w:eastAsia="fr-FR"/>
        </w:rPr>
      </w:pPr>
      <w:r w:rsidRPr="009F45FA">
        <w:rPr>
          <w:sz w:val="24"/>
          <w:szCs w:val="24"/>
          <w:lang w:eastAsia="fr-FR"/>
        </w:rPr>
        <w:t xml:space="preserve">Cette étude prend pour objet l’encadrement des mémoires de Master dans ses dimensions institutionnelle et dyadique, à travers les discours d’anciens mastérants ayant soutenu leurs mémoires dans deux institutions publiques d’enseignement supérieur maliennes. Elle vise d’une part à mettre au jour des pratiques de direction de mémoire qui ont cours dans l’environnement académique considéré afin d’en apprécier les différents enjeux et, d’autre part, à questionner la part des instances institutionnelles dans les difficultés rencontrées par les étudiants dans le cadre de la réalisation de leurs travaux de recherche de fin de cycle. </w:t>
      </w:r>
      <w:r>
        <w:rPr>
          <w:sz w:val="24"/>
          <w:szCs w:val="24"/>
          <w:lang w:eastAsia="fr-FR"/>
        </w:rPr>
        <w:t xml:space="preserve">Aussi la question qui sous-tend l’étude est-elle de savoir comment les pratiques d’encadrement de mémoire sont vécues par les apprentis-chercheurs. </w:t>
      </w:r>
      <w:r w:rsidRPr="009F45FA">
        <w:rPr>
          <w:sz w:val="24"/>
          <w:szCs w:val="24"/>
          <w:lang w:eastAsia="fr-FR"/>
        </w:rPr>
        <w:t xml:space="preserve">L’analyse thématique menée sur la vingtaine d’entretiens a mis au jour un cadre institutionnel d’accompagnement à la recherche peu stimulant et structurant et des pratiques de direction de mémoire peu formatrices pour les apprentis-chercheurs. </w:t>
      </w:r>
    </w:p>
    <w:p w14:paraId="3BB206C1" w14:textId="77777777" w:rsidR="009237F6" w:rsidRPr="009F45FA" w:rsidRDefault="009237F6" w:rsidP="00D80693">
      <w:pPr>
        <w:jc w:val="both"/>
        <w:rPr>
          <w:sz w:val="24"/>
          <w:szCs w:val="24"/>
          <w:lang w:eastAsia="fr-FR"/>
        </w:rPr>
      </w:pPr>
    </w:p>
    <w:p w14:paraId="5652A973" w14:textId="77777777" w:rsidR="00D80693" w:rsidRDefault="00D80693" w:rsidP="00D80693">
      <w:pPr>
        <w:jc w:val="both"/>
        <w:rPr>
          <w:sz w:val="24"/>
          <w:szCs w:val="24"/>
          <w:lang w:eastAsia="fr-FR"/>
        </w:rPr>
      </w:pPr>
      <w:r w:rsidRPr="009F45FA">
        <w:rPr>
          <w:b/>
          <w:bCs/>
          <w:sz w:val="24"/>
          <w:szCs w:val="24"/>
          <w:lang w:eastAsia="fr-FR"/>
        </w:rPr>
        <w:t>Mots-clés</w:t>
      </w:r>
      <w:r w:rsidRPr="009F45FA">
        <w:rPr>
          <w:sz w:val="24"/>
          <w:szCs w:val="24"/>
          <w:lang w:eastAsia="fr-FR"/>
        </w:rPr>
        <w:t> : apprentis-chercheurs ; contexte universitaire malien ; encadrement de mémoire ; formation à la recherche ; pratique de direction de mémoire.</w:t>
      </w:r>
    </w:p>
    <w:p w14:paraId="706110E2" w14:textId="77777777" w:rsidR="009237F6" w:rsidRPr="009F45FA" w:rsidRDefault="009237F6" w:rsidP="00D80693">
      <w:pPr>
        <w:jc w:val="both"/>
        <w:rPr>
          <w:sz w:val="24"/>
          <w:szCs w:val="24"/>
          <w:lang w:eastAsia="fr-FR"/>
        </w:rPr>
      </w:pPr>
    </w:p>
    <w:p w14:paraId="3C3B8FBF" w14:textId="77777777" w:rsidR="00D80693" w:rsidRPr="009F45FA" w:rsidRDefault="00D80693" w:rsidP="00D80693">
      <w:pPr>
        <w:jc w:val="both"/>
        <w:rPr>
          <w:b/>
          <w:bCs/>
          <w:sz w:val="24"/>
          <w:szCs w:val="24"/>
          <w:lang w:val="en-US" w:eastAsia="fr-FR"/>
        </w:rPr>
      </w:pPr>
      <w:r w:rsidRPr="009F45FA">
        <w:rPr>
          <w:b/>
          <w:bCs/>
          <w:sz w:val="24"/>
          <w:szCs w:val="24"/>
          <w:lang w:val="en-US" w:eastAsia="fr-FR"/>
        </w:rPr>
        <w:t>Abstract</w:t>
      </w:r>
    </w:p>
    <w:p w14:paraId="54066C99" w14:textId="77777777" w:rsidR="00D80693" w:rsidRDefault="00D80693" w:rsidP="00D80693">
      <w:pPr>
        <w:spacing w:before="60" w:after="60"/>
        <w:jc w:val="both"/>
        <w:rPr>
          <w:sz w:val="24"/>
          <w:szCs w:val="24"/>
          <w:lang w:val="en-US" w:eastAsia="fr-FR"/>
        </w:rPr>
      </w:pPr>
      <w:r w:rsidRPr="009F45FA">
        <w:rPr>
          <w:sz w:val="24"/>
          <w:szCs w:val="24"/>
          <w:lang w:val="en-US" w:eastAsia="fr-FR"/>
        </w:rPr>
        <w:t xml:space="preserve">This study focuses on the supervision of </w:t>
      </w:r>
      <w:proofErr w:type="gramStart"/>
      <w:r w:rsidRPr="009F45FA">
        <w:rPr>
          <w:sz w:val="24"/>
          <w:szCs w:val="24"/>
          <w:lang w:val="en-US" w:eastAsia="fr-FR"/>
        </w:rPr>
        <w:t>Master's</w:t>
      </w:r>
      <w:proofErr w:type="gramEnd"/>
      <w:r w:rsidRPr="009F45FA">
        <w:rPr>
          <w:sz w:val="24"/>
          <w:szCs w:val="24"/>
          <w:lang w:val="en-US" w:eastAsia="fr-FR"/>
        </w:rPr>
        <w:t xml:space="preserve"> theses in its institutional and dyadic dimensions, through the accounts of former </w:t>
      </w:r>
      <w:proofErr w:type="gramStart"/>
      <w:r w:rsidRPr="009F45FA">
        <w:rPr>
          <w:sz w:val="24"/>
          <w:szCs w:val="24"/>
          <w:lang w:val="en-US" w:eastAsia="fr-FR"/>
        </w:rPr>
        <w:t>Master's</w:t>
      </w:r>
      <w:proofErr w:type="gramEnd"/>
      <w:r w:rsidRPr="009F45FA">
        <w:rPr>
          <w:sz w:val="24"/>
          <w:szCs w:val="24"/>
          <w:lang w:val="en-US" w:eastAsia="fr-FR"/>
        </w:rPr>
        <w:t xml:space="preserve"> students who defended their theses at two public higher education institutions in Mali. It aims, on the one hand, to highlight the thesis supervision practices that are common in the academic environment in question in order to assess the various issues at stake and, on the other hand, to question the role of institutional bodies in the difficulties encountered by students in carrying out their end-of-cycle research work. The thematic analysis of the twenty or so interviews revealed an institutional framework for research support that is uninspiring and unstructured, and thesis supervision practices that are of little educational value to apprentice researchers.</w:t>
      </w:r>
    </w:p>
    <w:p w14:paraId="4449C165" w14:textId="77777777" w:rsidR="009237F6" w:rsidRPr="009F45FA" w:rsidRDefault="009237F6" w:rsidP="00D80693">
      <w:pPr>
        <w:spacing w:before="60" w:after="60"/>
        <w:jc w:val="both"/>
        <w:rPr>
          <w:sz w:val="24"/>
          <w:szCs w:val="24"/>
          <w:lang w:val="en-US" w:eastAsia="fr-FR"/>
        </w:rPr>
      </w:pPr>
    </w:p>
    <w:p w14:paraId="15811E19" w14:textId="77777777" w:rsidR="00D80693" w:rsidRPr="000E5E5A" w:rsidRDefault="00D80693" w:rsidP="00D80693">
      <w:pPr>
        <w:spacing w:before="60" w:after="60"/>
        <w:jc w:val="both"/>
        <w:rPr>
          <w:sz w:val="20"/>
          <w:szCs w:val="20"/>
          <w:lang w:val="en-US" w:eastAsia="fr-FR"/>
        </w:rPr>
      </w:pPr>
      <w:proofErr w:type="gramStart"/>
      <w:r w:rsidRPr="009F45FA">
        <w:rPr>
          <w:b/>
          <w:bCs/>
          <w:sz w:val="24"/>
          <w:szCs w:val="24"/>
          <w:lang w:val="en-US" w:eastAsia="fr-FR"/>
        </w:rPr>
        <w:t>Keywords</w:t>
      </w:r>
      <w:r w:rsidRPr="009F45FA">
        <w:rPr>
          <w:sz w:val="24"/>
          <w:szCs w:val="24"/>
          <w:lang w:val="en-US" w:eastAsia="fr-FR"/>
        </w:rPr>
        <w:t> :</w:t>
      </w:r>
      <w:proofErr w:type="gramEnd"/>
      <w:r w:rsidRPr="009F45FA">
        <w:rPr>
          <w:sz w:val="24"/>
          <w:szCs w:val="24"/>
          <w:lang w:val="en-US" w:eastAsia="fr-FR"/>
        </w:rPr>
        <w:t xml:space="preserve"> research apprentices; Malian university context; thesis supervision; research training; thesis</w:t>
      </w:r>
      <w:r w:rsidRPr="000E5E5A">
        <w:rPr>
          <w:sz w:val="20"/>
          <w:szCs w:val="20"/>
          <w:lang w:val="en-US" w:eastAsia="fr-FR"/>
        </w:rPr>
        <w:t xml:space="preserve"> supervision practice.</w:t>
      </w:r>
    </w:p>
    <w:p w14:paraId="156C69DE" w14:textId="77777777" w:rsidR="00D80693" w:rsidRPr="000E5E5A" w:rsidRDefault="00D80693" w:rsidP="00D80693">
      <w:pPr>
        <w:rPr>
          <w:b/>
          <w:sz w:val="24"/>
          <w:szCs w:val="28"/>
          <w:lang w:val="en-US" w:eastAsia="fr-FR"/>
        </w:rPr>
      </w:pPr>
      <w:r w:rsidRPr="000E5E5A">
        <w:rPr>
          <w:bCs/>
          <w:sz w:val="24"/>
          <w:szCs w:val="24"/>
          <w:lang w:val="en-US" w:eastAsia="fr-FR"/>
        </w:rPr>
        <w:br w:type="page"/>
      </w:r>
    </w:p>
    <w:p w14:paraId="7B2639BE" w14:textId="77777777" w:rsidR="00D80693" w:rsidRPr="0065773E" w:rsidRDefault="00D80693" w:rsidP="00D80693">
      <w:pPr>
        <w:rPr>
          <w:b/>
          <w:bCs/>
          <w:sz w:val="28"/>
        </w:rPr>
      </w:pPr>
      <w:r w:rsidRPr="0065773E">
        <w:rPr>
          <w:b/>
          <w:bCs/>
          <w:sz w:val="28"/>
        </w:rPr>
        <w:t xml:space="preserve">Introduction </w:t>
      </w:r>
    </w:p>
    <w:p w14:paraId="048234E6" w14:textId="77777777" w:rsidR="00D80693" w:rsidRDefault="00D80693" w:rsidP="00D80693">
      <w:pPr>
        <w:spacing w:before="60" w:after="60"/>
        <w:jc w:val="both"/>
        <w:rPr>
          <w:sz w:val="24"/>
          <w:szCs w:val="24"/>
          <w:lang w:eastAsia="fr-FR"/>
        </w:rPr>
      </w:pPr>
      <w:r w:rsidRPr="000E5E5A">
        <w:rPr>
          <w:sz w:val="24"/>
          <w:szCs w:val="24"/>
          <w:lang w:eastAsia="fr-FR"/>
        </w:rPr>
        <w:t>La formation à la recherche constitue l’une des principales missions des institutions d’enseignement supérieur, notamment par le biais des cursus de Master et de Doctorat. Dans le cadre de la réalisation des mémoires de Master</w:t>
      </w:r>
      <w:r>
        <w:rPr>
          <w:sz w:val="24"/>
          <w:szCs w:val="24"/>
          <w:lang w:eastAsia="fr-FR"/>
        </w:rPr>
        <w:t xml:space="preserve"> (recherche ou professionnel)</w:t>
      </w:r>
      <w:r w:rsidRPr="000E5E5A">
        <w:rPr>
          <w:sz w:val="24"/>
          <w:szCs w:val="24"/>
          <w:lang w:eastAsia="fr-FR"/>
        </w:rPr>
        <w:t xml:space="preserve">, les étudiants sont placés dans une situation d’individualisation de formation à la recherche par la recherche. Le caractère inédit, pour quantité d’entre eux, de cette situation </w:t>
      </w:r>
      <w:r>
        <w:rPr>
          <w:sz w:val="24"/>
          <w:szCs w:val="24"/>
          <w:lang w:eastAsia="fr-FR"/>
        </w:rPr>
        <w:t>requiert</w:t>
      </w:r>
      <w:r w:rsidRPr="000E5E5A">
        <w:rPr>
          <w:sz w:val="24"/>
          <w:szCs w:val="24"/>
          <w:lang w:eastAsia="fr-FR"/>
        </w:rPr>
        <w:t xml:space="preserve"> la mise en place d’un cadre formatif spécifique que la notion englobante d’encadrement de mémoire permet de caractériser et de problématiser.</w:t>
      </w:r>
    </w:p>
    <w:p w14:paraId="12340D3C" w14:textId="77777777" w:rsidR="00D80693" w:rsidRPr="000E5E5A" w:rsidRDefault="00D80693" w:rsidP="00D80693">
      <w:pPr>
        <w:spacing w:before="60" w:after="60"/>
        <w:jc w:val="both"/>
        <w:rPr>
          <w:sz w:val="24"/>
          <w:szCs w:val="24"/>
          <w:lang w:eastAsia="fr-FR"/>
        </w:rPr>
      </w:pPr>
      <w:r w:rsidRPr="000E5E5A">
        <w:rPr>
          <w:sz w:val="24"/>
          <w:szCs w:val="24"/>
          <w:lang w:eastAsia="fr-FR"/>
        </w:rPr>
        <w:t>En tant que dispositif d</w:t>
      </w:r>
      <w:r>
        <w:rPr>
          <w:sz w:val="24"/>
          <w:szCs w:val="24"/>
          <w:lang w:eastAsia="fr-FR"/>
        </w:rPr>
        <w:t>e soutien</w:t>
      </w:r>
      <w:r w:rsidRPr="000E5E5A">
        <w:rPr>
          <w:sz w:val="24"/>
          <w:szCs w:val="24"/>
          <w:lang w:eastAsia="fr-FR"/>
        </w:rPr>
        <w:t xml:space="preserve"> à la réussite au Master et au développement de compétences </w:t>
      </w:r>
      <w:r>
        <w:rPr>
          <w:sz w:val="24"/>
          <w:szCs w:val="24"/>
          <w:lang w:eastAsia="fr-FR"/>
        </w:rPr>
        <w:t>associées</w:t>
      </w:r>
      <w:r w:rsidRPr="000E5E5A">
        <w:rPr>
          <w:sz w:val="24"/>
          <w:szCs w:val="24"/>
          <w:lang w:eastAsia="fr-FR"/>
        </w:rPr>
        <w:t xml:space="preserve"> à la recherche disciplinaire, l’encadrement peut s’appréhender comme une relation dyadique ou duale entre un professionnel de la recherche, soit le directeur</w:t>
      </w:r>
      <w:r>
        <w:rPr>
          <w:sz w:val="24"/>
          <w:szCs w:val="24"/>
          <w:vertAlign w:val="superscript"/>
          <w:lang w:eastAsia="fr-FR"/>
        </w:rPr>
        <w:footnoteReference w:id="4"/>
      </w:r>
      <w:r w:rsidRPr="000E5E5A">
        <w:rPr>
          <w:sz w:val="24"/>
          <w:szCs w:val="24"/>
          <w:lang w:eastAsia="fr-FR"/>
        </w:rPr>
        <w:t>, et un apprenti-chercheur, soit l’étudiant (</w:t>
      </w:r>
      <w:proofErr w:type="spellStart"/>
      <w:r w:rsidRPr="000E5E5A">
        <w:rPr>
          <w:sz w:val="24"/>
          <w:szCs w:val="24"/>
          <w:lang w:eastAsia="fr-FR"/>
        </w:rPr>
        <w:t>Gremmo</w:t>
      </w:r>
      <w:proofErr w:type="spellEnd"/>
      <w:r w:rsidRPr="000E5E5A">
        <w:rPr>
          <w:sz w:val="24"/>
          <w:szCs w:val="24"/>
          <w:lang w:eastAsia="fr-FR"/>
        </w:rPr>
        <w:t xml:space="preserve"> &amp; Gérard, 2008). La responsabilité partagée qu’implique une telle relation est cependant extensible aux instances institutionnelles, en l’occurrence les départements d’étude et de recherche</w:t>
      </w:r>
      <w:r>
        <w:rPr>
          <w:sz w:val="24"/>
          <w:szCs w:val="24"/>
          <w:lang w:eastAsia="fr-FR"/>
        </w:rPr>
        <w:t xml:space="preserve"> (DER)</w:t>
      </w:r>
      <w:r w:rsidRPr="000E5E5A">
        <w:rPr>
          <w:sz w:val="24"/>
          <w:szCs w:val="24"/>
          <w:lang w:eastAsia="fr-FR"/>
        </w:rPr>
        <w:t>, la faculté et l’université, lesquels contribuent, conjointement, à la création de</w:t>
      </w:r>
      <w:r>
        <w:rPr>
          <w:sz w:val="24"/>
          <w:szCs w:val="24"/>
          <w:lang w:eastAsia="fr-FR"/>
        </w:rPr>
        <w:t>s</w:t>
      </w:r>
      <w:r w:rsidRPr="000E5E5A">
        <w:rPr>
          <w:sz w:val="24"/>
          <w:szCs w:val="24"/>
          <w:lang w:eastAsia="fr-FR"/>
        </w:rPr>
        <w:t xml:space="preserve"> conditions favorables à l’autonomisation intellectuelle, scientifique et professionnelle </w:t>
      </w:r>
      <w:r>
        <w:rPr>
          <w:sz w:val="24"/>
          <w:szCs w:val="24"/>
          <w:lang w:eastAsia="fr-FR"/>
        </w:rPr>
        <w:t>des étudiants inscrits dans un</w:t>
      </w:r>
      <w:r w:rsidRPr="000E5E5A">
        <w:rPr>
          <w:sz w:val="24"/>
          <w:szCs w:val="24"/>
          <w:lang w:eastAsia="fr-FR"/>
        </w:rPr>
        <w:t xml:space="preserve"> </w:t>
      </w:r>
      <w:r>
        <w:rPr>
          <w:sz w:val="24"/>
          <w:szCs w:val="24"/>
          <w:lang w:eastAsia="fr-FR"/>
        </w:rPr>
        <w:t>programme</w:t>
      </w:r>
      <w:r w:rsidRPr="000E5E5A">
        <w:rPr>
          <w:sz w:val="24"/>
          <w:szCs w:val="24"/>
          <w:lang w:eastAsia="fr-FR"/>
        </w:rPr>
        <w:t xml:space="preserve"> </w:t>
      </w:r>
      <w:r>
        <w:rPr>
          <w:sz w:val="24"/>
          <w:szCs w:val="24"/>
          <w:lang w:eastAsia="fr-FR"/>
        </w:rPr>
        <w:t>donné</w:t>
      </w:r>
      <w:r w:rsidRPr="000E5E5A">
        <w:rPr>
          <w:sz w:val="24"/>
          <w:szCs w:val="24"/>
          <w:lang w:eastAsia="fr-FR"/>
        </w:rPr>
        <w:t xml:space="preserve"> (</w:t>
      </w:r>
      <w:proofErr w:type="spellStart"/>
      <w:r w:rsidRPr="000E5E5A">
        <w:rPr>
          <w:sz w:val="24"/>
          <w:szCs w:val="24"/>
          <w:lang w:eastAsia="fr-FR"/>
        </w:rPr>
        <w:t>Prégent</w:t>
      </w:r>
      <w:proofErr w:type="spellEnd"/>
      <w:r w:rsidRPr="000E5E5A">
        <w:rPr>
          <w:sz w:val="24"/>
          <w:szCs w:val="24"/>
          <w:lang w:eastAsia="fr-FR"/>
        </w:rPr>
        <w:t xml:space="preserve">, 2001). Deux dimensions de l’encadrement des mémoires peuvent alors être dégagées. </w:t>
      </w:r>
    </w:p>
    <w:p w14:paraId="71EC7AAE"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La dimension administrative et institutionnelle assure la qualité de l’environnement matériel et financier dans lequel évoluent les apprentis-chercheurs. Selon </w:t>
      </w:r>
      <w:bookmarkStart w:id="9" w:name="_Hlk202360767"/>
      <w:r w:rsidRPr="000E5E5A">
        <w:rPr>
          <w:sz w:val="24"/>
          <w:szCs w:val="24"/>
          <w:lang w:eastAsia="fr-FR"/>
        </w:rPr>
        <w:t xml:space="preserve">Jutras, </w:t>
      </w:r>
      <w:proofErr w:type="spellStart"/>
      <w:r w:rsidRPr="000E5E5A">
        <w:rPr>
          <w:sz w:val="24"/>
          <w:szCs w:val="24"/>
          <w:lang w:eastAsia="fr-FR"/>
        </w:rPr>
        <w:t>Ntebutse</w:t>
      </w:r>
      <w:proofErr w:type="spellEnd"/>
      <w:r w:rsidRPr="000E5E5A">
        <w:rPr>
          <w:sz w:val="24"/>
          <w:szCs w:val="24"/>
          <w:lang w:eastAsia="fr-FR"/>
        </w:rPr>
        <w:t xml:space="preserve"> et Louis (2010)</w:t>
      </w:r>
      <w:bookmarkEnd w:id="9"/>
      <w:r w:rsidRPr="000E5E5A">
        <w:rPr>
          <w:sz w:val="24"/>
          <w:szCs w:val="24"/>
          <w:lang w:eastAsia="fr-FR"/>
        </w:rPr>
        <w:t xml:space="preserve">, la qualité de cet environnement s’évalue à l’aune, par exemple, de l’accès des étudiants à des espaces de travail, à des services de documentation universitaire, au matériel informatique, à la possibilité de participer à des séminaires de recherche ou d’intégrer des équipes de recherche. À ceci s’ajoute tout autre dispositif pédagogique concourant à l’acculturation des étudiants à la recherche comme les séminaires de méthodologie de recherche et/ou d’initiation à l’écriture de la recherche (Pollet &amp; </w:t>
      </w:r>
      <w:r w:rsidRPr="000E5E5A">
        <w:rPr>
          <w:i/>
          <w:iCs/>
          <w:sz w:val="24"/>
          <w:szCs w:val="24"/>
          <w:lang w:eastAsia="fr-FR"/>
        </w:rPr>
        <w:t>al</w:t>
      </w:r>
      <w:r w:rsidRPr="000E5E5A">
        <w:rPr>
          <w:sz w:val="24"/>
          <w:szCs w:val="24"/>
          <w:lang w:eastAsia="fr-FR"/>
        </w:rPr>
        <w:t>., 202</w:t>
      </w:r>
      <w:r>
        <w:rPr>
          <w:sz w:val="24"/>
          <w:szCs w:val="24"/>
          <w:lang w:eastAsia="fr-FR"/>
        </w:rPr>
        <w:t>3</w:t>
      </w:r>
      <w:r w:rsidRPr="000E5E5A">
        <w:rPr>
          <w:sz w:val="24"/>
          <w:szCs w:val="24"/>
          <w:lang w:eastAsia="fr-FR"/>
        </w:rPr>
        <w:t>).</w:t>
      </w:r>
    </w:p>
    <w:p w14:paraId="182B54C8" w14:textId="77777777" w:rsidR="00D80693" w:rsidRPr="000E5E5A" w:rsidRDefault="00D80693" w:rsidP="00D80693">
      <w:pPr>
        <w:spacing w:before="60" w:after="60"/>
        <w:jc w:val="both"/>
        <w:rPr>
          <w:sz w:val="24"/>
          <w:szCs w:val="24"/>
          <w:lang w:eastAsia="fr-FR"/>
        </w:rPr>
      </w:pPr>
      <w:r w:rsidRPr="000E5E5A">
        <w:rPr>
          <w:sz w:val="24"/>
          <w:szCs w:val="24"/>
          <w:lang w:eastAsia="fr-FR"/>
        </w:rPr>
        <w:t>La seconde dimension de l’encadrement des mémoires concerne la relation dyadique ou duale qui s’instaure entre un directeur et un étudiant sur la base du consentement mutuel ou sur imposition institutionnelle. Pour rendre compte de cette dimension de l’encadrement, la notion de « pratique de direction de mémoire »</w:t>
      </w:r>
      <w:r>
        <w:rPr>
          <w:sz w:val="24"/>
          <w:szCs w:val="24"/>
          <w:lang w:eastAsia="fr-FR"/>
        </w:rPr>
        <w:t xml:space="preserve">, désignant </w:t>
      </w:r>
      <w:r w:rsidRPr="000E5E5A">
        <w:rPr>
          <w:sz w:val="24"/>
          <w:szCs w:val="24"/>
          <w:lang w:eastAsia="fr-FR"/>
        </w:rPr>
        <w:t>« la pratique d’un ense</w:t>
      </w:r>
      <w:r>
        <w:rPr>
          <w:sz w:val="24"/>
          <w:szCs w:val="24"/>
          <w:lang w:eastAsia="fr-FR"/>
        </w:rPr>
        <w:t>i</w:t>
      </w:r>
      <w:r w:rsidRPr="000E5E5A">
        <w:rPr>
          <w:sz w:val="24"/>
          <w:szCs w:val="24"/>
          <w:lang w:eastAsia="fr-FR"/>
        </w:rPr>
        <w:t>gnant-chercheur qui vise à accompagner l’étudiant dans sa formation à la recherche et par la recherche » (Gérard, 2009 : 30)</w:t>
      </w:r>
      <w:r>
        <w:rPr>
          <w:sz w:val="24"/>
          <w:szCs w:val="24"/>
          <w:lang w:eastAsia="fr-FR"/>
        </w:rPr>
        <w:t>, se révèle heuristique.</w:t>
      </w:r>
      <w:r w:rsidRPr="000E5E5A">
        <w:rPr>
          <w:sz w:val="24"/>
          <w:szCs w:val="24"/>
          <w:lang w:eastAsia="fr-FR"/>
        </w:rPr>
        <w:t xml:space="preserve"> </w:t>
      </w:r>
      <w:r>
        <w:rPr>
          <w:sz w:val="24"/>
          <w:szCs w:val="24"/>
          <w:lang w:eastAsia="fr-FR"/>
        </w:rPr>
        <w:t xml:space="preserve">Conditionnant </w:t>
      </w:r>
      <w:r w:rsidRPr="000E5E5A">
        <w:rPr>
          <w:sz w:val="24"/>
          <w:szCs w:val="24"/>
          <w:lang w:eastAsia="fr-FR"/>
        </w:rPr>
        <w:t>la qualité de la formation à la recherche et la réussite des étudiants</w:t>
      </w:r>
      <w:r>
        <w:rPr>
          <w:sz w:val="24"/>
          <w:szCs w:val="24"/>
          <w:lang w:eastAsia="fr-FR"/>
        </w:rPr>
        <w:t xml:space="preserve">, </w:t>
      </w:r>
      <w:r w:rsidRPr="000E5E5A">
        <w:rPr>
          <w:sz w:val="24"/>
          <w:szCs w:val="24"/>
          <w:lang w:eastAsia="fr-FR"/>
        </w:rPr>
        <w:t xml:space="preserve">la pratique de direction </w:t>
      </w:r>
      <w:r>
        <w:rPr>
          <w:sz w:val="24"/>
          <w:szCs w:val="24"/>
          <w:lang w:eastAsia="fr-FR"/>
        </w:rPr>
        <w:t xml:space="preserve">de mémoire </w:t>
      </w:r>
      <w:r w:rsidRPr="000E5E5A">
        <w:rPr>
          <w:sz w:val="24"/>
          <w:szCs w:val="24"/>
          <w:lang w:eastAsia="fr-FR"/>
        </w:rPr>
        <w:t>condense des enjeux et des défis conséquents, tant pour l’institution que pour les apprentis-chercheurs</w:t>
      </w:r>
      <w:r>
        <w:rPr>
          <w:sz w:val="24"/>
          <w:szCs w:val="24"/>
          <w:lang w:eastAsia="fr-FR"/>
        </w:rPr>
        <w:t xml:space="preserve"> (</w:t>
      </w:r>
      <w:r w:rsidRPr="008E1A7A">
        <w:rPr>
          <w:sz w:val="24"/>
          <w:szCs w:val="24"/>
          <w:lang w:eastAsia="fr-FR"/>
        </w:rPr>
        <w:t xml:space="preserve">Le </w:t>
      </w:r>
      <w:proofErr w:type="spellStart"/>
      <w:r w:rsidRPr="008E1A7A">
        <w:rPr>
          <w:sz w:val="24"/>
          <w:szCs w:val="24"/>
          <w:lang w:eastAsia="fr-FR"/>
        </w:rPr>
        <w:t>Bouëdec</w:t>
      </w:r>
      <w:proofErr w:type="spellEnd"/>
      <w:r w:rsidRPr="008E1A7A">
        <w:rPr>
          <w:sz w:val="24"/>
          <w:szCs w:val="24"/>
          <w:lang w:eastAsia="fr-FR"/>
        </w:rPr>
        <w:t xml:space="preserve"> &amp; La </w:t>
      </w:r>
      <w:proofErr w:type="spellStart"/>
      <w:r w:rsidRPr="008E1A7A">
        <w:rPr>
          <w:sz w:val="24"/>
          <w:szCs w:val="24"/>
          <w:lang w:eastAsia="fr-FR"/>
        </w:rPr>
        <w:t>Garanderie</w:t>
      </w:r>
      <w:proofErr w:type="spellEnd"/>
      <w:r w:rsidRPr="008E1A7A">
        <w:rPr>
          <w:sz w:val="24"/>
          <w:szCs w:val="24"/>
          <w:lang w:eastAsia="fr-FR"/>
        </w:rPr>
        <w:t>, 1993</w:t>
      </w:r>
      <w:r>
        <w:rPr>
          <w:sz w:val="24"/>
          <w:szCs w:val="24"/>
          <w:lang w:eastAsia="fr-FR"/>
        </w:rPr>
        <w:t> ; Denis, 2020)</w:t>
      </w:r>
      <w:r w:rsidRPr="000E5E5A">
        <w:rPr>
          <w:sz w:val="24"/>
          <w:szCs w:val="24"/>
          <w:lang w:eastAsia="fr-FR"/>
        </w:rPr>
        <w:t xml:space="preserve">. </w:t>
      </w:r>
    </w:p>
    <w:p w14:paraId="516041F7" w14:textId="77777777" w:rsidR="00D80693" w:rsidRDefault="00D80693" w:rsidP="00D80693">
      <w:pPr>
        <w:spacing w:before="60" w:after="60"/>
        <w:jc w:val="both"/>
        <w:rPr>
          <w:sz w:val="24"/>
          <w:szCs w:val="24"/>
          <w:lang w:eastAsia="fr-FR"/>
        </w:rPr>
      </w:pPr>
      <w:bookmarkStart w:id="10" w:name="_Hlk205076663"/>
      <w:r w:rsidRPr="000E5E5A">
        <w:rPr>
          <w:sz w:val="24"/>
          <w:szCs w:val="24"/>
          <w:lang w:eastAsia="fr-FR"/>
        </w:rPr>
        <w:t>Cette étude</w:t>
      </w:r>
      <w:r>
        <w:rPr>
          <w:sz w:val="24"/>
          <w:szCs w:val="24"/>
          <w:lang w:eastAsia="fr-FR"/>
        </w:rPr>
        <w:t>, inédite dans son contexte,</w:t>
      </w:r>
      <w:r w:rsidRPr="000E5E5A">
        <w:rPr>
          <w:sz w:val="24"/>
          <w:szCs w:val="24"/>
          <w:lang w:eastAsia="fr-FR"/>
        </w:rPr>
        <w:t xml:space="preserve"> prend pour objet l’encadrement des mémoires de Master dans sa double dimension, institutionnelle et dyadique, à travers les discours d’anciens mastérants en Lettres et en Sciences du langage ayant soutenu leurs mémoires dans deux institutions publiques d’enseignement supérieur maliennes</w:t>
      </w:r>
      <w:bookmarkEnd w:id="10"/>
      <w:r w:rsidRPr="000E5E5A">
        <w:rPr>
          <w:sz w:val="24"/>
          <w:szCs w:val="24"/>
          <w:lang w:eastAsia="fr-FR"/>
        </w:rPr>
        <w:t>.</w:t>
      </w:r>
      <w:bookmarkStart w:id="11" w:name="_Hlk205078354"/>
      <w:r>
        <w:rPr>
          <w:sz w:val="24"/>
          <w:szCs w:val="24"/>
          <w:lang w:eastAsia="fr-FR"/>
        </w:rPr>
        <w:t xml:space="preserve"> Dans ce contexte universitaire, la direction de mémoire, malgré sa complexité et ses lourdes responsabilités, demeure une pratique professionnelle sans formation institutionalisée. L’absence de référentiel de compétences en encadrement de mémoire confine la pratique de direction à un empirisme autodidaxique, ce qui constitue un frein à l’émergence d’une culture d’encadrement partagée au sein de l’institution. </w:t>
      </w:r>
    </w:p>
    <w:p w14:paraId="74CF7B3E" w14:textId="77777777" w:rsidR="00D80693" w:rsidRPr="000E5E5A" w:rsidRDefault="00D80693" w:rsidP="00D80693">
      <w:pPr>
        <w:spacing w:before="60" w:after="60"/>
        <w:jc w:val="both"/>
        <w:rPr>
          <w:sz w:val="24"/>
          <w:szCs w:val="24"/>
          <w:lang w:eastAsia="fr-FR"/>
        </w:rPr>
      </w:pPr>
      <w:r w:rsidRPr="000E5E5A">
        <w:rPr>
          <w:sz w:val="24"/>
          <w:szCs w:val="24"/>
          <w:lang w:eastAsia="fr-FR"/>
        </w:rPr>
        <w:t>L</w:t>
      </w:r>
      <w:r>
        <w:rPr>
          <w:sz w:val="24"/>
          <w:szCs w:val="24"/>
          <w:lang w:eastAsia="fr-FR"/>
        </w:rPr>
        <w:t xml:space="preserve">’étude découle de la question de </w:t>
      </w:r>
      <w:r w:rsidRPr="000E5E5A">
        <w:rPr>
          <w:sz w:val="24"/>
          <w:szCs w:val="24"/>
          <w:lang w:eastAsia="fr-FR"/>
        </w:rPr>
        <w:t xml:space="preserve">savoir comment </w:t>
      </w:r>
      <w:r>
        <w:rPr>
          <w:sz w:val="24"/>
          <w:szCs w:val="24"/>
          <w:lang w:eastAsia="fr-FR"/>
        </w:rPr>
        <w:t xml:space="preserve">les apprentis-chercheurs vivent </w:t>
      </w:r>
      <w:r w:rsidRPr="000E5E5A">
        <w:rPr>
          <w:sz w:val="24"/>
          <w:szCs w:val="24"/>
          <w:lang w:eastAsia="fr-FR"/>
        </w:rPr>
        <w:t>l</w:t>
      </w:r>
      <w:r>
        <w:rPr>
          <w:sz w:val="24"/>
          <w:szCs w:val="24"/>
          <w:lang w:eastAsia="fr-FR"/>
        </w:rPr>
        <w:t>’</w:t>
      </w:r>
      <w:r w:rsidRPr="000E5E5A">
        <w:rPr>
          <w:sz w:val="24"/>
          <w:szCs w:val="24"/>
          <w:lang w:eastAsia="fr-FR"/>
        </w:rPr>
        <w:t>encadrement d</w:t>
      </w:r>
      <w:r>
        <w:rPr>
          <w:sz w:val="24"/>
          <w:szCs w:val="24"/>
          <w:lang w:eastAsia="fr-FR"/>
        </w:rPr>
        <w:t>u</w:t>
      </w:r>
      <w:r w:rsidRPr="000E5E5A">
        <w:rPr>
          <w:sz w:val="24"/>
          <w:szCs w:val="24"/>
          <w:lang w:eastAsia="fr-FR"/>
        </w:rPr>
        <w:t xml:space="preserve"> mémoire. En se plaçant du côté des étudiants, il s’agit d’abord de mettre au jour des pratiques de direction de mémoire qui ont cours dans l’environnement académique considéré, afin d’en apprécier les enjeux du point de vue de la formation à la recherche. Il s’agit ensuite de questionner la part des instances institutionnelles dans les difficultés rencontrées par les apprentis-chercheurs dans le cadre de la réalisation de leurs travaux de recherche de fin de cycle.</w:t>
      </w:r>
      <w:bookmarkStart w:id="12" w:name="_Hlk202622926"/>
    </w:p>
    <w:bookmarkEnd w:id="11"/>
    <w:bookmarkEnd w:id="12"/>
    <w:p w14:paraId="56B7E38C"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Dans la littérature scientifique, les pratiques de direction de mémoire sont analysées sous deux angles articulés, celui de la relation humaine entre </w:t>
      </w:r>
      <w:r>
        <w:rPr>
          <w:sz w:val="24"/>
          <w:szCs w:val="24"/>
          <w:lang w:eastAsia="fr-FR"/>
        </w:rPr>
        <w:t xml:space="preserve">un </w:t>
      </w:r>
      <w:r w:rsidRPr="000E5E5A">
        <w:rPr>
          <w:sz w:val="24"/>
          <w:szCs w:val="24"/>
          <w:lang w:eastAsia="fr-FR"/>
        </w:rPr>
        <w:t xml:space="preserve">directeur et </w:t>
      </w:r>
      <w:r>
        <w:rPr>
          <w:sz w:val="24"/>
          <w:szCs w:val="24"/>
          <w:lang w:eastAsia="fr-FR"/>
        </w:rPr>
        <w:t xml:space="preserve">un </w:t>
      </w:r>
      <w:r w:rsidRPr="000E5E5A">
        <w:rPr>
          <w:sz w:val="24"/>
          <w:szCs w:val="24"/>
          <w:lang w:eastAsia="fr-FR"/>
        </w:rPr>
        <w:t>étudiant et celui de l’aide scientifique apportée à l’étudiant par le directeur (</w:t>
      </w:r>
      <w:r>
        <w:rPr>
          <w:sz w:val="24"/>
          <w:szCs w:val="24"/>
          <w:lang w:eastAsia="fr-FR"/>
        </w:rPr>
        <w:t xml:space="preserve">Denis, 2020 ; </w:t>
      </w:r>
      <w:proofErr w:type="spellStart"/>
      <w:r w:rsidRPr="000E5E5A">
        <w:rPr>
          <w:sz w:val="24"/>
          <w:szCs w:val="24"/>
          <w:lang w:eastAsia="fr-FR"/>
        </w:rPr>
        <w:t>Gremmo</w:t>
      </w:r>
      <w:proofErr w:type="spellEnd"/>
      <w:r w:rsidRPr="000E5E5A">
        <w:rPr>
          <w:sz w:val="24"/>
          <w:szCs w:val="24"/>
          <w:lang w:eastAsia="fr-FR"/>
        </w:rPr>
        <w:t xml:space="preserve"> &amp; Gérard, 2008 ; </w:t>
      </w:r>
      <w:proofErr w:type="spellStart"/>
      <w:r w:rsidRPr="000E5E5A">
        <w:rPr>
          <w:sz w:val="24"/>
          <w:szCs w:val="24"/>
          <w:lang w:eastAsia="fr-FR"/>
        </w:rPr>
        <w:t>Gremmo</w:t>
      </w:r>
      <w:proofErr w:type="spellEnd"/>
      <w:r w:rsidRPr="000E5E5A">
        <w:rPr>
          <w:sz w:val="24"/>
          <w:szCs w:val="24"/>
          <w:lang w:eastAsia="fr-FR"/>
        </w:rPr>
        <w:t xml:space="preserve">, 2009 ; </w:t>
      </w:r>
      <w:proofErr w:type="spellStart"/>
      <w:r w:rsidRPr="000E5E5A">
        <w:rPr>
          <w:sz w:val="24"/>
          <w:szCs w:val="24"/>
          <w:lang w:eastAsia="fr-FR"/>
        </w:rPr>
        <w:t>Prégent</w:t>
      </w:r>
      <w:proofErr w:type="spellEnd"/>
      <w:r w:rsidRPr="000E5E5A">
        <w:rPr>
          <w:sz w:val="24"/>
          <w:szCs w:val="24"/>
          <w:lang w:eastAsia="fr-FR"/>
        </w:rPr>
        <w:t>, 2001). La relation personnelle qu’un directeur noue avec son étudiant détermine en partie la qualité de l’aide scientifique qu’il est disposé à lui apporter. Cette relation s’inscrit dans un continuum qu</w:t>
      </w:r>
      <w:r>
        <w:rPr>
          <w:sz w:val="24"/>
          <w:szCs w:val="24"/>
          <w:lang w:eastAsia="fr-FR"/>
        </w:rPr>
        <w:t>e l’</w:t>
      </w:r>
      <w:r w:rsidRPr="000E5E5A">
        <w:rPr>
          <w:sz w:val="24"/>
          <w:szCs w:val="24"/>
          <w:lang w:eastAsia="fr-FR"/>
        </w:rPr>
        <w:t>on peut appréhender en termes de distance ou de proximité relationnelle. Selon l’axe du continuum privilégié, le directeur enrichit son accompagnement scientifique d’un soutien moral concourant à la réussite de l’étudiant ou</w:t>
      </w:r>
      <w:r>
        <w:rPr>
          <w:sz w:val="24"/>
          <w:szCs w:val="24"/>
          <w:lang w:eastAsia="fr-FR"/>
        </w:rPr>
        <w:t>,</w:t>
      </w:r>
      <w:r w:rsidRPr="000E5E5A">
        <w:rPr>
          <w:sz w:val="24"/>
          <w:szCs w:val="24"/>
          <w:lang w:eastAsia="fr-FR"/>
        </w:rPr>
        <w:t xml:space="preserve"> au contraire</w:t>
      </w:r>
      <w:r>
        <w:rPr>
          <w:sz w:val="24"/>
          <w:szCs w:val="24"/>
          <w:lang w:eastAsia="fr-FR"/>
        </w:rPr>
        <w:t>,</w:t>
      </w:r>
      <w:r w:rsidRPr="000E5E5A">
        <w:rPr>
          <w:sz w:val="24"/>
          <w:szCs w:val="24"/>
          <w:lang w:eastAsia="fr-FR"/>
        </w:rPr>
        <w:t xml:space="preserve"> s’en tient à son rôle d’accompagnateur scientifique (</w:t>
      </w:r>
      <w:proofErr w:type="spellStart"/>
      <w:r w:rsidRPr="000E5E5A">
        <w:rPr>
          <w:sz w:val="24"/>
          <w:szCs w:val="24"/>
          <w:lang w:eastAsia="fr-FR"/>
        </w:rPr>
        <w:t>Tchagnoua</w:t>
      </w:r>
      <w:proofErr w:type="spellEnd"/>
      <w:r w:rsidRPr="000E5E5A">
        <w:rPr>
          <w:sz w:val="24"/>
          <w:szCs w:val="24"/>
          <w:lang w:eastAsia="fr-FR"/>
        </w:rPr>
        <w:t>, 2024</w:t>
      </w:r>
      <w:r>
        <w:rPr>
          <w:sz w:val="24"/>
          <w:szCs w:val="24"/>
          <w:lang w:eastAsia="fr-FR"/>
        </w:rPr>
        <w:t> ; Denis, 2020</w:t>
      </w:r>
      <w:r w:rsidRPr="000E5E5A">
        <w:rPr>
          <w:sz w:val="24"/>
          <w:szCs w:val="24"/>
          <w:lang w:eastAsia="fr-FR"/>
        </w:rPr>
        <w:t>). Ce rôle</w:t>
      </w:r>
      <w:r>
        <w:rPr>
          <w:sz w:val="24"/>
          <w:szCs w:val="24"/>
          <w:lang w:eastAsia="fr-FR"/>
        </w:rPr>
        <w:t xml:space="preserve">, très complexe, </w:t>
      </w:r>
      <w:r w:rsidRPr="000E5E5A">
        <w:rPr>
          <w:sz w:val="24"/>
          <w:szCs w:val="24"/>
          <w:lang w:eastAsia="fr-FR"/>
        </w:rPr>
        <w:t xml:space="preserve">consiste essentiellement </w:t>
      </w:r>
      <w:r>
        <w:rPr>
          <w:sz w:val="24"/>
          <w:szCs w:val="24"/>
          <w:lang w:eastAsia="fr-FR"/>
        </w:rPr>
        <w:t>à aider l’apprentis-chercheur</w:t>
      </w:r>
      <w:r w:rsidRPr="000E5E5A">
        <w:rPr>
          <w:sz w:val="24"/>
          <w:szCs w:val="24"/>
          <w:lang w:eastAsia="fr-FR"/>
        </w:rPr>
        <w:t xml:space="preserve"> </w:t>
      </w:r>
      <w:r>
        <w:rPr>
          <w:sz w:val="24"/>
          <w:szCs w:val="24"/>
          <w:lang w:eastAsia="fr-FR"/>
        </w:rPr>
        <w:t xml:space="preserve">à problématiser un objet de recherche, à se positionner vis-à-vis de la littérature relative à son objet d’étude, à s’orienter dans le choix des méthodes de recherche, à planifier ou organiser les différentes phases de sa recherche et à s’approprier l’écriture du genre </w:t>
      </w:r>
      <w:r w:rsidRPr="000E5E5A">
        <w:rPr>
          <w:sz w:val="24"/>
          <w:szCs w:val="24"/>
          <w:lang w:eastAsia="fr-FR"/>
        </w:rPr>
        <w:t xml:space="preserve">(Gérard, 2009 ; </w:t>
      </w:r>
      <w:proofErr w:type="spellStart"/>
      <w:r w:rsidRPr="000E5E5A">
        <w:rPr>
          <w:sz w:val="24"/>
          <w:szCs w:val="24"/>
          <w:lang w:eastAsia="fr-FR"/>
        </w:rPr>
        <w:t>Prégent</w:t>
      </w:r>
      <w:proofErr w:type="spellEnd"/>
      <w:r w:rsidRPr="000E5E5A">
        <w:rPr>
          <w:sz w:val="24"/>
          <w:szCs w:val="24"/>
          <w:lang w:eastAsia="fr-FR"/>
        </w:rPr>
        <w:t>, 2001). Sa qualité se mesure, entre autres critères, à la fréquence des rencontres entre le directeur et l’étudiant, à la durée d’attente des relectures et à la capacité du discours évaluatif à contribuer à l’apprentissage de la recherche et de son écriture (</w:t>
      </w:r>
      <w:bookmarkStart w:id="13" w:name="_Hlk202459296"/>
      <w:r w:rsidRPr="000E5E5A">
        <w:rPr>
          <w:sz w:val="24"/>
          <w:szCs w:val="24"/>
          <w:lang w:eastAsia="fr-FR"/>
        </w:rPr>
        <w:t xml:space="preserve">Jutras, </w:t>
      </w:r>
      <w:proofErr w:type="spellStart"/>
      <w:r w:rsidRPr="000E5E5A">
        <w:rPr>
          <w:sz w:val="24"/>
          <w:szCs w:val="24"/>
          <w:lang w:eastAsia="fr-FR"/>
        </w:rPr>
        <w:t>Ntebutse</w:t>
      </w:r>
      <w:proofErr w:type="spellEnd"/>
      <w:r w:rsidRPr="000E5E5A">
        <w:rPr>
          <w:sz w:val="24"/>
          <w:szCs w:val="24"/>
          <w:lang w:eastAsia="fr-FR"/>
        </w:rPr>
        <w:t xml:space="preserve"> &amp; Louis, 2010</w:t>
      </w:r>
      <w:bookmarkEnd w:id="13"/>
      <w:r w:rsidRPr="000E5E5A">
        <w:rPr>
          <w:sz w:val="24"/>
          <w:szCs w:val="24"/>
          <w:lang w:eastAsia="fr-FR"/>
        </w:rPr>
        <w:t xml:space="preserve">). L’écriture scientifique étant, du fait de sa dimension épistémologique, le principal pilier du développement de l’esprit critique par rapport aux objets de recherche, le rôle du directeur de mémoire dans son apprentissage est particulièrement mis en évidence dans la littérature (Jutras, </w:t>
      </w:r>
      <w:proofErr w:type="spellStart"/>
      <w:r w:rsidRPr="000E5E5A">
        <w:rPr>
          <w:sz w:val="24"/>
          <w:szCs w:val="24"/>
          <w:lang w:eastAsia="fr-FR"/>
        </w:rPr>
        <w:t>Ntebutse</w:t>
      </w:r>
      <w:proofErr w:type="spellEnd"/>
      <w:r w:rsidRPr="000E5E5A">
        <w:rPr>
          <w:sz w:val="24"/>
          <w:szCs w:val="24"/>
          <w:lang w:eastAsia="fr-FR"/>
        </w:rPr>
        <w:t xml:space="preserve"> &amp; Louis, 2010 ; Boch, Fanny &amp; </w:t>
      </w:r>
      <w:proofErr w:type="spellStart"/>
      <w:r w:rsidRPr="000E5E5A">
        <w:rPr>
          <w:sz w:val="24"/>
          <w:szCs w:val="24"/>
          <w:lang w:eastAsia="fr-FR"/>
        </w:rPr>
        <w:t>Sorba</w:t>
      </w:r>
      <w:proofErr w:type="spellEnd"/>
      <w:r w:rsidRPr="000E5E5A">
        <w:rPr>
          <w:sz w:val="24"/>
          <w:szCs w:val="24"/>
          <w:lang w:eastAsia="fr-FR"/>
        </w:rPr>
        <w:t>, 2022 ; Koné, 2025).</w:t>
      </w:r>
    </w:p>
    <w:p w14:paraId="67A14C98"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Sur la base de cette conceptualisation de la pratique de direction de mémoire, </w:t>
      </w:r>
      <w:bookmarkStart w:id="14" w:name="_Hlk207037750"/>
      <w:r w:rsidRPr="000E5E5A">
        <w:rPr>
          <w:sz w:val="24"/>
          <w:szCs w:val="24"/>
          <w:lang w:eastAsia="fr-FR"/>
        </w:rPr>
        <w:t>notre étude, inédite dans son contexte, s’attèle à mettre en évidence les difficultés des apprentis-chercheurs liées à l’encadrement du mémoire, en vue d’explorer des pistes de solutions contextualisées</w:t>
      </w:r>
      <w:bookmarkEnd w:id="14"/>
      <w:r w:rsidRPr="000E5E5A">
        <w:rPr>
          <w:sz w:val="24"/>
          <w:szCs w:val="24"/>
          <w:lang w:eastAsia="fr-FR"/>
        </w:rPr>
        <w:t xml:space="preserve">. </w:t>
      </w:r>
    </w:p>
    <w:p w14:paraId="32046226" w14:textId="77777777" w:rsidR="00D80693" w:rsidRPr="000E5E5A" w:rsidRDefault="00D80693" w:rsidP="00D80693">
      <w:pPr>
        <w:spacing w:before="60" w:after="60"/>
        <w:jc w:val="both"/>
        <w:rPr>
          <w:sz w:val="24"/>
          <w:szCs w:val="24"/>
          <w:lang w:eastAsia="fr-FR"/>
        </w:rPr>
      </w:pPr>
      <w:r w:rsidRPr="000E5E5A">
        <w:rPr>
          <w:sz w:val="24"/>
          <w:szCs w:val="24"/>
          <w:lang w:eastAsia="fr-FR"/>
        </w:rPr>
        <w:t>Après la présentation des choix méthodologiques (section 1), sont introduits les résultats et leur analyse (section 2), dont les points saillants sont repris, discutés et mis en perspective eu égard à l’objectif de l’étude (section 3).</w:t>
      </w:r>
    </w:p>
    <w:p w14:paraId="6D361A1A" w14:textId="77777777" w:rsidR="00D80693" w:rsidRPr="0065773E" w:rsidRDefault="00D80693" w:rsidP="00D80693">
      <w:pPr>
        <w:pStyle w:val="Paragraphedeliste"/>
        <w:widowControl/>
        <w:numPr>
          <w:ilvl w:val="0"/>
          <w:numId w:val="212"/>
        </w:numPr>
        <w:autoSpaceDE/>
        <w:autoSpaceDN/>
        <w:spacing w:before="0" w:after="160" w:line="259" w:lineRule="auto"/>
        <w:contextualSpacing/>
        <w:jc w:val="left"/>
        <w:rPr>
          <w:b/>
          <w:bCs/>
          <w:sz w:val="28"/>
        </w:rPr>
      </w:pPr>
      <w:r w:rsidRPr="0065773E">
        <w:rPr>
          <w:b/>
          <w:bCs/>
          <w:sz w:val="28"/>
        </w:rPr>
        <w:t xml:space="preserve">Méthodologie </w:t>
      </w:r>
    </w:p>
    <w:p w14:paraId="4F945087"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Afin de saisir comment les pratiques de direction de mémoire sont vécues par les apprentis-chercheurs ainsi que les effets du contexte institutionnel sur la réalisation du mémoire, des entretiens semi-directifs ont été conduits tout en étant attentif aux limitations d’un tel système inscripteur. Comme technique d’instrumentation des données de recherche, l’entretien donne aux individus interrogés la possibilité de construire un discours, à travers lequel </w:t>
      </w:r>
      <w:r>
        <w:rPr>
          <w:sz w:val="24"/>
          <w:szCs w:val="24"/>
          <w:lang w:eastAsia="fr-FR"/>
        </w:rPr>
        <w:t>l’on</w:t>
      </w:r>
      <w:r w:rsidRPr="000E5E5A">
        <w:rPr>
          <w:sz w:val="24"/>
          <w:szCs w:val="24"/>
          <w:lang w:eastAsia="fr-FR"/>
        </w:rPr>
        <w:t xml:space="preserve"> peut accéder aux significations élaborées autour de l’expérience subjective de l’élaboration du mémoire. Toutefois, cet instrument demeure sujet à des </w:t>
      </w:r>
      <w:r>
        <w:rPr>
          <w:sz w:val="24"/>
          <w:szCs w:val="24"/>
          <w:lang w:eastAsia="fr-FR"/>
        </w:rPr>
        <w:t xml:space="preserve">effets de </w:t>
      </w:r>
      <w:r w:rsidRPr="000E5E5A">
        <w:rPr>
          <w:sz w:val="24"/>
          <w:szCs w:val="24"/>
          <w:lang w:eastAsia="fr-FR"/>
        </w:rPr>
        <w:t>biais, notamment</w:t>
      </w:r>
      <w:r>
        <w:rPr>
          <w:sz w:val="24"/>
          <w:szCs w:val="24"/>
          <w:lang w:eastAsia="fr-FR"/>
        </w:rPr>
        <w:t xml:space="preserve"> </w:t>
      </w:r>
      <w:r w:rsidRPr="000E5E5A">
        <w:rPr>
          <w:sz w:val="24"/>
          <w:szCs w:val="24"/>
          <w:lang w:eastAsia="fr-FR"/>
        </w:rPr>
        <w:t xml:space="preserve">de désirabilité sociale pouvant conduire </w:t>
      </w:r>
      <w:proofErr w:type="gramStart"/>
      <w:r w:rsidRPr="000E5E5A">
        <w:rPr>
          <w:sz w:val="24"/>
          <w:szCs w:val="24"/>
          <w:lang w:eastAsia="fr-FR"/>
        </w:rPr>
        <w:t>l’interviewé</w:t>
      </w:r>
      <w:proofErr w:type="gramEnd"/>
      <w:r w:rsidRPr="000E5E5A">
        <w:rPr>
          <w:sz w:val="24"/>
          <w:szCs w:val="24"/>
          <w:lang w:eastAsia="fr-FR"/>
        </w:rPr>
        <w:t xml:space="preserve"> à</w:t>
      </w:r>
      <w:r>
        <w:rPr>
          <w:sz w:val="24"/>
          <w:szCs w:val="24"/>
          <w:lang w:eastAsia="fr-FR"/>
        </w:rPr>
        <w:t xml:space="preserve"> ne sélectionner que les</w:t>
      </w:r>
      <w:r w:rsidRPr="000E5E5A">
        <w:rPr>
          <w:sz w:val="24"/>
          <w:szCs w:val="24"/>
          <w:lang w:eastAsia="fr-FR"/>
        </w:rPr>
        <w:t xml:space="preserve"> aspects de son expérience </w:t>
      </w:r>
      <w:r>
        <w:rPr>
          <w:sz w:val="24"/>
          <w:szCs w:val="24"/>
          <w:lang w:eastAsia="fr-FR"/>
        </w:rPr>
        <w:t xml:space="preserve">qu’il estime conformes </w:t>
      </w:r>
      <w:r w:rsidRPr="000E5E5A">
        <w:rPr>
          <w:sz w:val="24"/>
          <w:szCs w:val="24"/>
          <w:lang w:eastAsia="fr-FR"/>
        </w:rPr>
        <w:t>aux attentes qu’il pense devoir attribuer au chercheur (</w:t>
      </w:r>
      <w:r w:rsidRPr="00A45F4A">
        <w:rPr>
          <w:sz w:val="24"/>
          <w:szCs w:val="24"/>
          <w:lang w:eastAsia="fr-FR"/>
        </w:rPr>
        <w:t>Blanchet</w:t>
      </w:r>
      <w:r w:rsidRPr="000E5E5A">
        <w:rPr>
          <w:sz w:val="24"/>
          <w:szCs w:val="24"/>
          <w:lang w:eastAsia="fr-FR"/>
        </w:rPr>
        <w:t xml:space="preserve"> &amp; </w:t>
      </w:r>
      <w:proofErr w:type="spellStart"/>
      <w:r w:rsidRPr="000E5E5A">
        <w:rPr>
          <w:sz w:val="24"/>
          <w:szCs w:val="24"/>
          <w:lang w:eastAsia="fr-FR"/>
        </w:rPr>
        <w:t>Gotman</w:t>
      </w:r>
      <w:proofErr w:type="spellEnd"/>
      <w:r w:rsidRPr="000E5E5A">
        <w:rPr>
          <w:sz w:val="24"/>
          <w:szCs w:val="24"/>
          <w:lang w:eastAsia="fr-FR"/>
        </w:rPr>
        <w:t xml:space="preserve">, 2010). Pour réduire de </w:t>
      </w:r>
      <w:r>
        <w:rPr>
          <w:sz w:val="24"/>
          <w:szCs w:val="24"/>
          <w:lang w:eastAsia="fr-FR"/>
        </w:rPr>
        <w:t xml:space="preserve">tels </w:t>
      </w:r>
      <w:r w:rsidRPr="000E5E5A">
        <w:rPr>
          <w:sz w:val="24"/>
          <w:szCs w:val="24"/>
          <w:lang w:eastAsia="fr-FR"/>
        </w:rPr>
        <w:t>biais, les entretiens ont été menés par une assistante de recherche</w:t>
      </w:r>
      <w:r>
        <w:rPr>
          <w:sz w:val="24"/>
          <w:szCs w:val="24"/>
          <w:lang w:eastAsia="fr-FR"/>
        </w:rPr>
        <w:t>, laquelle s’est appropriée le guide d’entretien à travers trois entretiens pilotes.</w:t>
      </w:r>
      <w:r w:rsidRPr="000E5E5A">
        <w:rPr>
          <w:sz w:val="24"/>
          <w:szCs w:val="24"/>
          <w:lang w:eastAsia="fr-FR"/>
        </w:rPr>
        <w:t xml:space="preserve"> </w:t>
      </w:r>
      <w:r>
        <w:rPr>
          <w:sz w:val="24"/>
          <w:szCs w:val="24"/>
          <w:lang w:eastAsia="fr-FR"/>
        </w:rPr>
        <w:t xml:space="preserve">Celle-ci avait pour </w:t>
      </w:r>
      <w:r w:rsidRPr="000E5E5A">
        <w:rPr>
          <w:sz w:val="24"/>
          <w:szCs w:val="24"/>
          <w:lang w:eastAsia="fr-FR"/>
        </w:rPr>
        <w:t>consigne de ne recruter que d</w:t>
      </w:r>
      <w:r>
        <w:rPr>
          <w:sz w:val="24"/>
          <w:szCs w:val="24"/>
          <w:lang w:eastAsia="fr-FR"/>
        </w:rPr>
        <w:t>’anciens mastérants</w:t>
      </w:r>
      <w:r w:rsidRPr="000E5E5A">
        <w:rPr>
          <w:sz w:val="24"/>
          <w:szCs w:val="24"/>
          <w:lang w:eastAsia="fr-FR"/>
        </w:rPr>
        <w:t xml:space="preserve"> ayant soutenu un mémoire de Master dans les </w:t>
      </w:r>
      <w:r>
        <w:rPr>
          <w:sz w:val="24"/>
          <w:szCs w:val="24"/>
          <w:lang w:eastAsia="fr-FR"/>
        </w:rPr>
        <w:t>douze (</w:t>
      </w:r>
      <w:r w:rsidRPr="000E5E5A">
        <w:rPr>
          <w:sz w:val="24"/>
          <w:szCs w:val="24"/>
          <w:lang w:eastAsia="fr-FR"/>
        </w:rPr>
        <w:t>12</w:t>
      </w:r>
      <w:r>
        <w:rPr>
          <w:sz w:val="24"/>
          <w:szCs w:val="24"/>
          <w:lang w:eastAsia="fr-FR"/>
        </w:rPr>
        <w:t xml:space="preserve">) </w:t>
      </w:r>
      <w:r w:rsidRPr="000E5E5A">
        <w:rPr>
          <w:sz w:val="24"/>
          <w:szCs w:val="24"/>
          <w:lang w:eastAsia="fr-FR"/>
        </w:rPr>
        <w:t>derniers mois en Lettres, en Sciences du langage et/ou en Didactique des langues, domaines relevant des départements d’études</w:t>
      </w:r>
      <w:r>
        <w:rPr>
          <w:sz w:val="24"/>
          <w:szCs w:val="24"/>
          <w:lang w:eastAsia="fr-FR"/>
        </w:rPr>
        <w:t xml:space="preserve"> et de recherche</w:t>
      </w:r>
      <w:r w:rsidRPr="000E5E5A">
        <w:rPr>
          <w:sz w:val="24"/>
          <w:szCs w:val="24"/>
          <w:lang w:eastAsia="fr-FR"/>
        </w:rPr>
        <w:t xml:space="preserve"> où nous intervenons pédagogiquement. L’assistante de recherche satisfaisant elle-même ce critère, il était postulé que la proximité académique </w:t>
      </w:r>
      <w:r>
        <w:rPr>
          <w:sz w:val="24"/>
          <w:szCs w:val="24"/>
          <w:lang w:eastAsia="fr-FR"/>
        </w:rPr>
        <w:t xml:space="preserve">et générationnelle </w:t>
      </w:r>
      <w:r w:rsidRPr="000E5E5A">
        <w:rPr>
          <w:sz w:val="24"/>
          <w:szCs w:val="24"/>
          <w:lang w:eastAsia="fr-FR"/>
        </w:rPr>
        <w:t xml:space="preserve">avec les interviewés serait propice à l’instauration d’une relation horizontale nécessaire au développement d’un discours sur le vécu de la relation pédagogique d’encadrement du mémoire. </w:t>
      </w:r>
    </w:p>
    <w:p w14:paraId="07E23944"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Sur les </w:t>
      </w:r>
      <w:r>
        <w:rPr>
          <w:sz w:val="24"/>
          <w:szCs w:val="24"/>
          <w:lang w:eastAsia="fr-FR"/>
        </w:rPr>
        <w:t>vingt (</w:t>
      </w:r>
      <w:r w:rsidRPr="000E5E5A">
        <w:rPr>
          <w:sz w:val="24"/>
          <w:szCs w:val="24"/>
          <w:lang w:eastAsia="fr-FR"/>
        </w:rPr>
        <w:t>20</w:t>
      </w:r>
      <w:r>
        <w:rPr>
          <w:sz w:val="24"/>
          <w:szCs w:val="24"/>
          <w:lang w:eastAsia="fr-FR"/>
        </w:rPr>
        <w:t>)</w:t>
      </w:r>
      <w:r w:rsidRPr="000E5E5A">
        <w:rPr>
          <w:sz w:val="24"/>
          <w:szCs w:val="24"/>
          <w:lang w:eastAsia="fr-FR"/>
        </w:rPr>
        <w:t xml:space="preserve"> participants de l’échantillon, le mémoire de Master constitue pour </w:t>
      </w:r>
      <w:r>
        <w:rPr>
          <w:sz w:val="24"/>
          <w:szCs w:val="24"/>
          <w:lang w:eastAsia="fr-FR"/>
        </w:rPr>
        <w:t>huit (</w:t>
      </w:r>
      <w:r w:rsidRPr="000E5E5A">
        <w:rPr>
          <w:sz w:val="24"/>
          <w:szCs w:val="24"/>
          <w:lang w:eastAsia="fr-FR"/>
        </w:rPr>
        <w:t>08</w:t>
      </w:r>
      <w:r>
        <w:rPr>
          <w:sz w:val="24"/>
          <w:szCs w:val="24"/>
          <w:lang w:eastAsia="fr-FR"/>
        </w:rPr>
        <w:t>)</w:t>
      </w:r>
      <w:r w:rsidRPr="000E5E5A">
        <w:rPr>
          <w:sz w:val="24"/>
          <w:szCs w:val="24"/>
          <w:lang w:eastAsia="fr-FR"/>
        </w:rPr>
        <w:t xml:space="preserve"> l’unique expérience dans la recherche universitaire initiale, ceux-ci n’ayant pas eu à produire en Licence ni projet de recherche, ni mémoire, ni rapport. Sur les </w:t>
      </w:r>
      <w:r>
        <w:rPr>
          <w:sz w:val="24"/>
          <w:szCs w:val="24"/>
          <w:lang w:eastAsia="fr-FR"/>
        </w:rPr>
        <w:t>douze (</w:t>
      </w:r>
      <w:r w:rsidRPr="000E5E5A">
        <w:rPr>
          <w:sz w:val="24"/>
          <w:szCs w:val="24"/>
          <w:lang w:eastAsia="fr-FR"/>
        </w:rPr>
        <w:t>12</w:t>
      </w:r>
      <w:r>
        <w:rPr>
          <w:sz w:val="24"/>
          <w:szCs w:val="24"/>
          <w:lang w:eastAsia="fr-FR"/>
        </w:rPr>
        <w:t>)</w:t>
      </w:r>
      <w:r w:rsidRPr="000E5E5A">
        <w:rPr>
          <w:sz w:val="24"/>
          <w:szCs w:val="24"/>
          <w:lang w:eastAsia="fr-FR"/>
        </w:rPr>
        <w:t xml:space="preserve"> autres, </w:t>
      </w:r>
      <w:r>
        <w:rPr>
          <w:sz w:val="24"/>
          <w:szCs w:val="24"/>
          <w:lang w:eastAsia="fr-FR"/>
        </w:rPr>
        <w:t>trois (</w:t>
      </w:r>
      <w:r w:rsidRPr="000E5E5A">
        <w:rPr>
          <w:sz w:val="24"/>
          <w:szCs w:val="24"/>
          <w:lang w:eastAsia="fr-FR"/>
        </w:rPr>
        <w:t>03</w:t>
      </w:r>
      <w:r>
        <w:rPr>
          <w:sz w:val="24"/>
          <w:szCs w:val="24"/>
          <w:lang w:eastAsia="fr-FR"/>
        </w:rPr>
        <w:t>)</w:t>
      </w:r>
      <w:r w:rsidRPr="000E5E5A">
        <w:rPr>
          <w:sz w:val="24"/>
          <w:szCs w:val="24"/>
          <w:lang w:eastAsia="fr-FR"/>
        </w:rPr>
        <w:t xml:space="preserve"> sont auteurs d’un mémoire de Maîtrise, d’un de Master professionnel et d’un de Master recherche, les </w:t>
      </w:r>
      <w:r>
        <w:rPr>
          <w:sz w:val="24"/>
          <w:szCs w:val="24"/>
          <w:lang w:eastAsia="fr-FR"/>
        </w:rPr>
        <w:t>neuf (</w:t>
      </w:r>
      <w:r w:rsidRPr="000E5E5A">
        <w:rPr>
          <w:sz w:val="24"/>
          <w:szCs w:val="24"/>
          <w:lang w:eastAsia="fr-FR"/>
        </w:rPr>
        <w:t>09</w:t>
      </w:r>
      <w:r>
        <w:rPr>
          <w:sz w:val="24"/>
          <w:szCs w:val="24"/>
          <w:lang w:eastAsia="fr-FR"/>
        </w:rPr>
        <w:t>)</w:t>
      </w:r>
      <w:r w:rsidRPr="000E5E5A">
        <w:rPr>
          <w:sz w:val="24"/>
          <w:szCs w:val="24"/>
          <w:lang w:eastAsia="fr-FR"/>
        </w:rPr>
        <w:t xml:space="preserve"> autres ayant réalisé un mémoire de Maîtrise puis un de Master (professionnel ou recherche).</w:t>
      </w:r>
    </w:p>
    <w:p w14:paraId="0CBBA09A"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Les entretiens ont été menés en deux phases. La première a consisté à la mise au point d’entretiens pilotes d’auprès de </w:t>
      </w:r>
      <w:r>
        <w:rPr>
          <w:sz w:val="24"/>
          <w:szCs w:val="24"/>
          <w:lang w:eastAsia="fr-FR"/>
        </w:rPr>
        <w:t>trois</w:t>
      </w:r>
      <w:r w:rsidRPr="000E5E5A">
        <w:rPr>
          <w:sz w:val="24"/>
          <w:szCs w:val="24"/>
          <w:lang w:eastAsia="fr-FR"/>
        </w:rPr>
        <w:t xml:space="preserve"> apprentis-chercheurs à partir d’un guide d’entretien s’inspirant, d’une part, de recherches </w:t>
      </w:r>
      <w:r>
        <w:rPr>
          <w:sz w:val="24"/>
          <w:szCs w:val="24"/>
          <w:lang w:eastAsia="fr-FR"/>
        </w:rPr>
        <w:t xml:space="preserve">en sciences de l’éducation </w:t>
      </w:r>
      <w:r w:rsidRPr="000E5E5A">
        <w:rPr>
          <w:sz w:val="24"/>
          <w:szCs w:val="24"/>
          <w:lang w:eastAsia="fr-FR"/>
        </w:rPr>
        <w:t>sur l</w:t>
      </w:r>
      <w:r>
        <w:rPr>
          <w:sz w:val="24"/>
          <w:szCs w:val="24"/>
          <w:lang w:eastAsia="fr-FR"/>
        </w:rPr>
        <w:t>’</w:t>
      </w:r>
      <w:r w:rsidRPr="000E5E5A">
        <w:rPr>
          <w:sz w:val="24"/>
          <w:szCs w:val="24"/>
          <w:lang w:eastAsia="fr-FR"/>
        </w:rPr>
        <w:t>encadrement des mémoires et des thèses</w:t>
      </w:r>
      <w:r>
        <w:rPr>
          <w:sz w:val="24"/>
          <w:szCs w:val="24"/>
          <w:lang w:eastAsia="fr-FR"/>
        </w:rPr>
        <w:t xml:space="preserve"> </w:t>
      </w:r>
      <w:r w:rsidRPr="000E5E5A">
        <w:rPr>
          <w:sz w:val="24"/>
          <w:szCs w:val="24"/>
          <w:lang w:eastAsia="fr-FR"/>
        </w:rPr>
        <w:t xml:space="preserve">(Tchagnaou, 2024 ; </w:t>
      </w:r>
      <w:r w:rsidRPr="00E9546D">
        <w:rPr>
          <w:sz w:val="24"/>
          <w:szCs w:val="24"/>
          <w:lang w:eastAsia="fr-FR"/>
        </w:rPr>
        <w:t>Houssay-</w:t>
      </w:r>
      <w:proofErr w:type="spellStart"/>
      <w:r w:rsidRPr="00E9546D">
        <w:rPr>
          <w:sz w:val="24"/>
          <w:szCs w:val="24"/>
          <w:lang w:eastAsia="fr-FR"/>
        </w:rPr>
        <w:t>Holzschuch</w:t>
      </w:r>
      <w:proofErr w:type="spellEnd"/>
      <w:r>
        <w:rPr>
          <w:sz w:val="24"/>
          <w:szCs w:val="24"/>
          <w:lang w:eastAsia="fr-FR"/>
        </w:rPr>
        <w:t xml:space="preserve">, </w:t>
      </w:r>
      <w:r w:rsidRPr="00E9546D">
        <w:rPr>
          <w:sz w:val="24"/>
          <w:szCs w:val="24"/>
          <w:lang w:eastAsia="fr-FR"/>
        </w:rPr>
        <w:t xml:space="preserve">Le </w:t>
      </w:r>
      <w:proofErr w:type="spellStart"/>
      <w:r w:rsidRPr="00E9546D">
        <w:rPr>
          <w:sz w:val="24"/>
          <w:szCs w:val="24"/>
          <w:lang w:eastAsia="fr-FR"/>
        </w:rPr>
        <w:t>Goix</w:t>
      </w:r>
      <w:proofErr w:type="spellEnd"/>
      <w:r>
        <w:rPr>
          <w:sz w:val="24"/>
          <w:szCs w:val="24"/>
          <w:lang w:eastAsia="fr-FR"/>
        </w:rPr>
        <w:t xml:space="preserve"> &amp; </w:t>
      </w:r>
      <w:proofErr w:type="spellStart"/>
      <w:r w:rsidRPr="00E9546D">
        <w:rPr>
          <w:sz w:val="24"/>
          <w:szCs w:val="24"/>
          <w:lang w:eastAsia="fr-FR"/>
        </w:rPr>
        <w:t>Noûs</w:t>
      </w:r>
      <w:proofErr w:type="spellEnd"/>
      <w:r>
        <w:rPr>
          <w:sz w:val="24"/>
          <w:szCs w:val="24"/>
          <w:lang w:eastAsia="fr-FR"/>
        </w:rPr>
        <w:t xml:space="preserve">, 2022 ; Denis, 2020 ; </w:t>
      </w:r>
      <w:r w:rsidRPr="000E5E5A">
        <w:rPr>
          <w:sz w:val="24"/>
          <w:szCs w:val="24"/>
          <w:lang w:eastAsia="fr-FR"/>
        </w:rPr>
        <w:t xml:space="preserve">Jutras, </w:t>
      </w:r>
      <w:proofErr w:type="spellStart"/>
      <w:r w:rsidRPr="000E5E5A">
        <w:rPr>
          <w:sz w:val="24"/>
          <w:szCs w:val="24"/>
          <w:lang w:eastAsia="fr-FR"/>
        </w:rPr>
        <w:t>Ntebutse</w:t>
      </w:r>
      <w:proofErr w:type="spellEnd"/>
      <w:r w:rsidRPr="000E5E5A">
        <w:rPr>
          <w:sz w:val="24"/>
          <w:szCs w:val="24"/>
          <w:lang w:eastAsia="fr-FR"/>
        </w:rPr>
        <w:t xml:space="preserve"> &amp; Louis, 2010 ; </w:t>
      </w:r>
      <w:proofErr w:type="spellStart"/>
      <w:r w:rsidRPr="000E5E5A">
        <w:rPr>
          <w:sz w:val="24"/>
          <w:szCs w:val="24"/>
          <w:lang w:eastAsia="fr-FR"/>
        </w:rPr>
        <w:t>Gremmo</w:t>
      </w:r>
      <w:proofErr w:type="spellEnd"/>
      <w:r w:rsidRPr="000E5E5A">
        <w:rPr>
          <w:sz w:val="24"/>
          <w:szCs w:val="24"/>
          <w:lang w:eastAsia="fr-FR"/>
        </w:rPr>
        <w:t xml:space="preserve"> &amp; Gérard, 2008 ; Le </w:t>
      </w:r>
      <w:proofErr w:type="spellStart"/>
      <w:r w:rsidRPr="000E5E5A">
        <w:rPr>
          <w:sz w:val="24"/>
          <w:szCs w:val="24"/>
          <w:lang w:eastAsia="fr-FR"/>
        </w:rPr>
        <w:t>Bouëdec</w:t>
      </w:r>
      <w:proofErr w:type="spellEnd"/>
      <w:r w:rsidRPr="000E5E5A">
        <w:rPr>
          <w:sz w:val="24"/>
          <w:szCs w:val="24"/>
          <w:lang w:eastAsia="fr-FR"/>
        </w:rPr>
        <w:t xml:space="preserve"> &amp; La </w:t>
      </w:r>
      <w:proofErr w:type="spellStart"/>
      <w:r w:rsidRPr="000E5E5A">
        <w:rPr>
          <w:sz w:val="24"/>
          <w:szCs w:val="24"/>
          <w:lang w:eastAsia="fr-FR"/>
        </w:rPr>
        <w:t>Garanderie</w:t>
      </w:r>
      <w:proofErr w:type="spellEnd"/>
      <w:r w:rsidRPr="000E5E5A">
        <w:rPr>
          <w:sz w:val="24"/>
          <w:szCs w:val="24"/>
          <w:lang w:eastAsia="fr-FR"/>
        </w:rPr>
        <w:t xml:space="preserve">, 1993) et, d’autre part, de travaux en littéracies universitaires centrés sur l’évaluation des écrits de recherche d’étudiants par les enseignants-chercheurs (Boch, Fanny &amp; </w:t>
      </w:r>
      <w:proofErr w:type="spellStart"/>
      <w:r w:rsidRPr="000E5E5A">
        <w:rPr>
          <w:sz w:val="24"/>
          <w:szCs w:val="24"/>
          <w:lang w:eastAsia="fr-FR"/>
        </w:rPr>
        <w:t>Sorba</w:t>
      </w:r>
      <w:proofErr w:type="spellEnd"/>
      <w:r w:rsidRPr="000E5E5A">
        <w:rPr>
          <w:sz w:val="24"/>
          <w:szCs w:val="24"/>
          <w:lang w:eastAsia="fr-FR"/>
        </w:rPr>
        <w:t xml:space="preserve">, 2022 ; Koné, 2025). La seconde phase a consisté à affiner et enrichir le guide d’entretien à la lumière des entretiens pilotes. Les principaux thèmes qui ont structuré l’entretien sont les suivants : l’expérience personnelle de l’élaboration du mémoire ; l’accompagnement de l’institution et du directeur dans la réalisation du mémoire ; la réception du discours évaluatif </w:t>
      </w:r>
      <w:r>
        <w:rPr>
          <w:sz w:val="24"/>
          <w:szCs w:val="24"/>
          <w:lang w:eastAsia="fr-FR"/>
        </w:rPr>
        <w:t xml:space="preserve">du directeur </w:t>
      </w:r>
      <w:r w:rsidRPr="000E5E5A">
        <w:rPr>
          <w:sz w:val="24"/>
          <w:szCs w:val="24"/>
          <w:lang w:eastAsia="fr-FR"/>
        </w:rPr>
        <w:t>par l’étudiant.</w:t>
      </w:r>
      <w:r>
        <w:rPr>
          <w:sz w:val="24"/>
          <w:szCs w:val="24"/>
          <w:lang w:eastAsia="fr-FR"/>
        </w:rPr>
        <w:t xml:space="preserve"> Afin de mettre en perspective certaines difficultés verbalisées par les étudiants, il leur a été également demandé la spécialité de leur directeur de mémoire. Sur les vingt (20) participants, huit (08) ont rapporté avoir été encadrés par des spécialistes de littératures (africaine ou française) alors qu’ils travaillaient sur des problématiques relevant de la didactique du français langue seconde. Au niveau institutionnel, cette situation s’explique par un problème de disponibilité de spécialistes dans les domaines concernés.</w:t>
      </w:r>
    </w:p>
    <w:p w14:paraId="150CDE95" w14:textId="77777777" w:rsidR="00D80693" w:rsidRDefault="00D80693" w:rsidP="00D80693">
      <w:pPr>
        <w:spacing w:before="60" w:after="60"/>
        <w:jc w:val="both"/>
        <w:rPr>
          <w:sz w:val="24"/>
          <w:szCs w:val="24"/>
          <w:lang w:eastAsia="fr-FR"/>
        </w:rPr>
      </w:pPr>
      <w:r w:rsidRPr="000E5E5A">
        <w:rPr>
          <w:sz w:val="24"/>
          <w:szCs w:val="24"/>
          <w:lang w:eastAsia="fr-FR"/>
        </w:rPr>
        <w:t xml:space="preserve">L’analyse des entretiens retranscrits relève </w:t>
      </w:r>
      <w:r>
        <w:rPr>
          <w:sz w:val="24"/>
          <w:szCs w:val="24"/>
          <w:lang w:eastAsia="fr-FR"/>
        </w:rPr>
        <w:t xml:space="preserve">de </w:t>
      </w:r>
      <w:r w:rsidRPr="000E5E5A">
        <w:rPr>
          <w:sz w:val="24"/>
          <w:szCs w:val="24"/>
          <w:lang w:eastAsia="fr-FR"/>
        </w:rPr>
        <w:t>l’analyse thématique</w:t>
      </w:r>
      <w:r>
        <w:rPr>
          <w:sz w:val="24"/>
          <w:szCs w:val="24"/>
          <w:lang w:eastAsia="fr-FR"/>
        </w:rPr>
        <w:t xml:space="preserve"> (</w:t>
      </w:r>
      <w:r w:rsidRPr="000E5E5A">
        <w:rPr>
          <w:sz w:val="24"/>
          <w:szCs w:val="24"/>
          <w:lang w:eastAsia="fr-FR"/>
        </w:rPr>
        <w:t xml:space="preserve">Paillé </w:t>
      </w:r>
      <w:r>
        <w:rPr>
          <w:sz w:val="24"/>
          <w:szCs w:val="24"/>
          <w:lang w:eastAsia="fr-FR"/>
        </w:rPr>
        <w:t>&amp;</w:t>
      </w:r>
      <w:r w:rsidRPr="000E5E5A">
        <w:rPr>
          <w:sz w:val="24"/>
          <w:szCs w:val="24"/>
          <w:lang w:eastAsia="fr-FR"/>
        </w:rPr>
        <w:t xml:space="preserve"> Mucchielli</w:t>
      </w:r>
      <w:r>
        <w:rPr>
          <w:sz w:val="24"/>
          <w:szCs w:val="24"/>
          <w:lang w:eastAsia="fr-FR"/>
        </w:rPr>
        <w:t xml:space="preserve">, </w:t>
      </w:r>
      <w:r w:rsidRPr="000E5E5A">
        <w:rPr>
          <w:sz w:val="24"/>
          <w:szCs w:val="24"/>
          <w:lang w:eastAsia="fr-FR"/>
        </w:rPr>
        <w:t>2016)</w:t>
      </w:r>
      <w:r>
        <w:rPr>
          <w:sz w:val="24"/>
          <w:szCs w:val="24"/>
          <w:lang w:eastAsia="fr-FR"/>
        </w:rPr>
        <w:t xml:space="preserve">. Celle-ci consiste dans un premier temps à repérer l’ensemble des thèmes abordés par l’interviewé au cours de l’entretien et à déterminer leur pertinence par rapport aux objectifs de la recherche ; dans un second temps il s’agit de documenter chaque thème repéré, c’est-à-dire d’établir son importance et les oppositions dans lesquels il rentre afin de parvenir à saisir les grandes tendances du phénomène considéré. </w:t>
      </w:r>
      <w:r w:rsidRPr="000E5E5A">
        <w:rPr>
          <w:sz w:val="24"/>
          <w:szCs w:val="24"/>
          <w:lang w:eastAsia="fr-FR"/>
        </w:rPr>
        <w:t>Après avoir rédigé une fiche par participant</w:t>
      </w:r>
      <w:r>
        <w:rPr>
          <w:sz w:val="24"/>
          <w:szCs w:val="24"/>
          <w:lang w:eastAsia="fr-FR"/>
        </w:rPr>
        <w:t xml:space="preserve">, </w:t>
      </w:r>
      <w:r w:rsidRPr="000E5E5A">
        <w:rPr>
          <w:sz w:val="24"/>
          <w:szCs w:val="24"/>
          <w:lang w:eastAsia="fr-FR"/>
        </w:rPr>
        <w:t>il a été procédé à un travail de synthèse dont l’objectif était, en délinéarisant les discours, de saisir au sein de l’échantillon des régularités.</w:t>
      </w:r>
    </w:p>
    <w:p w14:paraId="29C3BB2B" w14:textId="77777777" w:rsidR="00D80693" w:rsidRDefault="00D80693" w:rsidP="00D80693">
      <w:pPr>
        <w:spacing w:before="60" w:after="60"/>
        <w:jc w:val="both"/>
        <w:rPr>
          <w:sz w:val="24"/>
          <w:szCs w:val="24"/>
          <w:lang w:eastAsia="fr-FR"/>
        </w:rPr>
      </w:pPr>
      <w:r>
        <w:rPr>
          <w:sz w:val="24"/>
          <w:szCs w:val="24"/>
          <w:lang w:eastAsia="fr-FR"/>
        </w:rPr>
        <w:t xml:space="preserve">Il convient toutefois de souligner l’un des biais méthodologiques de cette étude : l’absence du contre-discours des directeurs. Dans une démarche de triangulation, il aurait été heuristiquement utile de croiser les perceptions verbalisées des apprentis-chercheurs avec les observations des encadrants, de sorte à mettre en évidence des zones de tensions, mais aussi à mieux contextualiser les discours des apprentis-chercheurs sur le vécu de la relation pédagogique d’encadrement. </w:t>
      </w:r>
    </w:p>
    <w:p w14:paraId="54F02D92" w14:textId="77777777" w:rsidR="00D80693" w:rsidRPr="000E5E5A" w:rsidRDefault="00D80693" w:rsidP="00D80693">
      <w:pPr>
        <w:spacing w:before="60" w:after="60"/>
        <w:jc w:val="both"/>
        <w:rPr>
          <w:sz w:val="24"/>
          <w:szCs w:val="24"/>
          <w:lang w:eastAsia="fr-FR"/>
        </w:rPr>
      </w:pPr>
      <w:r>
        <w:rPr>
          <w:sz w:val="24"/>
          <w:szCs w:val="24"/>
          <w:lang w:eastAsia="fr-FR"/>
        </w:rPr>
        <w:t xml:space="preserve">Enfin, pour des raisons éthiques, les participants ont été anonymisés par des codes d’identification, allant de E1 et à E20. Chaque extrait d’entretien introduit dans le texte pour les besoins de l’analyse est précédé ou suivi du code correspondant à son énonciateur. </w:t>
      </w:r>
    </w:p>
    <w:p w14:paraId="1D1128C9" w14:textId="77777777" w:rsidR="00D80693" w:rsidRPr="000E5E5A" w:rsidRDefault="00D80693" w:rsidP="00D80693">
      <w:pPr>
        <w:pStyle w:val="Paragraphedeliste"/>
        <w:widowControl/>
        <w:numPr>
          <w:ilvl w:val="0"/>
          <w:numId w:val="212"/>
        </w:numPr>
        <w:autoSpaceDE/>
        <w:autoSpaceDN/>
        <w:spacing w:before="0" w:after="160" w:line="259" w:lineRule="auto"/>
        <w:contextualSpacing/>
        <w:jc w:val="left"/>
        <w:rPr>
          <w:b/>
          <w:bCs/>
          <w:sz w:val="28"/>
        </w:rPr>
      </w:pPr>
      <w:r w:rsidRPr="0065773E">
        <w:rPr>
          <w:b/>
          <w:bCs/>
          <w:sz w:val="28"/>
        </w:rPr>
        <w:t>Analyse des entretiens</w:t>
      </w:r>
    </w:p>
    <w:p w14:paraId="36566C54" w14:textId="77777777" w:rsidR="00D80693" w:rsidRPr="0065773E" w:rsidRDefault="00D80693" w:rsidP="00D80693">
      <w:pPr>
        <w:pStyle w:val="Paragraphedeliste"/>
        <w:widowControl/>
        <w:numPr>
          <w:ilvl w:val="1"/>
          <w:numId w:val="212"/>
        </w:numPr>
        <w:autoSpaceDE/>
        <w:autoSpaceDN/>
        <w:spacing w:before="0" w:after="160" w:line="259" w:lineRule="auto"/>
        <w:contextualSpacing/>
        <w:jc w:val="left"/>
        <w:rPr>
          <w:sz w:val="24"/>
          <w:szCs w:val="24"/>
          <w:lang w:eastAsia="fr-FR"/>
        </w:rPr>
      </w:pPr>
      <w:r w:rsidRPr="0065773E">
        <w:rPr>
          <w:b/>
          <w:bCs/>
          <w:sz w:val="24"/>
          <w:szCs w:val="24"/>
          <w:lang w:eastAsia="fr-FR"/>
        </w:rPr>
        <w:t>Un cadre institutionnel d’encadrement peu stimulant et structurant pour les apprentis-chercheurs</w:t>
      </w:r>
    </w:p>
    <w:p w14:paraId="2C86AD08" w14:textId="77777777" w:rsidR="00D80693" w:rsidRPr="000E5E5A" w:rsidRDefault="00D80693" w:rsidP="00D80693">
      <w:pPr>
        <w:jc w:val="both"/>
        <w:rPr>
          <w:sz w:val="24"/>
          <w:szCs w:val="24"/>
          <w:lang w:eastAsia="fr-FR"/>
        </w:rPr>
      </w:pPr>
      <w:r w:rsidRPr="000E5E5A">
        <w:rPr>
          <w:sz w:val="24"/>
          <w:szCs w:val="24"/>
          <w:lang w:eastAsia="fr-FR"/>
        </w:rPr>
        <w:t xml:space="preserve">Dans les discours des apprentis-chercheurs, la mauvaise qualité de l’environnement matériel institutionnel dans lequel ils évoluent apparaît comme l’une des principales sources de leurs difficultés pendant la réalisation de leurs travaux de recherche de fin de cycle. En plus de les priver d’un espace de travail stimulant, l’absence de bibliothèque universitaire génère pour eux </w:t>
      </w:r>
      <w:r w:rsidRPr="009C6695">
        <w:rPr>
          <w:sz w:val="24"/>
          <w:szCs w:val="24"/>
          <w:lang w:eastAsia="fr-FR"/>
        </w:rPr>
        <w:t>« des difficultés à trouver de la documentation pour la revue de la littérature »</w:t>
      </w:r>
      <w:r w:rsidRPr="000E5E5A">
        <w:rPr>
          <w:sz w:val="24"/>
          <w:szCs w:val="24"/>
          <w:lang w:eastAsia="fr-FR"/>
        </w:rPr>
        <w:t xml:space="preserve"> (</w:t>
      </w:r>
      <w:r>
        <w:rPr>
          <w:sz w:val="24"/>
          <w:szCs w:val="24"/>
          <w:lang w:eastAsia="fr-FR"/>
        </w:rPr>
        <w:t>E1</w:t>
      </w:r>
      <w:r w:rsidRPr="000E5E5A">
        <w:rPr>
          <w:sz w:val="24"/>
          <w:szCs w:val="24"/>
          <w:lang w:eastAsia="fr-FR"/>
        </w:rPr>
        <w:t xml:space="preserve">). L’absence de services de documentation universitaire affecte également le développement de compétences nécessaires à la recherche, comme le souligne </w:t>
      </w:r>
      <w:r>
        <w:rPr>
          <w:sz w:val="24"/>
          <w:szCs w:val="24"/>
          <w:lang w:eastAsia="fr-FR"/>
        </w:rPr>
        <w:t>E2</w:t>
      </w:r>
      <w:r w:rsidRPr="000E5E5A">
        <w:rPr>
          <w:sz w:val="24"/>
          <w:szCs w:val="24"/>
          <w:lang w:eastAsia="fr-FR"/>
        </w:rPr>
        <w:t> </w:t>
      </w:r>
      <w:r w:rsidRPr="00A45F4A">
        <w:rPr>
          <w:sz w:val="24"/>
          <w:szCs w:val="24"/>
          <w:lang w:eastAsia="fr-FR"/>
        </w:rPr>
        <w:t>: « il y a des problèmes de comment faire la recherche ; il n’y a pas de bases de données, de documents, ni de façon physique ni euh, il n’y a pas de bibliothèque et ça, ça rend le travail très compliqué ».</w:t>
      </w:r>
      <w:r w:rsidRPr="000E5E5A">
        <w:rPr>
          <w:sz w:val="24"/>
          <w:szCs w:val="24"/>
          <w:lang w:eastAsia="fr-FR"/>
        </w:rPr>
        <w:t xml:space="preserve"> Sans bibliothèque donnant accès à des ouvrages de référence dans leurs domaines d’études ou sur leurs thèmes de recherche, les apprentis-chercheurs sont réduits à se référer à des anciens mémoires pour construire et traiter leurs objets d’étude, tout en étant conscients de la faible autorité scientifique de telles références dans leur domaine disciplinaire. Ainsi, pour </w:t>
      </w:r>
      <w:r>
        <w:rPr>
          <w:sz w:val="24"/>
          <w:szCs w:val="24"/>
          <w:lang w:eastAsia="fr-FR"/>
        </w:rPr>
        <w:t>E3</w:t>
      </w:r>
      <w:r w:rsidRPr="000E5E5A">
        <w:rPr>
          <w:sz w:val="24"/>
          <w:szCs w:val="24"/>
          <w:lang w:eastAsia="fr-FR"/>
        </w:rPr>
        <w:t xml:space="preserve">, </w:t>
      </w:r>
      <w:r w:rsidRPr="00A45F4A">
        <w:rPr>
          <w:sz w:val="24"/>
          <w:szCs w:val="24"/>
          <w:lang w:eastAsia="fr-FR"/>
        </w:rPr>
        <w:t>« en réalité, ici, on se fie plus à consulter des mémoires dans la salle des mémoires ; on est en général renvoyé vers ça ».</w:t>
      </w:r>
      <w:r w:rsidRPr="000E5E5A">
        <w:rPr>
          <w:sz w:val="24"/>
          <w:szCs w:val="24"/>
          <w:lang w:eastAsia="fr-FR"/>
        </w:rPr>
        <w:t xml:space="preserve"> Ceux qui ne se résolvent pas cependant à se satisfaire de ces références au statut scientifique et didactique incertain déploient des stratégies de compensation, consistant à solliciter l’aide documentaire d’un ami poursuivant ses études à l’étranger, comme l’explique avec dépit </w:t>
      </w:r>
      <w:r>
        <w:rPr>
          <w:sz w:val="24"/>
          <w:szCs w:val="24"/>
          <w:lang w:eastAsia="fr-FR"/>
        </w:rPr>
        <w:t>E4</w:t>
      </w:r>
      <w:r w:rsidRPr="000E5E5A">
        <w:rPr>
          <w:sz w:val="24"/>
          <w:szCs w:val="24"/>
          <w:lang w:eastAsia="fr-FR"/>
        </w:rPr>
        <w:t xml:space="preserve"> : </w:t>
      </w:r>
      <w:r w:rsidRPr="00A45F4A">
        <w:rPr>
          <w:sz w:val="24"/>
          <w:szCs w:val="24"/>
          <w:lang w:eastAsia="fr-FR"/>
        </w:rPr>
        <w:t>« donc tout ce qui est recherche documentaire, tout ce qui est lecture, on a soit des amis qui sont à l’extérieur qu’on sollicite pour qu’ils nous trouvent des documents, parfois ils partent dans des bibliothèques pour prendre des photos de documents dont on a besoin et puis ils nous envoient et voilà, donc dans l’ensemble c’est pas c’est pas fameux ».</w:t>
      </w:r>
      <w:r w:rsidRPr="000E5E5A">
        <w:rPr>
          <w:sz w:val="24"/>
          <w:szCs w:val="24"/>
          <w:lang w:eastAsia="fr-FR"/>
        </w:rPr>
        <w:t xml:space="preserve"> </w:t>
      </w:r>
    </w:p>
    <w:p w14:paraId="45A8CF91" w14:textId="77777777" w:rsidR="00D80693" w:rsidRPr="000E5E5A" w:rsidRDefault="00D80693" w:rsidP="00D80693">
      <w:pPr>
        <w:jc w:val="both"/>
        <w:rPr>
          <w:sz w:val="24"/>
          <w:szCs w:val="24"/>
          <w:lang w:eastAsia="fr-FR"/>
        </w:rPr>
      </w:pPr>
      <w:r w:rsidRPr="000E5E5A">
        <w:rPr>
          <w:sz w:val="24"/>
          <w:szCs w:val="24"/>
          <w:lang w:eastAsia="fr-FR"/>
        </w:rPr>
        <w:t xml:space="preserve">La critique de l’accompagnement institutionnel concerne également l’enseignement de la méthodologie de recherche, qui est de la responsabilité des départements au sein des facultés. Pour certains étudiants, si cet enseignement figure bien sur les maquettes de formation, il n’est pas convenablement exécuté pour différentes raisons, comme le regrette </w:t>
      </w:r>
      <w:r>
        <w:rPr>
          <w:sz w:val="24"/>
          <w:szCs w:val="24"/>
          <w:lang w:eastAsia="fr-FR"/>
        </w:rPr>
        <w:t>E5</w:t>
      </w:r>
      <w:r w:rsidRPr="000E5E5A">
        <w:rPr>
          <w:sz w:val="24"/>
          <w:szCs w:val="24"/>
          <w:lang w:eastAsia="fr-FR"/>
        </w:rPr>
        <w:t xml:space="preserve"> </w:t>
      </w:r>
      <w:r w:rsidRPr="00A45F4A">
        <w:rPr>
          <w:sz w:val="24"/>
          <w:szCs w:val="24"/>
          <w:lang w:eastAsia="fr-FR"/>
        </w:rPr>
        <w:t xml:space="preserve">: « ici au Mali, j’ai fait deux mémoires, j’ai fait un mémoire de Maitrise et un mémoire de Master, on manque beaucoup d’assistance parce qu’en amont il n’y a pas eu ces </w:t>
      </w:r>
      <w:proofErr w:type="spellStart"/>
      <w:r w:rsidRPr="00A45F4A">
        <w:rPr>
          <w:sz w:val="24"/>
          <w:szCs w:val="24"/>
          <w:lang w:eastAsia="fr-FR"/>
        </w:rPr>
        <w:t>cours-là</w:t>
      </w:r>
      <w:proofErr w:type="spellEnd"/>
      <w:r w:rsidRPr="00A45F4A">
        <w:rPr>
          <w:sz w:val="24"/>
          <w:szCs w:val="24"/>
          <w:lang w:eastAsia="fr-FR"/>
        </w:rPr>
        <w:t xml:space="preserve"> sur la méthodologie de recherche comme il faut ; donc on est orphelin de ça déjà ».</w:t>
      </w:r>
      <w:r w:rsidRPr="000E5E5A">
        <w:rPr>
          <w:sz w:val="24"/>
          <w:szCs w:val="24"/>
          <w:lang w:eastAsia="fr-FR"/>
        </w:rPr>
        <w:t xml:space="preserve"> Cette privation d’un environnement de formation propice au développement de compétences nécessaires à la recherche se traduit pour les apprentis-chercheurs par un manque de repère dans l’écriture de leur recherche. Ainsi, l’élaboration du cadre théorique </w:t>
      </w:r>
      <w:r>
        <w:rPr>
          <w:sz w:val="24"/>
          <w:szCs w:val="24"/>
          <w:lang w:eastAsia="fr-FR"/>
        </w:rPr>
        <w:t xml:space="preserve">du mémoire </w:t>
      </w:r>
      <w:r w:rsidRPr="000E5E5A">
        <w:rPr>
          <w:sz w:val="24"/>
          <w:szCs w:val="24"/>
          <w:lang w:eastAsia="fr-FR"/>
        </w:rPr>
        <w:t xml:space="preserve">apparaît dans leur discours comme étant l’une des difficultés les plus insurmontables, comme le témoigne </w:t>
      </w:r>
      <w:r>
        <w:rPr>
          <w:sz w:val="24"/>
          <w:szCs w:val="24"/>
          <w:lang w:eastAsia="fr-FR"/>
        </w:rPr>
        <w:t>E6</w:t>
      </w:r>
      <w:r w:rsidRPr="000E5E5A">
        <w:rPr>
          <w:sz w:val="24"/>
          <w:szCs w:val="24"/>
          <w:lang w:eastAsia="fr-FR"/>
        </w:rPr>
        <w:t> :</w:t>
      </w:r>
      <w:r w:rsidRPr="00A45F4A">
        <w:rPr>
          <w:sz w:val="24"/>
          <w:szCs w:val="24"/>
          <w:lang w:eastAsia="fr-FR"/>
        </w:rPr>
        <w:t xml:space="preserve"> « ce</w:t>
      </w:r>
      <w:bookmarkStart w:id="15" w:name="_Hlk200991898"/>
      <w:r w:rsidRPr="00A45F4A">
        <w:rPr>
          <w:sz w:val="24"/>
          <w:szCs w:val="24"/>
          <w:lang w:eastAsia="fr-FR"/>
        </w:rPr>
        <w:t xml:space="preserve"> qui a été le plus difficile, c’est le cadre théorique ; c’est tout ! Je ne peux pas développer le cadre théorique (rires) ; le cadre théorique, c’est </w:t>
      </w:r>
      <w:proofErr w:type="spellStart"/>
      <w:r w:rsidRPr="00A45F4A">
        <w:rPr>
          <w:sz w:val="24"/>
          <w:szCs w:val="24"/>
          <w:lang w:eastAsia="fr-FR"/>
        </w:rPr>
        <w:t>euh</w:t>
      </w:r>
      <w:proofErr w:type="spellEnd"/>
      <w:r w:rsidRPr="00A45F4A">
        <w:rPr>
          <w:sz w:val="24"/>
          <w:szCs w:val="24"/>
          <w:lang w:eastAsia="fr-FR"/>
        </w:rPr>
        <w:t xml:space="preserve"> pour moi, c’est </w:t>
      </w:r>
      <w:proofErr w:type="spellStart"/>
      <w:r w:rsidRPr="00A45F4A">
        <w:rPr>
          <w:sz w:val="24"/>
          <w:szCs w:val="24"/>
          <w:lang w:eastAsia="fr-FR"/>
        </w:rPr>
        <w:t>euh</w:t>
      </w:r>
      <w:proofErr w:type="spellEnd"/>
      <w:r w:rsidRPr="00A45F4A">
        <w:rPr>
          <w:sz w:val="24"/>
          <w:szCs w:val="24"/>
          <w:lang w:eastAsia="fr-FR"/>
        </w:rPr>
        <w:t>, c’est la partie de mon mémoire qui m’a vraiment, vraiment fatiguée parce que euh toutes les difficultés que je viens de recenser je les ai eues, je les ai connues dans le cadre théorique, par exemple comment citer les auteurs ? Ou les trouver ? Même si on lit, quelle partie du livre prendre ? Comment prendre ? Où prendre ? Comment les mentionner ? Comment les citer ? C’est-à-dire vraiment, le cadre théorique, où aller, comment circonscrire le cadre théorique, comment faire pour ne pas déborder ? Comment faire pour ne pas aller dans tous les sens ? ».</w:t>
      </w:r>
      <w:r w:rsidRPr="000E5E5A">
        <w:rPr>
          <w:sz w:val="24"/>
          <w:szCs w:val="24"/>
          <w:lang w:eastAsia="fr-FR"/>
        </w:rPr>
        <w:t xml:space="preserve"> Les nombreux questionnements auxquels se livre cette apprentie-chercheuse signalent en effet une perte de repère concernant à la fois la sélection des références à mobiliser pour construire et traiter son objet de recherche, la manière de traiter et d’analyser le contenu de ces références, la gestion du discours d’autrui et la capacité à en faire des synthèses critiques en fonction de la problématique de la recherche. S’il relève du rôle du directeur d’apprendre aux apprentis-chercheurs à sélectionner et à traiter les discours théoriques en lien avec leurs objets d’étude dans un champ donné, c’est d’abord aux départements qu’il incombe d’asseoir les bases de cet apprentissage, par le biais notamment de dispositifs d’initiation à la recherche et à son écriture. </w:t>
      </w:r>
      <w:bookmarkEnd w:id="15"/>
    </w:p>
    <w:p w14:paraId="782FC856" w14:textId="77777777" w:rsidR="00D80693" w:rsidRPr="000E5E5A" w:rsidRDefault="00D80693" w:rsidP="00D80693">
      <w:pPr>
        <w:jc w:val="both"/>
        <w:rPr>
          <w:sz w:val="24"/>
          <w:szCs w:val="24"/>
          <w:lang w:eastAsia="fr-FR"/>
        </w:rPr>
      </w:pPr>
      <w:r w:rsidRPr="000E5E5A">
        <w:rPr>
          <w:sz w:val="24"/>
          <w:szCs w:val="24"/>
          <w:lang w:eastAsia="fr-FR"/>
        </w:rPr>
        <w:t xml:space="preserve">Les apprentis-chercheurs imputent aussi en partie leurs difficultés à structurer leurs mémoires aux insuffisances des apports didactiques du cours de méthodologie de recherche. Ainsi, évoquant de telles difficultés, </w:t>
      </w:r>
      <w:r>
        <w:rPr>
          <w:sz w:val="24"/>
          <w:szCs w:val="24"/>
          <w:lang w:eastAsia="fr-FR"/>
        </w:rPr>
        <w:t>E7</w:t>
      </w:r>
      <w:r w:rsidRPr="000E5E5A">
        <w:rPr>
          <w:sz w:val="24"/>
          <w:szCs w:val="24"/>
          <w:lang w:eastAsia="fr-FR"/>
        </w:rPr>
        <w:t xml:space="preserve"> se demande s’il ne revenait pas au cours de méthodologie de le préparer à choisir un ordre d’exposition de sa recherche, fondé sur des critères objectivables </w:t>
      </w:r>
      <w:r w:rsidRPr="00A45F4A">
        <w:rPr>
          <w:sz w:val="24"/>
          <w:szCs w:val="24"/>
          <w:lang w:eastAsia="fr-FR"/>
        </w:rPr>
        <w:t>: « comment structurer les chapitres ? Comment les agencer ? C’est-à-dire est-ce que la position des chapitres va suivre un ordre défini ou bien si on met les chapitres en fonction de notre pressenti ? Ça, c’est vraiment quelque chose de vraiment difficile pour moi et je me demande si c’est le cours de méthodologie qui devait nous le dire ou on le fait à l’intuition ».</w:t>
      </w:r>
      <w:r w:rsidRPr="000E5E5A">
        <w:rPr>
          <w:sz w:val="24"/>
          <w:szCs w:val="24"/>
          <w:lang w:eastAsia="fr-FR"/>
        </w:rPr>
        <w:t xml:space="preserve"> L’ensemble de ces interrogations épingle des enjeux didactiques cruciaux, touchant notamment à l’argumentation scientifique et à sa construction textuelle. Participant à la mise en valeur du raisonnement de l’auteur au niveau </w:t>
      </w:r>
      <w:proofErr w:type="spellStart"/>
      <w:r w:rsidRPr="000E5E5A">
        <w:rPr>
          <w:sz w:val="24"/>
          <w:szCs w:val="24"/>
          <w:lang w:eastAsia="fr-FR"/>
        </w:rPr>
        <w:t>macrotextuel</w:t>
      </w:r>
      <w:proofErr w:type="spellEnd"/>
      <w:r w:rsidRPr="000E5E5A">
        <w:rPr>
          <w:sz w:val="24"/>
          <w:szCs w:val="24"/>
          <w:lang w:eastAsia="fr-FR"/>
        </w:rPr>
        <w:t xml:space="preserve">, la structure textuelle du mémoire est en soi une construction rhétorique dont l’apprentissage requiert un accompagnement pédagogique approprié. </w:t>
      </w:r>
    </w:p>
    <w:p w14:paraId="5C258333" w14:textId="77777777" w:rsidR="00D80693" w:rsidRPr="000E5E5A" w:rsidRDefault="00D80693" w:rsidP="00D80693">
      <w:pPr>
        <w:jc w:val="both"/>
        <w:rPr>
          <w:sz w:val="24"/>
          <w:szCs w:val="24"/>
          <w:lang w:eastAsia="fr-FR"/>
        </w:rPr>
      </w:pPr>
      <w:r w:rsidRPr="000E5E5A">
        <w:rPr>
          <w:sz w:val="24"/>
          <w:szCs w:val="24"/>
          <w:lang w:eastAsia="fr-FR"/>
        </w:rPr>
        <w:t xml:space="preserve">La remise en cause des apports du cours de méthodologie à la réalisation du mémoire se manifeste également à travers la critique formulée contre la progression pédagogique proposée dans certains cursus de Master. Dans cette progression, la méthodologie de recherche est le premier enseignement dispensé au premier semestre du Master, un choix pédagogique qui n’aide pas les étudiants à réinvestir les acquis du cours dans la réalisation du mémoire, qui ne commence qu’à partir du dernier semestre. Ainsi, pour </w:t>
      </w:r>
      <w:r>
        <w:rPr>
          <w:sz w:val="24"/>
          <w:szCs w:val="24"/>
          <w:lang w:eastAsia="fr-FR"/>
        </w:rPr>
        <w:t>E8</w:t>
      </w:r>
      <w:r w:rsidRPr="000E5E5A">
        <w:rPr>
          <w:sz w:val="24"/>
          <w:szCs w:val="24"/>
          <w:lang w:eastAsia="fr-FR"/>
        </w:rPr>
        <w:t xml:space="preserve">, </w:t>
      </w:r>
      <w:r w:rsidRPr="00A45F4A">
        <w:rPr>
          <w:sz w:val="24"/>
          <w:szCs w:val="24"/>
          <w:lang w:eastAsia="fr-FR"/>
        </w:rPr>
        <w:t xml:space="preserve">« tout cela [les difficultés scientifiques rencontrées] est dû au cours, peut-être au cours, à la manière dont le cours de méthodologie a été fait ; quand on faisait le cours de méthodologie, je n’étais pas encore dans l’écriture ; si j’étais dans l’écriture, là j’allais voir l’importance de tous les chapitres qu’on avait faits lors de ce </w:t>
      </w:r>
      <w:proofErr w:type="spellStart"/>
      <w:r w:rsidRPr="00A45F4A">
        <w:rPr>
          <w:sz w:val="24"/>
          <w:szCs w:val="24"/>
          <w:lang w:eastAsia="fr-FR"/>
        </w:rPr>
        <w:t>cours-là</w:t>
      </w:r>
      <w:proofErr w:type="spellEnd"/>
      <w:r w:rsidRPr="00A45F4A">
        <w:rPr>
          <w:sz w:val="24"/>
          <w:szCs w:val="24"/>
          <w:lang w:eastAsia="fr-FR"/>
        </w:rPr>
        <w:t xml:space="preserve"> ; mais puisque en ce moment je n’avais même pas idée de mon thème de mémoire, donc je n’ai pas vraiment compris ce </w:t>
      </w:r>
      <w:proofErr w:type="spellStart"/>
      <w:r w:rsidRPr="00A45F4A">
        <w:rPr>
          <w:sz w:val="24"/>
          <w:szCs w:val="24"/>
          <w:lang w:eastAsia="fr-FR"/>
        </w:rPr>
        <w:t>cours-là</w:t>
      </w:r>
      <w:proofErr w:type="spellEnd"/>
      <w:r w:rsidRPr="00A45F4A">
        <w:rPr>
          <w:sz w:val="24"/>
          <w:szCs w:val="24"/>
          <w:lang w:eastAsia="fr-FR"/>
        </w:rPr>
        <w:t> ; et après quand j’ai commencé le mémoire, j’étais vraiment obligée de revenir chaque fois chercher comment citer, comment écrire telle ou telle partie, donc ce sont des choses qui posent problème ».</w:t>
      </w:r>
      <w:r w:rsidRPr="000E5E5A">
        <w:rPr>
          <w:lang w:eastAsia="fr-FR"/>
        </w:rPr>
        <w:t xml:space="preserve"> </w:t>
      </w:r>
      <w:r w:rsidRPr="000E5E5A">
        <w:rPr>
          <w:sz w:val="24"/>
          <w:szCs w:val="24"/>
          <w:lang w:eastAsia="fr-FR"/>
        </w:rPr>
        <w:t>Si le cours de</w:t>
      </w:r>
      <w:r w:rsidRPr="000E5E5A">
        <w:rPr>
          <w:lang w:eastAsia="fr-FR"/>
        </w:rPr>
        <w:t xml:space="preserve"> </w:t>
      </w:r>
      <w:r w:rsidRPr="000E5E5A">
        <w:rPr>
          <w:sz w:val="24"/>
          <w:szCs w:val="24"/>
          <w:lang w:eastAsia="fr-FR"/>
        </w:rPr>
        <w:t>méthodologie de recherche n’a pas vocation à traiter des problématiques spécifiques à l’écriture de la recherche comme celles exprimées dans l’extrait, il n’empêche que les étudiants nourrissent à son égard de fortes attentes, ce qui implique de repenser son enseignement au sein des parcours de Master proposés.</w:t>
      </w:r>
    </w:p>
    <w:p w14:paraId="26273463" w14:textId="77777777" w:rsidR="00D80693" w:rsidRPr="000E5E5A" w:rsidRDefault="00D80693" w:rsidP="00D80693">
      <w:pPr>
        <w:spacing w:before="60" w:after="60"/>
        <w:jc w:val="both"/>
        <w:rPr>
          <w:sz w:val="24"/>
          <w:szCs w:val="24"/>
          <w:lang w:eastAsia="fr-FR"/>
        </w:rPr>
      </w:pPr>
      <w:r w:rsidRPr="000E5E5A">
        <w:rPr>
          <w:sz w:val="24"/>
          <w:szCs w:val="24"/>
          <w:lang w:eastAsia="fr-FR"/>
        </w:rPr>
        <w:t>Enfin, l’insatisfaction des étudiants vis-à-vis de l’accompagnement institutionnel concerne l’imposition du directeur de mémoire par les départements ou directions des masters, lesquels repartissent les étudiants d’une même cohorte entre les enseignants-chercheurs en fonction de leurs propositions de thèmes de recherche. Si une telle pratique institutionnelle garantit à chaque étudiant la certitude d’avoir un directeur</w:t>
      </w:r>
      <w:r>
        <w:rPr>
          <w:sz w:val="24"/>
          <w:szCs w:val="24"/>
          <w:lang w:eastAsia="fr-FR"/>
        </w:rPr>
        <w:t xml:space="preserve"> au sein de l’équipe pédagogique</w:t>
      </w:r>
      <w:r w:rsidRPr="000E5E5A">
        <w:rPr>
          <w:sz w:val="24"/>
          <w:szCs w:val="24"/>
          <w:lang w:eastAsia="fr-FR"/>
        </w:rPr>
        <w:t xml:space="preserve">, elle affecte cependant la relation d’encadrement, notamment l’engagement du directeur dans l’accompagnement scientifique de l’étudiant. Cet engagement peut être affecté par différents facteurs, en l’occurrence le désintérêt scientifique du directeur vis-à-vis du thème de recherche choisi par l’étudiant ou une surcharge de travail ne lui permettant pas de ménager du temps pour ses étudiants. C’est ce dernier facteur qui est récurrent dans les discours des apprentis-chercheurs, comme le pointe l’extrait suivant : </w:t>
      </w:r>
      <w:r w:rsidRPr="00A45F4A">
        <w:rPr>
          <w:sz w:val="24"/>
          <w:szCs w:val="24"/>
          <w:lang w:eastAsia="fr-FR"/>
        </w:rPr>
        <w:t xml:space="preserve">« ma directrice de mémoire n’avait pas le temps, elle me l’a fait savoir clairement, j’ai dû attendre 4 mois pour avoir un premier rendez-vous qui n’a même pas duré </w:t>
      </w:r>
      <w:r>
        <w:rPr>
          <w:sz w:val="24"/>
          <w:szCs w:val="24"/>
          <w:lang w:eastAsia="fr-FR"/>
        </w:rPr>
        <w:t>vingt</w:t>
      </w:r>
      <w:r w:rsidRPr="00A45F4A">
        <w:rPr>
          <w:sz w:val="24"/>
          <w:szCs w:val="24"/>
          <w:lang w:eastAsia="fr-FR"/>
        </w:rPr>
        <w:t xml:space="preserve"> minutes ; et quand elle a eu le temps pour moi encore c’était des travaux de 10 à 15 pages qui prenaient littéralement quatre semaines, cinq semaines pour être corrigés, et après tout ce temps, quand je la voyait, elle n’avait pas corrigé le travail pour au moins me dire telle partie il faut la changer, telle partie il faut l’améliorer, telle partie il faut la garder ; c’est séance tenante qu’elle essaie de griffonner des choses sur le papier et me le rendre ; donc ce qui devrait être un simple compte rendu à la base devient un travail de correction improvisé en face à face » </w:t>
      </w:r>
      <w:r w:rsidRPr="000E5E5A">
        <w:rPr>
          <w:sz w:val="24"/>
          <w:szCs w:val="24"/>
          <w:lang w:eastAsia="fr-FR"/>
        </w:rPr>
        <w:t>(</w:t>
      </w:r>
      <w:r>
        <w:rPr>
          <w:sz w:val="24"/>
          <w:szCs w:val="24"/>
          <w:lang w:eastAsia="fr-FR"/>
        </w:rPr>
        <w:t>E9</w:t>
      </w:r>
      <w:r w:rsidRPr="000E5E5A">
        <w:rPr>
          <w:sz w:val="24"/>
          <w:szCs w:val="24"/>
          <w:lang w:eastAsia="fr-FR"/>
        </w:rPr>
        <w:t>). L’absence de liberté dans le choix du partenaire de la relation pédagogique d’encadrement du mémoire explique ainsi en partie certaines difficultés des apprentis-chercheurs avec leur directeur. C’est à cette dimension duale de la relation d’encadrement du mémoire qu’est consacrée la section suivante.</w:t>
      </w:r>
    </w:p>
    <w:p w14:paraId="49119347" w14:textId="77777777" w:rsidR="00D80693" w:rsidRPr="0065773E" w:rsidRDefault="00D80693" w:rsidP="00D80693">
      <w:pPr>
        <w:pStyle w:val="Paragraphedeliste"/>
        <w:widowControl/>
        <w:numPr>
          <w:ilvl w:val="1"/>
          <w:numId w:val="215"/>
        </w:numPr>
        <w:autoSpaceDE/>
        <w:autoSpaceDN/>
        <w:spacing w:before="60" w:after="60"/>
        <w:contextualSpacing/>
        <w:rPr>
          <w:b/>
          <w:bCs/>
          <w:sz w:val="24"/>
          <w:szCs w:val="24"/>
          <w:lang w:eastAsia="fr-FR"/>
        </w:rPr>
      </w:pPr>
      <w:r>
        <w:rPr>
          <w:b/>
          <w:bCs/>
          <w:sz w:val="24"/>
          <w:szCs w:val="24"/>
          <w:lang w:eastAsia="fr-FR"/>
        </w:rPr>
        <w:t xml:space="preserve"> </w:t>
      </w:r>
      <w:r w:rsidRPr="0065773E">
        <w:rPr>
          <w:b/>
          <w:bCs/>
          <w:sz w:val="24"/>
          <w:szCs w:val="24"/>
          <w:lang w:eastAsia="fr-FR"/>
        </w:rPr>
        <w:t>Des pratiques d’encadrement peu formatrices</w:t>
      </w:r>
    </w:p>
    <w:p w14:paraId="424BF86A" w14:textId="77777777" w:rsidR="00D80693" w:rsidRPr="0065773E" w:rsidRDefault="00D80693" w:rsidP="00D80693">
      <w:pPr>
        <w:pStyle w:val="Paragraphedeliste"/>
        <w:widowControl/>
        <w:numPr>
          <w:ilvl w:val="2"/>
          <w:numId w:val="215"/>
        </w:numPr>
        <w:autoSpaceDE/>
        <w:autoSpaceDN/>
        <w:spacing w:before="0" w:after="160" w:line="259" w:lineRule="auto"/>
        <w:ind w:left="851"/>
        <w:contextualSpacing/>
        <w:jc w:val="left"/>
        <w:rPr>
          <w:b/>
          <w:bCs/>
          <w:sz w:val="24"/>
          <w:szCs w:val="24"/>
          <w:lang w:eastAsia="fr-FR"/>
        </w:rPr>
      </w:pPr>
      <w:r w:rsidRPr="0065773E">
        <w:rPr>
          <w:b/>
          <w:bCs/>
          <w:sz w:val="24"/>
          <w:szCs w:val="24"/>
          <w:lang w:eastAsia="fr-FR"/>
        </w:rPr>
        <w:t>Une relation hiérarchique distante nuisible à la qualité pédagogique de l’encadrement</w:t>
      </w:r>
    </w:p>
    <w:p w14:paraId="7785CA61"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Si certains apprentis-chercheurs sont lucides </w:t>
      </w:r>
      <w:r>
        <w:rPr>
          <w:sz w:val="24"/>
          <w:szCs w:val="24"/>
          <w:lang w:eastAsia="fr-FR"/>
        </w:rPr>
        <w:t>quant au</w:t>
      </w:r>
      <w:r w:rsidRPr="000E5E5A">
        <w:rPr>
          <w:sz w:val="24"/>
          <w:szCs w:val="24"/>
          <w:lang w:eastAsia="fr-FR"/>
        </w:rPr>
        <w:t xml:space="preserve"> caractère non contractuel du soutien psychologique du directeur, en reconnaissant par exemple que celui-ci « n’est pas un baby-sitter » (</w:t>
      </w:r>
      <w:r>
        <w:rPr>
          <w:sz w:val="24"/>
          <w:szCs w:val="24"/>
          <w:lang w:eastAsia="fr-FR"/>
        </w:rPr>
        <w:t>E10</w:t>
      </w:r>
      <w:r w:rsidRPr="000E5E5A">
        <w:rPr>
          <w:sz w:val="24"/>
          <w:szCs w:val="24"/>
          <w:lang w:eastAsia="fr-FR"/>
        </w:rPr>
        <w:t xml:space="preserve">), ils vivent mal cependant la distance relationnelle imposée par leurs directeurs. Cette distance se traduit essentiellement par l’inaccessibilité du directeur, due à l’absence de communication. L’impossibilité de communiquer avec son directeur, par quel que canal que ce soit, pour partager avec lui certaines de ses difficultés est émotionnellement vécue comme source de frustration et de déstabilisation, ainsi que l’exprime </w:t>
      </w:r>
      <w:r>
        <w:rPr>
          <w:sz w:val="24"/>
          <w:szCs w:val="24"/>
          <w:lang w:eastAsia="fr-FR"/>
        </w:rPr>
        <w:t>E11</w:t>
      </w:r>
      <w:r w:rsidRPr="000E5E5A">
        <w:rPr>
          <w:sz w:val="24"/>
          <w:szCs w:val="24"/>
          <w:lang w:eastAsia="fr-FR"/>
        </w:rPr>
        <w:t xml:space="preserve"> : </w:t>
      </w:r>
      <w:r w:rsidRPr="00A45F4A">
        <w:rPr>
          <w:sz w:val="24"/>
          <w:szCs w:val="24"/>
          <w:lang w:eastAsia="fr-FR"/>
        </w:rPr>
        <w:t>« ce qui m’a le plus choqué, c’est quand un directeur de mémoire dit qu’il ne veut pas de contact avec son étudiant qu’il encadre tant que lui il ne l’aura pas décidé, sans donner de détails par rapport à cela, sans justification ; un jour, je l’ai appelé, parce que j’avais un blocage, il m’a hurlé dessus comme si euh si, si euh je ne saurais même pas qualifier cela ; même sur son enfant, on ne crierait pas comme ça ; il m’a dit « il ne faut pas m’appeler ! » ; je me suis dit au moins il aurait pu me dire « je suis occupé ; laisse-moi un message par mail, par SMS ou WhatsApp et je te reviendrais » ; mais non ! il m’a traité comme si je n’étais rien ».</w:t>
      </w:r>
      <w:r w:rsidRPr="000E5E5A">
        <w:rPr>
          <w:sz w:val="24"/>
          <w:szCs w:val="24"/>
          <w:lang w:eastAsia="fr-FR"/>
        </w:rPr>
        <w:t xml:space="preserve"> Ces sentiments d’humiliation et de rabaissement suscités par l</w:t>
      </w:r>
      <w:r>
        <w:rPr>
          <w:sz w:val="24"/>
          <w:szCs w:val="24"/>
          <w:lang w:eastAsia="fr-FR"/>
        </w:rPr>
        <w:t>e désintérêt</w:t>
      </w:r>
      <w:r w:rsidRPr="000E5E5A">
        <w:rPr>
          <w:sz w:val="24"/>
          <w:szCs w:val="24"/>
          <w:lang w:eastAsia="fr-FR"/>
        </w:rPr>
        <w:t xml:space="preserve"> du directeur </w:t>
      </w:r>
      <w:r>
        <w:rPr>
          <w:sz w:val="24"/>
          <w:szCs w:val="24"/>
          <w:lang w:eastAsia="fr-FR"/>
        </w:rPr>
        <w:t xml:space="preserve">vis-à-vis de son étudiant </w:t>
      </w:r>
      <w:r w:rsidRPr="000E5E5A">
        <w:rPr>
          <w:sz w:val="24"/>
          <w:szCs w:val="24"/>
          <w:lang w:eastAsia="fr-FR"/>
        </w:rPr>
        <w:t xml:space="preserve">ajoutent sans doute au désarroi </w:t>
      </w:r>
      <w:r>
        <w:rPr>
          <w:sz w:val="24"/>
          <w:szCs w:val="24"/>
          <w:lang w:eastAsia="fr-FR"/>
        </w:rPr>
        <w:t>de ce dernier</w:t>
      </w:r>
      <w:r w:rsidRPr="000E5E5A">
        <w:rPr>
          <w:sz w:val="24"/>
          <w:szCs w:val="24"/>
          <w:lang w:eastAsia="fr-FR"/>
        </w:rPr>
        <w:t xml:space="preserve"> en quête de réponses à ses difficultés scientifiques. En interdisant à ces étudiants l’initiative d’entrer en communication avec lui sans leur fournir en compensation un calendrier de rencontres individuelles ou collectives, le directeur instaure un climat de travail défavorable à l’autonomisation intellectuelle et scientifique de l’étudiant, laquelle constitue pourtant l’une des finalités du contrat pédagogique de l’encadrement de mémoire. Ce style d’encadrement, que Tchagnaou (2024 : 43) qualifie de « glacial » du fait de l’absence de communication qui le caractérise, a conduit certains étudiants interviewés à changer de directeur sans pour autant que ce changement de direction ne contribue ni à leur formation à la recherche ni à l’amélioration du produit fini de leurs recherches, ce que regrette </w:t>
      </w:r>
      <w:r w:rsidRPr="00B66560">
        <w:rPr>
          <w:sz w:val="24"/>
          <w:szCs w:val="24"/>
          <w:lang w:eastAsia="fr-FR"/>
        </w:rPr>
        <w:t>Patrice</w:t>
      </w:r>
      <w:r w:rsidRPr="000E5E5A">
        <w:rPr>
          <w:sz w:val="24"/>
          <w:szCs w:val="24"/>
          <w:lang w:eastAsia="fr-FR"/>
        </w:rPr>
        <w:t xml:space="preserve"> : </w:t>
      </w:r>
      <w:r w:rsidRPr="00A45F4A">
        <w:rPr>
          <w:sz w:val="24"/>
          <w:szCs w:val="24"/>
          <w:lang w:eastAsia="fr-FR"/>
        </w:rPr>
        <w:t>« après une année sans réelles avancées, j’ai dû changer de directeur, et le second sur lequel on m’a, à qui on m’a confié, lui il a eu je dirais un moyen de se débarrasser de moi ; il m’a fait imprimer ce que j’avais déjà fait avec l’autre prof sans pour autant vérifier même la méthodologie de recherche alors que ça c’est, je pense, c’est le cœur du mémoire, s’il n’y a pas de méthodologie, il n’y a pas de mémoire ».</w:t>
      </w:r>
      <w:r w:rsidRPr="000E5E5A">
        <w:rPr>
          <w:sz w:val="24"/>
          <w:szCs w:val="24"/>
          <w:lang w:eastAsia="fr-FR"/>
        </w:rPr>
        <w:t xml:space="preserve"> Cette frustration de l’étudiant, due au désintérêt de ses deux différents directeurs </w:t>
      </w:r>
      <w:r>
        <w:rPr>
          <w:sz w:val="24"/>
          <w:szCs w:val="24"/>
          <w:lang w:eastAsia="fr-FR"/>
        </w:rPr>
        <w:t>à l’égard</w:t>
      </w:r>
      <w:r w:rsidRPr="000E5E5A">
        <w:rPr>
          <w:sz w:val="24"/>
          <w:szCs w:val="24"/>
          <w:lang w:eastAsia="fr-FR"/>
        </w:rPr>
        <w:t xml:space="preserve"> de </w:t>
      </w:r>
      <w:r>
        <w:rPr>
          <w:sz w:val="24"/>
          <w:szCs w:val="24"/>
          <w:lang w:eastAsia="fr-FR"/>
        </w:rPr>
        <w:t xml:space="preserve">sa personne et de </w:t>
      </w:r>
      <w:r w:rsidRPr="000E5E5A">
        <w:rPr>
          <w:sz w:val="24"/>
          <w:szCs w:val="24"/>
          <w:lang w:eastAsia="fr-FR"/>
        </w:rPr>
        <w:t>son travail, invite à une prise en compte institutionnelle des effets délétères de l’imposition des directions de mémoire et de certaines pratiques d’encadrement</w:t>
      </w:r>
      <w:r>
        <w:rPr>
          <w:sz w:val="24"/>
          <w:szCs w:val="24"/>
          <w:lang w:eastAsia="fr-FR"/>
        </w:rPr>
        <w:t xml:space="preserve"> négligentes</w:t>
      </w:r>
      <w:r w:rsidRPr="000E5E5A">
        <w:rPr>
          <w:sz w:val="24"/>
          <w:szCs w:val="24"/>
          <w:lang w:eastAsia="fr-FR"/>
        </w:rPr>
        <w:t>.</w:t>
      </w:r>
    </w:p>
    <w:p w14:paraId="62B1DD34" w14:textId="77777777" w:rsidR="00D80693" w:rsidRPr="0065773E" w:rsidRDefault="00D80693" w:rsidP="00D80693">
      <w:pPr>
        <w:pStyle w:val="Paragraphedeliste"/>
        <w:widowControl/>
        <w:numPr>
          <w:ilvl w:val="2"/>
          <w:numId w:val="215"/>
        </w:numPr>
        <w:autoSpaceDE/>
        <w:autoSpaceDN/>
        <w:spacing w:before="0" w:after="160" w:line="259" w:lineRule="auto"/>
        <w:ind w:left="851"/>
        <w:contextualSpacing/>
        <w:jc w:val="left"/>
        <w:rPr>
          <w:b/>
          <w:bCs/>
          <w:sz w:val="24"/>
          <w:szCs w:val="24"/>
          <w:lang w:eastAsia="fr-FR"/>
        </w:rPr>
      </w:pPr>
      <w:r>
        <w:rPr>
          <w:b/>
          <w:bCs/>
          <w:sz w:val="24"/>
          <w:szCs w:val="24"/>
          <w:lang w:eastAsia="fr-FR"/>
        </w:rPr>
        <w:t xml:space="preserve"> </w:t>
      </w:r>
      <w:r w:rsidRPr="0065773E">
        <w:rPr>
          <w:b/>
          <w:bCs/>
          <w:sz w:val="24"/>
          <w:szCs w:val="24"/>
          <w:lang w:eastAsia="fr-FR"/>
        </w:rPr>
        <w:t>Absence d’aide scientifique du directeur et stratégies compensatoires des étudiants</w:t>
      </w:r>
    </w:p>
    <w:p w14:paraId="5C7FF85E" w14:textId="77777777" w:rsidR="00D80693" w:rsidRPr="00A45F4A" w:rsidRDefault="00D80693" w:rsidP="00D80693">
      <w:pPr>
        <w:spacing w:before="60" w:after="60"/>
        <w:jc w:val="both"/>
        <w:rPr>
          <w:sz w:val="24"/>
          <w:szCs w:val="24"/>
          <w:lang w:eastAsia="fr-FR"/>
        </w:rPr>
      </w:pPr>
      <w:r w:rsidRPr="000E5E5A">
        <w:rPr>
          <w:sz w:val="24"/>
          <w:szCs w:val="24"/>
          <w:lang w:eastAsia="fr-FR"/>
        </w:rPr>
        <w:t>La distance relationnelle du directeur s’accompagne souvent de l’absence de toute aide scientifique vis-à-vis de l’étudiant. Face à une telle situation, les apprentis-chercheurs développent une stratégie compensatoire</w:t>
      </w:r>
      <w:r>
        <w:rPr>
          <w:sz w:val="24"/>
          <w:szCs w:val="24"/>
          <w:lang w:eastAsia="fr-FR"/>
        </w:rPr>
        <w:t>,</w:t>
      </w:r>
      <w:r w:rsidRPr="000E5E5A">
        <w:rPr>
          <w:sz w:val="24"/>
          <w:szCs w:val="24"/>
          <w:lang w:eastAsia="fr-FR"/>
        </w:rPr>
        <w:t xml:space="preserve"> consistant à recourir à l’aide d’autres étudiants ayant des compétences pour leur venir en aide sur des points précis. Ainsi, pour pallier le manque d’accompagnement de son directeur en matière de gestion du discours d’autrui, </w:t>
      </w:r>
      <w:r>
        <w:rPr>
          <w:sz w:val="24"/>
          <w:szCs w:val="24"/>
          <w:lang w:eastAsia="fr-FR"/>
        </w:rPr>
        <w:t>E12</w:t>
      </w:r>
      <w:r w:rsidRPr="000E5E5A">
        <w:rPr>
          <w:sz w:val="24"/>
          <w:szCs w:val="24"/>
          <w:lang w:eastAsia="fr-FR"/>
        </w:rPr>
        <w:t xml:space="preserve"> a dû se rabattre sur certains de ses pairs de la même cohorte, lesquels </w:t>
      </w:r>
      <w:r w:rsidRPr="00A45F4A">
        <w:rPr>
          <w:sz w:val="24"/>
          <w:szCs w:val="24"/>
          <w:lang w:eastAsia="fr-FR"/>
        </w:rPr>
        <w:t xml:space="preserve">« [l]’ont beaucoup aidé, en [lui] expliquant par exemple comment on cite dans le mémoire, parce que chaque fois mon directeur disait « mal dit ! mal dit ! » sans donner des explications ; donc j’ai demandé à des camarades et ils m’ont expliqué ». </w:t>
      </w:r>
    </w:p>
    <w:p w14:paraId="34681E3E"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En plus du cercle amical qui fonctionne ainsi comme lieu d’apprentissage informel de la recherche académique, les apprentis-chercheurs manquant de soutien scientifique de la part de leurs directeurs ont recours à d’autres enseignants-chercheurs, comme le souligne </w:t>
      </w:r>
      <w:r>
        <w:rPr>
          <w:sz w:val="24"/>
          <w:szCs w:val="24"/>
          <w:lang w:eastAsia="fr-FR"/>
        </w:rPr>
        <w:t>E13</w:t>
      </w:r>
      <w:r w:rsidRPr="000E5E5A">
        <w:rPr>
          <w:sz w:val="24"/>
          <w:szCs w:val="24"/>
          <w:lang w:eastAsia="fr-FR"/>
        </w:rPr>
        <w:t xml:space="preserve"> : </w:t>
      </w:r>
      <w:r w:rsidRPr="00A45F4A">
        <w:rPr>
          <w:sz w:val="24"/>
          <w:szCs w:val="24"/>
          <w:lang w:eastAsia="fr-FR"/>
        </w:rPr>
        <w:t>«</w:t>
      </w:r>
      <w:r>
        <w:rPr>
          <w:sz w:val="24"/>
          <w:szCs w:val="24"/>
          <w:lang w:eastAsia="fr-FR"/>
        </w:rPr>
        <w:t> </w:t>
      </w:r>
      <w:r w:rsidRPr="00A45F4A">
        <w:rPr>
          <w:sz w:val="24"/>
          <w:szCs w:val="24"/>
          <w:lang w:eastAsia="fr-FR"/>
        </w:rPr>
        <w:t>disponible ? Non ! Mon directeur ne l’a pas été ; il ne l’a pas été ; j’ai pratiquement fait tout mon travail qu’avec d’autres professeurs ; mais lui, il n’était pas là, il n’a joué pratiquement aucun rôle puisqu’il n’était pas là ; moi je faisais mon travail et je venais pour le voir, c’était un problème ; je faisais lire ma production à d’autres professeurs ; c’est eux qui me relisaient et me disaient « fais ceci, fais cela », ainsi de suite ; je me suis débrouillé comme ça jusqu’à la fin ; il ne m’a jamais accordé 5 minutes de discussion, jamais ! pendant 8 mois ».</w:t>
      </w:r>
      <w:r w:rsidRPr="000E5E5A">
        <w:rPr>
          <w:sz w:val="24"/>
          <w:szCs w:val="24"/>
          <w:lang w:eastAsia="fr-FR"/>
        </w:rPr>
        <w:t xml:space="preserve"> Cette stratégie compensatoire appelle deux observations. La première concerne la capacité d’</w:t>
      </w:r>
      <w:proofErr w:type="spellStart"/>
      <w:r w:rsidRPr="000E5E5A">
        <w:rPr>
          <w:sz w:val="24"/>
          <w:szCs w:val="24"/>
          <w:lang w:eastAsia="fr-FR"/>
        </w:rPr>
        <w:t>autodirection</w:t>
      </w:r>
      <w:proofErr w:type="spellEnd"/>
      <w:r w:rsidRPr="000E5E5A">
        <w:rPr>
          <w:sz w:val="24"/>
          <w:szCs w:val="24"/>
          <w:lang w:eastAsia="fr-FR"/>
        </w:rPr>
        <w:t xml:space="preserve"> des apprentis-chercheurs en difficulté, soit la prise d’initiative pour diagnostiquer leurs besoins d’apprentissage et identifier les ressources didactiques disponibles nécessaires à la prise en charge de ces besoins. La seconde a trait à l’importance de la communauté informelle d’apprentissage qui s’institue parallèlement à la relation dyadique institutionnelle d’encadrement du mémoire. La possibilité de s’attacher informellement l’aide scientifique d’autres enseignants-chercheurs internes ou externes aux départements</w:t>
      </w:r>
      <w:r>
        <w:rPr>
          <w:sz w:val="24"/>
          <w:szCs w:val="24"/>
          <w:lang w:eastAsia="fr-FR"/>
        </w:rPr>
        <w:t>, spécialistes du domaine dont relève le sujet de recherche de l’étudiant,</w:t>
      </w:r>
      <w:r w:rsidRPr="000E5E5A">
        <w:rPr>
          <w:sz w:val="24"/>
          <w:szCs w:val="24"/>
          <w:lang w:eastAsia="fr-FR"/>
        </w:rPr>
        <w:t xml:space="preserve"> permet aux apprentis-chercheurs non seulement d’aller au bout de leur mémoire mais aussi de développer de réelles compétences, notamment en matière d’écriture de la recherche, comme l’explique </w:t>
      </w:r>
      <w:r>
        <w:rPr>
          <w:sz w:val="24"/>
          <w:szCs w:val="24"/>
          <w:lang w:eastAsia="fr-FR"/>
        </w:rPr>
        <w:t>E14</w:t>
      </w:r>
      <w:r w:rsidRPr="000E5E5A">
        <w:rPr>
          <w:sz w:val="24"/>
          <w:szCs w:val="24"/>
          <w:lang w:eastAsia="fr-FR"/>
        </w:rPr>
        <w:t xml:space="preserve"> : </w:t>
      </w:r>
      <w:r w:rsidRPr="00A45F4A">
        <w:rPr>
          <w:sz w:val="24"/>
          <w:szCs w:val="24"/>
          <w:lang w:eastAsia="fr-FR"/>
        </w:rPr>
        <w:t xml:space="preserve">« j’avais </w:t>
      </w:r>
      <w:r>
        <w:rPr>
          <w:sz w:val="24"/>
          <w:szCs w:val="24"/>
          <w:lang w:eastAsia="fr-FR"/>
        </w:rPr>
        <w:t xml:space="preserve">un </w:t>
      </w:r>
      <w:r w:rsidRPr="00A45F4A">
        <w:rPr>
          <w:sz w:val="24"/>
          <w:szCs w:val="24"/>
          <w:lang w:eastAsia="fr-FR"/>
        </w:rPr>
        <w:t>professeur, qui n’est pas mon directeur de mémoire, à qui j’envoyais tout ; celui-là il faisait des commentaires, il me disait par exemple « registre oral », que j’utilise un registre oral, j’écris comme je parle, ce qui n’est pas bon ; ou « trop large », c’est-à-dire la partie que j’ai évoquée est euh je n’ai pas bien euh en tout cas je n’ai pas circonscrit cette partie ; c’est trop large ; en tout cas il me faisait beaucoup de remarques ; ces remarques m’ont beaucoup d’aidé ; donc je faisais chaque fois une nouvelle version de la partie que je lui avait envoyée, en tenant compte de ses critiques, parce que c’était des critiques utiles avec toujours des suggestions ; donc sans ce prof-là, j’aurais jamais pu m’en sortir ».</w:t>
      </w:r>
      <w:r w:rsidRPr="000E5E5A">
        <w:rPr>
          <w:sz w:val="24"/>
          <w:szCs w:val="24"/>
          <w:lang w:eastAsia="fr-FR"/>
        </w:rPr>
        <w:t xml:space="preserve"> Toutefois, cet accompagnement scientifique informel, par ailleurs inhérent à tout processus de socialisation au monde de la recherche académique, ne peut répondre à la nécessité institutionnelle de tendre vers une professionnalisation de la pratique de direction de mémoire. </w:t>
      </w:r>
    </w:p>
    <w:p w14:paraId="195D002D" w14:textId="77777777" w:rsidR="00D80693" w:rsidRPr="0065773E" w:rsidRDefault="00D80693" w:rsidP="00D80693">
      <w:pPr>
        <w:pStyle w:val="Paragraphedeliste"/>
        <w:widowControl/>
        <w:numPr>
          <w:ilvl w:val="2"/>
          <w:numId w:val="215"/>
        </w:numPr>
        <w:autoSpaceDE/>
        <w:autoSpaceDN/>
        <w:spacing w:before="0" w:after="160" w:line="259" w:lineRule="auto"/>
        <w:ind w:left="851"/>
        <w:contextualSpacing/>
        <w:jc w:val="left"/>
        <w:rPr>
          <w:b/>
          <w:bCs/>
          <w:sz w:val="24"/>
          <w:szCs w:val="24"/>
          <w:lang w:eastAsia="fr-FR"/>
        </w:rPr>
      </w:pPr>
      <w:r w:rsidRPr="0065773E">
        <w:rPr>
          <w:b/>
          <w:bCs/>
          <w:sz w:val="24"/>
          <w:szCs w:val="24"/>
          <w:lang w:eastAsia="fr-FR"/>
        </w:rPr>
        <w:t>Une remise en cause des pratiques de direction négligentes</w:t>
      </w:r>
    </w:p>
    <w:p w14:paraId="1FDC750C" w14:textId="77777777" w:rsidR="00D80693" w:rsidRPr="000E5E5A" w:rsidRDefault="00D80693" w:rsidP="00D80693">
      <w:pPr>
        <w:spacing w:before="60" w:after="60"/>
        <w:jc w:val="both"/>
        <w:rPr>
          <w:sz w:val="24"/>
          <w:szCs w:val="24"/>
          <w:lang w:eastAsia="fr-FR"/>
        </w:rPr>
      </w:pPr>
      <w:r w:rsidRPr="000E5E5A">
        <w:rPr>
          <w:sz w:val="24"/>
          <w:szCs w:val="24"/>
          <w:lang w:eastAsia="fr-FR"/>
        </w:rPr>
        <w:t>L</w:t>
      </w:r>
      <w:r>
        <w:rPr>
          <w:sz w:val="24"/>
          <w:szCs w:val="24"/>
          <w:lang w:eastAsia="fr-FR"/>
        </w:rPr>
        <w:t>a négligence dans la pratique de direction</w:t>
      </w:r>
      <w:r w:rsidRPr="000E5E5A">
        <w:rPr>
          <w:sz w:val="24"/>
          <w:szCs w:val="24"/>
          <w:lang w:eastAsia="fr-FR"/>
        </w:rPr>
        <w:t xml:space="preserve">, </w:t>
      </w:r>
      <w:r>
        <w:rPr>
          <w:sz w:val="24"/>
          <w:szCs w:val="24"/>
          <w:lang w:eastAsia="fr-FR"/>
        </w:rPr>
        <w:t>qui se traduit</w:t>
      </w:r>
      <w:r w:rsidRPr="000E5E5A">
        <w:rPr>
          <w:sz w:val="24"/>
          <w:szCs w:val="24"/>
          <w:lang w:eastAsia="fr-FR"/>
        </w:rPr>
        <w:t xml:space="preserve"> par l’indifférence du directeur </w:t>
      </w:r>
      <w:r>
        <w:rPr>
          <w:sz w:val="24"/>
          <w:szCs w:val="24"/>
          <w:lang w:eastAsia="fr-FR"/>
        </w:rPr>
        <w:t xml:space="preserve">vis-à-vis de </w:t>
      </w:r>
      <w:r w:rsidRPr="000E5E5A">
        <w:rPr>
          <w:sz w:val="24"/>
          <w:szCs w:val="24"/>
          <w:lang w:eastAsia="fr-FR"/>
        </w:rPr>
        <w:t>l’</w:t>
      </w:r>
      <w:r>
        <w:rPr>
          <w:sz w:val="24"/>
          <w:szCs w:val="24"/>
          <w:lang w:eastAsia="fr-FR"/>
        </w:rPr>
        <w:t>étudiant</w:t>
      </w:r>
      <w:r w:rsidRPr="000E5E5A">
        <w:rPr>
          <w:sz w:val="24"/>
          <w:szCs w:val="24"/>
          <w:lang w:eastAsia="fr-FR"/>
        </w:rPr>
        <w:t xml:space="preserve"> </w:t>
      </w:r>
      <w:r>
        <w:rPr>
          <w:sz w:val="24"/>
          <w:szCs w:val="24"/>
          <w:lang w:eastAsia="fr-FR"/>
        </w:rPr>
        <w:t xml:space="preserve">et de sa recherche </w:t>
      </w:r>
      <w:r w:rsidRPr="000E5E5A">
        <w:rPr>
          <w:sz w:val="24"/>
          <w:szCs w:val="24"/>
          <w:lang w:eastAsia="fr-FR"/>
        </w:rPr>
        <w:t>(</w:t>
      </w:r>
      <w:r>
        <w:rPr>
          <w:sz w:val="24"/>
          <w:szCs w:val="24"/>
          <w:lang w:eastAsia="fr-FR"/>
        </w:rPr>
        <w:t>Leduc, 1990</w:t>
      </w:r>
      <w:r w:rsidRPr="000E5E5A">
        <w:rPr>
          <w:sz w:val="24"/>
          <w:szCs w:val="24"/>
          <w:lang w:eastAsia="fr-FR"/>
        </w:rPr>
        <w:t xml:space="preserve">), est un thème récurrent dans les discours des apprentis-chercheurs. Cette indifférence se traduit d’abord par la non-relecture des textes soumis à l’appréciation du </w:t>
      </w:r>
      <w:r>
        <w:rPr>
          <w:sz w:val="24"/>
          <w:szCs w:val="24"/>
          <w:lang w:eastAsia="fr-FR"/>
        </w:rPr>
        <w:t>directeur</w:t>
      </w:r>
      <w:r w:rsidRPr="000E5E5A">
        <w:rPr>
          <w:sz w:val="24"/>
          <w:szCs w:val="24"/>
          <w:lang w:eastAsia="fr-FR"/>
        </w:rPr>
        <w:t xml:space="preserve"> pendant tout le processus d’écriture du mémoire, une attitude pédagogique qui désoriente les apprentis-chercheurs tout en nuisant à la qualité de leur travail, comme le regrette </w:t>
      </w:r>
      <w:r>
        <w:rPr>
          <w:sz w:val="24"/>
          <w:szCs w:val="24"/>
          <w:lang w:eastAsia="fr-FR"/>
        </w:rPr>
        <w:t>E15</w:t>
      </w:r>
      <w:r w:rsidRPr="000E5E5A">
        <w:rPr>
          <w:sz w:val="24"/>
          <w:szCs w:val="24"/>
          <w:lang w:eastAsia="fr-FR"/>
        </w:rPr>
        <w:t xml:space="preserve"> : </w:t>
      </w:r>
      <w:r w:rsidRPr="00A45F4A">
        <w:rPr>
          <w:sz w:val="24"/>
          <w:szCs w:val="24"/>
          <w:lang w:eastAsia="fr-FR"/>
        </w:rPr>
        <w:t>« j’ai eu à lui envoyer deux fois de suite la version numérique des différentes parties de mon mémoire ; ça n’a pas été lu ; puis j’ai imprimé et lui ai remis une copie mais il n’a pas réagi pendant une année ; ce qui signifie que soit il n’accordait pas de l’importance à ce que je faisais, soit il n’avait pas le temps ; tout compte fait, ça été compliqué ; un jour, il m’appelle pour me demander de venir imprimer mon mémoire pour le déposer ; moi, j’étais étonné ; je me lève ; j’arrive à l’université ; il me dit : « va imprimer », sans lire hein ! il me dit « va imprimer » ; donc moi je pars, j’imprime, je viens lui montrer ; il me dit « tel exemplaire est à déposer au département, tel reste avec toi, et c’est fini comme ça !</w:t>
      </w:r>
      <w:r>
        <w:rPr>
          <w:sz w:val="24"/>
          <w:szCs w:val="24"/>
          <w:lang w:eastAsia="fr-FR"/>
        </w:rPr>
        <w:t> </w:t>
      </w:r>
      <w:r w:rsidRPr="00A45F4A">
        <w:rPr>
          <w:sz w:val="24"/>
          <w:szCs w:val="24"/>
          <w:lang w:eastAsia="fr-FR"/>
        </w:rPr>
        <w:t>».</w:t>
      </w:r>
      <w:r w:rsidRPr="000E5E5A">
        <w:rPr>
          <w:sz w:val="24"/>
          <w:szCs w:val="24"/>
          <w:lang w:eastAsia="fr-FR"/>
        </w:rPr>
        <w:t xml:space="preserve"> L’indifférence du directeur à l’égard du travail de l’étudiant s’exprime aussi par une certaine légèreté de son regard évaluatif, ainsi que l’explique </w:t>
      </w:r>
      <w:r>
        <w:rPr>
          <w:sz w:val="24"/>
          <w:szCs w:val="24"/>
          <w:lang w:eastAsia="fr-FR"/>
        </w:rPr>
        <w:t>E16</w:t>
      </w:r>
      <w:r w:rsidRPr="000E5E5A">
        <w:rPr>
          <w:sz w:val="24"/>
          <w:szCs w:val="24"/>
          <w:lang w:eastAsia="fr-FR"/>
        </w:rPr>
        <w:t xml:space="preserve"> : </w:t>
      </w:r>
      <w:r w:rsidRPr="00A45F4A">
        <w:rPr>
          <w:sz w:val="24"/>
          <w:szCs w:val="24"/>
          <w:lang w:eastAsia="fr-FR"/>
        </w:rPr>
        <w:t>« quand il [le directeur] était présent, ce n’était pas pour me dire des choses intéressantes : il dit une remarque sur une page et puis voilà, c’est tout ».</w:t>
      </w:r>
      <w:r w:rsidRPr="000E5E5A">
        <w:rPr>
          <w:sz w:val="24"/>
          <w:szCs w:val="24"/>
          <w:lang w:eastAsia="fr-FR"/>
        </w:rPr>
        <w:t xml:space="preserve"> Ce défaut d’évaluation critique des textes produits par les apprentis-chercheurs est perçu, notamment par ceux désirant poursuivre leurs études au doctorat, comme un manquement au contrat pédagogique de la relation d’encadrement : </w:t>
      </w:r>
      <w:r w:rsidRPr="00A45F4A">
        <w:rPr>
          <w:sz w:val="24"/>
          <w:szCs w:val="24"/>
          <w:lang w:eastAsia="fr-FR"/>
        </w:rPr>
        <w:t xml:space="preserve">« ce qui m’a vraiment manqué avec mon directeur, </w:t>
      </w:r>
      <w:proofErr w:type="gramStart"/>
      <w:r w:rsidRPr="00A45F4A">
        <w:rPr>
          <w:sz w:val="24"/>
          <w:szCs w:val="24"/>
          <w:lang w:eastAsia="fr-FR"/>
        </w:rPr>
        <w:t>c’est</w:t>
      </w:r>
      <w:proofErr w:type="gramEnd"/>
      <w:r w:rsidRPr="00A45F4A">
        <w:rPr>
          <w:sz w:val="24"/>
          <w:szCs w:val="24"/>
          <w:lang w:eastAsia="fr-FR"/>
        </w:rPr>
        <w:t xml:space="preserve"> vraiment des critiques constructives, c’est-à-dire il faut que quand </w:t>
      </w:r>
      <w:proofErr w:type="gramStart"/>
      <w:r w:rsidRPr="00A45F4A">
        <w:rPr>
          <w:sz w:val="24"/>
          <w:szCs w:val="24"/>
          <w:lang w:eastAsia="fr-FR"/>
        </w:rPr>
        <w:t>c’est pas</w:t>
      </w:r>
      <w:proofErr w:type="gramEnd"/>
      <w:r w:rsidRPr="00A45F4A">
        <w:rPr>
          <w:sz w:val="24"/>
          <w:szCs w:val="24"/>
          <w:lang w:eastAsia="fr-FR"/>
        </w:rPr>
        <w:t xml:space="preserve"> bon le directeur de mémoire n’hésite pas à dire à l’apprenant que le travail fourni n’est pas bon. Vous voyez ? </w:t>
      </w:r>
      <w:bookmarkStart w:id="16" w:name="_Hlk201411892"/>
      <w:r w:rsidRPr="00A45F4A">
        <w:rPr>
          <w:sz w:val="24"/>
          <w:szCs w:val="24"/>
          <w:lang w:eastAsia="fr-FR"/>
        </w:rPr>
        <w:t xml:space="preserve">Il faut que le directeur de mémoire arrive à dire « ce que tu as fait là ce n’est pas bien fait, ce n’est pas bien dit, il faut changer » mais si le directeur de mémoire essaie tout le temps de dire que c’est bon, c’est bien, l’apprenant s’enlise, il va </w:t>
      </w:r>
      <w:proofErr w:type="gramStart"/>
      <w:r w:rsidRPr="00A45F4A">
        <w:rPr>
          <w:sz w:val="24"/>
          <w:szCs w:val="24"/>
          <w:lang w:eastAsia="fr-FR"/>
        </w:rPr>
        <w:t>au final</w:t>
      </w:r>
      <w:proofErr w:type="gramEnd"/>
      <w:r w:rsidRPr="00A45F4A">
        <w:rPr>
          <w:sz w:val="24"/>
          <w:szCs w:val="24"/>
          <w:lang w:eastAsia="fr-FR"/>
        </w:rPr>
        <w:t xml:space="preserve"> produire quelque chose qui n’est pas bon</w:t>
      </w:r>
      <w:bookmarkEnd w:id="16"/>
      <w:r w:rsidRPr="00A45F4A">
        <w:rPr>
          <w:sz w:val="24"/>
          <w:szCs w:val="24"/>
          <w:lang w:eastAsia="fr-FR"/>
        </w:rPr>
        <w:t> »</w:t>
      </w:r>
      <w:r w:rsidRPr="000E5E5A">
        <w:rPr>
          <w:sz w:val="24"/>
          <w:szCs w:val="24"/>
          <w:lang w:eastAsia="fr-FR"/>
        </w:rPr>
        <w:t xml:space="preserve"> (</w:t>
      </w:r>
      <w:r>
        <w:rPr>
          <w:sz w:val="24"/>
          <w:szCs w:val="24"/>
          <w:lang w:eastAsia="fr-FR"/>
        </w:rPr>
        <w:t>E10</w:t>
      </w:r>
      <w:r w:rsidRPr="000E5E5A">
        <w:rPr>
          <w:sz w:val="24"/>
          <w:szCs w:val="24"/>
          <w:lang w:eastAsia="fr-FR"/>
        </w:rPr>
        <w:t>). Conscients de la compétition académique et sociale dans laquelle ils sont pris, notamment du fait des mentions attribuables aux mémoires, les apprentis-chercheurs appréhendent tous d</w:t>
      </w:r>
      <w:r>
        <w:rPr>
          <w:sz w:val="24"/>
          <w:szCs w:val="24"/>
          <w:lang w:eastAsia="fr-FR"/>
        </w:rPr>
        <w:t xml:space="preserve">’avoir à défendre devant un jury un mémoire </w:t>
      </w:r>
      <w:r w:rsidRPr="000E5E5A">
        <w:rPr>
          <w:sz w:val="24"/>
          <w:szCs w:val="24"/>
          <w:lang w:eastAsia="fr-FR"/>
        </w:rPr>
        <w:t xml:space="preserve">ne répondant aux exigences académiques du genre. Or, l’analyse des entretiens montre que le tiers d’entre eux a dû reprendre substantiellement certaines parties de leurs mémoires après la soutenance. Dans ce cas de figure, c’est l’un des membres du jury autre que le directeur qui prend le relai de la direction du mémoire. Si cette situation est émotionnellement mal vécue par les étudiants, ils y trouvent cependant des avantages formatifs, comme l’explique </w:t>
      </w:r>
      <w:r>
        <w:rPr>
          <w:sz w:val="24"/>
          <w:szCs w:val="24"/>
          <w:lang w:eastAsia="fr-FR"/>
        </w:rPr>
        <w:t>E5</w:t>
      </w:r>
      <w:r w:rsidRPr="000E5E5A">
        <w:rPr>
          <w:sz w:val="24"/>
          <w:szCs w:val="24"/>
          <w:lang w:eastAsia="fr-FR"/>
        </w:rPr>
        <w:t xml:space="preserve"> : </w:t>
      </w:r>
      <w:r w:rsidRPr="00A45F4A">
        <w:rPr>
          <w:sz w:val="24"/>
          <w:szCs w:val="24"/>
          <w:lang w:eastAsia="fr-FR"/>
        </w:rPr>
        <w:t>« j’ai dû présenter un travail comme ça [sans qualité]; et comme pour le premier mémoire, c’est le jury qui me dit : « va faire comme ça ; il faut traiter comme ça », ce qui m’a donné beaucoup d’idées sur comment mettre en place la méthodologie et comment structurer le travail ; donc c’est le jury qui m’a fait restructurer mon travail et le président [du jury] en particulier qui a veillé à ce que je sois suivi par lui-même pour que le travail soit mieux structuré ; je me rappelle, j’étais à 106 pages et on a réduit jusqu’à 73 pages ».</w:t>
      </w:r>
      <w:r w:rsidRPr="000E5E5A">
        <w:rPr>
          <w:sz w:val="24"/>
          <w:szCs w:val="24"/>
          <w:lang w:eastAsia="fr-FR"/>
        </w:rPr>
        <w:t xml:space="preserve"> Ainsi, en plus de priver les apprentis-chercheurs d’une possibilité d’autosatisfaction en produisant un écrit de recherche conforme aux attendus du genre, l</w:t>
      </w:r>
      <w:r>
        <w:rPr>
          <w:sz w:val="24"/>
          <w:szCs w:val="24"/>
          <w:lang w:eastAsia="fr-FR"/>
        </w:rPr>
        <w:t xml:space="preserve">a négligence dans la pratique de direction de mémoire </w:t>
      </w:r>
      <w:r w:rsidRPr="000E5E5A">
        <w:rPr>
          <w:sz w:val="24"/>
          <w:szCs w:val="24"/>
          <w:lang w:eastAsia="fr-FR"/>
        </w:rPr>
        <w:t>apparait comme source d’inégalités dans le développement des compétences liées à la recherche.</w:t>
      </w:r>
    </w:p>
    <w:p w14:paraId="678317C3" w14:textId="77777777" w:rsidR="00D80693" w:rsidRPr="0065773E" w:rsidRDefault="00D80693" w:rsidP="00D80693">
      <w:pPr>
        <w:pStyle w:val="Paragraphedeliste"/>
        <w:widowControl/>
        <w:numPr>
          <w:ilvl w:val="2"/>
          <w:numId w:val="215"/>
        </w:numPr>
        <w:autoSpaceDE/>
        <w:autoSpaceDN/>
        <w:spacing w:before="0" w:after="160" w:line="259" w:lineRule="auto"/>
        <w:ind w:left="851"/>
        <w:contextualSpacing/>
        <w:jc w:val="left"/>
        <w:rPr>
          <w:b/>
          <w:bCs/>
          <w:sz w:val="24"/>
          <w:szCs w:val="24"/>
          <w:lang w:eastAsia="fr-FR"/>
        </w:rPr>
      </w:pPr>
      <w:r w:rsidRPr="0065773E">
        <w:rPr>
          <w:b/>
          <w:bCs/>
          <w:sz w:val="24"/>
          <w:szCs w:val="24"/>
          <w:lang w:eastAsia="fr-FR"/>
        </w:rPr>
        <w:t xml:space="preserve">Un discours évaluatif peu aidant pour la réécriture </w:t>
      </w:r>
    </w:p>
    <w:p w14:paraId="2B337BD8" w14:textId="77777777" w:rsidR="00D80693" w:rsidRPr="000E5E5A" w:rsidRDefault="00D80693" w:rsidP="00D80693">
      <w:pPr>
        <w:jc w:val="both"/>
        <w:rPr>
          <w:sz w:val="24"/>
          <w:szCs w:val="24"/>
          <w:lang w:eastAsia="fr-FR"/>
        </w:rPr>
      </w:pPr>
      <w:r w:rsidRPr="000E5E5A">
        <w:rPr>
          <w:sz w:val="24"/>
          <w:szCs w:val="24"/>
          <w:lang w:eastAsia="fr-FR"/>
        </w:rPr>
        <w:t xml:space="preserve">Pour les apprentis-chercheurs, le discours évaluatif des directeurs demeure principalement centré sur des catégories linguistiques. Ce constat concerne aussi bien les directeurs fortement investis dans l’accompagnement de l’étudiant que ceux qui le sont faiblement, c’est-à-dire n’évaluant pas de façon critique le texte de l’étudiant. Ainsi, pour </w:t>
      </w:r>
      <w:r>
        <w:rPr>
          <w:sz w:val="24"/>
          <w:szCs w:val="24"/>
          <w:lang w:eastAsia="fr-FR"/>
        </w:rPr>
        <w:t>E17</w:t>
      </w:r>
      <w:r w:rsidRPr="000E5E5A">
        <w:rPr>
          <w:sz w:val="24"/>
          <w:szCs w:val="24"/>
          <w:lang w:eastAsia="fr-FR"/>
        </w:rPr>
        <w:t xml:space="preserve">, qui considère que son directeur n’était </w:t>
      </w:r>
      <w:r w:rsidRPr="00A45F4A">
        <w:rPr>
          <w:sz w:val="24"/>
          <w:szCs w:val="24"/>
          <w:lang w:eastAsia="fr-FR"/>
        </w:rPr>
        <w:t>pas « un intermédiaire, mais un co-rédacteur parce qu’[ils] lisaient ensemble [son] document »</w:t>
      </w:r>
      <w:r w:rsidRPr="000E5E5A">
        <w:rPr>
          <w:sz w:val="24"/>
          <w:szCs w:val="24"/>
          <w:lang w:eastAsia="fr-FR"/>
        </w:rPr>
        <w:t xml:space="preserve">, l’apport de son directeur à l’écriture du mémoire </w:t>
      </w:r>
      <w:r w:rsidRPr="00DF398C">
        <w:rPr>
          <w:sz w:val="24"/>
          <w:szCs w:val="24"/>
          <w:lang w:eastAsia="fr-FR"/>
        </w:rPr>
        <w:t>« était essentiellement centré sur le choix des mots, oui le choix des mots ; quand un mot n’était pas approprié</w:t>
      </w:r>
      <w:r>
        <w:rPr>
          <w:sz w:val="24"/>
          <w:szCs w:val="24"/>
          <w:lang w:eastAsia="fr-FR"/>
        </w:rPr>
        <w:t>,</w:t>
      </w:r>
      <w:r w:rsidRPr="00DF398C">
        <w:rPr>
          <w:sz w:val="24"/>
          <w:szCs w:val="24"/>
          <w:lang w:eastAsia="fr-FR"/>
        </w:rPr>
        <w:t xml:space="preserve"> il me dit « change ça » ; voilà, en gros les tournures et le vocabulaire ; quand ça ne va pas, on reformulait la phrase ensemble ».</w:t>
      </w:r>
      <w:r w:rsidRPr="000E5E5A">
        <w:rPr>
          <w:sz w:val="24"/>
          <w:szCs w:val="24"/>
          <w:lang w:eastAsia="fr-FR"/>
        </w:rPr>
        <w:t xml:space="preserve"> Cette centralité des catégories linguistiques dans le discours évaluatif est perçue comme peu aidante dans l’apprentissage de l’écriture de la recherche dans la mesure où elle conduit à faire l’impasse sur les autres dimensions de la textualité scientifique, comme le pointe </w:t>
      </w:r>
      <w:r>
        <w:rPr>
          <w:sz w:val="24"/>
          <w:szCs w:val="24"/>
          <w:lang w:eastAsia="fr-FR"/>
        </w:rPr>
        <w:t>E18</w:t>
      </w:r>
      <w:r w:rsidRPr="000E5E5A">
        <w:rPr>
          <w:sz w:val="24"/>
          <w:szCs w:val="24"/>
          <w:lang w:eastAsia="fr-FR"/>
        </w:rPr>
        <w:t xml:space="preserve"> </w:t>
      </w:r>
      <w:r w:rsidRPr="00A45F4A">
        <w:rPr>
          <w:sz w:val="24"/>
          <w:szCs w:val="24"/>
          <w:lang w:eastAsia="fr-FR"/>
        </w:rPr>
        <w:t>« les observations étaient écrites dans les marges du document ; mais c’était plus sur l’aspect grammatical que sur autre chose, des petites remarques sur l’inversion du sujet, les accords ici et là ; mais dans le fond, il n’y avait rien, dans le fond, il n’y avait pas grand-chose »</w:t>
      </w:r>
      <w:r w:rsidRPr="000E5E5A">
        <w:rPr>
          <w:sz w:val="24"/>
          <w:szCs w:val="24"/>
          <w:lang w:eastAsia="fr-FR"/>
        </w:rPr>
        <w:t xml:space="preserve">. L’orientation axiologique des commentaires évaluatifs des directeurs est également perçue par les étudiants comme didactiquement peu aidante du point de vue de la réécriture, comme le déplore </w:t>
      </w:r>
      <w:r>
        <w:rPr>
          <w:sz w:val="24"/>
          <w:szCs w:val="24"/>
          <w:lang w:eastAsia="fr-FR"/>
        </w:rPr>
        <w:t>E19</w:t>
      </w:r>
      <w:r w:rsidRPr="000E5E5A">
        <w:rPr>
          <w:sz w:val="24"/>
          <w:szCs w:val="24"/>
          <w:lang w:eastAsia="fr-FR"/>
        </w:rPr>
        <w:t xml:space="preserve"> : </w:t>
      </w:r>
      <w:r w:rsidRPr="00A45F4A">
        <w:rPr>
          <w:sz w:val="24"/>
          <w:szCs w:val="24"/>
          <w:lang w:eastAsia="fr-FR"/>
        </w:rPr>
        <w:t>« les commentaires que j’ai reçus, ils sont très négatifs ; négatifs dans le sens où il n’y a pas d’explications données et il n’y a pas de porte de sortie qu’on essaie d’ouvrir à l’étudiant ; au contrairement, c’est de très mauvais commentaires, sans me dire concrètement ce qu’il faut que je fasse pour me sortir d’impasse ; exemple de mauvais commentaire : un gros trait rouge à la diagonale sans notes, sans mots, sans explications à côté, sans détails, rien ; on te barre tout une page sans suggestions, on te la barre sans possibilité de faire recours à un document, à une référence, à rien, je ne sais pas, à quelque chose qui pourrait te permettre de te rediriger, de prendre euh un sens autre que tu as pris »</w:t>
      </w:r>
      <w:r w:rsidRPr="000E5E5A">
        <w:rPr>
          <w:sz w:val="24"/>
          <w:szCs w:val="24"/>
          <w:lang w:eastAsia="fr-FR"/>
        </w:rPr>
        <w:t xml:space="preserve">. Cette réception négative du discours évaluatif axiologiquement centré implique de repenser les pratiques d’évaluation des écrits de recherche des étudiants, notamment à travers un questionnement sur le statut didactique et pédagogique des commentaires évaluatifs inscrits sur leurs textes. C’est à travers un tel questionnement que la relation pédagogique d’encadrement du mémoire semble pouvoir s’envisager comme un cadre d’apprentissage de la recherche et de son écriture. </w:t>
      </w:r>
    </w:p>
    <w:p w14:paraId="7122C570" w14:textId="77777777" w:rsidR="00D80693" w:rsidRPr="000E5E5A" w:rsidRDefault="00D80693" w:rsidP="00D80693">
      <w:pPr>
        <w:jc w:val="both"/>
        <w:rPr>
          <w:lang w:eastAsia="fr-FR"/>
        </w:rPr>
      </w:pPr>
      <w:r w:rsidRPr="000E5E5A">
        <w:rPr>
          <w:sz w:val="24"/>
          <w:szCs w:val="24"/>
          <w:lang w:eastAsia="fr-FR"/>
        </w:rPr>
        <w:t xml:space="preserve">La section suivante revient sur les points saillants de l’analyse présentée dans les sections précédentes afin de les mettre en perspective par rapport à l’objectif de l’étude. </w:t>
      </w:r>
    </w:p>
    <w:p w14:paraId="5DFD4DD3" w14:textId="77777777" w:rsidR="00D80693" w:rsidRPr="0065773E" w:rsidRDefault="00D80693" w:rsidP="00D80693">
      <w:pPr>
        <w:pStyle w:val="Paragraphedeliste"/>
        <w:widowControl/>
        <w:numPr>
          <w:ilvl w:val="0"/>
          <w:numId w:val="215"/>
        </w:numPr>
        <w:autoSpaceDE/>
        <w:autoSpaceDN/>
        <w:spacing w:before="0" w:after="160" w:line="259" w:lineRule="auto"/>
        <w:contextualSpacing/>
        <w:jc w:val="left"/>
        <w:rPr>
          <w:b/>
          <w:bCs/>
          <w:sz w:val="28"/>
        </w:rPr>
      </w:pPr>
      <w:r w:rsidRPr="0065773E">
        <w:rPr>
          <w:b/>
          <w:bCs/>
          <w:sz w:val="28"/>
        </w:rPr>
        <w:t xml:space="preserve">Discussion </w:t>
      </w:r>
    </w:p>
    <w:p w14:paraId="599F8678"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Les pratiques de direction de mémoire mises au jour dans cette étude à travers la façon dont elles ont été vécues par des apprentis-chercheurs invitent à interroger la responsabilité des instances institutionnelles dans la mise en œuvre des conditions favorables à l’atteinte de la finalité même de l’encadrement. </w:t>
      </w:r>
      <w:r>
        <w:rPr>
          <w:sz w:val="24"/>
          <w:szCs w:val="24"/>
          <w:lang w:eastAsia="fr-FR"/>
        </w:rPr>
        <w:t xml:space="preserve">Ces pratiques négligentes </w:t>
      </w:r>
      <w:r w:rsidRPr="000E5E5A">
        <w:rPr>
          <w:sz w:val="24"/>
          <w:szCs w:val="24"/>
          <w:lang w:eastAsia="fr-FR"/>
        </w:rPr>
        <w:t xml:space="preserve">ont des conséquences pour les étudiants, qu’on peut décrire en termes de « gâchis social » (Le </w:t>
      </w:r>
      <w:proofErr w:type="spellStart"/>
      <w:r w:rsidRPr="000E5E5A">
        <w:rPr>
          <w:sz w:val="24"/>
          <w:szCs w:val="24"/>
          <w:lang w:eastAsia="fr-FR"/>
        </w:rPr>
        <w:t>Bouëdec</w:t>
      </w:r>
      <w:proofErr w:type="spellEnd"/>
      <w:r w:rsidRPr="000E5E5A">
        <w:rPr>
          <w:sz w:val="24"/>
          <w:szCs w:val="24"/>
          <w:lang w:eastAsia="fr-FR"/>
        </w:rPr>
        <w:t xml:space="preserve"> et La </w:t>
      </w:r>
      <w:proofErr w:type="spellStart"/>
      <w:r w:rsidRPr="000E5E5A">
        <w:rPr>
          <w:sz w:val="24"/>
          <w:szCs w:val="24"/>
          <w:lang w:eastAsia="fr-FR"/>
        </w:rPr>
        <w:t>Garanderie</w:t>
      </w:r>
      <w:proofErr w:type="spellEnd"/>
      <w:r w:rsidRPr="000E5E5A">
        <w:rPr>
          <w:sz w:val="24"/>
          <w:szCs w:val="24"/>
          <w:lang w:eastAsia="fr-FR"/>
        </w:rPr>
        <w:t xml:space="preserve">, 1993), soit ce sentiment de dévaluation sociale éprouvée par les étudiants mis en échec de réussir correctement leur formation à la recherche du fait de pratiques de direction de mémoire </w:t>
      </w:r>
      <w:r>
        <w:rPr>
          <w:sz w:val="24"/>
          <w:szCs w:val="24"/>
          <w:lang w:eastAsia="fr-FR"/>
        </w:rPr>
        <w:t>qui ne répondent</w:t>
      </w:r>
      <w:r w:rsidRPr="000E5E5A">
        <w:rPr>
          <w:sz w:val="24"/>
          <w:szCs w:val="24"/>
          <w:lang w:eastAsia="fr-FR"/>
        </w:rPr>
        <w:t xml:space="preserve"> pas aux exigences du contrat didactique </w:t>
      </w:r>
      <w:r>
        <w:rPr>
          <w:sz w:val="24"/>
          <w:szCs w:val="24"/>
          <w:lang w:eastAsia="fr-FR"/>
        </w:rPr>
        <w:t>de l’encadrement</w:t>
      </w:r>
      <w:r w:rsidRPr="000E5E5A">
        <w:rPr>
          <w:sz w:val="24"/>
          <w:szCs w:val="24"/>
          <w:lang w:eastAsia="fr-FR"/>
        </w:rPr>
        <w:t xml:space="preserve">. Au gâchis social s’ajoute un « gâchis universitaire » (Gérard, 2009), en ce sens que ces pratiques compromettent à terme la mission même de l’université, laquelle a vocation à assurer, par le biais des cursus de Master puis de Doctorat, la formation de la relève scientifique nécessaire à la pérennisation de la mission universitaire (Jutras, </w:t>
      </w:r>
      <w:proofErr w:type="spellStart"/>
      <w:r w:rsidRPr="000E5E5A">
        <w:rPr>
          <w:sz w:val="24"/>
          <w:szCs w:val="24"/>
          <w:lang w:eastAsia="fr-FR"/>
        </w:rPr>
        <w:t>Ntebutse</w:t>
      </w:r>
      <w:proofErr w:type="spellEnd"/>
      <w:r w:rsidRPr="000E5E5A">
        <w:rPr>
          <w:sz w:val="24"/>
          <w:szCs w:val="24"/>
          <w:lang w:eastAsia="fr-FR"/>
        </w:rPr>
        <w:t xml:space="preserve"> &amp; Louis, 2010).</w:t>
      </w:r>
    </w:p>
    <w:p w14:paraId="57F69C3C"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Certes, une enquête par entretien ne permet pas de disposer d’une représentation globale des pratiques décrites dans un contexte socioéducatif donné. Toutefois, il importe de prendre au sérieux, dans une perspective didactique inclusive, les perceptions de ces pratiques par les apprentis-chercheurs afin d’apporter des réponses institutionnelles appropriées aux difficultés rencontrées dans la relation pédagogique d’encadrement. Dans cette perspective, l’insertion des apprentis-chercheurs dans des équipes de recherche </w:t>
      </w:r>
      <w:r>
        <w:rPr>
          <w:sz w:val="24"/>
          <w:szCs w:val="24"/>
          <w:lang w:eastAsia="fr-FR"/>
        </w:rPr>
        <w:t xml:space="preserve">semble </w:t>
      </w:r>
      <w:r w:rsidRPr="000E5E5A">
        <w:rPr>
          <w:sz w:val="24"/>
          <w:szCs w:val="24"/>
          <w:lang w:eastAsia="fr-FR"/>
        </w:rPr>
        <w:t>constitue</w:t>
      </w:r>
      <w:r>
        <w:rPr>
          <w:sz w:val="24"/>
          <w:szCs w:val="24"/>
          <w:lang w:eastAsia="fr-FR"/>
        </w:rPr>
        <w:t>r</w:t>
      </w:r>
      <w:r w:rsidRPr="000E5E5A">
        <w:rPr>
          <w:sz w:val="24"/>
          <w:szCs w:val="24"/>
          <w:lang w:eastAsia="fr-FR"/>
        </w:rPr>
        <w:t xml:space="preserve"> une réponse au manque de soutien scientifique qu’ils peuvent éprouver vis-à-vis de leurs directeurs </w:t>
      </w:r>
      <w:r>
        <w:rPr>
          <w:sz w:val="24"/>
          <w:szCs w:val="24"/>
          <w:lang w:eastAsia="fr-FR"/>
        </w:rPr>
        <w:t>mais aussi</w:t>
      </w:r>
      <w:r w:rsidRPr="000E5E5A">
        <w:rPr>
          <w:sz w:val="24"/>
          <w:szCs w:val="24"/>
          <w:lang w:eastAsia="fr-FR"/>
        </w:rPr>
        <w:t xml:space="preserve"> aux insuffisances éprouvées à l’égard de l’enseignement de la méthodologie de recherche. En leur donnant accès à des séminaires de recherche, ces équipes, qui restent encore à développer concrètement dans le contexte de l’étude, participeront qualitativement à la formation scientifique des apprentis-chercheurs et à leur socialisation au monde de la recherche. Enfin, la formation </w:t>
      </w:r>
      <w:r>
        <w:rPr>
          <w:sz w:val="24"/>
          <w:szCs w:val="24"/>
          <w:lang w:eastAsia="fr-FR"/>
        </w:rPr>
        <w:t xml:space="preserve">continue </w:t>
      </w:r>
      <w:r w:rsidRPr="000E5E5A">
        <w:rPr>
          <w:sz w:val="24"/>
          <w:szCs w:val="24"/>
          <w:lang w:eastAsia="fr-FR"/>
        </w:rPr>
        <w:t xml:space="preserve">des enseignants-chercheurs à la direction de recherche (mémoire et thèse) est une condition nécessaire à l’amélioration de la qualité de l’encadrement. La direction de recherche relève le plus souvent de l’autodidaxie, et les pratiques qui l’incarnent sont largement façonnées par l’intériorisation de modèles auxquels les directeurs ont pu eux-mêmes être exposés en tant qu’apprentis-chercheurs (Gérard, 2009). Sans tendre à l’homogénéisation des pratiques, une telle formation contribuera à la déconstruction de certains schémas reproductifs ainsi qu’au développement d’une culture d’encadrement partagée, fondée sur l’appropriation collective d’un référentiel de compétences en encadrement de recherche (Khalil &amp; </w:t>
      </w:r>
      <w:r w:rsidRPr="000E5E5A">
        <w:rPr>
          <w:i/>
          <w:iCs/>
          <w:sz w:val="24"/>
          <w:szCs w:val="24"/>
          <w:lang w:eastAsia="fr-FR"/>
        </w:rPr>
        <w:t>al</w:t>
      </w:r>
      <w:r w:rsidRPr="000E5E5A">
        <w:rPr>
          <w:sz w:val="24"/>
          <w:szCs w:val="24"/>
          <w:lang w:eastAsia="fr-FR"/>
        </w:rPr>
        <w:t xml:space="preserve">., 2024). </w:t>
      </w:r>
    </w:p>
    <w:p w14:paraId="2AD48031"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À travers le corpus analysé, il est apparu que la contribution des directeurs à l’apprentissage de l’écriture du genre était marginale pour les raisons suivantes : la non-relecture des textes des étudiants, l’absence d’évaluation critique de ces textes, la centralité des catégories linguistiques dans le discours évaluatif au détriment d’autres dimensions de la textualité scientifique et, enfin, l’orientation exclusivement axiologique du discours évaluatif. Or, le discours évaluatif, à condition d’expliciter les dysfonctionnements en cause et/ou de fournir des pistes de réécriture, a vocation à constituer une ressource didactique pour le scripteur et un moyen de son autonomisation intellectuelle et scientifique (Koné, 2025 ; Boch, Fanny &amp; </w:t>
      </w:r>
      <w:proofErr w:type="spellStart"/>
      <w:r w:rsidRPr="000E5E5A">
        <w:rPr>
          <w:sz w:val="24"/>
          <w:szCs w:val="24"/>
          <w:lang w:eastAsia="fr-FR"/>
        </w:rPr>
        <w:t>Sorba</w:t>
      </w:r>
      <w:proofErr w:type="spellEnd"/>
      <w:r w:rsidRPr="000E5E5A">
        <w:rPr>
          <w:sz w:val="24"/>
          <w:szCs w:val="24"/>
          <w:lang w:eastAsia="fr-FR"/>
        </w:rPr>
        <w:t xml:space="preserve">, 2022). </w:t>
      </w:r>
    </w:p>
    <w:p w14:paraId="35469BD6"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Enfin, il aurait été utile, d’un point de vue </w:t>
      </w:r>
      <w:r>
        <w:rPr>
          <w:sz w:val="24"/>
          <w:szCs w:val="24"/>
          <w:lang w:eastAsia="fr-FR"/>
        </w:rPr>
        <w:t>heuristique</w:t>
      </w:r>
      <w:r w:rsidRPr="000E5E5A">
        <w:rPr>
          <w:sz w:val="24"/>
          <w:szCs w:val="24"/>
          <w:lang w:eastAsia="fr-FR"/>
        </w:rPr>
        <w:t>, de croiser les perceptions des apprentis-chercheurs avec celles des directeurs de mémoire concernant la relation d’encadrement, de sorte à saisir les inévitables zones de tensions et les manières dont elles sont négociées, les difficultés des enseignants-chercheurs eu égard à leurs conditions institutionnelles de travail, à leurs multiples engagements et contraintes professionnelles.</w:t>
      </w:r>
    </w:p>
    <w:p w14:paraId="70D537E2" w14:textId="77777777" w:rsidR="00D80693" w:rsidRPr="0065773E" w:rsidRDefault="00D80693" w:rsidP="00D80693">
      <w:pPr>
        <w:rPr>
          <w:b/>
          <w:bCs/>
          <w:sz w:val="28"/>
          <w:szCs w:val="28"/>
        </w:rPr>
      </w:pPr>
      <w:r w:rsidRPr="0065773E">
        <w:rPr>
          <w:b/>
          <w:bCs/>
          <w:sz w:val="28"/>
          <w:szCs w:val="28"/>
        </w:rPr>
        <w:t xml:space="preserve">Conclusion </w:t>
      </w:r>
    </w:p>
    <w:p w14:paraId="3ECDBC75" w14:textId="77777777" w:rsidR="00D80693" w:rsidRPr="000E5E5A" w:rsidRDefault="00D80693" w:rsidP="00D80693">
      <w:pPr>
        <w:spacing w:before="60" w:after="60"/>
        <w:jc w:val="both"/>
        <w:rPr>
          <w:sz w:val="24"/>
          <w:szCs w:val="24"/>
          <w:lang w:eastAsia="fr-FR"/>
        </w:rPr>
      </w:pPr>
      <w:r w:rsidRPr="000E5E5A">
        <w:rPr>
          <w:sz w:val="24"/>
          <w:szCs w:val="24"/>
          <w:lang w:eastAsia="fr-FR"/>
        </w:rPr>
        <w:t>Cette étude s’est attelée à rendre compte de quelles manières l’encadrement d</w:t>
      </w:r>
      <w:r>
        <w:rPr>
          <w:sz w:val="24"/>
          <w:szCs w:val="24"/>
          <w:lang w:eastAsia="fr-FR"/>
        </w:rPr>
        <w:t>u</w:t>
      </w:r>
      <w:r w:rsidRPr="000E5E5A">
        <w:rPr>
          <w:sz w:val="24"/>
          <w:szCs w:val="24"/>
          <w:lang w:eastAsia="fr-FR"/>
        </w:rPr>
        <w:t xml:space="preserve"> mémoire était vécu par des apprentis-chercheurs afin d’en saisir les enjeux didactiques et les défis institutionnels. L’analyse thématique des entretiens réalisés auprès d’une vingtaine d’étudiants ayant soutenu leurs mémoires dans les douze derniers mois a permis de cerner certaines de leurs difficultés. </w:t>
      </w:r>
    </w:p>
    <w:p w14:paraId="75C3A8F2" w14:textId="77777777" w:rsidR="00D80693" w:rsidRPr="000E5E5A" w:rsidRDefault="00D80693" w:rsidP="00D80693">
      <w:pPr>
        <w:spacing w:before="60" w:after="60"/>
        <w:jc w:val="both"/>
        <w:rPr>
          <w:sz w:val="24"/>
          <w:szCs w:val="24"/>
          <w:lang w:eastAsia="fr-FR"/>
        </w:rPr>
      </w:pPr>
      <w:r w:rsidRPr="000E5E5A">
        <w:rPr>
          <w:sz w:val="24"/>
          <w:szCs w:val="24"/>
          <w:lang w:eastAsia="fr-FR"/>
        </w:rPr>
        <w:t>La mauvaise qualité de l’environnement matériel institutionnel apparaît comme source de difficultés affectant le développement des compétences liées à la recherche autant que la qualité des travaux de recherche des étudiants. La qualité de cet environnement se mesure dans les discours des apprentis-chercheurs à l’absence de services universitaires de documentation, au faible apport didactique des dispositifs pédagogiques institutionnels d’accompagnement à la réalisation du mémoire et, enfin, à l’absence d’initiative des étudiants dans le choix du directeur.</w:t>
      </w:r>
    </w:p>
    <w:p w14:paraId="6E3540F3" w14:textId="77777777" w:rsidR="00D80693" w:rsidRDefault="00D80693" w:rsidP="00D80693">
      <w:pPr>
        <w:spacing w:before="60" w:after="60"/>
        <w:jc w:val="both"/>
        <w:rPr>
          <w:sz w:val="24"/>
          <w:szCs w:val="24"/>
          <w:lang w:eastAsia="fr-FR"/>
        </w:rPr>
      </w:pPr>
      <w:r w:rsidRPr="000E5E5A">
        <w:rPr>
          <w:sz w:val="24"/>
          <w:szCs w:val="24"/>
          <w:lang w:eastAsia="fr-FR"/>
        </w:rPr>
        <w:t xml:space="preserve">Dans sa dimension duale, l’encadrement des mémoires </w:t>
      </w:r>
      <w:r>
        <w:rPr>
          <w:sz w:val="24"/>
          <w:szCs w:val="24"/>
          <w:lang w:eastAsia="fr-FR"/>
        </w:rPr>
        <w:t xml:space="preserve">demeure l’objet de pratiques négligentes, caractérisées tantôt par </w:t>
      </w:r>
      <w:r w:rsidRPr="000E5E5A">
        <w:rPr>
          <w:sz w:val="24"/>
          <w:szCs w:val="24"/>
          <w:lang w:eastAsia="fr-FR"/>
        </w:rPr>
        <w:t>l’absence d’accompagnement scientifique</w:t>
      </w:r>
      <w:r>
        <w:rPr>
          <w:sz w:val="24"/>
          <w:szCs w:val="24"/>
          <w:lang w:eastAsia="fr-FR"/>
        </w:rPr>
        <w:t xml:space="preserve"> tantôt par </w:t>
      </w:r>
      <w:r w:rsidRPr="000E5E5A">
        <w:rPr>
          <w:sz w:val="24"/>
          <w:szCs w:val="24"/>
          <w:lang w:eastAsia="fr-FR"/>
        </w:rPr>
        <w:t>un accompagnement scientifique insuffisant par rapport aux besoins et aux attentes des étudiant</w:t>
      </w:r>
      <w:r>
        <w:rPr>
          <w:sz w:val="24"/>
          <w:szCs w:val="24"/>
          <w:lang w:eastAsia="fr-FR"/>
        </w:rPr>
        <w:t>s</w:t>
      </w:r>
      <w:r w:rsidRPr="000E5E5A">
        <w:rPr>
          <w:sz w:val="24"/>
          <w:szCs w:val="24"/>
          <w:lang w:eastAsia="fr-FR"/>
        </w:rPr>
        <w:t>.</w:t>
      </w:r>
    </w:p>
    <w:p w14:paraId="0C099FFE" w14:textId="77777777" w:rsidR="00D80693" w:rsidRPr="000E5E5A" w:rsidRDefault="00D80693" w:rsidP="00D80693">
      <w:pPr>
        <w:spacing w:before="60" w:after="60"/>
        <w:jc w:val="both"/>
        <w:rPr>
          <w:sz w:val="24"/>
          <w:szCs w:val="24"/>
          <w:lang w:eastAsia="fr-FR"/>
        </w:rPr>
      </w:pPr>
      <w:r w:rsidRPr="000E5E5A">
        <w:rPr>
          <w:sz w:val="24"/>
          <w:szCs w:val="24"/>
          <w:lang w:eastAsia="fr-FR"/>
        </w:rPr>
        <w:t xml:space="preserve">Parmi les enjeux didactiques induits des difficultés scientifiques rencontrées par les étudiants pendant la réalisation du mémoire, figure en bonne place la difficile appropriation de l’écriture scientifique, appréhendée à la fois comme produit et processus de construction discursive des objets de savoir. Leurs difficultés à élaborer un cadre théorique, à mobiliser et traiter le discours d’autrui, à organiser leur texte d’un point de vue </w:t>
      </w:r>
      <w:proofErr w:type="spellStart"/>
      <w:r w:rsidRPr="000E5E5A">
        <w:rPr>
          <w:sz w:val="24"/>
          <w:szCs w:val="24"/>
          <w:lang w:eastAsia="fr-FR"/>
        </w:rPr>
        <w:t>pragmatico</w:t>
      </w:r>
      <w:proofErr w:type="spellEnd"/>
      <w:r w:rsidRPr="000E5E5A">
        <w:rPr>
          <w:sz w:val="24"/>
          <w:szCs w:val="24"/>
          <w:lang w:eastAsia="fr-FR"/>
        </w:rPr>
        <w:t>-sémantique résultent sans doute d’une méconnaissance du fonctionnement discursif et textuel des écrits de recherche. La conscientisation des pratiques en usage au sein de la communauté scientifique disciplinaire se pose ainsi comme un enjeu didactique central pour les étudiants. Dans cette perspective, il revient à l’institution de développer des dispositifs didactiques d’acculturation aux écrits scientifiques, fondés d’une part sur les principes de la pédagogie de l’affiliation</w:t>
      </w:r>
      <w:r>
        <w:rPr>
          <w:sz w:val="24"/>
          <w:szCs w:val="24"/>
          <w:lang w:eastAsia="fr-FR"/>
        </w:rPr>
        <w:t xml:space="preserve"> </w:t>
      </w:r>
      <w:r w:rsidRPr="000E5E5A">
        <w:rPr>
          <w:sz w:val="24"/>
          <w:szCs w:val="24"/>
          <w:lang w:eastAsia="fr-FR"/>
        </w:rPr>
        <w:t xml:space="preserve">(Coulon, 1997) et, d’autre part, sur le continuum lecture-écriture de textes scientifiques. Il s’agira d’abord, comme le souligne Pollet &amp; </w:t>
      </w:r>
      <w:r w:rsidRPr="000E5E5A">
        <w:rPr>
          <w:i/>
          <w:iCs/>
          <w:sz w:val="24"/>
          <w:szCs w:val="24"/>
          <w:lang w:eastAsia="fr-FR"/>
        </w:rPr>
        <w:t>al</w:t>
      </w:r>
      <w:r w:rsidRPr="000E5E5A">
        <w:rPr>
          <w:sz w:val="24"/>
          <w:szCs w:val="24"/>
          <w:lang w:eastAsia="fr-FR"/>
        </w:rPr>
        <w:t>. (202</w:t>
      </w:r>
      <w:r>
        <w:rPr>
          <w:sz w:val="24"/>
          <w:szCs w:val="24"/>
          <w:lang w:eastAsia="fr-FR"/>
        </w:rPr>
        <w:t>3</w:t>
      </w:r>
      <w:r w:rsidRPr="000E5E5A">
        <w:rPr>
          <w:sz w:val="24"/>
          <w:szCs w:val="24"/>
          <w:lang w:eastAsia="fr-FR"/>
        </w:rPr>
        <w:t xml:space="preserve"> : 293), d’amener les étudiants à développer, en amont du mémoire et à travers des activités de lecture outillée, « une démarche d’analyse des caractéristiques de l’écriture de recherche par rapport à ses contextes institutionnel et discursif, à ses enjeux dans leur domaine disciplinaire et à sa fonction heuristique ». En les aidant à objectiver, grâce à des critères d’analyse et des outils linguistiques appropriés, les fonctionnements des écrits scientifiques et les manières de faire des chercheurs professionnels, on prépare les </w:t>
      </w:r>
      <w:r>
        <w:rPr>
          <w:sz w:val="24"/>
          <w:szCs w:val="24"/>
          <w:lang w:eastAsia="fr-FR"/>
        </w:rPr>
        <w:t>étudiants</w:t>
      </w:r>
      <w:r w:rsidRPr="000E5E5A">
        <w:rPr>
          <w:sz w:val="24"/>
          <w:szCs w:val="24"/>
          <w:lang w:eastAsia="fr-FR"/>
        </w:rPr>
        <w:t xml:space="preserve"> à mieux maîtriser leurs pratiques personnelles (Boch, 2013). Il s’agira ensuite de les mettre en situation de produire eux-mêmes des écrits à travers lesquels ils développeront des compétences scripturales, linguistiques et discursives nécessaires à l’écriture des différentes étapes du mémoire. À cet égard, le projet de mémoire, qui n’est pas à ce jour une exigence institutionnelle dans le contexte universitaire de notre étude</w:t>
      </w:r>
      <w:r>
        <w:rPr>
          <w:sz w:val="24"/>
          <w:szCs w:val="24"/>
          <w:vertAlign w:val="superscript"/>
          <w:lang w:eastAsia="fr-FR"/>
        </w:rPr>
        <w:footnoteReference w:id="5"/>
      </w:r>
      <w:r w:rsidRPr="000E5E5A">
        <w:rPr>
          <w:sz w:val="24"/>
          <w:szCs w:val="24"/>
          <w:lang w:eastAsia="fr-FR"/>
        </w:rPr>
        <w:t>, peut être envisagé comme un objet didactique dont le traitement en formation aidera les apprentis-chercheurs à développer un discours qui articule problématisation d’un objet d’étude, construction d’un état de l’art et d’un cadre théorique, analyse et évaluation des sources disponibles en lien avec le thème du projet. La mise en œuvre d’un tel dispositif didactique réduira considérablement les inégalités d’apprentissage de la recherche et de son écriture</w:t>
      </w:r>
      <w:r>
        <w:rPr>
          <w:sz w:val="24"/>
          <w:szCs w:val="24"/>
          <w:lang w:eastAsia="fr-FR"/>
        </w:rPr>
        <w:t>, inégalités</w:t>
      </w:r>
      <w:r w:rsidRPr="000E5E5A">
        <w:rPr>
          <w:sz w:val="24"/>
          <w:szCs w:val="24"/>
          <w:lang w:eastAsia="fr-FR"/>
        </w:rPr>
        <w:t xml:space="preserve"> </w:t>
      </w:r>
      <w:r>
        <w:rPr>
          <w:sz w:val="24"/>
          <w:szCs w:val="24"/>
          <w:lang w:eastAsia="fr-FR"/>
        </w:rPr>
        <w:t xml:space="preserve">en partie </w:t>
      </w:r>
      <w:r w:rsidRPr="000E5E5A">
        <w:rPr>
          <w:sz w:val="24"/>
          <w:szCs w:val="24"/>
          <w:lang w:eastAsia="fr-FR"/>
        </w:rPr>
        <w:t>liées à la différenciation de la relation pédagogique d’encadrement du mémoire.</w:t>
      </w:r>
    </w:p>
    <w:p w14:paraId="684B9489" w14:textId="5AD7A991" w:rsidR="00D80693" w:rsidRPr="0065773E" w:rsidRDefault="00813D27" w:rsidP="00D80693">
      <w:pPr>
        <w:rPr>
          <w:b/>
          <w:bCs/>
          <w:sz w:val="28"/>
          <w:szCs w:val="28"/>
        </w:rPr>
      </w:pPr>
      <w:r>
        <w:rPr>
          <w:b/>
          <w:bCs/>
          <w:sz w:val="28"/>
          <w:szCs w:val="28"/>
        </w:rPr>
        <w:t>Références b</w:t>
      </w:r>
      <w:r w:rsidR="00D80693" w:rsidRPr="0065773E">
        <w:rPr>
          <w:b/>
          <w:bCs/>
          <w:sz w:val="28"/>
          <w:szCs w:val="28"/>
        </w:rPr>
        <w:t>ibliographi</w:t>
      </w:r>
      <w:r>
        <w:rPr>
          <w:b/>
          <w:bCs/>
          <w:sz w:val="28"/>
          <w:szCs w:val="28"/>
        </w:rPr>
        <w:t>ques</w:t>
      </w:r>
      <w:r w:rsidR="00D80693" w:rsidRPr="0065773E">
        <w:rPr>
          <w:b/>
          <w:bCs/>
          <w:sz w:val="28"/>
          <w:szCs w:val="28"/>
        </w:rPr>
        <w:t xml:space="preserve"> </w:t>
      </w:r>
    </w:p>
    <w:p w14:paraId="368E2DA0" w14:textId="77777777" w:rsidR="00D80693" w:rsidRPr="00813D27" w:rsidRDefault="00D80693" w:rsidP="00D80693">
      <w:pPr>
        <w:spacing w:before="60" w:after="60"/>
        <w:ind w:left="709" w:hanging="709"/>
        <w:jc w:val="both"/>
        <w:rPr>
          <w:sz w:val="24"/>
          <w:szCs w:val="24"/>
          <w:lang w:eastAsia="fr-FR"/>
        </w:rPr>
      </w:pPr>
      <w:r w:rsidRPr="00813D27">
        <w:rPr>
          <w:sz w:val="24"/>
          <w:szCs w:val="24"/>
          <w:lang w:eastAsia="fr-FR"/>
        </w:rPr>
        <w:t xml:space="preserve">Blanchet, A. &amp; </w:t>
      </w:r>
      <w:proofErr w:type="spellStart"/>
      <w:r w:rsidRPr="00813D27">
        <w:rPr>
          <w:sz w:val="24"/>
          <w:szCs w:val="24"/>
          <w:lang w:eastAsia="fr-FR"/>
        </w:rPr>
        <w:t>Gotman</w:t>
      </w:r>
      <w:proofErr w:type="spellEnd"/>
      <w:r w:rsidRPr="00813D27">
        <w:rPr>
          <w:sz w:val="24"/>
          <w:szCs w:val="24"/>
          <w:lang w:eastAsia="fr-FR"/>
        </w:rPr>
        <w:t xml:space="preserve">, A. (2010). </w:t>
      </w:r>
      <w:r w:rsidRPr="00813D27">
        <w:rPr>
          <w:i/>
          <w:iCs/>
          <w:sz w:val="24"/>
          <w:szCs w:val="24"/>
          <w:lang w:eastAsia="fr-FR"/>
        </w:rPr>
        <w:t>L’enquête et ses méthodes : l’entretien</w:t>
      </w:r>
      <w:r w:rsidRPr="00813D27">
        <w:rPr>
          <w:sz w:val="24"/>
          <w:szCs w:val="24"/>
          <w:lang w:eastAsia="fr-FR"/>
        </w:rPr>
        <w:t xml:space="preserve"> (2</w:t>
      </w:r>
      <w:r w:rsidRPr="00813D27">
        <w:rPr>
          <w:sz w:val="24"/>
          <w:szCs w:val="24"/>
          <w:vertAlign w:val="superscript"/>
          <w:lang w:eastAsia="fr-FR"/>
        </w:rPr>
        <w:t>ème</w:t>
      </w:r>
      <w:r w:rsidRPr="00813D27">
        <w:rPr>
          <w:sz w:val="24"/>
          <w:szCs w:val="24"/>
          <w:lang w:eastAsia="fr-FR"/>
        </w:rPr>
        <w:t xml:space="preserve"> édition). Armand Colin. </w:t>
      </w:r>
    </w:p>
    <w:p w14:paraId="07793582" w14:textId="77777777" w:rsidR="00D80693" w:rsidRPr="00813D27" w:rsidRDefault="00D80693" w:rsidP="00D80693">
      <w:pPr>
        <w:spacing w:before="60" w:after="60"/>
        <w:ind w:left="709" w:hanging="709"/>
        <w:jc w:val="both"/>
        <w:rPr>
          <w:sz w:val="24"/>
          <w:szCs w:val="24"/>
          <w:lang w:val="pt-PT" w:eastAsia="fr-FR"/>
        </w:rPr>
      </w:pPr>
      <w:r w:rsidRPr="00813D27">
        <w:rPr>
          <w:sz w:val="24"/>
          <w:szCs w:val="24"/>
          <w:lang w:eastAsia="fr-FR"/>
        </w:rPr>
        <w:t xml:space="preserve">Boch, F. (2013). Former les doctorants à l’écriture de la thèse en exploitant les études descriptives de l’écrit scientifique. </w:t>
      </w:r>
      <w:r w:rsidRPr="00813D27">
        <w:rPr>
          <w:i/>
          <w:iCs/>
          <w:sz w:val="24"/>
          <w:szCs w:val="24"/>
          <w:lang w:val="pt-PT" w:eastAsia="fr-FR"/>
        </w:rPr>
        <w:t>Linguagem em (Dis)curso</w:t>
      </w:r>
      <w:r w:rsidRPr="00813D27">
        <w:rPr>
          <w:sz w:val="24"/>
          <w:szCs w:val="24"/>
          <w:lang w:val="pt-PT" w:eastAsia="fr-FR"/>
        </w:rPr>
        <w:t xml:space="preserve">, </w:t>
      </w:r>
      <w:r w:rsidRPr="00813D27">
        <w:rPr>
          <w:i/>
          <w:iCs/>
          <w:sz w:val="24"/>
          <w:szCs w:val="24"/>
          <w:lang w:val="pt-PT" w:eastAsia="fr-FR"/>
        </w:rPr>
        <w:t>13</w:t>
      </w:r>
      <w:r w:rsidRPr="00813D27">
        <w:rPr>
          <w:sz w:val="24"/>
          <w:szCs w:val="24"/>
          <w:lang w:val="pt-PT" w:eastAsia="fr-FR"/>
        </w:rPr>
        <w:t xml:space="preserve">(3), 543-568. </w:t>
      </w:r>
      <w:r w:rsidRPr="00813D27">
        <w:rPr>
          <w:sz w:val="24"/>
          <w:szCs w:val="24"/>
        </w:rPr>
        <w:fldChar w:fldCharType="begin"/>
      </w:r>
      <w:r w:rsidRPr="00813D27">
        <w:rPr>
          <w:sz w:val="24"/>
          <w:szCs w:val="24"/>
          <w:lang w:val="pt-PT"/>
        </w:rPr>
        <w:instrText>HYPERLINK "https://doi.org/10.1590/S1518-76322013000300005"</w:instrText>
      </w:r>
      <w:r w:rsidRPr="00813D27">
        <w:rPr>
          <w:sz w:val="24"/>
          <w:szCs w:val="24"/>
        </w:rPr>
      </w:r>
      <w:r w:rsidRPr="00813D27">
        <w:rPr>
          <w:sz w:val="24"/>
          <w:szCs w:val="24"/>
        </w:rPr>
        <w:fldChar w:fldCharType="separate"/>
      </w:r>
      <w:r w:rsidRPr="00813D27">
        <w:rPr>
          <w:color w:val="0000FF" w:themeColor="hyperlink"/>
          <w:sz w:val="24"/>
          <w:szCs w:val="24"/>
          <w:u w:val="single"/>
          <w:lang w:val="pt-PT" w:eastAsia="fr-FR"/>
        </w:rPr>
        <w:t>https://doi.org/10.1590/S1518-76322013000300005</w:t>
      </w:r>
      <w:r w:rsidRPr="00813D27">
        <w:rPr>
          <w:sz w:val="24"/>
          <w:szCs w:val="24"/>
        </w:rPr>
        <w:fldChar w:fldCharType="end"/>
      </w:r>
      <w:r w:rsidRPr="00813D27">
        <w:rPr>
          <w:sz w:val="24"/>
          <w:szCs w:val="24"/>
          <w:lang w:val="pt-PT" w:eastAsia="fr-FR"/>
        </w:rPr>
        <w:t xml:space="preserve">  </w:t>
      </w:r>
    </w:p>
    <w:p w14:paraId="500682A9" w14:textId="77777777" w:rsidR="00D80693" w:rsidRDefault="00D80693" w:rsidP="00D80693">
      <w:pPr>
        <w:spacing w:before="60" w:after="60"/>
        <w:ind w:left="709" w:hanging="709"/>
        <w:jc w:val="both"/>
        <w:rPr>
          <w:sz w:val="24"/>
          <w:szCs w:val="24"/>
          <w:lang w:eastAsia="fr-FR"/>
        </w:rPr>
      </w:pPr>
      <w:r w:rsidRPr="00813D27">
        <w:rPr>
          <w:sz w:val="24"/>
          <w:szCs w:val="24"/>
          <w:lang w:val="pt-PT" w:eastAsia="fr-FR"/>
        </w:rPr>
        <w:t xml:space="preserve">Boch, F., Fanny, R. &amp; Sorba, J. (2022). </w:t>
      </w:r>
      <w:r w:rsidRPr="00813D27">
        <w:rPr>
          <w:sz w:val="24"/>
          <w:szCs w:val="24"/>
          <w:lang w:eastAsia="fr-FR"/>
        </w:rPr>
        <w:t>Former les enseignants du supérieur à l’évaluation des</w:t>
      </w:r>
      <w:r w:rsidRPr="00FA0022">
        <w:rPr>
          <w:sz w:val="24"/>
          <w:szCs w:val="24"/>
          <w:lang w:eastAsia="fr-FR"/>
        </w:rPr>
        <w:t xml:space="preserve"> textes des étudiants. </w:t>
      </w:r>
      <w:r w:rsidRPr="00FA0022">
        <w:rPr>
          <w:i/>
          <w:iCs/>
          <w:sz w:val="24"/>
          <w:szCs w:val="24"/>
          <w:lang w:eastAsia="fr-FR"/>
        </w:rPr>
        <w:t>Pratiques</w:t>
      </w:r>
      <w:r w:rsidRPr="00FA0022">
        <w:rPr>
          <w:sz w:val="24"/>
          <w:szCs w:val="24"/>
          <w:lang w:eastAsia="fr-FR"/>
        </w:rPr>
        <w:t xml:space="preserve">, (195-196), 1-21. </w:t>
      </w:r>
      <w:hyperlink r:id="rId56" w:history="1">
        <w:r w:rsidRPr="00C412F8">
          <w:rPr>
            <w:color w:val="0000FF" w:themeColor="hyperlink"/>
            <w:sz w:val="24"/>
            <w:szCs w:val="24"/>
            <w:u w:val="single"/>
            <w:lang w:eastAsia="fr-FR"/>
          </w:rPr>
          <w:t>https://doi.org/10.4000/pratiques.12131</w:t>
        </w:r>
      </w:hyperlink>
      <w:r>
        <w:rPr>
          <w:sz w:val="24"/>
          <w:szCs w:val="24"/>
          <w:lang w:eastAsia="fr-FR"/>
        </w:rPr>
        <w:t xml:space="preserve"> </w:t>
      </w:r>
    </w:p>
    <w:p w14:paraId="24CF5D58" w14:textId="77777777" w:rsidR="00D80693" w:rsidRDefault="00D80693" w:rsidP="00D80693">
      <w:pPr>
        <w:spacing w:before="60" w:after="60"/>
        <w:ind w:left="709" w:hanging="709"/>
        <w:jc w:val="both"/>
        <w:rPr>
          <w:sz w:val="24"/>
          <w:szCs w:val="24"/>
          <w:lang w:eastAsia="fr-FR"/>
        </w:rPr>
      </w:pPr>
      <w:r w:rsidRPr="00FA0022">
        <w:rPr>
          <w:sz w:val="24"/>
          <w:szCs w:val="24"/>
          <w:lang w:eastAsia="fr-FR"/>
        </w:rPr>
        <w:t xml:space="preserve">Coulon, A. (1997). </w:t>
      </w:r>
      <w:r w:rsidRPr="00FA0022">
        <w:rPr>
          <w:i/>
          <w:iCs/>
          <w:sz w:val="24"/>
          <w:szCs w:val="24"/>
          <w:lang w:eastAsia="fr-FR"/>
        </w:rPr>
        <w:t>Le métier d’étudiant. L’entrée dans la vie universitaire</w:t>
      </w:r>
      <w:r w:rsidRPr="00FA0022">
        <w:rPr>
          <w:sz w:val="24"/>
          <w:szCs w:val="24"/>
          <w:lang w:eastAsia="fr-FR"/>
        </w:rPr>
        <w:t>. Presses universitaires de France.</w:t>
      </w:r>
    </w:p>
    <w:p w14:paraId="423CCB8A" w14:textId="77777777" w:rsidR="00D80693" w:rsidRPr="00AB6207" w:rsidRDefault="00D80693" w:rsidP="00D80693">
      <w:pPr>
        <w:spacing w:before="60" w:after="60"/>
        <w:ind w:left="709" w:hanging="709"/>
        <w:jc w:val="both"/>
        <w:rPr>
          <w:sz w:val="24"/>
          <w:szCs w:val="24"/>
          <w:lang w:eastAsia="fr-FR"/>
        </w:rPr>
      </w:pPr>
      <w:r w:rsidRPr="001F3175">
        <w:rPr>
          <w:sz w:val="24"/>
          <w:szCs w:val="24"/>
          <w:lang w:eastAsia="fr-FR"/>
        </w:rPr>
        <w:t xml:space="preserve">Denis, C. (2020). </w:t>
      </w:r>
      <w:r w:rsidRPr="00AB6207">
        <w:rPr>
          <w:i/>
          <w:iCs/>
          <w:sz w:val="24"/>
          <w:szCs w:val="24"/>
          <w:lang w:eastAsia="fr-FR"/>
        </w:rPr>
        <w:t>Pratiques d’encadrement à la recherche au doctorat en contexte nord-américain : à la découverte de balises</w:t>
      </w:r>
      <w:r>
        <w:rPr>
          <w:sz w:val="24"/>
          <w:szCs w:val="24"/>
          <w:lang w:eastAsia="fr-FR"/>
        </w:rPr>
        <w:t xml:space="preserve">. Thèse de doctorat en éducation, Université de Sherbrooke. </w:t>
      </w:r>
      <w:hyperlink r:id="rId57" w:history="1">
        <w:r w:rsidRPr="00CB3716">
          <w:rPr>
            <w:color w:val="0000FF" w:themeColor="hyperlink"/>
            <w:sz w:val="24"/>
            <w:szCs w:val="24"/>
            <w:u w:val="single"/>
            <w:lang w:eastAsia="fr-FR"/>
          </w:rPr>
          <w:t>http://hdl.handle.net/11143/17357</w:t>
        </w:r>
      </w:hyperlink>
      <w:r>
        <w:rPr>
          <w:sz w:val="24"/>
          <w:szCs w:val="24"/>
          <w:lang w:eastAsia="fr-FR"/>
        </w:rPr>
        <w:t xml:space="preserve"> </w:t>
      </w:r>
    </w:p>
    <w:p w14:paraId="31594D6B" w14:textId="77777777" w:rsidR="00D80693" w:rsidRDefault="00D80693" w:rsidP="00D80693">
      <w:pPr>
        <w:spacing w:before="60" w:after="60"/>
        <w:ind w:left="709" w:hanging="709"/>
        <w:jc w:val="both"/>
        <w:rPr>
          <w:sz w:val="24"/>
          <w:szCs w:val="24"/>
          <w:lang w:eastAsia="fr-FR"/>
        </w:rPr>
      </w:pPr>
      <w:r w:rsidRPr="00AB6207">
        <w:rPr>
          <w:sz w:val="24"/>
          <w:szCs w:val="24"/>
          <w:lang w:eastAsia="fr-FR"/>
        </w:rPr>
        <w:t xml:space="preserve">Gérard, L. (2009). </w:t>
      </w:r>
      <w:r w:rsidRPr="00FA0022">
        <w:rPr>
          <w:i/>
          <w:iCs/>
          <w:sz w:val="24"/>
          <w:szCs w:val="24"/>
          <w:lang w:eastAsia="fr-FR"/>
        </w:rPr>
        <w:t>L’accompagnement en contexte de formation universitaire : Étude de la direction de mémoire comme facteur de réussite en Master</w:t>
      </w:r>
      <w:r w:rsidRPr="00FA0022">
        <w:rPr>
          <w:sz w:val="24"/>
          <w:szCs w:val="24"/>
          <w:lang w:eastAsia="fr-FR"/>
        </w:rPr>
        <w:t>. Thèse de doctorat en sciences de l’éducation, Université de Nancy 2, Nancy.</w:t>
      </w:r>
      <w:r>
        <w:rPr>
          <w:sz w:val="24"/>
          <w:szCs w:val="24"/>
          <w:lang w:eastAsia="fr-FR"/>
        </w:rPr>
        <w:t xml:space="preserve"> </w:t>
      </w:r>
      <w:hyperlink r:id="rId58" w:history="1">
        <w:r w:rsidRPr="00CB3716">
          <w:rPr>
            <w:color w:val="0000FF" w:themeColor="hyperlink"/>
            <w:sz w:val="24"/>
            <w:szCs w:val="24"/>
            <w:u w:val="single"/>
            <w:lang w:eastAsia="fr-FR"/>
          </w:rPr>
          <w:t>https://theses.hal.science/tel-00498380v1</w:t>
        </w:r>
      </w:hyperlink>
      <w:r>
        <w:rPr>
          <w:sz w:val="24"/>
          <w:szCs w:val="24"/>
          <w:lang w:eastAsia="fr-FR"/>
        </w:rPr>
        <w:t xml:space="preserve"> </w:t>
      </w:r>
    </w:p>
    <w:p w14:paraId="49FBC502" w14:textId="77777777" w:rsidR="00D80693" w:rsidRDefault="00D80693" w:rsidP="00D80693">
      <w:pPr>
        <w:spacing w:before="60" w:after="60"/>
        <w:ind w:left="709" w:hanging="709"/>
        <w:jc w:val="both"/>
        <w:rPr>
          <w:sz w:val="24"/>
          <w:szCs w:val="24"/>
          <w:lang w:eastAsia="fr-FR"/>
        </w:rPr>
      </w:pPr>
      <w:proofErr w:type="spellStart"/>
      <w:r w:rsidRPr="00FA0022">
        <w:rPr>
          <w:sz w:val="24"/>
          <w:szCs w:val="24"/>
          <w:lang w:eastAsia="fr-FR"/>
        </w:rPr>
        <w:t>Gremmo</w:t>
      </w:r>
      <w:proofErr w:type="spellEnd"/>
      <w:r>
        <w:rPr>
          <w:sz w:val="24"/>
          <w:szCs w:val="24"/>
          <w:lang w:eastAsia="fr-FR"/>
        </w:rPr>
        <w:t>,</w:t>
      </w:r>
      <w:r w:rsidRPr="00FA0022">
        <w:rPr>
          <w:sz w:val="24"/>
          <w:szCs w:val="24"/>
          <w:lang w:eastAsia="fr-FR"/>
        </w:rPr>
        <w:t xml:space="preserve"> M-J. &amp; Gérard</w:t>
      </w:r>
      <w:r>
        <w:rPr>
          <w:sz w:val="24"/>
          <w:szCs w:val="24"/>
          <w:lang w:eastAsia="fr-FR"/>
        </w:rPr>
        <w:t>,</w:t>
      </w:r>
      <w:r w:rsidRPr="00FA0022">
        <w:rPr>
          <w:sz w:val="24"/>
          <w:szCs w:val="24"/>
          <w:lang w:eastAsia="fr-FR"/>
        </w:rPr>
        <w:t xml:space="preserve"> L. (2008). Accompagner les apprentis-chercheurs aux jeux et enjeux de la direction de mémoire. </w:t>
      </w:r>
      <w:r w:rsidRPr="0024031E">
        <w:rPr>
          <w:i/>
          <w:iCs/>
          <w:sz w:val="24"/>
          <w:szCs w:val="24"/>
          <w:lang w:eastAsia="fr-FR"/>
        </w:rPr>
        <w:t>Recherche et formation</w:t>
      </w:r>
      <w:r w:rsidRPr="00FA0022">
        <w:rPr>
          <w:sz w:val="24"/>
          <w:szCs w:val="24"/>
          <w:lang w:eastAsia="fr-FR"/>
        </w:rPr>
        <w:t>, (59), 43-58.</w:t>
      </w:r>
      <w:r>
        <w:rPr>
          <w:sz w:val="24"/>
          <w:szCs w:val="24"/>
          <w:lang w:eastAsia="fr-FR"/>
        </w:rPr>
        <w:t xml:space="preserve"> </w:t>
      </w:r>
      <w:hyperlink r:id="rId59" w:history="1">
        <w:r w:rsidRPr="00CB3716">
          <w:rPr>
            <w:color w:val="0000FF" w:themeColor="hyperlink"/>
            <w:sz w:val="24"/>
            <w:szCs w:val="24"/>
            <w:u w:val="single"/>
            <w:lang w:eastAsia="fr-FR"/>
          </w:rPr>
          <w:t>https://doi.org/10.4000/rechercheformation.621</w:t>
        </w:r>
      </w:hyperlink>
      <w:r>
        <w:rPr>
          <w:sz w:val="24"/>
          <w:szCs w:val="24"/>
          <w:lang w:eastAsia="fr-FR"/>
        </w:rPr>
        <w:t xml:space="preserve"> </w:t>
      </w:r>
    </w:p>
    <w:p w14:paraId="5AC1ADF9" w14:textId="77777777" w:rsidR="00D80693" w:rsidRDefault="00D80693" w:rsidP="00D80693">
      <w:pPr>
        <w:spacing w:before="60" w:after="60"/>
        <w:ind w:left="709" w:hanging="709"/>
        <w:jc w:val="both"/>
        <w:rPr>
          <w:sz w:val="24"/>
          <w:szCs w:val="24"/>
          <w:lang w:eastAsia="fr-FR"/>
        </w:rPr>
      </w:pPr>
      <w:r w:rsidRPr="00161598">
        <w:rPr>
          <w:sz w:val="24"/>
          <w:szCs w:val="24"/>
          <w:lang w:eastAsia="fr-FR"/>
        </w:rPr>
        <w:t>Houssay-</w:t>
      </w:r>
      <w:proofErr w:type="spellStart"/>
      <w:r w:rsidRPr="00161598">
        <w:rPr>
          <w:sz w:val="24"/>
          <w:szCs w:val="24"/>
          <w:lang w:eastAsia="fr-FR"/>
        </w:rPr>
        <w:t>Holzschuch</w:t>
      </w:r>
      <w:proofErr w:type="spellEnd"/>
      <w:r w:rsidRPr="00161598">
        <w:rPr>
          <w:sz w:val="24"/>
          <w:szCs w:val="24"/>
          <w:lang w:eastAsia="fr-FR"/>
        </w:rPr>
        <w:t xml:space="preserve">, M., Le </w:t>
      </w:r>
      <w:proofErr w:type="spellStart"/>
      <w:r w:rsidRPr="00161598">
        <w:rPr>
          <w:sz w:val="24"/>
          <w:szCs w:val="24"/>
          <w:lang w:eastAsia="fr-FR"/>
        </w:rPr>
        <w:t>Goix</w:t>
      </w:r>
      <w:proofErr w:type="spellEnd"/>
      <w:r w:rsidRPr="00161598">
        <w:rPr>
          <w:sz w:val="24"/>
          <w:szCs w:val="24"/>
          <w:lang w:eastAsia="fr-FR"/>
        </w:rPr>
        <w:t xml:space="preserve">, R. &amp; </w:t>
      </w:r>
      <w:proofErr w:type="spellStart"/>
      <w:r w:rsidRPr="00161598">
        <w:rPr>
          <w:sz w:val="24"/>
          <w:szCs w:val="24"/>
          <w:lang w:eastAsia="fr-FR"/>
        </w:rPr>
        <w:t>Noûs</w:t>
      </w:r>
      <w:proofErr w:type="spellEnd"/>
      <w:r w:rsidRPr="00161598">
        <w:rPr>
          <w:sz w:val="24"/>
          <w:szCs w:val="24"/>
          <w:lang w:eastAsia="fr-FR"/>
        </w:rPr>
        <w:t xml:space="preserve">, C. (2022). </w:t>
      </w:r>
      <w:r w:rsidRPr="00E9546D">
        <w:rPr>
          <w:sz w:val="24"/>
          <w:szCs w:val="24"/>
          <w:lang w:eastAsia="fr-FR"/>
        </w:rPr>
        <w:t>Encadrer des thèses : d’abord, ne pas</w:t>
      </w:r>
      <w:r>
        <w:rPr>
          <w:sz w:val="24"/>
          <w:szCs w:val="24"/>
          <w:lang w:eastAsia="fr-FR"/>
        </w:rPr>
        <w:t xml:space="preserve"> </w:t>
      </w:r>
      <w:r w:rsidRPr="00E9546D">
        <w:rPr>
          <w:sz w:val="24"/>
          <w:szCs w:val="24"/>
          <w:lang w:eastAsia="fr-FR"/>
        </w:rPr>
        <w:t>nuire. (1) État d’un champ de recherche</w:t>
      </w:r>
      <w:r>
        <w:rPr>
          <w:sz w:val="24"/>
          <w:szCs w:val="24"/>
          <w:lang w:eastAsia="fr-FR"/>
        </w:rPr>
        <w:t>.</w:t>
      </w:r>
      <w:r w:rsidRPr="00E9546D">
        <w:rPr>
          <w:sz w:val="24"/>
          <w:szCs w:val="24"/>
          <w:lang w:eastAsia="fr-FR"/>
        </w:rPr>
        <w:t xml:space="preserve"> </w:t>
      </w:r>
      <w:proofErr w:type="spellStart"/>
      <w:r w:rsidRPr="00E9546D">
        <w:rPr>
          <w:i/>
          <w:iCs/>
          <w:sz w:val="24"/>
          <w:szCs w:val="24"/>
          <w:lang w:eastAsia="fr-FR"/>
        </w:rPr>
        <w:t>EchoGéo</w:t>
      </w:r>
      <w:proofErr w:type="spellEnd"/>
      <w:r w:rsidRPr="00E9546D">
        <w:rPr>
          <w:sz w:val="24"/>
          <w:szCs w:val="24"/>
          <w:lang w:eastAsia="fr-FR"/>
        </w:rPr>
        <w:t xml:space="preserve">, </w:t>
      </w:r>
      <w:r>
        <w:rPr>
          <w:sz w:val="24"/>
          <w:szCs w:val="24"/>
          <w:lang w:eastAsia="fr-FR"/>
        </w:rPr>
        <w:t>(</w:t>
      </w:r>
      <w:r w:rsidRPr="00E9546D">
        <w:rPr>
          <w:sz w:val="24"/>
          <w:szCs w:val="24"/>
          <w:lang w:eastAsia="fr-FR"/>
        </w:rPr>
        <w:t>59</w:t>
      </w:r>
      <w:r>
        <w:rPr>
          <w:sz w:val="24"/>
          <w:szCs w:val="24"/>
          <w:lang w:eastAsia="fr-FR"/>
        </w:rPr>
        <w:t xml:space="preserve">), 1-17. </w:t>
      </w:r>
      <w:hyperlink r:id="rId60" w:history="1">
        <w:r w:rsidRPr="00AD7B05">
          <w:rPr>
            <w:color w:val="0000FF" w:themeColor="hyperlink"/>
            <w:sz w:val="24"/>
            <w:szCs w:val="24"/>
            <w:u w:val="single"/>
            <w:lang w:eastAsia="fr-FR"/>
          </w:rPr>
          <w:t>https://doi.org/10.4000/echogeo.22889</w:t>
        </w:r>
      </w:hyperlink>
      <w:r>
        <w:rPr>
          <w:sz w:val="24"/>
          <w:szCs w:val="24"/>
          <w:lang w:eastAsia="fr-FR"/>
        </w:rPr>
        <w:t xml:space="preserve"> </w:t>
      </w:r>
    </w:p>
    <w:p w14:paraId="533C17E7" w14:textId="77777777" w:rsidR="00D80693" w:rsidRDefault="00D80693" w:rsidP="00D80693">
      <w:pPr>
        <w:spacing w:before="60" w:after="60"/>
        <w:ind w:left="709" w:hanging="709"/>
        <w:jc w:val="both"/>
        <w:rPr>
          <w:sz w:val="24"/>
          <w:szCs w:val="24"/>
          <w:lang w:eastAsia="fr-FR"/>
        </w:rPr>
      </w:pPr>
      <w:r w:rsidRPr="00FA0022">
        <w:rPr>
          <w:sz w:val="24"/>
          <w:szCs w:val="24"/>
          <w:lang w:eastAsia="fr-FR"/>
        </w:rPr>
        <w:t xml:space="preserve">Jutras, F., </w:t>
      </w:r>
      <w:proofErr w:type="spellStart"/>
      <w:r w:rsidRPr="00FA0022">
        <w:rPr>
          <w:sz w:val="24"/>
          <w:szCs w:val="24"/>
          <w:lang w:eastAsia="fr-FR"/>
        </w:rPr>
        <w:t>Ntebutse</w:t>
      </w:r>
      <w:proofErr w:type="spellEnd"/>
      <w:r w:rsidRPr="00FA0022">
        <w:rPr>
          <w:sz w:val="24"/>
          <w:szCs w:val="24"/>
          <w:lang w:eastAsia="fr-FR"/>
        </w:rPr>
        <w:t>, J. G. &amp; Louis, R</w:t>
      </w:r>
      <w:r>
        <w:rPr>
          <w:sz w:val="24"/>
          <w:szCs w:val="24"/>
          <w:lang w:eastAsia="fr-FR"/>
        </w:rPr>
        <w:t>.</w:t>
      </w:r>
      <w:r w:rsidRPr="00FA0022">
        <w:rPr>
          <w:sz w:val="24"/>
          <w:szCs w:val="24"/>
          <w:lang w:eastAsia="fr-FR"/>
        </w:rPr>
        <w:t xml:space="preserve"> (2010). L’encadrement de mémoires et de thèses en sciences de l’éducation : enjeux et défis. </w:t>
      </w:r>
      <w:r w:rsidRPr="00FA0022">
        <w:rPr>
          <w:i/>
          <w:iCs/>
          <w:sz w:val="24"/>
          <w:szCs w:val="24"/>
          <w:lang w:eastAsia="fr-FR"/>
        </w:rPr>
        <w:t>Revue internationale de pédagogie de l’enseignement supérieur</w:t>
      </w:r>
      <w:r w:rsidRPr="00FA0022">
        <w:rPr>
          <w:sz w:val="24"/>
          <w:szCs w:val="24"/>
          <w:lang w:eastAsia="fr-FR"/>
        </w:rPr>
        <w:t xml:space="preserve">, </w:t>
      </w:r>
      <w:r w:rsidRPr="00D52A73">
        <w:rPr>
          <w:i/>
          <w:iCs/>
          <w:sz w:val="24"/>
          <w:szCs w:val="24"/>
          <w:lang w:eastAsia="fr-FR"/>
        </w:rPr>
        <w:t>26</w:t>
      </w:r>
      <w:r w:rsidRPr="00FA0022">
        <w:rPr>
          <w:sz w:val="24"/>
          <w:szCs w:val="24"/>
          <w:lang w:eastAsia="fr-FR"/>
        </w:rPr>
        <w:t>(1), 1-22.</w:t>
      </w:r>
      <w:r>
        <w:rPr>
          <w:sz w:val="24"/>
          <w:szCs w:val="24"/>
          <w:lang w:eastAsia="fr-FR"/>
        </w:rPr>
        <w:t xml:space="preserve"> </w:t>
      </w:r>
      <w:hyperlink r:id="rId61" w:history="1">
        <w:r w:rsidRPr="00CB3716">
          <w:rPr>
            <w:color w:val="0000FF" w:themeColor="hyperlink"/>
            <w:sz w:val="24"/>
            <w:szCs w:val="24"/>
            <w:u w:val="single"/>
            <w:lang w:eastAsia="fr-FR"/>
          </w:rPr>
          <w:t>https://doi.org/10.4000/ripes.333</w:t>
        </w:r>
      </w:hyperlink>
      <w:r>
        <w:rPr>
          <w:sz w:val="24"/>
          <w:szCs w:val="24"/>
          <w:lang w:eastAsia="fr-FR"/>
        </w:rPr>
        <w:t xml:space="preserve"> </w:t>
      </w:r>
    </w:p>
    <w:p w14:paraId="436DC8B7" w14:textId="77777777" w:rsidR="00D80693" w:rsidRDefault="00D80693" w:rsidP="00D80693">
      <w:pPr>
        <w:spacing w:before="60" w:after="60"/>
        <w:ind w:left="709" w:hanging="709"/>
        <w:jc w:val="both"/>
        <w:rPr>
          <w:sz w:val="24"/>
          <w:szCs w:val="24"/>
          <w:lang w:eastAsia="fr-FR"/>
        </w:rPr>
      </w:pPr>
      <w:r w:rsidRPr="00FA0022">
        <w:rPr>
          <w:sz w:val="24"/>
          <w:szCs w:val="24"/>
          <w:lang w:eastAsia="fr-FR"/>
        </w:rPr>
        <w:t xml:space="preserve">Le </w:t>
      </w:r>
      <w:proofErr w:type="spellStart"/>
      <w:r w:rsidRPr="00FA0022">
        <w:rPr>
          <w:sz w:val="24"/>
          <w:szCs w:val="24"/>
          <w:lang w:eastAsia="fr-FR"/>
        </w:rPr>
        <w:t>Bouëdec</w:t>
      </w:r>
      <w:proofErr w:type="spellEnd"/>
      <w:r w:rsidRPr="00FA0022">
        <w:rPr>
          <w:sz w:val="24"/>
          <w:szCs w:val="24"/>
          <w:lang w:eastAsia="fr-FR"/>
        </w:rPr>
        <w:t xml:space="preserve">, G., &amp; De La </w:t>
      </w:r>
      <w:proofErr w:type="spellStart"/>
      <w:r w:rsidRPr="00FA0022">
        <w:rPr>
          <w:sz w:val="24"/>
          <w:szCs w:val="24"/>
          <w:lang w:eastAsia="fr-FR"/>
        </w:rPr>
        <w:t>Garanderie</w:t>
      </w:r>
      <w:proofErr w:type="spellEnd"/>
      <w:r w:rsidRPr="00FA0022">
        <w:rPr>
          <w:sz w:val="24"/>
          <w:szCs w:val="24"/>
          <w:lang w:eastAsia="fr-FR"/>
        </w:rPr>
        <w:t>, A. (</w:t>
      </w:r>
      <w:proofErr w:type="spellStart"/>
      <w:r w:rsidRPr="00FA0022">
        <w:rPr>
          <w:sz w:val="24"/>
          <w:szCs w:val="24"/>
          <w:lang w:eastAsia="fr-FR"/>
        </w:rPr>
        <w:t>dir</w:t>
      </w:r>
      <w:proofErr w:type="spellEnd"/>
      <w:r w:rsidRPr="00FA0022">
        <w:rPr>
          <w:sz w:val="24"/>
          <w:szCs w:val="24"/>
          <w:lang w:eastAsia="fr-FR"/>
        </w:rPr>
        <w:t xml:space="preserve">). (1993). </w:t>
      </w:r>
      <w:r w:rsidRPr="00FA0022">
        <w:rPr>
          <w:i/>
          <w:iCs/>
          <w:sz w:val="24"/>
          <w:szCs w:val="24"/>
          <w:lang w:eastAsia="fr-FR"/>
        </w:rPr>
        <w:t>Les études doctorales en sciences de l’éducation : Pour un accompagnement personnalisé des mémoires et de thès</w:t>
      </w:r>
      <w:r w:rsidRPr="00FA0022">
        <w:rPr>
          <w:sz w:val="24"/>
          <w:szCs w:val="24"/>
          <w:lang w:eastAsia="fr-FR"/>
        </w:rPr>
        <w:t>es. L’Harmattan.</w:t>
      </w:r>
    </w:p>
    <w:p w14:paraId="65B9FF7A" w14:textId="77777777" w:rsidR="00D80693" w:rsidRPr="00161598" w:rsidRDefault="00D80693" w:rsidP="00D80693">
      <w:pPr>
        <w:spacing w:before="60" w:after="60"/>
        <w:ind w:left="709" w:hanging="709"/>
        <w:jc w:val="both"/>
        <w:rPr>
          <w:sz w:val="24"/>
          <w:szCs w:val="24"/>
          <w:lang w:val="en-US" w:eastAsia="fr-FR"/>
        </w:rPr>
      </w:pPr>
      <w:r w:rsidRPr="00C61C5A">
        <w:rPr>
          <w:sz w:val="24"/>
          <w:szCs w:val="24"/>
          <w:lang w:eastAsia="fr-FR"/>
        </w:rPr>
        <w:t xml:space="preserve">Leduc, A. (1990). </w:t>
      </w:r>
      <w:r w:rsidRPr="00C61C5A">
        <w:rPr>
          <w:i/>
          <w:iCs/>
          <w:sz w:val="24"/>
          <w:szCs w:val="24"/>
          <w:lang w:eastAsia="fr-FR"/>
        </w:rPr>
        <w:t>La direction des mémoires et des thèses</w:t>
      </w:r>
      <w:r w:rsidRPr="00C61C5A">
        <w:rPr>
          <w:sz w:val="24"/>
          <w:szCs w:val="24"/>
          <w:lang w:eastAsia="fr-FR"/>
        </w:rPr>
        <w:t xml:space="preserve">. </w:t>
      </w:r>
      <w:proofErr w:type="spellStart"/>
      <w:r w:rsidRPr="00161598">
        <w:rPr>
          <w:sz w:val="24"/>
          <w:szCs w:val="24"/>
          <w:lang w:val="en-US" w:eastAsia="fr-FR"/>
        </w:rPr>
        <w:t>Behaviora</w:t>
      </w:r>
      <w:proofErr w:type="spellEnd"/>
      <w:r w:rsidRPr="00161598">
        <w:rPr>
          <w:sz w:val="24"/>
          <w:szCs w:val="24"/>
          <w:lang w:val="en-US" w:eastAsia="fr-FR"/>
        </w:rPr>
        <w:t>.</w:t>
      </w:r>
    </w:p>
    <w:p w14:paraId="2B8AD3D9" w14:textId="77777777" w:rsidR="00D80693" w:rsidRPr="00FA0022" w:rsidRDefault="00D80693" w:rsidP="00D80693">
      <w:pPr>
        <w:spacing w:before="60" w:after="60"/>
        <w:ind w:left="709" w:hanging="709"/>
        <w:jc w:val="both"/>
        <w:rPr>
          <w:sz w:val="24"/>
          <w:szCs w:val="24"/>
          <w:lang w:eastAsia="fr-FR"/>
        </w:rPr>
      </w:pPr>
      <w:r w:rsidRPr="00161598">
        <w:rPr>
          <w:sz w:val="24"/>
          <w:szCs w:val="24"/>
          <w:lang w:val="en-US" w:eastAsia="fr-FR"/>
        </w:rPr>
        <w:t xml:space="preserve">Khalil, I., Hajj, S., Yammine, A. &amp; Sylvestre, E. (2024). </w:t>
      </w:r>
      <w:r w:rsidRPr="00FA0022">
        <w:rPr>
          <w:sz w:val="24"/>
          <w:szCs w:val="24"/>
          <w:lang w:eastAsia="fr-FR"/>
        </w:rPr>
        <w:t xml:space="preserve">Vers un référentiel de compétences de l’enseignant chercheur en méthodologie et encadrement de recherche. </w:t>
      </w:r>
      <w:r w:rsidRPr="00FA0022">
        <w:rPr>
          <w:i/>
          <w:iCs/>
          <w:sz w:val="24"/>
          <w:szCs w:val="24"/>
          <w:lang w:eastAsia="fr-FR"/>
        </w:rPr>
        <w:t>Revue internationale de pédagogie de l’enseignement supérieur</w:t>
      </w:r>
      <w:r w:rsidRPr="00FA0022">
        <w:rPr>
          <w:sz w:val="24"/>
          <w:szCs w:val="24"/>
          <w:lang w:eastAsia="fr-FR"/>
        </w:rPr>
        <w:t xml:space="preserve">, </w:t>
      </w:r>
      <w:r w:rsidRPr="00FA0022">
        <w:rPr>
          <w:i/>
          <w:iCs/>
          <w:sz w:val="24"/>
          <w:szCs w:val="24"/>
          <w:lang w:eastAsia="fr-FR"/>
        </w:rPr>
        <w:t>40</w:t>
      </w:r>
      <w:r w:rsidRPr="00FA0022">
        <w:rPr>
          <w:sz w:val="24"/>
          <w:szCs w:val="24"/>
          <w:lang w:eastAsia="fr-FR"/>
        </w:rPr>
        <w:t>(2), 1-27.</w:t>
      </w:r>
      <w:r>
        <w:rPr>
          <w:sz w:val="24"/>
          <w:szCs w:val="24"/>
          <w:lang w:eastAsia="fr-FR"/>
        </w:rPr>
        <w:t xml:space="preserve"> </w:t>
      </w:r>
      <w:hyperlink r:id="rId62" w:history="1">
        <w:r w:rsidRPr="00C412F8">
          <w:rPr>
            <w:color w:val="0000FF" w:themeColor="hyperlink"/>
            <w:sz w:val="24"/>
            <w:szCs w:val="24"/>
            <w:u w:val="single"/>
            <w:lang w:eastAsia="fr-FR"/>
          </w:rPr>
          <w:t>https://doi.org/10.4000/130x0</w:t>
        </w:r>
      </w:hyperlink>
      <w:r>
        <w:rPr>
          <w:sz w:val="24"/>
          <w:szCs w:val="24"/>
          <w:lang w:eastAsia="fr-FR"/>
        </w:rPr>
        <w:t xml:space="preserve"> </w:t>
      </w:r>
    </w:p>
    <w:p w14:paraId="07EDEE39" w14:textId="77777777" w:rsidR="00D80693" w:rsidRDefault="00D80693" w:rsidP="00D80693">
      <w:pPr>
        <w:spacing w:before="60" w:after="60"/>
        <w:ind w:left="709" w:hanging="709"/>
        <w:jc w:val="both"/>
        <w:rPr>
          <w:sz w:val="24"/>
          <w:szCs w:val="24"/>
          <w:lang w:eastAsia="fr-FR"/>
        </w:rPr>
      </w:pPr>
      <w:r w:rsidRPr="00FA0022">
        <w:rPr>
          <w:sz w:val="24"/>
          <w:szCs w:val="24"/>
          <w:lang w:eastAsia="fr-FR"/>
        </w:rPr>
        <w:t xml:space="preserve">Koné, S. (2025). Évaluer les écrits de recherche en formation : pratiques et enjeux didactiques. </w:t>
      </w:r>
      <w:proofErr w:type="spellStart"/>
      <w:r w:rsidRPr="00FA0022">
        <w:rPr>
          <w:i/>
          <w:iCs/>
          <w:sz w:val="24"/>
          <w:szCs w:val="24"/>
          <w:lang w:eastAsia="fr-FR"/>
        </w:rPr>
        <w:t>Akofena</w:t>
      </w:r>
      <w:proofErr w:type="spellEnd"/>
      <w:r w:rsidRPr="00FA0022">
        <w:rPr>
          <w:sz w:val="24"/>
          <w:szCs w:val="24"/>
          <w:lang w:eastAsia="fr-FR"/>
        </w:rPr>
        <w:t xml:space="preserve">, </w:t>
      </w:r>
      <w:r w:rsidRPr="00FA0022">
        <w:rPr>
          <w:i/>
          <w:iCs/>
          <w:sz w:val="24"/>
          <w:szCs w:val="24"/>
          <w:lang w:eastAsia="fr-FR"/>
        </w:rPr>
        <w:t>2</w:t>
      </w:r>
      <w:r w:rsidRPr="00FA0022">
        <w:rPr>
          <w:sz w:val="24"/>
          <w:szCs w:val="24"/>
          <w:lang w:eastAsia="fr-FR"/>
        </w:rPr>
        <w:t>(15), 199-212.</w:t>
      </w:r>
      <w:r>
        <w:rPr>
          <w:sz w:val="24"/>
          <w:szCs w:val="24"/>
          <w:lang w:eastAsia="fr-FR"/>
        </w:rPr>
        <w:t xml:space="preserve"> </w:t>
      </w:r>
      <w:hyperlink r:id="rId63" w:history="1">
        <w:r w:rsidRPr="00C412F8">
          <w:rPr>
            <w:color w:val="0000FF" w:themeColor="hyperlink"/>
            <w:sz w:val="24"/>
            <w:szCs w:val="24"/>
            <w:u w:val="single"/>
            <w:lang w:eastAsia="fr-FR"/>
          </w:rPr>
          <w:t>https://doi.org/10.48734/akofena.n015.vol.2.18.2025</w:t>
        </w:r>
      </w:hyperlink>
      <w:r>
        <w:rPr>
          <w:sz w:val="24"/>
          <w:szCs w:val="24"/>
          <w:lang w:eastAsia="fr-FR"/>
        </w:rPr>
        <w:t xml:space="preserve"> </w:t>
      </w:r>
    </w:p>
    <w:p w14:paraId="4DD8B1A2" w14:textId="77777777" w:rsidR="00D80693" w:rsidRDefault="00D80693" w:rsidP="00D80693">
      <w:pPr>
        <w:spacing w:before="60" w:after="60"/>
        <w:ind w:left="709" w:hanging="709"/>
        <w:jc w:val="both"/>
        <w:rPr>
          <w:sz w:val="24"/>
          <w:szCs w:val="24"/>
          <w:lang w:eastAsia="fr-FR"/>
        </w:rPr>
      </w:pPr>
      <w:r w:rsidRPr="00FA0022">
        <w:rPr>
          <w:sz w:val="24"/>
          <w:szCs w:val="24"/>
          <w:lang w:eastAsia="fr-FR"/>
        </w:rPr>
        <w:t xml:space="preserve">Paillé, P. &amp; Mucchielli, A. (2016). </w:t>
      </w:r>
      <w:r w:rsidRPr="00FA0022">
        <w:rPr>
          <w:i/>
          <w:iCs/>
          <w:sz w:val="24"/>
          <w:szCs w:val="24"/>
          <w:lang w:eastAsia="fr-FR"/>
        </w:rPr>
        <w:t>L’analyse qualitative en sciences humaines et sociales</w:t>
      </w:r>
      <w:r w:rsidRPr="00FA0022">
        <w:rPr>
          <w:sz w:val="24"/>
          <w:szCs w:val="24"/>
          <w:lang w:eastAsia="fr-FR"/>
        </w:rPr>
        <w:t xml:space="preserve"> (4</w:t>
      </w:r>
      <w:r w:rsidRPr="00FA0022">
        <w:rPr>
          <w:sz w:val="24"/>
          <w:szCs w:val="24"/>
          <w:vertAlign w:val="superscript"/>
          <w:lang w:eastAsia="fr-FR"/>
        </w:rPr>
        <w:t>ème</w:t>
      </w:r>
      <w:r w:rsidRPr="00FA0022">
        <w:rPr>
          <w:sz w:val="24"/>
          <w:szCs w:val="24"/>
          <w:lang w:eastAsia="fr-FR"/>
        </w:rPr>
        <w:t xml:space="preserve"> édition). Armand Colin.</w:t>
      </w:r>
    </w:p>
    <w:p w14:paraId="0D238526" w14:textId="77777777" w:rsidR="00D80693" w:rsidRDefault="00D80693" w:rsidP="00D80693">
      <w:pPr>
        <w:spacing w:before="60" w:after="60"/>
        <w:ind w:left="709" w:hanging="709"/>
        <w:jc w:val="both"/>
        <w:rPr>
          <w:sz w:val="24"/>
          <w:szCs w:val="24"/>
          <w:lang w:eastAsia="fr-FR"/>
        </w:rPr>
      </w:pPr>
      <w:proofErr w:type="spellStart"/>
      <w:r w:rsidRPr="00FA0022">
        <w:rPr>
          <w:sz w:val="24"/>
          <w:szCs w:val="24"/>
          <w:lang w:eastAsia="fr-FR"/>
        </w:rPr>
        <w:t>Prégent</w:t>
      </w:r>
      <w:proofErr w:type="spellEnd"/>
      <w:r w:rsidRPr="00FA0022">
        <w:rPr>
          <w:sz w:val="24"/>
          <w:szCs w:val="24"/>
          <w:lang w:eastAsia="fr-FR"/>
        </w:rPr>
        <w:t xml:space="preserve">, R. (2001). </w:t>
      </w:r>
      <w:r w:rsidRPr="00FA0022">
        <w:rPr>
          <w:i/>
          <w:iCs/>
          <w:sz w:val="24"/>
          <w:szCs w:val="24"/>
          <w:lang w:eastAsia="fr-FR"/>
        </w:rPr>
        <w:t>L’encadrement des travaux de mémoire et de thèse. Conseils pédagogiques aux directeurs de recherche</w:t>
      </w:r>
      <w:r w:rsidRPr="00FA0022">
        <w:rPr>
          <w:sz w:val="24"/>
          <w:szCs w:val="24"/>
          <w:lang w:eastAsia="fr-FR"/>
        </w:rPr>
        <w:t>. Presses internationales Polytechnique.</w:t>
      </w:r>
    </w:p>
    <w:p w14:paraId="26B7A87F" w14:textId="77777777" w:rsidR="00D80693" w:rsidRDefault="00D80693" w:rsidP="00D80693">
      <w:pPr>
        <w:spacing w:before="60" w:after="60"/>
        <w:ind w:left="709" w:hanging="709"/>
        <w:jc w:val="both"/>
        <w:rPr>
          <w:sz w:val="24"/>
          <w:szCs w:val="24"/>
          <w:lang w:eastAsia="fr-FR"/>
        </w:rPr>
      </w:pPr>
      <w:r w:rsidRPr="00FA0022">
        <w:rPr>
          <w:sz w:val="24"/>
          <w:szCs w:val="24"/>
          <w:lang w:eastAsia="fr-FR"/>
        </w:rPr>
        <w:t>Pollet, M-C., Frédéric, F</w:t>
      </w:r>
      <w:r>
        <w:rPr>
          <w:sz w:val="24"/>
          <w:szCs w:val="24"/>
          <w:lang w:eastAsia="fr-FR"/>
        </w:rPr>
        <w:t>.</w:t>
      </w:r>
      <w:r w:rsidRPr="00FA0022">
        <w:rPr>
          <w:sz w:val="24"/>
          <w:szCs w:val="24"/>
          <w:lang w:eastAsia="fr-FR"/>
        </w:rPr>
        <w:t>, Glorieux, F. &amp; Van Hecke, A. (2023). Construire</w:t>
      </w:r>
      <w:r>
        <w:rPr>
          <w:sz w:val="24"/>
          <w:szCs w:val="24"/>
          <w:lang w:eastAsia="fr-FR"/>
        </w:rPr>
        <w:t xml:space="preserve"> </w:t>
      </w:r>
      <w:r w:rsidRPr="00FA0022">
        <w:rPr>
          <w:sz w:val="24"/>
          <w:szCs w:val="24"/>
          <w:lang w:eastAsia="fr-FR"/>
        </w:rPr>
        <w:t xml:space="preserve">l’intégrité scientifique des étudiants. Dans </w:t>
      </w:r>
      <w:proofErr w:type="spellStart"/>
      <w:r w:rsidRPr="00FA0022">
        <w:rPr>
          <w:sz w:val="24"/>
          <w:szCs w:val="24"/>
          <w:lang w:eastAsia="fr-FR"/>
        </w:rPr>
        <w:t>Bergadaà</w:t>
      </w:r>
      <w:proofErr w:type="spellEnd"/>
      <w:r w:rsidRPr="00FA0022">
        <w:rPr>
          <w:sz w:val="24"/>
          <w:szCs w:val="24"/>
          <w:lang w:eastAsia="fr-FR"/>
        </w:rPr>
        <w:t>, M. (</w:t>
      </w:r>
      <w:proofErr w:type="spellStart"/>
      <w:r w:rsidRPr="00FA0022">
        <w:rPr>
          <w:sz w:val="24"/>
          <w:szCs w:val="24"/>
          <w:lang w:eastAsia="fr-FR"/>
        </w:rPr>
        <w:t>dir</w:t>
      </w:r>
      <w:proofErr w:type="spellEnd"/>
      <w:r w:rsidRPr="00FA0022">
        <w:rPr>
          <w:sz w:val="24"/>
          <w:szCs w:val="24"/>
          <w:lang w:eastAsia="fr-FR"/>
        </w:rPr>
        <w:t>.)</w:t>
      </w:r>
      <w:r>
        <w:rPr>
          <w:sz w:val="24"/>
          <w:szCs w:val="24"/>
          <w:lang w:eastAsia="fr-FR"/>
        </w:rPr>
        <w:t>,</w:t>
      </w:r>
      <w:r w:rsidRPr="00FA0022">
        <w:rPr>
          <w:sz w:val="24"/>
          <w:szCs w:val="24"/>
          <w:lang w:eastAsia="fr-FR"/>
        </w:rPr>
        <w:t xml:space="preserve"> </w:t>
      </w:r>
      <w:r w:rsidRPr="00FA0022">
        <w:rPr>
          <w:i/>
          <w:iCs/>
          <w:sz w:val="24"/>
          <w:szCs w:val="24"/>
          <w:lang w:eastAsia="fr-FR"/>
        </w:rPr>
        <w:t>Les nouvelles frontières de l’intégrité académique</w:t>
      </w:r>
      <w:r>
        <w:rPr>
          <w:sz w:val="24"/>
          <w:szCs w:val="24"/>
          <w:lang w:eastAsia="fr-FR"/>
        </w:rPr>
        <w:t xml:space="preserve"> (pp. 177-191)</w:t>
      </w:r>
      <w:r w:rsidRPr="00FA0022">
        <w:rPr>
          <w:sz w:val="24"/>
          <w:szCs w:val="24"/>
          <w:lang w:eastAsia="fr-FR"/>
        </w:rPr>
        <w:t xml:space="preserve">. EMS Éditions. </w:t>
      </w:r>
      <w:hyperlink r:id="rId64" w:history="1">
        <w:r w:rsidRPr="00C412F8">
          <w:rPr>
            <w:color w:val="0000FF" w:themeColor="hyperlink"/>
            <w:sz w:val="24"/>
            <w:szCs w:val="24"/>
            <w:u w:val="single"/>
            <w:lang w:eastAsia="fr-FR"/>
          </w:rPr>
          <w:t>https://shs.cairn.info/les-nouvelles-frontieres-de-l-integrite-academique--9782376877486-page-177?lang=fr</w:t>
        </w:r>
      </w:hyperlink>
      <w:r>
        <w:rPr>
          <w:sz w:val="24"/>
          <w:szCs w:val="24"/>
          <w:lang w:eastAsia="fr-FR"/>
        </w:rPr>
        <w:t xml:space="preserve"> </w:t>
      </w:r>
    </w:p>
    <w:p w14:paraId="6EC7D19F" w14:textId="77777777" w:rsidR="00D80693" w:rsidRDefault="00D80693" w:rsidP="00D80693">
      <w:pPr>
        <w:spacing w:before="60" w:after="60"/>
        <w:ind w:left="709" w:hanging="709"/>
        <w:jc w:val="both"/>
        <w:rPr>
          <w:sz w:val="24"/>
          <w:szCs w:val="24"/>
          <w:lang w:eastAsia="fr-FR"/>
        </w:rPr>
      </w:pPr>
      <w:r w:rsidRPr="00FA0022">
        <w:rPr>
          <w:sz w:val="24"/>
          <w:szCs w:val="24"/>
          <w:lang w:eastAsia="fr-FR"/>
        </w:rPr>
        <w:t xml:space="preserve">Tchagnaou, A. (2024). Élaboration des mémoires et des thèses : styles d’encadrement et types de superviseurs. </w:t>
      </w:r>
      <w:r w:rsidRPr="00FA0022">
        <w:rPr>
          <w:i/>
          <w:iCs/>
          <w:sz w:val="24"/>
          <w:szCs w:val="24"/>
          <w:lang w:eastAsia="fr-FR"/>
        </w:rPr>
        <w:t>Collection Recherches &amp; Regards d’Afrique</w:t>
      </w:r>
      <w:r w:rsidRPr="00FA0022">
        <w:rPr>
          <w:sz w:val="24"/>
          <w:szCs w:val="24"/>
          <w:lang w:eastAsia="fr-FR"/>
        </w:rPr>
        <w:t xml:space="preserve">, </w:t>
      </w:r>
      <w:r w:rsidRPr="00FA0022">
        <w:rPr>
          <w:i/>
          <w:iCs/>
          <w:sz w:val="24"/>
          <w:szCs w:val="24"/>
          <w:lang w:eastAsia="fr-FR"/>
        </w:rPr>
        <w:t>3</w:t>
      </w:r>
      <w:r w:rsidRPr="00FA0022">
        <w:rPr>
          <w:sz w:val="24"/>
          <w:szCs w:val="24"/>
          <w:lang w:eastAsia="fr-FR"/>
        </w:rPr>
        <w:t>(7), 38-56.</w:t>
      </w:r>
      <w:r>
        <w:rPr>
          <w:sz w:val="24"/>
          <w:szCs w:val="24"/>
          <w:lang w:eastAsia="fr-FR"/>
        </w:rPr>
        <w:t xml:space="preserve"> </w:t>
      </w:r>
      <w:hyperlink r:id="rId65" w:history="1">
        <w:r w:rsidRPr="00CB3716">
          <w:rPr>
            <w:color w:val="0000FF" w:themeColor="hyperlink"/>
            <w:sz w:val="24"/>
            <w:szCs w:val="24"/>
            <w:u w:val="single"/>
            <w:lang w:eastAsia="fr-FR"/>
          </w:rPr>
          <w:t>https://revues.acaref.net/wp-content/uploads/sites/3/2024/04/2-Akimou-TCHAGNAAOU.pdf</w:t>
        </w:r>
      </w:hyperlink>
      <w:r>
        <w:rPr>
          <w:sz w:val="24"/>
          <w:szCs w:val="24"/>
          <w:lang w:eastAsia="fr-FR"/>
        </w:rPr>
        <w:t xml:space="preserve"> </w:t>
      </w:r>
    </w:p>
    <w:p w14:paraId="02C1B787" w14:textId="77777777" w:rsidR="00D80693" w:rsidRDefault="00D80693" w:rsidP="00D80693">
      <w:pPr>
        <w:rPr>
          <w:sz w:val="0"/>
          <w:szCs w:val="0"/>
        </w:rPr>
        <w:sectPr w:rsidR="00D80693" w:rsidSect="00813D27">
          <w:headerReference w:type="default" r:id="rId66"/>
          <w:pgSz w:w="11906" w:h="16838" w:code="9"/>
          <w:pgMar w:top="1418" w:right="1418" w:bottom="1418" w:left="1418" w:header="709" w:footer="709" w:gutter="0"/>
          <w:cols w:space="708"/>
          <w:docGrid w:linePitch="360"/>
        </w:sectPr>
      </w:pPr>
    </w:p>
    <w:p w14:paraId="5CAA65C5" w14:textId="4FFD5C5C" w:rsidR="00D80693" w:rsidRPr="00813D27" w:rsidRDefault="00813D27" w:rsidP="007B22B9">
      <w:pPr>
        <w:pStyle w:val="Titre1"/>
        <w:spacing w:before="120"/>
        <w:ind w:left="164"/>
        <w:rPr>
          <w:rFonts w:eastAsia="Aptos"/>
          <w:i/>
          <w:iCs/>
          <w:kern w:val="2"/>
          <w14:ligatures w14:val="standardContextual"/>
        </w:rPr>
      </w:pPr>
      <w:bookmarkStart w:id="17" w:name="_Toc219272556"/>
      <w:r w:rsidRPr="00813D27">
        <w:rPr>
          <w:rFonts w:eastAsia="Aptos"/>
          <w:i/>
          <w:iCs/>
          <w:kern w:val="2"/>
          <w14:ligatures w14:val="standardContextual"/>
        </w:rPr>
        <w:t xml:space="preserve">Planification/gestion de l’éducation au Burkina Faso : </w:t>
      </w:r>
      <w:proofErr w:type="spellStart"/>
      <w:r w:rsidRPr="00813D27">
        <w:rPr>
          <w:rFonts w:eastAsia="Aptos"/>
          <w:i/>
          <w:iCs/>
          <w:kern w:val="2"/>
          <w14:ligatures w14:val="standardContextual"/>
        </w:rPr>
        <w:t>SimuED</w:t>
      </w:r>
      <w:proofErr w:type="spellEnd"/>
      <w:r w:rsidRPr="00813D27">
        <w:rPr>
          <w:rFonts w:eastAsia="Aptos"/>
          <w:i/>
          <w:iCs/>
          <w:kern w:val="2"/>
          <w14:ligatures w14:val="standardContextual"/>
        </w:rPr>
        <w:t>, un modèle de simulation à adopter ?</w:t>
      </w:r>
      <w:bookmarkEnd w:id="17"/>
      <w:r w:rsidRPr="00813D27">
        <w:rPr>
          <w:rFonts w:eastAsia="Aptos"/>
          <w:i/>
          <w:iCs/>
          <w:kern w:val="2"/>
          <w14:ligatures w14:val="standardContextual"/>
        </w:rPr>
        <w:t xml:space="preserve"> </w:t>
      </w:r>
    </w:p>
    <w:p w14:paraId="5B1B015B" w14:textId="77777777" w:rsidR="00D80693" w:rsidRPr="00813D27" w:rsidRDefault="00D80693" w:rsidP="007B22B9">
      <w:pPr>
        <w:pStyle w:val="Titre1"/>
        <w:spacing w:before="120"/>
        <w:ind w:left="164"/>
        <w:rPr>
          <w:rFonts w:eastAsia="Aptos"/>
          <w:bCs w:val="0"/>
          <w:kern w:val="2"/>
          <w:lang w:val="pt-PT"/>
          <w14:ligatures w14:val="standardContextual"/>
        </w:rPr>
      </w:pPr>
      <w:bookmarkStart w:id="18" w:name="_Toc219272557"/>
      <w:r w:rsidRPr="00813D27">
        <w:rPr>
          <w:rFonts w:eastAsia="Aptos"/>
          <w:bCs w:val="0"/>
          <w:kern w:val="2"/>
          <w:lang w:val="pt-PT"/>
          <w14:ligatures w14:val="standardContextual"/>
        </w:rPr>
        <w:t>Yacouba Augustin SAVADOGO, Bernadin P. OUEDRAOGO, François SAWADOGO</w:t>
      </w:r>
      <w:bookmarkEnd w:id="18"/>
    </w:p>
    <w:p w14:paraId="360FE344" w14:textId="77777777" w:rsidR="00D80693" w:rsidRPr="0065773E" w:rsidRDefault="00D80693" w:rsidP="00D80693">
      <w:pPr>
        <w:rPr>
          <w:rFonts w:eastAsia="Aptos"/>
          <w:kern w:val="2"/>
          <w:lang w:val="pt-PT"/>
          <w14:ligatures w14:val="standardContextual"/>
        </w:rPr>
      </w:pPr>
    </w:p>
    <w:p w14:paraId="1A8E6E10" w14:textId="77777777" w:rsidR="00D80693" w:rsidRPr="0065773E" w:rsidRDefault="00D80693" w:rsidP="00D80693">
      <w:pPr>
        <w:rPr>
          <w:rFonts w:eastAsia="Aptos"/>
          <w:kern w:val="2"/>
          <w:lang w:val="pt-PT"/>
          <w14:ligatures w14:val="standardContextual"/>
        </w:rPr>
      </w:pPr>
    </w:p>
    <w:p w14:paraId="652124CA" w14:textId="77777777" w:rsidR="00D80693" w:rsidRPr="00047311" w:rsidRDefault="00D80693" w:rsidP="00D80693">
      <w:pPr>
        <w:jc w:val="both"/>
        <w:rPr>
          <w:rFonts w:eastAsia="Aptos"/>
          <w:b/>
          <w:bCs/>
          <w:kern w:val="2"/>
          <w:sz w:val="24"/>
          <w:szCs w:val="24"/>
          <w14:ligatures w14:val="standardContextual"/>
        </w:rPr>
      </w:pPr>
      <w:r w:rsidRPr="00047311">
        <w:rPr>
          <w:rFonts w:eastAsia="Aptos"/>
          <w:b/>
          <w:bCs/>
          <w:kern w:val="2"/>
          <w:sz w:val="24"/>
          <w:szCs w:val="24"/>
          <w14:ligatures w14:val="standardContextual"/>
        </w:rPr>
        <w:t>Résumé</w:t>
      </w:r>
    </w:p>
    <w:p w14:paraId="438D5670" w14:textId="77777777" w:rsidR="00D80693" w:rsidRPr="00047311" w:rsidRDefault="00D80693" w:rsidP="00D80693">
      <w:pPr>
        <w:spacing w:before="240"/>
        <w:jc w:val="both"/>
        <w:rPr>
          <w:rFonts w:eastAsia="Aptos"/>
          <w:kern w:val="2"/>
          <w:sz w:val="24"/>
          <w:szCs w:val="24"/>
          <w14:ligatures w14:val="standardContextual"/>
        </w:rPr>
      </w:pPr>
      <w:r w:rsidRPr="00047311">
        <w:rPr>
          <w:rFonts w:eastAsia="Aptos"/>
          <w:kern w:val="2"/>
          <w:sz w:val="24"/>
          <w:szCs w:val="24"/>
          <w14:ligatures w14:val="standardContextual"/>
        </w:rPr>
        <w:t xml:space="preserve">La présente contribution analyse la pertinence du modèle </w:t>
      </w:r>
      <w:proofErr w:type="spellStart"/>
      <w:r w:rsidRPr="00047311">
        <w:rPr>
          <w:rFonts w:eastAsia="Aptos"/>
          <w:kern w:val="2"/>
          <w:sz w:val="24"/>
          <w:szCs w:val="24"/>
          <w14:ligatures w14:val="standardContextual"/>
        </w:rPr>
        <w:t>SimuED</w:t>
      </w:r>
      <w:proofErr w:type="spellEnd"/>
      <w:r w:rsidRPr="00047311">
        <w:rPr>
          <w:rFonts w:eastAsia="Aptos"/>
          <w:kern w:val="2"/>
          <w:sz w:val="24"/>
          <w:szCs w:val="24"/>
          <w14:ligatures w14:val="standardContextual"/>
        </w:rPr>
        <w:t xml:space="preserve"> (Simulation for </w:t>
      </w:r>
      <w:proofErr w:type="spellStart"/>
      <w:r w:rsidRPr="00047311">
        <w:rPr>
          <w:rFonts w:eastAsia="Aptos"/>
          <w:kern w:val="2"/>
          <w:sz w:val="24"/>
          <w:szCs w:val="24"/>
          <w14:ligatures w14:val="standardContextual"/>
        </w:rPr>
        <w:t>EDucation</w:t>
      </w:r>
      <w:proofErr w:type="spellEnd"/>
      <w:r w:rsidRPr="00047311">
        <w:rPr>
          <w:rFonts w:eastAsia="Aptos"/>
          <w:kern w:val="2"/>
          <w:sz w:val="24"/>
          <w:szCs w:val="24"/>
          <w14:ligatures w14:val="standardContextual"/>
        </w:rPr>
        <w:t xml:space="preserve"> model) pour la planification éducative au Burkina Faso, en mettant l’accent sur la prise en compte des spécificités de l’Enseignement et de la Formation Techniques et Professionnels (EFTP). À partir d’une démarche mixte, l’étude compare la structure, les fonctionnalités et l’ergonomie de </w:t>
      </w:r>
      <w:proofErr w:type="spellStart"/>
      <w:r w:rsidRPr="00047311">
        <w:rPr>
          <w:rFonts w:eastAsia="Aptos"/>
          <w:kern w:val="2"/>
          <w:sz w:val="24"/>
          <w:szCs w:val="24"/>
          <w14:ligatures w14:val="standardContextual"/>
        </w:rPr>
        <w:t>SimuED</w:t>
      </w:r>
      <w:proofErr w:type="spellEnd"/>
      <w:r w:rsidRPr="00047311">
        <w:rPr>
          <w:rFonts w:eastAsia="Aptos"/>
          <w:kern w:val="2"/>
          <w:sz w:val="24"/>
          <w:szCs w:val="24"/>
          <w14:ligatures w14:val="standardContextual"/>
        </w:rPr>
        <w:t xml:space="preserve"> avec celles du modèle spécifique national élaboré en 2020, tout en évaluant la capacité des acteurs à utiliser ces outils pour conduire des analyses prospectives.</w:t>
      </w:r>
    </w:p>
    <w:p w14:paraId="2039E699" w14:textId="77777777" w:rsidR="00D80693" w:rsidRPr="00047311" w:rsidRDefault="00D80693" w:rsidP="00D80693">
      <w:pPr>
        <w:jc w:val="both"/>
        <w:rPr>
          <w:rFonts w:eastAsia="Aptos"/>
          <w:kern w:val="2"/>
          <w:sz w:val="24"/>
          <w:szCs w:val="24"/>
          <w14:ligatures w14:val="standardContextual"/>
        </w:rPr>
      </w:pPr>
      <w:r w:rsidRPr="00047311">
        <w:rPr>
          <w:rFonts w:eastAsia="Aptos"/>
          <w:kern w:val="2"/>
          <w:sz w:val="24"/>
          <w:szCs w:val="24"/>
          <w14:ligatures w14:val="standardContextual"/>
        </w:rPr>
        <w:t xml:space="preserve">Les résultats indiquent que </w:t>
      </w:r>
      <w:proofErr w:type="spellStart"/>
      <w:r w:rsidRPr="00047311">
        <w:rPr>
          <w:rFonts w:eastAsia="Aptos"/>
          <w:kern w:val="2"/>
          <w:sz w:val="24"/>
          <w:szCs w:val="24"/>
          <w14:ligatures w14:val="standardContextual"/>
        </w:rPr>
        <w:t>SimuED</w:t>
      </w:r>
      <w:proofErr w:type="spellEnd"/>
      <w:r w:rsidRPr="00047311">
        <w:rPr>
          <w:rFonts w:eastAsia="Aptos"/>
          <w:kern w:val="2"/>
          <w:sz w:val="24"/>
          <w:szCs w:val="24"/>
          <w14:ligatures w14:val="standardContextual"/>
        </w:rPr>
        <w:t xml:space="preserve"> offre des avantages en termes de fonctionnalités et d’ergonomie. Toutefois, les acteurs restent largement méconnaissant des modèles de simulation et </w:t>
      </w:r>
      <w:proofErr w:type="spellStart"/>
      <w:r w:rsidRPr="00047311">
        <w:rPr>
          <w:rFonts w:eastAsia="Aptos"/>
          <w:kern w:val="2"/>
          <w:sz w:val="24"/>
          <w:szCs w:val="24"/>
          <w14:ligatures w14:val="standardContextual"/>
        </w:rPr>
        <w:t>SimuED</w:t>
      </w:r>
      <w:proofErr w:type="spellEnd"/>
      <w:r w:rsidRPr="00047311">
        <w:rPr>
          <w:rFonts w:eastAsia="Aptos"/>
          <w:kern w:val="2"/>
          <w:sz w:val="24"/>
          <w:szCs w:val="24"/>
          <w14:ligatures w14:val="standardContextual"/>
        </w:rPr>
        <w:t xml:space="preserve"> demeure totalement inconnu. Ces constats soulignent la nécessité de renforcer la formation et la sensibilisation des acteurs afin de favoriser une appropriation effective de </w:t>
      </w:r>
      <w:proofErr w:type="spellStart"/>
      <w:r w:rsidRPr="00047311">
        <w:rPr>
          <w:rFonts w:eastAsia="Aptos"/>
          <w:kern w:val="2"/>
          <w:sz w:val="24"/>
          <w:szCs w:val="24"/>
          <w14:ligatures w14:val="standardContextual"/>
        </w:rPr>
        <w:t>SimuED</w:t>
      </w:r>
      <w:proofErr w:type="spellEnd"/>
      <w:r w:rsidRPr="00047311">
        <w:rPr>
          <w:rFonts w:eastAsia="Aptos"/>
          <w:kern w:val="2"/>
          <w:sz w:val="24"/>
          <w:szCs w:val="24"/>
          <w14:ligatures w14:val="standardContextual"/>
        </w:rPr>
        <w:t xml:space="preserve"> pour de meilleures analyses prospectives de l’éducation.</w:t>
      </w:r>
    </w:p>
    <w:p w14:paraId="6850423D" w14:textId="77777777" w:rsidR="00D80693" w:rsidRPr="00047311" w:rsidRDefault="00D80693" w:rsidP="00D80693">
      <w:pPr>
        <w:spacing w:before="240"/>
        <w:jc w:val="both"/>
        <w:rPr>
          <w:rFonts w:eastAsia="Aptos"/>
          <w:kern w:val="2"/>
          <w:sz w:val="24"/>
          <w:szCs w:val="24"/>
          <w14:ligatures w14:val="standardContextual"/>
        </w:rPr>
      </w:pPr>
      <w:r w:rsidRPr="00047311">
        <w:rPr>
          <w:rFonts w:eastAsia="Aptos"/>
          <w:b/>
          <w:bCs/>
          <w:kern w:val="2"/>
          <w:sz w:val="24"/>
          <w:szCs w:val="24"/>
          <w14:ligatures w14:val="standardContextual"/>
        </w:rPr>
        <w:t xml:space="preserve">Mots clés : </w:t>
      </w:r>
      <w:r w:rsidRPr="00047311">
        <w:rPr>
          <w:rFonts w:eastAsia="Aptos"/>
          <w:kern w:val="2"/>
          <w:sz w:val="24"/>
          <w:szCs w:val="24"/>
          <w14:ligatures w14:val="standardContextual"/>
        </w:rPr>
        <w:t xml:space="preserve">Modèles de simulation, </w:t>
      </w:r>
      <w:proofErr w:type="spellStart"/>
      <w:r w:rsidRPr="00047311">
        <w:rPr>
          <w:rFonts w:eastAsia="Aptos"/>
          <w:kern w:val="2"/>
          <w:sz w:val="24"/>
          <w:szCs w:val="24"/>
          <w14:ligatures w14:val="standardContextual"/>
        </w:rPr>
        <w:t>SimuED</w:t>
      </w:r>
      <w:proofErr w:type="spellEnd"/>
      <w:r w:rsidRPr="00047311">
        <w:rPr>
          <w:rFonts w:eastAsia="Aptos"/>
          <w:kern w:val="2"/>
          <w:sz w:val="24"/>
          <w:szCs w:val="24"/>
          <w14:ligatures w14:val="standardContextual"/>
        </w:rPr>
        <w:t>, Planification éducative, Analyses prospectives, EFTP.</w:t>
      </w:r>
    </w:p>
    <w:p w14:paraId="4E2F12CD" w14:textId="77777777" w:rsidR="00D80693" w:rsidRPr="00047311" w:rsidRDefault="00D80693" w:rsidP="00D80693">
      <w:pPr>
        <w:spacing w:before="240"/>
        <w:jc w:val="both"/>
        <w:rPr>
          <w:rFonts w:eastAsia="Aptos"/>
          <w:b/>
          <w:bCs/>
          <w:kern w:val="2"/>
          <w:sz w:val="24"/>
          <w:szCs w:val="24"/>
          <w:lang w:val="en-US"/>
          <w14:ligatures w14:val="standardContextual"/>
        </w:rPr>
      </w:pPr>
      <w:r w:rsidRPr="00047311">
        <w:rPr>
          <w:rFonts w:eastAsia="Aptos"/>
          <w:b/>
          <w:bCs/>
          <w:kern w:val="2"/>
          <w:sz w:val="24"/>
          <w:szCs w:val="24"/>
          <w:lang w:val="en-US"/>
          <w14:ligatures w14:val="standardContextual"/>
        </w:rPr>
        <w:t>Abstract</w:t>
      </w:r>
    </w:p>
    <w:p w14:paraId="7EF12167" w14:textId="77777777" w:rsidR="00D80693" w:rsidRPr="00047311" w:rsidRDefault="00D80693" w:rsidP="00D80693">
      <w:pPr>
        <w:spacing w:before="240"/>
        <w:jc w:val="both"/>
        <w:rPr>
          <w:rFonts w:eastAsia="Aptos"/>
          <w:kern w:val="2"/>
          <w:sz w:val="24"/>
          <w:szCs w:val="24"/>
          <w:lang w:val="en-GB"/>
          <w14:ligatures w14:val="standardContextual"/>
        </w:rPr>
      </w:pPr>
      <w:r w:rsidRPr="00047311">
        <w:rPr>
          <w:rFonts w:eastAsia="Aptos"/>
          <w:kern w:val="2"/>
          <w:sz w:val="24"/>
          <w:szCs w:val="24"/>
          <w:lang w:val="en-GB"/>
          <w14:ligatures w14:val="standardContextual"/>
        </w:rPr>
        <w:t xml:space="preserve">This article examines the relevance of the </w:t>
      </w:r>
      <w:proofErr w:type="spellStart"/>
      <w:r w:rsidRPr="00047311">
        <w:rPr>
          <w:rFonts w:eastAsia="Aptos"/>
          <w:kern w:val="2"/>
          <w:sz w:val="24"/>
          <w:szCs w:val="24"/>
          <w:lang w:val="en-GB"/>
          <w14:ligatures w14:val="standardContextual"/>
        </w:rPr>
        <w:t>SimuED</w:t>
      </w:r>
      <w:proofErr w:type="spellEnd"/>
      <w:r w:rsidRPr="00047311">
        <w:rPr>
          <w:rFonts w:eastAsia="Aptos"/>
          <w:kern w:val="2"/>
          <w:sz w:val="24"/>
          <w:szCs w:val="24"/>
          <w:lang w:val="en-GB"/>
          <w14:ligatures w14:val="standardContextual"/>
        </w:rPr>
        <w:t xml:space="preserve"> (Simulation for Education) model for educational planning in Burkina Faso, focusing on integrating the specificities of Technical and Vocational Education and Training (TVET). Using a mixed-methods approach, it compares the structure, functionalities, and usability of </w:t>
      </w:r>
      <w:proofErr w:type="spellStart"/>
      <w:r w:rsidRPr="00047311">
        <w:rPr>
          <w:rFonts w:eastAsia="Aptos"/>
          <w:kern w:val="2"/>
          <w:sz w:val="24"/>
          <w:szCs w:val="24"/>
          <w:lang w:val="en-GB"/>
          <w14:ligatures w14:val="standardContextual"/>
        </w:rPr>
        <w:t>SimuED</w:t>
      </w:r>
      <w:proofErr w:type="spellEnd"/>
      <w:r w:rsidRPr="00047311">
        <w:rPr>
          <w:rFonts w:eastAsia="Aptos"/>
          <w:kern w:val="2"/>
          <w:sz w:val="24"/>
          <w:szCs w:val="24"/>
          <w:lang w:val="en-GB"/>
          <w14:ligatures w14:val="standardContextual"/>
        </w:rPr>
        <w:t xml:space="preserve"> with the specific national model developed in 2020, while assessing stakeholders' capacity to use such tools for prospective analysis.</w:t>
      </w:r>
    </w:p>
    <w:p w14:paraId="039B71F2" w14:textId="77777777" w:rsidR="00D80693" w:rsidRPr="00047311" w:rsidRDefault="00D80693" w:rsidP="00D80693">
      <w:pPr>
        <w:spacing w:before="240"/>
        <w:jc w:val="both"/>
        <w:rPr>
          <w:rFonts w:eastAsia="Aptos"/>
          <w:kern w:val="2"/>
          <w:sz w:val="24"/>
          <w:szCs w:val="24"/>
          <w:lang w:val="en-GB"/>
          <w14:ligatures w14:val="standardContextual"/>
        </w:rPr>
      </w:pPr>
      <w:r w:rsidRPr="00047311">
        <w:rPr>
          <w:rFonts w:eastAsia="Aptos"/>
          <w:kern w:val="2"/>
          <w:sz w:val="24"/>
          <w:szCs w:val="24"/>
          <w:lang w:val="en-GB"/>
          <w14:ligatures w14:val="standardContextual"/>
        </w:rPr>
        <w:t xml:space="preserve">The results indicate that </w:t>
      </w:r>
      <w:proofErr w:type="spellStart"/>
      <w:r w:rsidRPr="00047311">
        <w:rPr>
          <w:rFonts w:eastAsia="Aptos"/>
          <w:kern w:val="2"/>
          <w:sz w:val="24"/>
          <w:szCs w:val="24"/>
          <w:lang w:val="en-GB"/>
          <w14:ligatures w14:val="standardContextual"/>
        </w:rPr>
        <w:t>SimuED</w:t>
      </w:r>
      <w:proofErr w:type="spellEnd"/>
      <w:r w:rsidRPr="00047311">
        <w:rPr>
          <w:rFonts w:eastAsia="Aptos"/>
          <w:kern w:val="2"/>
          <w:sz w:val="24"/>
          <w:szCs w:val="24"/>
          <w:lang w:val="en-GB"/>
          <w14:ligatures w14:val="standardContextual"/>
        </w:rPr>
        <w:t xml:space="preserve"> offers advantages in terms of functionality and usability. However, stakeholders remain largely unfamiliar with simulation models, and </w:t>
      </w:r>
      <w:proofErr w:type="spellStart"/>
      <w:r w:rsidRPr="00047311">
        <w:rPr>
          <w:rFonts w:eastAsia="Aptos"/>
          <w:kern w:val="2"/>
          <w:sz w:val="24"/>
          <w:szCs w:val="24"/>
          <w:lang w:val="en-GB"/>
          <w14:ligatures w14:val="standardContextual"/>
        </w:rPr>
        <w:t>SimuED</w:t>
      </w:r>
      <w:proofErr w:type="spellEnd"/>
      <w:r w:rsidRPr="00047311">
        <w:rPr>
          <w:rFonts w:eastAsia="Aptos"/>
          <w:kern w:val="2"/>
          <w:sz w:val="24"/>
          <w:szCs w:val="24"/>
          <w:lang w:val="en-GB"/>
          <w14:ligatures w14:val="standardContextual"/>
        </w:rPr>
        <w:t xml:space="preserve"> is completely unknown. These findings underscore the need to strengthen stakeholder training and awareness to foster effective appropriation of </w:t>
      </w:r>
      <w:proofErr w:type="spellStart"/>
      <w:r w:rsidRPr="00047311">
        <w:rPr>
          <w:rFonts w:eastAsia="Aptos"/>
          <w:kern w:val="2"/>
          <w:sz w:val="24"/>
          <w:szCs w:val="24"/>
          <w:lang w:val="en-GB"/>
          <w14:ligatures w14:val="standardContextual"/>
        </w:rPr>
        <w:t>SimuED</w:t>
      </w:r>
      <w:proofErr w:type="spellEnd"/>
      <w:r w:rsidRPr="00047311">
        <w:rPr>
          <w:rFonts w:eastAsia="Aptos"/>
          <w:kern w:val="2"/>
          <w:sz w:val="24"/>
          <w:szCs w:val="24"/>
          <w:lang w:val="en-GB"/>
          <w14:ligatures w14:val="standardContextual"/>
        </w:rPr>
        <w:t xml:space="preserve"> for improved prospective analysis in education.</w:t>
      </w:r>
    </w:p>
    <w:p w14:paraId="7D6EF866" w14:textId="77777777" w:rsidR="00D80693" w:rsidRPr="00955AA5" w:rsidRDefault="00D80693" w:rsidP="00D80693">
      <w:pPr>
        <w:spacing w:before="240"/>
        <w:jc w:val="both"/>
        <w:rPr>
          <w:rFonts w:eastAsia="Aptos"/>
          <w:kern w:val="2"/>
          <w:sz w:val="24"/>
          <w:szCs w:val="24"/>
          <w:lang w:val="en-US"/>
          <w14:ligatures w14:val="standardContextual"/>
        </w:rPr>
      </w:pPr>
    </w:p>
    <w:p w14:paraId="253C56B2" w14:textId="77777777" w:rsidR="00D80693" w:rsidRPr="00955AA5" w:rsidRDefault="00D80693" w:rsidP="00D80693">
      <w:pPr>
        <w:jc w:val="both"/>
        <w:rPr>
          <w:rFonts w:eastAsia="Aptos"/>
          <w:kern w:val="2"/>
          <w:lang w:val="en-US"/>
          <w14:ligatures w14:val="standardContextual"/>
        </w:rPr>
      </w:pPr>
      <w:proofErr w:type="gramStart"/>
      <w:r w:rsidRPr="00955AA5">
        <w:rPr>
          <w:rFonts w:eastAsia="Aptos"/>
          <w:b/>
          <w:bCs/>
          <w:kern w:val="2"/>
          <w:sz w:val="24"/>
          <w:szCs w:val="24"/>
          <w:lang w:val="en-US"/>
          <w14:ligatures w14:val="standardContextual"/>
        </w:rPr>
        <w:t>Keywords :</w:t>
      </w:r>
      <w:proofErr w:type="gramEnd"/>
      <w:r w:rsidRPr="00955AA5">
        <w:rPr>
          <w:rFonts w:eastAsia="Aptos"/>
          <w:b/>
          <w:bCs/>
          <w:kern w:val="2"/>
          <w:sz w:val="24"/>
          <w:szCs w:val="24"/>
          <w:lang w:val="en-US"/>
          <w14:ligatures w14:val="standardContextual"/>
        </w:rPr>
        <w:t> </w:t>
      </w:r>
      <w:r w:rsidRPr="00955AA5">
        <w:rPr>
          <w:rFonts w:eastAsia="Aptos"/>
          <w:kern w:val="2"/>
          <w:sz w:val="24"/>
          <w:szCs w:val="24"/>
          <w:lang w:val="en-US"/>
          <w14:ligatures w14:val="standardContextual"/>
        </w:rPr>
        <w:t xml:space="preserve">Simulation models, </w:t>
      </w:r>
      <w:proofErr w:type="spellStart"/>
      <w:r w:rsidRPr="00955AA5">
        <w:rPr>
          <w:rFonts w:eastAsia="Aptos"/>
          <w:kern w:val="2"/>
          <w:sz w:val="24"/>
          <w:szCs w:val="24"/>
          <w:lang w:val="en-US"/>
          <w14:ligatures w14:val="standardContextual"/>
        </w:rPr>
        <w:t>SimuED</w:t>
      </w:r>
      <w:proofErr w:type="spellEnd"/>
      <w:r w:rsidRPr="00955AA5">
        <w:rPr>
          <w:rFonts w:eastAsia="Aptos"/>
          <w:kern w:val="2"/>
          <w:sz w:val="24"/>
          <w:szCs w:val="24"/>
          <w:lang w:val="en-US"/>
          <w14:ligatures w14:val="standardContextual"/>
        </w:rPr>
        <w:t>, Educational planning, Prospective analysis, TVET</w:t>
      </w:r>
    </w:p>
    <w:p w14:paraId="16D6A509" w14:textId="77777777" w:rsidR="00D80693" w:rsidRPr="00955AA5" w:rsidRDefault="00D80693" w:rsidP="00D80693">
      <w:pPr>
        <w:jc w:val="both"/>
        <w:rPr>
          <w:rFonts w:eastAsia="Aptos"/>
          <w:b/>
          <w:bCs/>
          <w:kern w:val="2"/>
          <w:lang w:val="en-US"/>
          <w14:ligatures w14:val="standardContextual"/>
        </w:rPr>
      </w:pPr>
    </w:p>
    <w:p w14:paraId="438610DA" w14:textId="77777777" w:rsidR="00D80693" w:rsidRPr="00047311" w:rsidRDefault="00D80693" w:rsidP="00D80693">
      <w:pPr>
        <w:spacing w:before="240"/>
        <w:jc w:val="both"/>
        <w:rPr>
          <w:rFonts w:eastAsia="Aptos"/>
          <w:b/>
          <w:bCs/>
          <w:kern w:val="2"/>
          <w:lang w:val="en-US"/>
          <w14:ligatures w14:val="standardContextual"/>
        </w:rPr>
      </w:pPr>
    </w:p>
    <w:p w14:paraId="09415916" w14:textId="77777777" w:rsidR="00D80693" w:rsidRPr="00EB589F" w:rsidRDefault="00D80693" w:rsidP="00D80693">
      <w:pPr>
        <w:rPr>
          <w:rFonts w:eastAsia="Aptos"/>
          <w:b/>
          <w:bCs/>
          <w:kern w:val="2"/>
          <w:sz w:val="24"/>
          <w:szCs w:val="24"/>
          <w:lang w:val="en-US"/>
          <w14:ligatures w14:val="standardContextual"/>
        </w:rPr>
      </w:pPr>
      <w:r w:rsidRPr="00EB589F">
        <w:rPr>
          <w:rFonts w:eastAsia="Aptos"/>
          <w:b/>
          <w:bCs/>
          <w:kern w:val="2"/>
          <w:sz w:val="24"/>
          <w:szCs w:val="24"/>
          <w:lang w:val="en-US"/>
          <w14:ligatures w14:val="standardContextual"/>
        </w:rPr>
        <w:br w:type="page"/>
      </w:r>
    </w:p>
    <w:p w14:paraId="2B0344F6" w14:textId="77777777" w:rsidR="00D80693" w:rsidRPr="0007424B" w:rsidRDefault="00D80693" w:rsidP="00D80693">
      <w:pPr>
        <w:spacing w:before="240"/>
        <w:jc w:val="both"/>
        <w:rPr>
          <w:rFonts w:eastAsia="Aptos"/>
          <w:b/>
          <w:bCs/>
          <w:kern w:val="2"/>
          <w:sz w:val="28"/>
          <w:szCs w:val="28"/>
          <w14:ligatures w14:val="standardContextual"/>
        </w:rPr>
      </w:pPr>
      <w:r w:rsidRPr="0007424B">
        <w:rPr>
          <w:rFonts w:eastAsia="Aptos"/>
          <w:b/>
          <w:bCs/>
          <w:kern w:val="2"/>
          <w:sz w:val="28"/>
          <w:szCs w:val="28"/>
          <w14:ligatures w14:val="standardContextual"/>
        </w:rPr>
        <w:t>Introduction</w:t>
      </w:r>
    </w:p>
    <w:p w14:paraId="37794C09"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La planification/gestion de l’éducation repose sur des outils permettant d’anticiper l’évolution des systèmes éducatifs et d’éclairer les décisions politiques. Parmi ces outils, la simulation joue un rôle clé en aidant à modéliser les effets des choix stratégiques et à évaluer la faisabilité des politiques éducatives. Selon G. Bou et al. (2017, p. 30), « la simulation est l’un des outils d’aide à la décision les plus efficaces à la disposition des concepteurs et des gestionnaires des systèmes complexes ». Au-delà de son rôle technique, elle participe également à la gouvernance des systèmes éducatifs, en favorisant la rationalisation des choix et en réduisant les décisions arbitraires (Bray &amp; Varghese, 2011 ; Lewin, 2015). Dans la perspective des Objectifs de développement durable, et en particulier de l’ODD4 (Accès à une éducation de qualité), la planification éducative doit désormais articuler efficacité, équité et soutenabilité, ce qui renforce la nécessité d’outils prospectifs robustes (UNESCO-IIPE, 2015).</w:t>
      </w:r>
    </w:p>
    <w:p w14:paraId="4366D7BA"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Un modèle de simulation, comme le soulignent A. </w:t>
      </w:r>
      <w:proofErr w:type="spellStart"/>
      <w:r w:rsidRPr="0007424B">
        <w:rPr>
          <w:rFonts w:eastAsia="Aptos"/>
          <w:kern w:val="2"/>
          <w:sz w:val="24"/>
          <w:szCs w:val="24"/>
          <w14:ligatures w14:val="standardContextual"/>
        </w:rPr>
        <w:t>Mingat</w:t>
      </w:r>
      <w:proofErr w:type="spellEnd"/>
      <w:r w:rsidRPr="0007424B">
        <w:rPr>
          <w:rFonts w:eastAsia="Aptos"/>
          <w:kern w:val="2"/>
          <w:sz w:val="24"/>
          <w:szCs w:val="24"/>
          <w14:ligatures w14:val="standardContextual"/>
        </w:rPr>
        <w:t xml:space="preserve"> &amp; M. Brossard (2003), est une structure numérique qui représente le système éducatif d’un pays, en tenant compte de son état actuel et en projetant ses évolutions possibles. Il repose sur des paramètres variés (objectifs quantitatifs, organisationnels et qualitatifs) qui influencent la production des services éducatifs et qui peuvent être ajustés en fonction des politiques suivies.</w:t>
      </w:r>
    </w:p>
    <w:p w14:paraId="5B6EC7F8"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Ainsi, dans le domaine de la planification éducative, les États ont recours à ces modèles pour plusieurs raisons : la budgétisation des plans sectoriels, l’évaluation des impacts des réformes, et l’analyse de la viabilité des différentes options à travers des scénarios prospectifs. G.-C. Chang et M. Radi (2001) ainsi que S. Peano (2018) distinguent trois principales phases d’utilisation du modèle de simulation : la conception de la politique éducative, la planification à moyen terme et la budgétisation. La première utilisation consiste à utiliser les modèles de simulation pour analyser différents scénarios et évaluer l'impact potentiel des politiques envisagées. L'objectif est d'orienter les décideurs dans la définition des orientations stratégiques en identifiant les choix les plus pertinents pour le système éducatif. En ce qui concerne la planification à moyen terme, les modèles de simulation servent à traduire les objectifs politiques en plans d'action concrets, avec des projections sur plusieurs années. Ils permettent de prévoir l’évolution des besoins en ressources humaines, en infrastructures et en financements, tout en anticipant les défis à venir. En ce qui concerne la dernière utilisation, la simulation est utilisée pour estimer les coûts financiers des politiques éducatives et évaluer la faisabilité budgétaire des plans établis. Elle aide à optimiser l’allocation des ressources en fonction des priorités et des contraintes économiques.</w:t>
      </w:r>
    </w:p>
    <w:p w14:paraId="43FA6749"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Il existe plusieurs classifications des modèles de simulation. G.-C. Chang et M. Radi (2001) en proposent deux principales, sans exclure l’existence d’autres types. Une première classification permet de distinguer le modèle budgétaire et le modèle démographique, chaque modèle avec ses variantes. Le modèle budgétaire a pour variable de décision le budget national d’éducation tandis que dans le modèle démographique, les dépenses d’éducation ne sont que la résultante de la simulation. Une autre classification distingue les modèles génériques aussi appelés modèles « prêt à porter » et les applications spécifiques aux pays (country </w:t>
      </w:r>
      <w:proofErr w:type="spellStart"/>
      <w:r w:rsidRPr="0007424B">
        <w:rPr>
          <w:rFonts w:eastAsia="Aptos"/>
          <w:kern w:val="2"/>
          <w:sz w:val="24"/>
          <w:szCs w:val="24"/>
          <w14:ligatures w14:val="standardContextual"/>
        </w:rPr>
        <w:t>specific</w:t>
      </w:r>
      <w:proofErr w:type="spellEnd"/>
      <w:r w:rsidRPr="0007424B">
        <w:rPr>
          <w:rFonts w:eastAsia="Aptos"/>
          <w:kern w:val="2"/>
          <w:sz w:val="24"/>
          <w:szCs w:val="24"/>
          <w14:ligatures w14:val="standardContextual"/>
        </w:rPr>
        <w:t xml:space="preserve"> model) aussi qualifiés de modèles « sur mesure ».</w:t>
      </w:r>
    </w:p>
    <w:p w14:paraId="78592E76"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Toujours selon G.-C. Chang et M. Radi (2001), le modèle générique est une structure préconstruite intégrant des caractéristiques communes à la plupart des systèmes éducatifs. Bien que présentant certaines limites, il offre des indications approximatives sur les implications pédagogiques, infrastructurelles et financières des grandes orientations politiques. Son principal atout réside dans son utilisation en amont du processus décisionnel, où il favorise un dialogue politique rapide et facilite la construction d’un consensus autour des stratégies de développement de l’éducation.</w:t>
      </w:r>
    </w:p>
    <w:p w14:paraId="105867FF"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Lors de l’élaboration de son Plan Sectoriel de l’Éducation (PSEF) 2017-2030, le Burkina Faso a utilisé un modèle spécifique de type EFSM, construit à partir du Rapport d’État du Système Éducatif National (RESEN) 2016 (MESRSI, MENA &amp; MJFIP, 2017). En 2020, un autre modèle du même type a été élaborer pour des besoins d’ajustement du PSEF. Ce</w:t>
      </w:r>
      <w:r>
        <w:rPr>
          <w:rFonts w:eastAsia="Aptos"/>
          <w:kern w:val="2"/>
          <w:sz w:val="24"/>
          <w:szCs w:val="24"/>
          <w14:ligatures w14:val="standardContextual"/>
        </w:rPr>
        <w:t xml:space="preserve">s </w:t>
      </w:r>
      <w:r w:rsidRPr="0007424B">
        <w:rPr>
          <w:rFonts w:eastAsia="Aptos"/>
          <w:kern w:val="2"/>
          <w:sz w:val="24"/>
          <w:szCs w:val="24"/>
          <w14:ligatures w14:val="standardContextual"/>
        </w:rPr>
        <w:t>modèle</w:t>
      </w:r>
      <w:r>
        <w:rPr>
          <w:rFonts w:eastAsia="Aptos"/>
          <w:kern w:val="2"/>
          <w:sz w:val="24"/>
          <w:szCs w:val="24"/>
          <w14:ligatures w14:val="standardContextual"/>
        </w:rPr>
        <w:t>s</w:t>
      </w:r>
      <w:r w:rsidRPr="0007424B">
        <w:rPr>
          <w:rFonts w:eastAsia="Aptos"/>
          <w:kern w:val="2"/>
          <w:sz w:val="24"/>
          <w:szCs w:val="24"/>
          <w14:ligatures w14:val="standardContextual"/>
        </w:rPr>
        <w:t xml:space="preserve"> </w:t>
      </w:r>
      <w:r>
        <w:rPr>
          <w:rFonts w:eastAsia="Aptos"/>
          <w:kern w:val="2"/>
          <w:sz w:val="24"/>
          <w:szCs w:val="24"/>
          <w14:ligatures w14:val="standardContextual"/>
        </w:rPr>
        <w:t>ont</w:t>
      </w:r>
      <w:r w:rsidRPr="0007424B">
        <w:rPr>
          <w:rFonts w:eastAsia="Aptos"/>
          <w:kern w:val="2"/>
          <w:sz w:val="24"/>
          <w:szCs w:val="24"/>
          <w14:ligatures w14:val="standardContextual"/>
        </w:rPr>
        <w:t xml:space="preserve"> été conçu</w:t>
      </w:r>
      <w:r>
        <w:rPr>
          <w:rFonts w:eastAsia="Aptos"/>
          <w:kern w:val="2"/>
          <w:sz w:val="24"/>
          <w:szCs w:val="24"/>
          <w14:ligatures w14:val="standardContextual"/>
        </w:rPr>
        <w:t>s</w:t>
      </w:r>
      <w:r w:rsidRPr="0007424B">
        <w:rPr>
          <w:rFonts w:eastAsia="Aptos"/>
          <w:kern w:val="2"/>
          <w:sz w:val="24"/>
          <w:szCs w:val="24"/>
          <w14:ligatures w14:val="standardContextual"/>
        </w:rPr>
        <w:t xml:space="preserve"> avec l’appui technique de l’Institut international de Planification de l’Éducation (IIPE) de l’UNESCO </w:t>
      </w:r>
      <w:proofErr w:type="gramStart"/>
      <w:r w:rsidRPr="0007424B">
        <w:rPr>
          <w:rFonts w:eastAsia="Aptos"/>
          <w:kern w:val="2"/>
          <w:sz w:val="24"/>
          <w:szCs w:val="24"/>
          <w14:ligatures w14:val="standardContextual"/>
        </w:rPr>
        <w:t>( Y.</w:t>
      </w:r>
      <w:proofErr w:type="gramEnd"/>
      <w:r w:rsidRPr="0007424B">
        <w:rPr>
          <w:rFonts w:eastAsia="Aptos"/>
          <w:kern w:val="2"/>
          <w:sz w:val="24"/>
          <w:szCs w:val="24"/>
          <w14:ligatures w14:val="standardContextual"/>
        </w:rPr>
        <w:t xml:space="preserve"> A</w:t>
      </w:r>
      <w:r>
        <w:rPr>
          <w:rFonts w:eastAsia="Aptos"/>
          <w:kern w:val="2"/>
          <w:sz w:val="24"/>
          <w:szCs w:val="24"/>
          <w14:ligatures w14:val="standardContextual"/>
        </w:rPr>
        <w:t xml:space="preserve">, Savadogo, </w:t>
      </w:r>
      <w:r w:rsidRPr="0007424B">
        <w:rPr>
          <w:rFonts w:eastAsia="Aptos"/>
          <w:kern w:val="2"/>
          <w:sz w:val="24"/>
          <w:szCs w:val="24"/>
          <w14:ligatures w14:val="standardContextual"/>
        </w:rPr>
        <w:t>2024).</w:t>
      </w:r>
    </w:p>
    <w:p w14:paraId="7D08137B"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Malgré la disponibilité de modèles de simulation, notamment EFSM de la Banque mondiale (dont le modèle spécifique burkinabè de 2020 en est une adaptation) et EPSSIM de l’UNESCO, leur efficacité reste limitée en Afrique subsaharienne, notamment en raison de leur simplicité méthodologique, de l’imprécision de leurs projections à moyen et long terme (cinq ans et plus), de la faible appropriation par les acteurs nationaux et de l’inadéquation avec les spécificités sectorielles telles que l’EFTP. En effet, comme le souligne J. B. Rasera (2014), les limites de ces modèles qui résident tant au niveau de la globalisation des données que des modes de calcul, entraînent des conséquences notables. Elles mènent non seulement à des imprécisions dans les simulations, mais rendent également les paramètres peu pertinents pour guider l'action et la prise de décision.</w:t>
      </w:r>
    </w:p>
    <w:p w14:paraId="6D828043"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Face à ces insuffisances, des innovations ont émergé dans le domaine de la simulation éducative. En 2019, l’UNESCO a lancé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pour pallier les limites d’EPSSIM</w:t>
      </w:r>
      <w:r>
        <w:rPr>
          <w:rFonts w:eastAsia="Aptos"/>
          <w:kern w:val="2"/>
          <w:sz w:val="24"/>
          <w:szCs w:val="24"/>
          <w:vertAlign w:val="superscript"/>
          <w14:ligatures w14:val="standardContextual"/>
        </w:rPr>
        <w:footnoteReference w:id="6"/>
      </w:r>
      <w:r w:rsidRPr="0007424B">
        <w:rPr>
          <w:rFonts w:eastAsia="Aptos"/>
          <w:kern w:val="2"/>
          <w:sz w:val="24"/>
          <w:szCs w:val="24"/>
          <w14:ligatures w14:val="standardContextual"/>
        </w:rPr>
        <w:t xml:space="preserve">  et mieux répondre aux exigences des Objectifs de développement durable, notamment l’ODD4 relatif à l’éducation (UNESCO, 2020). Toutefois, la pertinence et l’appropriation de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dans des contextes nationaux spécifiques, tels que le Burkina Faso, restent peu documentées. Notre étude s’attache ainsi à évaluer la valeur ajoutée de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par rapport au modèle national existant, avec une attention particulière au sous-secteur de l’Enseignement et de la Formation Techniques et Professionnels (EFTP).    </w:t>
      </w:r>
    </w:p>
    <w:p w14:paraId="427F7EA1"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Dans ce contexte, il devient essentiel d’examiner la capacité de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à dépasser ces limites et à contribuer à une planification éducative plus rigoureuse et adaptée au Burkina Faso. En quoi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est-il pertinent pour améliorer la planification de l’éducation, notamment dans le sous-secteur de l’Enseignement et de la Formation Technique et Professionnelle (EFTP) au Burkina Faso ? </w:t>
      </w:r>
    </w:p>
    <w:p w14:paraId="3029BCBB"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Nous faisons l’hypothèse que le modèle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par sa structure, ses fonctionnalités et son ergonomie, constitue une innovation susceptible d’améliorer la gouvernance éducative par l’optimisation de l’efficacité des décisions stratégiques au Burkina Faso, en particulier dans le sous-secteur de l’EFTP.  </w:t>
      </w:r>
    </w:p>
    <w:p w14:paraId="28E3177F" w14:textId="77777777" w:rsidR="00813D27"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Notre étude apporte des éclairages sur la planification éducative en Afrique subsaharienne en apportant une analyse comparative originale entre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modèle de simulation développé par l’UNESCO, et le modèle spécifique national de 2020</w:t>
      </w:r>
      <w:r>
        <w:rPr>
          <w:rFonts w:eastAsia="Aptos"/>
          <w:kern w:val="2"/>
          <w:sz w:val="24"/>
          <w:szCs w:val="24"/>
          <w:vertAlign w:val="superscript"/>
          <w14:ligatures w14:val="standardContextual"/>
        </w:rPr>
        <w:footnoteReference w:id="7"/>
      </w:r>
      <w:r w:rsidRPr="0007424B">
        <w:rPr>
          <w:rFonts w:eastAsia="Aptos"/>
          <w:kern w:val="2"/>
          <w:sz w:val="24"/>
          <w:szCs w:val="24"/>
          <w14:ligatures w14:val="standardContextual"/>
        </w:rPr>
        <w:t>. Au-delà de cette comparaison de la structure et de la fonctionne, l’étude propose une évaluation empirique des capacités réelles des acteurs de l’Enseignement et de la Formation Techniques et Professionnels (EFTP) à mobiliser de tels outils pour conduire des analyses prospectives. Enfin, elle ouvre une réflexion plus large sur la pertinence des innovations en matière de planification éducative et sur les conditions de leur appropriation dans des contextes nationaux marqués par des contraintes institutionnelles, techniques et financières</w:t>
      </w:r>
      <w:r w:rsidR="00813D27">
        <w:rPr>
          <w:rFonts w:eastAsia="Aptos"/>
          <w:kern w:val="2"/>
          <w:sz w:val="24"/>
          <w:szCs w:val="24"/>
          <w14:ligatures w14:val="standardContextual"/>
        </w:rPr>
        <w:t>.</w:t>
      </w:r>
    </w:p>
    <w:p w14:paraId="6FB58628" w14:textId="77777777" w:rsidR="00813D27" w:rsidRDefault="00813D27" w:rsidP="00D80693">
      <w:pPr>
        <w:jc w:val="both"/>
        <w:rPr>
          <w:rFonts w:eastAsia="Aptos"/>
          <w:kern w:val="2"/>
          <w:sz w:val="24"/>
          <w:szCs w:val="24"/>
          <w14:ligatures w14:val="standardContextual"/>
        </w:rPr>
      </w:pPr>
    </w:p>
    <w:p w14:paraId="761D9B48" w14:textId="77777777" w:rsidR="00813D27" w:rsidRDefault="00813D27" w:rsidP="00D80693">
      <w:pPr>
        <w:jc w:val="both"/>
        <w:rPr>
          <w:rFonts w:eastAsia="Aptos"/>
          <w:kern w:val="2"/>
          <w:sz w:val="24"/>
          <w:szCs w:val="24"/>
          <w14:ligatures w14:val="standardContextual"/>
        </w:rPr>
      </w:pPr>
    </w:p>
    <w:p w14:paraId="347D7D61" w14:textId="77777777" w:rsidR="00813D27" w:rsidRDefault="00813D27" w:rsidP="00D80693">
      <w:pPr>
        <w:jc w:val="both"/>
        <w:rPr>
          <w:rFonts w:eastAsia="Aptos"/>
          <w:kern w:val="2"/>
          <w:sz w:val="24"/>
          <w:szCs w:val="24"/>
          <w14:ligatures w14:val="standardContextual"/>
        </w:rPr>
      </w:pPr>
    </w:p>
    <w:p w14:paraId="4C3A2E65" w14:textId="28FC336E" w:rsidR="00D80693" w:rsidRPr="0007424B" w:rsidRDefault="00D80693" w:rsidP="00D80693">
      <w:pPr>
        <w:jc w:val="both"/>
        <w:rPr>
          <w:rFonts w:eastAsia="Aptos"/>
          <w:kern w:val="2"/>
          <w:sz w:val="24"/>
          <w:szCs w:val="24"/>
          <w14:ligatures w14:val="standardContextual"/>
        </w:rPr>
      </w:pPr>
    </w:p>
    <w:p w14:paraId="3C2C9382" w14:textId="77777777" w:rsidR="00D80693" w:rsidRPr="0007424B" w:rsidRDefault="00D80693" w:rsidP="00D80693">
      <w:pPr>
        <w:pStyle w:val="Paragraphedeliste"/>
        <w:widowControl/>
        <w:numPr>
          <w:ilvl w:val="0"/>
          <w:numId w:val="142"/>
        </w:numPr>
        <w:autoSpaceDE/>
        <w:autoSpaceDN/>
        <w:spacing w:before="0"/>
        <w:contextualSpacing/>
        <w:rPr>
          <w:rFonts w:eastAsia="Aptos"/>
          <w:b/>
          <w:bCs/>
          <w:kern w:val="2"/>
          <w:sz w:val="28"/>
          <w:szCs w:val="28"/>
          <w14:ligatures w14:val="standardContextual"/>
        </w:rPr>
      </w:pPr>
      <w:r w:rsidRPr="0007424B">
        <w:rPr>
          <w:rFonts w:eastAsia="Aptos"/>
          <w:b/>
          <w:bCs/>
          <w:kern w:val="2"/>
          <w:sz w:val="28"/>
          <w:szCs w:val="28"/>
          <w14:ligatures w14:val="standardContextual"/>
        </w:rPr>
        <w:t>Méthodologie</w:t>
      </w:r>
    </w:p>
    <w:p w14:paraId="11B169B1" w14:textId="77777777" w:rsidR="00813D27" w:rsidRDefault="00D80693" w:rsidP="00813D27">
      <w:pPr>
        <w:spacing w:before="120"/>
        <w:jc w:val="both"/>
        <w:rPr>
          <w:rFonts w:eastAsia="Aptos"/>
          <w:b/>
          <w:bCs/>
          <w:kern w:val="2"/>
          <w:sz w:val="24"/>
          <w:szCs w:val="24"/>
          <w14:ligatures w14:val="standardContextual"/>
        </w:rPr>
      </w:pPr>
      <w:r w:rsidRPr="0007424B">
        <w:rPr>
          <w:rFonts w:eastAsia="Aptos"/>
          <w:kern w:val="2"/>
          <w:sz w:val="24"/>
          <w:szCs w:val="24"/>
          <w14:ligatures w14:val="standardContextual"/>
        </w:rPr>
        <w:t xml:space="preserve">L’approche mixte combinant des méthodes qualitatives et quantitatives a été privilégiée pour évaluer la pertinence du modèle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par rapport au modèle spécifique national élaboré en 2020 dans le contexte du Burkina Faso. </w:t>
      </w:r>
    </w:p>
    <w:p w14:paraId="172C2744" w14:textId="1C87681A" w:rsidR="00D80693" w:rsidRPr="00813D27" w:rsidRDefault="00D80693" w:rsidP="00813D27">
      <w:pPr>
        <w:spacing w:before="120"/>
        <w:jc w:val="both"/>
        <w:rPr>
          <w:rFonts w:eastAsia="Aptos"/>
          <w:b/>
          <w:bCs/>
          <w:kern w:val="2"/>
          <w:sz w:val="24"/>
          <w:szCs w:val="24"/>
          <w14:ligatures w14:val="standardContextual"/>
        </w:rPr>
      </w:pPr>
      <w:r w:rsidRPr="0007424B">
        <w:rPr>
          <w:rFonts w:eastAsia="Aptos"/>
          <w:kern w:val="2"/>
          <w:sz w:val="24"/>
          <w:szCs w:val="24"/>
          <w14:ligatures w14:val="standardContextual"/>
        </w:rPr>
        <w:t>L’étude a été menée au Burkina Faso, avec un travail de terrain réalisé principalement au sein du ministère de l’Éducation nationale, de l'Alphabétisation et de la Promotion des Langues Nationales (MENAPLN)</w:t>
      </w:r>
      <w:r>
        <w:rPr>
          <w:rFonts w:eastAsia="Aptos"/>
          <w:kern w:val="2"/>
          <w:sz w:val="24"/>
          <w:szCs w:val="24"/>
          <w:vertAlign w:val="superscript"/>
          <w14:ligatures w14:val="standardContextual"/>
        </w:rPr>
        <w:footnoteReference w:id="8"/>
      </w:r>
      <w:r w:rsidRPr="0007424B">
        <w:rPr>
          <w:rFonts w:eastAsia="Aptos"/>
          <w:kern w:val="2"/>
          <w:sz w:val="24"/>
          <w:szCs w:val="24"/>
          <w14:ligatures w14:val="standardContextual"/>
        </w:rPr>
        <w:t xml:space="preserve"> (dont l’EFTP est une composante) et plus spécifiquement à la Direction Générale des Études et des Statistiques Sectorielles (DGESS) où des enquêtes ont été conduites. Aussi deux entretiens ont été réalisés à distance dont un avec l’un des concepteurs du modèle spécifique national de 2020, basé en République Démocratique du Congo (RDC) et l’autre avec deux experts de l’Institut International de Planification de l’Éducation (IIPE) de l’UNESCO en France, via des échanges par courriel et une réunion en ligne sur Microsoft Teams. Cette approche a permis d’obtenir une diversité de perspectives et d’enrichir l’analyse comparative des modèles de simulation éducative.</w:t>
      </w:r>
    </w:p>
    <w:p w14:paraId="13EB090A" w14:textId="77777777" w:rsidR="00D80693" w:rsidRPr="0007424B" w:rsidRDefault="00D80693" w:rsidP="00813D27">
      <w:pPr>
        <w:spacing w:before="120"/>
        <w:jc w:val="both"/>
        <w:rPr>
          <w:rFonts w:eastAsia="Aptos"/>
          <w:kern w:val="2"/>
          <w:sz w:val="24"/>
          <w:szCs w:val="24"/>
          <w14:ligatures w14:val="standardContextual"/>
        </w:rPr>
      </w:pPr>
      <w:r w:rsidRPr="0007424B">
        <w:rPr>
          <w:rFonts w:eastAsia="Aptos"/>
          <w:kern w:val="2"/>
          <w:sz w:val="24"/>
          <w:szCs w:val="24"/>
          <w14:ligatures w14:val="standardContextual"/>
        </w:rPr>
        <w:t xml:space="preserve">Ainsi, l’étude a pris en compte tous les acteurs intervenant dans la planification des politiques éducatives en général et les experts intervenant dans la conception des modèles de simulation en particulier du MENAPLN. De façon aléatoire, dix-huit (18) acteurs intervenant dans l’élaboration des politiques de l’EFTP qui se sont prêtés effectivement à cette étude ainsi que deux (2) experts de l’IIPE-UNESCO/ Paris, concepteurs du modèle </w:t>
      </w:r>
      <w:proofErr w:type="spellStart"/>
      <w:r w:rsidRPr="0007424B">
        <w:rPr>
          <w:rFonts w:eastAsia="Aptos"/>
          <w:kern w:val="2"/>
          <w:sz w:val="24"/>
          <w:szCs w:val="24"/>
          <w14:ligatures w14:val="standardContextual"/>
        </w:rPr>
        <w:t>SimuED</w:t>
      </w:r>
      <w:proofErr w:type="spellEnd"/>
      <w:r w:rsidRPr="0007424B">
        <w:rPr>
          <w:rFonts w:eastAsia="Aptos"/>
          <w:kern w:val="2"/>
          <w:sz w:val="24"/>
          <w:szCs w:val="24"/>
          <w14:ligatures w14:val="standardContextual"/>
        </w:rPr>
        <w:t xml:space="preserve"> et un (1) concepteur du modèle spécifique national, résidant en RDC au moment de notre enquête.</w:t>
      </w:r>
    </w:p>
    <w:p w14:paraId="3AC673FD" w14:textId="77777777" w:rsidR="00D80693" w:rsidRPr="0007424B" w:rsidRDefault="00D80693" w:rsidP="00D80693">
      <w:pPr>
        <w:spacing w:before="240"/>
        <w:jc w:val="center"/>
        <w:rPr>
          <w:rFonts w:eastAsia="Aptos"/>
          <w:b/>
          <w:bCs/>
          <w:i/>
          <w:iCs/>
          <w:kern w:val="2"/>
          <w14:ligatures w14:val="standardContextual"/>
        </w:rPr>
      </w:pPr>
      <w:r w:rsidRPr="0007424B">
        <w:rPr>
          <w:rFonts w:eastAsia="Aptos"/>
          <w:b/>
          <w:bCs/>
          <w:i/>
          <w:iCs/>
          <w:kern w:val="2"/>
          <w14:ligatures w14:val="standardContextual"/>
        </w:rPr>
        <w:t xml:space="preserve">Tableau </w:t>
      </w:r>
      <w:r>
        <w:rPr>
          <w:rFonts w:eastAsia="Aptos"/>
          <w:b/>
          <w:bCs/>
          <w:i/>
          <w:iCs/>
          <w:kern w:val="2"/>
          <w14:ligatures w14:val="standardContextual"/>
        </w:rPr>
        <w:t>n°</w:t>
      </w:r>
      <w:r w:rsidRPr="0007424B">
        <w:rPr>
          <w:rFonts w:eastAsia="Aptos"/>
          <w:b/>
          <w:bCs/>
          <w:i/>
          <w:iCs/>
          <w:kern w:val="2"/>
          <w14:ligatures w14:val="standardContextual"/>
        </w:rPr>
        <w:t>1 :</w:t>
      </w:r>
      <w:r w:rsidRPr="0007424B">
        <w:rPr>
          <w:rFonts w:eastAsia="Aptos"/>
          <w:i/>
          <w:iCs/>
          <w:kern w:val="2"/>
          <w14:ligatures w14:val="standardContextual"/>
        </w:rPr>
        <w:t xml:space="preserve"> </w:t>
      </w:r>
      <w:r w:rsidRPr="0007424B">
        <w:rPr>
          <w:rFonts w:eastAsia="Aptos"/>
          <w:b/>
          <w:bCs/>
          <w:i/>
          <w:iCs/>
          <w:kern w:val="2"/>
          <w14:ligatures w14:val="standardContextual"/>
        </w:rPr>
        <w:t>outils de recherche utilisés dans l'étude</w:t>
      </w:r>
    </w:p>
    <w:tbl>
      <w:tblPr>
        <w:tblStyle w:val="TableGrid0"/>
        <w:tblW w:w="0" w:type="auto"/>
        <w:tblLayout w:type="fixed"/>
        <w:tblLook w:val="04A0" w:firstRow="1" w:lastRow="0" w:firstColumn="1" w:lastColumn="0" w:noHBand="0" w:noVBand="1"/>
      </w:tblPr>
      <w:tblGrid>
        <w:gridCol w:w="1444"/>
        <w:gridCol w:w="819"/>
        <w:gridCol w:w="1701"/>
        <w:gridCol w:w="2127"/>
        <w:gridCol w:w="2969"/>
      </w:tblGrid>
      <w:tr w:rsidR="00D80693" w:rsidRPr="003807C0" w14:paraId="5E28A460" w14:textId="77777777" w:rsidTr="006F7475">
        <w:tc>
          <w:tcPr>
            <w:tcW w:w="1444" w:type="dxa"/>
          </w:tcPr>
          <w:p w14:paraId="6A5C82F4" w14:textId="77777777" w:rsidR="00D80693" w:rsidRPr="003807C0" w:rsidRDefault="00D80693" w:rsidP="006F7475">
            <w:pPr>
              <w:jc w:val="both"/>
              <w:rPr>
                <w:sz w:val="18"/>
                <w:szCs w:val="18"/>
              </w:rPr>
            </w:pPr>
            <w:r w:rsidRPr="003807C0">
              <w:rPr>
                <w:sz w:val="18"/>
                <w:szCs w:val="18"/>
              </w:rPr>
              <w:t>Outil de recherche</w:t>
            </w:r>
          </w:p>
        </w:tc>
        <w:tc>
          <w:tcPr>
            <w:tcW w:w="819" w:type="dxa"/>
          </w:tcPr>
          <w:p w14:paraId="7A18C6DE" w14:textId="77777777" w:rsidR="00D80693" w:rsidRPr="003807C0" w:rsidRDefault="00D80693" w:rsidP="006F7475">
            <w:pPr>
              <w:jc w:val="both"/>
              <w:rPr>
                <w:sz w:val="18"/>
                <w:szCs w:val="18"/>
              </w:rPr>
            </w:pPr>
            <w:r w:rsidRPr="003807C0">
              <w:rPr>
                <w:sz w:val="18"/>
                <w:szCs w:val="18"/>
              </w:rPr>
              <w:t>Nombre de participants</w:t>
            </w:r>
          </w:p>
        </w:tc>
        <w:tc>
          <w:tcPr>
            <w:tcW w:w="1701" w:type="dxa"/>
            <w:vAlign w:val="center"/>
          </w:tcPr>
          <w:p w14:paraId="239238FF" w14:textId="77777777" w:rsidR="00D80693" w:rsidRPr="003807C0" w:rsidRDefault="00D80693" w:rsidP="006F7475">
            <w:pPr>
              <w:jc w:val="both"/>
              <w:rPr>
                <w:sz w:val="18"/>
                <w:szCs w:val="18"/>
              </w:rPr>
            </w:pPr>
            <w:r w:rsidRPr="003807C0">
              <w:rPr>
                <w:color w:val="0F1115"/>
                <w:sz w:val="18"/>
                <w:szCs w:val="18"/>
              </w:rPr>
              <w:t>Participants</w:t>
            </w:r>
          </w:p>
        </w:tc>
        <w:tc>
          <w:tcPr>
            <w:tcW w:w="2127" w:type="dxa"/>
            <w:vAlign w:val="center"/>
          </w:tcPr>
          <w:p w14:paraId="3BA15C57" w14:textId="77777777" w:rsidR="00D80693" w:rsidRPr="003807C0" w:rsidRDefault="00D80693" w:rsidP="006F7475">
            <w:pPr>
              <w:jc w:val="both"/>
              <w:rPr>
                <w:sz w:val="18"/>
                <w:szCs w:val="18"/>
              </w:rPr>
            </w:pPr>
            <w:r w:rsidRPr="003807C0">
              <w:rPr>
                <w:color w:val="0F1115"/>
                <w:sz w:val="18"/>
                <w:szCs w:val="18"/>
              </w:rPr>
              <w:t>Contenu des outils</w:t>
            </w:r>
          </w:p>
        </w:tc>
        <w:tc>
          <w:tcPr>
            <w:tcW w:w="2969" w:type="dxa"/>
            <w:vAlign w:val="center"/>
          </w:tcPr>
          <w:p w14:paraId="386036F2" w14:textId="77777777" w:rsidR="00D80693" w:rsidRPr="003807C0" w:rsidRDefault="00D80693" w:rsidP="006F7475">
            <w:pPr>
              <w:jc w:val="both"/>
              <w:rPr>
                <w:sz w:val="18"/>
                <w:szCs w:val="18"/>
              </w:rPr>
            </w:pPr>
            <w:r w:rsidRPr="003807C0">
              <w:rPr>
                <w:color w:val="0F1115"/>
                <w:sz w:val="18"/>
                <w:szCs w:val="18"/>
              </w:rPr>
              <w:t>Objectif visé</w:t>
            </w:r>
          </w:p>
        </w:tc>
      </w:tr>
      <w:tr w:rsidR="00D80693" w:rsidRPr="003807C0" w14:paraId="4C54FDE7" w14:textId="77777777" w:rsidTr="006F7475">
        <w:tc>
          <w:tcPr>
            <w:tcW w:w="1444" w:type="dxa"/>
          </w:tcPr>
          <w:p w14:paraId="5836D522" w14:textId="77777777" w:rsidR="00D80693" w:rsidRPr="003807C0" w:rsidRDefault="00D80693" w:rsidP="006F7475">
            <w:pPr>
              <w:jc w:val="both"/>
              <w:rPr>
                <w:sz w:val="18"/>
                <w:szCs w:val="18"/>
              </w:rPr>
            </w:pPr>
            <w:r w:rsidRPr="003807C0">
              <w:rPr>
                <w:sz w:val="18"/>
                <w:szCs w:val="18"/>
              </w:rPr>
              <w:t>Questionnaire d’enquête</w:t>
            </w:r>
          </w:p>
        </w:tc>
        <w:tc>
          <w:tcPr>
            <w:tcW w:w="819" w:type="dxa"/>
          </w:tcPr>
          <w:p w14:paraId="4A9B6686" w14:textId="77777777" w:rsidR="00D80693" w:rsidRPr="003807C0" w:rsidRDefault="00D80693" w:rsidP="006F7475">
            <w:pPr>
              <w:jc w:val="both"/>
              <w:rPr>
                <w:sz w:val="18"/>
                <w:szCs w:val="18"/>
              </w:rPr>
            </w:pPr>
            <w:r w:rsidRPr="003807C0">
              <w:rPr>
                <w:sz w:val="18"/>
                <w:szCs w:val="18"/>
              </w:rPr>
              <w:t>18</w:t>
            </w:r>
          </w:p>
        </w:tc>
        <w:tc>
          <w:tcPr>
            <w:tcW w:w="1701" w:type="dxa"/>
          </w:tcPr>
          <w:p w14:paraId="46B8EF1B" w14:textId="77777777" w:rsidR="00D80693" w:rsidRPr="003807C0" w:rsidRDefault="00D80693" w:rsidP="006F7475">
            <w:pPr>
              <w:jc w:val="both"/>
              <w:rPr>
                <w:sz w:val="18"/>
                <w:szCs w:val="18"/>
              </w:rPr>
            </w:pPr>
            <w:r w:rsidRPr="003807C0">
              <w:rPr>
                <w:sz w:val="18"/>
                <w:szCs w:val="18"/>
              </w:rPr>
              <w:t>Acteurs du MENAPLN impliqués dans l'élaboration des politiques de l'EFTP, sous-composante de l’éducation rattachée au MENAPLN</w:t>
            </w:r>
          </w:p>
        </w:tc>
        <w:tc>
          <w:tcPr>
            <w:tcW w:w="2127" w:type="dxa"/>
          </w:tcPr>
          <w:p w14:paraId="3FB9C323" w14:textId="77777777" w:rsidR="00D80693" w:rsidRPr="003807C0" w:rsidRDefault="00D80693" w:rsidP="006F7475">
            <w:pPr>
              <w:jc w:val="both"/>
              <w:rPr>
                <w:sz w:val="18"/>
                <w:szCs w:val="18"/>
              </w:rPr>
            </w:pPr>
            <w:r w:rsidRPr="003807C0">
              <w:rPr>
                <w:sz w:val="18"/>
                <w:szCs w:val="18"/>
              </w:rPr>
              <w:t>Questionnaire d'enquête focalisé sur les pratiques de planification éducative, l'utilisation des modèles de simulation existants et l'identification des besoins opérationnels.</w:t>
            </w:r>
          </w:p>
        </w:tc>
        <w:tc>
          <w:tcPr>
            <w:tcW w:w="2969" w:type="dxa"/>
          </w:tcPr>
          <w:p w14:paraId="547FF7DF" w14:textId="77777777" w:rsidR="00D80693" w:rsidRPr="003807C0" w:rsidRDefault="00D80693" w:rsidP="006F7475">
            <w:pPr>
              <w:jc w:val="both"/>
              <w:rPr>
                <w:sz w:val="18"/>
                <w:szCs w:val="18"/>
              </w:rPr>
            </w:pPr>
            <w:r w:rsidRPr="003807C0">
              <w:rPr>
                <w:sz w:val="18"/>
                <w:szCs w:val="18"/>
              </w:rPr>
              <w:t>Recueillir des données de terrain sur les processus nationaux de planification et évaluer les capacités des acteurs à utiliser des modèles de simulation pour la planification et la gestion de l’éducation ; leurs avis sur les modèles utilisés.</w:t>
            </w:r>
          </w:p>
        </w:tc>
      </w:tr>
      <w:tr w:rsidR="00D80693" w:rsidRPr="003807C0" w14:paraId="077971C1" w14:textId="77777777" w:rsidTr="006F7475">
        <w:tc>
          <w:tcPr>
            <w:tcW w:w="1444" w:type="dxa"/>
          </w:tcPr>
          <w:p w14:paraId="739D633A" w14:textId="77777777" w:rsidR="00D80693" w:rsidRPr="003807C0" w:rsidRDefault="00D80693" w:rsidP="006F7475">
            <w:pPr>
              <w:jc w:val="both"/>
              <w:rPr>
                <w:sz w:val="18"/>
                <w:szCs w:val="18"/>
              </w:rPr>
            </w:pPr>
            <w:r w:rsidRPr="003807C0">
              <w:rPr>
                <w:sz w:val="18"/>
                <w:szCs w:val="18"/>
              </w:rPr>
              <w:t>Guide d’entretien à distance (courriel)</w:t>
            </w:r>
          </w:p>
        </w:tc>
        <w:tc>
          <w:tcPr>
            <w:tcW w:w="819" w:type="dxa"/>
          </w:tcPr>
          <w:p w14:paraId="77F49FE1" w14:textId="77777777" w:rsidR="00D80693" w:rsidRPr="003807C0" w:rsidRDefault="00D80693" w:rsidP="006F7475">
            <w:pPr>
              <w:jc w:val="both"/>
              <w:rPr>
                <w:sz w:val="18"/>
                <w:szCs w:val="18"/>
              </w:rPr>
            </w:pPr>
            <w:r w:rsidRPr="003807C0">
              <w:rPr>
                <w:sz w:val="18"/>
                <w:szCs w:val="18"/>
              </w:rPr>
              <w:t>1</w:t>
            </w:r>
          </w:p>
        </w:tc>
        <w:tc>
          <w:tcPr>
            <w:tcW w:w="1701" w:type="dxa"/>
          </w:tcPr>
          <w:p w14:paraId="7EA665A8" w14:textId="77777777" w:rsidR="00D80693" w:rsidRPr="003807C0" w:rsidRDefault="00D80693" w:rsidP="006F7475">
            <w:pPr>
              <w:jc w:val="both"/>
              <w:rPr>
                <w:sz w:val="18"/>
                <w:szCs w:val="18"/>
              </w:rPr>
            </w:pPr>
            <w:r w:rsidRPr="003807C0">
              <w:rPr>
                <w:sz w:val="18"/>
                <w:szCs w:val="18"/>
              </w:rPr>
              <w:br/>
              <w:t>- 1 concepteur du modèle spécifique national (basé en RDC).</w:t>
            </w:r>
          </w:p>
        </w:tc>
        <w:tc>
          <w:tcPr>
            <w:tcW w:w="2127" w:type="dxa"/>
          </w:tcPr>
          <w:p w14:paraId="5096E607" w14:textId="77777777" w:rsidR="00D80693" w:rsidRPr="003807C0" w:rsidRDefault="00D80693" w:rsidP="006F7475">
            <w:pPr>
              <w:jc w:val="both"/>
              <w:rPr>
                <w:sz w:val="18"/>
                <w:szCs w:val="18"/>
              </w:rPr>
            </w:pPr>
            <w:r w:rsidRPr="003807C0">
              <w:rPr>
                <w:sz w:val="18"/>
                <w:szCs w:val="18"/>
              </w:rPr>
              <w:t xml:space="preserve">Guide d'entretien ouvert explorant l'architecture, les fonctionnalités, les hypothèses sous-jacentes, les forces et les limites des modèles </w:t>
            </w:r>
            <w:proofErr w:type="spellStart"/>
            <w:r w:rsidRPr="003807C0">
              <w:rPr>
                <w:sz w:val="18"/>
                <w:szCs w:val="18"/>
              </w:rPr>
              <w:t>SimuED</w:t>
            </w:r>
            <w:proofErr w:type="spellEnd"/>
            <w:r w:rsidRPr="003807C0">
              <w:rPr>
                <w:sz w:val="18"/>
                <w:szCs w:val="18"/>
              </w:rPr>
              <w:t xml:space="preserve"> et du modèle national.</w:t>
            </w:r>
          </w:p>
        </w:tc>
        <w:tc>
          <w:tcPr>
            <w:tcW w:w="2969" w:type="dxa"/>
          </w:tcPr>
          <w:p w14:paraId="48036818" w14:textId="77777777" w:rsidR="00D80693" w:rsidRPr="003807C0" w:rsidRDefault="00D80693" w:rsidP="006F7475">
            <w:pPr>
              <w:jc w:val="both"/>
              <w:rPr>
                <w:sz w:val="18"/>
                <w:szCs w:val="18"/>
              </w:rPr>
            </w:pPr>
            <w:r w:rsidRPr="003807C0">
              <w:rPr>
                <w:sz w:val="18"/>
                <w:szCs w:val="18"/>
              </w:rPr>
              <w:t>Obtenir les derniers modèles de simulation du Burkina Faso ;</w:t>
            </w:r>
          </w:p>
          <w:p w14:paraId="45BD3A7C" w14:textId="77777777" w:rsidR="00D80693" w:rsidRPr="003807C0" w:rsidRDefault="00D80693" w:rsidP="006F7475">
            <w:pPr>
              <w:jc w:val="both"/>
              <w:rPr>
                <w:sz w:val="18"/>
                <w:szCs w:val="18"/>
              </w:rPr>
            </w:pPr>
            <w:r w:rsidRPr="003807C0">
              <w:rPr>
                <w:sz w:val="18"/>
                <w:szCs w:val="18"/>
              </w:rPr>
              <w:t>Saisir la logique de conception des modèles, comprendre leur philosophie et obtenir une expertise technique directement auprès de leurs créateurs.</w:t>
            </w:r>
          </w:p>
        </w:tc>
      </w:tr>
      <w:tr w:rsidR="00D80693" w:rsidRPr="003807C0" w14:paraId="0E67FAF8" w14:textId="77777777" w:rsidTr="006F7475">
        <w:tc>
          <w:tcPr>
            <w:tcW w:w="1444" w:type="dxa"/>
          </w:tcPr>
          <w:p w14:paraId="590DB042" w14:textId="77777777" w:rsidR="00D80693" w:rsidRPr="003807C0" w:rsidRDefault="00D80693" w:rsidP="006F7475">
            <w:pPr>
              <w:jc w:val="both"/>
              <w:rPr>
                <w:sz w:val="18"/>
                <w:szCs w:val="18"/>
              </w:rPr>
            </w:pPr>
            <w:r w:rsidRPr="003807C0">
              <w:rPr>
                <w:sz w:val="18"/>
                <w:szCs w:val="18"/>
              </w:rPr>
              <w:t>Réunion en ligne (Microsoft Teams)</w:t>
            </w:r>
          </w:p>
        </w:tc>
        <w:tc>
          <w:tcPr>
            <w:tcW w:w="819" w:type="dxa"/>
          </w:tcPr>
          <w:p w14:paraId="7D2FC830" w14:textId="77777777" w:rsidR="00D80693" w:rsidRPr="003807C0" w:rsidRDefault="00D80693" w:rsidP="006F7475">
            <w:pPr>
              <w:jc w:val="both"/>
              <w:rPr>
                <w:sz w:val="18"/>
                <w:szCs w:val="18"/>
              </w:rPr>
            </w:pPr>
            <w:r w:rsidRPr="003807C0">
              <w:rPr>
                <w:sz w:val="18"/>
                <w:szCs w:val="18"/>
              </w:rPr>
              <w:t>2</w:t>
            </w:r>
          </w:p>
        </w:tc>
        <w:tc>
          <w:tcPr>
            <w:tcW w:w="1701" w:type="dxa"/>
          </w:tcPr>
          <w:p w14:paraId="2D1FCF14" w14:textId="77777777" w:rsidR="00D80693" w:rsidRPr="003807C0" w:rsidRDefault="00D80693" w:rsidP="006F7475">
            <w:pPr>
              <w:jc w:val="both"/>
              <w:rPr>
                <w:sz w:val="18"/>
                <w:szCs w:val="18"/>
              </w:rPr>
            </w:pPr>
            <w:r w:rsidRPr="003807C0">
              <w:rPr>
                <w:sz w:val="18"/>
                <w:szCs w:val="18"/>
              </w:rPr>
              <w:t>Experts de l'IIPE-UNESCO/Paris</w:t>
            </w:r>
          </w:p>
        </w:tc>
        <w:tc>
          <w:tcPr>
            <w:tcW w:w="2127" w:type="dxa"/>
          </w:tcPr>
          <w:p w14:paraId="3857ECA3" w14:textId="77777777" w:rsidR="00D80693" w:rsidRPr="003807C0" w:rsidRDefault="00D80693" w:rsidP="006F7475">
            <w:pPr>
              <w:jc w:val="both"/>
              <w:rPr>
                <w:sz w:val="18"/>
                <w:szCs w:val="18"/>
              </w:rPr>
            </w:pPr>
            <w:r w:rsidRPr="003807C0">
              <w:rPr>
                <w:sz w:val="18"/>
                <w:szCs w:val="18"/>
              </w:rPr>
              <w:t xml:space="preserve">Ordre du jour pour une discussion portant sur la présentation croisée des modèles, examen des cas d'usage, avis sur la plus-value de </w:t>
            </w:r>
            <w:proofErr w:type="spellStart"/>
            <w:r w:rsidRPr="003807C0">
              <w:rPr>
                <w:sz w:val="18"/>
                <w:szCs w:val="18"/>
              </w:rPr>
              <w:t>SimuED</w:t>
            </w:r>
            <w:proofErr w:type="spellEnd"/>
            <w:r w:rsidRPr="003807C0">
              <w:rPr>
                <w:sz w:val="18"/>
                <w:szCs w:val="18"/>
              </w:rPr>
              <w:t xml:space="preserve"> par rapport aux modèles spécifiques nationaux</w:t>
            </w:r>
          </w:p>
        </w:tc>
        <w:tc>
          <w:tcPr>
            <w:tcW w:w="2969" w:type="dxa"/>
          </w:tcPr>
          <w:p w14:paraId="201DEFCD" w14:textId="77777777" w:rsidR="00D80693" w:rsidRPr="003807C0" w:rsidRDefault="00D80693" w:rsidP="006F7475">
            <w:pPr>
              <w:jc w:val="both"/>
              <w:rPr>
                <w:sz w:val="18"/>
                <w:szCs w:val="18"/>
              </w:rPr>
            </w:pPr>
            <w:r w:rsidRPr="003807C0">
              <w:rPr>
                <w:sz w:val="18"/>
                <w:szCs w:val="18"/>
              </w:rPr>
              <w:t xml:space="preserve">Recueillir des avis d’experts sur la plus-value de l'utilisation de </w:t>
            </w:r>
            <w:proofErr w:type="spellStart"/>
            <w:r w:rsidRPr="003807C0">
              <w:rPr>
                <w:sz w:val="18"/>
                <w:szCs w:val="18"/>
              </w:rPr>
              <w:t>SimuED</w:t>
            </w:r>
            <w:proofErr w:type="spellEnd"/>
            <w:r w:rsidRPr="003807C0">
              <w:rPr>
                <w:sz w:val="18"/>
                <w:szCs w:val="18"/>
              </w:rPr>
              <w:t> dans l'analyse prospective des politiques éducatives en générale et celles de l'EFTP en particulier au Burkina Faso. </w:t>
            </w:r>
          </w:p>
          <w:p w14:paraId="378542FF" w14:textId="77777777" w:rsidR="00D80693" w:rsidRPr="003807C0" w:rsidRDefault="00D80693" w:rsidP="006F7475">
            <w:pPr>
              <w:jc w:val="both"/>
              <w:rPr>
                <w:sz w:val="18"/>
                <w:szCs w:val="18"/>
              </w:rPr>
            </w:pPr>
            <w:r w:rsidRPr="003807C0">
              <w:rPr>
                <w:sz w:val="18"/>
                <w:szCs w:val="18"/>
              </w:rPr>
              <w:t xml:space="preserve">Obtenir la dernière version de </w:t>
            </w:r>
            <w:proofErr w:type="spellStart"/>
            <w:r w:rsidRPr="003807C0">
              <w:rPr>
                <w:sz w:val="18"/>
                <w:szCs w:val="18"/>
              </w:rPr>
              <w:t>SimuED</w:t>
            </w:r>
            <w:proofErr w:type="spellEnd"/>
            <w:r w:rsidRPr="003807C0">
              <w:rPr>
                <w:sz w:val="18"/>
                <w:szCs w:val="18"/>
              </w:rPr>
              <w:t>.</w:t>
            </w:r>
          </w:p>
        </w:tc>
      </w:tr>
    </w:tbl>
    <w:p w14:paraId="4613B6C3" w14:textId="77777777" w:rsidR="00D80693" w:rsidRPr="00FC6921" w:rsidRDefault="00D80693" w:rsidP="00D80693">
      <w:pPr>
        <w:jc w:val="center"/>
        <w:rPr>
          <w:rFonts w:eastAsia="Aptos"/>
          <w:kern w:val="2"/>
          <w14:ligatures w14:val="standardContextual"/>
        </w:rPr>
      </w:pPr>
      <w:r w:rsidRPr="0007424B">
        <w:rPr>
          <w:rFonts w:eastAsia="Aptos"/>
          <w:i/>
          <w:iCs/>
          <w:kern w:val="2"/>
          <w14:ligatures w14:val="standardContextual"/>
        </w:rPr>
        <w:t>Source : S</w:t>
      </w:r>
      <w:r>
        <w:rPr>
          <w:rFonts w:eastAsia="Aptos"/>
          <w:i/>
          <w:iCs/>
          <w:kern w:val="2"/>
          <w14:ligatures w14:val="standardContextual"/>
        </w:rPr>
        <w:t>avadogo</w:t>
      </w:r>
      <w:r w:rsidRPr="0007424B">
        <w:rPr>
          <w:rFonts w:eastAsia="Aptos"/>
          <w:i/>
          <w:iCs/>
          <w:kern w:val="2"/>
          <w14:ligatures w14:val="standardContextual"/>
        </w:rPr>
        <w:t>, Y. A.  (2024</w:t>
      </w:r>
    </w:p>
    <w:p w14:paraId="7D57394B" w14:textId="77777777" w:rsidR="00D80693" w:rsidRPr="00FC6921" w:rsidRDefault="00D80693" w:rsidP="00D80693">
      <w:pPr>
        <w:jc w:val="both"/>
        <w:rPr>
          <w:rFonts w:eastAsia="Aptos"/>
          <w:kern w:val="2"/>
          <w14:ligatures w14:val="standardContextual"/>
        </w:rPr>
      </w:pPr>
    </w:p>
    <w:p w14:paraId="163DE603" w14:textId="77777777" w:rsidR="00D80693" w:rsidRPr="005B6212" w:rsidRDefault="00D80693" w:rsidP="00813D27">
      <w:pPr>
        <w:jc w:val="both"/>
        <w:rPr>
          <w:rFonts w:eastAsia="Aptos"/>
          <w:kern w:val="2"/>
          <w:sz w:val="24"/>
          <w:szCs w:val="24"/>
          <w14:ligatures w14:val="standardContextual"/>
        </w:rPr>
      </w:pPr>
      <w:r w:rsidRPr="005B6212">
        <w:rPr>
          <w:rFonts w:eastAsia="Aptos"/>
          <w:kern w:val="2"/>
          <w:sz w:val="24"/>
          <w:szCs w:val="24"/>
          <w14:ligatures w14:val="standardContextual"/>
        </w:rPr>
        <w:t xml:space="preserve">Pour la collecte des données un questionnaire d’enquête a été utilisé à travers google </w:t>
      </w:r>
      <w:proofErr w:type="spellStart"/>
      <w:r w:rsidRPr="005B6212">
        <w:rPr>
          <w:rFonts w:eastAsia="Aptos"/>
          <w:kern w:val="2"/>
          <w:sz w:val="24"/>
          <w:szCs w:val="24"/>
          <w14:ligatures w14:val="standardContextual"/>
        </w:rPr>
        <w:t>forms</w:t>
      </w:r>
      <w:proofErr w:type="spellEnd"/>
      <w:r w:rsidRPr="005B6212">
        <w:rPr>
          <w:rFonts w:eastAsia="Aptos"/>
          <w:kern w:val="2"/>
          <w:sz w:val="24"/>
          <w:szCs w:val="24"/>
          <w14:ligatures w14:val="standardContextual"/>
        </w:rPr>
        <w:t xml:space="preserve"> et adressé aux acteurs intervenant dans la planification des politiques éducatives du MENAPLN ; aussi, des entretiens avec les experts intervenant dans la conception du modèle de simulation des politiques éducatives au Burkina Faso ont été réalisés. Enfin, une revue documentaire a été faite  à travers les annuaires statistiques du ministère; les tableaux de bord de la gouvernance, les tableaux de bord des différents ordres d’enseignement ; le RESEN 2016, le plan sectoriel 2017-2030 et d’autres documents de diagnostic du système éducatif, ainsi que ceux  fournis par l’Institut National des Statistiques et de la Démographie (INSD), tels que le Rapport du 5ème Recensement Général de la Population et de l’Habitat (RGPH), des documents de rapports budgétaires fournis par le ministère de l’Économie et de Finances ont également été consultés. Ces documents nous ont permis de disposer d’un ensemble d’informations nécessaires pour la mise en œuvre de la simulation avec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w:t>
      </w:r>
    </w:p>
    <w:p w14:paraId="5FADCCFE" w14:textId="77777777" w:rsidR="00D80693" w:rsidRPr="00FC6921" w:rsidRDefault="00D80693" w:rsidP="00D80693">
      <w:pPr>
        <w:jc w:val="both"/>
        <w:rPr>
          <w:rFonts w:eastAsia="Aptos"/>
          <w:kern w:val="2"/>
          <w14:ligatures w14:val="standardContextual"/>
        </w:rPr>
      </w:pPr>
    </w:p>
    <w:p w14:paraId="299E0630" w14:textId="77777777" w:rsidR="00D80693" w:rsidRPr="00BC4040" w:rsidRDefault="00D80693" w:rsidP="00D80693">
      <w:pPr>
        <w:jc w:val="center"/>
        <w:rPr>
          <w:rFonts w:eastAsia="Aptos"/>
          <w:b/>
          <w:bCs/>
          <w:kern w:val="2"/>
          <w14:ligatures w14:val="standardContextual"/>
        </w:rPr>
      </w:pPr>
      <w:r w:rsidRPr="00BC4040">
        <w:rPr>
          <w:rFonts w:eastAsia="Aptos"/>
          <w:b/>
          <w:bCs/>
          <w:kern w:val="2"/>
          <w14:ligatures w14:val="standardContextual"/>
        </w:rPr>
        <w:t>T</w:t>
      </w:r>
      <w:r w:rsidRPr="005B6212">
        <w:rPr>
          <w:rFonts w:eastAsia="Aptos"/>
          <w:b/>
          <w:bCs/>
          <w:i/>
          <w:iCs/>
          <w:kern w:val="2"/>
          <w14:ligatures w14:val="standardContextual"/>
        </w:rPr>
        <w:t>ableau N°2 :</w:t>
      </w:r>
      <w:r w:rsidRPr="005B6212">
        <w:rPr>
          <w:rFonts w:eastAsia="Aptos"/>
          <w:i/>
          <w:iCs/>
          <w:kern w:val="2"/>
          <w14:ligatures w14:val="standardContextual"/>
        </w:rPr>
        <w:t xml:space="preserve"> </w:t>
      </w:r>
      <w:r w:rsidRPr="005B6212">
        <w:rPr>
          <w:rFonts w:eastAsia="Aptos"/>
          <w:b/>
          <w:bCs/>
          <w:i/>
          <w:iCs/>
          <w:kern w:val="2"/>
          <w14:ligatures w14:val="standardContextual"/>
        </w:rPr>
        <w:t>documents consultés lors de la revue documentaire</w:t>
      </w:r>
    </w:p>
    <w:tbl>
      <w:tblPr>
        <w:tblStyle w:val="TableGrid0"/>
        <w:tblW w:w="9062" w:type="dxa"/>
        <w:tblLayout w:type="fixed"/>
        <w:tblLook w:val="04A0" w:firstRow="1" w:lastRow="0" w:firstColumn="1" w:lastColumn="0" w:noHBand="0" w:noVBand="1"/>
      </w:tblPr>
      <w:tblGrid>
        <w:gridCol w:w="1836"/>
        <w:gridCol w:w="1420"/>
        <w:gridCol w:w="2126"/>
        <w:gridCol w:w="3680"/>
      </w:tblGrid>
      <w:tr w:rsidR="00D80693" w:rsidRPr="003807C0" w14:paraId="3E412CC2" w14:textId="77777777" w:rsidTr="00D72320">
        <w:tc>
          <w:tcPr>
            <w:tcW w:w="1836" w:type="dxa"/>
            <w:vAlign w:val="center"/>
          </w:tcPr>
          <w:p w14:paraId="2E603814" w14:textId="77777777" w:rsidR="00D80693" w:rsidRPr="003807C0" w:rsidRDefault="00D80693" w:rsidP="006F7475">
            <w:pPr>
              <w:contextualSpacing/>
              <w:jc w:val="both"/>
              <w:rPr>
                <w:b/>
                <w:bCs/>
                <w:sz w:val="20"/>
                <w:szCs w:val="20"/>
              </w:rPr>
            </w:pPr>
            <w:r w:rsidRPr="003807C0">
              <w:rPr>
                <w:b/>
                <w:bCs/>
                <w:color w:val="0F1115"/>
                <w:sz w:val="20"/>
                <w:szCs w:val="20"/>
              </w:rPr>
              <w:t>Catégorie de document</w:t>
            </w:r>
          </w:p>
        </w:tc>
        <w:tc>
          <w:tcPr>
            <w:tcW w:w="1420" w:type="dxa"/>
            <w:vAlign w:val="center"/>
          </w:tcPr>
          <w:p w14:paraId="3C542C89" w14:textId="77777777" w:rsidR="00D80693" w:rsidRPr="003807C0" w:rsidRDefault="00D80693" w:rsidP="006F7475">
            <w:pPr>
              <w:contextualSpacing/>
              <w:jc w:val="both"/>
              <w:rPr>
                <w:b/>
                <w:bCs/>
                <w:sz w:val="20"/>
                <w:szCs w:val="20"/>
              </w:rPr>
            </w:pPr>
            <w:r w:rsidRPr="003807C0">
              <w:rPr>
                <w:b/>
                <w:bCs/>
                <w:color w:val="0F1115"/>
                <w:sz w:val="20"/>
                <w:szCs w:val="20"/>
              </w:rPr>
              <w:t>Institution source</w:t>
            </w:r>
          </w:p>
        </w:tc>
        <w:tc>
          <w:tcPr>
            <w:tcW w:w="2126" w:type="dxa"/>
            <w:vAlign w:val="center"/>
          </w:tcPr>
          <w:p w14:paraId="043D5260" w14:textId="77777777" w:rsidR="00D80693" w:rsidRPr="003807C0" w:rsidRDefault="00D80693" w:rsidP="006F7475">
            <w:pPr>
              <w:contextualSpacing/>
              <w:jc w:val="both"/>
              <w:rPr>
                <w:b/>
                <w:bCs/>
                <w:sz w:val="20"/>
                <w:szCs w:val="20"/>
              </w:rPr>
            </w:pPr>
            <w:r w:rsidRPr="003807C0">
              <w:rPr>
                <w:b/>
                <w:bCs/>
                <w:color w:val="0F1115"/>
                <w:sz w:val="20"/>
                <w:szCs w:val="20"/>
              </w:rPr>
              <w:t>Période / Référence couverte</w:t>
            </w:r>
          </w:p>
        </w:tc>
        <w:tc>
          <w:tcPr>
            <w:tcW w:w="3680" w:type="dxa"/>
            <w:vAlign w:val="center"/>
          </w:tcPr>
          <w:p w14:paraId="3F8DCEBE" w14:textId="77777777" w:rsidR="00D80693" w:rsidRPr="003807C0" w:rsidRDefault="00D80693" w:rsidP="006F7475">
            <w:pPr>
              <w:contextualSpacing/>
              <w:jc w:val="both"/>
              <w:rPr>
                <w:b/>
                <w:bCs/>
                <w:sz w:val="20"/>
                <w:szCs w:val="20"/>
              </w:rPr>
            </w:pPr>
            <w:r w:rsidRPr="003807C0">
              <w:rPr>
                <w:b/>
                <w:bCs/>
                <w:color w:val="0F1115"/>
                <w:sz w:val="20"/>
                <w:szCs w:val="20"/>
              </w:rPr>
              <w:t>Données recueillies</w:t>
            </w:r>
          </w:p>
        </w:tc>
      </w:tr>
      <w:tr w:rsidR="00D80693" w:rsidRPr="003807C0" w14:paraId="71ACACBC" w14:textId="77777777" w:rsidTr="00D72320">
        <w:tc>
          <w:tcPr>
            <w:tcW w:w="1836" w:type="dxa"/>
          </w:tcPr>
          <w:p w14:paraId="655EF13B" w14:textId="77777777" w:rsidR="00D80693" w:rsidRPr="003807C0" w:rsidRDefault="00D80693" w:rsidP="006F7475">
            <w:pPr>
              <w:contextualSpacing/>
              <w:jc w:val="both"/>
              <w:rPr>
                <w:sz w:val="20"/>
                <w:szCs w:val="20"/>
              </w:rPr>
            </w:pPr>
            <w:r w:rsidRPr="003807C0">
              <w:rPr>
                <w:sz w:val="20"/>
                <w:szCs w:val="20"/>
              </w:rPr>
              <w:t>Annuaires statistiques du préscolaire</w:t>
            </w:r>
          </w:p>
        </w:tc>
        <w:tc>
          <w:tcPr>
            <w:tcW w:w="1420" w:type="dxa"/>
          </w:tcPr>
          <w:p w14:paraId="06594DB6" w14:textId="77777777" w:rsidR="00D80693" w:rsidRPr="003807C0" w:rsidRDefault="00D80693" w:rsidP="006F7475">
            <w:pPr>
              <w:contextualSpacing/>
              <w:jc w:val="both"/>
              <w:rPr>
                <w:sz w:val="20"/>
                <w:szCs w:val="20"/>
              </w:rPr>
            </w:pPr>
            <w:r w:rsidRPr="003807C0">
              <w:rPr>
                <w:sz w:val="20"/>
                <w:szCs w:val="20"/>
              </w:rPr>
              <w:t>MENAPLN/DGESS</w:t>
            </w:r>
          </w:p>
        </w:tc>
        <w:tc>
          <w:tcPr>
            <w:tcW w:w="2126" w:type="dxa"/>
          </w:tcPr>
          <w:p w14:paraId="2B06FA76" w14:textId="77777777" w:rsidR="00D80693" w:rsidRPr="003807C0" w:rsidRDefault="00D80693" w:rsidP="006F7475">
            <w:pPr>
              <w:contextualSpacing/>
              <w:jc w:val="both"/>
              <w:rPr>
                <w:sz w:val="20"/>
                <w:szCs w:val="20"/>
              </w:rPr>
            </w:pPr>
            <w:r w:rsidRPr="003807C0">
              <w:rPr>
                <w:sz w:val="20"/>
                <w:szCs w:val="20"/>
              </w:rPr>
              <w:t>2019-2020, 2020-2021</w:t>
            </w:r>
          </w:p>
        </w:tc>
        <w:tc>
          <w:tcPr>
            <w:tcW w:w="3680" w:type="dxa"/>
          </w:tcPr>
          <w:p w14:paraId="45C35550" w14:textId="77777777" w:rsidR="00D80693" w:rsidRPr="003807C0" w:rsidRDefault="00D80693" w:rsidP="006F7475">
            <w:pPr>
              <w:contextualSpacing/>
              <w:jc w:val="both"/>
              <w:rPr>
                <w:sz w:val="20"/>
                <w:szCs w:val="20"/>
              </w:rPr>
            </w:pPr>
            <w:r w:rsidRPr="003807C0">
              <w:rPr>
                <w:sz w:val="20"/>
                <w:szCs w:val="20"/>
              </w:rPr>
              <w:t>Les effectifs des élèves et ceux du personnel, les données sur les infrastructures pour calibrer le modèle.</w:t>
            </w:r>
          </w:p>
        </w:tc>
      </w:tr>
      <w:tr w:rsidR="00D80693" w:rsidRPr="003807C0" w14:paraId="77193913" w14:textId="77777777" w:rsidTr="00D72320">
        <w:tc>
          <w:tcPr>
            <w:tcW w:w="1836" w:type="dxa"/>
          </w:tcPr>
          <w:p w14:paraId="086B9DDD" w14:textId="77777777" w:rsidR="00D80693" w:rsidRPr="003807C0" w:rsidRDefault="00D80693" w:rsidP="006F7475">
            <w:pPr>
              <w:contextualSpacing/>
              <w:jc w:val="both"/>
              <w:rPr>
                <w:sz w:val="20"/>
                <w:szCs w:val="20"/>
              </w:rPr>
            </w:pPr>
            <w:r w:rsidRPr="003807C0">
              <w:rPr>
                <w:sz w:val="20"/>
                <w:szCs w:val="20"/>
              </w:rPr>
              <w:t>Annuaires statistiques du primaire</w:t>
            </w:r>
          </w:p>
        </w:tc>
        <w:tc>
          <w:tcPr>
            <w:tcW w:w="1420" w:type="dxa"/>
          </w:tcPr>
          <w:p w14:paraId="2393DA9D" w14:textId="77777777" w:rsidR="00D80693" w:rsidRPr="003807C0" w:rsidRDefault="00D80693" w:rsidP="006F7475">
            <w:pPr>
              <w:contextualSpacing/>
              <w:jc w:val="both"/>
              <w:rPr>
                <w:sz w:val="20"/>
                <w:szCs w:val="20"/>
              </w:rPr>
            </w:pPr>
            <w:r w:rsidRPr="003807C0">
              <w:rPr>
                <w:sz w:val="20"/>
                <w:szCs w:val="20"/>
              </w:rPr>
              <w:t>MENAPLN/DGESS</w:t>
            </w:r>
          </w:p>
        </w:tc>
        <w:tc>
          <w:tcPr>
            <w:tcW w:w="2126" w:type="dxa"/>
          </w:tcPr>
          <w:p w14:paraId="7A367CC4" w14:textId="77777777" w:rsidR="00D80693" w:rsidRPr="003807C0" w:rsidRDefault="00D80693" w:rsidP="006F7475">
            <w:pPr>
              <w:contextualSpacing/>
              <w:jc w:val="both"/>
              <w:rPr>
                <w:sz w:val="20"/>
                <w:szCs w:val="20"/>
              </w:rPr>
            </w:pPr>
            <w:r w:rsidRPr="003807C0">
              <w:rPr>
                <w:sz w:val="20"/>
                <w:szCs w:val="20"/>
              </w:rPr>
              <w:t>2019-2020, 2020-2021</w:t>
            </w:r>
          </w:p>
        </w:tc>
        <w:tc>
          <w:tcPr>
            <w:tcW w:w="3680" w:type="dxa"/>
          </w:tcPr>
          <w:p w14:paraId="175D7333" w14:textId="77777777" w:rsidR="00D80693" w:rsidRPr="003807C0" w:rsidRDefault="00D80693" w:rsidP="006F7475">
            <w:pPr>
              <w:contextualSpacing/>
              <w:jc w:val="both"/>
              <w:rPr>
                <w:sz w:val="20"/>
                <w:szCs w:val="20"/>
              </w:rPr>
            </w:pPr>
            <w:r w:rsidRPr="003807C0">
              <w:rPr>
                <w:sz w:val="20"/>
                <w:szCs w:val="20"/>
              </w:rPr>
              <w:t>Les effectifs des élèves et ceux du personnel, les données sur les infrastructures pour calibrer le modèle.</w:t>
            </w:r>
          </w:p>
        </w:tc>
      </w:tr>
      <w:tr w:rsidR="00D80693" w:rsidRPr="003807C0" w14:paraId="57B1B884" w14:textId="77777777" w:rsidTr="00D72320">
        <w:tc>
          <w:tcPr>
            <w:tcW w:w="1836" w:type="dxa"/>
          </w:tcPr>
          <w:p w14:paraId="1DAF8E08" w14:textId="77777777" w:rsidR="00D80693" w:rsidRPr="003807C0" w:rsidRDefault="00D80693" w:rsidP="006F7475">
            <w:pPr>
              <w:contextualSpacing/>
              <w:jc w:val="both"/>
              <w:rPr>
                <w:sz w:val="20"/>
                <w:szCs w:val="20"/>
              </w:rPr>
            </w:pPr>
            <w:r w:rsidRPr="003807C0">
              <w:rPr>
                <w:sz w:val="20"/>
                <w:szCs w:val="20"/>
              </w:rPr>
              <w:t>Annuaires statistiques du post-primaire et du secondaire</w:t>
            </w:r>
          </w:p>
        </w:tc>
        <w:tc>
          <w:tcPr>
            <w:tcW w:w="1420" w:type="dxa"/>
          </w:tcPr>
          <w:p w14:paraId="72E893C2" w14:textId="77777777" w:rsidR="00D80693" w:rsidRPr="003807C0" w:rsidRDefault="00D80693" w:rsidP="006F7475">
            <w:pPr>
              <w:contextualSpacing/>
              <w:jc w:val="both"/>
              <w:rPr>
                <w:sz w:val="20"/>
                <w:szCs w:val="20"/>
              </w:rPr>
            </w:pPr>
            <w:r w:rsidRPr="003807C0">
              <w:rPr>
                <w:sz w:val="20"/>
                <w:szCs w:val="20"/>
              </w:rPr>
              <w:t>MENAPLN/DGESS</w:t>
            </w:r>
          </w:p>
        </w:tc>
        <w:tc>
          <w:tcPr>
            <w:tcW w:w="2126" w:type="dxa"/>
          </w:tcPr>
          <w:p w14:paraId="5F7964EC" w14:textId="77777777" w:rsidR="00D80693" w:rsidRPr="003807C0" w:rsidRDefault="00D80693" w:rsidP="006F7475">
            <w:pPr>
              <w:contextualSpacing/>
              <w:jc w:val="both"/>
              <w:rPr>
                <w:sz w:val="20"/>
                <w:szCs w:val="20"/>
              </w:rPr>
            </w:pPr>
            <w:r w:rsidRPr="003807C0">
              <w:rPr>
                <w:sz w:val="20"/>
                <w:szCs w:val="20"/>
              </w:rPr>
              <w:t>2019-2020, 2020-2021</w:t>
            </w:r>
          </w:p>
        </w:tc>
        <w:tc>
          <w:tcPr>
            <w:tcW w:w="3680" w:type="dxa"/>
          </w:tcPr>
          <w:p w14:paraId="4F219DDB" w14:textId="77777777" w:rsidR="00D80693" w:rsidRPr="003807C0" w:rsidRDefault="00D80693" w:rsidP="006F7475">
            <w:pPr>
              <w:contextualSpacing/>
              <w:jc w:val="both"/>
              <w:rPr>
                <w:sz w:val="20"/>
                <w:szCs w:val="20"/>
              </w:rPr>
            </w:pPr>
            <w:r w:rsidRPr="003807C0">
              <w:rPr>
                <w:sz w:val="20"/>
                <w:szCs w:val="20"/>
              </w:rPr>
              <w:t>Les effectifs des élèves et ceux du personnel, les données sur les infrastructures pour calibrer le modèle.</w:t>
            </w:r>
          </w:p>
        </w:tc>
      </w:tr>
      <w:tr w:rsidR="00D80693" w:rsidRPr="003807C0" w14:paraId="1EA73F4A" w14:textId="77777777" w:rsidTr="00D72320">
        <w:tc>
          <w:tcPr>
            <w:tcW w:w="1836" w:type="dxa"/>
          </w:tcPr>
          <w:p w14:paraId="5800979D" w14:textId="77777777" w:rsidR="00D80693" w:rsidRPr="003807C0" w:rsidRDefault="00D80693" w:rsidP="006F7475">
            <w:pPr>
              <w:contextualSpacing/>
              <w:jc w:val="both"/>
              <w:rPr>
                <w:sz w:val="20"/>
                <w:szCs w:val="20"/>
              </w:rPr>
            </w:pPr>
            <w:r w:rsidRPr="003807C0">
              <w:rPr>
                <w:sz w:val="20"/>
                <w:szCs w:val="20"/>
              </w:rPr>
              <w:t>Annuaires statistiques du supérieur</w:t>
            </w:r>
          </w:p>
        </w:tc>
        <w:tc>
          <w:tcPr>
            <w:tcW w:w="1420" w:type="dxa"/>
          </w:tcPr>
          <w:p w14:paraId="29C53EF3" w14:textId="77777777" w:rsidR="00D80693" w:rsidRPr="003807C0" w:rsidRDefault="00D80693" w:rsidP="006F7475">
            <w:pPr>
              <w:contextualSpacing/>
              <w:jc w:val="both"/>
              <w:rPr>
                <w:sz w:val="20"/>
                <w:szCs w:val="20"/>
              </w:rPr>
            </w:pPr>
            <w:r w:rsidRPr="003807C0">
              <w:rPr>
                <w:sz w:val="20"/>
                <w:szCs w:val="20"/>
              </w:rPr>
              <w:t>MESRSI</w:t>
            </w:r>
          </w:p>
        </w:tc>
        <w:tc>
          <w:tcPr>
            <w:tcW w:w="2126" w:type="dxa"/>
          </w:tcPr>
          <w:p w14:paraId="0F0CACBF" w14:textId="77777777" w:rsidR="00D80693" w:rsidRPr="003807C0" w:rsidRDefault="00D80693" w:rsidP="006F7475">
            <w:pPr>
              <w:contextualSpacing/>
              <w:jc w:val="both"/>
              <w:rPr>
                <w:sz w:val="20"/>
                <w:szCs w:val="20"/>
              </w:rPr>
            </w:pPr>
            <w:r w:rsidRPr="003807C0">
              <w:rPr>
                <w:sz w:val="20"/>
                <w:szCs w:val="20"/>
              </w:rPr>
              <w:t>2019-2020, 2020-2021</w:t>
            </w:r>
          </w:p>
        </w:tc>
        <w:tc>
          <w:tcPr>
            <w:tcW w:w="3680" w:type="dxa"/>
          </w:tcPr>
          <w:p w14:paraId="744BE543" w14:textId="77777777" w:rsidR="00D80693" w:rsidRPr="003807C0" w:rsidRDefault="00D80693" w:rsidP="006F7475">
            <w:pPr>
              <w:contextualSpacing/>
              <w:jc w:val="both"/>
              <w:rPr>
                <w:sz w:val="20"/>
                <w:szCs w:val="20"/>
              </w:rPr>
            </w:pPr>
            <w:r w:rsidRPr="003807C0">
              <w:rPr>
                <w:sz w:val="20"/>
                <w:szCs w:val="20"/>
              </w:rPr>
              <w:t>Les effectifs des élèves et ceux du personnel, les données sur les infrastructures pour calibrer le modèle.</w:t>
            </w:r>
          </w:p>
        </w:tc>
      </w:tr>
      <w:tr w:rsidR="00D80693" w:rsidRPr="003807C0" w14:paraId="7BFC1160" w14:textId="77777777" w:rsidTr="00D72320">
        <w:tc>
          <w:tcPr>
            <w:tcW w:w="1836" w:type="dxa"/>
          </w:tcPr>
          <w:p w14:paraId="1133CEC8" w14:textId="77777777" w:rsidR="00D80693" w:rsidRPr="003807C0" w:rsidRDefault="00D80693" w:rsidP="006F7475">
            <w:pPr>
              <w:contextualSpacing/>
              <w:jc w:val="both"/>
              <w:rPr>
                <w:sz w:val="20"/>
                <w:szCs w:val="20"/>
              </w:rPr>
            </w:pPr>
            <w:r w:rsidRPr="003807C0">
              <w:rPr>
                <w:sz w:val="20"/>
                <w:szCs w:val="20"/>
              </w:rPr>
              <w:t>Tableau de la gouvernance</w:t>
            </w:r>
          </w:p>
        </w:tc>
        <w:tc>
          <w:tcPr>
            <w:tcW w:w="1420" w:type="dxa"/>
          </w:tcPr>
          <w:p w14:paraId="0B907A6B" w14:textId="77777777" w:rsidR="00D80693" w:rsidRPr="003807C0" w:rsidRDefault="00D80693" w:rsidP="006F7475">
            <w:pPr>
              <w:contextualSpacing/>
              <w:jc w:val="both"/>
              <w:rPr>
                <w:sz w:val="20"/>
                <w:szCs w:val="20"/>
              </w:rPr>
            </w:pPr>
            <w:r w:rsidRPr="003807C0">
              <w:rPr>
                <w:sz w:val="20"/>
                <w:szCs w:val="20"/>
              </w:rPr>
              <w:t>INSD</w:t>
            </w:r>
          </w:p>
        </w:tc>
        <w:tc>
          <w:tcPr>
            <w:tcW w:w="2126" w:type="dxa"/>
          </w:tcPr>
          <w:p w14:paraId="40B51158" w14:textId="77777777" w:rsidR="00D80693" w:rsidRPr="003807C0" w:rsidRDefault="00D80693" w:rsidP="006F7475">
            <w:pPr>
              <w:contextualSpacing/>
              <w:jc w:val="both"/>
              <w:rPr>
                <w:sz w:val="20"/>
                <w:szCs w:val="20"/>
              </w:rPr>
            </w:pPr>
            <w:r w:rsidRPr="003807C0">
              <w:rPr>
                <w:sz w:val="20"/>
                <w:szCs w:val="20"/>
              </w:rPr>
              <w:t>2020, 2021, 2022</w:t>
            </w:r>
          </w:p>
        </w:tc>
        <w:tc>
          <w:tcPr>
            <w:tcW w:w="3680" w:type="dxa"/>
          </w:tcPr>
          <w:p w14:paraId="7D6738D4" w14:textId="77777777" w:rsidR="00D80693" w:rsidRPr="003807C0" w:rsidRDefault="00D80693" w:rsidP="006F7475">
            <w:pPr>
              <w:contextualSpacing/>
              <w:jc w:val="both"/>
              <w:rPr>
                <w:sz w:val="20"/>
                <w:szCs w:val="20"/>
              </w:rPr>
            </w:pPr>
            <w:r w:rsidRPr="003807C0">
              <w:rPr>
                <w:sz w:val="20"/>
                <w:szCs w:val="20"/>
              </w:rPr>
              <w:t>Les taux de réussite, d'abandon, les ratios, pour définir les scénarios.</w:t>
            </w:r>
          </w:p>
        </w:tc>
      </w:tr>
      <w:tr w:rsidR="00D80693" w:rsidRPr="003807C0" w14:paraId="3A17FE34" w14:textId="77777777" w:rsidTr="00D72320">
        <w:tc>
          <w:tcPr>
            <w:tcW w:w="1836" w:type="dxa"/>
          </w:tcPr>
          <w:p w14:paraId="10339387" w14:textId="77777777" w:rsidR="00D80693" w:rsidRPr="003807C0" w:rsidRDefault="00D80693" w:rsidP="006F7475">
            <w:pPr>
              <w:contextualSpacing/>
              <w:jc w:val="both"/>
              <w:rPr>
                <w:sz w:val="20"/>
                <w:szCs w:val="20"/>
              </w:rPr>
            </w:pPr>
            <w:r w:rsidRPr="003807C0">
              <w:rPr>
                <w:sz w:val="20"/>
                <w:szCs w:val="20"/>
              </w:rPr>
              <w:t>Tableau de bord de l’économie</w:t>
            </w:r>
          </w:p>
        </w:tc>
        <w:tc>
          <w:tcPr>
            <w:tcW w:w="1420" w:type="dxa"/>
          </w:tcPr>
          <w:p w14:paraId="25AF5B11" w14:textId="77777777" w:rsidR="00D80693" w:rsidRPr="003807C0" w:rsidRDefault="00D80693" w:rsidP="006F7475">
            <w:pPr>
              <w:contextualSpacing/>
              <w:jc w:val="both"/>
              <w:rPr>
                <w:sz w:val="20"/>
                <w:szCs w:val="20"/>
              </w:rPr>
            </w:pPr>
            <w:r w:rsidRPr="003807C0">
              <w:rPr>
                <w:sz w:val="20"/>
                <w:szCs w:val="20"/>
              </w:rPr>
              <w:t>Ministère de l’économie et des finances</w:t>
            </w:r>
          </w:p>
        </w:tc>
        <w:tc>
          <w:tcPr>
            <w:tcW w:w="2126" w:type="dxa"/>
          </w:tcPr>
          <w:p w14:paraId="5345576B" w14:textId="77777777" w:rsidR="00D80693" w:rsidRPr="003807C0" w:rsidRDefault="00D80693" w:rsidP="006F7475">
            <w:pPr>
              <w:contextualSpacing/>
              <w:jc w:val="both"/>
              <w:rPr>
                <w:sz w:val="20"/>
                <w:szCs w:val="20"/>
              </w:rPr>
            </w:pPr>
            <w:r w:rsidRPr="003807C0">
              <w:rPr>
                <w:sz w:val="20"/>
                <w:szCs w:val="20"/>
              </w:rPr>
              <w:t xml:space="preserve">2018, 2019, </w:t>
            </w:r>
            <w:proofErr w:type="gramStart"/>
            <w:r w:rsidRPr="003807C0">
              <w:rPr>
                <w:sz w:val="20"/>
                <w:szCs w:val="20"/>
              </w:rPr>
              <w:t>2020;</w:t>
            </w:r>
            <w:proofErr w:type="gramEnd"/>
            <w:r w:rsidRPr="003807C0">
              <w:rPr>
                <w:sz w:val="20"/>
                <w:szCs w:val="20"/>
              </w:rPr>
              <w:t xml:space="preserve"> 2021</w:t>
            </w:r>
          </w:p>
        </w:tc>
        <w:tc>
          <w:tcPr>
            <w:tcW w:w="3680" w:type="dxa"/>
          </w:tcPr>
          <w:p w14:paraId="26377F36" w14:textId="77777777" w:rsidR="00D80693" w:rsidRPr="003807C0" w:rsidRDefault="00D80693" w:rsidP="006F7475">
            <w:pPr>
              <w:contextualSpacing/>
              <w:jc w:val="both"/>
              <w:rPr>
                <w:sz w:val="20"/>
                <w:szCs w:val="20"/>
              </w:rPr>
            </w:pPr>
            <w:r w:rsidRPr="003807C0">
              <w:rPr>
                <w:sz w:val="20"/>
                <w:szCs w:val="20"/>
              </w:rPr>
              <w:t>Les données macro-économiques : PIB, dépenses courantes, part du budget alloué à au secteur de l’éducation, de l’EFTP.</w:t>
            </w:r>
          </w:p>
        </w:tc>
      </w:tr>
      <w:tr w:rsidR="00D80693" w:rsidRPr="003807C0" w14:paraId="728F321B" w14:textId="77777777" w:rsidTr="00D72320">
        <w:tc>
          <w:tcPr>
            <w:tcW w:w="1836" w:type="dxa"/>
          </w:tcPr>
          <w:p w14:paraId="457FE496" w14:textId="77777777" w:rsidR="00D80693" w:rsidRPr="003807C0" w:rsidRDefault="00D80693" w:rsidP="006F7475">
            <w:pPr>
              <w:contextualSpacing/>
              <w:jc w:val="both"/>
              <w:rPr>
                <w:sz w:val="20"/>
                <w:szCs w:val="20"/>
              </w:rPr>
            </w:pPr>
            <w:r w:rsidRPr="003807C0">
              <w:rPr>
                <w:sz w:val="20"/>
                <w:szCs w:val="20"/>
              </w:rPr>
              <w:t xml:space="preserve"> RESEN 2016</w:t>
            </w:r>
          </w:p>
        </w:tc>
        <w:tc>
          <w:tcPr>
            <w:tcW w:w="1420" w:type="dxa"/>
          </w:tcPr>
          <w:p w14:paraId="56712436" w14:textId="77777777" w:rsidR="00D80693" w:rsidRPr="003807C0" w:rsidRDefault="00D80693" w:rsidP="006F7475">
            <w:pPr>
              <w:contextualSpacing/>
              <w:jc w:val="both"/>
              <w:rPr>
                <w:sz w:val="20"/>
                <w:szCs w:val="20"/>
              </w:rPr>
            </w:pPr>
            <w:r w:rsidRPr="003807C0">
              <w:rPr>
                <w:sz w:val="20"/>
                <w:szCs w:val="20"/>
              </w:rPr>
              <w:t>Ministères en charge de l’éducation</w:t>
            </w:r>
          </w:p>
        </w:tc>
        <w:tc>
          <w:tcPr>
            <w:tcW w:w="2126" w:type="dxa"/>
          </w:tcPr>
          <w:p w14:paraId="4D86FDAA" w14:textId="77777777" w:rsidR="00D80693" w:rsidRPr="003807C0" w:rsidRDefault="00D80693" w:rsidP="006F7475">
            <w:pPr>
              <w:contextualSpacing/>
              <w:jc w:val="both"/>
              <w:rPr>
                <w:sz w:val="20"/>
                <w:szCs w:val="20"/>
              </w:rPr>
            </w:pPr>
            <w:r w:rsidRPr="003807C0">
              <w:rPr>
                <w:sz w:val="20"/>
                <w:szCs w:val="20"/>
              </w:rPr>
              <w:t>Rapport de 2016</w:t>
            </w:r>
          </w:p>
        </w:tc>
        <w:tc>
          <w:tcPr>
            <w:tcW w:w="3680" w:type="dxa"/>
          </w:tcPr>
          <w:p w14:paraId="4EBE38A0" w14:textId="77777777" w:rsidR="00D80693" w:rsidRPr="003807C0" w:rsidRDefault="00D80693" w:rsidP="006F7475">
            <w:pPr>
              <w:contextualSpacing/>
              <w:jc w:val="both"/>
              <w:rPr>
                <w:sz w:val="20"/>
                <w:szCs w:val="20"/>
              </w:rPr>
            </w:pPr>
            <w:r w:rsidRPr="003807C0">
              <w:rPr>
                <w:sz w:val="20"/>
                <w:szCs w:val="20"/>
              </w:rPr>
              <w:t>Les données référence pour l'analyse diagnostic et identifier les enjeux principaux que la simulation doit adresser.</w:t>
            </w:r>
          </w:p>
        </w:tc>
      </w:tr>
      <w:tr w:rsidR="00D80693" w:rsidRPr="003807C0" w14:paraId="39124A20" w14:textId="77777777" w:rsidTr="00D72320">
        <w:tc>
          <w:tcPr>
            <w:tcW w:w="1836" w:type="dxa"/>
          </w:tcPr>
          <w:p w14:paraId="7A8229CB" w14:textId="77777777" w:rsidR="00D80693" w:rsidRPr="003807C0" w:rsidRDefault="00D80693" w:rsidP="006F7475">
            <w:pPr>
              <w:contextualSpacing/>
              <w:jc w:val="both"/>
              <w:rPr>
                <w:sz w:val="20"/>
                <w:szCs w:val="20"/>
              </w:rPr>
            </w:pPr>
            <w:r w:rsidRPr="003807C0">
              <w:rPr>
                <w:sz w:val="20"/>
                <w:szCs w:val="20"/>
              </w:rPr>
              <w:t>Plan sectoriel 2017-2030</w:t>
            </w:r>
          </w:p>
        </w:tc>
        <w:tc>
          <w:tcPr>
            <w:tcW w:w="1420" w:type="dxa"/>
          </w:tcPr>
          <w:p w14:paraId="6E8A57D7" w14:textId="77777777" w:rsidR="00D80693" w:rsidRPr="003807C0" w:rsidRDefault="00D80693" w:rsidP="006F7475">
            <w:pPr>
              <w:contextualSpacing/>
              <w:jc w:val="both"/>
              <w:rPr>
                <w:sz w:val="20"/>
                <w:szCs w:val="20"/>
              </w:rPr>
            </w:pPr>
            <w:r w:rsidRPr="003807C0">
              <w:rPr>
                <w:sz w:val="20"/>
                <w:szCs w:val="20"/>
              </w:rPr>
              <w:t>MENAPLN/DGESS</w:t>
            </w:r>
          </w:p>
        </w:tc>
        <w:tc>
          <w:tcPr>
            <w:tcW w:w="2126" w:type="dxa"/>
          </w:tcPr>
          <w:p w14:paraId="4C58C020" w14:textId="77777777" w:rsidR="00D80693" w:rsidRPr="003807C0" w:rsidRDefault="00D80693" w:rsidP="006F7475">
            <w:pPr>
              <w:contextualSpacing/>
              <w:jc w:val="both"/>
              <w:rPr>
                <w:sz w:val="20"/>
                <w:szCs w:val="20"/>
              </w:rPr>
            </w:pPr>
            <w:r w:rsidRPr="003807C0">
              <w:rPr>
                <w:sz w:val="20"/>
                <w:szCs w:val="20"/>
              </w:rPr>
              <w:t>2017-2030</w:t>
            </w:r>
          </w:p>
        </w:tc>
        <w:tc>
          <w:tcPr>
            <w:tcW w:w="3680" w:type="dxa"/>
          </w:tcPr>
          <w:p w14:paraId="03CF708F" w14:textId="77777777" w:rsidR="00D80693" w:rsidRPr="003807C0" w:rsidRDefault="00D80693" w:rsidP="006F7475">
            <w:pPr>
              <w:contextualSpacing/>
              <w:jc w:val="both"/>
              <w:rPr>
                <w:sz w:val="20"/>
                <w:szCs w:val="20"/>
              </w:rPr>
            </w:pPr>
            <w:r w:rsidRPr="003807C0">
              <w:rPr>
                <w:sz w:val="20"/>
                <w:szCs w:val="20"/>
              </w:rPr>
              <w:t>Les objectifs de politiques éducatives,</w:t>
            </w:r>
          </w:p>
          <w:p w14:paraId="481DC4C3" w14:textId="77777777" w:rsidR="00D80693" w:rsidRPr="003807C0" w:rsidRDefault="00D80693" w:rsidP="006F7475">
            <w:pPr>
              <w:contextualSpacing/>
              <w:jc w:val="both"/>
              <w:rPr>
                <w:sz w:val="20"/>
                <w:szCs w:val="20"/>
              </w:rPr>
            </w:pPr>
            <w:r w:rsidRPr="003807C0">
              <w:rPr>
                <w:sz w:val="20"/>
                <w:szCs w:val="20"/>
              </w:rPr>
              <w:t>Les résultats de la simulation de 2016</w:t>
            </w:r>
          </w:p>
        </w:tc>
      </w:tr>
      <w:tr w:rsidR="00D80693" w:rsidRPr="003807C0" w14:paraId="59D331C9" w14:textId="77777777" w:rsidTr="00D72320">
        <w:tc>
          <w:tcPr>
            <w:tcW w:w="1836" w:type="dxa"/>
          </w:tcPr>
          <w:p w14:paraId="0DB28CF0" w14:textId="77777777" w:rsidR="00D80693" w:rsidRPr="003807C0" w:rsidRDefault="00D80693" w:rsidP="006F7475">
            <w:pPr>
              <w:contextualSpacing/>
              <w:jc w:val="both"/>
              <w:rPr>
                <w:sz w:val="20"/>
                <w:szCs w:val="20"/>
              </w:rPr>
            </w:pPr>
            <w:r w:rsidRPr="003807C0">
              <w:rPr>
                <w:sz w:val="20"/>
                <w:szCs w:val="20"/>
              </w:rPr>
              <w:t>5è RGPH</w:t>
            </w:r>
          </w:p>
        </w:tc>
        <w:tc>
          <w:tcPr>
            <w:tcW w:w="1420" w:type="dxa"/>
          </w:tcPr>
          <w:p w14:paraId="15D58877" w14:textId="77777777" w:rsidR="00D80693" w:rsidRPr="003807C0" w:rsidRDefault="00D80693" w:rsidP="006F7475">
            <w:pPr>
              <w:contextualSpacing/>
              <w:jc w:val="both"/>
              <w:rPr>
                <w:sz w:val="20"/>
                <w:szCs w:val="20"/>
              </w:rPr>
            </w:pPr>
            <w:r w:rsidRPr="003807C0">
              <w:rPr>
                <w:sz w:val="20"/>
                <w:szCs w:val="20"/>
              </w:rPr>
              <w:t>INSD</w:t>
            </w:r>
          </w:p>
        </w:tc>
        <w:tc>
          <w:tcPr>
            <w:tcW w:w="2126" w:type="dxa"/>
          </w:tcPr>
          <w:p w14:paraId="3BE0F654" w14:textId="77777777" w:rsidR="00D80693" w:rsidRPr="003807C0" w:rsidRDefault="00D80693" w:rsidP="006F7475">
            <w:pPr>
              <w:contextualSpacing/>
              <w:jc w:val="both"/>
              <w:rPr>
                <w:sz w:val="20"/>
                <w:szCs w:val="20"/>
              </w:rPr>
            </w:pPr>
            <w:r w:rsidRPr="003807C0">
              <w:rPr>
                <w:sz w:val="20"/>
                <w:szCs w:val="20"/>
              </w:rPr>
              <w:t>2022</w:t>
            </w:r>
          </w:p>
        </w:tc>
        <w:tc>
          <w:tcPr>
            <w:tcW w:w="3680" w:type="dxa"/>
          </w:tcPr>
          <w:p w14:paraId="4056B7BA" w14:textId="77777777" w:rsidR="00D80693" w:rsidRPr="003807C0" w:rsidRDefault="00D80693" w:rsidP="006F7475">
            <w:pPr>
              <w:contextualSpacing/>
              <w:jc w:val="both"/>
              <w:rPr>
                <w:sz w:val="20"/>
                <w:szCs w:val="20"/>
              </w:rPr>
            </w:pPr>
            <w:r w:rsidRPr="003807C0">
              <w:rPr>
                <w:sz w:val="20"/>
                <w:szCs w:val="20"/>
              </w:rPr>
              <w:t>Les projections démographiques</w:t>
            </w:r>
          </w:p>
        </w:tc>
      </w:tr>
    </w:tbl>
    <w:p w14:paraId="1629D658" w14:textId="77777777" w:rsidR="00D80693" w:rsidRPr="00BC4040" w:rsidRDefault="00D80693" w:rsidP="00D80693">
      <w:pPr>
        <w:jc w:val="center"/>
        <w:rPr>
          <w:rFonts w:eastAsia="Aptos"/>
          <w:kern w:val="2"/>
          <w14:ligatures w14:val="standardContextual"/>
        </w:rPr>
      </w:pPr>
      <w:proofErr w:type="gramStart"/>
      <w:r w:rsidRPr="0007424B">
        <w:rPr>
          <w:rFonts w:eastAsia="Aptos"/>
          <w:i/>
          <w:iCs/>
          <w:kern w:val="2"/>
          <w14:ligatures w14:val="standardContextual"/>
        </w:rPr>
        <w:t>Source:</w:t>
      </w:r>
      <w:proofErr w:type="gramEnd"/>
      <w:r w:rsidRPr="0007424B">
        <w:rPr>
          <w:rFonts w:eastAsia="Aptos"/>
          <w:i/>
          <w:iCs/>
          <w:kern w:val="2"/>
          <w14:ligatures w14:val="standardContextual"/>
        </w:rPr>
        <w:t xml:space="preserve"> S</w:t>
      </w:r>
      <w:r>
        <w:rPr>
          <w:rFonts w:eastAsia="Aptos"/>
          <w:i/>
          <w:iCs/>
          <w:kern w:val="2"/>
          <w14:ligatures w14:val="standardContextual"/>
        </w:rPr>
        <w:t>avadogo</w:t>
      </w:r>
      <w:r w:rsidRPr="0007424B">
        <w:rPr>
          <w:rFonts w:eastAsia="Aptos"/>
          <w:i/>
          <w:iCs/>
          <w:kern w:val="2"/>
          <w14:ligatures w14:val="standardContextual"/>
        </w:rPr>
        <w:t>, Y. A.  (2024</w:t>
      </w:r>
      <w:r>
        <w:rPr>
          <w:rFonts w:eastAsia="Aptos"/>
          <w:i/>
          <w:iCs/>
          <w:kern w:val="2"/>
          <w14:ligatures w14:val="standardContextual"/>
        </w:rPr>
        <w:t>)</w:t>
      </w:r>
    </w:p>
    <w:p w14:paraId="5E10BE24" w14:textId="77777777" w:rsidR="00D80693" w:rsidRDefault="00D80693" w:rsidP="00D80693">
      <w:pPr>
        <w:jc w:val="both"/>
        <w:rPr>
          <w:rFonts w:eastAsia="Aptos"/>
          <w:kern w:val="2"/>
          <w14:ligatures w14:val="standardContextual"/>
        </w:rPr>
      </w:pPr>
    </w:p>
    <w:p w14:paraId="435B528E" w14:textId="77777777" w:rsidR="00D80693" w:rsidRPr="005B6212" w:rsidRDefault="00D80693" w:rsidP="00D80693">
      <w:pPr>
        <w:pStyle w:val="Paragraphedeliste"/>
        <w:widowControl/>
        <w:numPr>
          <w:ilvl w:val="0"/>
          <w:numId w:val="142"/>
        </w:numPr>
        <w:autoSpaceDE/>
        <w:autoSpaceDN/>
        <w:spacing w:before="0"/>
        <w:contextualSpacing/>
        <w:rPr>
          <w:rFonts w:eastAsia="Aptos"/>
          <w:b/>
          <w:bCs/>
          <w:kern w:val="2"/>
          <w:sz w:val="28"/>
          <w:szCs w:val="28"/>
          <w14:ligatures w14:val="standardContextual"/>
        </w:rPr>
      </w:pPr>
      <w:r w:rsidRPr="005B6212">
        <w:rPr>
          <w:rFonts w:eastAsia="Aptos"/>
          <w:b/>
          <w:bCs/>
          <w:kern w:val="2"/>
          <w:sz w:val="28"/>
          <w:szCs w:val="28"/>
          <w14:ligatures w14:val="standardContextual"/>
        </w:rPr>
        <w:t>Résultats</w:t>
      </w:r>
    </w:p>
    <w:p w14:paraId="217AE582" w14:textId="77777777" w:rsidR="00D80693" w:rsidRPr="005B6212" w:rsidRDefault="00D80693" w:rsidP="00813D27">
      <w:pPr>
        <w:spacing w:before="240"/>
        <w:jc w:val="both"/>
        <w:rPr>
          <w:rFonts w:eastAsia="Aptos"/>
          <w:kern w:val="2"/>
          <w:sz w:val="24"/>
          <w:szCs w:val="24"/>
          <w14:ligatures w14:val="standardContextual"/>
        </w:rPr>
      </w:pPr>
      <w:r w:rsidRPr="005B6212">
        <w:rPr>
          <w:rFonts w:eastAsia="Aptos"/>
          <w:kern w:val="2"/>
          <w:sz w:val="24"/>
          <w:szCs w:val="24"/>
          <w14:ligatures w14:val="standardContextual"/>
        </w:rPr>
        <w:t xml:space="preserve">L’analyse des résultats de cette étude s’appuie sur une approche comparative entre le modèle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xml:space="preserve">, développé par l'UNESCO, et le modèle spécifique du Burkina Faso de 2020 qui est une adaptation du modèle MSFE de la banque mondiale. Cette analyse est suivie par celle des réponses aux enquêtes menées auprès des acteurs de l’EFTP afin d’évaluer leur familiarité avec les outils de simulation ainsi que la pertinence de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xml:space="preserve"> dans le contexte burkinabè.</w:t>
      </w:r>
    </w:p>
    <w:p w14:paraId="02C3707E" w14:textId="77777777" w:rsidR="00D80693" w:rsidRDefault="00D80693" w:rsidP="00D80693">
      <w:pPr>
        <w:jc w:val="both"/>
        <w:rPr>
          <w:rFonts w:eastAsia="Aptos"/>
          <w:kern w:val="2"/>
          <w14:ligatures w14:val="standardContextual"/>
        </w:rPr>
      </w:pPr>
    </w:p>
    <w:p w14:paraId="1EBF3119" w14:textId="77777777" w:rsidR="00D80693" w:rsidRPr="00A366A7" w:rsidRDefault="00D80693" w:rsidP="00D80693">
      <w:pPr>
        <w:pStyle w:val="Paragraphedeliste"/>
        <w:widowControl/>
        <w:numPr>
          <w:ilvl w:val="1"/>
          <w:numId w:val="142"/>
        </w:numPr>
        <w:autoSpaceDE/>
        <w:autoSpaceDN/>
        <w:spacing w:before="0"/>
        <w:contextualSpacing/>
        <w:rPr>
          <w:rFonts w:eastAsia="Aptos"/>
          <w:b/>
          <w:bCs/>
          <w:kern w:val="2"/>
          <w:sz w:val="24"/>
          <w:szCs w:val="24"/>
          <w14:ligatures w14:val="standardContextual"/>
        </w:rPr>
      </w:pPr>
      <w:r w:rsidRPr="00A366A7">
        <w:rPr>
          <w:rFonts w:eastAsia="Aptos"/>
          <w:b/>
          <w:bCs/>
          <w:kern w:val="2"/>
          <w:sz w:val="24"/>
          <w:szCs w:val="24"/>
          <w14:ligatures w14:val="standardContextual"/>
        </w:rPr>
        <w:t>Comparaison des deux types de modèles</w:t>
      </w:r>
    </w:p>
    <w:p w14:paraId="27CB3CB7" w14:textId="77777777" w:rsidR="00D80693" w:rsidRPr="005B6212" w:rsidRDefault="00D80693" w:rsidP="00813D27">
      <w:pPr>
        <w:spacing w:before="120"/>
        <w:jc w:val="both"/>
        <w:rPr>
          <w:rFonts w:eastAsia="Aptos"/>
          <w:kern w:val="2"/>
          <w:sz w:val="24"/>
          <w:szCs w:val="24"/>
          <w14:ligatures w14:val="standardContextual"/>
        </w:rPr>
      </w:pPr>
      <w:r w:rsidRPr="005B6212">
        <w:rPr>
          <w:rFonts w:eastAsia="Aptos"/>
          <w:kern w:val="2"/>
          <w:sz w:val="24"/>
          <w:szCs w:val="24"/>
          <w14:ligatures w14:val="standardContextual"/>
        </w:rPr>
        <w:t xml:space="preserve">Les résultats révèlent que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xml:space="preserve"> et le modèle burkinabè, bien qu’ayant des objectifs communs, se distinguent par leur structure, leurs fonctionnalités et leur adaptabilité aux différents contextes éducatifs.</w:t>
      </w:r>
    </w:p>
    <w:p w14:paraId="3AE4FE8A" w14:textId="77777777" w:rsidR="00D80693" w:rsidRPr="005B6212" w:rsidRDefault="00D80693" w:rsidP="00813D27">
      <w:pPr>
        <w:spacing w:before="120"/>
        <w:jc w:val="both"/>
        <w:rPr>
          <w:rFonts w:eastAsia="Aptos"/>
          <w:kern w:val="2"/>
          <w:sz w:val="24"/>
          <w:szCs w:val="24"/>
          <w14:ligatures w14:val="standardContextual"/>
        </w:rPr>
      </w:pP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avec ses 17 feuilles modélisant de multiples aspects du système éducatif (démographie, projections d’effectifs, ressources humaines, scénarios de coûts, etc.), se distingue par une approche modulaire et adaptable à différents contextes internationaux. En revanche, le modèle national, est conçu spécifiquement pour le Burkina Faso, avec 16 feuilles, non adaptable</w:t>
      </w:r>
      <w:r>
        <w:rPr>
          <w:rFonts w:eastAsia="Aptos"/>
          <w:kern w:val="2"/>
          <w:sz w:val="24"/>
          <w:szCs w:val="24"/>
          <w:vertAlign w:val="superscript"/>
          <w14:ligatures w14:val="standardContextual"/>
        </w:rPr>
        <w:footnoteReference w:id="9"/>
      </w:r>
      <w:r w:rsidRPr="005B6212">
        <w:rPr>
          <w:rFonts w:eastAsia="Aptos"/>
          <w:kern w:val="2"/>
          <w:sz w:val="24"/>
          <w:szCs w:val="24"/>
          <w14:ligatures w14:val="standardContextual"/>
        </w:rPr>
        <w:t xml:space="preserve"> à d’autres contextes.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xml:space="preserve"> se montre donc plus polyvalent grâce à ses nombreuses options de personnalisation.</w:t>
      </w:r>
    </w:p>
    <w:p w14:paraId="3EC7461F" w14:textId="77777777" w:rsidR="00D80693" w:rsidRPr="005B6212" w:rsidRDefault="00D80693" w:rsidP="00813D27">
      <w:pPr>
        <w:spacing w:before="120"/>
        <w:jc w:val="both"/>
        <w:rPr>
          <w:rFonts w:eastAsia="Aptos"/>
          <w:kern w:val="2"/>
          <w:sz w:val="24"/>
          <w:szCs w:val="24"/>
          <w14:ligatures w14:val="standardContextual"/>
        </w:rPr>
      </w:pPr>
      <w:r w:rsidRPr="005B6212">
        <w:rPr>
          <w:rFonts w:eastAsia="Aptos"/>
          <w:kern w:val="2"/>
          <w:sz w:val="24"/>
          <w:szCs w:val="24"/>
          <w14:ligatures w14:val="standardContextual"/>
        </w:rPr>
        <w:t xml:space="preserve">En outre,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xml:space="preserve"> offre une gamme plus large de fonctionnalités, notamment la possibilité de projeter les indicateurs liés aux Objectifs de Développement Durable (ODD4) et d’analyser des scénarios à l’aide de plus de 100 modules. Par exemple, </w:t>
      </w:r>
      <w:proofErr w:type="spellStart"/>
      <w:r w:rsidRPr="005B6212">
        <w:rPr>
          <w:rFonts w:eastAsia="Aptos"/>
          <w:kern w:val="2"/>
          <w:sz w:val="24"/>
          <w:szCs w:val="24"/>
          <w14:ligatures w14:val="standardContextual"/>
        </w:rPr>
        <w:t>SimuED</w:t>
      </w:r>
      <w:proofErr w:type="spellEnd"/>
      <w:r w:rsidRPr="005B6212">
        <w:rPr>
          <w:rFonts w:eastAsia="Aptos"/>
          <w:kern w:val="2"/>
          <w:sz w:val="24"/>
          <w:szCs w:val="24"/>
          <w14:ligatures w14:val="standardContextual"/>
        </w:rPr>
        <w:t xml:space="preserve"> prend en compte des indicateurs plus détaillés en matière d’infrastructures éducatives et de personnel, ainsi que des projections à long terme (20 ans). Le modèle burkinabè, est moins flexible et nécessite des compétences techniques avancées pour être utilisé efficacement.</w:t>
      </w:r>
    </w:p>
    <w:p w14:paraId="7DD9F1BE" w14:textId="77777777" w:rsidR="00D80693" w:rsidRPr="005B6212" w:rsidRDefault="00D80693" w:rsidP="00D80693">
      <w:pPr>
        <w:ind w:firstLine="360"/>
        <w:jc w:val="both"/>
        <w:rPr>
          <w:rFonts w:eastAsia="Aptos"/>
          <w:kern w:val="2"/>
          <w:sz w:val="24"/>
          <w:szCs w:val="24"/>
          <w14:ligatures w14:val="standardContextual"/>
        </w:rPr>
      </w:pPr>
      <w:r w:rsidRPr="005B6212">
        <w:rPr>
          <w:rFonts w:eastAsia="Aptos"/>
          <w:kern w:val="2"/>
          <w:sz w:val="24"/>
          <w:szCs w:val="24"/>
          <w14:ligatures w14:val="standardContextual"/>
        </w:rPr>
        <w:t xml:space="preserve">Le tableau </w:t>
      </w:r>
      <w:r>
        <w:rPr>
          <w:rFonts w:eastAsia="Aptos"/>
          <w:kern w:val="2"/>
          <w:sz w:val="24"/>
          <w:szCs w:val="24"/>
          <w14:ligatures w14:val="standardContextual"/>
        </w:rPr>
        <w:t>n°3</w:t>
      </w:r>
      <w:r w:rsidRPr="005B6212">
        <w:rPr>
          <w:rFonts w:eastAsia="Aptos"/>
          <w:kern w:val="2"/>
          <w:sz w:val="24"/>
          <w:szCs w:val="24"/>
          <w14:ligatures w14:val="standardContextual"/>
        </w:rPr>
        <w:t xml:space="preserve"> résume les caractéristiques des deux modèles.</w:t>
      </w:r>
    </w:p>
    <w:p w14:paraId="2D1C081A" w14:textId="77777777" w:rsidR="00D80693" w:rsidRPr="00CB0BC5" w:rsidRDefault="00D80693" w:rsidP="00D80693">
      <w:pPr>
        <w:ind w:firstLine="360"/>
        <w:jc w:val="both"/>
        <w:rPr>
          <w:rFonts w:eastAsia="Aptos"/>
          <w:kern w:val="2"/>
          <w14:ligatures w14:val="standardContextual"/>
        </w:rPr>
      </w:pPr>
    </w:p>
    <w:p w14:paraId="276F8D83" w14:textId="77777777" w:rsidR="00D80693" w:rsidRPr="005B6212" w:rsidRDefault="00D80693" w:rsidP="00D80693">
      <w:pPr>
        <w:keepNext/>
        <w:jc w:val="center"/>
        <w:rPr>
          <w:rFonts w:eastAsia="Calibri"/>
          <w:b/>
          <w:bCs/>
          <w:i/>
        </w:rPr>
      </w:pPr>
      <w:bookmarkStart w:id="19" w:name="_Toc181606821"/>
      <w:r w:rsidRPr="005B6212">
        <w:rPr>
          <w:rFonts w:eastAsia="Calibri"/>
          <w:b/>
          <w:bCs/>
          <w:i/>
        </w:rPr>
        <w:t>Tableau n°3 : comparaison des deux types de modèles de simulation</w:t>
      </w:r>
      <w:bookmarkEnd w:id="19"/>
    </w:p>
    <w:tbl>
      <w:tblPr>
        <w:tblStyle w:val="TableGrid0"/>
        <w:tblW w:w="5000" w:type="pct"/>
        <w:tblLook w:val="04A0" w:firstRow="1" w:lastRow="0" w:firstColumn="1" w:lastColumn="0" w:noHBand="0" w:noVBand="1"/>
      </w:tblPr>
      <w:tblGrid>
        <w:gridCol w:w="1857"/>
        <w:gridCol w:w="4360"/>
        <w:gridCol w:w="2843"/>
      </w:tblGrid>
      <w:tr w:rsidR="00D80693" w:rsidRPr="003807C0" w14:paraId="3C4BB93B" w14:textId="77777777" w:rsidTr="00D72320">
        <w:trPr>
          <w:tblHeader/>
        </w:trPr>
        <w:tc>
          <w:tcPr>
            <w:tcW w:w="1025" w:type="pct"/>
            <w:vAlign w:val="center"/>
          </w:tcPr>
          <w:p w14:paraId="7D9499AD" w14:textId="77777777" w:rsidR="00D80693" w:rsidRPr="003807C0" w:rsidRDefault="00D80693" w:rsidP="00322328">
            <w:pPr>
              <w:contextualSpacing/>
              <w:rPr>
                <w:sz w:val="20"/>
                <w:szCs w:val="20"/>
              </w:rPr>
            </w:pPr>
            <w:r w:rsidRPr="003807C0">
              <w:rPr>
                <w:sz w:val="20"/>
                <w:szCs w:val="20"/>
                <w:lang w:eastAsia="fr-CA"/>
              </w:rPr>
              <w:t>Modèle de Simulation</w:t>
            </w:r>
          </w:p>
        </w:tc>
        <w:tc>
          <w:tcPr>
            <w:tcW w:w="2406" w:type="pct"/>
            <w:vAlign w:val="center"/>
          </w:tcPr>
          <w:p w14:paraId="48D87FCD" w14:textId="77777777" w:rsidR="00D80693" w:rsidRPr="003807C0" w:rsidRDefault="00D80693" w:rsidP="00322328">
            <w:pPr>
              <w:contextualSpacing/>
              <w:jc w:val="both"/>
              <w:rPr>
                <w:sz w:val="20"/>
                <w:szCs w:val="20"/>
              </w:rPr>
            </w:pPr>
            <w:proofErr w:type="spellStart"/>
            <w:r w:rsidRPr="003807C0">
              <w:rPr>
                <w:sz w:val="20"/>
                <w:szCs w:val="20"/>
                <w:lang w:eastAsia="fr-CA"/>
              </w:rPr>
              <w:t>SimuED</w:t>
            </w:r>
            <w:proofErr w:type="spellEnd"/>
            <w:r w:rsidRPr="003807C0">
              <w:rPr>
                <w:sz w:val="20"/>
                <w:szCs w:val="20"/>
                <w:lang w:eastAsia="fr-CA"/>
              </w:rPr>
              <w:t xml:space="preserve"> </w:t>
            </w:r>
          </w:p>
        </w:tc>
        <w:tc>
          <w:tcPr>
            <w:tcW w:w="1569" w:type="pct"/>
            <w:vAlign w:val="center"/>
          </w:tcPr>
          <w:p w14:paraId="34ABC25A" w14:textId="77777777" w:rsidR="00D80693" w:rsidRPr="003807C0" w:rsidRDefault="00D80693" w:rsidP="00322328">
            <w:pPr>
              <w:contextualSpacing/>
              <w:jc w:val="both"/>
              <w:rPr>
                <w:sz w:val="20"/>
                <w:szCs w:val="20"/>
              </w:rPr>
            </w:pPr>
            <w:r w:rsidRPr="003807C0">
              <w:rPr>
                <w:sz w:val="20"/>
                <w:szCs w:val="20"/>
                <w:lang w:eastAsia="fr-CA"/>
              </w:rPr>
              <w:t>Modèle de simulation du Burkina Faso de 2020</w:t>
            </w:r>
          </w:p>
        </w:tc>
      </w:tr>
      <w:tr w:rsidR="00D80693" w:rsidRPr="003807C0" w14:paraId="178B3A10" w14:textId="77777777" w:rsidTr="00322328">
        <w:trPr>
          <w:trHeight w:val="1818"/>
        </w:trPr>
        <w:tc>
          <w:tcPr>
            <w:tcW w:w="1025" w:type="pct"/>
          </w:tcPr>
          <w:p w14:paraId="400DF1A9" w14:textId="77777777" w:rsidR="00D80693" w:rsidRPr="003807C0" w:rsidRDefault="00D80693" w:rsidP="00322328">
            <w:pPr>
              <w:contextualSpacing/>
              <w:rPr>
                <w:sz w:val="20"/>
                <w:szCs w:val="20"/>
              </w:rPr>
            </w:pPr>
            <w:r w:rsidRPr="003807C0">
              <w:rPr>
                <w:sz w:val="20"/>
                <w:szCs w:val="20"/>
              </w:rPr>
              <w:t>Description</w:t>
            </w:r>
          </w:p>
          <w:p w14:paraId="71FCC971" w14:textId="77777777" w:rsidR="00D80693" w:rsidRPr="003807C0" w:rsidRDefault="00D80693" w:rsidP="00322328">
            <w:pPr>
              <w:contextualSpacing/>
              <w:rPr>
                <w:sz w:val="20"/>
                <w:szCs w:val="20"/>
              </w:rPr>
            </w:pPr>
          </w:p>
          <w:p w14:paraId="09C8E738" w14:textId="77777777" w:rsidR="00D80693" w:rsidRPr="003807C0" w:rsidRDefault="00D80693" w:rsidP="00322328">
            <w:pPr>
              <w:contextualSpacing/>
              <w:jc w:val="center"/>
              <w:rPr>
                <w:sz w:val="20"/>
                <w:szCs w:val="20"/>
              </w:rPr>
            </w:pPr>
          </w:p>
        </w:tc>
        <w:tc>
          <w:tcPr>
            <w:tcW w:w="2406" w:type="pct"/>
          </w:tcPr>
          <w:p w14:paraId="7B5B09DC" w14:textId="77777777" w:rsidR="00D80693" w:rsidRPr="003807C0" w:rsidRDefault="00D80693" w:rsidP="00322328">
            <w:pPr>
              <w:contextualSpacing/>
              <w:jc w:val="both"/>
              <w:rPr>
                <w:sz w:val="20"/>
                <w:szCs w:val="20"/>
              </w:rPr>
            </w:pPr>
            <w:r w:rsidRPr="003807C0">
              <w:rPr>
                <w:sz w:val="20"/>
                <w:szCs w:val="20"/>
              </w:rPr>
              <w:t>-modèle générique (préconçu) ; les utilisateurs doivent saisir les données de base et choisir la méthode de calcul parmi une liste d’options (formules prédéfinies).</w:t>
            </w:r>
          </w:p>
          <w:p w14:paraId="6E9637CD" w14:textId="77777777" w:rsidR="00D80693" w:rsidRPr="003807C0" w:rsidRDefault="00D80693" w:rsidP="00322328">
            <w:pPr>
              <w:contextualSpacing/>
              <w:jc w:val="both"/>
              <w:rPr>
                <w:sz w:val="20"/>
                <w:szCs w:val="20"/>
              </w:rPr>
            </w:pPr>
            <w:r w:rsidRPr="003807C0">
              <w:rPr>
                <w:sz w:val="20"/>
                <w:szCs w:val="20"/>
              </w:rPr>
              <w:t>-Conçu selon une approche « modulaire » pour améliorer la flexibilité des méthodologies utilisées dans la simulation.</w:t>
            </w:r>
          </w:p>
          <w:p w14:paraId="13E7AF7B" w14:textId="77777777" w:rsidR="00D80693" w:rsidRPr="003807C0" w:rsidRDefault="00D80693" w:rsidP="00322328">
            <w:pPr>
              <w:contextualSpacing/>
              <w:jc w:val="both"/>
              <w:rPr>
                <w:sz w:val="20"/>
                <w:szCs w:val="20"/>
              </w:rPr>
            </w:pPr>
            <w:r w:rsidRPr="003807C0">
              <w:rPr>
                <w:sz w:val="20"/>
                <w:szCs w:val="20"/>
              </w:rPr>
              <w:t>-Les modules sont activés au besoin ;</w:t>
            </w:r>
          </w:p>
          <w:p w14:paraId="3A43CCD6" w14:textId="77777777" w:rsidR="00D80693" w:rsidRPr="003807C0" w:rsidRDefault="00D80693" w:rsidP="00322328">
            <w:pPr>
              <w:contextualSpacing/>
              <w:jc w:val="both"/>
              <w:rPr>
                <w:sz w:val="20"/>
                <w:szCs w:val="20"/>
              </w:rPr>
            </w:pPr>
            <w:r w:rsidRPr="003807C0">
              <w:rPr>
                <w:sz w:val="20"/>
                <w:szCs w:val="20"/>
              </w:rPr>
              <w:t>-le modèle n’est pas figé.</w:t>
            </w:r>
          </w:p>
        </w:tc>
        <w:tc>
          <w:tcPr>
            <w:tcW w:w="1569" w:type="pct"/>
          </w:tcPr>
          <w:p w14:paraId="56160EB3" w14:textId="77777777" w:rsidR="00D80693" w:rsidRPr="003807C0" w:rsidRDefault="00D80693" w:rsidP="00322328">
            <w:pPr>
              <w:contextualSpacing/>
              <w:jc w:val="both"/>
              <w:rPr>
                <w:sz w:val="20"/>
                <w:szCs w:val="20"/>
              </w:rPr>
            </w:pPr>
            <w:r w:rsidRPr="003807C0">
              <w:rPr>
                <w:sz w:val="20"/>
                <w:szCs w:val="20"/>
              </w:rPr>
              <w:t>-modèle spécifique au pays, de type RESEN ;</w:t>
            </w:r>
          </w:p>
          <w:p w14:paraId="273EC484" w14:textId="77777777" w:rsidR="00D80693" w:rsidRPr="003807C0" w:rsidRDefault="00D80693" w:rsidP="00322328">
            <w:pPr>
              <w:contextualSpacing/>
              <w:jc w:val="both"/>
              <w:rPr>
                <w:sz w:val="20"/>
                <w:szCs w:val="20"/>
              </w:rPr>
            </w:pPr>
            <w:r w:rsidRPr="003807C0">
              <w:rPr>
                <w:sz w:val="20"/>
                <w:szCs w:val="20"/>
              </w:rPr>
              <w:t>-Les données sont déjà renseignées ; les utilisateurs n’ont rien à saisir comme données, ils doivent simplement lire le modèle ;</w:t>
            </w:r>
          </w:p>
          <w:p w14:paraId="2E05CD7A" w14:textId="77777777" w:rsidR="00D80693" w:rsidRPr="003807C0" w:rsidRDefault="00D80693" w:rsidP="00322328">
            <w:pPr>
              <w:contextualSpacing/>
              <w:jc w:val="both"/>
              <w:rPr>
                <w:sz w:val="20"/>
                <w:szCs w:val="20"/>
              </w:rPr>
            </w:pPr>
            <w:r w:rsidRPr="003807C0">
              <w:rPr>
                <w:sz w:val="20"/>
                <w:szCs w:val="20"/>
              </w:rPr>
              <w:t>-il est conçu sur Excel à partir d’une feuille de calcul vierge.</w:t>
            </w:r>
          </w:p>
          <w:p w14:paraId="2FA88CC6" w14:textId="77777777" w:rsidR="00D80693" w:rsidRPr="003807C0" w:rsidRDefault="00D80693" w:rsidP="00322328">
            <w:pPr>
              <w:contextualSpacing/>
              <w:jc w:val="both"/>
              <w:rPr>
                <w:sz w:val="20"/>
                <w:szCs w:val="20"/>
              </w:rPr>
            </w:pPr>
            <w:r w:rsidRPr="003807C0">
              <w:rPr>
                <w:sz w:val="20"/>
                <w:szCs w:val="20"/>
              </w:rPr>
              <w:t>- le modèle est figé.</w:t>
            </w:r>
          </w:p>
          <w:p w14:paraId="702D5E65" w14:textId="77777777" w:rsidR="00D80693" w:rsidRPr="003807C0" w:rsidRDefault="00D80693" w:rsidP="00322328">
            <w:pPr>
              <w:contextualSpacing/>
              <w:jc w:val="both"/>
              <w:rPr>
                <w:sz w:val="20"/>
                <w:szCs w:val="20"/>
              </w:rPr>
            </w:pPr>
          </w:p>
        </w:tc>
      </w:tr>
      <w:tr w:rsidR="00D80693" w:rsidRPr="003807C0" w14:paraId="6C1DD98A" w14:textId="77777777" w:rsidTr="00D72320">
        <w:tc>
          <w:tcPr>
            <w:tcW w:w="1025" w:type="pct"/>
          </w:tcPr>
          <w:p w14:paraId="533F248B" w14:textId="77777777" w:rsidR="00D80693" w:rsidRPr="003807C0" w:rsidRDefault="00D80693" w:rsidP="00322328">
            <w:pPr>
              <w:contextualSpacing/>
              <w:rPr>
                <w:sz w:val="20"/>
                <w:szCs w:val="20"/>
              </w:rPr>
            </w:pPr>
            <w:r w:rsidRPr="003807C0">
              <w:rPr>
                <w:sz w:val="20"/>
                <w:szCs w:val="20"/>
              </w:rPr>
              <w:t xml:space="preserve">Structure </w:t>
            </w:r>
          </w:p>
        </w:tc>
        <w:tc>
          <w:tcPr>
            <w:tcW w:w="2406" w:type="pct"/>
          </w:tcPr>
          <w:p w14:paraId="3869D332" w14:textId="77777777" w:rsidR="00D80693" w:rsidRPr="003807C0" w:rsidRDefault="00D80693" w:rsidP="00322328">
            <w:pPr>
              <w:contextualSpacing/>
              <w:jc w:val="both"/>
              <w:rPr>
                <w:sz w:val="20"/>
                <w:szCs w:val="20"/>
              </w:rPr>
            </w:pPr>
            <w:r w:rsidRPr="003807C0">
              <w:rPr>
                <w:sz w:val="20"/>
                <w:szCs w:val="20"/>
              </w:rPr>
              <w:t>Le modèle est composé de 17 feuilles paramétrées mais sans données :</w:t>
            </w:r>
          </w:p>
          <w:p w14:paraId="4ED7F1D1" w14:textId="77777777" w:rsidR="00D80693" w:rsidRPr="003807C0" w:rsidRDefault="00D80693" w:rsidP="00322328">
            <w:pPr>
              <w:contextualSpacing/>
              <w:jc w:val="both"/>
              <w:rPr>
                <w:sz w:val="20"/>
                <w:szCs w:val="20"/>
              </w:rPr>
            </w:pPr>
            <w:r w:rsidRPr="003807C0">
              <w:rPr>
                <w:sz w:val="20"/>
                <w:szCs w:val="20"/>
              </w:rPr>
              <w:t xml:space="preserve">-dans la feuille System on décrit le système éducatif (ou éventuellement pour un sous-secteur du système éducatif) ; </w:t>
            </w:r>
          </w:p>
          <w:p w14:paraId="4D64B1CC" w14:textId="77777777" w:rsidR="00D80693" w:rsidRPr="003807C0" w:rsidRDefault="00D80693" w:rsidP="00322328">
            <w:pPr>
              <w:contextualSpacing/>
              <w:jc w:val="both"/>
              <w:rPr>
                <w:sz w:val="20"/>
                <w:szCs w:val="20"/>
              </w:rPr>
            </w:pPr>
            <w:r w:rsidRPr="003807C0">
              <w:rPr>
                <w:sz w:val="20"/>
                <w:szCs w:val="20"/>
              </w:rPr>
              <w:t xml:space="preserve">-dans la feuille population, on introduit les données démographiques ; </w:t>
            </w:r>
          </w:p>
          <w:p w14:paraId="2B05B4E7" w14:textId="77777777" w:rsidR="00D80693" w:rsidRPr="003807C0" w:rsidRDefault="00D80693" w:rsidP="00322328">
            <w:pPr>
              <w:contextualSpacing/>
              <w:jc w:val="both"/>
              <w:rPr>
                <w:sz w:val="20"/>
                <w:szCs w:val="20"/>
              </w:rPr>
            </w:pPr>
            <w:r w:rsidRPr="003807C0">
              <w:rPr>
                <w:sz w:val="20"/>
                <w:szCs w:val="20"/>
              </w:rPr>
              <w:t>-dans la feuille data, on introduit les statistiques scolaires ;</w:t>
            </w:r>
          </w:p>
          <w:p w14:paraId="14F9DAF0" w14:textId="77777777" w:rsidR="00D80693" w:rsidRPr="003807C0" w:rsidRDefault="00D80693" w:rsidP="00322328">
            <w:pPr>
              <w:contextualSpacing/>
              <w:jc w:val="both"/>
              <w:rPr>
                <w:sz w:val="20"/>
                <w:szCs w:val="20"/>
              </w:rPr>
            </w:pPr>
            <w:r w:rsidRPr="003807C0">
              <w:rPr>
                <w:sz w:val="20"/>
                <w:szCs w:val="20"/>
              </w:rPr>
              <w:t xml:space="preserve">-les deux feuilles </w:t>
            </w:r>
            <w:proofErr w:type="spellStart"/>
            <w:r w:rsidRPr="003807C0">
              <w:rPr>
                <w:i/>
                <w:iCs/>
                <w:sz w:val="20"/>
                <w:szCs w:val="20"/>
              </w:rPr>
              <w:t>modulesS</w:t>
            </w:r>
            <w:proofErr w:type="spellEnd"/>
            <w:r w:rsidRPr="003807C0">
              <w:rPr>
                <w:sz w:val="20"/>
                <w:szCs w:val="20"/>
              </w:rPr>
              <w:t xml:space="preserve"> (feuille cachée) et </w:t>
            </w:r>
            <w:proofErr w:type="spellStart"/>
            <w:r w:rsidRPr="003807C0">
              <w:rPr>
                <w:sz w:val="20"/>
                <w:szCs w:val="20"/>
              </w:rPr>
              <w:t>Students</w:t>
            </w:r>
            <w:proofErr w:type="spellEnd"/>
            <w:r w:rsidRPr="003807C0">
              <w:rPr>
                <w:sz w:val="20"/>
                <w:szCs w:val="20"/>
              </w:rPr>
              <w:t xml:space="preserve"> permettent de calculer et de simuler l’évolution des effectifs d’élèves, d’étudiants ou d’apprenants ;</w:t>
            </w:r>
          </w:p>
          <w:p w14:paraId="5050D492" w14:textId="77777777" w:rsidR="00D80693" w:rsidRPr="003807C0" w:rsidRDefault="00D80693" w:rsidP="00322328">
            <w:pPr>
              <w:contextualSpacing/>
              <w:jc w:val="both"/>
              <w:rPr>
                <w:sz w:val="20"/>
                <w:szCs w:val="20"/>
              </w:rPr>
            </w:pPr>
            <w:r w:rsidRPr="003807C0">
              <w:rPr>
                <w:sz w:val="20"/>
                <w:szCs w:val="20"/>
              </w:rPr>
              <w:t xml:space="preserve">-les deux feuilles </w:t>
            </w:r>
            <w:proofErr w:type="spellStart"/>
            <w:r w:rsidRPr="003807C0">
              <w:rPr>
                <w:i/>
                <w:iCs/>
                <w:sz w:val="20"/>
                <w:szCs w:val="20"/>
              </w:rPr>
              <w:t>modulesP</w:t>
            </w:r>
            <w:proofErr w:type="spellEnd"/>
            <w:r w:rsidRPr="003807C0">
              <w:rPr>
                <w:sz w:val="20"/>
                <w:szCs w:val="20"/>
              </w:rPr>
              <w:t xml:space="preserve"> (feuille cachée) et Personnel permettent de calculer et de simuler l’évolution des effectifs du personnel (enseignants et non-enseignants) ;</w:t>
            </w:r>
          </w:p>
          <w:p w14:paraId="47F7C566" w14:textId="77777777" w:rsidR="00D80693" w:rsidRPr="003807C0" w:rsidRDefault="00D80693" w:rsidP="00322328">
            <w:pPr>
              <w:contextualSpacing/>
              <w:jc w:val="both"/>
              <w:rPr>
                <w:sz w:val="20"/>
                <w:szCs w:val="20"/>
              </w:rPr>
            </w:pPr>
            <w:r w:rsidRPr="003807C0">
              <w:rPr>
                <w:sz w:val="20"/>
                <w:szCs w:val="20"/>
              </w:rPr>
              <w:t xml:space="preserve">-les deux feuilles </w:t>
            </w:r>
            <w:proofErr w:type="spellStart"/>
            <w:r w:rsidRPr="003807C0">
              <w:rPr>
                <w:i/>
                <w:iCs/>
                <w:sz w:val="20"/>
                <w:szCs w:val="20"/>
              </w:rPr>
              <w:t>modulesC</w:t>
            </w:r>
            <w:proofErr w:type="spellEnd"/>
            <w:r w:rsidRPr="003807C0">
              <w:rPr>
                <w:sz w:val="20"/>
                <w:szCs w:val="20"/>
              </w:rPr>
              <w:t xml:space="preserve"> (feuille cachée) et </w:t>
            </w:r>
            <w:proofErr w:type="spellStart"/>
            <w:r w:rsidRPr="003807C0">
              <w:rPr>
                <w:sz w:val="20"/>
                <w:szCs w:val="20"/>
              </w:rPr>
              <w:t>Costs</w:t>
            </w:r>
            <w:proofErr w:type="spellEnd"/>
            <w:r w:rsidRPr="003807C0">
              <w:rPr>
                <w:sz w:val="20"/>
                <w:szCs w:val="20"/>
              </w:rPr>
              <w:t> permettent de calculer et de simuler l’évolution des ressources matérielles et financières.</w:t>
            </w:r>
          </w:p>
          <w:p w14:paraId="075CA42A" w14:textId="77777777" w:rsidR="00D80693" w:rsidRPr="003807C0" w:rsidRDefault="00D80693" w:rsidP="00322328">
            <w:pPr>
              <w:contextualSpacing/>
              <w:jc w:val="both"/>
              <w:rPr>
                <w:sz w:val="20"/>
                <w:szCs w:val="20"/>
              </w:rPr>
            </w:pPr>
            <w:r w:rsidRPr="003807C0">
              <w:rPr>
                <w:sz w:val="20"/>
                <w:szCs w:val="20"/>
              </w:rPr>
              <w:t xml:space="preserve">-la feuille </w:t>
            </w:r>
            <w:proofErr w:type="spellStart"/>
            <w:r w:rsidRPr="003807C0">
              <w:rPr>
                <w:sz w:val="20"/>
                <w:szCs w:val="20"/>
              </w:rPr>
              <w:t>Financing</w:t>
            </w:r>
            <w:proofErr w:type="spellEnd"/>
            <w:r w:rsidRPr="003807C0">
              <w:rPr>
                <w:sz w:val="20"/>
                <w:szCs w:val="20"/>
              </w:rPr>
              <w:t xml:space="preserve"> est composée de deux parties : la partie haute permet de déterminer les ressources nationales qui seront disponibles pour l’Éducation, la partie basse contient quelques tableaux de coûts, dépenses ou gaps de financement déterminés par les calculs effectués dans la feuille </w:t>
            </w:r>
            <w:proofErr w:type="spellStart"/>
            <w:r w:rsidRPr="003807C0">
              <w:rPr>
                <w:sz w:val="20"/>
                <w:szCs w:val="20"/>
              </w:rPr>
              <w:t>Costs</w:t>
            </w:r>
            <w:proofErr w:type="spellEnd"/>
            <w:r w:rsidRPr="003807C0">
              <w:rPr>
                <w:sz w:val="20"/>
                <w:szCs w:val="20"/>
              </w:rPr>
              <w:t>.</w:t>
            </w:r>
          </w:p>
          <w:p w14:paraId="08128507" w14:textId="77777777" w:rsidR="00D80693" w:rsidRPr="003807C0" w:rsidRDefault="00D80693" w:rsidP="00322328">
            <w:pPr>
              <w:contextualSpacing/>
              <w:jc w:val="both"/>
              <w:rPr>
                <w:sz w:val="20"/>
                <w:szCs w:val="20"/>
              </w:rPr>
            </w:pPr>
            <w:r w:rsidRPr="003807C0">
              <w:rPr>
                <w:sz w:val="20"/>
                <w:szCs w:val="20"/>
              </w:rPr>
              <w:t xml:space="preserve">-la feuille </w:t>
            </w:r>
            <w:proofErr w:type="spellStart"/>
            <w:r w:rsidRPr="003807C0">
              <w:rPr>
                <w:sz w:val="20"/>
                <w:szCs w:val="20"/>
              </w:rPr>
              <w:t>Indicators</w:t>
            </w:r>
            <w:proofErr w:type="spellEnd"/>
            <w:r w:rsidRPr="003807C0">
              <w:rPr>
                <w:sz w:val="20"/>
                <w:szCs w:val="20"/>
              </w:rPr>
              <w:t xml:space="preserve"> contient quelques tableaux d’indicateurs de scolarisation et notamment deux tableaux qui permettent de contribuer à évaluer le degré d’atteinte des cibles de l’ODD4.</w:t>
            </w:r>
          </w:p>
          <w:p w14:paraId="4985FFA3" w14:textId="77777777" w:rsidR="00D80693" w:rsidRPr="003807C0" w:rsidRDefault="00D80693" w:rsidP="00322328">
            <w:pPr>
              <w:contextualSpacing/>
              <w:jc w:val="both"/>
              <w:rPr>
                <w:sz w:val="20"/>
                <w:szCs w:val="20"/>
              </w:rPr>
            </w:pPr>
            <w:r w:rsidRPr="003807C0">
              <w:rPr>
                <w:sz w:val="20"/>
                <w:szCs w:val="20"/>
              </w:rPr>
              <w:t>-la feuille Scénario</w:t>
            </w:r>
            <w:r w:rsidRPr="003807C0">
              <w:rPr>
                <w:b/>
                <w:bCs/>
                <w:sz w:val="20"/>
                <w:szCs w:val="20"/>
              </w:rPr>
              <w:t>s</w:t>
            </w:r>
            <w:r w:rsidRPr="003807C0">
              <w:rPr>
                <w:sz w:val="20"/>
                <w:szCs w:val="20"/>
              </w:rPr>
              <w:t> contient un gestionnaire de scénarios.</w:t>
            </w:r>
          </w:p>
          <w:p w14:paraId="34ACDC7E" w14:textId="77777777" w:rsidR="00D80693" w:rsidRPr="003807C0" w:rsidRDefault="00D80693" w:rsidP="00322328">
            <w:pPr>
              <w:contextualSpacing/>
              <w:jc w:val="both"/>
              <w:rPr>
                <w:sz w:val="20"/>
                <w:szCs w:val="20"/>
              </w:rPr>
            </w:pPr>
            <w:r w:rsidRPr="003807C0">
              <w:rPr>
                <w:sz w:val="20"/>
                <w:szCs w:val="20"/>
              </w:rPr>
              <w:t xml:space="preserve">-la feuille </w:t>
            </w:r>
            <w:proofErr w:type="spellStart"/>
            <w:r w:rsidRPr="003807C0">
              <w:rPr>
                <w:sz w:val="20"/>
                <w:szCs w:val="20"/>
              </w:rPr>
              <w:t>Comparison</w:t>
            </w:r>
            <w:proofErr w:type="spellEnd"/>
            <w:r w:rsidRPr="003807C0">
              <w:rPr>
                <w:sz w:val="20"/>
                <w:szCs w:val="20"/>
              </w:rPr>
              <w:t xml:space="preserve"> permet de comparer les scénarios.</w:t>
            </w:r>
          </w:p>
          <w:p w14:paraId="6693A42A" w14:textId="77777777" w:rsidR="00D80693" w:rsidRPr="003807C0" w:rsidRDefault="00D80693" w:rsidP="00322328">
            <w:pPr>
              <w:contextualSpacing/>
              <w:jc w:val="both"/>
              <w:rPr>
                <w:sz w:val="20"/>
                <w:szCs w:val="20"/>
              </w:rPr>
            </w:pPr>
            <w:r w:rsidRPr="003807C0">
              <w:rPr>
                <w:sz w:val="20"/>
                <w:szCs w:val="20"/>
              </w:rPr>
              <w:t>-les trois dernières feuilles visibles – Free1, Free2 et Free3 – sont des feuilles non protégées, vierges, utilisables au besoin et dont le contenu est liable avec les autres feuilles du modèle.</w:t>
            </w:r>
          </w:p>
          <w:p w14:paraId="490DC9A8" w14:textId="77777777" w:rsidR="00D80693" w:rsidRPr="003807C0" w:rsidRDefault="00D80693" w:rsidP="00322328">
            <w:pPr>
              <w:contextualSpacing/>
              <w:jc w:val="both"/>
              <w:rPr>
                <w:sz w:val="20"/>
                <w:szCs w:val="20"/>
              </w:rPr>
            </w:pPr>
            <w:r w:rsidRPr="003807C0">
              <w:rPr>
                <w:sz w:val="20"/>
                <w:szCs w:val="20"/>
              </w:rPr>
              <w:t>-une feuille invisible – Plages – contient des éléments de gestion de l’interface du modèle.</w:t>
            </w:r>
          </w:p>
          <w:p w14:paraId="30FE092D" w14:textId="77777777" w:rsidR="00D80693" w:rsidRPr="003807C0" w:rsidRDefault="00D80693" w:rsidP="00322328">
            <w:pPr>
              <w:contextualSpacing/>
              <w:jc w:val="both"/>
              <w:rPr>
                <w:sz w:val="20"/>
                <w:szCs w:val="20"/>
              </w:rPr>
            </w:pPr>
            <w:r w:rsidRPr="003807C0">
              <w:rPr>
                <w:sz w:val="20"/>
                <w:szCs w:val="20"/>
              </w:rPr>
              <w:t xml:space="preserve">Les projections des effectifs d’élèves, de personnel, les projections des dépenses, des indicateurs, etc., dans les feuilles </w:t>
            </w:r>
            <w:proofErr w:type="spellStart"/>
            <w:r w:rsidRPr="003807C0">
              <w:rPr>
                <w:sz w:val="20"/>
                <w:szCs w:val="20"/>
              </w:rPr>
              <w:t>Students</w:t>
            </w:r>
            <w:proofErr w:type="spellEnd"/>
            <w:r w:rsidRPr="003807C0">
              <w:rPr>
                <w:sz w:val="20"/>
                <w:szCs w:val="20"/>
              </w:rPr>
              <w:t xml:space="preserve">, Personnel, </w:t>
            </w:r>
            <w:proofErr w:type="spellStart"/>
            <w:r w:rsidRPr="003807C0">
              <w:rPr>
                <w:sz w:val="20"/>
                <w:szCs w:val="20"/>
              </w:rPr>
              <w:t>Costs</w:t>
            </w:r>
            <w:proofErr w:type="spellEnd"/>
            <w:r w:rsidRPr="003807C0">
              <w:rPr>
                <w:sz w:val="20"/>
                <w:szCs w:val="20"/>
              </w:rPr>
              <w:t xml:space="preserve">, </w:t>
            </w:r>
            <w:proofErr w:type="spellStart"/>
            <w:r w:rsidRPr="003807C0">
              <w:rPr>
                <w:sz w:val="20"/>
                <w:szCs w:val="20"/>
              </w:rPr>
              <w:t>Financing</w:t>
            </w:r>
            <w:proofErr w:type="spellEnd"/>
            <w:r w:rsidRPr="003807C0">
              <w:rPr>
                <w:sz w:val="20"/>
                <w:szCs w:val="20"/>
              </w:rPr>
              <w:t xml:space="preserve"> et </w:t>
            </w:r>
            <w:proofErr w:type="spellStart"/>
            <w:r w:rsidRPr="003807C0">
              <w:rPr>
                <w:sz w:val="20"/>
                <w:szCs w:val="20"/>
              </w:rPr>
              <w:t>Indicators</w:t>
            </w:r>
            <w:proofErr w:type="spellEnd"/>
            <w:r w:rsidRPr="003807C0">
              <w:rPr>
                <w:sz w:val="20"/>
                <w:szCs w:val="20"/>
              </w:rPr>
              <w:t xml:space="preserve">, s’étalent sur 20 ans. </w:t>
            </w:r>
          </w:p>
        </w:tc>
        <w:tc>
          <w:tcPr>
            <w:tcW w:w="1569" w:type="pct"/>
          </w:tcPr>
          <w:p w14:paraId="1CB2C057" w14:textId="77777777" w:rsidR="00D80693" w:rsidRPr="003807C0" w:rsidRDefault="00D80693" w:rsidP="00322328">
            <w:pPr>
              <w:contextualSpacing/>
              <w:jc w:val="both"/>
              <w:rPr>
                <w:sz w:val="20"/>
                <w:szCs w:val="20"/>
              </w:rPr>
            </w:pPr>
            <w:r w:rsidRPr="003807C0">
              <w:rPr>
                <w:sz w:val="20"/>
                <w:szCs w:val="20"/>
              </w:rPr>
              <w:t>Le modèle est composé de 16 feuilles déjà renseignées :</w:t>
            </w:r>
          </w:p>
          <w:p w14:paraId="10899DE7" w14:textId="77777777" w:rsidR="00D80693" w:rsidRPr="003807C0" w:rsidRDefault="00D80693" w:rsidP="00322328">
            <w:pPr>
              <w:contextualSpacing/>
              <w:jc w:val="both"/>
              <w:rPr>
                <w:sz w:val="20"/>
                <w:szCs w:val="20"/>
              </w:rPr>
            </w:pPr>
            <w:r w:rsidRPr="003807C0">
              <w:rPr>
                <w:sz w:val="20"/>
                <w:szCs w:val="20"/>
              </w:rPr>
              <w:t>-la feuille des données macro-économiques ;</w:t>
            </w:r>
          </w:p>
          <w:p w14:paraId="0A7B67A9" w14:textId="77777777" w:rsidR="00D80693" w:rsidRPr="003807C0" w:rsidRDefault="00D80693" w:rsidP="00322328">
            <w:pPr>
              <w:contextualSpacing/>
              <w:jc w:val="both"/>
              <w:rPr>
                <w:sz w:val="20"/>
                <w:szCs w:val="20"/>
              </w:rPr>
            </w:pPr>
            <w:r w:rsidRPr="003807C0">
              <w:rPr>
                <w:sz w:val="20"/>
                <w:szCs w:val="20"/>
              </w:rPr>
              <w:t>-la feuille des données démographiques de base ;</w:t>
            </w:r>
          </w:p>
          <w:p w14:paraId="3B446F79" w14:textId="77777777" w:rsidR="00D80693" w:rsidRPr="003807C0" w:rsidRDefault="00D80693" w:rsidP="00322328">
            <w:pPr>
              <w:contextualSpacing/>
              <w:jc w:val="both"/>
              <w:rPr>
                <w:sz w:val="20"/>
                <w:szCs w:val="20"/>
              </w:rPr>
            </w:pPr>
            <w:r w:rsidRPr="003807C0">
              <w:rPr>
                <w:sz w:val="20"/>
                <w:szCs w:val="20"/>
              </w:rPr>
              <w:t>-la feuille Projection INSD des projections démographiques ;</w:t>
            </w:r>
          </w:p>
          <w:p w14:paraId="4B754DD2" w14:textId="77777777" w:rsidR="00D80693" w:rsidRPr="003807C0" w:rsidRDefault="00D80693" w:rsidP="00322328">
            <w:pPr>
              <w:contextualSpacing/>
              <w:jc w:val="both"/>
              <w:rPr>
                <w:sz w:val="20"/>
                <w:szCs w:val="20"/>
              </w:rPr>
            </w:pPr>
            <w:r w:rsidRPr="003807C0">
              <w:rPr>
                <w:sz w:val="20"/>
                <w:szCs w:val="20"/>
              </w:rPr>
              <w:t>-la feuille pilotage contient les résultats des différents scénarios de la simulation ;</w:t>
            </w:r>
          </w:p>
          <w:p w14:paraId="6E375B76" w14:textId="77777777" w:rsidR="00D80693" w:rsidRPr="003807C0" w:rsidRDefault="00D80693" w:rsidP="00322328">
            <w:pPr>
              <w:contextualSpacing/>
              <w:jc w:val="both"/>
              <w:rPr>
                <w:sz w:val="20"/>
                <w:szCs w:val="20"/>
              </w:rPr>
            </w:pPr>
            <w:r w:rsidRPr="003807C0">
              <w:rPr>
                <w:sz w:val="20"/>
                <w:szCs w:val="20"/>
              </w:rPr>
              <w:t>- trois feuilles des scénarios (scénarios de base, scénario 2 et scénario 3) ;</w:t>
            </w:r>
          </w:p>
          <w:p w14:paraId="5CBCA677" w14:textId="77777777" w:rsidR="00D80693" w:rsidRPr="003807C0" w:rsidRDefault="00D80693" w:rsidP="00322328">
            <w:pPr>
              <w:contextualSpacing/>
              <w:jc w:val="both"/>
              <w:rPr>
                <w:sz w:val="20"/>
                <w:szCs w:val="20"/>
              </w:rPr>
            </w:pPr>
            <w:r w:rsidRPr="003807C0">
              <w:rPr>
                <w:sz w:val="20"/>
                <w:szCs w:val="20"/>
              </w:rPr>
              <w:t>-la feuille pivot ;</w:t>
            </w:r>
          </w:p>
          <w:p w14:paraId="4C4B12F3" w14:textId="77777777" w:rsidR="00D80693" w:rsidRPr="003807C0" w:rsidRDefault="00D80693" w:rsidP="00322328">
            <w:pPr>
              <w:contextualSpacing/>
              <w:jc w:val="both"/>
              <w:rPr>
                <w:sz w:val="20"/>
                <w:szCs w:val="20"/>
              </w:rPr>
            </w:pPr>
            <w:r w:rsidRPr="003807C0">
              <w:rPr>
                <w:sz w:val="20"/>
                <w:szCs w:val="20"/>
              </w:rPr>
              <w:t>-la feuille 3 recapitule les dépenses courantes selon les différents scénarios ;</w:t>
            </w:r>
          </w:p>
          <w:p w14:paraId="7722C772" w14:textId="77777777" w:rsidR="00D80693" w:rsidRPr="003807C0" w:rsidRDefault="00D80693" w:rsidP="00322328">
            <w:pPr>
              <w:contextualSpacing/>
              <w:jc w:val="both"/>
              <w:rPr>
                <w:sz w:val="20"/>
                <w:szCs w:val="20"/>
              </w:rPr>
            </w:pPr>
            <w:r w:rsidRPr="003807C0">
              <w:rPr>
                <w:sz w:val="20"/>
                <w:szCs w:val="20"/>
              </w:rPr>
              <w:t xml:space="preserve">-la feuille </w:t>
            </w:r>
            <w:proofErr w:type="spellStart"/>
            <w:r w:rsidRPr="003807C0">
              <w:rPr>
                <w:sz w:val="20"/>
                <w:szCs w:val="20"/>
              </w:rPr>
              <w:t>transCommune</w:t>
            </w:r>
            <w:proofErr w:type="spellEnd"/>
            <w:r w:rsidRPr="003807C0">
              <w:rPr>
                <w:sz w:val="20"/>
                <w:szCs w:val="20"/>
              </w:rPr>
              <w:t> ;</w:t>
            </w:r>
          </w:p>
          <w:p w14:paraId="0C4A5215" w14:textId="77777777" w:rsidR="00D80693" w:rsidRPr="003807C0" w:rsidRDefault="00D80693" w:rsidP="00322328">
            <w:pPr>
              <w:contextualSpacing/>
              <w:jc w:val="both"/>
              <w:rPr>
                <w:sz w:val="20"/>
                <w:szCs w:val="20"/>
              </w:rPr>
            </w:pPr>
            <w:r w:rsidRPr="003807C0">
              <w:rPr>
                <w:sz w:val="20"/>
                <w:szCs w:val="20"/>
              </w:rPr>
              <w:t>-la feuille scolarisation ;</w:t>
            </w:r>
          </w:p>
          <w:p w14:paraId="1A3BB83D" w14:textId="77777777" w:rsidR="00D80693" w:rsidRPr="003807C0" w:rsidRDefault="00D80693" w:rsidP="00322328">
            <w:pPr>
              <w:contextualSpacing/>
              <w:jc w:val="both"/>
              <w:rPr>
                <w:sz w:val="20"/>
                <w:szCs w:val="20"/>
              </w:rPr>
            </w:pPr>
            <w:r w:rsidRPr="003807C0">
              <w:rPr>
                <w:sz w:val="20"/>
                <w:szCs w:val="20"/>
              </w:rPr>
              <w:t>-la feuille enseignant ;</w:t>
            </w:r>
          </w:p>
          <w:p w14:paraId="0017B004" w14:textId="77777777" w:rsidR="00D80693" w:rsidRPr="003807C0" w:rsidRDefault="00D80693" w:rsidP="00322328">
            <w:pPr>
              <w:contextualSpacing/>
              <w:jc w:val="both"/>
              <w:rPr>
                <w:sz w:val="20"/>
                <w:szCs w:val="20"/>
              </w:rPr>
            </w:pPr>
            <w:r w:rsidRPr="003807C0">
              <w:rPr>
                <w:sz w:val="20"/>
                <w:szCs w:val="20"/>
              </w:rPr>
              <w:t>-la feuille Base ;</w:t>
            </w:r>
          </w:p>
          <w:p w14:paraId="27C8313E" w14:textId="77777777" w:rsidR="00D80693" w:rsidRPr="003807C0" w:rsidRDefault="00D80693" w:rsidP="00322328">
            <w:pPr>
              <w:contextualSpacing/>
              <w:jc w:val="both"/>
              <w:rPr>
                <w:sz w:val="20"/>
                <w:szCs w:val="20"/>
              </w:rPr>
            </w:pPr>
            <w:r w:rsidRPr="003807C0">
              <w:rPr>
                <w:sz w:val="20"/>
                <w:szCs w:val="20"/>
              </w:rPr>
              <w:t xml:space="preserve">-la feuille investissement 2019 qui contient les données des investissements de l’année </w:t>
            </w:r>
            <w:proofErr w:type="gramStart"/>
            <w:r w:rsidRPr="003807C0">
              <w:rPr>
                <w:sz w:val="20"/>
                <w:szCs w:val="20"/>
              </w:rPr>
              <w:t>2019;</w:t>
            </w:r>
            <w:proofErr w:type="gramEnd"/>
          </w:p>
          <w:p w14:paraId="4615DC4F" w14:textId="77777777" w:rsidR="00D80693" w:rsidRPr="003807C0" w:rsidRDefault="00D80693" w:rsidP="00322328">
            <w:pPr>
              <w:contextualSpacing/>
              <w:jc w:val="both"/>
              <w:rPr>
                <w:sz w:val="20"/>
                <w:szCs w:val="20"/>
              </w:rPr>
            </w:pPr>
            <w:r w:rsidRPr="003807C0">
              <w:rPr>
                <w:sz w:val="20"/>
                <w:szCs w:val="20"/>
              </w:rPr>
              <w:t xml:space="preserve">-la feuille </w:t>
            </w:r>
            <w:proofErr w:type="spellStart"/>
            <w:r w:rsidRPr="003807C0">
              <w:rPr>
                <w:sz w:val="20"/>
                <w:szCs w:val="20"/>
              </w:rPr>
              <w:t>ENFCen</w:t>
            </w:r>
            <w:proofErr w:type="spellEnd"/>
            <w:r w:rsidRPr="003807C0">
              <w:rPr>
                <w:sz w:val="20"/>
                <w:szCs w:val="20"/>
              </w:rPr>
              <w:t xml:space="preserve"> qui présente la situation des centres financés par le </w:t>
            </w:r>
            <w:proofErr w:type="gramStart"/>
            <w:r w:rsidRPr="003807C0">
              <w:rPr>
                <w:sz w:val="20"/>
                <w:szCs w:val="20"/>
              </w:rPr>
              <w:t>FONAEF;</w:t>
            </w:r>
            <w:proofErr w:type="gramEnd"/>
          </w:p>
          <w:p w14:paraId="4FB1A06F" w14:textId="77777777" w:rsidR="00D80693" w:rsidRPr="003807C0" w:rsidRDefault="00D80693" w:rsidP="00322328">
            <w:pPr>
              <w:contextualSpacing/>
              <w:jc w:val="both"/>
              <w:rPr>
                <w:sz w:val="20"/>
                <w:szCs w:val="20"/>
              </w:rPr>
            </w:pPr>
            <w:r w:rsidRPr="003807C0">
              <w:rPr>
                <w:sz w:val="20"/>
                <w:szCs w:val="20"/>
              </w:rPr>
              <w:t>-une feuille non spécifiée dénommée feuille 2 ;</w:t>
            </w:r>
          </w:p>
          <w:p w14:paraId="6C64A514" w14:textId="77777777" w:rsidR="00D80693" w:rsidRPr="003807C0" w:rsidRDefault="00D80693" w:rsidP="00322328">
            <w:pPr>
              <w:contextualSpacing/>
              <w:jc w:val="both"/>
              <w:rPr>
                <w:sz w:val="20"/>
                <w:szCs w:val="20"/>
              </w:rPr>
            </w:pPr>
          </w:p>
        </w:tc>
      </w:tr>
      <w:tr w:rsidR="00D80693" w:rsidRPr="003807C0" w14:paraId="3CE8D8DF" w14:textId="77777777" w:rsidTr="00D72320">
        <w:tc>
          <w:tcPr>
            <w:tcW w:w="1025" w:type="pct"/>
          </w:tcPr>
          <w:p w14:paraId="502F64EA" w14:textId="77777777" w:rsidR="00D80693" w:rsidRPr="003807C0" w:rsidRDefault="00D80693" w:rsidP="00322328">
            <w:pPr>
              <w:contextualSpacing/>
              <w:rPr>
                <w:sz w:val="20"/>
                <w:szCs w:val="20"/>
              </w:rPr>
            </w:pPr>
            <w:r w:rsidRPr="003807C0">
              <w:rPr>
                <w:sz w:val="20"/>
                <w:szCs w:val="20"/>
              </w:rPr>
              <w:t>Fonctionnalités</w:t>
            </w:r>
          </w:p>
        </w:tc>
        <w:tc>
          <w:tcPr>
            <w:tcW w:w="2406" w:type="pct"/>
          </w:tcPr>
          <w:p w14:paraId="453F407F" w14:textId="77777777" w:rsidR="00D80693" w:rsidRPr="003807C0" w:rsidRDefault="00D80693" w:rsidP="00322328">
            <w:pPr>
              <w:contextualSpacing/>
              <w:jc w:val="both"/>
              <w:rPr>
                <w:sz w:val="20"/>
                <w:szCs w:val="20"/>
              </w:rPr>
            </w:pPr>
            <w:r w:rsidRPr="003807C0">
              <w:rPr>
                <w:sz w:val="20"/>
                <w:szCs w:val="20"/>
              </w:rPr>
              <w:t>-simule les besoins en ressources humaines, financières et matérielles du secteur de l’éducation ;</w:t>
            </w:r>
          </w:p>
          <w:p w14:paraId="269A19A9" w14:textId="77777777" w:rsidR="00D80693" w:rsidRPr="003807C0" w:rsidRDefault="00D80693" w:rsidP="00322328">
            <w:pPr>
              <w:contextualSpacing/>
              <w:jc w:val="both"/>
              <w:rPr>
                <w:sz w:val="20"/>
                <w:szCs w:val="20"/>
              </w:rPr>
            </w:pPr>
            <w:r w:rsidRPr="003807C0">
              <w:rPr>
                <w:sz w:val="20"/>
                <w:szCs w:val="20"/>
              </w:rPr>
              <w:t>-modélise l'impact des options des politiques éducatives sur le secteur ou sur une composante du secteur de l’éducation ;</w:t>
            </w:r>
          </w:p>
          <w:p w14:paraId="00D733DA" w14:textId="77777777" w:rsidR="00D80693" w:rsidRPr="003807C0" w:rsidRDefault="00D80693" w:rsidP="00322328">
            <w:pPr>
              <w:contextualSpacing/>
              <w:jc w:val="both"/>
              <w:rPr>
                <w:sz w:val="20"/>
                <w:szCs w:val="20"/>
              </w:rPr>
            </w:pPr>
            <w:r w:rsidRPr="003807C0">
              <w:rPr>
                <w:sz w:val="20"/>
                <w:szCs w:val="20"/>
              </w:rPr>
              <w:t xml:space="preserve">-analyse des données les infrastructures et le personnel enseignant. </w:t>
            </w:r>
            <w:r w:rsidRPr="003807C0">
              <w:rPr>
                <w:sz w:val="20"/>
                <w:szCs w:val="20"/>
              </w:rPr>
              <w:br/>
              <w:t>-adaptables aux les politiques éducatives nationales spécifiques aux états.</w:t>
            </w:r>
          </w:p>
          <w:p w14:paraId="5AECE24C" w14:textId="77777777" w:rsidR="00D80693" w:rsidRPr="003807C0" w:rsidRDefault="00D80693" w:rsidP="00322328">
            <w:pPr>
              <w:contextualSpacing/>
              <w:jc w:val="both"/>
              <w:rPr>
                <w:sz w:val="20"/>
                <w:szCs w:val="20"/>
              </w:rPr>
            </w:pPr>
            <w:r w:rsidRPr="003807C0">
              <w:rPr>
                <w:sz w:val="20"/>
                <w:szCs w:val="20"/>
              </w:rPr>
              <w:t>-projette les indicateurs de l’ODD4 ;</w:t>
            </w:r>
          </w:p>
          <w:p w14:paraId="4CB26EFA" w14:textId="77777777" w:rsidR="00D80693" w:rsidRPr="003807C0" w:rsidRDefault="00D80693" w:rsidP="00322328">
            <w:pPr>
              <w:contextualSpacing/>
              <w:jc w:val="both"/>
              <w:rPr>
                <w:sz w:val="20"/>
                <w:szCs w:val="20"/>
              </w:rPr>
            </w:pPr>
            <w:r w:rsidRPr="003807C0">
              <w:rPr>
                <w:sz w:val="20"/>
                <w:szCs w:val="20"/>
              </w:rPr>
              <w:t>-plus de 100 modules intégrés rendant son adaptation aux divers contextes des états possible ;</w:t>
            </w:r>
          </w:p>
          <w:p w14:paraId="74584B4D" w14:textId="77777777" w:rsidR="00D80693" w:rsidRPr="003807C0" w:rsidRDefault="00D80693" w:rsidP="00322328">
            <w:pPr>
              <w:contextualSpacing/>
              <w:jc w:val="both"/>
              <w:rPr>
                <w:sz w:val="20"/>
                <w:szCs w:val="20"/>
              </w:rPr>
            </w:pPr>
            <w:r w:rsidRPr="003807C0">
              <w:rPr>
                <w:sz w:val="20"/>
                <w:szCs w:val="20"/>
              </w:rPr>
              <w:t>-personnalisable avec des modules complémentaires ;</w:t>
            </w:r>
          </w:p>
          <w:p w14:paraId="7A4DCB0C" w14:textId="77777777" w:rsidR="00D80693" w:rsidRPr="003807C0" w:rsidRDefault="00D80693" w:rsidP="00322328">
            <w:pPr>
              <w:contextualSpacing/>
              <w:jc w:val="both"/>
              <w:rPr>
                <w:sz w:val="20"/>
                <w:szCs w:val="20"/>
              </w:rPr>
            </w:pPr>
            <w:r w:rsidRPr="003807C0">
              <w:rPr>
                <w:sz w:val="20"/>
                <w:szCs w:val="20"/>
              </w:rPr>
              <w:t>-fonction pédagogique (permet de visualiser certains aspects du système éducatif non toujours pris en compte dans les modèles spécifiques) ;</w:t>
            </w:r>
          </w:p>
          <w:p w14:paraId="157371CA" w14:textId="77777777" w:rsidR="00D80693" w:rsidRPr="003807C0" w:rsidRDefault="00D80693" w:rsidP="00322328">
            <w:pPr>
              <w:contextualSpacing/>
              <w:jc w:val="both"/>
              <w:rPr>
                <w:sz w:val="20"/>
                <w:szCs w:val="20"/>
              </w:rPr>
            </w:pPr>
            <w:r w:rsidRPr="003807C0">
              <w:rPr>
                <w:sz w:val="20"/>
                <w:szCs w:val="20"/>
              </w:rPr>
              <w:t>-outil d’aide à la décision pour les planificateurs.</w:t>
            </w:r>
          </w:p>
        </w:tc>
        <w:tc>
          <w:tcPr>
            <w:tcW w:w="1569" w:type="pct"/>
          </w:tcPr>
          <w:p w14:paraId="08E1118D" w14:textId="77777777" w:rsidR="00D80693" w:rsidRPr="003807C0" w:rsidRDefault="00D80693" w:rsidP="00322328">
            <w:pPr>
              <w:contextualSpacing/>
              <w:jc w:val="both"/>
              <w:rPr>
                <w:sz w:val="20"/>
                <w:szCs w:val="20"/>
              </w:rPr>
            </w:pPr>
            <w:r w:rsidRPr="003807C0">
              <w:rPr>
                <w:sz w:val="20"/>
                <w:szCs w:val="20"/>
              </w:rPr>
              <w:t>-simule les besoins en ressources humaines, financières et matérielles du secteur de l’éducation adaptées au contexte burkinabè ;</w:t>
            </w:r>
          </w:p>
          <w:p w14:paraId="3D6B066B" w14:textId="77777777" w:rsidR="00D80693" w:rsidRPr="003807C0" w:rsidRDefault="00D80693" w:rsidP="00322328">
            <w:pPr>
              <w:contextualSpacing/>
              <w:jc w:val="both"/>
              <w:rPr>
                <w:sz w:val="20"/>
                <w:szCs w:val="20"/>
              </w:rPr>
            </w:pPr>
            <w:r w:rsidRPr="003807C0">
              <w:rPr>
                <w:sz w:val="20"/>
                <w:szCs w:val="20"/>
              </w:rPr>
              <w:t>-modélise l'impact des interventions spécifiques dans le secteur de l’éducation au Burkina Faso ;</w:t>
            </w:r>
          </w:p>
          <w:p w14:paraId="4DE2198D" w14:textId="77777777" w:rsidR="00D80693" w:rsidRPr="003807C0" w:rsidRDefault="00D80693" w:rsidP="00322328">
            <w:pPr>
              <w:contextualSpacing/>
              <w:jc w:val="both"/>
              <w:rPr>
                <w:sz w:val="20"/>
                <w:szCs w:val="20"/>
              </w:rPr>
            </w:pPr>
            <w:r w:rsidRPr="003807C0">
              <w:rPr>
                <w:sz w:val="20"/>
                <w:szCs w:val="20"/>
              </w:rPr>
              <w:t xml:space="preserve">- analyse des données locales sur les infrastructures et le personnel enseignant. </w:t>
            </w:r>
            <w:r w:rsidRPr="003807C0">
              <w:rPr>
                <w:sz w:val="20"/>
                <w:szCs w:val="20"/>
              </w:rPr>
              <w:br/>
              <w:t>- intègre les politiques éducatives nationales spécifiques au pays ;</w:t>
            </w:r>
            <w:r w:rsidRPr="003807C0">
              <w:rPr>
                <w:sz w:val="20"/>
                <w:szCs w:val="20"/>
              </w:rPr>
              <w:br/>
              <w:t>-outil d’aide à la décision pour les planificateurs.</w:t>
            </w:r>
          </w:p>
          <w:p w14:paraId="75FB1887" w14:textId="77777777" w:rsidR="00D80693" w:rsidRPr="003807C0" w:rsidRDefault="00D80693" w:rsidP="00322328">
            <w:pPr>
              <w:contextualSpacing/>
              <w:jc w:val="both"/>
              <w:rPr>
                <w:sz w:val="20"/>
                <w:szCs w:val="20"/>
              </w:rPr>
            </w:pPr>
            <w:r w:rsidRPr="003807C0">
              <w:rPr>
                <w:sz w:val="20"/>
                <w:szCs w:val="20"/>
              </w:rPr>
              <w:br/>
            </w:r>
          </w:p>
        </w:tc>
      </w:tr>
    </w:tbl>
    <w:p w14:paraId="4BD4B728" w14:textId="37D0FEF2" w:rsidR="00D80693" w:rsidRPr="0007424B" w:rsidRDefault="00D80693" w:rsidP="00D80693">
      <w:pPr>
        <w:jc w:val="both"/>
        <w:rPr>
          <w:rFonts w:eastAsia="Aptos"/>
          <w:i/>
          <w:iCs/>
          <w:kern w:val="2"/>
          <w14:ligatures w14:val="standardContextual"/>
        </w:rPr>
      </w:pPr>
      <w:proofErr w:type="gramStart"/>
      <w:r w:rsidRPr="0007424B">
        <w:rPr>
          <w:rFonts w:eastAsia="Aptos"/>
          <w:i/>
          <w:iCs/>
          <w:kern w:val="2"/>
          <w14:ligatures w14:val="standardContextual"/>
        </w:rPr>
        <w:t>Source:</w:t>
      </w:r>
      <w:proofErr w:type="gramEnd"/>
      <w:r w:rsidRPr="0007424B">
        <w:rPr>
          <w:rFonts w:eastAsia="Aptos"/>
          <w:i/>
          <w:iCs/>
          <w:kern w:val="2"/>
          <w14:ligatures w14:val="standardContextual"/>
        </w:rPr>
        <w:t xml:space="preserve"> S</w:t>
      </w:r>
      <w:r>
        <w:rPr>
          <w:rFonts w:eastAsia="Aptos"/>
          <w:i/>
          <w:iCs/>
          <w:kern w:val="2"/>
          <w14:ligatures w14:val="standardContextual"/>
        </w:rPr>
        <w:t>avadogo</w:t>
      </w:r>
      <w:r w:rsidRPr="0007424B">
        <w:rPr>
          <w:rFonts w:eastAsia="Aptos"/>
          <w:i/>
          <w:iCs/>
          <w:kern w:val="2"/>
          <w14:ligatures w14:val="standardContextual"/>
        </w:rPr>
        <w:t xml:space="preserve">, Y. A.  (2024). </w:t>
      </w:r>
    </w:p>
    <w:p w14:paraId="3A8352B2" w14:textId="77777777" w:rsidR="00D80693" w:rsidRDefault="00D80693" w:rsidP="00D80693">
      <w:pPr>
        <w:jc w:val="both"/>
        <w:rPr>
          <w:rFonts w:eastAsia="Aptos"/>
          <w:kern w:val="2"/>
          <w14:ligatures w14:val="standardContextual"/>
        </w:rPr>
      </w:pPr>
    </w:p>
    <w:p w14:paraId="5B085659" w14:textId="77777777" w:rsidR="00D80693" w:rsidRDefault="00D80693" w:rsidP="00D80693">
      <w:pPr>
        <w:jc w:val="both"/>
        <w:rPr>
          <w:rFonts w:eastAsia="Aptos"/>
          <w:kern w:val="2"/>
          <w:sz w:val="24"/>
          <w:szCs w:val="24"/>
          <w14:ligatures w14:val="standardContextual"/>
        </w:rPr>
      </w:pPr>
      <w:r w:rsidRPr="005B6212">
        <w:rPr>
          <w:rFonts w:eastAsia="Aptos"/>
          <w:kern w:val="2"/>
          <w:sz w:val="24"/>
          <w:szCs w:val="24"/>
          <w14:ligatures w14:val="standardContextual"/>
        </w:rPr>
        <w:t>Le tableau ci-dessus a présenté les deux modèles de simulation à travers leur structure et leurs fonctionnalités. Le tableau suivant identifie les forces et les faiblesses de chaque modèle.</w:t>
      </w:r>
    </w:p>
    <w:p w14:paraId="217E42A2" w14:textId="77777777" w:rsidR="00D80693" w:rsidRPr="005B6212" w:rsidRDefault="00D80693" w:rsidP="00D80693">
      <w:pPr>
        <w:jc w:val="center"/>
        <w:rPr>
          <w:rFonts w:eastAsia="Aptos"/>
          <w:b/>
          <w:bCs/>
          <w:i/>
          <w:iCs/>
          <w:kern w:val="2"/>
          <w14:ligatures w14:val="standardContextual"/>
        </w:rPr>
      </w:pPr>
      <w:r w:rsidRPr="005B6212">
        <w:rPr>
          <w:rFonts w:eastAsia="Aptos"/>
          <w:b/>
          <w:bCs/>
          <w:i/>
          <w:iCs/>
          <w:kern w:val="2"/>
          <w14:ligatures w14:val="standardContextual"/>
        </w:rPr>
        <w:t>Tableau n°4 : Comparaison des forces et faiblesses des deux modèles</w:t>
      </w:r>
    </w:p>
    <w:tbl>
      <w:tblPr>
        <w:tblStyle w:val="TableGrid0"/>
        <w:tblW w:w="5000" w:type="pct"/>
        <w:tblLook w:val="04A0" w:firstRow="1" w:lastRow="0" w:firstColumn="1" w:lastColumn="0" w:noHBand="0" w:noVBand="1"/>
      </w:tblPr>
      <w:tblGrid>
        <w:gridCol w:w="1555"/>
        <w:gridCol w:w="4111"/>
        <w:gridCol w:w="3394"/>
      </w:tblGrid>
      <w:tr w:rsidR="00D80693" w:rsidRPr="003E60CA" w14:paraId="706340E3" w14:textId="77777777" w:rsidTr="00322328">
        <w:tc>
          <w:tcPr>
            <w:tcW w:w="858" w:type="pct"/>
            <w:vAlign w:val="center"/>
          </w:tcPr>
          <w:p w14:paraId="03CF05F0" w14:textId="77777777" w:rsidR="00D80693" w:rsidRPr="003E60CA" w:rsidRDefault="00D80693" w:rsidP="00D72320">
            <w:pPr>
              <w:rPr>
                <w:sz w:val="20"/>
                <w:szCs w:val="20"/>
              </w:rPr>
            </w:pPr>
            <w:r w:rsidRPr="003E60CA">
              <w:rPr>
                <w:sz w:val="20"/>
                <w:szCs w:val="20"/>
                <w:lang w:eastAsia="fr-CA"/>
              </w:rPr>
              <w:t>Modèle de Simulation</w:t>
            </w:r>
          </w:p>
        </w:tc>
        <w:tc>
          <w:tcPr>
            <w:tcW w:w="2269" w:type="pct"/>
            <w:vAlign w:val="center"/>
          </w:tcPr>
          <w:p w14:paraId="38238DCC" w14:textId="77777777" w:rsidR="00D80693" w:rsidRPr="003E60CA" w:rsidRDefault="00D80693" w:rsidP="00D72320">
            <w:pPr>
              <w:jc w:val="both"/>
              <w:rPr>
                <w:sz w:val="20"/>
                <w:szCs w:val="20"/>
              </w:rPr>
            </w:pPr>
            <w:proofErr w:type="spellStart"/>
            <w:r w:rsidRPr="003E60CA">
              <w:rPr>
                <w:sz w:val="20"/>
                <w:szCs w:val="20"/>
                <w:lang w:eastAsia="fr-CA"/>
              </w:rPr>
              <w:t>SimuED</w:t>
            </w:r>
            <w:proofErr w:type="spellEnd"/>
            <w:r w:rsidRPr="003E60CA">
              <w:rPr>
                <w:sz w:val="20"/>
                <w:szCs w:val="20"/>
                <w:lang w:eastAsia="fr-CA"/>
              </w:rPr>
              <w:t xml:space="preserve"> </w:t>
            </w:r>
          </w:p>
        </w:tc>
        <w:tc>
          <w:tcPr>
            <w:tcW w:w="1874" w:type="pct"/>
            <w:vAlign w:val="center"/>
          </w:tcPr>
          <w:p w14:paraId="47039B22" w14:textId="77777777" w:rsidR="00D80693" w:rsidRPr="003E60CA" w:rsidRDefault="00D80693" w:rsidP="00D72320">
            <w:pPr>
              <w:jc w:val="both"/>
              <w:rPr>
                <w:sz w:val="20"/>
                <w:szCs w:val="20"/>
              </w:rPr>
            </w:pPr>
            <w:r w:rsidRPr="003E60CA">
              <w:rPr>
                <w:sz w:val="20"/>
                <w:szCs w:val="20"/>
                <w:lang w:eastAsia="fr-CA"/>
              </w:rPr>
              <w:t>Modèle de simulation du Burkina Faso de 2020</w:t>
            </w:r>
          </w:p>
        </w:tc>
      </w:tr>
      <w:tr w:rsidR="00D80693" w:rsidRPr="003E60CA" w14:paraId="7F8B42B4" w14:textId="77777777" w:rsidTr="00322328">
        <w:tc>
          <w:tcPr>
            <w:tcW w:w="858" w:type="pct"/>
          </w:tcPr>
          <w:p w14:paraId="2ABD46FE" w14:textId="77777777" w:rsidR="00D80693" w:rsidRPr="003E60CA" w:rsidRDefault="00D80693" w:rsidP="00D72320">
            <w:pPr>
              <w:rPr>
                <w:sz w:val="20"/>
                <w:szCs w:val="20"/>
              </w:rPr>
            </w:pPr>
            <w:r w:rsidRPr="003E60CA">
              <w:rPr>
                <w:sz w:val="20"/>
                <w:szCs w:val="20"/>
              </w:rPr>
              <w:t>Forces</w:t>
            </w:r>
          </w:p>
        </w:tc>
        <w:tc>
          <w:tcPr>
            <w:tcW w:w="2269" w:type="pct"/>
          </w:tcPr>
          <w:p w14:paraId="3A5941EF" w14:textId="77777777" w:rsidR="00D80693" w:rsidRPr="003E60CA" w:rsidRDefault="00D80693" w:rsidP="00D72320">
            <w:pPr>
              <w:jc w:val="both"/>
              <w:rPr>
                <w:sz w:val="20"/>
                <w:szCs w:val="20"/>
              </w:rPr>
            </w:pPr>
            <w:r w:rsidRPr="003E60CA">
              <w:rPr>
                <w:sz w:val="20"/>
                <w:szCs w:val="20"/>
              </w:rPr>
              <w:t>-facile d’adaptation au contexte national ;</w:t>
            </w:r>
          </w:p>
          <w:p w14:paraId="0D43487E" w14:textId="77777777" w:rsidR="00D80693" w:rsidRPr="003E60CA" w:rsidRDefault="00D80693" w:rsidP="00D72320">
            <w:pPr>
              <w:jc w:val="both"/>
              <w:rPr>
                <w:sz w:val="20"/>
                <w:szCs w:val="20"/>
              </w:rPr>
            </w:pPr>
            <w:r w:rsidRPr="003E60CA">
              <w:rPr>
                <w:sz w:val="20"/>
                <w:szCs w:val="20"/>
              </w:rPr>
              <w:t xml:space="preserve">-approche globale et adaptable à différents contextes. </w:t>
            </w:r>
            <w:r w:rsidRPr="003E60CA">
              <w:rPr>
                <w:sz w:val="20"/>
                <w:szCs w:val="20"/>
              </w:rPr>
              <w:br/>
              <w:t xml:space="preserve">- peut être utilisé comme un outil pour l'analyse comparative internationale ; </w:t>
            </w:r>
            <w:r w:rsidRPr="003E60CA">
              <w:rPr>
                <w:sz w:val="20"/>
                <w:szCs w:val="20"/>
              </w:rPr>
              <w:br/>
              <w:t>-mise à jour régulière avec les meilleures pratiques mondiales ;</w:t>
            </w:r>
          </w:p>
          <w:p w14:paraId="6940B501" w14:textId="77777777" w:rsidR="00D80693" w:rsidRPr="003E60CA" w:rsidRDefault="00D80693" w:rsidP="00D72320">
            <w:pPr>
              <w:jc w:val="both"/>
              <w:rPr>
                <w:sz w:val="20"/>
                <w:szCs w:val="20"/>
              </w:rPr>
            </w:pPr>
            <w:r w:rsidRPr="003E60CA">
              <w:rPr>
                <w:sz w:val="20"/>
                <w:szCs w:val="20"/>
              </w:rPr>
              <w:t>-facile à utiliser grâce à sa structure modulaire ;</w:t>
            </w:r>
          </w:p>
          <w:p w14:paraId="726CE025" w14:textId="77777777" w:rsidR="00D80693" w:rsidRPr="003E60CA" w:rsidRDefault="00D80693" w:rsidP="00D72320">
            <w:pPr>
              <w:jc w:val="both"/>
              <w:rPr>
                <w:sz w:val="20"/>
                <w:szCs w:val="20"/>
              </w:rPr>
            </w:pPr>
            <w:r w:rsidRPr="003E60CA">
              <w:rPr>
                <w:sz w:val="20"/>
                <w:szCs w:val="20"/>
              </w:rPr>
              <w:t>-nécessite moins de connaissances techniques (statistiques, planification, Excel) ;</w:t>
            </w:r>
          </w:p>
          <w:p w14:paraId="55DFE426" w14:textId="77777777" w:rsidR="00D80693" w:rsidRPr="003E60CA" w:rsidRDefault="00D80693" w:rsidP="00D72320">
            <w:pPr>
              <w:jc w:val="both"/>
              <w:rPr>
                <w:sz w:val="20"/>
                <w:szCs w:val="20"/>
              </w:rPr>
            </w:pPr>
            <w:r w:rsidRPr="003E60CA">
              <w:rPr>
                <w:sz w:val="20"/>
                <w:szCs w:val="20"/>
              </w:rPr>
              <w:t>-Supporte une large gamme d’indicateurs ;</w:t>
            </w:r>
          </w:p>
          <w:p w14:paraId="094077A0" w14:textId="77777777" w:rsidR="00D80693" w:rsidRPr="003E60CA" w:rsidRDefault="00D80693" w:rsidP="00D72320">
            <w:pPr>
              <w:jc w:val="both"/>
              <w:rPr>
                <w:sz w:val="20"/>
                <w:szCs w:val="20"/>
              </w:rPr>
            </w:pPr>
            <w:r w:rsidRPr="003E60CA">
              <w:rPr>
                <w:sz w:val="20"/>
                <w:szCs w:val="20"/>
              </w:rPr>
              <w:t>-fonction pédagogique (permet de visualiser certains aspects du système éducatif non toujours pris en compte dans les modèles spécifiques)</w:t>
            </w:r>
          </w:p>
          <w:p w14:paraId="0939E53C" w14:textId="77777777" w:rsidR="00D80693" w:rsidRPr="003E60CA" w:rsidRDefault="00D80693" w:rsidP="00D72320">
            <w:pPr>
              <w:jc w:val="both"/>
              <w:rPr>
                <w:sz w:val="20"/>
                <w:szCs w:val="20"/>
              </w:rPr>
            </w:pPr>
            <w:r w:rsidRPr="003E60CA">
              <w:rPr>
                <w:sz w:val="20"/>
                <w:szCs w:val="20"/>
              </w:rPr>
              <w:t>- utilisé dans plusieurs pays.</w:t>
            </w:r>
          </w:p>
        </w:tc>
        <w:tc>
          <w:tcPr>
            <w:tcW w:w="1874" w:type="pct"/>
          </w:tcPr>
          <w:p w14:paraId="0D1BD371" w14:textId="77777777" w:rsidR="00D80693" w:rsidRPr="003E60CA" w:rsidRDefault="00D80693" w:rsidP="00D72320">
            <w:pPr>
              <w:jc w:val="both"/>
              <w:rPr>
                <w:sz w:val="20"/>
                <w:szCs w:val="20"/>
              </w:rPr>
            </w:pPr>
            <w:r w:rsidRPr="003E60CA">
              <w:rPr>
                <w:sz w:val="20"/>
                <w:szCs w:val="20"/>
              </w:rPr>
              <w:t>La force principale du modèle spécifique national réside dans son processus de construction participatif, ce qui renforce la capacité des acteurs à élaborer un modèle de simulation.</w:t>
            </w:r>
          </w:p>
        </w:tc>
      </w:tr>
      <w:tr w:rsidR="00D80693" w:rsidRPr="003E60CA" w14:paraId="4861A962" w14:textId="77777777" w:rsidTr="00322328">
        <w:tc>
          <w:tcPr>
            <w:tcW w:w="858" w:type="pct"/>
          </w:tcPr>
          <w:p w14:paraId="1C8AFD7C" w14:textId="77777777" w:rsidR="00D80693" w:rsidRPr="003E60CA" w:rsidRDefault="00D80693" w:rsidP="00D72320">
            <w:pPr>
              <w:rPr>
                <w:sz w:val="20"/>
                <w:szCs w:val="20"/>
              </w:rPr>
            </w:pPr>
            <w:r w:rsidRPr="003E60CA">
              <w:rPr>
                <w:sz w:val="20"/>
                <w:szCs w:val="20"/>
              </w:rPr>
              <w:t>Faiblesses</w:t>
            </w:r>
          </w:p>
        </w:tc>
        <w:tc>
          <w:tcPr>
            <w:tcW w:w="2269" w:type="pct"/>
          </w:tcPr>
          <w:p w14:paraId="1B2B4EE6" w14:textId="77777777" w:rsidR="00D80693" w:rsidRPr="003E60CA" w:rsidRDefault="00D80693" w:rsidP="00D72320">
            <w:pPr>
              <w:jc w:val="both"/>
              <w:rPr>
                <w:sz w:val="20"/>
                <w:szCs w:val="20"/>
              </w:rPr>
            </w:pPr>
            <w:r w:rsidRPr="003E60CA">
              <w:rPr>
                <w:sz w:val="20"/>
                <w:szCs w:val="20"/>
              </w:rPr>
              <w:t>Possibilité d’usage sans grande connaissance des concepts de la simulation.</w:t>
            </w:r>
          </w:p>
        </w:tc>
        <w:tc>
          <w:tcPr>
            <w:tcW w:w="1874" w:type="pct"/>
          </w:tcPr>
          <w:p w14:paraId="677E80A7" w14:textId="77777777" w:rsidR="00D80693" w:rsidRPr="003E60CA" w:rsidRDefault="00D80693" w:rsidP="00D72320">
            <w:pPr>
              <w:jc w:val="both"/>
              <w:rPr>
                <w:sz w:val="20"/>
                <w:szCs w:val="20"/>
              </w:rPr>
            </w:pPr>
            <w:r w:rsidRPr="003E60CA">
              <w:rPr>
                <w:sz w:val="20"/>
                <w:szCs w:val="20"/>
              </w:rPr>
              <w:t>-son élaboration prend du temps ;</w:t>
            </w:r>
          </w:p>
          <w:p w14:paraId="7B1A8239" w14:textId="77777777" w:rsidR="00D80693" w:rsidRPr="003E60CA" w:rsidRDefault="00D80693" w:rsidP="00D72320">
            <w:pPr>
              <w:jc w:val="both"/>
              <w:rPr>
                <w:sz w:val="20"/>
                <w:szCs w:val="20"/>
              </w:rPr>
            </w:pPr>
            <w:r w:rsidRPr="003E60CA">
              <w:rPr>
                <w:sz w:val="20"/>
                <w:szCs w:val="20"/>
              </w:rPr>
              <w:t>-son élaboration nécessite une maitrise de Excel et des concepts de la simulation ;</w:t>
            </w:r>
          </w:p>
          <w:p w14:paraId="4302B2B4" w14:textId="77777777" w:rsidR="00D80693" w:rsidRPr="003E60CA" w:rsidRDefault="00D80693" w:rsidP="00D72320">
            <w:pPr>
              <w:jc w:val="both"/>
              <w:rPr>
                <w:sz w:val="20"/>
                <w:szCs w:val="20"/>
              </w:rPr>
            </w:pPr>
            <w:r w:rsidRPr="003E60CA">
              <w:rPr>
                <w:sz w:val="20"/>
                <w:szCs w:val="20"/>
              </w:rPr>
              <w:t>-moins de flexibilité pour une utilisation dans d’autres contextes ;</w:t>
            </w:r>
          </w:p>
          <w:p w14:paraId="598E6FBE" w14:textId="77777777" w:rsidR="00D80693" w:rsidRPr="003E60CA" w:rsidRDefault="00D80693" w:rsidP="00D72320">
            <w:pPr>
              <w:jc w:val="both"/>
              <w:rPr>
                <w:sz w:val="20"/>
                <w:szCs w:val="20"/>
              </w:rPr>
            </w:pPr>
            <w:r w:rsidRPr="003E60CA">
              <w:rPr>
                <w:sz w:val="20"/>
                <w:szCs w:val="20"/>
              </w:rPr>
              <w:t>- peut nécessiter des mises à jour fréquentes pour rester pertinent.</w:t>
            </w:r>
          </w:p>
        </w:tc>
      </w:tr>
    </w:tbl>
    <w:p w14:paraId="65ABFAE0" w14:textId="77777777" w:rsidR="00D80693" w:rsidRPr="005B6212" w:rsidRDefault="00D80693" w:rsidP="00D80693">
      <w:pPr>
        <w:jc w:val="center"/>
        <w:rPr>
          <w:rFonts w:eastAsia="Aptos"/>
          <w:i/>
          <w:iCs/>
          <w:kern w:val="2"/>
          <w14:ligatures w14:val="standardContextual"/>
        </w:rPr>
      </w:pPr>
      <w:r w:rsidRPr="005B6212">
        <w:rPr>
          <w:rFonts w:eastAsia="Aptos"/>
          <w:i/>
          <w:iCs/>
          <w:kern w:val="2"/>
          <w14:ligatures w14:val="standardContextual"/>
        </w:rPr>
        <w:t>Source : analyse des auteurs</w:t>
      </w:r>
    </w:p>
    <w:p w14:paraId="11C46142" w14:textId="77777777" w:rsidR="00D80693" w:rsidRDefault="00D80693" w:rsidP="00D80693">
      <w:pPr>
        <w:jc w:val="both"/>
        <w:rPr>
          <w:rFonts w:eastAsia="Aptos"/>
          <w:kern w:val="2"/>
          <w14:ligatures w14:val="standardContextual"/>
        </w:rPr>
      </w:pPr>
    </w:p>
    <w:p w14:paraId="35D3DA73" w14:textId="77777777" w:rsidR="00D80693" w:rsidRPr="005B6212" w:rsidRDefault="00D80693" w:rsidP="00813D27">
      <w:pPr>
        <w:jc w:val="both"/>
        <w:rPr>
          <w:rFonts w:eastAsia="Aptos"/>
          <w:kern w:val="2"/>
          <w:sz w:val="24"/>
          <w:szCs w:val="24"/>
          <w14:ligatures w14:val="standardContextual"/>
        </w:rPr>
      </w:pPr>
      <w:r w:rsidRPr="005B6212">
        <w:rPr>
          <w:rFonts w:eastAsia="Aptos"/>
          <w:kern w:val="2"/>
          <w:sz w:val="24"/>
          <w:szCs w:val="24"/>
          <w14:ligatures w14:val="standardContextual"/>
        </w:rPr>
        <w:t xml:space="preserve">Les résultats des tableaux </w:t>
      </w:r>
      <w:r>
        <w:rPr>
          <w:rFonts w:eastAsia="Aptos"/>
          <w:kern w:val="2"/>
          <w:sz w:val="24"/>
          <w:szCs w:val="24"/>
          <w14:ligatures w14:val="standardContextual"/>
        </w:rPr>
        <w:t>3</w:t>
      </w:r>
      <w:r w:rsidRPr="005B6212">
        <w:rPr>
          <w:rFonts w:eastAsia="Aptos"/>
          <w:kern w:val="2"/>
          <w:sz w:val="24"/>
          <w:szCs w:val="24"/>
          <w14:ligatures w14:val="standardContextual"/>
        </w:rPr>
        <w:t xml:space="preserve"> et </w:t>
      </w:r>
      <w:r>
        <w:rPr>
          <w:rFonts w:eastAsia="Aptos"/>
          <w:kern w:val="2"/>
          <w:sz w:val="24"/>
          <w:szCs w:val="24"/>
          <w14:ligatures w14:val="standardContextual"/>
        </w:rPr>
        <w:t>4</w:t>
      </w:r>
      <w:r w:rsidRPr="005B6212">
        <w:rPr>
          <w:rFonts w:eastAsia="Aptos"/>
          <w:kern w:val="2"/>
          <w:sz w:val="24"/>
          <w:szCs w:val="24"/>
          <w14:ligatures w14:val="standardContextual"/>
        </w:rPr>
        <w:t xml:space="preserve"> ont mis en exergue les différences de conception entre les deux modèles, notamment leur structure, leurs fonctionnalités et leur adaptabilité. </w:t>
      </w:r>
    </w:p>
    <w:p w14:paraId="1B702D78" w14:textId="67D164CD" w:rsidR="00D80693" w:rsidRPr="005B6212" w:rsidRDefault="00D80693" w:rsidP="00813D27">
      <w:pPr>
        <w:jc w:val="both"/>
        <w:rPr>
          <w:rFonts w:eastAsia="Aptos"/>
          <w:kern w:val="2"/>
          <w:sz w:val="24"/>
          <w:szCs w:val="24"/>
          <w14:ligatures w14:val="standardContextual"/>
        </w:rPr>
      </w:pPr>
      <w:proofErr w:type="spellStart"/>
      <w:proofErr w:type="gramStart"/>
      <w:r w:rsidRPr="005B6212">
        <w:rPr>
          <w:rFonts w:eastAsia="Aptos"/>
          <w:kern w:val="2"/>
          <w:sz w:val="24"/>
          <w:szCs w:val="24"/>
          <w14:ligatures w14:val="standardContextual"/>
        </w:rPr>
        <w:t>u</w:t>
      </w:r>
      <w:proofErr w:type="gramEnd"/>
      <w:r w:rsidRPr="005B6212">
        <w:rPr>
          <w:rFonts w:eastAsia="Aptos"/>
          <w:kern w:val="2"/>
          <w:sz w:val="24"/>
          <w:szCs w:val="24"/>
          <w14:ligatures w14:val="standardContextual"/>
        </w:rPr>
        <w:t>-delà</w:t>
      </w:r>
      <w:proofErr w:type="spellEnd"/>
      <w:r w:rsidRPr="005B6212">
        <w:rPr>
          <w:rFonts w:eastAsia="Aptos"/>
          <w:kern w:val="2"/>
          <w:sz w:val="24"/>
          <w:szCs w:val="24"/>
          <w14:ligatures w14:val="standardContextual"/>
        </w:rPr>
        <w:t xml:space="preserve"> de ces distinctions structurelles, il convient d'examiner les aspects ergonomiques de chaque modèle, c'est-à-dire leur facilité d'utilisation.</w:t>
      </w:r>
    </w:p>
    <w:p w14:paraId="398D1735" w14:textId="77777777" w:rsidR="00D80693" w:rsidRPr="00B21A4D" w:rsidRDefault="00D80693" w:rsidP="00D80693">
      <w:pPr>
        <w:jc w:val="both"/>
        <w:rPr>
          <w:rFonts w:eastAsia="Aptos"/>
          <w:kern w:val="2"/>
          <w14:ligatures w14:val="standardContextual"/>
        </w:rPr>
      </w:pPr>
    </w:p>
    <w:p w14:paraId="74C01216" w14:textId="77777777" w:rsidR="00D80693" w:rsidRPr="00A366A7" w:rsidRDefault="00D80693" w:rsidP="00D80693">
      <w:pPr>
        <w:pStyle w:val="Paragraphedeliste"/>
        <w:widowControl/>
        <w:numPr>
          <w:ilvl w:val="1"/>
          <w:numId w:val="142"/>
        </w:numPr>
        <w:autoSpaceDE/>
        <w:autoSpaceDN/>
        <w:spacing w:before="0"/>
        <w:contextualSpacing/>
        <w:rPr>
          <w:rFonts w:eastAsia="Aptos"/>
          <w:b/>
          <w:bCs/>
          <w:kern w:val="2"/>
          <w:sz w:val="24"/>
          <w:szCs w:val="24"/>
          <w14:ligatures w14:val="standardContextual"/>
        </w:rPr>
      </w:pPr>
      <w:r w:rsidRPr="00A366A7">
        <w:rPr>
          <w:rFonts w:eastAsia="Aptos"/>
          <w:b/>
          <w:bCs/>
          <w:kern w:val="2"/>
          <w:sz w:val="24"/>
          <w:szCs w:val="24"/>
          <w14:ligatures w14:val="standardContextual"/>
        </w:rPr>
        <w:t>Analyse des aspects ergonomiques des deux modèles</w:t>
      </w:r>
    </w:p>
    <w:p w14:paraId="43FEAEB8" w14:textId="7D52B3C1" w:rsidR="00D80693" w:rsidRPr="007A6FE8" w:rsidRDefault="00D80693" w:rsidP="007A6FE8">
      <w:pPr>
        <w:spacing w:before="240"/>
        <w:jc w:val="both"/>
        <w:rPr>
          <w:rFonts w:eastAsia="Aptos"/>
          <w:kern w:val="2"/>
          <w:sz w:val="24"/>
          <w:szCs w:val="24"/>
          <w14:ligatures w14:val="standardContextual"/>
        </w:rPr>
      </w:pPr>
      <w:r w:rsidRPr="00260964">
        <w:rPr>
          <w:rFonts w:eastAsia="Aptos"/>
          <w:kern w:val="2"/>
          <w:sz w:val="24"/>
          <w:szCs w:val="24"/>
          <w14:ligatures w14:val="standardContextual"/>
        </w:rPr>
        <w:t xml:space="preserve">Un autre point fort 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est son interface utilisateur plus conviviale, soutenue par une documentation claire et des tutoriels. Contrairement au modèle burkinabè, qui requiert un accompagnement spécialisé pour être exploité,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permet une prise en main plus rapide et intuitive, même par des utilisateurs novices. Cela en fait un modèle potentiellement plus accessible pour les planificateurs éducatifs souhaitant simuler des politiques sans expertise technique poussée. Les images 1 et 2 suivantes présentent respectivement les interfaces 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3.0 et une vue du modèle spécifique national tandis que le tableau 3 présente la synthèse de l’analyse des aspects ergonomiques.</w:t>
      </w:r>
    </w:p>
    <w:p w14:paraId="1C819DD1" w14:textId="77777777" w:rsidR="00D80693" w:rsidRPr="00260964" w:rsidRDefault="00D80693" w:rsidP="00D80693">
      <w:pPr>
        <w:spacing w:before="240"/>
        <w:ind w:firstLine="360"/>
        <w:jc w:val="center"/>
        <w:rPr>
          <w:rFonts w:eastAsia="Aptos"/>
          <w:b/>
          <w:bCs/>
          <w:i/>
          <w:iCs/>
          <w:kern w:val="2"/>
          <w14:ligatures w14:val="standardContextual"/>
        </w:rPr>
      </w:pPr>
      <w:r w:rsidRPr="00260964">
        <w:rPr>
          <w:rFonts w:eastAsia="Aptos"/>
          <w:b/>
          <w:bCs/>
          <w:i/>
          <w:iCs/>
          <w:kern w:val="2"/>
          <w14:ligatures w14:val="standardContextual"/>
        </w:rPr>
        <w:t xml:space="preserve">Image </w:t>
      </w:r>
      <w:r>
        <w:rPr>
          <w:rFonts w:eastAsia="Aptos"/>
          <w:b/>
          <w:bCs/>
          <w:i/>
          <w:iCs/>
          <w:kern w:val="2"/>
          <w14:ligatures w14:val="standardContextual"/>
        </w:rPr>
        <w:t>n°</w:t>
      </w:r>
      <w:proofErr w:type="gramStart"/>
      <w:r w:rsidRPr="00260964">
        <w:rPr>
          <w:rFonts w:eastAsia="Aptos"/>
          <w:b/>
          <w:bCs/>
          <w:i/>
          <w:iCs/>
          <w:kern w:val="2"/>
          <w14:ligatures w14:val="standardContextual"/>
        </w:rPr>
        <w:t>1:</w:t>
      </w:r>
      <w:proofErr w:type="gramEnd"/>
      <w:r w:rsidRPr="00260964">
        <w:rPr>
          <w:rFonts w:eastAsia="Aptos"/>
          <w:b/>
          <w:bCs/>
          <w:i/>
          <w:iCs/>
          <w:kern w:val="2"/>
          <w14:ligatures w14:val="standardContextual"/>
        </w:rPr>
        <w:t xml:space="preserve">  Interface de </w:t>
      </w:r>
      <w:proofErr w:type="spellStart"/>
      <w:r w:rsidRPr="00260964">
        <w:rPr>
          <w:rFonts w:eastAsia="Aptos"/>
          <w:b/>
          <w:bCs/>
          <w:i/>
          <w:iCs/>
          <w:kern w:val="2"/>
          <w14:ligatures w14:val="standardContextual"/>
        </w:rPr>
        <w:t>SimuED</w:t>
      </w:r>
      <w:proofErr w:type="spellEnd"/>
      <w:r w:rsidRPr="00260964">
        <w:rPr>
          <w:rFonts w:eastAsia="Aptos"/>
          <w:b/>
          <w:bCs/>
          <w:i/>
          <w:iCs/>
          <w:kern w:val="2"/>
          <w14:ligatures w14:val="standardContextual"/>
        </w:rPr>
        <w:t xml:space="preserve"> 3.0</w:t>
      </w:r>
    </w:p>
    <w:p w14:paraId="33900DA7" w14:textId="77777777" w:rsidR="00D80693" w:rsidRDefault="00D80693" w:rsidP="00D80693">
      <w:pPr>
        <w:jc w:val="both"/>
        <w:rPr>
          <w:rFonts w:eastAsia="Aptos"/>
          <w:kern w:val="2"/>
          <w14:ligatures w14:val="standardContextual"/>
        </w:rPr>
      </w:pPr>
      <w:r w:rsidRPr="000F5151">
        <w:rPr>
          <w:noProof/>
          <w:lang w:val="fr-SN" w:eastAsia="fr-SN"/>
        </w:rPr>
        <w:drawing>
          <wp:inline distT="0" distB="0" distL="0" distR="0" wp14:anchorId="10C26D66" wp14:editId="0DEB9B61">
            <wp:extent cx="5760720" cy="2386330"/>
            <wp:effectExtent l="0" t="0" r="0" b="0"/>
            <wp:docPr id="1073570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70772" name=""/>
                    <pic:cNvPicPr/>
                  </pic:nvPicPr>
                  <pic:blipFill>
                    <a:blip r:embed="rId67"/>
                    <a:stretch>
                      <a:fillRect/>
                    </a:stretch>
                  </pic:blipFill>
                  <pic:spPr>
                    <a:xfrm>
                      <a:off x="0" y="0"/>
                      <a:ext cx="5760720" cy="2386330"/>
                    </a:xfrm>
                    <a:prstGeom prst="rect">
                      <a:avLst/>
                    </a:prstGeom>
                  </pic:spPr>
                </pic:pic>
              </a:graphicData>
            </a:graphic>
          </wp:inline>
        </w:drawing>
      </w:r>
    </w:p>
    <w:p w14:paraId="38689862" w14:textId="77777777" w:rsidR="00D80693" w:rsidRPr="005B6212" w:rsidRDefault="00D80693" w:rsidP="00D80693">
      <w:pPr>
        <w:jc w:val="center"/>
        <w:rPr>
          <w:rFonts w:eastAsia="Aptos"/>
          <w:i/>
          <w:iCs/>
          <w:kern w:val="2"/>
          <w14:ligatures w14:val="standardContextual"/>
        </w:rPr>
      </w:pPr>
      <w:proofErr w:type="gramStart"/>
      <w:r w:rsidRPr="005B6212">
        <w:rPr>
          <w:rFonts w:eastAsia="Aptos"/>
          <w:i/>
          <w:iCs/>
          <w:kern w:val="2"/>
          <w14:ligatures w14:val="standardContextual"/>
        </w:rPr>
        <w:t>Source:</w:t>
      </w:r>
      <w:proofErr w:type="gramEnd"/>
      <w:r w:rsidRPr="005B6212">
        <w:rPr>
          <w:rFonts w:eastAsia="Aptos"/>
          <w:i/>
          <w:iCs/>
          <w:kern w:val="2"/>
          <w14:ligatures w14:val="standardContextual"/>
        </w:rPr>
        <w:t xml:space="preserve"> capture d’écran faite par nous du modèle </w:t>
      </w:r>
      <w:proofErr w:type="spellStart"/>
      <w:r w:rsidRPr="005B6212">
        <w:rPr>
          <w:rFonts w:eastAsia="Aptos"/>
          <w:i/>
          <w:iCs/>
          <w:kern w:val="2"/>
          <w14:ligatures w14:val="standardContextual"/>
        </w:rPr>
        <w:t>SimuED</w:t>
      </w:r>
      <w:proofErr w:type="spellEnd"/>
      <w:r w:rsidRPr="005B6212">
        <w:rPr>
          <w:rFonts w:eastAsia="Aptos"/>
          <w:i/>
          <w:iCs/>
          <w:kern w:val="2"/>
          <w14:ligatures w14:val="standardContextual"/>
        </w:rPr>
        <w:t xml:space="preserve"> 3.0</w:t>
      </w:r>
    </w:p>
    <w:p w14:paraId="1FAAC3D7" w14:textId="77777777" w:rsidR="00D80693" w:rsidRDefault="00D80693" w:rsidP="00D80693">
      <w:pPr>
        <w:rPr>
          <w:rFonts w:eastAsia="Aptos"/>
          <w:kern w:val="2"/>
          <w14:ligatures w14:val="standardContextual"/>
        </w:rPr>
      </w:pPr>
    </w:p>
    <w:p w14:paraId="7527D995" w14:textId="77777777" w:rsidR="00D80693" w:rsidRPr="00260964" w:rsidRDefault="00D80693" w:rsidP="00D80693">
      <w:pPr>
        <w:jc w:val="center"/>
        <w:rPr>
          <w:rFonts w:eastAsia="Aptos"/>
          <w:b/>
          <w:bCs/>
          <w:i/>
          <w:iCs/>
          <w:kern w:val="2"/>
          <w14:ligatures w14:val="standardContextual"/>
        </w:rPr>
      </w:pPr>
      <w:r w:rsidRPr="00260964">
        <w:rPr>
          <w:rFonts w:eastAsia="Aptos"/>
          <w:b/>
          <w:bCs/>
          <w:i/>
          <w:iCs/>
          <w:kern w:val="2"/>
          <w14:ligatures w14:val="standardContextual"/>
        </w:rPr>
        <w:t>Images</w:t>
      </w:r>
      <w:r>
        <w:rPr>
          <w:rFonts w:eastAsia="Aptos"/>
          <w:b/>
          <w:bCs/>
          <w:i/>
          <w:iCs/>
          <w:kern w:val="2"/>
          <w14:ligatures w14:val="standardContextual"/>
        </w:rPr>
        <w:t xml:space="preserve"> n°</w:t>
      </w:r>
      <w:r w:rsidRPr="00260964">
        <w:rPr>
          <w:rFonts w:eastAsia="Aptos"/>
          <w:b/>
          <w:bCs/>
          <w:i/>
          <w:iCs/>
          <w:kern w:val="2"/>
          <w14:ligatures w14:val="standardContextual"/>
        </w:rPr>
        <w:t>2</w:t>
      </w:r>
      <w:r>
        <w:rPr>
          <w:rFonts w:eastAsia="Aptos"/>
          <w:b/>
          <w:bCs/>
          <w:i/>
          <w:iCs/>
          <w:kern w:val="2"/>
          <w14:ligatures w14:val="standardContextual"/>
        </w:rPr>
        <w:t xml:space="preserve"> </w:t>
      </w:r>
      <w:r w:rsidRPr="00260964">
        <w:rPr>
          <w:rFonts w:eastAsia="Aptos"/>
          <w:b/>
          <w:bCs/>
          <w:i/>
          <w:iCs/>
          <w:kern w:val="2"/>
          <w14:ligatures w14:val="standardContextual"/>
        </w:rPr>
        <w:t>: Une vue de la feuille pilotage du modèle spécifique national</w:t>
      </w:r>
    </w:p>
    <w:p w14:paraId="14D3181A" w14:textId="77777777" w:rsidR="00D80693" w:rsidRDefault="00D80693" w:rsidP="00D80693">
      <w:pPr>
        <w:jc w:val="both"/>
        <w:rPr>
          <w:rFonts w:eastAsia="Aptos"/>
          <w:b/>
          <w:bCs/>
          <w:kern w:val="2"/>
          <w14:ligatures w14:val="standardContextual"/>
        </w:rPr>
      </w:pPr>
      <w:r w:rsidRPr="00153F52">
        <w:rPr>
          <w:b/>
          <w:bCs/>
          <w:noProof/>
          <w:lang w:val="fr-SN" w:eastAsia="fr-SN"/>
        </w:rPr>
        <w:drawing>
          <wp:inline distT="0" distB="0" distL="0" distR="0" wp14:anchorId="22B489FE" wp14:editId="7A638D00">
            <wp:extent cx="5093435" cy="1994903"/>
            <wp:effectExtent l="0" t="0" r="0" b="5715"/>
            <wp:docPr id="1977922276"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22276" name="Image 1" descr="Une image contenant texte, logiciel, capture d’écran&#10;&#10;Le contenu généré par l’IA peut être incorrect."/>
                    <pic:cNvPicPr/>
                  </pic:nvPicPr>
                  <pic:blipFill>
                    <a:blip r:embed="rId68"/>
                    <a:stretch>
                      <a:fillRect/>
                    </a:stretch>
                  </pic:blipFill>
                  <pic:spPr>
                    <a:xfrm>
                      <a:off x="0" y="0"/>
                      <a:ext cx="5111007" cy="2001785"/>
                    </a:xfrm>
                    <a:prstGeom prst="rect">
                      <a:avLst/>
                    </a:prstGeom>
                  </pic:spPr>
                </pic:pic>
              </a:graphicData>
            </a:graphic>
          </wp:inline>
        </w:drawing>
      </w:r>
    </w:p>
    <w:p w14:paraId="01505160" w14:textId="77777777" w:rsidR="00D80693" w:rsidRPr="005B6212" w:rsidRDefault="00D80693" w:rsidP="00D80693">
      <w:pPr>
        <w:jc w:val="center"/>
        <w:rPr>
          <w:rFonts w:eastAsia="Aptos"/>
          <w:i/>
          <w:iCs/>
          <w:kern w:val="2"/>
          <w14:ligatures w14:val="standardContextual"/>
        </w:rPr>
      </w:pPr>
      <w:proofErr w:type="gramStart"/>
      <w:r w:rsidRPr="005B6212">
        <w:rPr>
          <w:rFonts w:eastAsia="Aptos"/>
          <w:i/>
          <w:iCs/>
          <w:kern w:val="2"/>
          <w14:ligatures w14:val="standardContextual"/>
        </w:rPr>
        <w:t>Source:</w:t>
      </w:r>
      <w:proofErr w:type="gramEnd"/>
      <w:r w:rsidRPr="005B6212">
        <w:rPr>
          <w:rFonts w:eastAsia="Aptos"/>
          <w:i/>
          <w:iCs/>
          <w:kern w:val="2"/>
          <w14:ligatures w14:val="standardContextual"/>
        </w:rPr>
        <w:t xml:space="preserve"> capture d’écran du modèle de simulation du Burkina Faso 2020</w:t>
      </w:r>
    </w:p>
    <w:p w14:paraId="014E7EA2" w14:textId="77777777" w:rsidR="00D80693" w:rsidRDefault="00D80693" w:rsidP="00D80693">
      <w:pPr>
        <w:jc w:val="both"/>
        <w:rPr>
          <w:rFonts w:eastAsia="Aptos"/>
          <w:b/>
          <w:bCs/>
          <w:kern w:val="2"/>
          <w14:ligatures w14:val="standardContextual"/>
        </w:rPr>
      </w:pPr>
    </w:p>
    <w:p w14:paraId="3B5CCD84" w14:textId="77777777" w:rsidR="00D80693" w:rsidRPr="00260964" w:rsidRDefault="00D80693" w:rsidP="00D80693">
      <w:pPr>
        <w:jc w:val="both"/>
        <w:rPr>
          <w:rFonts w:eastAsia="Aptos"/>
          <w:kern w:val="2"/>
          <w:sz w:val="24"/>
          <w:szCs w:val="24"/>
          <w14:ligatures w14:val="standardContextual"/>
        </w:rPr>
      </w:pPr>
      <w:r w:rsidRPr="00260964">
        <w:rPr>
          <w:rFonts w:eastAsia="Aptos"/>
          <w:kern w:val="2"/>
          <w:sz w:val="24"/>
          <w:szCs w:val="24"/>
          <w14:ligatures w14:val="standardContextual"/>
        </w:rPr>
        <w:t xml:space="preserve">L’interface 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est manifestement plus riche que celle du modèle du Burkina Faso. Le tableau 3 suivant présente une comparaison des aspects ergonomiques des deux modèles.</w:t>
      </w:r>
    </w:p>
    <w:p w14:paraId="72451CEC" w14:textId="77777777" w:rsidR="00D80693" w:rsidRPr="00A04A3F" w:rsidRDefault="00D80693" w:rsidP="00D80693">
      <w:pPr>
        <w:jc w:val="both"/>
        <w:rPr>
          <w:rFonts w:eastAsia="Aptos"/>
          <w:kern w:val="2"/>
          <w14:ligatures w14:val="standardContextual"/>
        </w:rPr>
      </w:pPr>
    </w:p>
    <w:p w14:paraId="607384C4" w14:textId="77777777" w:rsidR="00D80693" w:rsidRPr="00260964" w:rsidRDefault="00D80693" w:rsidP="00D80693">
      <w:pPr>
        <w:jc w:val="center"/>
        <w:rPr>
          <w:rFonts w:eastAsia="Aptos"/>
          <w:b/>
          <w:bCs/>
          <w:i/>
          <w:iCs/>
          <w:kern w:val="2"/>
          <w14:ligatures w14:val="standardContextual"/>
        </w:rPr>
      </w:pPr>
      <w:r w:rsidRPr="00260964">
        <w:rPr>
          <w:rFonts w:eastAsia="Aptos"/>
          <w:b/>
          <w:bCs/>
          <w:i/>
          <w:iCs/>
          <w:color w:val="000000"/>
          <w:kern w:val="2"/>
          <w14:ligatures w14:val="standardContextual"/>
        </w:rPr>
        <w:t xml:space="preserve">Tableau n°5 : Les </w:t>
      </w:r>
      <w:r w:rsidRPr="00260964">
        <w:rPr>
          <w:rFonts w:eastAsia="Aptos"/>
          <w:b/>
          <w:bCs/>
          <w:i/>
          <w:iCs/>
          <w:kern w:val="2"/>
          <w14:ligatures w14:val="standardContextual"/>
        </w:rPr>
        <w:t>aspects ergonomiques des deux modèles de simulations</w:t>
      </w:r>
    </w:p>
    <w:tbl>
      <w:tblPr>
        <w:tblStyle w:val="TableGrid0"/>
        <w:tblW w:w="0" w:type="auto"/>
        <w:tblLook w:val="04A0" w:firstRow="1" w:lastRow="0" w:firstColumn="1" w:lastColumn="0" w:noHBand="0" w:noVBand="1"/>
      </w:tblPr>
      <w:tblGrid>
        <w:gridCol w:w="1728"/>
        <w:gridCol w:w="1170"/>
        <w:gridCol w:w="1006"/>
        <w:gridCol w:w="5156"/>
      </w:tblGrid>
      <w:tr w:rsidR="00D80693" w:rsidRPr="00322328" w14:paraId="3C708E63" w14:textId="77777777" w:rsidTr="00D72320">
        <w:trPr>
          <w:tblHeader/>
        </w:trPr>
        <w:tc>
          <w:tcPr>
            <w:tcW w:w="0" w:type="auto"/>
            <w:vAlign w:val="center"/>
          </w:tcPr>
          <w:p w14:paraId="4AB936EF" w14:textId="77777777" w:rsidR="00D80693" w:rsidRPr="00322328" w:rsidRDefault="00D80693" w:rsidP="00D72320">
            <w:pPr>
              <w:rPr>
                <w:sz w:val="20"/>
                <w:szCs w:val="20"/>
              </w:rPr>
            </w:pPr>
            <w:r w:rsidRPr="00322328">
              <w:rPr>
                <w:sz w:val="20"/>
                <w:szCs w:val="20"/>
              </w:rPr>
              <w:t>Critères</w:t>
            </w:r>
          </w:p>
        </w:tc>
        <w:tc>
          <w:tcPr>
            <w:tcW w:w="0" w:type="auto"/>
            <w:vAlign w:val="center"/>
          </w:tcPr>
          <w:p w14:paraId="3E7D3F99" w14:textId="77777777" w:rsidR="00D80693" w:rsidRPr="00322328" w:rsidRDefault="00D80693" w:rsidP="00D72320">
            <w:pPr>
              <w:rPr>
                <w:sz w:val="20"/>
                <w:szCs w:val="20"/>
              </w:rPr>
            </w:pPr>
            <w:r w:rsidRPr="00322328">
              <w:rPr>
                <w:sz w:val="20"/>
                <w:szCs w:val="20"/>
              </w:rPr>
              <w:t>Modèle du Burkina Faso de 2020</w:t>
            </w:r>
          </w:p>
        </w:tc>
        <w:tc>
          <w:tcPr>
            <w:tcW w:w="0" w:type="auto"/>
            <w:vAlign w:val="center"/>
          </w:tcPr>
          <w:p w14:paraId="65FDA313" w14:textId="77777777" w:rsidR="00D80693" w:rsidRPr="00322328" w:rsidRDefault="00D80693" w:rsidP="00D72320">
            <w:pPr>
              <w:rPr>
                <w:sz w:val="20"/>
                <w:szCs w:val="20"/>
              </w:rPr>
            </w:pPr>
            <w:r w:rsidRPr="00322328">
              <w:rPr>
                <w:sz w:val="20"/>
                <w:szCs w:val="20"/>
              </w:rPr>
              <w:t xml:space="preserve">Modèle </w:t>
            </w:r>
            <w:proofErr w:type="spellStart"/>
            <w:r w:rsidRPr="00322328">
              <w:rPr>
                <w:sz w:val="20"/>
                <w:szCs w:val="20"/>
              </w:rPr>
              <w:t>SimuED</w:t>
            </w:r>
            <w:proofErr w:type="spellEnd"/>
          </w:p>
        </w:tc>
        <w:tc>
          <w:tcPr>
            <w:tcW w:w="0" w:type="auto"/>
            <w:vAlign w:val="center"/>
          </w:tcPr>
          <w:p w14:paraId="4E660F94" w14:textId="77777777" w:rsidR="00D80693" w:rsidRPr="00322328" w:rsidRDefault="00D80693" w:rsidP="00D72320">
            <w:pPr>
              <w:jc w:val="both"/>
              <w:rPr>
                <w:sz w:val="20"/>
                <w:szCs w:val="20"/>
              </w:rPr>
            </w:pPr>
            <w:r w:rsidRPr="00322328">
              <w:rPr>
                <w:sz w:val="20"/>
                <w:szCs w:val="20"/>
              </w:rPr>
              <w:t>Commentaires</w:t>
            </w:r>
          </w:p>
        </w:tc>
      </w:tr>
      <w:tr w:rsidR="00D80693" w:rsidRPr="00322328" w14:paraId="0DEB72B6" w14:textId="77777777" w:rsidTr="00D72320">
        <w:tc>
          <w:tcPr>
            <w:tcW w:w="0" w:type="auto"/>
            <w:gridSpan w:val="4"/>
            <w:vAlign w:val="center"/>
          </w:tcPr>
          <w:p w14:paraId="45133BD7" w14:textId="77777777" w:rsidR="00D80693" w:rsidRPr="00322328" w:rsidRDefault="00D80693" w:rsidP="00D72320">
            <w:pPr>
              <w:jc w:val="both"/>
              <w:rPr>
                <w:bCs/>
                <w:sz w:val="20"/>
                <w:szCs w:val="20"/>
              </w:rPr>
            </w:pPr>
            <w:r w:rsidRPr="00322328">
              <w:rPr>
                <w:bCs/>
                <w:sz w:val="20"/>
                <w:szCs w:val="20"/>
              </w:rPr>
              <w:t>Interface utilisateur</w:t>
            </w:r>
          </w:p>
        </w:tc>
      </w:tr>
      <w:tr w:rsidR="00D80693" w:rsidRPr="00322328" w14:paraId="0DAA64D3" w14:textId="77777777" w:rsidTr="00D72320">
        <w:tc>
          <w:tcPr>
            <w:tcW w:w="0" w:type="auto"/>
            <w:vAlign w:val="center"/>
          </w:tcPr>
          <w:p w14:paraId="1C9C6E29" w14:textId="77777777" w:rsidR="00D80693" w:rsidRPr="00322328" w:rsidRDefault="00D80693" w:rsidP="00D72320">
            <w:pPr>
              <w:jc w:val="both"/>
              <w:rPr>
                <w:sz w:val="20"/>
                <w:szCs w:val="20"/>
              </w:rPr>
            </w:pPr>
            <w:r w:rsidRPr="00322328">
              <w:rPr>
                <w:sz w:val="20"/>
                <w:szCs w:val="20"/>
              </w:rPr>
              <w:t>Facilité de navigation</w:t>
            </w:r>
          </w:p>
        </w:tc>
        <w:tc>
          <w:tcPr>
            <w:tcW w:w="0" w:type="auto"/>
            <w:vAlign w:val="center"/>
          </w:tcPr>
          <w:p w14:paraId="383ADDA8" w14:textId="77777777" w:rsidR="00D80693" w:rsidRPr="00322328" w:rsidRDefault="00D80693" w:rsidP="00D72320">
            <w:pPr>
              <w:rPr>
                <w:sz w:val="20"/>
                <w:szCs w:val="20"/>
              </w:rPr>
            </w:pPr>
            <w:r w:rsidRPr="00322328">
              <w:rPr>
                <w:sz w:val="20"/>
                <w:szCs w:val="20"/>
              </w:rPr>
              <w:t xml:space="preserve">Non </w:t>
            </w:r>
          </w:p>
        </w:tc>
        <w:tc>
          <w:tcPr>
            <w:tcW w:w="0" w:type="auto"/>
            <w:vAlign w:val="center"/>
          </w:tcPr>
          <w:p w14:paraId="455649CD" w14:textId="77777777" w:rsidR="00D80693" w:rsidRPr="00322328" w:rsidRDefault="00D80693" w:rsidP="00D72320">
            <w:pPr>
              <w:rPr>
                <w:sz w:val="20"/>
                <w:szCs w:val="20"/>
              </w:rPr>
            </w:pPr>
            <w:r w:rsidRPr="00322328">
              <w:rPr>
                <w:sz w:val="20"/>
                <w:szCs w:val="20"/>
              </w:rPr>
              <w:t xml:space="preserve">Oui </w:t>
            </w:r>
          </w:p>
        </w:tc>
        <w:tc>
          <w:tcPr>
            <w:tcW w:w="0" w:type="auto"/>
            <w:vAlign w:val="center"/>
          </w:tcPr>
          <w:p w14:paraId="1A5A1A29" w14:textId="77777777" w:rsidR="00D80693" w:rsidRPr="00322328" w:rsidRDefault="00D80693" w:rsidP="00D72320">
            <w:pPr>
              <w:jc w:val="both"/>
              <w:rPr>
                <w:sz w:val="20"/>
                <w:szCs w:val="20"/>
              </w:rPr>
            </w:pPr>
            <w:r w:rsidRPr="00322328">
              <w:rPr>
                <w:sz w:val="20"/>
                <w:szCs w:val="20"/>
              </w:rPr>
              <w:t xml:space="preserve">Contrairement au modèle burkinabè, l'interface de </w:t>
            </w:r>
            <w:proofErr w:type="spellStart"/>
            <w:r w:rsidRPr="00322328">
              <w:rPr>
                <w:sz w:val="20"/>
                <w:szCs w:val="20"/>
              </w:rPr>
              <w:t>SimuED</w:t>
            </w:r>
            <w:proofErr w:type="spellEnd"/>
            <w:r w:rsidRPr="00322328">
              <w:rPr>
                <w:sz w:val="20"/>
                <w:szCs w:val="20"/>
              </w:rPr>
              <w:t xml:space="preserve"> est mieux structurée et permet une navigation facile, même pour les nouveaux utilisateurs.</w:t>
            </w:r>
          </w:p>
        </w:tc>
      </w:tr>
      <w:tr w:rsidR="00D80693" w:rsidRPr="00322328" w14:paraId="1334D4EE" w14:textId="77777777" w:rsidTr="00D72320">
        <w:tc>
          <w:tcPr>
            <w:tcW w:w="0" w:type="auto"/>
            <w:vAlign w:val="center"/>
          </w:tcPr>
          <w:p w14:paraId="5CEAA288" w14:textId="77777777" w:rsidR="00D80693" w:rsidRPr="00322328" w:rsidRDefault="00D80693" w:rsidP="00D72320">
            <w:pPr>
              <w:jc w:val="both"/>
              <w:rPr>
                <w:sz w:val="20"/>
                <w:szCs w:val="20"/>
              </w:rPr>
            </w:pPr>
            <w:r w:rsidRPr="00322328">
              <w:rPr>
                <w:sz w:val="20"/>
                <w:szCs w:val="20"/>
              </w:rPr>
              <w:t>Présence de menus clairs et intuitifs</w:t>
            </w:r>
          </w:p>
        </w:tc>
        <w:tc>
          <w:tcPr>
            <w:tcW w:w="0" w:type="auto"/>
            <w:vAlign w:val="center"/>
          </w:tcPr>
          <w:p w14:paraId="306A17DE" w14:textId="77777777" w:rsidR="00D80693" w:rsidRPr="00322328" w:rsidRDefault="00D80693" w:rsidP="00D72320">
            <w:pPr>
              <w:rPr>
                <w:sz w:val="20"/>
                <w:szCs w:val="20"/>
              </w:rPr>
            </w:pPr>
            <w:r w:rsidRPr="00322328">
              <w:rPr>
                <w:sz w:val="20"/>
                <w:szCs w:val="20"/>
              </w:rPr>
              <w:t xml:space="preserve">Non </w:t>
            </w:r>
          </w:p>
        </w:tc>
        <w:tc>
          <w:tcPr>
            <w:tcW w:w="0" w:type="auto"/>
            <w:vAlign w:val="center"/>
          </w:tcPr>
          <w:p w14:paraId="71227F08" w14:textId="77777777" w:rsidR="00D80693" w:rsidRPr="00322328" w:rsidRDefault="00D80693" w:rsidP="00D72320">
            <w:pPr>
              <w:rPr>
                <w:sz w:val="20"/>
                <w:szCs w:val="20"/>
              </w:rPr>
            </w:pPr>
            <w:r w:rsidRPr="00322328">
              <w:rPr>
                <w:sz w:val="20"/>
                <w:szCs w:val="20"/>
              </w:rPr>
              <w:t xml:space="preserve">Oui  </w:t>
            </w:r>
          </w:p>
        </w:tc>
        <w:tc>
          <w:tcPr>
            <w:tcW w:w="0" w:type="auto"/>
            <w:vAlign w:val="center"/>
          </w:tcPr>
          <w:p w14:paraId="53703883" w14:textId="77777777" w:rsidR="00D80693" w:rsidRPr="00322328" w:rsidRDefault="00D80693" w:rsidP="00D72320">
            <w:pPr>
              <w:jc w:val="both"/>
              <w:rPr>
                <w:sz w:val="20"/>
                <w:szCs w:val="20"/>
              </w:rPr>
            </w:pPr>
            <w:r w:rsidRPr="00322328">
              <w:rPr>
                <w:sz w:val="20"/>
                <w:szCs w:val="20"/>
              </w:rPr>
              <w:t xml:space="preserve">Les menus </w:t>
            </w:r>
            <w:proofErr w:type="spellStart"/>
            <w:r w:rsidRPr="00322328">
              <w:rPr>
                <w:sz w:val="20"/>
                <w:szCs w:val="20"/>
              </w:rPr>
              <w:t>SimuED</w:t>
            </w:r>
            <w:proofErr w:type="spellEnd"/>
            <w:r w:rsidRPr="00322328">
              <w:rPr>
                <w:sz w:val="20"/>
                <w:szCs w:val="20"/>
              </w:rPr>
              <w:t xml:space="preserve"> sont mieux organisés et offrent une expérience utilisateur plus intuitive.</w:t>
            </w:r>
          </w:p>
        </w:tc>
      </w:tr>
      <w:tr w:rsidR="00D80693" w:rsidRPr="00322328" w14:paraId="2992FDBB" w14:textId="77777777" w:rsidTr="00D72320">
        <w:tc>
          <w:tcPr>
            <w:tcW w:w="0" w:type="auto"/>
            <w:vAlign w:val="center"/>
          </w:tcPr>
          <w:p w14:paraId="6CD9720B" w14:textId="77777777" w:rsidR="00D80693" w:rsidRPr="00322328" w:rsidRDefault="00D80693" w:rsidP="00D72320">
            <w:pPr>
              <w:jc w:val="both"/>
              <w:rPr>
                <w:sz w:val="20"/>
                <w:szCs w:val="20"/>
              </w:rPr>
            </w:pPr>
            <w:r w:rsidRPr="00322328">
              <w:rPr>
                <w:sz w:val="20"/>
                <w:szCs w:val="20"/>
              </w:rPr>
              <w:t>Simplicité de l’interface graphique</w:t>
            </w:r>
          </w:p>
        </w:tc>
        <w:tc>
          <w:tcPr>
            <w:tcW w:w="0" w:type="auto"/>
            <w:vAlign w:val="center"/>
          </w:tcPr>
          <w:p w14:paraId="6CF90A0D" w14:textId="77777777" w:rsidR="00D80693" w:rsidRPr="00322328" w:rsidRDefault="00D80693" w:rsidP="00D72320">
            <w:pPr>
              <w:rPr>
                <w:sz w:val="20"/>
                <w:szCs w:val="20"/>
              </w:rPr>
            </w:pPr>
            <w:r w:rsidRPr="00322328">
              <w:rPr>
                <w:sz w:val="20"/>
                <w:szCs w:val="20"/>
              </w:rPr>
              <w:t xml:space="preserve">Non </w:t>
            </w:r>
          </w:p>
        </w:tc>
        <w:tc>
          <w:tcPr>
            <w:tcW w:w="0" w:type="auto"/>
            <w:vAlign w:val="center"/>
          </w:tcPr>
          <w:p w14:paraId="290390E1" w14:textId="77777777" w:rsidR="00D80693" w:rsidRPr="00322328" w:rsidRDefault="00D80693" w:rsidP="00D72320">
            <w:pPr>
              <w:rPr>
                <w:sz w:val="20"/>
                <w:szCs w:val="20"/>
              </w:rPr>
            </w:pPr>
            <w:r w:rsidRPr="00322328">
              <w:rPr>
                <w:sz w:val="20"/>
                <w:szCs w:val="20"/>
              </w:rPr>
              <w:t xml:space="preserve">Oui </w:t>
            </w:r>
          </w:p>
        </w:tc>
        <w:tc>
          <w:tcPr>
            <w:tcW w:w="0" w:type="auto"/>
            <w:vAlign w:val="center"/>
          </w:tcPr>
          <w:p w14:paraId="08D9E0D5" w14:textId="77777777" w:rsidR="00D80693" w:rsidRPr="00322328" w:rsidRDefault="00D80693" w:rsidP="00D72320">
            <w:pPr>
              <w:jc w:val="both"/>
              <w:rPr>
                <w:sz w:val="20"/>
                <w:szCs w:val="20"/>
              </w:rPr>
            </w:pPr>
            <w:r w:rsidRPr="00322328">
              <w:rPr>
                <w:sz w:val="20"/>
                <w:szCs w:val="20"/>
              </w:rPr>
              <w:t xml:space="preserve">L'interface graphique de </w:t>
            </w:r>
            <w:proofErr w:type="spellStart"/>
            <w:r w:rsidRPr="00322328">
              <w:rPr>
                <w:sz w:val="20"/>
                <w:szCs w:val="20"/>
              </w:rPr>
              <w:t>SimUED</w:t>
            </w:r>
            <w:proofErr w:type="spellEnd"/>
            <w:r w:rsidRPr="00322328">
              <w:rPr>
                <w:sz w:val="20"/>
                <w:szCs w:val="20"/>
              </w:rPr>
              <w:t xml:space="preserve"> est plus simple et adaptée à l'usage des utilisateurs, ce qui facilite la prise en main.</w:t>
            </w:r>
          </w:p>
        </w:tc>
      </w:tr>
      <w:tr w:rsidR="00D80693" w:rsidRPr="00322328" w14:paraId="76AB2176" w14:textId="77777777" w:rsidTr="00D72320">
        <w:tc>
          <w:tcPr>
            <w:tcW w:w="0" w:type="auto"/>
            <w:gridSpan w:val="4"/>
            <w:vAlign w:val="center"/>
          </w:tcPr>
          <w:p w14:paraId="071CCB2D" w14:textId="77777777" w:rsidR="00D80693" w:rsidRPr="00322328" w:rsidRDefault="00D80693" w:rsidP="00D72320">
            <w:pPr>
              <w:jc w:val="both"/>
              <w:rPr>
                <w:sz w:val="20"/>
                <w:szCs w:val="20"/>
              </w:rPr>
            </w:pPr>
            <w:r w:rsidRPr="00322328">
              <w:rPr>
                <w:sz w:val="20"/>
                <w:szCs w:val="20"/>
              </w:rPr>
              <w:t>Documentation et aide</w:t>
            </w:r>
          </w:p>
        </w:tc>
      </w:tr>
      <w:tr w:rsidR="00D80693" w:rsidRPr="00322328" w14:paraId="3D85D8BA" w14:textId="77777777" w:rsidTr="00D72320">
        <w:tc>
          <w:tcPr>
            <w:tcW w:w="0" w:type="auto"/>
            <w:vAlign w:val="center"/>
          </w:tcPr>
          <w:p w14:paraId="1E2F9AD7" w14:textId="77777777" w:rsidR="00D80693" w:rsidRPr="00322328" w:rsidRDefault="00D80693" w:rsidP="00D72320">
            <w:pPr>
              <w:jc w:val="both"/>
              <w:rPr>
                <w:sz w:val="20"/>
                <w:szCs w:val="20"/>
              </w:rPr>
            </w:pPr>
            <w:r w:rsidRPr="00322328">
              <w:rPr>
                <w:sz w:val="20"/>
                <w:szCs w:val="20"/>
              </w:rPr>
              <w:t>Présence de fichiers d’aide ;</w:t>
            </w:r>
          </w:p>
        </w:tc>
        <w:tc>
          <w:tcPr>
            <w:tcW w:w="0" w:type="auto"/>
            <w:vAlign w:val="center"/>
          </w:tcPr>
          <w:p w14:paraId="2353DE08" w14:textId="77777777" w:rsidR="00D80693" w:rsidRPr="00322328" w:rsidRDefault="00D80693" w:rsidP="00D72320">
            <w:pPr>
              <w:rPr>
                <w:sz w:val="20"/>
                <w:szCs w:val="20"/>
              </w:rPr>
            </w:pPr>
            <w:r w:rsidRPr="00322328">
              <w:rPr>
                <w:sz w:val="20"/>
                <w:szCs w:val="20"/>
              </w:rPr>
              <w:t xml:space="preserve">Non </w:t>
            </w:r>
          </w:p>
        </w:tc>
        <w:tc>
          <w:tcPr>
            <w:tcW w:w="0" w:type="auto"/>
            <w:vAlign w:val="center"/>
          </w:tcPr>
          <w:p w14:paraId="6379AE06" w14:textId="77777777" w:rsidR="00D80693" w:rsidRPr="00322328" w:rsidRDefault="00D80693" w:rsidP="00D72320">
            <w:pPr>
              <w:rPr>
                <w:sz w:val="20"/>
                <w:szCs w:val="20"/>
              </w:rPr>
            </w:pPr>
            <w:r w:rsidRPr="00322328">
              <w:rPr>
                <w:sz w:val="20"/>
                <w:szCs w:val="20"/>
              </w:rPr>
              <w:t xml:space="preserve">Oui </w:t>
            </w:r>
          </w:p>
        </w:tc>
        <w:tc>
          <w:tcPr>
            <w:tcW w:w="0" w:type="auto"/>
            <w:vAlign w:val="center"/>
          </w:tcPr>
          <w:p w14:paraId="4E160335" w14:textId="77777777" w:rsidR="00D80693" w:rsidRPr="00322328" w:rsidRDefault="00D80693" w:rsidP="00D72320">
            <w:pPr>
              <w:jc w:val="both"/>
              <w:rPr>
                <w:sz w:val="20"/>
                <w:szCs w:val="20"/>
              </w:rPr>
            </w:pPr>
            <w:r w:rsidRPr="00322328">
              <w:rPr>
                <w:bCs/>
                <w:sz w:val="20"/>
                <w:szCs w:val="20"/>
              </w:rPr>
              <w:t>Contrairement au modèle burkinabè, d</w:t>
            </w:r>
            <w:r w:rsidRPr="00322328">
              <w:rPr>
                <w:sz w:val="20"/>
                <w:szCs w:val="20"/>
              </w:rPr>
              <w:t xml:space="preserve">es fichiers d'aide accompagnent le modèle </w:t>
            </w:r>
            <w:proofErr w:type="spellStart"/>
            <w:r w:rsidRPr="00322328">
              <w:rPr>
                <w:sz w:val="20"/>
                <w:szCs w:val="20"/>
              </w:rPr>
              <w:t>SimuED</w:t>
            </w:r>
            <w:proofErr w:type="spellEnd"/>
            <w:r w:rsidRPr="00322328">
              <w:rPr>
                <w:sz w:val="20"/>
                <w:szCs w:val="20"/>
              </w:rPr>
              <w:t>, fournissant un soutien minimum aux utilisateurs.</w:t>
            </w:r>
          </w:p>
        </w:tc>
      </w:tr>
      <w:tr w:rsidR="00D80693" w:rsidRPr="00322328" w14:paraId="0EB93A12" w14:textId="77777777" w:rsidTr="00D72320">
        <w:tc>
          <w:tcPr>
            <w:tcW w:w="0" w:type="auto"/>
            <w:vAlign w:val="center"/>
          </w:tcPr>
          <w:p w14:paraId="52D8348E" w14:textId="77777777" w:rsidR="00D80693" w:rsidRPr="00322328" w:rsidRDefault="00D80693" w:rsidP="00D72320">
            <w:pPr>
              <w:rPr>
                <w:sz w:val="20"/>
                <w:szCs w:val="20"/>
              </w:rPr>
            </w:pPr>
            <w:r w:rsidRPr="00322328">
              <w:rPr>
                <w:sz w:val="20"/>
                <w:szCs w:val="20"/>
              </w:rPr>
              <w:t>Présence de tutoriels</w:t>
            </w:r>
          </w:p>
        </w:tc>
        <w:tc>
          <w:tcPr>
            <w:tcW w:w="0" w:type="auto"/>
            <w:vAlign w:val="center"/>
          </w:tcPr>
          <w:p w14:paraId="4B651562" w14:textId="77777777" w:rsidR="00D80693" w:rsidRPr="00322328" w:rsidRDefault="00D80693" w:rsidP="00D72320">
            <w:pPr>
              <w:rPr>
                <w:sz w:val="20"/>
                <w:szCs w:val="20"/>
              </w:rPr>
            </w:pPr>
            <w:r w:rsidRPr="00322328">
              <w:rPr>
                <w:sz w:val="20"/>
                <w:szCs w:val="20"/>
              </w:rPr>
              <w:t xml:space="preserve">Non </w:t>
            </w:r>
          </w:p>
        </w:tc>
        <w:tc>
          <w:tcPr>
            <w:tcW w:w="0" w:type="auto"/>
            <w:vAlign w:val="center"/>
          </w:tcPr>
          <w:p w14:paraId="7FF23CB8" w14:textId="77777777" w:rsidR="00D80693" w:rsidRPr="00322328" w:rsidRDefault="00D80693" w:rsidP="00D72320">
            <w:pPr>
              <w:rPr>
                <w:sz w:val="20"/>
                <w:szCs w:val="20"/>
              </w:rPr>
            </w:pPr>
            <w:r w:rsidRPr="00322328">
              <w:rPr>
                <w:sz w:val="20"/>
                <w:szCs w:val="20"/>
              </w:rPr>
              <w:t xml:space="preserve">Oui </w:t>
            </w:r>
          </w:p>
        </w:tc>
        <w:tc>
          <w:tcPr>
            <w:tcW w:w="0" w:type="auto"/>
            <w:vAlign w:val="center"/>
          </w:tcPr>
          <w:p w14:paraId="0B10632C" w14:textId="77777777" w:rsidR="00D80693" w:rsidRPr="00322328" w:rsidRDefault="00D80693" w:rsidP="00D72320">
            <w:pPr>
              <w:jc w:val="both"/>
              <w:rPr>
                <w:sz w:val="20"/>
                <w:szCs w:val="20"/>
              </w:rPr>
            </w:pPr>
            <w:r w:rsidRPr="00322328">
              <w:rPr>
                <w:sz w:val="20"/>
                <w:szCs w:val="20"/>
              </w:rPr>
              <w:t xml:space="preserve">Contrairement au modèle du Burkina Faso, il existe des tutoriels permettant une prise en main plus rapide pour les utilisateurs novices de </w:t>
            </w:r>
            <w:proofErr w:type="spellStart"/>
            <w:r w:rsidRPr="00322328">
              <w:rPr>
                <w:sz w:val="20"/>
                <w:szCs w:val="20"/>
              </w:rPr>
              <w:t>SimuED</w:t>
            </w:r>
            <w:proofErr w:type="spellEnd"/>
            <w:r w:rsidRPr="00322328">
              <w:rPr>
                <w:sz w:val="20"/>
                <w:szCs w:val="20"/>
              </w:rPr>
              <w:t>.</w:t>
            </w:r>
          </w:p>
        </w:tc>
      </w:tr>
      <w:tr w:rsidR="00D80693" w:rsidRPr="00322328" w14:paraId="6F6A489D" w14:textId="77777777" w:rsidTr="00D72320">
        <w:tc>
          <w:tcPr>
            <w:tcW w:w="0" w:type="auto"/>
            <w:vAlign w:val="center"/>
          </w:tcPr>
          <w:p w14:paraId="72F58905" w14:textId="77777777" w:rsidR="00D80693" w:rsidRPr="00322328" w:rsidRDefault="00D80693" w:rsidP="00D72320">
            <w:pPr>
              <w:rPr>
                <w:bCs/>
                <w:sz w:val="20"/>
                <w:szCs w:val="20"/>
              </w:rPr>
            </w:pPr>
            <w:r w:rsidRPr="00322328">
              <w:rPr>
                <w:bCs/>
                <w:sz w:val="20"/>
                <w:szCs w:val="20"/>
              </w:rPr>
              <w:t>Facilité d’exploitation par une tierce personne</w:t>
            </w:r>
          </w:p>
        </w:tc>
        <w:tc>
          <w:tcPr>
            <w:tcW w:w="0" w:type="auto"/>
            <w:vAlign w:val="center"/>
          </w:tcPr>
          <w:p w14:paraId="509685C4" w14:textId="77777777" w:rsidR="00D80693" w:rsidRPr="00322328" w:rsidRDefault="00D80693" w:rsidP="00D72320">
            <w:pPr>
              <w:rPr>
                <w:sz w:val="20"/>
                <w:szCs w:val="20"/>
              </w:rPr>
            </w:pPr>
            <w:r w:rsidRPr="00322328">
              <w:rPr>
                <w:sz w:val="20"/>
                <w:szCs w:val="20"/>
              </w:rPr>
              <w:t xml:space="preserve">Non </w:t>
            </w:r>
          </w:p>
        </w:tc>
        <w:tc>
          <w:tcPr>
            <w:tcW w:w="0" w:type="auto"/>
            <w:vAlign w:val="center"/>
          </w:tcPr>
          <w:p w14:paraId="3996A145" w14:textId="77777777" w:rsidR="00D80693" w:rsidRPr="00322328" w:rsidRDefault="00D80693" w:rsidP="00D72320">
            <w:pPr>
              <w:rPr>
                <w:sz w:val="20"/>
                <w:szCs w:val="20"/>
              </w:rPr>
            </w:pPr>
            <w:r w:rsidRPr="00322328">
              <w:rPr>
                <w:sz w:val="20"/>
                <w:szCs w:val="20"/>
              </w:rPr>
              <w:t xml:space="preserve">Oui </w:t>
            </w:r>
          </w:p>
        </w:tc>
        <w:tc>
          <w:tcPr>
            <w:tcW w:w="0" w:type="auto"/>
            <w:vAlign w:val="center"/>
          </w:tcPr>
          <w:p w14:paraId="62B5B193" w14:textId="77777777" w:rsidR="00D80693" w:rsidRPr="00322328" w:rsidRDefault="00D80693" w:rsidP="00D72320">
            <w:pPr>
              <w:jc w:val="both"/>
              <w:rPr>
                <w:sz w:val="20"/>
                <w:szCs w:val="20"/>
              </w:rPr>
            </w:pPr>
            <w:r w:rsidRPr="00322328">
              <w:rPr>
                <w:sz w:val="20"/>
                <w:szCs w:val="20"/>
              </w:rPr>
              <w:t xml:space="preserve">Modèle actuel du Burkina Faso : Le modèle est difficilement exploitable sans une formation ou un accompagnement spécifique. Modèle </w:t>
            </w:r>
            <w:proofErr w:type="spellStart"/>
            <w:r w:rsidRPr="00322328">
              <w:rPr>
                <w:sz w:val="20"/>
                <w:szCs w:val="20"/>
              </w:rPr>
              <w:t>SimuED</w:t>
            </w:r>
            <w:proofErr w:type="spellEnd"/>
            <w:r w:rsidRPr="00322328">
              <w:rPr>
                <w:sz w:val="20"/>
                <w:szCs w:val="20"/>
              </w:rPr>
              <w:t xml:space="preserve"> : Grâce à son interface intuitive et à la documentation disponible, </w:t>
            </w:r>
            <w:proofErr w:type="spellStart"/>
            <w:r w:rsidRPr="00322328">
              <w:rPr>
                <w:sz w:val="20"/>
                <w:szCs w:val="20"/>
              </w:rPr>
              <w:t>SimuED</w:t>
            </w:r>
            <w:proofErr w:type="spellEnd"/>
            <w:r w:rsidRPr="00322328">
              <w:rPr>
                <w:sz w:val="20"/>
                <w:szCs w:val="20"/>
              </w:rPr>
              <w:t xml:space="preserve"> est plus facilement exploitable par une tierce personne, même sans expertise préalable.</w:t>
            </w:r>
          </w:p>
        </w:tc>
      </w:tr>
    </w:tbl>
    <w:p w14:paraId="5B70A4AC" w14:textId="77777777" w:rsidR="00D80693" w:rsidRPr="0007424B" w:rsidRDefault="00D80693" w:rsidP="00D80693">
      <w:pPr>
        <w:jc w:val="center"/>
        <w:rPr>
          <w:rFonts w:eastAsia="Aptos"/>
          <w:i/>
          <w:iCs/>
          <w:kern w:val="2"/>
          <w14:ligatures w14:val="standardContextual"/>
        </w:rPr>
      </w:pPr>
      <w:proofErr w:type="gramStart"/>
      <w:r w:rsidRPr="0007424B">
        <w:rPr>
          <w:rFonts w:eastAsia="Aptos"/>
          <w:i/>
          <w:iCs/>
          <w:kern w:val="2"/>
          <w14:ligatures w14:val="standardContextual"/>
        </w:rPr>
        <w:t>Source:</w:t>
      </w:r>
      <w:proofErr w:type="gramEnd"/>
      <w:r w:rsidRPr="0007424B">
        <w:rPr>
          <w:rFonts w:eastAsia="Aptos"/>
          <w:i/>
          <w:iCs/>
          <w:kern w:val="2"/>
          <w14:ligatures w14:val="standardContextual"/>
        </w:rPr>
        <w:t xml:space="preserve"> S</w:t>
      </w:r>
      <w:r>
        <w:rPr>
          <w:rFonts w:eastAsia="Aptos"/>
          <w:i/>
          <w:iCs/>
          <w:kern w:val="2"/>
          <w14:ligatures w14:val="standardContextual"/>
        </w:rPr>
        <w:t>avadogo</w:t>
      </w:r>
      <w:r w:rsidRPr="0007424B">
        <w:rPr>
          <w:rFonts w:eastAsia="Aptos"/>
          <w:i/>
          <w:iCs/>
          <w:kern w:val="2"/>
          <w14:ligatures w14:val="standardContextual"/>
        </w:rPr>
        <w:t>, Y. A.  (2024)</w:t>
      </w:r>
    </w:p>
    <w:p w14:paraId="0B6A3B38" w14:textId="77777777" w:rsidR="00D80693" w:rsidRDefault="00D80693" w:rsidP="00D80693">
      <w:pPr>
        <w:jc w:val="both"/>
        <w:rPr>
          <w:rFonts w:eastAsia="Aptos"/>
          <w:kern w:val="2"/>
          <w14:ligatures w14:val="standardContextual"/>
        </w:rPr>
      </w:pPr>
    </w:p>
    <w:p w14:paraId="056E99EE"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D’après les critères du tableau 3, le modèle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surpasse nettement le modèle du Burkina Faso sur le plan ergonomique. Tandis que le modèle burkinabè peut être considéré comme non ergonomique (difficile à naviguer, absence de menus clairs et d'aide).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avec une documentation complète (fichiers d'aide et tutoriels) et une interface intuitive est plus facile d'exploitation par des personnes n'ayant pas d'expertise préalable. </w:t>
      </w:r>
    </w:p>
    <w:p w14:paraId="7F13F6FB"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Quel examen peut-on faire des principaux indicateurs pris en compte dans les deux modèles ?</w:t>
      </w:r>
    </w:p>
    <w:p w14:paraId="3BF6EBE0" w14:textId="77777777" w:rsidR="00D80693" w:rsidRPr="00260964" w:rsidRDefault="00D80693" w:rsidP="00D80693">
      <w:pPr>
        <w:jc w:val="both"/>
        <w:rPr>
          <w:rFonts w:eastAsia="Aptos"/>
          <w:kern w:val="2"/>
          <w:sz w:val="24"/>
          <w:szCs w:val="24"/>
          <w14:ligatures w14:val="standardContextual"/>
        </w:rPr>
      </w:pPr>
    </w:p>
    <w:p w14:paraId="0AC3D169" w14:textId="77777777" w:rsidR="00D80693" w:rsidRPr="00A366A7" w:rsidRDefault="00D80693" w:rsidP="00D80693">
      <w:pPr>
        <w:pStyle w:val="Paragraphedeliste"/>
        <w:widowControl/>
        <w:numPr>
          <w:ilvl w:val="1"/>
          <w:numId w:val="142"/>
        </w:numPr>
        <w:autoSpaceDE/>
        <w:autoSpaceDN/>
        <w:spacing w:before="0"/>
        <w:contextualSpacing/>
        <w:rPr>
          <w:rFonts w:eastAsia="Aptos"/>
          <w:b/>
          <w:bCs/>
          <w:kern w:val="2"/>
          <w:sz w:val="24"/>
          <w:szCs w:val="24"/>
          <w14:ligatures w14:val="standardContextual"/>
        </w:rPr>
      </w:pPr>
      <w:r w:rsidRPr="00A366A7">
        <w:rPr>
          <w:rFonts w:eastAsia="Aptos"/>
          <w:b/>
          <w:bCs/>
          <w:kern w:val="2"/>
          <w:sz w:val="24"/>
          <w:szCs w:val="24"/>
          <w14:ligatures w14:val="standardContextual"/>
        </w:rPr>
        <w:t>Les principaux indicateurs pris en compte dans les deux modèles</w:t>
      </w:r>
    </w:p>
    <w:p w14:paraId="1545653D" w14:textId="77777777" w:rsidR="00D80693" w:rsidRPr="00260964" w:rsidRDefault="00D80693" w:rsidP="00813D27">
      <w:pPr>
        <w:spacing w:before="240"/>
        <w:jc w:val="both"/>
        <w:rPr>
          <w:rFonts w:eastAsia="Aptos"/>
          <w:kern w:val="2"/>
          <w:sz w:val="24"/>
          <w:szCs w:val="24"/>
          <w14:ligatures w14:val="standardContextual"/>
        </w:rPr>
      </w:pPr>
      <w:r w:rsidRPr="00260964">
        <w:rPr>
          <w:rFonts w:eastAsia="Aptos"/>
          <w:kern w:val="2"/>
          <w:sz w:val="24"/>
          <w:szCs w:val="24"/>
          <w14:ligatures w14:val="standardContextual"/>
        </w:rPr>
        <w:t xml:space="preserve">De l’analyse de la prise en compte des principaux indicateurs, il ressort que le modèle du Burkina Faso offre des informations globales tandis que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offre plus de précisions avec des indicateurs plus détaillés par année scolaire et par cycle éducatif (préscolaire, primaire, secondaire, supérieur).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se distingue en fournissant des taux de transition non seulement entre le primaire et le secondaire, mais également vers les cycles technique et professionnel. Ce modèle prend en compte des indicateurs sur les infrastructures (cantines, laboratoires, informatique) de manière plus précise, ce qui permet de mieux évaluer la qualité des établissements. Enfin,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intègre des indicateurs spécifiques sur la qualité de l'éducation telle que la dotation en laboratoires, la répartition des enseignants et sur l'inclusion des élèves vulnérables, un domaine moins développé dans le modèle actuel du Burkina Faso. Le tableau 4 présente la synthèse des principaux indicateurs pris en compte par les deux modèles.</w:t>
      </w:r>
    </w:p>
    <w:p w14:paraId="2249A290" w14:textId="77777777" w:rsidR="00D80693" w:rsidRDefault="00D80693" w:rsidP="00D80693">
      <w:pPr>
        <w:jc w:val="both"/>
        <w:rPr>
          <w:rFonts w:eastAsia="Aptos"/>
          <w:kern w:val="2"/>
          <w14:ligatures w14:val="standardContextual"/>
        </w:rPr>
      </w:pPr>
    </w:p>
    <w:p w14:paraId="7DEE3A23" w14:textId="77777777" w:rsidR="00D80693" w:rsidRPr="00260964" w:rsidRDefault="00D80693" w:rsidP="00D80693">
      <w:pPr>
        <w:jc w:val="center"/>
        <w:rPr>
          <w:rFonts w:eastAsia="Aptos"/>
          <w:b/>
          <w:bCs/>
          <w:i/>
          <w:iCs/>
          <w:kern w:val="2"/>
          <w14:ligatures w14:val="standardContextual"/>
        </w:rPr>
      </w:pPr>
      <w:r w:rsidRPr="00260964">
        <w:rPr>
          <w:rFonts w:eastAsia="Aptos"/>
          <w:b/>
          <w:bCs/>
          <w:i/>
          <w:iCs/>
          <w:kern w:val="2"/>
          <w14:ligatures w14:val="standardContextual"/>
        </w:rPr>
        <w:t>Tableau n°6 : Résumé des principaux indicateurs éducatifs pris en compte dans les deux modèles</w:t>
      </w:r>
    </w:p>
    <w:tbl>
      <w:tblPr>
        <w:tblStyle w:val="TableGrid0"/>
        <w:tblW w:w="0" w:type="auto"/>
        <w:tblLook w:val="04A0" w:firstRow="1" w:lastRow="0" w:firstColumn="1" w:lastColumn="0" w:noHBand="0" w:noVBand="1"/>
      </w:tblPr>
      <w:tblGrid>
        <w:gridCol w:w="1980"/>
        <w:gridCol w:w="1411"/>
        <w:gridCol w:w="1043"/>
        <w:gridCol w:w="4626"/>
      </w:tblGrid>
      <w:tr w:rsidR="00D80693" w:rsidRPr="007A6FE8" w14:paraId="020CD5D0" w14:textId="77777777" w:rsidTr="00D72320">
        <w:trPr>
          <w:trHeight w:val="884"/>
          <w:tblHeader/>
        </w:trPr>
        <w:tc>
          <w:tcPr>
            <w:tcW w:w="1980" w:type="dxa"/>
            <w:vAlign w:val="center"/>
          </w:tcPr>
          <w:p w14:paraId="37394A06" w14:textId="77777777" w:rsidR="00D80693" w:rsidRPr="007A6FE8" w:rsidRDefault="00D80693" w:rsidP="00D72320">
            <w:pPr>
              <w:rPr>
                <w:sz w:val="18"/>
                <w:szCs w:val="18"/>
              </w:rPr>
            </w:pPr>
            <w:r w:rsidRPr="007A6FE8">
              <w:rPr>
                <w:sz w:val="18"/>
                <w:szCs w:val="18"/>
              </w:rPr>
              <w:t>Catégories d'indicateurs</w:t>
            </w:r>
          </w:p>
        </w:tc>
        <w:tc>
          <w:tcPr>
            <w:tcW w:w="1411" w:type="dxa"/>
            <w:vAlign w:val="center"/>
          </w:tcPr>
          <w:p w14:paraId="2BD9A504" w14:textId="77777777" w:rsidR="00D80693" w:rsidRPr="007A6FE8" w:rsidRDefault="00D80693" w:rsidP="00D72320">
            <w:pPr>
              <w:rPr>
                <w:sz w:val="18"/>
                <w:szCs w:val="18"/>
              </w:rPr>
            </w:pPr>
            <w:r w:rsidRPr="007A6FE8">
              <w:rPr>
                <w:sz w:val="18"/>
                <w:szCs w:val="18"/>
              </w:rPr>
              <w:t>Modèle Burkina Faso 2020</w:t>
            </w:r>
          </w:p>
        </w:tc>
        <w:tc>
          <w:tcPr>
            <w:tcW w:w="1043" w:type="dxa"/>
            <w:vAlign w:val="center"/>
          </w:tcPr>
          <w:p w14:paraId="579C6650" w14:textId="77777777" w:rsidR="00D80693" w:rsidRPr="007A6FE8" w:rsidRDefault="00D80693" w:rsidP="00D72320">
            <w:pPr>
              <w:rPr>
                <w:sz w:val="18"/>
                <w:szCs w:val="18"/>
              </w:rPr>
            </w:pPr>
            <w:proofErr w:type="spellStart"/>
            <w:r w:rsidRPr="007A6FE8">
              <w:rPr>
                <w:sz w:val="18"/>
                <w:szCs w:val="18"/>
              </w:rPr>
              <w:t>SimuED</w:t>
            </w:r>
            <w:proofErr w:type="spellEnd"/>
          </w:p>
        </w:tc>
        <w:tc>
          <w:tcPr>
            <w:tcW w:w="4626" w:type="dxa"/>
            <w:vAlign w:val="center"/>
          </w:tcPr>
          <w:p w14:paraId="260DFF6E" w14:textId="77777777" w:rsidR="00D80693" w:rsidRPr="007A6FE8" w:rsidRDefault="00D80693" w:rsidP="00D72320">
            <w:pPr>
              <w:jc w:val="both"/>
              <w:rPr>
                <w:sz w:val="18"/>
                <w:szCs w:val="18"/>
              </w:rPr>
            </w:pPr>
            <w:r w:rsidRPr="007A6FE8">
              <w:rPr>
                <w:sz w:val="18"/>
                <w:szCs w:val="18"/>
              </w:rPr>
              <w:t>Commentaires</w:t>
            </w:r>
          </w:p>
        </w:tc>
      </w:tr>
      <w:tr w:rsidR="00D80693" w:rsidRPr="007A6FE8" w14:paraId="1E4FC5EB" w14:textId="77777777" w:rsidTr="00D72320">
        <w:trPr>
          <w:cantSplit/>
        </w:trPr>
        <w:tc>
          <w:tcPr>
            <w:tcW w:w="1980" w:type="dxa"/>
            <w:vAlign w:val="center"/>
          </w:tcPr>
          <w:p w14:paraId="41733E8A" w14:textId="77777777" w:rsidR="00D80693" w:rsidRPr="007A6FE8" w:rsidRDefault="00D80693" w:rsidP="00D72320">
            <w:pPr>
              <w:rPr>
                <w:sz w:val="18"/>
                <w:szCs w:val="18"/>
              </w:rPr>
            </w:pPr>
            <w:r w:rsidRPr="007A6FE8">
              <w:rPr>
                <w:sz w:val="18"/>
                <w:szCs w:val="18"/>
              </w:rPr>
              <w:t>1.Cadrage macroéconomique</w:t>
            </w:r>
          </w:p>
        </w:tc>
        <w:tc>
          <w:tcPr>
            <w:tcW w:w="1411" w:type="dxa"/>
            <w:vAlign w:val="center"/>
          </w:tcPr>
          <w:p w14:paraId="7D3313E4" w14:textId="77777777" w:rsidR="00D80693" w:rsidRPr="007A6FE8" w:rsidRDefault="00D80693" w:rsidP="00D72320">
            <w:pPr>
              <w:rPr>
                <w:sz w:val="18"/>
                <w:szCs w:val="18"/>
              </w:rPr>
            </w:pPr>
            <w:r w:rsidRPr="007A6FE8">
              <w:rPr>
                <w:sz w:val="18"/>
                <w:szCs w:val="18"/>
              </w:rPr>
              <w:t>Oui</w:t>
            </w:r>
          </w:p>
        </w:tc>
        <w:tc>
          <w:tcPr>
            <w:tcW w:w="1043" w:type="dxa"/>
            <w:vAlign w:val="center"/>
          </w:tcPr>
          <w:p w14:paraId="2B8F07EB" w14:textId="77777777" w:rsidR="00D80693" w:rsidRPr="007A6FE8" w:rsidRDefault="00D80693" w:rsidP="00D72320">
            <w:pPr>
              <w:rPr>
                <w:sz w:val="18"/>
                <w:szCs w:val="18"/>
              </w:rPr>
            </w:pPr>
            <w:r w:rsidRPr="007A6FE8">
              <w:rPr>
                <w:sz w:val="18"/>
                <w:szCs w:val="18"/>
              </w:rPr>
              <w:t>Oui</w:t>
            </w:r>
          </w:p>
        </w:tc>
        <w:tc>
          <w:tcPr>
            <w:tcW w:w="4626" w:type="dxa"/>
            <w:vAlign w:val="center"/>
          </w:tcPr>
          <w:p w14:paraId="292F800A" w14:textId="77777777" w:rsidR="00D80693" w:rsidRPr="007A6FE8" w:rsidRDefault="00D80693" w:rsidP="00D72320">
            <w:pPr>
              <w:jc w:val="both"/>
              <w:rPr>
                <w:sz w:val="18"/>
                <w:szCs w:val="18"/>
              </w:rPr>
            </w:pPr>
            <w:r w:rsidRPr="007A6FE8">
              <w:rPr>
                <w:sz w:val="18"/>
                <w:szCs w:val="18"/>
              </w:rPr>
              <w:t xml:space="preserve">Les deux modèles incluent le PIB, les dépenses publiques, et le budget de l'éducation en % du PIB. </w:t>
            </w:r>
            <w:proofErr w:type="spellStart"/>
            <w:r w:rsidRPr="007A6FE8">
              <w:rPr>
                <w:sz w:val="18"/>
                <w:szCs w:val="18"/>
              </w:rPr>
              <w:t>SimuED</w:t>
            </w:r>
            <w:proofErr w:type="spellEnd"/>
            <w:r w:rsidRPr="007A6FE8">
              <w:rPr>
                <w:sz w:val="18"/>
                <w:szCs w:val="18"/>
              </w:rPr>
              <w:t xml:space="preserve"> propose plus de détails dans les projections des dépenses courantes et d'investissement pour l'éducation.</w:t>
            </w:r>
          </w:p>
        </w:tc>
      </w:tr>
      <w:tr w:rsidR="00D80693" w:rsidRPr="007A6FE8" w14:paraId="49F8EF71" w14:textId="77777777" w:rsidTr="00D72320">
        <w:trPr>
          <w:cantSplit/>
        </w:trPr>
        <w:tc>
          <w:tcPr>
            <w:tcW w:w="1980" w:type="dxa"/>
            <w:vAlign w:val="center"/>
          </w:tcPr>
          <w:p w14:paraId="75688A61" w14:textId="77777777" w:rsidR="00D80693" w:rsidRPr="007A6FE8" w:rsidRDefault="00D80693" w:rsidP="00D72320">
            <w:pPr>
              <w:rPr>
                <w:sz w:val="18"/>
                <w:szCs w:val="18"/>
              </w:rPr>
            </w:pPr>
            <w:r w:rsidRPr="007A6FE8">
              <w:rPr>
                <w:sz w:val="18"/>
                <w:szCs w:val="18"/>
              </w:rPr>
              <w:t>-Taux de croissance du PIB</w:t>
            </w:r>
          </w:p>
        </w:tc>
        <w:tc>
          <w:tcPr>
            <w:tcW w:w="1411" w:type="dxa"/>
            <w:vAlign w:val="center"/>
          </w:tcPr>
          <w:p w14:paraId="4691AC6A" w14:textId="77777777" w:rsidR="00D80693" w:rsidRPr="007A6FE8" w:rsidRDefault="00D80693" w:rsidP="00D72320">
            <w:pPr>
              <w:rPr>
                <w:sz w:val="18"/>
                <w:szCs w:val="18"/>
              </w:rPr>
            </w:pPr>
            <w:r w:rsidRPr="007A6FE8">
              <w:rPr>
                <w:sz w:val="18"/>
                <w:szCs w:val="18"/>
              </w:rPr>
              <w:t>Oui</w:t>
            </w:r>
          </w:p>
        </w:tc>
        <w:tc>
          <w:tcPr>
            <w:tcW w:w="1043" w:type="dxa"/>
            <w:vAlign w:val="center"/>
          </w:tcPr>
          <w:p w14:paraId="5D903E0A" w14:textId="77777777" w:rsidR="00D80693" w:rsidRPr="007A6FE8" w:rsidRDefault="00D80693" w:rsidP="00D72320">
            <w:pPr>
              <w:rPr>
                <w:sz w:val="18"/>
                <w:szCs w:val="18"/>
              </w:rPr>
            </w:pPr>
            <w:r w:rsidRPr="007A6FE8">
              <w:rPr>
                <w:sz w:val="18"/>
                <w:szCs w:val="18"/>
              </w:rPr>
              <w:t>Oui</w:t>
            </w:r>
          </w:p>
        </w:tc>
        <w:tc>
          <w:tcPr>
            <w:tcW w:w="4626" w:type="dxa"/>
            <w:vAlign w:val="center"/>
          </w:tcPr>
          <w:p w14:paraId="01A8F62E" w14:textId="77777777" w:rsidR="00D80693" w:rsidRPr="007A6FE8" w:rsidRDefault="00D80693" w:rsidP="00D72320">
            <w:pPr>
              <w:jc w:val="both"/>
              <w:rPr>
                <w:sz w:val="18"/>
                <w:szCs w:val="18"/>
              </w:rPr>
            </w:pPr>
            <w:r w:rsidRPr="007A6FE8">
              <w:rPr>
                <w:sz w:val="18"/>
                <w:szCs w:val="18"/>
              </w:rPr>
              <w:t>Les deux modèles prennent en compte cet indicateur pour évaluer les ressources disponibles pour l'éducation</w:t>
            </w:r>
          </w:p>
        </w:tc>
      </w:tr>
      <w:tr w:rsidR="00D80693" w:rsidRPr="007A6FE8" w14:paraId="36EB88E3" w14:textId="77777777" w:rsidTr="00D72320">
        <w:trPr>
          <w:cantSplit/>
        </w:trPr>
        <w:tc>
          <w:tcPr>
            <w:tcW w:w="1980" w:type="dxa"/>
            <w:vAlign w:val="center"/>
          </w:tcPr>
          <w:p w14:paraId="6E06ACBF" w14:textId="77777777" w:rsidR="00D80693" w:rsidRPr="007A6FE8" w:rsidRDefault="00D80693" w:rsidP="00D72320">
            <w:pPr>
              <w:rPr>
                <w:sz w:val="18"/>
                <w:szCs w:val="18"/>
              </w:rPr>
            </w:pPr>
            <w:r w:rsidRPr="007A6FE8">
              <w:rPr>
                <w:sz w:val="18"/>
                <w:szCs w:val="18"/>
              </w:rPr>
              <w:t>-Dépenses publiques pour l'éducation</w:t>
            </w:r>
          </w:p>
        </w:tc>
        <w:tc>
          <w:tcPr>
            <w:tcW w:w="1411" w:type="dxa"/>
            <w:vAlign w:val="center"/>
          </w:tcPr>
          <w:p w14:paraId="111E19DE" w14:textId="77777777" w:rsidR="00D80693" w:rsidRPr="007A6FE8" w:rsidRDefault="00D80693" w:rsidP="00D72320">
            <w:pPr>
              <w:rPr>
                <w:sz w:val="18"/>
                <w:szCs w:val="18"/>
              </w:rPr>
            </w:pPr>
            <w:r w:rsidRPr="007A6FE8">
              <w:rPr>
                <w:sz w:val="18"/>
                <w:szCs w:val="18"/>
              </w:rPr>
              <w:t xml:space="preserve">Oui </w:t>
            </w:r>
          </w:p>
        </w:tc>
        <w:tc>
          <w:tcPr>
            <w:tcW w:w="1043" w:type="dxa"/>
            <w:vAlign w:val="center"/>
          </w:tcPr>
          <w:p w14:paraId="4AD32480" w14:textId="77777777" w:rsidR="00D80693" w:rsidRPr="007A6FE8" w:rsidRDefault="00D80693" w:rsidP="00D72320">
            <w:pPr>
              <w:rPr>
                <w:sz w:val="18"/>
                <w:szCs w:val="18"/>
              </w:rPr>
            </w:pPr>
            <w:r w:rsidRPr="007A6FE8">
              <w:rPr>
                <w:sz w:val="18"/>
                <w:szCs w:val="18"/>
              </w:rPr>
              <w:t xml:space="preserve">Oui </w:t>
            </w:r>
          </w:p>
        </w:tc>
        <w:tc>
          <w:tcPr>
            <w:tcW w:w="4626" w:type="dxa"/>
            <w:vAlign w:val="center"/>
          </w:tcPr>
          <w:p w14:paraId="212C2DF3" w14:textId="77777777" w:rsidR="00D80693" w:rsidRPr="007A6FE8" w:rsidRDefault="00D80693" w:rsidP="00D72320">
            <w:pPr>
              <w:jc w:val="both"/>
              <w:rPr>
                <w:sz w:val="18"/>
                <w:szCs w:val="18"/>
              </w:rPr>
            </w:pPr>
            <w:r w:rsidRPr="007A6FE8">
              <w:rPr>
                <w:sz w:val="18"/>
                <w:szCs w:val="18"/>
              </w:rPr>
              <w:t xml:space="preserve">Cet indicateur est présent dans les deux modèles, mais </w:t>
            </w:r>
            <w:proofErr w:type="spellStart"/>
            <w:r w:rsidRPr="007A6FE8">
              <w:rPr>
                <w:sz w:val="18"/>
                <w:szCs w:val="18"/>
              </w:rPr>
              <w:t>SimuED</w:t>
            </w:r>
            <w:proofErr w:type="spellEnd"/>
            <w:r w:rsidRPr="007A6FE8">
              <w:rPr>
                <w:sz w:val="18"/>
                <w:szCs w:val="18"/>
              </w:rPr>
              <w:t xml:space="preserve"> détaille davantage les flux entre dépenses courantes et en capital.</w:t>
            </w:r>
          </w:p>
        </w:tc>
      </w:tr>
      <w:tr w:rsidR="00D80693" w:rsidRPr="007A6FE8" w14:paraId="4967E10A" w14:textId="77777777" w:rsidTr="00D72320">
        <w:trPr>
          <w:cantSplit/>
        </w:trPr>
        <w:tc>
          <w:tcPr>
            <w:tcW w:w="1980" w:type="dxa"/>
            <w:vAlign w:val="center"/>
          </w:tcPr>
          <w:p w14:paraId="04EF3C7E" w14:textId="77777777" w:rsidR="00D80693" w:rsidRPr="007A6FE8" w:rsidRDefault="00D80693" w:rsidP="00D72320">
            <w:pPr>
              <w:rPr>
                <w:sz w:val="18"/>
                <w:szCs w:val="18"/>
              </w:rPr>
            </w:pPr>
            <w:r w:rsidRPr="007A6FE8">
              <w:rPr>
                <w:sz w:val="18"/>
                <w:szCs w:val="18"/>
              </w:rPr>
              <w:t>2. Couverture scolaire</w:t>
            </w:r>
          </w:p>
        </w:tc>
        <w:tc>
          <w:tcPr>
            <w:tcW w:w="1411" w:type="dxa"/>
            <w:vAlign w:val="center"/>
          </w:tcPr>
          <w:p w14:paraId="68F060F3" w14:textId="77777777" w:rsidR="00D80693" w:rsidRPr="007A6FE8" w:rsidRDefault="00D80693" w:rsidP="00D72320">
            <w:pPr>
              <w:rPr>
                <w:sz w:val="18"/>
                <w:szCs w:val="18"/>
              </w:rPr>
            </w:pPr>
            <w:r w:rsidRPr="007A6FE8">
              <w:rPr>
                <w:sz w:val="18"/>
                <w:szCs w:val="18"/>
              </w:rPr>
              <w:t xml:space="preserve">Oui </w:t>
            </w:r>
          </w:p>
        </w:tc>
        <w:tc>
          <w:tcPr>
            <w:tcW w:w="1043" w:type="dxa"/>
            <w:vAlign w:val="center"/>
          </w:tcPr>
          <w:p w14:paraId="68C42670" w14:textId="77777777" w:rsidR="00D80693" w:rsidRPr="007A6FE8" w:rsidRDefault="00D80693" w:rsidP="00D72320">
            <w:pPr>
              <w:rPr>
                <w:sz w:val="18"/>
                <w:szCs w:val="18"/>
              </w:rPr>
            </w:pPr>
            <w:r w:rsidRPr="007A6FE8">
              <w:rPr>
                <w:sz w:val="18"/>
                <w:szCs w:val="18"/>
              </w:rPr>
              <w:t xml:space="preserve">Oui </w:t>
            </w:r>
          </w:p>
        </w:tc>
        <w:tc>
          <w:tcPr>
            <w:tcW w:w="4626" w:type="dxa"/>
            <w:vAlign w:val="center"/>
          </w:tcPr>
          <w:p w14:paraId="48038090"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est plus détaillé avec des taux spécifiques pour chaque niveau d'éducation (préscolaire, primaire, secondaire).</w:t>
            </w:r>
          </w:p>
        </w:tc>
      </w:tr>
      <w:tr w:rsidR="00D80693" w:rsidRPr="007A6FE8" w14:paraId="6D12567B" w14:textId="77777777" w:rsidTr="00D72320">
        <w:trPr>
          <w:cantSplit/>
        </w:trPr>
        <w:tc>
          <w:tcPr>
            <w:tcW w:w="1980" w:type="dxa"/>
            <w:vAlign w:val="center"/>
          </w:tcPr>
          <w:p w14:paraId="31311679" w14:textId="77777777" w:rsidR="00D80693" w:rsidRPr="007A6FE8" w:rsidRDefault="00D80693" w:rsidP="00D72320">
            <w:pPr>
              <w:rPr>
                <w:sz w:val="18"/>
                <w:szCs w:val="18"/>
              </w:rPr>
            </w:pPr>
            <w:r w:rsidRPr="007A6FE8">
              <w:rPr>
                <w:sz w:val="18"/>
                <w:szCs w:val="18"/>
              </w:rPr>
              <w:t>-Taux de scolarisation</w:t>
            </w:r>
          </w:p>
        </w:tc>
        <w:tc>
          <w:tcPr>
            <w:tcW w:w="1411" w:type="dxa"/>
            <w:vAlign w:val="center"/>
          </w:tcPr>
          <w:p w14:paraId="4337F1A1" w14:textId="77777777" w:rsidR="00D80693" w:rsidRPr="007A6FE8" w:rsidRDefault="00D80693" w:rsidP="00D72320">
            <w:pPr>
              <w:rPr>
                <w:sz w:val="18"/>
                <w:szCs w:val="18"/>
              </w:rPr>
            </w:pPr>
            <w:r w:rsidRPr="007A6FE8">
              <w:rPr>
                <w:sz w:val="18"/>
                <w:szCs w:val="18"/>
              </w:rPr>
              <w:t>Oui</w:t>
            </w:r>
          </w:p>
        </w:tc>
        <w:tc>
          <w:tcPr>
            <w:tcW w:w="1043" w:type="dxa"/>
            <w:vAlign w:val="center"/>
          </w:tcPr>
          <w:p w14:paraId="543D86E0" w14:textId="77777777" w:rsidR="00D80693" w:rsidRPr="007A6FE8" w:rsidRDefault="00D80693" w:rsidP="00D72320">
            <w:pPr>
              <w:rPr>
                <w:sz w:val="18"/>
                <w:szCs w:val="18"/>
              </w:rPr>
            </w:pPr>
            <w:r w:rsidRPr="007A6FE8">
              <w:rPr>
                <w:sz w:val="18"/>
                <w:szCs w:val="18"/>
              </w:rPr>
              <w:t>Oui</w:t>
            </w:r>
          </w:p>
        </w:tc>
        <w:tc>
          <w:tcPr>
            <w:tcW w:w="4626" w:type="dxa"/>
            <w:vAlign w:val="center"/>
          </w:tcPr>
          <w:p w14:paraId="576C33F6" w14:textId="77777777" w:rsidR="00D80693" w:rsidRPr="007A6FE8" w:rsidRDefault="00D80693" w:rsidP="00D72320">
            <w:pPr>
              <w:jc w:val="both"/>
              <w:rPr>
                <w:sz w:val="18"/>
                <w:szCs w:val="18"/>
              </w:rPr>
            </w:pPr>
            <w:r w:rsidRPr="007A6FE8">
              <w:rPr>
                <w:sz w:val="18"/>
                <w:szCs w:val="18"/>
              </w:rPr>
              <w:t xml:space="preserve">Les deux modèles incluent des taux de scolarisation mais </w:t>
            </w:r>
            <w:proofErr w:type="spellStart"/>
            <w:r w:rsidRPr="007A6FE8">
              <w:rPr>
                <w:sz w:val="18"/>
                <w:szCs w:val="18"/>
              </w:rPr>
              <w:t>SimuED</w:t>
            </w:r>
            <w:proofErr w:type="spellEnd"/>
            <w:r w:rsidRPr="007A6FE8">
              <w:rPr>
                <w:sz w:val="18"/>
                <w:szCs w:val="18"/>
              </w:rPr>
              <w:t xml:space="preserve"> est plus détaillé avec des niveaux spécifiques.</w:t>
            </w:r>
          </w:p>
        </w:tc>
      </w:tr>
      <w:tr w:rsidR="00D80693" w:rsidRPr="007A6FE8" w14:paraId="10430FEE" w14:textId="77777777" w:rsidTr="00D72320">
        <w:trPr>
          <w:cantSplit/>
        </w:trPr>
        <w:tc>
          <w:tcPr>
            <w:tcW w:w="1980" w:type="dxa"/>
            <w:vAlign w:val="center"/>
          </w:tcPr>
          <w:p w14:paraId="738C9F05" w14:textId="77777777" w:rsidR="00D80693" w:rsidRPr="007A6FE8" w:rsidRDefault="00D80693" w:rsidP="00D72320">
            <w:pPr>
              <w:rPr>
                <w:sz w:val="18"/>
                <w:szCs w:val="18"/>
              </w:rPr>
            </w:pPr>
            <w:r w:rsidRPr="007A6FE8">
              <w:rPr>
                <w:sz w:val="18"/>
                <w:szCs w:val="18"/>
              </w:rPr>
              <w:t>-Taux de redoublement</w:t>
            </w:r>
          </w:p>
        </w:tc>
        <w:tc>
          <w:tcPr>
            <w:tcW w:w="1411" w:type="dxa"/>
            <w:vAlign w:val="center"/>
          </w:tcPr>
          <w:p w14:paraId="74BD8A35" w14:textId="77777777" w:rsidR="00D80693" w:rsidRPr="007A6FE8" w:rsidRDefault="00D80693" w:rsidP="00D72320">
            <w:pPr>
              <w:rPr>
                <w:sz w:val="18"/>
                <w:szCs w:val="18"/>
              </w:rPr>
            </w:pPr>
            <w:r w:rsidRPr="007A6FE8">
              <w:rPr>
                <w:sz w:val="18"/>
                <w:szCs w:val="18"/>
              </w:rPr>
              <w:t>Oui</w:t>
            </w:r>
          </w:p>
        </w:tc>
        <w:tc>
          <w:tcPr>
            <w:tcW w:w="1043" w:type="dxa"/>
            <w:vAlign w:val="center"/>
          </w:tcPr>
          <w:p w14:paraId="266C1C26" w14:textId="77777777" w:rsidR="00D80693" w:rsidRPr="007A6FE8" w:rsidRDefault="00D80693" w:rsidP="00D72320">
            <w:pPr>
              <w:rPr>
                <w:sz w:val="18"/>
                <w:szCs w:val="18"/>
              </w:rPr>
            </w:pPr>
            <w:r w:rsidRPr="007A6FE8">
              <w:rPr>
                <w:sz w:val="18"/>
                <w:szCs w:val="18"/>
              </w:rPr>
              <w:t>Oui</w:t>
            </w:r>
          </w:p>
        </w:tc>
        <w:tc>
          <w:tcPr>
            <w:tcW w:w="4626" w:type="dxa"/>
            <w:vAlign w:val="center"/>
          </w:tcPr>
          <w:p w14:paraId="1C80B240"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distingue chaque année scolaire alors que le modèle actuel offre une vue plus globale.</w:t>
            </w:r>
          </w:p>
        </w:tc>
      </w:tr>
      <w:tr w:rsidR="00D80693" w:rsidRPr="007A6FE8" w14:paraId="507DFC3D" w14:textId="77777777" w:rsidTr="00D72320">
        <w:trPr>
          <w:cantSplit/>
        </w:trPr>
        <w:tc>
          <w:tcPr>
            <w:tcW w:w="1980" w:type="dxa"/>
            <w:vAlign w:val="center"/>
          </w:tcPr>
          <w:p w14:paraId="77C6C64B" w14:textId="77777777" w:rsidR="00D80693" w:rsidRPr="007A6FE8" w:rsidRDefault="00D80693" w:rsidP="00D72320">
            <w:pPr>
              <w:rPr>
                <w:sz w:val="18"/>
                <w:szCs w:val="18"/>
              </w:rPr>
            </w:pPr>
            <w:r w:rsidRPr="007A6FE8">
              <w:rPr>
                <w:sz w:val="18"/>
                <w:szCs w:val="18"/>
              </w:rPr>
              <w:t>-Taux d’abandon scolaire</w:t>
            </w:r>
          </w:p>
        </w:tc>
        <w:tc>
          <w:tcPr>
            <w:tcW w:w="1411" w:type="dxa"/>
            <w:vAlign w:val="center"/>
          </w:tcPr>
          <w:p w14:paraId="1FB22B3A" w14:textId="77777777" w:rsidR="00D80693" w:rsidRPr="007A6FE8" w:rsidRDefault="00D80693" w:rsidP="00D72320">
            <w:pPr>
              <w:rPr>
                <w:sz w:val="18"/>
                <w:szCs w:val="18"/>
              </w:rPr>
            </w:pPr>
            <w:r w:rsidRPr="007A6FE8">
              <w:rPr>
                <w:sz w:val="18"/>
                <w:szCs w:val="18"/>
              </w:rPr>
              <w:t>Oui</w:t>
            </w:r>
          </w:p>
        </w:tc>
        <w:tc>
          <w:tcPr>
            <w:tcW w:w="1043" w:type="dxa"/>
            <w:vAlign w:val="center"/>
          </w:tcPr>
          <w:p w14:paraId="11310CD7" w14:textId="77777777" w:rsidR="00D80693" w:rsidRPr="007A6FE8" w:rsidRDefault="00D80693" w:rsidP="00D72320">
            <w:pPr>
              <w:rPr>
                <w:sz w:val="18"/>
                <w:szCs w:val="18"/>
              </w:rPr>
            </w:pPr>
            <w:r w:rsidRPr="007A6FE8">
              <w:rPr>
                <w:sz w:val="18"/>
                <w:szCs w:val="18"/>
              </w:rPr>
              <w:t>Oui</w:t>
            </w:r>
          </w:p>
        </w:tc>
        <w:tc>
          <w:tcPr>
            <w:tcW w:w="4626" w:type="dxa"/>
            <w:vAlign w:val="center"/>
          </w:tcPr>
          <w:p w14:paraId="21C6537F"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propose des détails par année scolaire et par cycle éducatif.</w:t>
            </w:r>
          </w:p>
        </w:tc>
      </w:tr>
      <w:tr w:rsidR="00D80693" w:rsidRPr="007A6FE8" w14:paraId="70AB2E18" w14:textId="77777777" w:rsidTr="00D72320">
        <w:trPr>
          <w:cantSplit/>
        </w:trPr>
        <w:tc>
          <w:tcPr>
            <w:tcW w:w="1980" w:type="dxa"/>
            <w:vAlign w:val="center"/>
          </w:tcPr>
          <w:p w14:paraId="0C42867B" w14:textId="77777777" w:rsidR="00D80693" w:rsidRPr="007A6FE8" w:rsidRDefault="00D80693" w:rsidP="00D72320">
            <w:pPr>
              <w:rPr>
                <w:sz w:val="18"/>
                <w:szCs w:val="18"/>
              </w:rPr>
            </w:pPr>
            <w:r w:rsidRPr="007A6FE8">
              <w:rPr>
                <w:sz w:val="18"/>
                <w:szCs w:val="18"/>
              </w:rPr>
              <w:t>3. Transition entre niveaux</w:t>
            </w:r>
          </w:p>
        </w:tc>
        <w:tc>
          <w:tcPr>
            <w:tcW w:w="1411" w:type="dxa"/>
            <w:vAlign w:val="center"/>
          </w:tcPr>
          <w:p w14:paraId="6F2DD9BF" w14:textId="77777777" w:rsidR="00D80693" w:rsidRPr="007A6FE8" w:rsidRDefault="00D80693" w:rsidP="00D72320">
            <w:pPr>
              <w:rPr>
                <w:sz w:val="18"/>
                <w:szCs w:val="18"/>
              </w:rPr>
            </w:pPr>
            <w:r w:rsidRPr="007A6FE8">
              <w:rPr>
                <w:sz w:val="18"/>
                <w:szCs w:val="18"/>
              </w:rPr>
              <w:t>Oui</w:t>
            </w:r>
          </w:p>
        </w:tc>
        <w:tc>
          <w:tcPr>
            <w:tcW w:w="1043" w:type="dxa"/>
            <w:vAlign w:val="center"/>
          </w:tcPr>
          <w:p w14:paraId="4D077603" w14:textId="77777777" w:rsidR="00D80693" w:rsidRPr="007A6FE8" w:rsidRDefault="00D80693" w:rsidP="00D72320">
            <w:pPr>
              <w:rPr>
                <w:sz w:val="18"/>
                <w:szCs w:val="18"/>
              </w:rPr>
            </w:pPr>
            <w:r w:rsidRPr="007A6FE8">
              <w:rPr>
                <w:sz w:val="18"/>
                <w:szCs w:val="18"/>
              </w:rPr>
              <w:t>Oui</w:t>
            </w:r>
          </w:p>
        </w:tc>
        <w:tc>
          <w:tcPr>
            <w:tcW w:w="4626" w:type="dxa"/>
            <w:vAlign w:val="center"/>
          </w:tcPr>
          <w:p w14:paraId="32473439"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inclut des transitions vers différents cycles éducatifs (général, technique, professionnel) de manière plus détaillée</w:t>
            </w:r>
          </w:p>
        </w:tc>
      </w:tr>
      <w:tr w:rsidR="00D80693" w:rsidRPr="007A6FE8" w14:paraId="6CED66BB" w14:textId="77777777" w:rsidTr="00D72320">
        <w:trPr>
          <w:cantSplit/>
        </w:trPr>
        <w:tc>
          <w:tcPr>
            <w:tcW w:w="1980" w:type="dxa"/>
            <w:vAlign w:val="center"/>
          </w:tcPr>
          <w:p w14:paraId="7214422E" w14:textId="77777777" w:rsidR="00D80693" w:rsidRPr="007A6FE8" w:rsidRDefault="00D80693" w:rsidP="00D72320">
            <w:pPr>
              <w:rPr>
                <w:sz w:val="18"/>
                <w:szCs w:val="18"/>
              </w:rPr>
            </w:pPr>
            <w:r w:rsidRPr="007A6FE8">
              <w:rPr>
                <w:sz w:val="18"/>
                <w:szCs w:val="18"/>
              </w:rPr>
              <w:t>4.Qualité de l’éducation</w:t>
            </w:r>
          </w:p>
        </w:tc>
        <w:tc>
          <w:tcPr>
            <w:tcW w:w="1411" w:type="dxa"/>
            <w:vAlign w:val="center"/>
          </w:tcPr>
          <w:p w14:paraId="0E3BDB78" w14:textId="77777777" w:rsidR="00D80693" w:rsidRPr="007A6FE8" w:rsidRDefault="00D80693" w:rsidP="00D72320">
            <w:pPr>
              <w:rPr>
                <w:sz w:val="18"/>
                <w:szCs w:val="18"/>
              </w:rPr>
            </w:pPr>
            <w:r w:rsidRPr="007A6FE8">
              <w:rPr>
                <w:sz w:val="18"/>
                <w:szCs w:val="18"/>
              </w:rPr>
              <w:t>Oui</w:t>
            </w:r>
          </w:p>
        </w:tc>
        <w:tc>
          <w:tcPr>
            <w:tcW w:w="1043" w:type="dxa"/>
            <w:vAlign w:val="center"/>
          </w:tcPr>
          <w:p w14:paraId="295F4EB5" w14:textId="77777777" w:rsidR="00D80693" w:rsidRPr="007A6FE8" w:rsidRDefault="00D80693" w:rsidP="00D72320">
            <w:pPr>
              <w:rPr>
                <w:sz w:val="18"/>
                <w:szCs w:val="18"/>
              </w:rPr>
            </w:pPr>
            <w:r w:rsidRPr="007A6FE8">
              <w:rPr>
                <w:sz w:val="18"/>
                <w:szCs w:val="18"/>
              </w:rPr>
              <w:t>Oui</w:t>
            </w:r>
          </w:p>
        </w:tc>
        <w:tc>
          <w:tcPr>
            <w:tcW w:w="4626" w:type="dxa"/>
            <w:vAlign w:val="center"/>
          </w:tcPr>
          <w:p w14:paraId="485B2D80"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offre plus de précisions sur la qualité des infrastructures éducatives, des enseignants, et des matières pédagogiques.</w:t>
            </w:r>
          </w:p>
        </w:tc>
      </w:tr>
      <w:tr w:rsidR="00D80693" w:rsidRPr="007A6FE8" w14:paraId="2C1E27F6" w14:textId="77777777" w:rsidTr="00D72320">
        <w:trPr>
          <w:cantSplit/>
        </w:trPr>
        <w:tc>
          <w:tcPr>
            <w:tcW w:w="1980" w:type="dxa"/>
            <w:vAlign w:val="center"/>
          </w:tcPr>
          <w:p w14:paraId="6A8B0EF7" w14:textId="77777777" w:rsidR="00D80693" w:rsidRPr="007A6FE8" w:rsidRDefault="00D80693" w:rsidP="00D72320">
            <w:pPr>
              <w:rPr>
                <w:sz w:val="18"/>
                <w:szCs w:val="18"/>
              </w:rPr>
            </w:pPr>
            <w:r w:rsidRPr="007A6FE8">
              <w:rPr>
                <w:sz w:val="18"/>
                <w:szCs w:val="18"/>
              </w:rPr>
              <w:t>-Ratio élèves/enseignant</w:t>
            </w:r>
          </w:p>
        </w:tc>
        <w:tc>
          <w:tcPr>
            <w:tcW w:w="1411" w:type="dxa"/>
            <w:vAlign w:val="center"/>
          </w:tcPr>
          <w:p w14:paraId="73C9FD75" w14:textId="77777777" w:rsidR="00D80693" w:rsidRPr="007A6FE8" w:rsidRDefault="00D80693" w:rsidP="00D72320">
            <w:pPr>
              <w:rPr>
                <w:sz w:val="18"/>
                <w:szCs w:val="18"/>
              </w:rPr>
            </w:pPr>
            <w:r w:rsidRPr="007A6FE8">
              <w:rPr>
                <w:sz w:val="18"/>
                <w:szCs w:val="18"/>
              </w:rPr>
              <w:t>Oui</w:t>
            </w:r>
          </w:p>
        </w:tc>
        <w:tc>
          <w:tcPr>
            <w:tcW w:w="1043" w:type="dxa"/>
            <w:vAlign w:val="center"/>
          </w:tcPr>
          <w:p w14:paraId="270D68A4" w14:textId="77777777" w:rsidR="00D80693" w:rsidRPr="007A6FE8" w:rsidRDefault="00D80693" w:rsidP="00D72320">
            <w:pPr>
              <w:rPr>
                <w:sz w:val="18"/>
                <w:szCs w:val="18"/>
              </w:rPr>
            </w:pPr>
            <w:r w:rsidRPr="007A6FE8">
              <w:rPr>
                <w:sz w:val="18"/>
                <w:szCs w:val="18"/>
              </w:rPr>
              <w:t>Oui</w:t>
            </w:r>
          </w:p>
        </w:tc>
        <w:tc>
          <w:tcPr>
            <w:tcW w:w="4626" w:type="dxa"/>
            <w:vAlign w:val="center"/>
          </w:tcPr>
          <w:p w14:paraId="48742E39"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inclut également des ratios par type de classe (multigrades, simples).</w:t>
            </w:r>
          </w:p>
        </w:tc>
      </w:tr>
      <w:tr w:rsidR="00D80693" w:rsidRPr="007A6FE8" w14:paraId="07622105" w14:textId="77777777" w:rsidTr="00D72320">
        <w:trPr>
          <w:cantSplit/>
        </w:trPr>
        <w:tc>
          <w:tcPr>
            <w:tcW w:w="1980" w:type="dxa"/>
            <w:vAlign w:val="center"/>
          </w:tcPr>
          <w:p w14:paraId="1BEFC762" w14:textId="77777777" w:rsidR="00D80693" w:rsidRPr="007A6FE8" w:rsidRDefault="00D80693" w:rsidP="00D72320">
            <w:pPr>
              <w:rPr>
                <w:sz w:val="18"/>
                <w:szCs w:val="18"/>
              </w:rPr>
            </w:pPr>
            <w:r w:rsidRPr="007A6FE8">
              <w:rPr>
                <w:sz w:val="18"/>
                <w:szCs w:val="18"/>
              </w:rPr>
              <w:t>-Coût unitaire de fonctionnement</w:t>
            </w:r>
          </w:p>
        </w:tc>
        <w:tc>
          <w:tcPr>
            <w:tcW w:w="1411" w:type="dxa"/>
            <w:vAlign w:val="center"/>
          </w:tcPr>
          <w:p w14:paraId="58C0CB39" w14:textId="77777777" w:rsidR="00D80693" w:rsidRPr="007A6FE8" w:rsidRDefault="00D80693" w:rsidP="00D72320">
            <w:pPr>
              <w:rPr>
                <w:sz w:val="18"/>
                <w:szCs w:val="18"/>
              </w:rPr>
            </w:pPr>
            <w:r w:rsidRPr="007A6FE8">
              <w:rPr>
                <w:sz w:val="18"/>
                <w:szCs w:val="18"/>
              </w:rPr>
              <w:t>Oui</w:t>
            </w:r>
          </w:p>
        </w:tc>
        <w:tc>
          <w:tcPr>
            <w:tcW w:w="1043" w:type="dxa"/>
            <w:vAlign w:val="center"/>
          </w:tcPr>
          <w:p w14:paraId="774134A0" w14:textId="77777777" w:rsidR="00D80693" w:rsidRPr="007A6FE8" w:rsidRDefault="00D80693" w:rsidP="00D72320">
            <w:pPr>
              <w:rPr>
                <w:sz w:val="18"/>
                <w:szCs w:val="18"/>
              </w:rPr>
            </w:pPr>
            <w:r w:rsidRPr="007A6FE8">
              <w:rPr>
                <w:sz w:val="18"/>
                <w:szCs w:val="18"/>
              </w:rPr>
              <w:t>Oui</w:t>
            </w:r>
          </w:p>
        </w:tc>
        <w:tc>
          <w:tcPr>
            <w:tcW w:w="4626" w:type="dxa"/>
            <w:vAlign w:val="center"/>
          </w:tcPr>
          <w:p w14:paraId="1B8CE60C"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est plus détaillé avec des coûts par type d'établissement et d'équipement.</w:t>
            </w:r>
          </w:p>
        </w:tc>
      </w:tr>
      <w:tr w:rsidR="00D80693" w:rsidRPr="007A6FE8" w14:paraId="5902D42B" w14:textId="77777777" w:rsidTr="00D72320">
        <w:trPr>
          <w:cantSplit/>
        </w:trPr>
        <w:tc>
          <w:tcPr>
            <w:tcW w:w="1980" w:type="dxa"/>
            <w:vAlign w:val="center"/>
          </w:tcPr>
          <w:p w14:paraId="5A997B4E" w14:textId="77777777" w:rsidR="00D80693" w:rsidRPr="007A6FE8" w:rsidRDefault="00D80693" w:rsidP="00D72320">
            <w:pPr>
              <w:rPr>
                <w:sz w:val="18"/>
                <w:szCs w:val="18"/>
              </w:rPr>
            </w:pPr>
            <w:r w:rsidRPr="007A6FE8">
              <w:rPr>
                <w:sz w:val="18"/>
                <w:szCs w:val="18"/>
              </w:rPr>
              <w:t>5.Infrastructure et équipement</w:t>
            </w:r>
          </w:p>
        </w:tc>
        <w:tc>
          <w:tcPr>
            <w:tcW w:w="1411" w:type="dxa"/>
            <w:vAlign w:val="center"/>
          </w:tcPr>
          <w:p w14:paraId="4D1C4BE8" w14:textId="77777777" w:rsidR="00D80693" w:rsidRPr="007A6FE8" w:rsidRDefault="00D80693" w:rsidP="00D72320">
            <w:pPr>
              <w:rPr>
                <w:sz w:val="18"/>
                <w:szCs w:val="18"/>
              </w:rPr>
            </w:pPr>
            <w:r w:rsidRPr="007A6FE8">
              <w:rPr>
                <w:sz w:val="18"/>
                <w:szCs w:val="18"/>
              </w:rPr>
              <w:t>Oui</w:t>
            </w:r>
          </w:p>
        </w:tc>
        <w:tc>
          <w:tcPr>
            <w:tcW w:w="1043" w:type="dxa"/>
            <w:vAlign w:val="center"/>
          </w:tcPr>
          <w:p w14:paraId="5198E4B0" w14:textId="77777777" w:rsidR="00D80693" w:rsidRPr="007A6FE8" w:rsidRDefault="00D80693" w:rsidP="00D72320">
            <w:pPr>
              <w:rPr>
                <w:sz w:val="18"/>
                <w:szCs w:val="18"/>
              </w:rPr>
            </w:pPr>
            <w:r w:rsidRPr="007A6FE8">
              <w:rPr>
                <w:sz w:val="18"/>
                <w:szCs w:val="18"/>
              </w:rPr>
              <w:t>Oui</w:t>
            </w:r>
          </w:p>
        </w:tc>
        <w:tc>
          <w:tcPr>
            <w:tcW w:w="4626" w:type="dxa"/>
            <w:vAlign w:val="center"/>
          </w:tcPr>
          <w:p w14:paraId="718A12DE"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inclut des indicateurs sur l’équipement des laboratoires, cantines, et l’accès aux technologies (ex : informatique).</w:t>
            </w:r>
          </w:p>
        </w:tc>
      </w:tr>
      <w:tr w:rsidR="00D80693" w:rsidRPr="007A6FE8" w14:paraId="68AAA9CA" w14:textId="77777777" w:rsidTr="00D72320">
        <w:trPr>
          <w:cantSplit/>
        </w:trPr>
        <w:tc>
          <w:tcPr>
            <w:tcW w:w="1980" w:type="dxa"/>
            <w:vAlign w:val="center"/>
          </w:tcPr>
          <w:p w14:paraId="5C9269D5" w14:textId="77777777" w:rsidR="00D80693" w:rsidRPr="007A6FE8" w:rsidRDefault="00D80693" w:rsidP="00D72320">
            <w:pPr>
              <w:rPr>
                <w:sz w:val="18"/>
                <w:szCs w:val="18"/>
              </w:rPr>
            </w:pPr>
            <w:r w:rsidRPr="007A6FE8">
              <w:rPr>
                <w:sz w:val="18"/>
                <w:szCs w:val="18"/>
              </w:rPr>
              <w:t>6. Inclusion et équité</w:t>
            </w:r>
          </w:p>
        </w:tc>
        <w:tc>
          <w:tcPr>
            <w:tcW w:w="1411" w:type="dxa"/>
            <w:vAlign w:val="center"/>
          </w:tcPr>
          <w:p w14:paraId="77F30603" w14:textId="77777777" w:rsidR="00D80693" w:rsidRPr="007A6FE8" w:rsidRDefault="00D80693" w:rsidP="00D72320">
            <w:pPr>
              <w:rPr>
                <w:sz w:val="18"/>
                <w:szCs w:val="18"/>
              </w:rPr>
            </w:pPr>
            <w:r w:rsidRPr="007A6FE8">
              <w:rPr>
                <w:sz w:val="18"/>
                <w:szCs w:val="18"/>
              </w:rPr>
              <w:t xml:space="preserve">Oui </w:t>
            </w:r>
          </w:p>
        </w:tc>
        <w:tc>
          <w:tcPr>
            <w:tcW w:w="1043" w:type="dxa"/>
            <w:vAlign w:val="center"/>
          </w:tcPr>
          <w:p w14:paraId="413AA809" w14:textId="77777777" w:rsidR="00D80693" w:rsidRPr="007A6FE8" w:rsidRDefault="00D80693" w:rsidP="00D72320">
            <w:pPr>
              <w:rPr>
                <w:sz w:val="18"/>
                <w:szCs w:val="18"/>
              </w:rPr>
            </w:pPr>
            <w:r w:rsidRPr="007A6FE8">
              <w:rPr>
                <w:sz w:val="18"/>
                <w:szCs w:val="18"/>
              </w:rPr>
              <w:t>Oui</w:t>
            </w:r>
          </w:p>
        </w:tc>
        <w:tc>
          <w:tcPr>
            <w:tcW w:w="4626" w:type="dxa"/>
            <w:vAlign w:val="center"/>
          </w:tcPr>
          <w:p w14:paraId="024D405C" w14:textId="77777777" w:rsidR="00D80693" w:rsidRPr="007A6FE8" w:rsidRDefault="00D80693" w:rsidP="00D72320">
            <w:pPr>
              <w:jc w:val="both"/>
              <w:rPr>
                <w:sz w:val="18"/>
                <w:szCs w:val="18"/>
              </w:rPr>
            </w:pPr>
            <w:r w:rsidRPr="007A6FE8">
              <w:rPr>
                <w:sz w:val="18"/>
                <w:szCs w:val="18"/>
              </w:rPr>
              <w:t xml:space="preserve">Les deux modèles présentent des aspects d'inclusion mais </w:t>
            </w:r>
            <w:proofErr w:type="spellStart"/>
            <w:r w:rsidRPr="007A6FE8">
              <w:rPr>
                <w:sz w:val="18"/>
                <w:szCs w:val="18"/>
              </w:rPr>
              <w:t>SimuED</w:t>
            </w:r>
            <w:proofErr w:type="spellEnd"/>
            <w:r w:rsidRPr="007A6FE8">
              <w:rPr>
                <w:sz w:val="18"/>
                <w:szCs w:val="18"/>
              </w:rPr>
              <w:t xml:space="preserve"> fournit des détails plus spécifiques sur les élèves vulnérables et les zones rurales.</w:t>
            </w:r>
          </w:p>
        </w:tc>
      </w:tr>
      <w:tr w:rsidR="00D80693" w:rsidRPr="007A6FE8" w14:paraId="65FB89CD" w14:textId="77777777" w:rsidTr="00D72320">
        <w:trPr>
          <w:cantSplit/>
        </w:trPr>
        <w:tc>
          <w:tcPr>
            <w:tcW w:w="1980" w:type="dxa"/>
            <w:vAlign w:val="center"/>
          </w:tcPr>
          <w:p w14:paraId="76409634" w14:textId="77777777" w:rsidR="00D80693" w:rsidRPr="007A6FE8" w:rsidRDefault="00D80693" w:rsidP="00D72320">
            <w:pPr>
              <w:rPr>
                <w:sz w:val="18"/>
                <w:szCs w:val="18"/>
              </w:rPr>
            </w:pPr>
            <w:r w:rsidRPr="007A6FE8">
              <w:rPr>
                <w:sz w:val="18"/>
                <w:szCs w:val="18"/>
              </w:rPr>
              <w:t>7.Financement de l’éducation</w:t>
            </w:r>
          </w:p>
        </w:tc>
        <w:tc>
          <w:tcPr>
            <w:tcW w:w="1411" w:type="dxa"/>
            <w:vAlign w:val="center"/>
          </w:tcPr>
          <w:p w14:paraId="26CF4858" w14:textId="77777777" w:rsidR="00D80693" w:rsidRPr="007A6FE8" w:rsidRDefault="00D80693" w:rsidP="00D72320">
            <w:pPr>
              <w:rPr>
                <w:sz w:val="18"/>
                <w:szCs w:val="18"/>
              </w:rPr>
            </w:pPr>
            <w:r w:rsidRPr="007A6FE8">
              <w:rPr>
                <w:sz w:val="18"/>
                <w:szCs w:val="18"/>
              </w:rPr>
              <w:t>Oui</w:t>
            </w:r>
          </w:p>
        </w:tc>
        <w:tc>
          <w:tcPr>
            <w:tcW w:w="1043" w:type="dxa"/>
            <w:vAlign w:val="center"/>
          </w:tcPr>
          <w:p w14:paraId="791730C1" w14:textId="77777777" w:rsidR="00D80693" w:rsidRPr="007A6FE8" w:rsidRDefault="00D80693" w:rsidP="00D72320">
            <w:pPr>
              <w:rPr>
                <w:sz w:val="18"/>
                <w:szCs w:val="18"/>
              </w:rPr>
            </w:pPr>
            <w:r w:rsidRPr="007A6FE8">
              <w:rPr>
                <w:sz w:val="18"/>
                <w:szCs w:val="18"/>
              </w:rPr>
              <w:t>Oui</w:t>
            </w:r>
          </w:p>
        </w:tc>
        <w:tc>
          <w:tcPr>
            <w:tcW w:w="4626" w:type="dxa"/>
            <w:vAlign w:val="center"/>
          </w:tcPr>
          <w:p w14:paraId="09B665AF" w14:textId="77777777" w:rsidR="00D80693" w:rsidRPr="007A6FE8" w:rsidRDefault="00D80693" w:rsidP="00D72320">
            <w:pPr>
              <w:jc w:val="both"/>
              <w:rPr>
                <w:sz w:val="18"/>
                <w:szCs w:val="18"/>
              </w:rPr>
            </w:pPr>
            <w:proofErr w:type="spellStart"/>
            <w:r w:rsidRPr="007A6FE8">
              <w:rPr>
                <w:sz w:val="18"/>
                <w:szCs w:val="18"/>
              </w:rPr>
              <w:t>SimuED</w:t>
            </w:r>
            <w:proofErr w:type="spellEnd"/>
            <w:r w:rsidRPr="007A6FE8">
              <w:rPr>
                <w:sz w:val="18"/>
                <w:szCs w:val="18"/>
              </w:rPr>
              <w:t xml:space="preserve"> propose des détails sur les dépenses par élève, les coûts unitaires et la répartition budgétaire pour chaque cycle éducatif.</w:t>
            </w:r>
          </w:p>
          <w:p w14:paraId="3567B0EF" w14:textId="77777777" w:rsidR="00D80693" w:rsidRPr="007A6FE8" w:rsidRDefault="00D80693" w:rsidP="00D72320">
            <w:pPr>
              <w:jc w:val="both"/>
              <w:rPr>
                <w:sz w:val="18"/>
                <w:szCs w:val="18"/>
              </w:rPr>
            </w:pPr>
            <w:r w:rsidRPr="007A6FE8">
              <w:rPr>
                <w:sz w:val="18"/>
                <w:szCs w:val="18"/>
              </w:rPr>
              <w:t>Il détaille davantage la répartition entre les dépenses courantes et les investissements.</w:t>
            </w:r>
          </w:p>
        </w:tc>
      </w:tr>
    </w:tbl>
    <w:p w14:paraId="7DE27A86" w14:textId="77777777" w:rsidR="00D80693" w:rsidRPr="0007424B" w:rsidRDefault="00D80693" w:rsidP="00D80693">
      <w:pPr>
        <w:jc w:val="center"/>
        <w:rPr>
          <w:rFonts w:eastAsia="Aptos"/>
          <w:i/>
          <w:iCs/>
          <w:kern w:val="2"/>
          <w14:ligatures w14:val="standardContextual"/>
        </w:rPr>
      </w:pPr>
      <w:proofErr w:type="gramStart"/>
      <w:r w:rsidRPr="0007424B">
        <w:rPr>
          <w:rFonts w:eastAsia="Aptos"/>
          <w:i/>
          <w:iCs/>
          <w:kern w:val="2"/>
          <w14:ligatures w14:val="standardContextual"/>
        </w:rPr>
        <w:t>Source:</w:t>
      </w:r>
      <w:proofErr w:type="gramEnd"/>
      <w:r w:rsidRPr="0007424B">
        <w:rPr>
          <w:rFonts w:eastAsia="Aptos"/>
          <w:i/>
          <w:iCs/>
          <w:kern w:val="2"/>
          <w14:ligatures w14:val="standardContextual"/>
        </w:rPr>
        <w:t xml:space="preserve"> S</w:t>
      </w:r>
      <w:r>
        <w:rPr>
          <w:rFonts w:eastAsia="Aptos"/>
          <w:i/>
          <w:iCs/>
          <w:kern w:val="2"/>
          <w14:ligatures w14:val="standardContextual"/>
        </w:rPr>
        <w:t>avadogo</w:t>
      </w:r>
      <w:r w:rsidRPr="0007424B">
        <w:rPr>
          <w:rFonts w:eastAsia="Aptos"/>
          <w:i/>
          <w:iCs/>
          <w:kern w:val="2"/>
          <w14:ligatures w14:val="standardContextual"/>
        </w:rPr>
        <w:t>, Y. A.  (2024)</w:t>
      </w:r>
    </w:p>
    <w:p w14:paraId="70F7934C"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En comparant les indicateurs des deux modèles, il en résulte que les deux modèles partagent certes les mêmes catégories d'indicateurs mais différent en termes de détails.</w:t>
      </w:r>
    </w:p>
    <w:p w14:paraId="64DAAF89" w14:textId="77777777" w:rsidR="00D80693" w:rsidRPr="000F56DC" w:rsidRDefault="00D80693" w:rsidP="00D80693">
      <w:pPr>
        <w:jc w:val="both"/>
        <w:rPr>
          <w:rFonts w:eastAsia="Aptos"/>
          <w:kern w:val="2"/>
          <w14:ligatures w14:val="standardContextual"/>
        </w:rPr>
      </w:pPr>
    </w:p>
    <w:p w14:paraId="348D0E63" w14:textId="77777777" w:rsidR="00D80693" w:rsidRPr="00A366A7" w:rsidRDefault="00D80693" w:rsidP="00D80693">
      <w:pPr>
        <w:pStyle w:val="Paragraphedeliste"/>
        <w:widowControl/>
        <w:numPr>
          <w:ilvl w:val="1"/>
          <w:numId w:val="142"/>
        </w:numPr>
        <w:autoSpaceDE/>
        <w:autoSpaceDN/>
        <w:spacing w:before="0"/>
        <w:contextualSpacing/>
        <w:rPr>
          <w:rFonts w:eastAsia="Aptos"/>
          <w:b/>
          <w:bCs/>
          <w:kern w:val="2"/>
          <w:sz w:val="24"/>
          <w:szCs w:val="24"/>
          <w14:ligatures w14:val="standardContextual"/>
        </w:rPr>
      </w:pPr>
      <w:r w:rsidRPr="00A366A7">
        <w:rPr>
          <w:rFonts w:eastAsia="Aptos"/>
          <w:b/>
          <w:bCs/>
          <w:kern w:val="2"/>
          <w:sz w:val="24"/>
          <w:szCs w:val="24"/>
          <w14:ligatures w14:val="standardContextual"/>
        </w:rPr>
        <w:t>Prise en compte de l’EFTP dans les deux modèles</w:t>
      </w:r>
    </w:p>
    <w:p w14:paraId="226DA9DC" w14:textId="77777777" w:rsidR="00D80693" w:rsidRPr="00260964" w:rsidRDefault="00D80693" w:rsidP="00813D27">
      <w:pPr>
        <w:spacing w:before="240"/>
        <w:jc w:val="both"/>
        <w:rPr>
          <w:rFonts w:eastAsia="Aptos"/>
          <w:kern w:val="2"/>
          <w:sz w:val="24"/>
          <w:szCs w:val="24"/>
          <w14:ligatures w14:val="standardContextual"/>
        </w:rPr>
      </w:pP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tout comme le modèle de simulation du Burkina Faso prennent en compte toutes les composantes du système éducatif dont l’EFTP avec ses différents cycles d’enseignement. Cependant,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semble plus structuré dans la prise en compte des différents niveaux d’enseignement que le modèle Burkinabè. L’image 3 présente une vue d’ensemble des différents composants du système éducatif telles que structurées dans la feuille système 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Une structuration aussi claire des composantes du système éducatif ne peut pas être mis en évidence dans le modèle spécifique national.</w:t>
      </w:r>
    </w:p>
    <w:p w14:paraId="641A11BF" w14:textId="77777777" w:rsidR="00D80693" w:rsidRPr="00C5175C" w:rsidRDefault="00D80693" w:rsidP="00D80693">
      <w:pPr>
        <w:keepNext/>
        <w:jc w:val="center"/>
        <w:rPr>
          <w:rFonts w:eastAsia="Calibri"/>
          <w:b/>
          <w:bCs/>
          <w:i/>
        </w:rPr>
      </w:pPr>
      <w:bookmarkStart w:id="20" w:name="_Toc181606824"/>
      <w:r w:rsidRPr="00C5175C">
        <w:rPr>
          <w:rFonts w:eastAsia="Calibri"/>
          <w:b/>
          <w:bCs/>
          <w:i/>
        </w:rPr>
        <w:t>Image</w:t>
      </w:r>
      <w:r>
        <w:rPr>
          <w:rFonts w:eastAsia="Calibri"/>
          <w:b/>
          <w:bCs/>
          <w:i/>
        </w:rPr>
        <w:t xml:space="preserve"> n°3</w:t>
      </w:r>
      <w:r w:rsidRPr="00C5175C">
        <w:rPr>
          <w:rFonts w:eastAsia="Calibri"/>
          <w:b/>
          <w:bCs/>
          <w:i/>
        </w:rPr>
        <w:t xml:space="preserve"> : </w:t>
      </w:r>
      <w:r>
        <w:rPr>
          <w:rFonts w:eastAsia="Calibri"/>
          <w:b/>
          <w:bCs/>
          <w:i/>
        </w:rPr>
        <w:t>v</w:t>
      </w:r>
      <w:r w:rsidRPr="00C5175C">
        <w:rPr>
          <w:rFonts w:eastAsia="Calibri"/>
          <w:b/>
          <w:bCs/>
          <w:i/>
        </w:rPr>
        <w:t xml:space="preserve">ue d’ensemble des composantes du système éducatif dans </w:t>
      </w:r>
      <w:proofErr w:type="spellStart"/>
      <w:r w:rsidRPr="00C5175C">
        <w:rPr>
          <w:rFonts w:eastAsia="Calibri"/>
          <w:b/>
          <w:bCs/>
          <w:i/>
        </w:rPr>
        <w:t>simuED</w:t>
      </w:r>
      <w:bookmarkEnd w:id="20"/>
      <w:proofErr w:type="spellEnd"/>
    </w:p>
    <w:p w14:paraId="5727A866" w14:textId="77777777" w:rsidR="00D80693" w:rsidRPr="00C5175C" w:rsidRDefault="00D80693" w:rsidP="00D80693">
      <w:pPr>
        <w:spacing w:line="360" w:lineRule="auto"/>
        <w:jc w:val="center"/>
        <w:rPr>
          <w:rFonts w:ascii="Aptos" w:eastAsia="Aptos" w:hAnsi="Aptos"/>
          <w:kern w:val="2"/>
          <w:szCs w:val="24"/>
          <w14:ligatures w14:val="standardContextual"/>
        </w:rPr>
      </w:pPr>
      <w:r w:rsidRPr="00D54F7B">
        <w:rPr>
          <w:noProof/>
          <w:lang w:val="fr-SN" w:eastAsia="fr-SN"/>
        </w:rPr>
        <w:drawing>
          <wp:inline distT="0" distB="0" distL="0" distR="0" wp14:anchorId="48F1D712" wp14:editId="00D4B984">
            <wp:extent cx="4924705" cy="3884311"/>
            <wp:effectExtent l="0" t="0" r="9525" b="1905"/>
            <wp:docPr id="977933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33351" name="Picture 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944294" cy="3899762"/>
                    </a:xfrm>
                    <a:prstGeom prst="rect">
                      <a:avLst/>
                    </a:prstGeom>
                    <a:noFill/>
                    <a:ln>
                      <a:noFill/>
                    </a:ln>
                  </pic:spPr>
                </pic:pic>
              </a:graphicData>
            </a:graphic>
          </wp:inline>
        </w:drawing>
      </w:r>
    </w:p>
    <w:p w14:paraId="27742CFE" w14:textId="77777777" w:rsidR="00D80693" w:rsidRPr="005B6212" w:rsidRDefault="00D80693" w:rsidP="00D80693">
      <w:pPr>
        <w:spacing w:line="360" w:lineRule="auto"/>
        <w:jc w:val="center"/>
        <w:rPr>
          <w:rFonts w:eastAsia="Aptos"/>
          <w:i/>
          <w:iCs/>
          <w:kern w:val="2"/>
          <w:szCs w:val="24"/>
          <w14:ligatures w14:val="standardContextual"/>
        </w:rPr>
      </w:pPr>
      <w:r w:rsidRPr="005B6212">
        <w:rPr>
          <w:rFonts w:eastAsia="Aptos"/>
          <w:i/>
          <w:iCs/>
          <w:kern w:val="2"/>
          <w:szCs w:val="24"/>
          <w14:ligatures w14:val="standardContextual"/>
        </w:rPr>
        <w:t xml:space="preserve">Extrait de la feuille système de </w:t>
      </w:r>
      <w:proofErr w:type="spellStart"/>
      <w:r w:rsidRPr="005B6212">
        <w:rPr>
          <w:rFonts w:eastAsia="Aptos"/>
          <w:i/>
          <w:iCs/>
          <w:kern w:val="2"/>
          <w:szCs w:val="24"/>
          <w14:ligatures w14:val="standardContextual"/>
        </w:rPr>
        <w:t>simuED</w:t>
      </w:r>
      <w:proofErr w:type="spellEnd"/>
      <w:r w:rsidRPr="005B6212">
        <w:rPr>
          <w:rFonts w:eastAsia="Aptos"/>
          <w:i/>
          <w:iCs/>
          <w:kern w:val="2"/>
          <w:szCs w:val="24"/>
          <w14:ligatures w14:val="standardContextual"/>
        </w:rPr>
        <w:t xml:space="preserve"> 3.0 </w:t>
      </w:r>
      <w:proofErr w:type="spellStart"/>
      <w:r w:rsidRPr="005B6212">
        <w:rPr>
          <w:rFonts w:eastAsia="Aptos"/>
          <w:i/>
          <w:iCs/>
          <w:kern w:val="2"/>
          <w:szCs w:val="24"/>
          <w14:ligatures w14:val="standardContextual"/>
        </w:rPr>
        <w:t>sample</w:t>
      </w:r>
      <w:proofErr w:type="spellEnd"/>
      <w:r w:rsidRPr="005B6212">
        <w:rPr>
          <w:rFonts w:eastAsia="Aptos"/>
          <w:i/>
          <w:iCs/>
          <w:kern w:val="2"/>
          <w:szCs w:val="24"/>
          <w14:ligatures w14:val="standardContextual"/>
        </w:rPr>
        <w:t xml:space="preserve"> IIPE-UNESCO Paris</w:t>
      </w:r>
    </w:p>
    <w:p w14:paraId="2EEEE13E"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Après avoir établi la structure de l'EFTP dans les deux modèles, il convient d'examiner dans quelle mesure les acteurs interrogés sont conscients des défis de ce secteur et familiarisés avec les outils de simulation tels que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w:t>
      </w:r>
    </w:p>
    <w:p w14:paraId="1D43E09E" w14:textId="77777777" w:rsidR="00D80693" w:rsidRDefault="00D80693" w:rsidP="00D80693">
      <w:pPr>
        <w:jc w:val="both"/>
        <w:rPr>
          <w:rFonts w:eastAsia="Aptos"/>
          <w:kern w:val="2"/>
          <w14:ligatures w14:val="standardContextual"/>
        </w:rPr>
      </w:pPr>
    </w:p>
    <w:p w14:paraId="500CBFC0" w14:textId="77777777" w:rsidR="00D80693" w:rsidRPr="00A366A7" w:rsidRDefault="00D80693" w:rsidP="00D80693">
      <w:pPr>
        <w:pStyle w:val="Paragraphedeliste"/>
        <w:widowControl/>
        <w:numPr>
          <w:ilvl w:val="1"/>
          <w:numId w:val="142"/>
        </w:numPr>
        <w:autoSpaceDE/>
        <w:autoSpaceDN/>
        <w:spacing w:before="0"/>
        <w:contextualSpacing/>
        <w:rPr>
          <w:rFonts w:eastAsia="Aptos"/>
          <w:b/>
          <w:bCs/>
          <w:kern w:val="2"/>
          <w:sz w:val="24"/>
          <w:szCs w:val="24"/>
          <w14:ligatures w14:val="standardContextual"/>
        </w:rPr>
      </w:pPr>
      <w:r w:rsidRPr="00A366A7">
        <w:rPr>
          <w:b/>
          <w:bCs/>
        </w:rPr>
        <w:t xml:space="preserve"> </w:t>
      </w:r>
      <w:r w:rsidRPr="00A366A7">
        <w:rPr>
          <w:b/>
          <w:bCs/>
          <w:sz w:val="24"/>
          <w:szCs w:val="24"/>
        </w:rPr>
        <w:t>Connaissance des défis de l'EFTP et familiarité avec les outils de simulation</w:t>
      </w:r>
    </w:p>
    <w:p w14:paraId="142504FD" w14:textId="77777777" w:rsidR="00D80693" w:rsidRPr="00260964" w:rsidRDefault="00D80693" w:rsidP="00813D27">
      <w:pPr>
        <w:spacing w:before="100" w:beforeAutospacing="1" w:after="100" w:afterAutospacing="1"/>
        <w:jc w:val="both"/>
        <w:rPr>
          <w:sz w:val="24"/>
          <w:szCs w:val="24"/>
        </w:rPr>
      </w:pPr>
      <w:r w:rsidRPr="00260964">
        <w:rPr>
          <w:sz w:val="24"/>
          <w:szCs w:val="24"/>
        </w:rPr>
        <w:t xml:space="preserve">Les résultats de l'enquête montrent une forte capacité des acteurs éducatifs à identifier les défis structurels de l'enseignement et la formation techniques et professionnels (EFTP) au Burkina Faso. En revanche, une méconnaissance marquée des outils de simulation des politiques éducatives, en particulier du modèle </w:t>
      </w:r>
      <w:proofErr w:type="spellStart"/>
      <w:r w:rsidRPr="00260964">
        <w:rPr>
          <w:sz w:val="24"/>
          <w:szCs w:val="24"/>
        </w:rPr>
        <w:t>SimuED</w:t>
      </w:r>
      <w:proofErr w:type="spellEnd"/>
      <w:r w:rsidRPr="00260964">
        <w:rPr>
          <w:sz w:val="24"/>
          <w:szCs w:val="24"/>
        </w:rPr>
        <w:t xml:space="preserve">, est observée. </w:t>
      </w:r>
    </w:p>
    <w:p w14:paraId="6B3D2863" w14:textId="77777777" w:rsidR="00D80693" w:rsidRPr="00260964" w:rsidRDefault="00D80693" w:rsidP="00D80693">
      <w:pPr>
        <w:pStyle w:val="Paragraphedeliste"/>
        <w:widowControl/>
        <w:numPr>
          <w:ilvl w:val="2"/>
          <w:numId w:val="142"/>
        </w:numPr>
        <w:autoSpaceDE/>
        <w:autoSpaceDN/>
        <w:spacing w:before="100" w:beforeAutospacing="1" w:after="100" w:afterAutospacing="1"/>
        <w:contextualSpacing/>
        <w:rPr>
          <w:b/>
          <w:bCs/>
          <w:i/>
          <w:iCs/>
          <w:sz w:val="24"/>
          <w:szCs w:val="24"/>
        </w:rPr>
      </w:pPr>
      <w:r w:rsidRPr="00260964">
        <w:rPr>
          <w:b/>
          <w:bCs/>
          <w:i/>
          <w:iCs/>
          <w:sz w:val="24"/>
          <w:szCs w:val="24"/>
        </w:rPr>
        <w:t>Une bonne compréhension des défis de l'EFTP</w:t>
      </w:r>
    </w:p>
    <w:p w14:paraId="24434CF0" w14:textId="77777777" w:rsidR="00D80693" w:rsidRPr="00260964" w:rsidRDefault="00D80693" w:rsidP="00813D27">
      <w:pPr>
        <w:spacing w:before="100" w:beforeAutospacing="1" w:after="100" w:afterAutospacing="1"/>
        <w:jc w:val="both"/>
        <w:rPr>
          <w:color w:val="FF0000"/>
          <w:sz w:val="24"/>
          <w:szCs w:val="24"/>
        </w:rPr>
      </w:pPr>
      <w:r w:rsidRPr="00260964">
        <w:rPr>
          <w:sz w:val="24"/>
          <w:szCs w:val="24"/>
        </w:rPr>
        <w:t>L'enquête met en évidence la capacité des acteurs à identifier les défis de l’EFTP. Les réponses ont été résumées en six principaux axes d’analyse :</w:t>
      </w:r>
    </w:p>
    <w:p w14:paraId="44EB471D" w14:textId="77777777" w:rsidR="00D80693" w:rsidRPr="00260964" w:rsidRDefault="00D80693" w:rsidP="00D80693">
      <w:pPr>
        <w:widowControl/>
        <w:numPr>
          <w:ilvl w:val="0"/>
          <w:numId w:val="143"/>
        </w:numPr>
        <w:autoSpaceDE/>
        <w:autoSpaceDN/>
        <w:spacing w:before="100" w:beforeAutospacing="1" w:after="100" w:afterAutospacing="1"/>
        <w:jc w:val="both"/>
        <w:rPr>
          <w:sz w:val="24"/>
          <w:szCs w:val="24"/>
        </w:rPr>
      </w:pPr>
      <w:proofErr w:type="gramStart"/>
      <w:r w:rsidRPr="00260964">
        <w:rPr>
          <w:sz w:val="24"/>
          <w:szCs w:val="24"/>
        </w:rPr>
        <w:t>la</w:t>
      </w:r>
      <w:proofErr w:type="gramEnd"/>
      <w:r w:rsidRPr="00260964">
        <w:rPr>
          <w:sz w:val="24"/>
          <w:szCs w:val="24"/>
        </w:rPr>
        <w:t xml:space="preserve"> gouvernance éclatée entre plusieurs ministères, rendant la coordination difficile ;</w:t>
      </w:r>
    </w:p>
    <w:p w14:paraId="1113F8A8" w14:textId="77777777" w:rsidR="00D80693" w:rsidRPr="00260964" w:rsidRDefault="00D80693" w:rsidP="00D80693">
      <w:pPr>
        <w:widowControl/>
        <w:numPr>
          <w:ilvl w:val="0"/>
          <w:numId w:val="143"/>
        </w:numPr>
        <w:autoSpaceDE/>
        <w:autoSpaceDN/>
        <w:spacing w:before="100" w:beforeAutospacing="1" w:after="100" w:afterAutospacing="1"/>
        <w:jc w:val="both"/>
        <w:rPr>
          <w:sz w:val="24"/>
          <w:szCs w:val="24"/>
        </w:rPr>
      </w:pPr>
      <w:proofErr w:type="gramStart"/>
      <w:r w:rsidRPr="00260964">
        <w:rPr>
          <w:sz w:val="24"/>
          <w:szCs w:val="24"/>
        </w:rPr>
        <w:t>l'inadéquation</w:t>
      </w:r>
      <w:proofErr w:type="gramEnd"/>
      <w:r w:rsidRPr="00260964">
        <w:rPr>
          <w:sz w:val="24"/>
          <w:szCs w:val="24"/>
        </w:rPr>
        <w:t xml:space="preserve"> avec le marché du travail, avec une formation qui ne correspond pas toujours aux besoins des employeurs ;</w:t>
      </w:r>
    </w:p>
    <w:p w14:paraId="463705B2" w14:textId="77777777" w:rsidR="00D80693" w:rsidRPr="00260964" w:rsidRDefault="00D80693" w:rsidP="00D80693">
      <w:pPr>
        <w:widowControl/>
        <w:numPr>
          <w:ilvl w:val="0"/>
          <w:numId w:val="143"/>
        </w:numPr>
        <w:autoSpaceDE/>
        <w:autoSpaceDN/>
        <w:spacing w:before="100" w:beforeAutospacing="1" w:after="100" w:afterAutospacing="1"/>
        <w:jc w:val="both"/>
        <w:rPr>
          <w:sz w:val="24"/>
          <w:szCs w:val="24"/>
        </w:rPr>
      </w:pPr>
      <w:proofErr w:type="gramStart"/>
      <w:r w:rsidRPr="00260964">
        <w:rPr>
          <w:sz w:val="24"/>
          <w:szCs w:val="24"/>
        </w:rPr>
        <w:t>les</w:t>
      </w:r>
      <w:proofErr w:type="gramEnd"/>
      <w:r w:rsidRPr="00260964">
        <w:rPr>
          <w:sz w:val="24"/>
          <w:szCs w:val="24"/>
        </w:rPr>
        <w:t xml:space="preserve"> faiblesses en infrastructures et équipements, qui limitent la qualité des formations.</w:t>
      </w:r>
    </w:p>
    <w:p w14:paraId="47E24E23" w14:textId="77777777" w:rsidR="00D80693" w:rsidRPr="00260964" w:rsidRDefault="00D80693" w:rsidP="00D80693">
      <w:pPr>
        <w:widowControl/>
        <w:numPr>
          <w:ilvl w:val="0"/>
          <w:numId w:val="143"/>
        </w:numPr>
        <w:autoSpaceDE/>
        <w:autoSpaceDN/>
        <w:spacing w:before="100" w:beforeAutospacing="1" w:after="100" w:afterAutospacing="1"/>
        <w:jc w:val="both"/>
        <w:rPr>
          <w:sz w:val="24"/>
          <w:szCs w:val="24"/>
        </w:rPr>
      </w:pPr>
      <w:proofErr w:type="gramStart"/>
      <w:r w:rsidRPr="00260964">
        <w:rPr>
          <w:sz w:val="24"/>
          <w:szCs w:val="24"/>
        </w:rPr>
        <w:t>l’accessibilité</w:t>
      </w:r>
      <w:proofErr w:type="gramEnd"/>
      <w:r w:rsidRPr="00260964">
        <w:rPr>
          <w:sz w:val="24"/>
          <w:szCs w:val="24"/>
        </w:rPr>
        <w:t xml:space="preserve"> inégale, surtout en milieu rural et </w:t>
      </w:r>
    </w:p>
    <w:p w14:paraId="4FDC71B3" w14:textId="77777777" w:rsidR="00D80693" w:rsidRPr="00260964" w:rsidRDefault="00D80693" w:rsidP="00D80693">
      <w:pPr>
        <w:widowControl/>
        <w:numPr>
          <w:ilvl w:val="0"/>
          <w:numId w:val="143"/>
        </w:numPr>
        <w:autoSpaceDE/>
        <w:autoSpaceDN/>
        <w:spacing w:before="100" w:beforeAutospacing="1" w:after="100" w:afterAutospacing="1"/>
        <w:jc w:val="both"/>
        <w:rPr>
          <w:sz w:val="24"/>
          <w:szCs w:val="24"/>
        </w:rPr>
      </w:pPr>
      <w:proofErr w:type="gramStart"/>
      <w:r w:rsidRPr="00260964">
        <w:rPr>
          <w:sz w:val="24"/>
          <w:szCs w:val="24"/>
        </w:rPr>
        <w:t>la</w:t>
      </w:r>
      <w:proofErr w:type="gramEnd"/>
      <w:r w:rsidRPr="00260964">
        <w:rPr>
          <w:sz w:val="24"/>
          <w:szCs w:val="24"/>
        </w:rPr>
        <w:t xml:space="preserve"> perception négative de l'EFTP, freinant l'engagement des jeunes.</w:t>
      </w:r>
    </w:p>
    <w:p w14:paraId="5702C9D3" w14:textId="77777777" w:rsidR="00D80693" w:rsidRPr="00260964" w:rsidRDefault="00D80693" w:rsidP="00D80693">
      <w:pPr>
        <w:jc w:val="both"/>
        <w:rPr>
          <w:rFonts w:eastAsia="Aptos"/>
          <w:kern w:val="2"/>
          <w:sz w:val="24"/>
          <w:szCs w:val="24"/>
          <w14:ligatures w14:val="standardContextual"/>
        </w:rPr>
      </w:pPr>
      <w:bookmarkStart w:id="21" w:name="_Toc181606825"/>
      <w:r w:rsidRPr="00260964">
        <w:rPr>
          <w:rFonts w:eastAsia="Aptos"/>
          <w:kern w:val="2"/>
          <w:sz w:val="24"/>
          <w:szCs w:val="24"/>
          <w14:ligatures w14:val="standardContextual"/>
        </w:rPr>
        <w:t xml:space="preserve">Le tableaux </w:t>
      </w:r>
      <w:r>
        <w:rPr>
          <w:rFonts w:eastAsia="Aptos"/>
          <w:kern w:val="2"/>
          <w:sz w:val="24"/>
          <w:szCs w:val="24"/>
          <w14:ligatures w14:val="standardContextual"/>
        </w:rPr>
        <w:t>n°7</w:t>
      </w:r>
      <w:r w:rsidRPr="00260964">
        <w:rPr>
          <w:rFonts w:eastAsia="Aptos"/>
          <w:kern w:val="2"/>
          <w:sz w:val="24"/>
          <w:szCs w:val="24"/>
          <w14:ligatures w14:val="standardContextual"/>
        </w:rPr>
        <w:t xml:space="preserve"> présente la synthèse des principaux défis identifiés par les enquêtés.</w:t>
      </w:r>
    </w:p>
    <w:p w14:paraId="21058FC7" w14:textId="77777777" w:rsidR="00D80693" w:rsidRPr="00260964" w:rsidRDefault="00D80693" w:rsidP="00D80693">
      <w:pPr>
        <w:jc w:val="center"/>
        <w:rPr>
          <w:rFonts w:eastAsia="Aptos"/>
          <w:b/>
          <w:bCs/>
          <w:i/>
          <w:iCs/>
          <w:kern w:val="2"/>
          <w14:ligatures w14:val="standardContextual"/>
        </w:rPr>
      </w:pPr>
      <w:r w:rsidRPr="00260964">
        <w:rPr>
          <w:rFonts w:eastAsia="Aptos"/>
          <w:b/>
          <w:bCs/>
          <w:i/>
          <w:iCs/>
          <w:kern w:val="2"/>
          <w14:ligatures w14:val="standardContextual"/>
        </w:rPr>
        <w:t>Tableau n°7 : Synthèse des principaux défis de l'EFTP relevés par les enquêtés</w:t>
      </w:r>
      <w:bookmarkEnd w:id="21"/>
    </w:p>
    <w:tbl>
      <w:tblPr>
        <w:tblStyle w:val="TableGrid0"/>
        <w:tblW w:w="0" w:type="auto"/>
        <w:tblLook w:val="04A0" w:firstRow="1" w:lastRow="0" w:firstColumn="1" w:lastColumn="0" w:noHBand="0" w:noVBand="1"/>
      </w:tblPr>
      <w:tblGrid>
        <w:gridCol w:w="2522"/>
        <w:gridCol w:w="6538"/>
      </w:tblGrid>
      <w:tr w:rsidR="00D80693" w:rsidRPr="007A6FE8" w14:paraId="40E9909C" w14:textId="77777777" w:rsidTr="00D72320">
        <w:trPr>
          <w:tblHeader/>
        </w:trPr>
        <w:tc>
          <w:tcPr>
            <w:tcW w:w="0" w:type="auto"/>
          </w:tcPr>
          <w:p w14:paraId="6D697CE3" w14:textId="77777777" w:rsidR="00D80693" w:rsidRPr="007A6FE8" w:rsidRDefault="00D80693" w:rsidP="00D72320">
            <w:pPr>
              <w:jc w:val="both"/>
              <w:rPr>
                <w:sz w:val="20"/>
                <w:szCs w:val="20"/>
              </w:rPr>
            </w:pPr>
            <w:r w:rsidRPr="007A6FE8">
              <w:rPr>
                <w:sz w:val="20"/>
                <w:szCs w:val="20"/>
              </w:rPr>
              <w:t>Principaux défis</w:t>
            </w:r>
          </w:p>
        </w:tc>
        <w:tc>
          <w:tcPr>
            <w:tcW w:w="0" w:type="auto"/>
          </w:tcPr>
          <w:p w14:paraId="02E90821" w14:textId="77777777" w:rsidR="00D80693" w:rsidRPr="007A6FE8" w:rsidRDefault="00D80693" w:rsidP="00D72320">
            <w:pPr>
              <w:jc w:val="both"/>
              <w:rPr>
                <w:sz w:val="20"/>
                <w:szCs w:val="20"/>
              </w:rPr>
            </w:pPr>
            <w:r w:rsidRPr="007A6FE8">
              <w:rPr>
                <w:sz w:val="20"/>
                <w:szCs w:val="20"/>
              </w:rPr>
              <w:t>Réponses données par les enquêtés</w:t>
            </w:r>
          </w:p>
        </w:tc>
      </w:tr>
      <w:tr w:rsidR="00D80693" w:rsidRPr="007A6FE8" w14:paraId="2CA4787E" w14:textId="77777777" w:rsidTr="00D72320">
        <w:tc>
          <w:tcPr>
            <w:tcW w:w="0" w:type="auto"/>
          </w:tcPr>
          <w:p w14:paraId="5B5D9A79" w14:textId="77777777" w:rsidR="00D80693" w:rsidRPr="007A6FE8" w:rsidRDefault="00D80693" w:rsidP="00D72320">
            <w:pPr>
              <w:jc w:val="both"/>
              <w:rPr>
                <w:sz w:val="20"/>
                <w:szCs w:val="20"/>
              </w:rPr>
            </w:pPr>
            <w:r w:rsidRPr="007A6FE8">
              <w:rPr>
                <w:sz w:val="20"/>
                <w:szCs w:val="20"/>
              </w:rPr>
              <w:t>1.Problèmes institutionnels et organisationnels</w:t>
            </w:r>
          </w:p>
        </w:tc>
        <w:tc>
          <w:tcPr>
            <w:tcW w:w="0" w:type="auto"/>
          </w:tcPr>
          <w:p w14:paraId="30FBF0B8" w14:textId="77777777" w:rsidR="00D80693" w:rsidRPr="007A6FE8" w:rsidRDefault="00D80693" w:rsidP="00D72320">
            <w:pPr>
              <w:jc w:val="both"/>
              <w:rPr>
                <w:sz w:val="20"/>
                <w:szCs w:val="20"/>
              </w:rPr>
            </w:pPr>
            <w:r w:rsidRPr="007A6FE8">
              <w:rPr>
                <w:sz w:val="20"/>
                <w:szCs w:val="20"/>
              </w:rPr>
              <w:t>-l'EFTP est éclaté entre plusieurs ministères, rendant la gouvernance complexe ;</w:t>
            </w:r>
          </w:p>
          <w:p w14:paraId="4C4E97BD" w14:textId="77777777" w:rsidR="00D80693" w:rsidRPr="007A6FE8" w:rsidRDefault="00D80693" w:rsidP="00D72320">
            <w:pPr>
              <w:jc w:val="both"/>
              <w:rPr>
                <w:sz w:val="20"/>
                <w:szCs w:val="20"/>
              </w:rPr>
            </w:pPr>
            <w:r w:rsidRPr="007A6FE8">
              <w:rPr>
                <w:sz w:val="20"/>
                <w:szCs w:val="20"/>
              </w:rPr>
              <w:t>-l’insuffisance en ressources humaines, tant au niveau du personnel d’encadrement que des formateurs qualifiés ;</w:t>
            </w:r>
          </w:p>
          <w:p w14:paraId="7E1FFFC7" w14:textId="77777777" w:rsidR="00D80693" w:rsidRPr="007A6FE8" w:rsidRDefault="00D80693" w:rsidP="00D72320">
            <w:pPr>
              <w:jc w:val="both"/>
              <w:rPr>
                <w:sz w:val="20"/>
                <w:szCs w:val="20"/>
              </w:rPr>
            </w:pPr>
            <w:r w:rsidRPr="007A6FE8">
              <w:rPr>
                <w:sz w:val="20"/>
                <w:szCs w:val="20"/>
              </w:rPr>
              <w:t>-l’absence de suivi efficace des offres de formation en fonction des réalités économiques et du marché du travail.</w:t>
            </w:r>
          </w:p>
        </w:tc>
      </w:tr>
      <w:tr w:rsidR="00D80693" w:rsidRPr="007A6FE8" w14:paraId="69D34B34" w14:textId="77777777" w:rsidTr="00D72320">
        <w:tc>
          <w:tcPr>
            <w:tcW w:w="0" w:type="auto"/>
          </w:tcPr>
          <w:p w14:paraId="3CAF55B6" w14:textId="77777777" w:rsidR="00D80693" w:rsidRPr="007A6FE8" w:rsidRDefault="00D80693" w:rsidP="00D72320">
            <w:pPr>
              <w:jc w:val="both"/>
              <w:rPr>
                <w:sz w:val="20"/>
                <w:szCs w:val="20"/>
              </w:rPr>
            </w:pPr>
            <w:r w:rsidRPr="007A6FE8">
              <w:rPr>
                <w:sz w:val="20"/>
                <w:szCs w:val="20"/>
              </w:rPr>
              <w:t>2.Adéquation avec le marché du travail</w:t>
            </w:r>
          </w:p>
        </w:tc>
        <w:tc>
          <w:tcPr>
            <w:tcW w:w="0" w:type="auto"/>
          </w:tcPr>
          <w:p w14:paraId="2D77FC16" w14:textId="77777777" w:rsidR="00D80693" w:rsidRPr="007A6FE8" w:rsidRDefault="00D80693" w:rsidP="00D72320">
            <w:pPr>
              <w:jc w:val="both"/>
              <w:rPr>
                <w:sz w:val="20"/>
                <w:szCs w:val="20"/>
              </w:rPr>
            </w:pPr>
            <w:r w:rsidRPr="007A6FE8">
              <w:rPr>
                <w:sz w:val="20"/>
                <w:szCs w:val="20"/>
              </w:rPr>
              <w:t>-la formation est peu en adéquation avec les besoins des employeurs ;</w:t>
            </w:r>
          </w:p>
          <w:p w14:paraId="6F0EB114" w14:textId="77777777" w:rsidR="00D80693" w:rsidRPr="007A6FE8" w:rsidRDefault="00D80693" w:rsidP="00D72320">
            <w:pPr>
              <w:jc w:val="both"/>
              <w:rPr>
                <w:sz w:val="20"/>
                <w:szCs w:val="20"/>
              </w:rPr>
            </w:pPr>
            <w:r w:rsidRPr="007A6FE8">
              <w:rPr>
                <w:sz w:val="20"/>
                <w:szCs w:val="20"/>
              </w:rPr>
              <w:t>-la faible prise en compte de l'entrepreneuriat et de l’orientation métier dans les cursus ;</w:t>
            </w:r>
          </w:p>
          <w:p w14:paraId="21AC4B59" w14:textId="77777777" w:rsidR="00D80693" w:rsidRPr="007A6FE8" w:rsidRDefault="00D80693" w:rsidP="00D72320">
            <w:pPr>
              <w:jc w:val="both"/>
              <w:rPr>
                <w:sz w:val="20"/>
                <w:szCs w:val="20"/>
              </w:rPr>
            </w:pPr>
            <w:r w:rsidRPr="007A6FE8">
              <w:rPr>
                <w:sz w:val="20"/>
                <w:szCs w:val="20"/>
              </w:rPr>
              <w:t>-le manque de partenariat et de connexion avec le monde de l'entreprise.</w:t>
            </w:r>
          </w:p>
        </w:tc>
      </w:tr>
      <w:tr w:rsidR="00D80693" w:rsidRPr="007A6FE8" w14:paraId="17E8BDA6" w14:textId="77777777" w:rsidTr="00D72320">
        <w:tc>
          <w:tcPr>
            <w:tcW w:w="0" w:type="auto"/>
          </w:tcPr>
          <w:p w14:paraId="69F8FABB" w14:textId="77777777" w:rsidR="00D80693" w:rsidRPr="007A6FE8" w:rsidRDefault="00D80693" w:rsidP="00D72320">
            <w:pPr>
              <w:jc w:val="both"/>
              <w:rPr>
                <w:sz w:val="20"/>
                <w:szCs w:val="20"/>
              </w:rPr>
            </w:pPr>
            <w:r w:rsidRPr="007A6FE8">
              <w:rPr>
                <w:sz w:val="20"/>
                <w:szCs w:val="20"/>
              </w:rPr>
              <w:t>3.Financement, infrastructures et équipements</w:t>
            </w:r>
          </w:p>
        </w:tc>
        <w:tc>
          <w:tcPr>
            <w:tcW w:w="0" w:type="auto"/>
          </w:tcPr>
          <w:p w14:paraId="0FB7C6E8" w14:textId="77777777" w:rsidR="00D80693" w:rsidRPr="007A6FE8" w:rsidRDefault="00D80693" w:rsidP="00D72320">
            <w:pPr>
              <w:jc w:val="both"/>
              <w:rPr>
                <w:sz w:val="20"/>
                <w:szCs w:val="20"/>
              </w:rPr>
            </w:pPr>
            <w:r w:rsidRPr="007A6FE8">
              <w:rPr>
                <w:sz w:val="20"/>
                <w:szCs w:val="20"/>
              </w:rPr>
              <w:t>-les infrastructures et équipements sont insuffisants ou obsolètes, limitant la qualité de la formation ;</w:t>
            </w:r>
          </w:p>
          <w:p w14:paraId="18566622" w14:textId="77777777" w:rsidR="00D80693" w:rsidRPr="007A6FE8" w:rsidRDefault="00D80693" w:rsidP="00D72320">
            <w:pPr>
              <w:jc w:val="both"/>
              <w:rPr>
                <w:sz w:val="20"/>
                <w:szCs w:val="20"/>
              </w:rPr>
            </w:pPr>
            <w:r w:rsidRPr="007A6FE8">
              <w:rPr>
                <w:sz w:val="20"/>
                <w:szCs w:val="20"/>
              </w:rPr>
              <w:t>-les ateliers de formation sont peu équipés et la matière d’œuvre pour les travaux pratiques est insuffisante ;</w:t>
            </w:r>
          </w:p>
          <w:p w14:paraId="4598F480" w14:textId="77777777" w:rsidR="00D80693" w:rsidRPr="007A6FE8" w:rsidRDefault="00D80693" w:rsidP="00D72320">
            <w:pPr>
              <w:jc w:val="both"/>
              <w:rPr>
                <w:sz w:val="20"/>
                <w:szCs w:val="20"/>
              </w:rPr>
            </w:pPr>
            <w:r w:rsidRPr="007A6FE8">
              <w:rPr>
                <w:sz w:val="20"/>
                <w:szCs w:val="20"/>
              </w:rPr>
              <w:t>-le faible financement dédié à l’EFTP est faible par rapport aux besoins réels du secteur, tant au niveau des infrastructures que des ressources humaines et pédagogiques.</w:t>
            </w:r>
          </w:p>
        </w:tc>
      </w:tr>
      <w:tr w:rsidR="00D80693" w:rsidRPr="007A6FE8" w14:paraId="2DEDF024" w14:textId="77777777" w:rsidTr="00D72320">
        <w:tc>
          <w:tcPr>
            <w:tcW w:w="0" w:type="auto"/>
          </w:tcPr>
          <w:p w14:paraId="56C05967" w14:textId="77777777" w:rsidR="00D80693" w:rsidRPr="007A6FE8" w:rsidRDefault="00D80693" w:rsidP="00D72320">
            <w:pPr>
              <w:jc w:val="both"/>
              <w:rPr>
                <w:sz w:val="20"/>
                <w:szCs w:val="20"/>
              </w:rPr>
            </w:pPr>
            <w:r w:rsidRPr="007A6FE8">
              <w:rPr>
                <w:sz w:val="20"/>
                <w:szCs w:val="20"/>
              </w:rPr>
              <w:t>4.Accessibilité et couverture territoriale</w:t>
            </w:r>
          </w:p>
        </w:tc>
        <w:tc>
          <w:tcPr>
            <w:tcW w:w="0" w:type="auto"/>
          </w:tcPr>
          <w:p w14:paraId="2C32A4ED" w14:textId="77777777" w:rsidR="00D80693" w:rsidRPr="007A6FE8" w:rsidRDefault="00D80693" w:rsidP="00D72320">
            <w:pPr>
              <w:jc w:val="both"/>
              <w:rPr>
                <w:sz w:val="20"/>
                <w:szCs w:val="20"/>
              </w:rPr>
            </w:pPr>
            <w:r w:rsidRPr="007A6FE8">
              <w:rPr>
                <w:sz w:val="20"/>
                <w:szCs w:val="20"/>
              </w:rPr>
              <w:t>L’accès à l’EFTP est difficile pour certaines zones géographiques et marginalisées, avec une couverture territoriale inégale.</w:t>
            </w:r>
          </w:p>
        </w:tc>
      </w:tr>
      <w:tr w:rsidR="00D80693" w:rsidRPr="007A6FE8" w14:paraId="7A7EF06B" w14:textId="77777777" w:rsidTr="00D72320">
        <w:tc>
          <w:tcPr>
            <w:tcW w:w="0" w:type="auto"/>
          </w:tcPr>
          <w:p w14:paraId="1C2258F7" w14:textId="77777777" w:rsidR="00D80693" w:rsidRPr="007A6FE8" w:rsidRDefault="00D80693" w:rsidP="00D72320">
            <w:pPr>
              <w:jc w:val="both"/>
              <w:rPr>
                <w:sz w:val="20"/>
                <w:szCs w:val="20"/>
              </w:rPr>
            </w:pPr>
            <w:r w:rsidRPr="007A6FE8">
              <w:rPr>
                <w:sz w:val="20"/>
                <w:szCs w:val="20"/>
              </w:rPr>
              <w:t>5.Image et perception</w:t>
            </w:r>
          </w:p>
        </w:tc>
        <w:tc>
          <w:tcPr>
            <w:tcW w:w="0" w:type="auto"/>
          </w:tcPr>
          <w:p w14:paraId="6CBBC4EF" w14:textId="77777777" w:rsidR="00D80693" w:rsidRPr="007A6FE8" w:rsidRDefault="00D80693" w:rsidP="00D72320">
            <w:pPr>
              <w:jc w:val="both"/>
              <w:rPr>
                <w:sz w:val="20"/>
                <w:szCs w:val="20"/>
              </w:rPr>
            </w:pPr>
            <w:r w:rsidRPr="007A6FE8">
              <w:rPr>
                <w:sz w:val="20"/>
                <w:szCs w:val="20"/>
              </w:rPr>
              <w:t>Il y a une perception négative de l'EFTP au sein de la société, ce qui limite l’engagement des jeunes et des familles.</w:t>
            </w:r>
          </w:p>
        </w:tc>
      </w:tr>
    </w:tbl>
    <w:p w14:paraId="72DA32C7" w14:textId="77777777" w:rsidR="00D80693" w:rsidRPr="00260964" w:rsidRDefault="00D80693" w:rsidP="00D80693">
      <w:pPr>
        <w:jc w:val="center"/>
        <w:rPr>
          <w:rFonts w:eastAsia="Aptos"/>
          <w:i/>
          <w:iCs/>
          <w:kern w:val="2"/>
          <w14:ligatures w14:val="standardContextual"/>
        </w:rPr>
      </w:pPr>
      <w:bookmarkStart w:id="22" w:name="_Toc181608933"/>
      <w:bookmarkStart w:id="23" w:name="_Toc186086575"/>
      <w:bookmarkStart w:id="24" w:name="_Toc186090370"/>
      <w:proofErr w:type="gramStart"/>
      <w:r w:rsidRPr="00260964">
        <w:rPr>
          <w:rFonts w:eastAsia="Aptos"/>
          <w:i/>
          <w:iCs/>
          <w:kern w:val="2"/>
          <w14:ligatures w14:val="standardContextual"/>
        </w:rPr>
        <w:t>Source:.</w:t>
      </w:r>
      <w:proofErr w:type="gramEnd"/>
      <w:r w:rsidRPr="00260964">
        <w:rPr>
          <w:rFonts w:eastAsia="Aptos"/>
          <w:i/>
          <w:iCs/>
          <w:kern w:val="2"/>
          <w14:ligatures w14:val="standardContextual"/>
        </w:rPr>
        <w:t xml:space="preserve"> </w:t>
      </w:r>
      <w:proofErr w:type="spellStart"/>
      <w:proofErr w:type="gramStart"/>
      <w:r w:rsidRPr="0007424B">
        <w:rPr>
          <w:rFonts w:eastAsia="Aptos"/>
          <w:i/>
          <w:iCs/>
          <w:kern w:val="2"/>
          <w14:ligatures w14:val="standardContextual"/>
        </w:rPr>
        <w:t>S</w:t>
      </w:r>
      <w:r>
        <w:rPr>
          <w:rFonts w:eastAsia="Aptos"/>
          <w:i/>
          <w:iCs/>
          <w:kern w:val="2"/>
          <w14:ligatures w14:val="standardContextual"/>
        </w:rPr>
        <w:t>avadogo</w:t>
      </w:r>
      <w:r w:rsidRPr="0007424B">
        <w:rPr>
          <w:rFonts w:eastAsia="Aptos"/>
          <w:i/>
          <w:iCs/>
          <w:kern w:val="2"/>
          <w14:ligatures w14:val="standardContextual"/>
        </w:rPr>
        <w:t>,</w:t>
      </w:r>
      <w:r>
        <w:rPr>
          <w:rFonts w:eastAsia="Aptos"/>
          <w:i/>
          <w:iCs/>
          <w:kern w:val="2"/>
          <w14:ligatures w14:val="standardContextual"/>
        </w:rPr>
        <w:t>Y</w:t>
      </w:r>
      <w:proofErr w:type="spellEnd"/>
      <w:r>
        <w:rPr>
          <w:rFonts w:eastAsia="Aptos"/>
          <w:i/>
          <w:iCs/>
          <w:kern w:val="2"/>
          <w14:ligatures w14:val="standardContextual"/>
        </w:rPr>
        <w:t>.</w:t>
      </w:r>
      <w:proofErr w:type="gramEnd"/>
      <w:r>
        <w:rPr>
          <w:rFonts w:eastAsia="Aptos"/>
          <w:i/>
          <w:iCs/>
          <w:kern w:val="2"/>
          <w14:ligatures w14:val="standardContextual"/>
        </w:rPr>
        <w:t xml:space="preserve"> A.</w:t>
      </w:r>
      <w:r w:rsidRPr="00260964">
        <w:rPr>
          <w:rFonts w:eastAsia="Aptos"/>
          <w:i/>
          <w:iCs/>
          <w:kern w:val="2"/>
          <w14:ligatures w14:val="standardContextual"/>
        </w:rPr>
        <w:t xml:space="preserve"> (2024)</w:t>
      </w:r>
    </w:p>
    <w:p w14:paraId="37DAEA83" w14:textId="77777777" w:rsidR="00D80693" w:rsidRPr="00260964" w:rsidRDefault="00D80693" w:rsidP="00D80693">
      <w:pPr>
        <w:jc w:val="center"/>
        <w:rPr>
          <w:rFonts w:eastAsia="Aptos"/>
          <w:i/>
          <w:iCs/>
          <w:kern w:val="2"/>
          <w14:ligatures w14:val="standardContextual"/>
        </w:rPr>
      </w:pPr>
    </w:p>
    <w:p w14:paraId="58EF29B3" w14:textId="6714F2F9" w:rsidR="00D80693" w:rsidRPr="00813D27"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Le tableau n°7 révèle que les acteurs ont une bonne compréhension des défis de l’EFTP. Cela est une étape essentielle, mais elle ne suffit pas à elle seule pour générer des solutions efficaces. Les outils de simulation comme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complète cet atout en permettant de transformer les propositions de solutions en plans d'action concrets et mesurables. </w:t>
      </w:r>
      <w:bookmarkStart w:id="25" w:name="_Toc181606826"/>
      <w:bookmarkEnd w:id="22"/>
      <w:bookmarkEnd w:id="23"/>
      <w:bookmarkEnd w:id="24"/>
      <w:r w:rsidRPr="00260964">
        <w:rPr>
          <w:sz w:val="24"/>
          <w:szCs w:val="24"/>
        </w:rPr>
        <w:t>Le tableau n°8 présente les principales recommandations faites par les acteurs pour améliorer le secteur de l’EFTP, à savoir : la centralisation de la gouvernance, le renforcement des partenariats avec le secteur privé, la modernisation des infrastructures, l’alignement des formations aux réalités du marché du travail, ainsi que l’intégration des TIC et de l'innovation pour améliorer la qualité des enseignements.</w:t>
      </w:r>
    </w:p>
    <w:p w14:paraId="6A1F9B4E" w14:textId="77777777" w:rsidR="00D80693" w:rsidRPr="00234F35" w:rsidRDefault="00D80693" w:rsidP="00D80693">
      <w:pPr>
        <w:keepNext/>
        <w:jc w:val="center"/>
        <w:rPr>
          <w:rFonts w:eastAsia="Calibri"/>
          <w:b/>
          <w:bCs/>
          <w:i/>
        </w:rPr>
      </w:pPr>
      <w:r w:rsidRPr="00234F35">
        <w:rPr>
          <w:rFonts w:eastAsia="Calibri"/>
          <w:b/>
          <w:bCs/>
          <w:i/>
        </w:rPr>
        <w:t xml:space="preserve">Tableau </w:t>
      </w:r>
      <w:r>
        <w:rPr>
          <w:rFonts w:eastAsia="Calibri"/>
          <w:b/>
          <w:bCs/>
          <w:i/>
        </w:rPr>
        <w:t xml:space="preserve">8 </w:t>
      </w:r>
      <w:r w:rsidRPr="00234F35">
        <w:rPr>
          <w:rFonts w:eastAsia="Calibri"/>
          <w:b/>
          <w:bCs/>
          <w:i/>
        </w:rPr>
        <w:t>: Synthèse des principales recommandations faites par les enquêtés</w:t>
      </w:r>
      <w:bookmarkEnd w:id="25"/>
    </w:p>
    <w:tbl>
      <w:tblPr>
        <w:tblStyle w:val="TableGrid0"/>
        <w:tblW w:w="0" w:type="auto"/>
        <w:tblLook w:val="04A0" w:firstRow="1" w:lastRow="0" w:firstColumn="1" w:lastColumn="0" w:noHBand="0" w:noVBand="1"/>
      </w:tblPr>
      <w:tblGrid>
        <w:gridCol w:w="2263"/>
        <w:gridCol w:w="6797"/>
      </w:tblGrid>
      <w:tr w:rsidR="00D80693" w:rsidRPr="008C026D" w14:paraId="5449FE7C" w14:textId="77777777" w:rsidTr="00D72320">
        <w:trPr>
          <w:tblHeader/>
        </w:trPr>
        <w:tc>
          <w:tcPr>
            <w:tcW w:w="2263" w:type="dxa"/>
          </w:tcPr>
          <w:p w14:paraId="5995F306" w14:textId="77777777" w:rsidR="00D80693" w:rsidRPr="008C026D" w:rsidRDefault="00D80693" w:rsidP="00D72320">
            <w:pPr>
              <w:jc w:val="both"/>
              <w:rPr>
                <w:sz w:val="20"/>
                <w:szCs w:val="20"/>
              </w:rPr>
            </w:pPr>
            <w:r w:rsidRPr="008C026D">
              <w:rPr>
                <w:sz w:val="20"/>
                <w:szCs w:val="20"/>
              </w:rPr>
              <w:t>Axe</w:t>
            </w:r>
          </w:p>
        </w:tc>
        <w:tc>
          <w:tcPr>
            <w:tcW w:w="6797" w:type="dxa"/>
          </w:tcPr>
          <w:p w14:paraId="68991866" w14:textId="77777777" w:rsidR="00D80693" w:rsidRPr="008C026D" w:rsidRDefault="00D80693" w:rsidP="00D72320">
            <w:pPr>
              <w:jc w:val="both"/>
              <w:rPr>
                <w:sz w:val="20"/>
                <w:szCs w:val="20"/>
              </w:rPr>
            </w:pPr>
            <w:r w:rsidRPr="008C026D">
              <w:rPr>
                <w:sz w:val="20"/>
                <w:szCs w:val="20"/>
              </w:rPr>
              <w:t>Recommandations faites par les enquêtés</w:t>
            </w:r>
          </w:p>
        </w:tc>
      </w:tr>
      <w:tr w:rsidR="00D80693" w:rsidRPr="008C026D" w14:paraId="3B41C301" w14:textId="77777777" w:rsidTr="00D72320">
        <w:trPr>
          <w:cantSplit/>
        </w:trPr>
        <w:tc>
          <w:tcPr>
            <w:tcW w:w="2263" w:type="dxa"/>
          </w:tcPr>
          <w:p w14:paraId="35B4B76F" w14:textId="77777777" w:rsidR="00D80693" w:rsidRPr="008C026D" w:rsidRDefault="00D80693" w:rsidP="00D72320">
            <w:pPr>
              <w:jc w:val="both"/>
              <w:rPr>
                <w:sz w:val="20"/>
                <w:szCs w:val="20"/>
              </w:rPr>
            </w:pPr>
            <w:r w:rsidRPr="008C026D">
              <w:rPr>
                <w:sz w:val="20"/>
                <w:szCs w:val="20"/>
              </w:rPr>
              <w:t>1.Renforcement de la gouvernance et des capacités institutionnelles</w:t>
            </w:r>
          </w:p>
        </w:tc>
        <w:tc>
          <w:tcPr>
            <w:tcW w:w="6797" w:type="dxa"/>
          </w:tcPr>
          <w:p w14:paraId="70EDF5BD" w14:textId="77777777" w:rsidR="00D80693" w:rsidRPr="008C026D" w:rsidRDefault="00D80693" w:rsidP="00D72320">
            <w:pPr>
              <w:jc w:val="both"/>
              <w:rPr>
                <w:sz w:val="20"/>
                <w:szCs w:val="20"/>
              </w:rPr>
            </w:pPr>
            <w:r w:rsidRPr="008C026D">
              <w:rPr>
                <w:sz w:val="20"/>
                <w:szCs w:val="20"/>
              </w:rPr>
              <w:t>-centraliser l’EFTP sous un seul portefeuille ministériel pour une meilleure coordination ;</w:t>
            </w:r>
          </w:p>
          <w:p w14:paraId="73F93A62" w14:textId="77777777" w:rsidR="00D80693" w:rsidRPr="008C026D" w:rsidRDefault="00D80693" w:rsidP="00D72320">
            <w:pPr>
              <w:jc w:val="both"/>
              <w:rPr>
                <w:sz w:val="20"/>
                <w:szCs w:val="20"/>
              </w:rPr>
            </w:pPr>
            <w:r w:rsidRPr="008C026D">
              <w:rPr>
                <w:sz w:val="20"/>
                <w:szCs w:val="20"/>
              </w:rPr>
              <w:t>-développer des partenariats publics-privés pour améliorer le financement et la gestion des établissements.</w:t>
            </w:r>
          </w:p>
        </w:tc>
      </w:tr>
      <w:tr w:rsidR="00D80693" w:rsidRPr="008C026D" w14:paraId="5417300F" w14:textId="77777777" w:rsidTr="00D72320">
        <w:trPr>
          <w:cantSplit/>
        </w:trPr>
        <w:tc>
          <w:tcPr>
            <w:tcW w:w="2263" w:type="dxa"/>
          </w:tcPr>
          <w:p w14:paraId="64E2CB83" w14:textId="77777777" w:rsidR="00D80693" w:rsidRPr="008C026D" w:rsidRDefault="00D80693" w:rsidP="00D72320">
            <w:pPr>
              <w:jc w:val="both"/>
              <w:rPr>
                <w:sz w:val="20"/>
                <w:szCs w:val="20"/>
              </w:rPr>
            </w:pPr>
            <w:r w:rsidRPr="008C026D">
              <w:rPr>
                <w:sz w:val="20"/>
                <w:szCs w:val="20"/>
              </w:rPr>
              <w:t>2.Amélioration de l'accès et de l'inclusion</w:t>
            </w:r>
          </w:p>
        </w:tc>
        <w:tc>
          <w:tcPr>
            <w:tcW w:w="6797" w:type="dxa"/>
          </w:tcPr>
          <w:p w14:paraId="6BA64BBC" w14:textId="77777777" w:rsidR="00D80693" w:rsidRPr="008C026D" w:rsidRDefault="00D80693" w:rsidP="00D72320">
            <w:pPr>
              <w:jc w:val="both"/>
              <w:rPr>
                <w:sz w:val="20"/>
                <w:szCs w:val="20"/>
              </w:rPr>
            </w:pPr>
            <w:r w:rsidRPr="008C026D">
              <w:rPr>
                <w:sz w:val="20"/>
                <w:szCs w:val="20"/>
              </w:rPr>
              <w:t>-augmenter le nombre d’établissements dans les zones rurales et marginalisées ;</w:t>
            </w:r>
          </w:p>
          <w:p w14:paraId="65B461C2" w14:textId="77777777" w:rsidR="00D80693" w:rsidRPr="008C026D" w:rsidRDefault="00D80693" w:rsidP="00D72320">
            <w:pPr>
              <w:jc w:val="both"/>
              <w:rPr>
                <w:sz w:val="20"/>
                <w:szCs w:val="20"/>
              </w:rPr>
            </w:pPr>
            <w:r w:rsidRPr="008C026D">
              <w:rPr>
                <w:sz w:val="20"/>
                <w:szCs w:val="20"/>
              </w:rPr>
              <w:t>-offrir des bourses et des aides financières pour les jeunes issus de familles à faible revenu, ainsi que pour les filles et les personnes handicapées.</w:t>
            </w:r>
          </w:p>
        </w:tc>
      </w:tr>
      <w:tr w:rsidR="00D80693" w:rsidRPr="008C026D" w14:paraId="58085809" w14:textId="77777777" w:rsidTr="00D72320">
        <w:trPr>
          <w:cantSplit/>
        </w:trPr>
        <w:tc>
          <w:tcPr>
            <w:tcW w:w="2263" w:type="dxa"/>
          </w:tcPr>
          <w:p w14:paraId="189B8E76" w14:textId="77777777" w:rsidR="00D80693" w:rsidRPr="008C026D" w:rsidRDefault="00D80693" w:rsidP="00D72320">
            <w:pPr>
              <w:jc w:val="both"/>
              <w:rPr>
                <w:sz w:val="20"/>
                <w:szCs w:val="20"/>
              </w:rPr>
            </w:pPr>
            <w:r w:rsidRPr="008C026D">
              <w:rPr>
                <w:sz w:val="20"/>
                <w:szCs w:val="20"/>
              </w:rPr>
              <w:t>Modernisation des infrastructures et équipements</w:t>
            </w:r>
          </w:p>
        </w:tc>
        <w:tc>
          <w:tcPr>
            <w:tcW w:w="6797" w:type="dxa"/>
          </w:tcPr>
          <w:p w14:paraId="22B504A2" w14:textId="77777777" w:rsidR="00D80693" w:rsidRPr="008C026D" w:rsidRDefault="00D80693" w:rsidP="00D72320">
            <w:pPr>
              <w:jc w:val="both"/>
              <w:rPr>
                <w:sz w:val="20"/>
                <w:szCs w:val="20"/>
              </w:rPr>
            </w:pPr>
            <w:r w:rsidRPr="008C026D">
              <w:rPr>
                <w:sz w:val="20"/>
                <w:szCs w:val="20"/>
              </w:rPr>
              <w:t>-investir dans des infrastructures modernes et bien équipées pour les centres de formation ;</w:t>
            </w:r>
          </w:p>
          <w:p w14:paraId="157F846F" w14:textId="77777777" w:rsidR="00D80693" w:rsidRPr="008C026D" w:rsidRDefault="00D80693" w:rsidP="00D72320">
            <w:pPr>
              <w:jc w:val="both"/>
              <w:rPr>
                <w:sz w:val="20"/>
                <w:szCs w:val="20"/>
              </w:rPr>
            </w:pPr>
            <w:r w:rsidRPr="008C026D">
              <w:rPr>
                <w:sz w:val="20"/>
                <w:szCs w:val="20"/>
              </w:rPr>
              <w:t>-assurer une maintenance régulière des équipements de formation.</w:t>
            </w:r>
          </w:p>
        </w:tc>
      </w:tr>
      <w:tr w:rsidR="00D80693" w:rsidRPr="008C026D" w14:paraId="657C3BC1" w14:textId="77777777" w:rsidTr="00D72320">
        <w:trPr>
          <w:cantSplit/>
        </w:trPr>
        <w:tc>
          <w:tcPr>
            <w:tcW w:w="2263" w:type="dxa"/>
          </w:tcPr>
          <w:p w14:paraId="53263692" w14:textId="77777777" w:rsidR="00D80693" w:rsidRPr="008C026D" w:rsidRDefault="00D80693" w:rsidP="00D72320">
            <w:pPr>
              <w:jc w:val="both"/>
              <w:rPr>
                <w:sz w:val="20"/>
                <w:szCs w:val="20"/>
              </w:rPr>
            </w:pPr>
            <w:r w:rsidRPr="008C026D">
              <w:rPr>
                <w:sz w:val="20"/>
                <w:szCs w:val="20"/>
              </w:rPr>
              <w:t>Adéquation avec le marché du travail</w:t>
            </w:r>
          </w:p>
        </w:tc>
        <w:tc>
          <w:tcPr>
            <w:tcW w:w="6797" w:type="dxa"/>
          </w:tcPr>
          <w:p w14:paraId="7C086F0E" w14:textId="77777777" w:rsidR="00D80693" w:rsidRPr="008C026D" w:rsidRDefault="00D80693" w:rsidP="00D72320">
            <w:pPr>
              <w:jc w:val="both"/>
              <w:rPr>
                <w:sz w:val="20"/>
                <w:szCs w:val="20"/>
              </w:rPr>
            </w:pPr>
            <w:r w:rsidRPr="008C026D">
              <w:rPr>
                <w:sz w:val="20"/>
                <w:szCs w:val="20"/>
              </w:rPr>
              <w:t>-mettre à jour les curriculums pour les aligner avec les besoins du marché.</w:t>
            </w:r>
          </w:p>
          <w:p w14:paraId="6A995B21" w14:textId="77777777" w:rsidR="00D80693" w:rsidRPr="008C026D" w:rsidRDefault="00D80693" w:rsidP="00D72320">
            <w:pPr>
              <w:jc w:val="both"/>
              <w:rPr>
                <w:sz w:val="20"/>
                <w:szCs w:val="20"/>
              </w:rPr>
            </w:pPr>
            <w:r w:rsidRPr="008C026D">
              <w:rPr>
                <w:sz w:val="20"/>
                <w:szCs w:val="20"/>
              </w:rPr>
              <w:t>-établir des partenariats avec les entreprises locales pour des stages et des formations pratiques ;</w:t>
            </w:r>
          </w:p>
          <w:p w14:paraId="1849E253" w14:textId="77777777" w:rsidR="00D80693" w:rsidRPr="008C026D" w:rsidRDefault="00D80693" w:rsidP="00D72320">
            <w:pPr>
              <w:jc w:val="both"/>
              <w:rPr>
                <w:sz w:val="20"/>
                <w:szCs w:val="20"/>
              </w:rPr>
            </w:pPr>
            <w:r w:rsidRPr="008C026D">
              <w:rPr>
                <w:sz w:val="20"/>
                <w:szCs w:val="20"/>
              </w:rPr>
              <w:t>-mettre en place des observatoires de l’emploi pour suivre les tendances du marché du travail.</w:t>
            </w:r>
          </w:p>
        </w:tc>
      </w:tr>
      <w:tr w:rsidR="00D80693" w:rsidRPr="008C026D" w14:paraId="6E795DE9" w14:textId="77777777" w:rsidTr="00D72320">
        <w:trPr>
          <w:cantSplit/>
        </w:trPr>
        <w:tc>
          <w:tcPr>
            <w:tcW w:w="2263" w:type="dxa"/>
          </w:tcPr>
          <w:p w14:paraId="6A0D3E64" w14:textId="77777777" w:rsidR="00D80693" w:rsidRPr="008C026D" w:rsidRDefault="00D80693" w:rsidP="00D72320">
            <w:pPr>
              <w:jc w:val="both"/>
              <w:rPr>
                <w:sz w:val="20"/>
                <w:szCs w:val="20"/>
              </w:rPr>
            </w:pPr>
            <w:r w:rsidRPr="008C026D">
              <w:rPr>
                <w:sz w:val="20"/>
                <w:szCs w:val="20"/>
              </w:rPr>
              <w:t>Formation des formateurs</w:t>
            </w:r>
          </w:p>
        </w:tc>
        <w:tc>
          <w:tcPr>
            <w:tcW w:w="6797" w:type="dxa"/>
          </w:tcPr>
          <w:p w14:paraId="191F7605" w14:textId="77777777" w:rsidR="00D80693" w:rsidRPr="008C026D" w:rsidRDefault="00D80693" w:rsidP="00D72320">
            <w:pPr>
              <w:jc w:val="both"/>
              <w:rPr>
                <w:sz w:val="20"/>
                <w:szCs w:val="20"/>
              </w:rPr>
            </w:pPr>
            <w:r w:rsidRPr="008C026D">
              <w:rPr>
                <w:sz w:val="20"/>
                <w:szCs w:val="20"/>
              </w:rPr>
              <w:t>-former suffisamment de formateurs qualifiés et professionnaliser leur formation pour répondre aux besoins de la formation technique et professionnelle ;</w:t>
            </w:r>
          </w:p>
          <w:p w14:paraId="66FF62AC" w14:textId="77777777" w:rsidR="00D80693" w:rsidRPr="008C026D" w:rsidRDefault="00D80693" w:rsidP="00D72320">
            <w:pPr>
              <w:jc w:val="both"/>
              <w:rPr>
                <w:sz w:val="20"/>
                <w:szCs w:val="20"/>
              </w:rPr>
            </w:pPr>
            <w:r w:rsidRPr="008C026D">
              <w:rPr>
                <w:sz w:val="20"/>
                <w:szCs w:val="20"/>
              </w:rPr>
              <w:t>-encourager les enseignants à développer un esprit entrepreneurial.</w:t>
            </w:r>
          </w:p>
        </w:tc>
      </w:tr>
      <w:tr w:rsidR="00D80693" w:rsidRPr="008C026D" w14:paraId="0E5A57A0" w14:textId="77777777" w:rsidTr="00D72320">
        <w:trPr>
          <w:cantSplit/>
        </w:trPr>
        <w:tc>
          <w:tcPr>
            <w:tcW w:w="2263" w:type="dxa"/>
          </w:tcPr>
          <w:p w14:paraId="4114B665" w14:textId="77777777" w:rsidR="00D80693" w:rsidRPr="008C026D" w:rsidRDefault="00D80693" w:rsidP="00D72320">
            <w:pPr>
              <w:jc w:val="both"/>
              <w:rPr>
                <w:sz w:val="20"/>
                <w:szCs w:val="20"/>
              </w:rPr>
            </w:pPr>
            <w:r w:rsidRPr="008C026D">
              <w:rPr>
                <w:sz w:val="20"/>
                <w:szCs w:val="20"/>
              </w:rPr>
              <w:t>Sensibilisation et promotion de l'EFTP</w:t>
            </w:r>
          </w:p>
        </w:tc>
        <w:tc>
          <w:tcPr>
            <w:tcW w:w="6797" w:type="dxa"/>
          </w:tcPr>
          <w:p w14:paraId="52A6192E" w14:textId="77777777" w:rsidR="00D80693" w:rsidRPr="008C026D" w:rsidRDefault="00D80693" w:rsidP="00D72320">
            <w:pPr>
              <w:jc w:val="both"/>
              <w:rPr>
                <w:sz w:val="20"/>
                <w:szCs w:val="20"/>
              </w:rPr>
            </w:pPr>
            <w:r w:rsidRPr="008C026D">
              <w:rPr>
                <w:sz w:val="20"/>
                <w:szCs w:val="20"/>
              </w:rPr>
              <w:t>-promouvoir les avantages de l'EFTP auprès des jeunes et de leurs familles par des campagnes de sensibilisation ;</w:t>
            </w:r>
          </w:p>
          <w:p w14:paraId="4920E768" w14:textId="77777777" w:rsidR="00D80693" w:rsidRPr="008C026D" w:rsidRDefault="00D80693" w:rsidP="00D72320">
            <w:pPr>
              <w:jc w:val="both"/>
              <w:rPr>
                <w:sz w:val="20"/>
                <w:szCs w:val="20"/>
              </w:rPr>
            </w:pPr>
            <w:r w:rsidRPr="008C026D">
              <w:rPr>
                <w:sz w:val="20"/>
                <w:szCs w:val="20"/>
              </w:rPr>
              <w:t>-améliorer la perception de l’EFTP en soulignant son importance pour le développement économique du pays.</w:t>
            </w:r>
          </w:p>
        </w:tc>
      </w:tr>
      <w:tr w:rsidR="00D80693" w:rsidRPr="008C026D" w14:paraId="34CC9CBF" w14:textId="77777777" w:rsidTr="00D72320">
        <w:trPr>
          <w:cantSplit/>
        </w:trPr>
        <w:tc>
          <w:tcPr>
            <w:tcW w:w="2263" w:type="dxa"/>
          </w:tcPr>
          <w:p w14:paraId="3AE05C9B" w14:textId="77777777" w:rsidR="00D80693" w:rsidRPr="008C026D" w:rsidRDefault="00D80693" w:rsidP="00D72320">
            <w:pPr>
              <w:jc w:val="both"/>
              <w:rPr>
                <w:sz w:val="20"/>
                <w:szCs w:val="20"/>
              </w:rPr>
            </w:pPr>
            <w:r w:rsidRPr="008C026D">
              <w:rPr>
                <w:sz w:val="20"/>
                <w:szCs w:val="20"/>
              </w:rPr>
              <w:t>Intégration des TIC et innovation :</w:t>
            </w:r>
          </w:p>
        </w:tc>
        <w:tc>
          <w:tcPr>
            <w:tcW w:w="6797" w:type="dxa"/>
          </w:tcPr>
          <w:p w14:paraId="4C4D8B16" w14:textId="77777777" w:rsidR="00D80693" w:rsidRPr="008C026D" w:rsidRDefault="00D80693" w:rsidP="00D72320">
            <w:pPr>
              <w:jc w:val="both"/>
              <w:rPr>
                <w:sz w:val="20"/>
                <w:szCs w:val="20"/>
              </w:rPr>
            </w:pPr>
            <w:r w:rsidRPr="008C026D">
              <w:rPr>
                <w:sz w:val="20"/>
                <w:szCs w:val="20"/>
              </w:rPr>
              <w:t>-intégrer les technologies de l'information et de la communication (TIC) dans les programmes d'EFTP pour mieux préparer les étudiants aux emplois du futur ;</w:t>
            </w:r>
          </w:p>
          <w:p w14:paraId="55DDB098" w14:textId="77777777" w:rsidR="00D80693" w:rsidRPr="008C026D" w:rsidRDefault="00D80693" w:rsidP="00D72320">
            <w:pPr>
              <w:jc w:val="both"/>
              <w:rPr>
                <w:sz w:val="20"/>
                <w:szCs w:val="20"/>
              </w:rPr>
            </w:pPr>
            <w:r w:rsidRPr="008C026D">
              <w:rPr>
                <w:sz w:val="20"/>
                <w:szCs w:val="20"/>
              </w:rPr>
              <w:t>-développer des modules de formation en ligne pour compléter l’offre de formation.</w:t>
            </w:r>
          </w:p>
        </w:tc>
      </w:tr>
    </w:tbl>
    <w:p w14:paraId="28A629F3" w14:textId="77777777" w:rsidR="00D80693" w:rsidRPr="0007424B" w:rsidRDefault="00D80693" w:rsidP="00D80693">
      <w:pPr>
        <w:jc w:val="center"/>
        <w:rPr>
          <w:rFonts w:eastAsia="Aptos"/>
          <w:i/>
          <w:iCs/>
          <w:kern w:val="2"/>
          <w14:ligatures w14:val="standardContextual"/>
        </w:rPr>
      </w:pPr>
      <w:bookmarkStart w:id="26" w:name="_Toc181608934"/>
      <w:bookmarkStart w:id="27" w:name="_Toc186086576"/>
      <w:bookmarkStart w:id="28" w:name="_Toc186090371"/>
      <w:proofErr w:type="gramStart"/>
      <w:r w:rsidRPr="0007424B">
        <w:rPr>
          <w:rFonts w:eastAsia="Aptos"/>
          <w:i/>
          <w:iCs/>
          <w:kern w:val="2"/>
          <w14:ligatures w14:val="standardContextual"/>
        </w:rPr>
        <w:t>Source:</w:t>
      </w:r>
      <w:proofErr w:type="gramEnd"/>
      <w:r w:rsidRPr="0007424B">
        <w:rPr>
          <w:rFonts w:eastAsia="Aptos"/>
          <w:i/>
          <w:iCs/>
          <w:kern w:val="2"/>
          <w14:ligatures w14:val="standardContextual"/>
        </w:rPr>
        <w:t xml:space="preserve"> S</w:t>
      </w:r>
      <w:r>
        <w:rPr>
          <w:rFonts w:eastAsia="Aptos"/>
          <w:i/>
          <w:iCs/>
          <w:kern w:val="2"/>
          <w14:ligatures w14:val="standardContextual"/>
        </w:rPr>
        <w:t>avadogo</w:t>
      </w:r>
      <w:r w:rsidRPr="0007424B">
        <w:rPr>
          <w:rFonts w:eastAsia="Aptos"/>
          <w:i/>
          <w:iCs/>
          <w:kern w:val="2"/>
          <w14:ligatures w14:val="standardContextual"/>
        </w:rPr>
        <w:t>, Y. A.  (2024)</w:t>
      </w:r>
    </w:p>
    <w:p w14:paraId="09A40B99" w14:textId="77777777" w:rsidR="00D80693" w:rsidRDefault="00D80693" w:rsidP="00D80693">
      <w:pPr>
        <w:jc w:val="both"/>
        <w:rPr>
          <w:rFonts w:eastAsia="Aptos"/>
          <w:kern w:val="2"/>
          <w14:ligatures w14:val="standardContextual"/>
        </w:rPr>
      </w:pPr>
    </w:p>
    <w:p w14:paraId="25170282" w14:textId="29BA26E1" w:rsidR="00D80693" w:rsidRPr="00813D27" w:rsidRDefault="00D80693" w:rsidP="00D80693">
      <w:pPr>
        <w:jc w:val="both"/>
        <w:rPr>
          <w:rFonts w:eastAsia="Aptos"/>
          <w:kern w:val="2"/>
          <w:sz w:val="24"/>
          <w:szCs w:val="24"/>
          <w14:ligatures w14:val="standardContextual"/>
        </w:rPr>
      </w:pPr>
      <w:r w:rsidRPr="00260964">
        <w:rPr>
          <w:rFonts w:eastAsia="Aptos"/>
          <w:kern w:val="2"/>
          <w:sz w:val="24"/>
          <w:szCs w:val="24"/>
          <w14:ligatures w14:val="standardContextual"/>
        </w:rPr>
        <w:t xml:space="preserve">Les recommandations du tableau ci-dessus, bien que pertinentes, ne sont pas opérationnelles car elles manquent de quantification et leur faisabilité n’est pas évaluée. Un modèle de simulation comme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permet de transformer ces idées intuitives et empiriques en plans d'action concrets en évaluant les coûts, les bénéfices et les effets à long terme de chaque mesure sur le système éducatif. Par exemple,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permettrait de déterminer l'investissement nécessaire pour moderniser les infrastructures, le nombre de formateurs qualifiés à recruter. Un modèle de simulation permet d’évaluer la faisabilité de chaque mesure et l’adapter aux ressources disponibles.</w:t>
      </w:r>
    </w:p>
    <w:bookmarkEnd w:id="26"/>
    <w:bookmarkEnd w:id="27"/>
    <w:bookmarkEnd w:id="28"/>
    <w:p w14:paraId="7EC8095E" w14:textId="77777777" w:rsidR="00D80693" w:rsidRPr="00260964" w:rsidRDefault="00D80693" w:rsidP="00D80693">
      <w:pPr>
        <w:pStyle w:val="Paragraphedeliste"/>
        <w:widowControl/>
        <w:numPr>
          <w:ilvl w:val="2"/>
          <w:numId w:val="142"/>
        </w:numPr>
        <w:autoSpaceDE/>
        <w:autoSpaceDN/>
        <w:spacing w:before="100" w:beforeAutospacing="1" w:after="100" w:afterAutospacing="1"/>
        <w:contextualSpacing/>
        <w:rPr>
          <w:b/>
          <w:bCs/>
          <w:i/>
          <w:iCs/>
        </w:rPr>
      </w:pPr>
      <w:r w:rsidRPr="00260964">
        <w:rPr>
          <w:b/>
          <w:bCs/>
          <w:i/>
          <w:iCs/>
        </w:rPr>
        <w:t>Une faible maîtrise des outils de simulation des politiques éducatives</w:t>
      </w:r>
    </w:p>
    <w:p w14:paraId="5B1C5AAD" w14:textId="77777777" w:rsidR="00D80693" w:rsidRPr="00260964" w:rsidRDefault="00D80693" w:rsidP="00813D27">
      <w:pPr>
        <w:spacing w:before="100" w:beforeAutospacing="1" w:after="100" w:afterAutospacing="1"/>
        <w:jc w:val="both"/>
        <w:rPr>
          <w:sz w:val="24"/>
          <w:szCs w:val="24"/>
        </w:rPr>
      </w:pPr>
      <w:r w:rsidRPr="00260964">
        <w:rPr>
          <w:sz w:val="24"/>
          <w:szCs w:val="24"/>
        </w:rPr>
        <w:t>Si les acteurs de l’EFTP ont une bonne compréhension des problèmes structurels, ils apparaissent en revanche très peu familiarisés avec les outils qui pourraient améliorer la planification du secteur. L'enquête révèle que :</w:t>
      </w:r>
    </w:p>
    <w:p w14:paraId="69CF7EAE" w14:textId="77777777" w:rsidR="00D80693" w:rsidRPr="00260964" w:rsidRDefault="00D80693" w:rsidP="00D80693">
      <w:pPr>
        <w:widowControl/>
        <w:numPr>
          <w:ilvl w:val="0"/>
          <w:numId w:val="144"/>
        </w:numPr>
        <w:autoSpaceDE/>
        <w:autoSpaceDN/>
        <w:spacing w:before="100" w:beforeAutospacing="1" w:after="100" w:afterAutospacing="1"/>
        <w:jc w:val="both"/>
        <w:rPr>
          <w:sz w:val="24"/>
          <w:szCs w:val="24"/>
        </w:rPr>
      </w:pPr>
      <w:r w:rsidRPr="00260964">
        <w:rPr>
          <w:sz w:val="24"/>
          <w:szCs w:val="24"/>
        </w:rPr>
        <w:t>78,94% des répondants n'ont jamais été impliqués dans l’élaboration des politiques de l'EFTP.</w:t>
      </w:r>
    </w:p>
    <w:p w14:paraId="583BBF43" w14:textId="77777777" w:rsidR="00D80693" w:rsidRPr="00260964" w:rsidRDefault="00D80693" w:rsidP="00D80693">
      <w:pPr>
        <w:widowControl/>
        <w:numPr>
          <w:ilvl w:val="0"/>
          <w:numId w:val="144"/>
        </w:numPr>
        <w:autoSpaceDE/>
        <w:autoSpaceDN/>
        <w:spacing w:before="100" w:beforeAutospacing="1" w:after="100" w:afterAutospacing="1"/>
        <w:jc w:val="both"/>
        <w:rPr>
          <w:sz w:val="24"/>
          <w:szCs w:val="24"/>
        </w:rPr>
      </w:pPr>
      <w:r w:rsidRPr="00260964">
        <w:rPr>
          <w:sz w:val="24"/>
          <w:szCs w:val="24"/>
        </w:rPr>
        <w:t>72,22% des enquêtés n'ont jamais utilisé un modèle de simulation des politiques éducatives.</w:t>
      </w:r>
    </w:p>
    <w:p w14:paraId="07255651" w14:textId="77777777" w:rsidR="00D80693" w:rsidRPr="00260964" w:rsidRDefault="00D80693" w:rsidP="00D80693">
      <w:pPr>
        <w:widowControl/>
        <w:numPr>
          <w:ilvl w:val="0"/>
          <w:numId w:val="144"/>
        </w:numPr>
        <w:autoSpaceDE/>
        <w:autoSpaceDN/>
        <w:spacing w:before="100" w:beforeAutospacing="1" w:after="100" w:afterAutospacing="1"/>
        <w:jc w:val="both"/>
        <w:rPr>
          <w:sz w:val="24"/>
          <w:szCs w:val="24"/>
        </w:rPr>
      </w:pPr>
      <w:r w:rsidRPr="00260964">
        <w:rPr>
          <w:sz w:val="24"/>
          <w:szCs w:val="24"/>
        </w:rPr>
        <w:t xml:space="preserve">Seul un modèle (MSFE) est mentionné, alors que </w:t>
      </w:r>
      <w:proofErr w:type="spellStart"/>
      <w:r w:rsidRPr="00260964">
        <w:rPr>
          <w:sz w:val="24"/>
          <w:szCs w:val="24"/>
        </w:rPr>
        <w:t>SimuED</w:t>
      </w:r>
      <w:proofErr w:type="spellEnd"/>
      <w:r w:rsidRPr="00260964">
        <w:rPr>
          <w:sz w:val="24"/>
          <w:szCs w:val="24"/>
        </w:rPr>
        <w:t xml:space="preserve"> est totalement inconnu des répondants.</w:t>
      </w:r>
    </w:p>
    <w:p w14:paraId="3E6D2742" w14:textId="77777777" w:rsidR="00D80693" w:rsidRPr="00260964" w:rsidRDefault="00D80693" w:rsidP="00D80693">
      <w:pPr>
        <w:widowControl/>
        <w:numPr>
          <w:ilvl w:val="0"/>
          <w:numId w:val="144"/>
        </w:numPr>
        <w:autoSpaceDE/>
        <w:autoSpaceDN/>
        <w:spacing w:before="100" w:beforeAutospacing="1" w:after="100" w:afterAutospacing="1"/>
        <w:jc w:val="both"/>
        <w:rPr>
          <w:sz w:val="24"/>
          <w:szCs w:val="24"/>
        </w:rPr>
      </w:pPr>
      <w:r w:rsidRPr="00260964">
        <w:rPr>
          <w:sz w:val="24"/>
          <w:szCs w:val="24"/>
        </w:rPr>
        <w:t xml:space="preserve">Aucune donnée exploitable n'a été recueillie sur la perception de </w:t>
      </w:r>
      <w:proofErr w:type="spellStart"/>
      <w:r w:rsidRPr="00260964">
        <w:rPr>
          <w:sz w:val="24"/>
          <w:szCs w:val="24"/>
        </w:rPr>
        <w:t>SimuED</w:t>
      </w:r>
      <w:proofErr w:type="spellEnd"/>
      <w:r w:rsidRPr="00260964">
        <w:rPr>
          <w:sz w:val="24"/>
          <w:szCs w:val="24"/>
        </w:rPr>
        <w:t>, suggérant un manque total d'exposition à cet outil.</w:t>
      </w:r>
      <w:bookmarkStart w:id="29" w:name="_Toc181606827"/>
    </w:p>
    <w:p w14:paraId="7C87F3E7" w14:textId="77777777" w:rsidR="00D80693" w:rsidRPr="00813D27" w:rsidRDefault="00D80693" w:rsidP="00813D27">
      <w:pPr>
        <w:spacing w:before="100" w:beforeAutospacing="1" w:after="100" w:afterAutospacing="1"/>
        <w:jc w:val="both"/>
        <w:rPr>
          <w:sz w:val="24"/>
          <w:szCs w:val="24"/>
          <w:highlight w:val="yellow"/>
        </w:rPr>
      </w:pPr>
      <w:r w:rsidRPr="00813D27">
        <w:rPr>
          <w:rFonts w:eastAsia="Aptos"/>
          <w:kern w:val="2"/>
          <w:sz w:val="24"/>
          <w:szCs w:val="24"/>
          <w14:ligatures w14:val="standardContextual"/>
        </w:rPr>
        <w:t>Le tableau n°9 résume les résultats des enquêtes sur la familiarité avec les outils de simulation.</w:t>
      </w:r>
    </w:p>
    <w:p w14:paraId="06A4D876" w14:textId="77777777" w:rsidR="00D80693" w:rsidRPr="0092728C" w:rsidRDefault="00D80693" w:rsidP="00D80693">
      <w:pPr>
        <w:keepNext/>
        <w:jc w:val="center"/>
        <w:rPr>
          <w:rFonts w:eastAsia="Calibri"/>
          <w:b/>
          <w:bCs/>
          <w:i/>
        </w:rPr>
      </w:pPr>
      <w:r w:rsidRPr="00234F35">
        <w:rPr>
          <w:rFonts w:eastAsia="Calibri"/>
          <w:b/>
          <w:bCs/>
          <w:i/>
        </w:rPr>
        <w:t xml:space="preserve">Tableau </w:t>
      </w:r>
      <w:r>
        <w:rPr>
          <w:rFonts w:eastAsia="Calibri"/>
          <w:b/>
          <w:bCs/>
          <w:i/>
        </w:rPr>
        <w:t>n°9</w:t>
      </w:r>
      <w:r w:rsidRPr="00234F35">
        <w:rPr>
          <w:rFonts w:eastAsia="Calibri"/>
          <w:b/>
          <w:bCs/>
          <w:i/>
        </w:rPr>
        <w:t xml:space="preserve"> : Résultats des enquêtes sur la familiarité avec les outils de simulation</w:t>
      </w:r>
      <w:bookmarkEnd w:id="29"/>
    </w:p>
    <w:tbl>
      <w:tblPr>
        <w:tblStyle w:val="TableGrid0"/>
        <w:tblW w:w="0" w:type="auto"/>
        <w:tblLook w:val="04A0" w:firstRow="1" w:lastRow="0" w:firstColumn="1" w:lastColumn="0" w:noHBand="0" w:noVBand="1"/>
      </w:tblPr>
      <w:tblGrid>
        <w:gridCol w:w="3964"/>
        <w:gridCol w:w="2253"/>
        <w:gridCol w:w="2843"/>
      </w:tblGrid>
      <w:tr w:rsidR="00D80693" w:rsidRPr="008C026D" w14:paraId="26F308CB" w14:textId="77777777" w:rsidTr="00322328">
        <w:trPr>
          <w:trHeight w:val="408"/>
          <w:tblHeader/>
        </w:trPr>
        <w:tc>
          <w:tcPr>
            <w:tcW w:w="3964" w:type="dxa"/>
          </w:tcPr>
          <w:p w14:paraId="7D10DDF0" w14:textId="77777777" w:rsidR="00D80693" w:rsidRPr="008C026D" w:rsidRDefault="00D80693" w:rsidP="00D72320">
            <w:pPr>
              <w:rPr>
                <w:sz w:val="18"/>
                <w:szCs w:val="18"/>
              </w:rPr>
            </w:pPr>
            <w:r w:rsidRPr="008C026D">
              <w:rPr>
                <w:sz w:val="18"/>
                <w:szCs w:val="18"/>
              </w:rPr>
              <w:t>Question</w:t>
            </w:r>
          </w:p>
        </w:tc>
        <w:tc>
          <w:tcPr>
            <w:tcW w:w="2253" w:type="dxa"/>
          </w:tcPr>
          <w:p w14:paraId="0B1F2D70" w14:textId="77777777" w:rsidR="00D80693" w:rsidRPr="008C026D" w:rsidRDefault="00D80693" w:rsidP="00D72320">
            <w:pPr>
              <w:rPr>
                <w:sz w:val="18"/>
                <w:szCs w:val="18"/>
              </w:rPr>
            </w:pPr>
            <w:r w:rsidRPr="008C026D">
              <w:rPr>
                <w:sz w:val="18"/>
                <w:szCs w:val="18"/>
              </w:rPr>
              <w:t>Résultats</w:t>
            </w:r>
          </w:p>
        </w:tc>
        <w:tc>
          <w:tcPr>
            <w:tcW w:w="0" w:type="auto"/>
          </w:tcPr>
          <w:p w14:paraId="461ECEDF" w14:textId="77777777" w:rsidR="00D80693" w:rsidRPr="008C026D" w:rsidRDefault="00D80693" w:rsidP="00D72320">
            <w:pPr>
              <w:jc w:val="both"/>
              <w:rPr>
                <w:sz w:val="18"/>
                <w:szCs w:val="18"/>
              </w:rPr>
            </w:pPr>
            <w:r w:rsidRPr="008C026D">
              <w:rPr>
                <w:sz w:val="18"/>
                <w:szCs w:val="18"/>
              </w:rPr>
              <w:t>Commentaire</w:t>
            </w:r>
          </w:p>
        </w:tc>
      </w:tr>
      <w:tr w:rsidR="00D80693" w:rsidRPr="008C026D" w14:paraId="4C1AE24F" w14:textId="77777777" w:rsidTr="00322328">
        <w:trPr>
          <w:trHeight w:val="1001"/>
        </w:trPr>
        <w:tc>
          <w:tcPr>
            <w:tcW w:w="3964" w:type="dxa"/>
          </w:tcPr>
          <w:p w14:paraId="54A52E09" w14:textId="77777777" w:rsidR="00D80693" w:rsidRPr="008C026D" w:rsidRDefault="00D80693" w:rsidP="00D72320">
            <w:pPr>
              <w:jc w:val="both"/>
              <w:rPr>
                <w:sz w:val="18"/>
                <w:szCs w:val="18"/>
              </w:rPr>
            </w:pPr>
            <w:r w:rsidRPr="008C026D">
              <w:rPr>
                <w:sz w:val="18"/>
                <w:szCs w:val="18"/>
              </w:rPr>
              <w:t xml:space="preserve">Avez-vous déjà été impliqué(e) à l'élaboration des politiques de l'EFTP au Burkina </w:t>
            </w:r>
            <w:proofErr w:type="gramStart"/>
            <w:r w:rsidRPr="008C026D">
              <w:rPr>
                <w:sz w:val="18"/>
                <w:szCs w:val="18"/>
              </w:rPr>
              <w:t>Faso?</w:t>
            </w:r>
            <w:proofErr w:type="gramEnd"/>
          </w:p>
        </w:tc>
        <w:tc>
          <w:tcPr>
            <w:tcW w:w="2253" w:type="dxa"/>
          </w:tcPr>
          <w:p w14:paraId="5FE3E463" w14:textId="77777777" w:rsidR="00D80693" w:rsidRPr="008C026D" w:rsidRDefault="00D80693" w:rsidP="00D72320">
            <w:pPr>
              <w:rPr>
                <w:sz w:val="18"/>
                <w:szCs w:val="18"/>
              </w:rPr>
            </w:pPr>
            <w:r w:rsidRPr="008C026D">
              <w:rPr>
                <w:sz w:val="18"/>
                <w:szCs w:val="18"/>
              </w:rPr>
              <w:t>Nombres de réponses :19</w:t>
            </w:r>
          </w:p>
          <w:p w14:paraId="44BD90FE" w14:textId="77777777" w:rsidR="00D80693" w:rsidRPr="008C026D" w:rsidRDefault="00D80693" w:rsidP="00D72320">
            <w:pPr>
              <w:rPr>
                <w:sz w:val="18"/>
                <w:szCs w:val="18"/>
              </w:rPr>
            </w:pPr>
            <w:r w:rsidRPr="008C026D">
              <w:rPr>
                <w:sz w:val="18"/>
                <w:szCs w:val="18"/>
              </w:rPr>
              <w:t>Oui : 4 réponses</w:t>
            </w:r>
          </w:p>
          <w:p w14:paraId="377030BF" w14:textId="77777777" w:rsidR="00D80693" w:rsidRPr="008C026D" w:rsidRDefault="00D80693" w:rsidP="00D72320">
            <w:pPr>
              <w:rPr>
                <w:sz w:val="18"/>
                <w:szCs w:val="18"/>
              </w:rPr>
            </w:pPr>
            <w:r w:rsidRPr="008C026D">
              <w:rPr>
                <w:sz w:val="18"/>
                <w:szCs w:val="18"/>
              </w:rPr>
              <w:t xml:space="preserve">Non : 15 réponses </w:t>
            </w:r>
          </w:p>
        </w:tc>
        <w:tc>
          <w:tcPr>
            <w:tcW w:w="0" w:type="auto"/>
          </w:tcPr>
          <w:p w14:paraId="660AEC5F" w14:textId="77777777" w:rsidR="00D80693" w:rsidRPr="008C026D" w:rsidRDefault="00D80693" w:rsidP="00D72320">
            <w:pPr>
              <w:jc w:val="both"/>
              <w:rPr>
                <w:sz w:val="18"/>
                <w:szCs w:val="18"/>
              </w:rPr>
            </w:pPr>
            <w:r w:rsidRPr="008C026D">
              <w:rPr>
                <w:sz w:val="18"/>
                <w:szCs w:val="18"/>
              </w:rPr>
              <w:t>La majorité des participants (78,94%) n'ont jamais été impliqués dans les politiques de l'EFTP.</w:t>
            </w:r>
          </w:p>
        </w:tc>
      </w:tr>
      <w:tr w:rsidR="00D80693" w:rsidRPr="008C026D" w14:paraId="4E609402" w14:textId="77777777" w:rsidTr="00322328">
        <w:trPr>
          <w:trHeight w:val="147"/>
        </w:trPr>
        <w:tc>
          <w:tcPr>
            <w:tcW w:w="3964" w:type="dxa"/>
          </w:tcPr>
          <w:p w14:paraId="3E68DCD2" w14:textId="77777777" w:rsidR="00D80693" w:rsidRPr="008C026D" w:rsidRDefault="00D80693" w:rsidP="00D72320">
            <w:pPr>
              <w:jc w:val="both"/>
              <w:rPr>
                <w:sz w:val="18"/>
                <w:szCs w:val="18"/>
              </w:rPr>
            </w:pPr>
            <w:r w:rsidRPr="008C026D">
              <w:rPr>
                <w:sz w:val="18"/>
                <w:szCs w:val="18"/>
              </w:rPr>
              <w:t>Êtes-vous un acteur intervenant dans la simulation des politiques éducatives au Burkina Faso ?</w:t>
            </w:r>
          </w:p>
        </w:tc>
        <w:tc>
          <w:tcPr>
            <w:tcW w:w="2253" w:type="dxa"/>
          </w:tcPr>
          <w:p w14:paraId="57EC423F" w14:textId="77777777" w:rsidR="00D80693" w:rsidRPr="008C026D" w:rsidRDefault="00D80693" w:rsidP="00D72320">
            <w:pPr>
              <w:rPr>
                <w:sz w:val="18"/>
                <w:szCs w:val="18"/>
              </w:rPr>
            </w:pPr>
            <w:r w:rsidRPr="008C026D">
              <w:rPr>
                <w:sz w:val="18"/>
                <w:szCs w:val="18"/>
              </w:rPr>
              <w:t>Nombres de réponses : 18</w:t>
            </w:r>
          </w:p>
          <w:p w14:paraId="1DB6628D" w14:textId="77777777" w:rsidR="00D80693" w:rsidRPr="008C026D" w:rsidRDefault="00D80693" w:rsidP="00D72320">
            <w:pPr>
              <w:rPr>
                <w:sz w:val="18"/>
                <w:szCs w:val="18"/>
              </w:rPr>
            </w:pPr>
            <w:r w:rsidRPr="008C026D">
              <w:rPr>
                <w:sz w:val="18"/>
                <w:szCs w:val="18"/>
              </w:rPr>
              <w:t>Oui : 5 réponses</w:t>
            </w:r>
          </w:p>
          <w:p w14:paraId="78EF71C4" w14:textId="7E9D7DA3" w:rsidR="008C026D" w:rsidRPr="008C026D" w:rsidRDefault="00D80693" w:rsidP="008C026D">
            <w:pPr>
              <w:rPr>
                <w:sz w:val="18"/>
                <w:szCs w:val="18"/>
              </w:rPr>
            </w:pPr>
            <w:r w:rsidRPr="008C026D">
              <w:rPr>
                <w:sz w:val="18"/>
                <w:szCs w:val="18"/>
              </w:rPr>
              <w:t>Non : 13 réponses</w:t>
            </w:r>
          </w:p>
        </w:tc>
        <w:tc>
          <w:tcPr>
            <w:tcW w:w="0" w:type="auto"/>
          </w:tcPr>
          <w:p w14:paraId="14EC7566" w14:textId="77777777" w:rsidR="00D80693" w:rsidRPr="008C026D" w:rsidRDefault="00D80693" w:rsidP="00D72320">
            <w:pPr>
              <w:jc w:val="both"/>
              <w:rPr>
                <w:sz w:val="18"/>
                <w:szCs w:val="18"/>
              </w:rPr>
            </w:pPr>
            <w:r w:rsidRPr="008C026D">
              <w:rPr>
                <w:sz w:val="18"/>
                <w:szCs w:val="18"/>
              </w:rPr>
              <w:t>Peu de participants (27,78%) sont intervenus dans la simulation des politiques éducatives.</w:t>
            </w:r>
          </w:p>
        </w:tc>
      </w:tr>
      <w:tr w:rsidR="00D80693" w:rsidRPr="008C026D" w14:paraId="0D39D8BD" w14:textId="77777777" w:rsidTr="00322328">
        <w:trPr>
          <w:trHeight w:val="715"/>
        </w:trPr>
        <w:tc>
          <w:tcPr>
            <w:tcW w:w="3964" w:type="dxa"/>
          </w:tcPr>
          <w:p w14:paraId="6A1AF547" w14:textId="77777777" w:rsidR="00D80693" w:rsidRPr="008C026D" w:rsidRDefault="00D80693" w:rsidP="00D72320">
            <w:pPr>
              <w:jc w:val="both"/>
              <w:rPr>
                <w:sz w:val="18"/>
                <w:szCs w:val="18"/>
              </w:rPr>
            </w:pPr>
            <w:r w:rsidRPr="008C026D">
              <w:rPr>
                <w:sz w:val="18"/>
                <w:szCs w:val="18"/>
              </w:rPr>
              <w:t>Quel est le modèle (ou quels sont les modèles) de simulation que vous avez déjà utilisé(s) en tant qu’acteur intervenant dans la simulation des politiques éducatives au Burkina Faso ?</w:t>
            </w:r>
          </w:p>
        </w:tc>
        <w:tc>
          <w:tcPr>
            <w:tcW w:w="2253" w:type="dxa"/>
          </w:tcPr>
          <w:p w14:paraId="27409BDB" w14:textId="77777777" w:rsidR="00D80693" w:rsidRPr="008C026D" w:rsidRDefault="00D80693" w:rsidP="00D72320">
            <w:pPr>
              <w:rPr>
                <w:sz w:val="18"/>
                <w:szCs w:val="18"/>
              </w:rPr>
            </w:pPr>
          </w:p>
          <w:p w14:paraId="74A7EC15" w14:textId="77777777" w:rsidR="00D80693" w:rsidRPr="008C026D" w:rsidRDefault="00D80693" w:rsidP="00D72320">
            <w:pPr>
              <w:rPr>
                <w:sz w:val="18"/>
                <w:szCs w:val="18"/>
              </w:rPr>
            </w:pPr>
            <w:r w:rsidRPr="008C026D">
              <w:rPr>
                <w:sz w:val="18"/>
                <w:szCs w:val="18"/>
              </w:rPr>
              <w:t xml:space="preserve">Nombres de réponses : </w:t>
            </w:r>
            <w:proofErr w:type="gramStart"/>
            <w:r w:rsidRPr="008C026D">
              <w:rPr>
                <w:sz w:val="18"/>
                <w:szCs w:val="18"/>
              </w:rPr>
              <w:t>2;</w:t>
            </w:r>
            <w:proofErr w:type="gramEnd"/>
            <w:r w:rsidRPr="008C026D">
              <w:rPr>
                <w:sz w:val="18"/>
                <w:szCs w:val="18"/>
              </w:rPr>
              <w:t xml:space="preserve"> </w:t>
            </w:r>
          </w:p>
        </w:tc>
        <w:tc>
          <w:tcPr>
            <w:tcW w:w="0" w:type="auto"/>
          </w:tcPr>
          <w:p w14:paraId="7B2673EA" w14:textId="4C10612B" w:rsidR="00D80693" w:rsidRPr="008C026D" w:rsidRDefault="00D80693" w:rsidP="008C026D">
            <w:pPr>
              <w:jc w:val="both"/>
              <w:rPr>
                <w:sz w:val="18"/>
                <w:szCs w:val="18"/>
              </w:rPr>
            </w:pPr>
            <w:proofErr w:type="gramStart"/>
            <w:r w:rsidRPr="008C026D">
              <w:rPr>
                <w:sz w:val="18"/>
                <w:szCs w:val="18"/>
              </w:rPr>
              <w:t>le</w:t>
            </w:r>
            <w:proofErr w:type="gramEnd"/>
            <w:r w:rsidRPr="008C026D">
              <w:rPr>
                <w:sz w:val="18"/>
                <w:szCs w:val="18"/>
              </w:rPr>
              <w:t xml:space="preserve"> modèle connu selon les répondants est le modèle de simulation financière de l’éducation (MSFE)</w:t>
            </w:r>
          </w:p>
        </w:tc>
      </w:tr>
      <w:tr w:rsidR="00D80693" w:rsidRPr="008C026D" w14:paraId="194FD084" w14:textId="77777777" w:rsidTr="00322328">
        <w:trPr>
          <w:trHeight w:val="159"/>
        </w:trPr>
        <w:tc>
          <w:tcPr>
            <w:tcW w:w="3964" w:type="dxa"/>
          </w:tcPr>
          <w:p w14:paraId="7F3C8088" w14:textId="77777777" w:rsidR="00D80693" w:rsidRPr="008C026D" w:rsidRDefault="00D80693" w:rsidP="00D72320">
            <w:pPr>
              <w:jc w:val="both"/>
              <w:rPr>
                <w:sz w:val="18"/>
                <w:szCs w:val="18"/>
              </w:rPr>
            </w:pPr>
            <w:r w:rsidRPr="008C026D">
              <w:rPr>
                <w:sz w:val="18"/>
                <w:szCs w:val="18"/>
              </w:rPr>
              <w:t xml:space="preserve">Connaissez-vous le modèle de simulation des politiques éducatives </w:t>
            </w:r>
            <w:proofErr w:type="spellStart"/>
            <w:r w:rsidRPr="008C026D">
              <w:rPr>
                <w:sz w:val="18"/>
                <w:szCs w:val="18"/>
              </w:rPr>
              <w:t>SimuED</w:t>
            </w:r>
            <w:proofErr w:type="spellEnd"/>
            <w:r w:rsidRPr="008C026D">
              <w:rPr>
                <w:sz w:val="18"/>
                <w:szCs w:val="18"/>
              </w:rPr>
              <w:t xml:space="preserve"> ? </w:t>
            </w:r>
          </w:p>
        </w:tc>
        <w:tc>
          <w:tcPr>
            <w:tcW w:w="2253" w:type="dxa"/>
          </w:tcPr>
          <w:p w14:paraId="4F1BD23F" w14:textId="77777777" w:rsidR="00D80693" w:rsidRPr="008C026D" w:rsidRDefault="00D80693" w:rsidP="00D72320">
            <w:pPr>
              <w:rPr>
                <w:sz w:val="18"/>
                <w:szCs w:val="18"/>
              </w:rPr>
            </w:pPr>
            <w:r w:rsidRPr="008C026D">
              <w:rPr>
                <w:sz w:val="18"/>
                <w:szCs w:val="18"/>
              </w:rPr>
              <w:t xml:space="preserve">Nombre de réponses : </w:t>
            </w:r>
            <w:proofErr w:type="gramStart"/>
            <w:r w:rsidRPr="008C026D">
              <w:rPr>
                <w:sz w:val="18"/>
                <w:szCs w:val="18"/>
              </w:rPr>
              <w:t>08;</w:t>
            </w:r>
            <w:proofErr w:type="gramEnd"/>
            <w:r w:rsidRPr="008C026D">
              <w:rPr>
                <w:sz w:val="18"/>
                <w:szCs w:val="18"/>
              </w:rPr>
              <w:t xml:space="preserve"> 100% de réponses NON.</w:t>
            </w:r>
          </w:p>
        </w:tc>
        <w:tc>
          <w:tcPr>
            <w:tcW w:w="0" w:type="auto"/>
          </w:tcPr>
          <w:p w14:paraId="795DAA01" w14:textId="77777777" w:rsidR="00D80693" w:rsidRPr="008C026D" w:rsidRDefault="00D80693" w:rsidP="00D72320">
            <w:pPr>
              <w:jc w:val="both"/>
              <w:rPr>
                <w:sz w:val="18"/>
                <w:szCs w:val="18"/>
              </w:rPr>
            </w:pPr>
            <w:r w:rsidRPr="008C026D">
              <w:rPr>
                <w:sz w:val="18"/>
                <w:szCs w:val="18"/>
              </w:rPr>
              <w:t xml:space="preserve">Le modèle </w:t>
            </w:r>
            <w:proofErr w:type="spellStart"/>
            <w:r w:rsidRPr="008C026D">
              <w:rPr>
                <w:sz w:val="18"/>
                <w:szCs w:val="18"/>
              </w:rPr>
              <w:t>SimuED</w:t>
            </w:r>
            <w:proofErr w:type="spellEnd"/>
            <w:r w:rsidRPr="008C026D">
              <w:rPr>
                <w:sz w:val="18"/>
                <w:szCs w:val="18"/>
              </w:rPr>
              <w:t xml:space="preserve"> est largement méconnu avec aucun répondant familier.</w:t>
            </w:r>
          </w:p>
        </w:tc>
      </w:tr>
      <w:tr w:rsidR="00D80693" w:rsidRPr="008C026D" w14:paraId="1AAE170A" w14:textId="77777777" w:rsidTr="00322328">
        <w:trPr>
          <w:trHeight w:val="408"/>
        </w:trPr>
        <w:tc>
          <w:tcPr>
            <w:tcW w:w="3964" w:type="dxa"/>
          </w:tcPr>
          <w:p w14:paraId="25FF1E03" w14:textId="77777777" w:rsidR="00D80693" w:rsidRPr="008C026D" w:rsidRDefault="00D80693" w:rsidP="00D72320">
            <w:pPr>
              <w:jc w:val="both"/>
              <w:rPr>
                <w:sz w:val="18"/>
                <w:szCs w:val="18"/>
              </w:rPr>
            </w:pPr>
            <w:r w:rsidRPr="008C026D">
              <w:rPr>
                <w:sz w:val="18"/>
                <w:szCs w:val="18"/>
              </w:rPr>
              <w:t xml:space="preserve">Questions liées à la perception du modèle </w:t>
            </w:r>
            <w:proofErr w:type="spellStart"/>
            <w:r w:rsidRPr="008C026D">
              <w:rPr>
                <w:sz w:val="18"/>
                <w:szCs w:val="18"/>
              </w:rPr>
              <w:t>SimuED</w:t>
            </w:r>
            <w:proofErr w:type="spellEnd"/>
          </w:p>
        </w:tc>
        <w:tc>
          <w:tcPr>
            <w:tcW w:w="2253" w:type="dxa"/>
          </w:tcPr>
          <w:p w14:paraId="472F2C8F" w14:textId="77777777" w:rsidR="00D80693" w:rsidRPr="008C026D" w:rsidRDefault="00D80693" w:rsidP="00D72320">
            <w:pPr>
              <w:rPr>
                <w:sz w:val="18"/>
                <w:szCs w:val="18"/>
              </w:rPr>
            </w:pPr>
            <w:r w:rsidRPr="008C026D">
              <w:rPr>
                <w:sz w:val="18"/>
                <w:szCs w:val="18"/>
              </w:rPr>
              <w:t>Aucune réponse</w:t>
            </w:r>
          </w:p>
        </w:tc>
        <w:tc>
          <w:tcPr>
            <w:tcW w:w="0" w:type="auto"/>
          </w:tcPr>
          <w:p w14:paraId="77CD511F" w14:textId="77777777" w:rsidR="00D80693" w:rsidRPr="008C026D" w:rsidRDefault="00D80693" w:rsidP="00D72320">
            <w:pPr>
              <w:jc w:val="both"/>
              <w:rPr>
                <w:sz w:val="18"/>
                <w:szCs w:val="18"/>
              </w:rPr>
            </w:pPr>
            <w:r w:rsidRPr="008C026D">
              <w:rPr>
                <w:sz w:val="18"/>
                <w:szCs w:val="18"/>
              </w:rPr>
              <w:t xml:space="preserve">Aucune donnée exploitable n'a été recueillie concernant la perception du modèle </w:t>
            </w:r>
            <w:proofErr w:type="spellStart"/>
            <w:r w:rsidRPr="008C026D">
              <w:rPr>
                <w:sz w:val="18"/>
                <w:szCs w:val="18"/>
              </w:rPr>
              <w:t>SimuED</w:t>
            </w:r>
            <w:proofErr w:type="spellEnd"/>
            <w:r w:rsidRPr="008C026D">
              <w:rPr>
                <w:sz w:val="18"/>
                <w:szCs w:val="18"/>
              </w:rPr>
              <w:t>.</w:t>
            </w:r>
          </w:p>
        </w:tc>
      </w:tr>
    </w:tbl>
    <w:p w14:paraId="23B68904" w14:textId="77777777" w:rsidR="00D80693" w:rsidRPr="005B6212" w:rsidRDefault="00D80693" w:rsidP="00D80693">
      <w:pPr>
        <w:jc w:val="center"/>
        <w:rPr>
          <w:rFonts w:eastAsia="Aptos"/>
          <w:i/>
          <w:iCs/>
          <w:kern w:val="2"/>
          <w14:ligatures w14:val="standardContextual"/>
        </w:rPr>
      </w:pPr>
      <w:proofErr w:type="gramStart"/>
      <w:r w:rsidRPr="0007424B">
        <w:rPr>
          <w:rFonts w:eastAsia="Aptos"/>
          <w:i/>
          <w:iCs/>
          <w:kern w:val="2"/>
          <w14:ligatures w14:val="standardContextual"/>
        </w:rPr>
        <w:t>Source:</w:t>
      </w:r>
      <w:proofErr w:type="gramEnd"/>
      <w:r w:rsidRPr="0007424B">
        <w:rPr>
          <w:rFonts w:eastAsia="Aptos"/>
          <w:i/>
          <w:iCs/>
          <w:kern w:val="2"/>
          <w14:ligatures w14:val="standardContextual"/>
        </w:rPr>
        <w:t xml:space="preserve"> S</w:t>
      </w:r>
      <w:r>
        <w:rPr>
          <w:rFonts w:eastAsia="Aptos"/>
          <w:i/>
          <w:iCs/>
          <w:kern w:val="2"/>
          <w14:ligatures w14:val="standardContextual"/>
        </w:rPr>
        <w:t>avadogo</w:t>
      </w:r>
      <w:r w:rsidRPr="0007424B">
        <w:rPr>
          <w:rFonts w:eastAsia="Aptos"/>
          <w:i/>
          <w:iCs/>
          <w:kern w:val="2"/>
          <w14:ligatures w14:val="standardContextual"/>
        </w:rPr>
        <w:t>, Y. A.  (2024)</w:t>
      </w:r>
    </w:p>
    <w:p w14:paraId="2CB322A4" w14:textId="77777777" w:rsidR="00D80693" w:rsidRDefault="00D80693" w:rsidP="00D80693">
      <w:pPr>
        <w:ind w:firstLine="284"/>
        <w:jc w:val="both"/>
        <w:rPr>
          <w:rFonts w:eastAsia="Aptos"/>
          <w:kern w:val="2"/>
          <w14:ligatures w14:val="standardContextual"/>
        </w:rPr>
      </w:pPr>
    </w:p>
    <w:p w14:paraId="6F44AC4A"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La faible implication des acteurs dans l'élaboration des politiques de l'EFTP et la méconnaissance quasi totale des outils de simulation comme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met en évidence un fossé entre le diagnostic des problèmes et la capacité à proposer des solutions opérationnelles. Les acteurs identifient les défis (tableau 5), font des recommandations pertinentes (tableau </w:t>
      </w:r>
      <w:r>
        <w:rPr>
          <w:rFonts w:eastAsia="Aptos"/>
          <w:kern w:val="2"/>
          <w:sz w:val="24"/>
          <w:szCs w:val="24"/>
          <w14:ligatures w14:val="standardContextual"/>
        </w:rPr>
        <w:t>n°8</w:t>
      </w:r>
      <w:r w:rsidRPr="00260964">
        <w:rPr>
          <w:rFonts w:eastAsia="Aptos"/>
          <w:kern w:val="2"/>
          <w:sz w:val="24"/>
          <w:szCs w:val="24"/>
          <w14:ligatures w14:val="standardContextual"/>
        </w:rPr>
        <w:t xml:space="preserve">), mais ne disposent pas des outils nécessaires pour analyser l’impact de leurs recommandations (tableau </w:t>
      </w:r>
      <w:r>
        <w:rPr>
          <w:rFonts w:eastAsia="Aptos"/>
          <w:kern w:val="2"/>
          <w:sz w:val="24"/>
          <w:szCs w:val="24"/>
          <w14:ligatures w14:val="standardContextual"/>
        </w:rPr>
        <w:t>n°9</w:t>
      </w:r>
      <w:r w:rsidRPr="00260964">
        <w:rPr>
          <w:rFonts w:eastAsia="Aptos"/>
          <w:kern w:val="2"/>
          <w:sz w:val="24"/>
          <w:szCs w:val="24"/>
          <w14:ligatures w14:val="standardContextual"/>
        </w:rPr>
        <w:t>).</w:t>
      </w:r>
    </w:p>
    <w:p w14:paraId="3892945C" w14:textId="77777777" w:rsidR="00D80693" w:rsidRPr="00260964" w:rsidRDefault="00D80693" w:rsidP="00D80693">
      <w:pPr>
        <w:pStyle w:val="Paragraphedeliste"/>
        <w:widowControl/>
        <w:numPr>
          <w:ilvl w:val="0"/>
          <w:numId w:val="142"/>
        </w:numPr>
        <w:autoSpaceDE/>
        <w:autoSpaceDN/>
        <w:spacing w:before="100" w:beforeAutospacing="1" w:after="100" w:afterAutospacing="1"/>
        <w:contextualSpacing/>
        <w:rPr>
          <w:b/>
          <w:bCs/>
          <w:sz w:val="28"/>
          <w:szCs w:val="28"/>
        </w:rPr>
      </w:pPr>
      <w:r w:rsidRPr="00260964">
        <w:rPr>
          <w:b/>
          <w:bCs/>
          <w:sz w:val="28"/>
          <w:szCs w:val="28"/>
        </w:rPr>
        <w:t>Discussion des résultats</w:t>
      </w:r>
    </w:p>
    <w:p w14:paraId="6A526277" w14:textId="77777777" w:rsidR="00D80693" w:rsidRPr="00260964" w:rsidRDefault="00D80693" w:rsidP="00D80693">
      <w:pPr>
        <w:pStyle w:val="Paragraphedeliste"/>
        <w:widowControl/>
        <w:numPr>
          <w:ilvl w:val="1"/>
          <w:numId w:val="142"/>
        </w:numPr>
        <w:autoSpaceDE/>
        <w:autoSpaceDN/>
        <w:spacing w:before="100" w:beforeAutospacing="1" w:after="100" w:afterAutospacing="1"/>
        <w:contextualSpacing/>
        <w:rPr>
          <w:b/>
          <w:bCs/>
          <w:sz w:val="24"/>
          <w:szCs w:val="24"/>
        </w:rPr>
      </w:pPr>
      <w:r w:rsidRPr="00260964">
        <w:rPr>
          <w:b/>
          <w:bCs/>
          <w:sz w:val="24"/>
          <w:szCs w:val="24"/>
        </w:rPr>
        <w:t>Une déconnexion entre perception des défis et outils d'aide à la décision</w:t>
      </w:r>
    </w:p>
    <w:p w14:paraId="75984F49" w14:textId="77777777" w:rsidR="00D80693" w:rsidRPr="00260964" w:rsidRDefault="00D80693" w:rsidP="00813D27">
      <w:pPr>
        <w:spacing w:before="100" w:beforeAutospacing="1" w:after="100" w:afterAutospacing="1"/>
        <w:jc w:val="both"/>
        <w:rPr>
          <w:sz w:val="24"/>
          <w:szCs w:val="24"/>
        </w:rPr>
      </w:pPr>
      <w:r w:rsidRPr="00260964">
        <w:rPr>
          <w:sz w:val="24"/>
          <w:szCs w:val="24"/>
        </w:rPr>
        <w:t xml:space="preserve">La faible familiarité des acteurs avec les modèles de simulation des politiques éducatives, notamment </w:t>
      </w:r>
      <w:proofErr w:type="spellStart"/>
      <w:r w:rsidRPr="00260964">
        <w:rPr>
          <w:sz w:val="24"/>
          <w:szCs w:val="24"/>
        </w:rPr>
        <w:t>SimuED</w:t>
      </w:r>
      <w:proofErr w:type="spellEnd"/>
      <w:r w:rsidRPr="00260964">
        <w:rPr>
          <w:sz w:val="24"/>
          <w:szCs w:val="24"/>
        </w:rPr>
        <w:t xml:space="preserve">, pose un problème majeur : les acteurs identifient les défis et formulent des recommandations pertinentes, mais ne disposent pas d’outils nécessaires pour évaluer et modéliser leurs effets ou impacts avant leur mise en œuvre. Les modèles de simulation doivent offrir une approche scientifique et prospective en modélisant divers scénarios et en anticipant leurs conséquences à court, moyen et long terme (G.-C. CHANG, 2006), (UNESCO-IIPE, 2015). Sans le recours à ces outils qui permettent d’évaluer la faisabilité et l’impact des différentes options politiques sur la base de données probantes, les recommandations formulées reposent essentiellement sur des jugements empiriques et subjectifs (M. </w:t>
      </w:r>
      <w:r w:rsidRPr="00260964">
        <w:rPr>
          <w:rFonts w:eastAsia="Aptos"/>
          <w:kern w:val="2"/>
          <w:sz w:val="24"/>
          <w:szCs w:val="24"/>
          <w14:ligatures w14:val="standardContextual"/>
        </w:rPr>
        <w:t>Bray &amp; N. V. Varghese, 2011), (L. M. Keyth, 2015)</w:t>
      </w:r>
      <w:r w:rsidRPr="00260964">
        <w:rPr>
          <w:sz w:val="24"/>
          <w:szCs w:val="24"/>
        </w:rPr>
        <w:t xml:space="preserve">. </w:t>
      </w:r>
    </w:p>
    <w:p w14:paraId="6F269E79" w14:textId="77777777" w:rsidR="00D80693" w:rsidRPr="00260964" w:rsidRDefault="00D80693" w:rsidP="00813D27">
      <w:pPr>
        <w:spacing w:before="100" w:beforeAutospacing="1" w:after="100" w:afterAutospacing="1"/>
        <w:jc w:val="both"/>
        <w:rPr>
          <w:sz w:val="24"/>
          <w:szCs w:val="24"/>
        </w:rPr>
      </w:pPr>
      <w:r w:rsidRPr="00260964">
        <w:rPr>
          <w:sz w:val="24"/>
          <w:szCs w:val="24"/>
        </w:rPr>
        <w:t xml:space="preserve">Cette situation peut s'expliquer par plusieurs facteurs : une formation insuffisante des acteurs à l’utilisation des modèles de simulation et une forte dépendance à l’expertise extérieure en matière de simulation des politiques éducatives. </w:t>
      </w:r>
    </w:p>
    <w:p w14:paraId="379A8B02" w14:textId="77777777" w:rsidR="00D80693" w:rsidRPr="00260964" w:rsidRDefault="00D80693" w:rsidP="00D80693">
      <w:pPr>
        <w:pStyle w:val="Paragraphedeliste"/>
        <w:widowControl/>
        <w:numPr>
          <w:ilvl w:val="1"/>
          <w:numId w:val="142"/>
        </w:numPr>
        <w:autoSpaceDE/>
        <w:autoSpaceDN/>
        <w:spacing w:before="100" w:beforeAutospacing="1" w:after="100" w:afterAutospacing="1"/>
        <w:contextualSpacing/>
        <w:rPr>
          <w:b/>
          <w:bCs/>
          <w:sz w:val="24"/>
          <w:szCs w:val="24"/>
        </w:rPr>
      </w:pPr>
      <w:r w:rsidRPr="00260964">
        <w:rPr>
          <w:b/>
          <w:bCs/>
          <w:sz w:val="24"/>
          <w:szCs w:val="24"/>
        </w:rPr>
        <w:t xml:space="preserve">Vers une adoption de </w:t>
      </w:r>
      <w:proofErr w:type="spellStart"/>
      <w:r w:rsidRPr="00260964">
        <w:rPr>
          <w:b/>
          <w:bCs/>
          <w:sz w:val="24"/>
          <w:szCs w:val="24"/>
        </w:rPr>
        <w:t>SimuED</w:t>
      </w:r>
      <w:proofErr w:type="spellEnd"/>
      <w:r w:rsidRPr="00260964">
        <w:rPr>
          <w:b/>
          <w:bCs/>
          <w:sz w:val="24"/>
          <w:szCs w:val="24"/>
        </w:rPr>
        <w:t xml:space="preserve"> pour une planification plus efficace</w:t>
      </w:r>
    </w:p>
    <w:p w14:paraId="3ED399BA" w14:textId="77777777" w:rsidR="00D80693" w:rsidRPr="00260964" w:rsidRDefault="00D80693" w:rsidP="00D80693">
      <w:pPr>
        <w:ind w:firstLine="360"/>
        <w:jc w:val="both"/>
        <w:rPr>
          <w:sz w:val="24"/>
          <w:szCs w:val="24"/>
        </w:rPr>
      </w:pPr>
      <w:r w:rsidRPr="00260964">
        <w:rPr>
          <w:sz w:val="24"/>
          <w:szCs w:val="24"/>
        </w:rPr>
        <w:t xml:space="preserve">L’enjeu n’est pas seulement d’identifier les problèmes, mais aussi de doter les acteurs d’outils performants pour élaborer des solutions viables et adaptées aux réalités nationales. </w:t>
      </w:r>
      <w:r w:rsidRPr="00260964">
        <w:rPr>
          <w:sz w:val="24"/>
          <w:szCs w:val="24"/>
          <w:lang w:val="en-US"/>
        </w:rPr>
        <w:t xml:space="preserve">Comme le </w:t>
      </w:r>
      <w:proofErr w:type="spellStart"/>
      <w:r w:rsidRPr="00260964">
        <w:rPr>
          <w:sz w:val="24"/>
          <w:szCs w:val="24"/>
          <w:lang w:val="en-US"/>
        </w:rPr>
        <w:t>souligne</w:t>
      </w:r>
      <w:proofErr w:type="spellEnd"/>
      <w:r w:rsidRPr="00260964">
        <w:rPr>
          <w:sz w:val="24"/>
          <w:szCs w:val="24"/>
          <w:lang w:val="en-US"/>
        </w:rPr>
        <w:t xml:space="preserve"> </w:t>
      </w:r>
      <w:r w:rsidRPr="00260964">
        <w:rPr>
          <w:rFonts w:eastAsia="Aptos"/>
          <w:kern w:val="2"/>
          <w:sz w:val="24"/>
          <w:szCs w:val="24"/>
          <w:lang w:val="en-US"/>
          <w14:ligatures w14:val="standardContextual"/>
        </w:rPr>
        <w:t>L. M. Keyth (2015, p. 126),</w:t>
      </w:r>
      <w:r w:rsidRPr="00260964">
        <w:rPr>
          <w:sz w:val="24"/>
          <w:szCs w:val="24"/>
          <w:lang w:val="en-US"/>
        </w:rPr>
        <w:t xml:space="preserve"> “Without effective planning, there are more problems and a much greater risk of arbitrary judgements and decisions influenced by short-term political events, populist slogans, causal empiricism, and idiosyncratic preferences.” </w:t>
      </w:r>
      <w:r w:rsidRPr="00260964">
        <w:rPr>
          <w:sz w:val="24"/>
          <w:szCs w:val="24"/>
        </w:rPr>
        <w:t>Cela pour dire que sans une planification efficace, les problèmes se multiplient et le risque de jugements et de décisions arbitraires influencés par des événements politiques à court terme, des slogans populistes, un empirisme causal et des préférences idiosyncrasiques est beaucoup plus grand. Ainsi l’utilisation d’un modèle de simulation performant contribue à rendre les analyses plus rationnelles et la planification efficace.</w:t>
      </w:r>
    </w:p>
    <w:p w14:paraId="56BD51C8" w14:textId="77777777" w:rsidR="00D80693" w:rsidRPr="00260964" w:rsidRDefault="00D80693" w:rsidP="00D80693">
      <w:pPr>
        <w:ind w:firstLine="360"/>
        <w:jc w:val="both"/>
        <w:rPr>
          <w:sz w:val="24"/>
          <w:szCs w:val="24"/>
        </w:rPr>
      </w:pPr>
      <w:r w:rsidRPr="00260964">
        <w:rPr>
          <w:sz w:val="24"/>
          <w:szCs w:val="24"/>
        </w:rPr>
        <w:t>Pour combler cet écart, il apparaît essentiel de :</w:t>
      </w:r>
    </w:p>
    <w:p w14:paraId="37F73DFF" w14:textId="77777777" w:rsidR="00D80693" w:rsidRPr="00260964" w:rsidRDefault="00D80693" w:rsidP="00D80693">
      <w:pPr>
        <w:pStyle w:val="Paragraphedeliste"/>
        <w:widowControl/>
        <w:numPr>
          <w:ilvl w:val="0"/>
          <w:numId w:val="145"/>
        </w:numPr>
        <w:autoSpaceDE/>
        <w:autoSpaceDN/>
        <w:spacing w:before="0"/>
        <w:contextualSpacing/>
        <w:rPr>
          <w:sz w:val="24"/>
          <w:szCs w:val="24"/>
        </w:rPr>
      </w:pPr>
      <w:proofErr w:type="gramStart"/>
      <w:r w:rsidRPr="00260964">
        <w:rPr>
          <w:sz w:val="24"/>
          <w:szCs w:val="24"/>
        </w:rPr>
        <w:t>former</w:t>
      </w:r>
      <w:proofErr w:type="gramEnd"/>
      <w:r w:rsidRPr="00260964">
        <w:rPr>
          <w:sz w:val="24"/>
          <w:szCs w:val="24"/>
        </w:rPr>
        <w:t xml:space="preserve"> les acteurs de l’EFTP à l’utilisation des outils de simulation pour qu’ils puissent mener des analyses prospectives conduisant à des propositions plus opérationnelles ;</w:t>
      </w:r>
    </w:p>
    <w:p w14:paraId="23123F66" w14:textId="77777777" w:rsidR="00D80693" w:rsidRPr="00260964" w:rsidRDefault="00D80693" w:rsidP="00D80693">
      <w:pPr>
        <w:pStyle w:val="Paragraphedeliste"/>
        <w:widowControl/>
        <w:numPr>
          <w:ilvl w:val="0"/>
          <w:numId w:val="145"/>
        </w:numPr>
        <w:autoSpaceDE/>
        <w:autoSpaceDN/>
        <w:spacing w:before="100" w:beforeAutospacing="1" w:after="100" w:afterAutospacing="1"/>
        <w:contextualSpacing/>
        <w:rPr>
          <w:sz w:val="24"/>
          <w:szCs w:val="24"/>
        </w:rPr>
      </w:pPr>
      <w:proofErr w:type="gramStart"/>
      <w:r w:rsidRPr="00260964">
        <w:rPr>
          <w:sz w:val="24"/>
          <w:szCs w:val="24"/>
        </w:rPr>
        <w:t>promouvoir</w:t>
      </w:r>
      <w:proofErr w:type="gramEnd"/>
      <w:r w:rsidRPr="00260964">
        <w:rPr>
          <w:sz w:val="24"/>
          <w:szCs w:val="24"/>
        </w:rPr>
        <w:t xml:space="preserve"> l’usage de </w:t>
      </w:r>
      <w:proofErr w:type="spellStart"/>
      <w:r w:rsidRPr="00260964">
        <w:rPr>
          <w:sz w:val="24"/>
          <w:szCs w:val="24"/>
        </w:rPr>
        <w:t>SimuED</w:t>
      </w:r>
      <w:proofErr w:type="spellEnd"/>
      <w:r w:rsidRPr="00260964">
        <w:rPr>
          <w:sz w:val="24"/>
          <w:szCs w:val="24"/>
        </w:rPr>
        <w:t xml:space="preserve"> en sensibilisant les décideurs et en intégrant cet outil dans les pratiques de planification éducative.</w:t>
      </w:r>
    </w:p>
    <w:p w14:paraId="0E16E4C7" w14:textId="77777777" w:rsidR="00D80693" w:rsidRPr="00260964" w:rsidRDefault="00D80693" w:rsidP="00813D27">
      <w:pPr>
        <w:spacing w:before="100" w:beforeAutospacing="1" w:after="100" w:afterAutospacing="1"/>
        <w:jc w:val="both"/>
        <w:rPr>
          <w:sz w:val="24"/>
          <w:szCs w:val="24"/>
        </w:rPr>
      </w:pPr>
      <w:r w:rsidRPr="00260964">
        <w:rPr>
          <w:sz w:val="24"/>
          <w:szCs w:val="24"/>
        </w:rPr>
        <w:t xml:space="preserve">Ainsi, l’intégration de </w:t>
      </w:r>
      <w:proofErr w:type="spellStart"/>
      <w:r w:rsidRPr="00260964">
        <w:rPr>
          <w:sz w:val="24"/>
          <w:szCs w:val="24"/>
        </w:rPr>
        <w:t>SimuED</w:t>
      </w:r>
      <w:proofErr w:type="spellEnd"/>
      <w:r w:rsidRPr="00260964">
        <w:rPr>
          <w:sz w:val="24"/>
          <w:szCs w:val="24"/>
        </w:rPr>
        <w:t xml:space="preserve"> dans les stratégies de planification pourrait permettre de transformer les recommandations formulées en politiques concrètes, évaluées et optimisées en fonction des contraintes et des opportunités du système éducatif burkinabè. Cette démarche permettrait de passer des simples propositions subjectives à des analyses prospectives fondées sur des données probantes, renforçant ainsi la pertinence et la durabilité des réformes éducatives.</w:t>
      </w:r>
    </w:p>
    <w:p w14:paraId="1F536D07" w14:textId="77777777" w:rsidR="00D80693" w:rsidRPr="00260964" w:rsidRDefault="00D80693" w:rsidP="00D80693">
      <w:pPr>
        <w:pStyle w:val="Paragraphedeliste"/>
        <w:widowControl/>
        <w:numPr>
          <w:ilvl w:val="1"/>
          <w:numId w:val="142"/>
        </w:numPr>
        <w:autoSpaceDE/>
        <w:autoSpaceDN/>
        <w:spacing w:before="100" w:beforeAutospacing="1" w:after="100" w:afterAutospacing="1"/>
        <w:contextualSpacing/>
        <w:rPr>
          <w:b/>
          <w:bCs/>
          <w:sz w:val="24"/>
          <w:szCs w:val="24"/>
        </w:rPr>
      </w:pPr>
      <w:r w:rsidRPr="00260964">
        <w:rPr>
          <w:b/>
          <w:bCs/>
          <w:sz w:val="24"/>
          <w:szCs w:val="24"/>
        </w:rPr>
        <w:t xml:space="preserve">L’intégration de </w:t>
      </w:r>
      <w:proofErr w:type="spellStart"/>
      <w:r w:rsidRPr="00260964">
        <w:rPr>
          <w:b/>
          <w:bCs/>
          <w:sz w:val="24"/>
          <w:szCs w:val="24"/>
        </w:rPr>
        <w:t>SimuED</w:t>
      </w:r>
      <w:proofErr w:type="spellEnd"/>
      <w:r w:rsidRPr="00260964">
        <w:rPr>
          <w:b/>
          <w:bCs/>
          <w:sz w:val="24"/>
          <w:szCs w:val="24"/>
        </w:rPr>
        <w:t xml:space="preserve"> dans les pratiques de planification des politiques éducatives au Burkina Faso </w:t>
      </w:r>
    </w:p>
    <w:p w14:paraId="5E8A6B00" w14:textId="77777777" w:rsidR="00D80693" w:rsidRPr="00260964" w:rsidRDefault="00D80693" w:rsidP="00813D27">
      <w:pPr>
        <w:spacing w:before="100" w:beforeAutospacing="1" w:after="100" w:afterAutospacing="1"/>
        <w:jc w:val="both"/>
        <w:rPr>
          <w:sz w:val="24"/>
          <w:szCs w:val="24"/>
        </w:rPr>
      </w:pPr>
      <w:r w:rsidRPr="00260964">
        <w:rPr>
          <w:sz w:val="24"/>
          <w:szCs w:val="24"/>
        </w:rPr>
        <w:t xml:space="preserve">Les raisons justifiant l’intégration de </w:t>
      </w:r>
      <w:proofErr w:type="spellStart"/>
      <w:r w:rsidRPr="00260964">
        <w:rPr>
          <w:sz w:val="24"/>
          <w:szCs w:val="24"/>
        </w:rPr>
        <w:t>SimuED</w:t>
      </w:r>
      <w:proofErr w:type="spellEnd"/>
      <w:r w:rsidRPr="00260964">
        <w:rPr>
          <w:sz w:val="24"/>
          <w:szCs w:val="24"/>
        </w:rPr>
        <w:t xml:space="preserve"> dans les pratiques de planification éducative au Burkina Faso s’appuient sur les résultats de l’analyse comparative de deux modèles, croisés avec les besoins spécifiques du pays. Cette analyse a permis d’identifier les avantages de </w:t>
      </w:r>
      <w:proofErr w:type="spellStart"/>
      <w:r w:rsidRPr="00260964">
        <w:rPr>
          <w:sz w:val="24"/>
          <w:szCs w:val="24"/>
        </w:rPr>
        <w:t>SimuED</w:t>
      </w:r>
      <w:proofErr w:type="spellEnd"/>
      <w:r w:rsidRPr="00260964">
        <w:rPr>
          <w:sz w:val="24"/>
          <w:szCs w:val="24"/>
        </w:rPr>
        <w:t xml:space="preserve"> en termes de structures, de fonctionnalités, d’ergonomie ainsi que ses possibilités d’adaptation aux réalités locales. </w:t>
      </w:r>
      <w:proofErr w:type="spellStart"/>
      <w:r w:rsidRPr="00260964">
        <w:rPr>
          <w:sz w:val="24"/>
          <w:szCs w:val="24"/>
        </w:rPr>
        <w:t>SimuED</w:t>
      </w:r>
      <w:proofErr w:type="spellEnd"/>
      <w:r w:rsidRPr="00260964">
        <w:rPr>
          <w:sz w:val="24"/>
          <w:szCs w:val="24"/>
        </w:rPr>
        <w:t xml:space="preserve"> se prête mieux aux analyses prospectives que le modèle spécifique nationale qui est une base de données construite pour un but bien précis. Voici quelques avantages de </w:t>
      </w:r>
      <w:proofErr w:type="spellStart"/>
      <w:r w:rsidRPr="00260964">
        <w:rPr>
          <w:sz w:val="24"/>
          <w:szCs w:val="24"/>
        </w:rPr>
        <w:t>SimuED</w:t>
      </w:r>
      <w:proofErr w:type="spellEnd"/>
      <w:r w:rsidRPr="00260964">
        <w:rPr>
          <w:sz w:val="24"/>
          <w:szCs w:val="24"/>
        </w:rPr>
        <w:t xml:space="preserve"> :</w:t>
      </w:r>
    </w:p>
    <w:p w14:paraId="7F37C772" w14:textId="77777777" w:rsidR="00D80693" w:rsidRPr="00260964" w:rsidRDefault="00D80693" w:rsidP="00D80693">
      <w:pPr>
        <w:pStyle w:val="Paragraphedeliste"/>
        <w:widowControl/>
        <w:numPr>
          <w:ilvl w:val="0"/>
          <w:numId w:val="146"/>
        </w:numPr>
        <w:autoSpaceDE/>
        <w:autoSpaceDN/>
        <w:spacing w:before="100" w:beforeAutospacing="1" w:after="100" w:afterAutospacing="1"/>
        <w:contextualSpacing/>
        <w:rPr>
          <w:sz w:val="24"/>
          <w:szCs w:val="24"/>
        </w:rPr>
      </w:pPr>
      <w:proofErr w:type="gramStart"/>
      <w:r w:rsidRPr="00260964">
        <w:rPr>
          <w:b/>
          <w:bCs/>
          <w:sz w:val="24"/>
          <w:szCs w:val="24"/>
        </w:rPr>
        <w:t>un</w:t>
      </w:r>
      <w:proofErr w:type="gramEnd"/>
      <w:r w:rsidRPr="00260964">
        <w:rPr>
          <w:b/>
          <w:bCs/>
          <w:sz w:val="24"/>
          <w:szCs w:val="24"/>
        </w:rPr>
        <w:t xml:space="preserve"> modèle innovant, conçu pour dépasser les limites des approches antérieures </w:t>
      </w:r>
      <w:r w:rsidRPr="00260964">
        <w:rPr>
          <w:sz w:val="24"/>
          <w:szCs w:val="24"/>
        </w:rPr>
        <w:t xml:space="preserve">: les modèles de simulation précédemment utilisés, tels que le Modèle de Simulation Financière de l’Éducation (MSFE) et EPSSIM ??? ont montré des limites en raison de leur rigidité et de leur approche simpliste J. B. </w:t>
      </w:r>
      <w:r w:rsidRPr="00260964">
        <w:rPr>
          <w:rFonts w:eastAsia="Aptos"/>
          <w:kern w:val="2"/>
          <w:sz w:val="24"/>
          <w:szCs w:val="24"/>
          <w14:ligatures w14:val="standardContextual"/>
        </w:rPr>
        <w:t xml:space="preserve">Rasera (2014), </w:t>
      </w:r>
      <w:r w:rsidRPr="00260964">
        <w:rPr>
          <w:sz w:val="24"/>
          <w:szCs w:val="24"/>
        </w:rPr>
        <w:t xml:space="preserve">(UNESCO, 2020). </w:t>
      </w:r>
      <w:proofErr w:type="spellStart"/>
      <w:r w:rsidRPr="00260964">
        <w:rPr>
          <w:sz w:val="24"/>
          <w:szCs w:val="24"/>
        </w:rPr>
        <w:t>SimuED</w:t>
      </w:r>
      <w:proofErr w:type="spellEnd"/>
      <w:r w:rsidRPr="00260964">
        <w:rPr>
          <w:sz w:val="24"/>
          <w:szCs w:val="24"/>
        </w:rPr>
        <w:t xml:space="preserve"> a été conçu pour corriger ces insuffisances, en offrant une architecture plus flexible et une approche plus fine de la planification éducative (UNESCO, 2020), Savadogo</w:t>
      </w:r>
      <w:r>
        <w:rPr>
          <w:sz w:val="24"/>
          <w:szCs w:val="24"/>
        </w:rPr>
        <w:t>, Y. A.</w:t>
      </w:r>
      <w:r w:rsidRPr="00260964">
        <w:rPr>
          <w:sz w:val="24"/>
          <w:szCs w:val="24"/>
        </w:rPr>
        <w:t xml:space="preserve"> (2024).</w:t>
      </w:r>
    </w:p>
    <w:p w14:paraId="19EB6890" w14:textId="77777777" w:rsidR="00D80693" w:rsidRPr="00260964" w:rsidRDefault="00D80693" w:rsidP="00D80693">
      <w:pPr>
        <w:pStyle w:val="Paragraphedeliste"/>
        <w:widowControl/>
        <w:numPr>
          <w:ilvl w:val="0"/>
          <w:numId w:val="146"/>
        </w:numPr>
        <w:autoSpaceDE/>
        <w:autoSpaceDN/>
        <w:spacing w:before="100" w:beforeAutospacing="1" w:after="100" w:afterAutospacing="1"/>
        <w:contextualSpacing/>
        <w:rPr>
          <w:sz w:val="24"/>
          <w:szCs w:val="24"/>
        </w:rPr>
      </w:pPr>
      <w:proofErr w:type="gramStart"/>
      <w:r w:rsidRPr="00260964">
        <w:rPr>
          <w:b/>
          <w:bCs/>
          <w:sz w:val="24"/>
          <w:szCs w:val="24"/>
        </w:rPr>
        <w:t>une</w:t>
      </w:r>
      <w:proofErr w:type="gramEnd"/>
      <w:r w:rsidRPr="00260964">
        <w:rPr>
          <w:b/>
          <w:bCs/>
          <w:sz w:val="24"/>
          <w:szCs w:val="24"/>
        </w:rPr>
        <w:t xml:space="preserve"> personnalisation adaptée aux réalités du Burkina Faso </w:t>
      </w:r>
      <w:r w:rsidRPr="00260964">
        <w:rPr>
          <w:sz w:val="24"/>
          <w:szCs w:val="24"/>
        </w:rPr>
        <w:t xml:space="preserve">: contrairement aux modèles génériques qui imposent des cadres prédéfinis, </w:t>
      </w:r>
      <w:proofErr w:type="spellStart"/>
      <w:r w:rsidRPr="00260964">
        <w:rPr>
          <w:sz w:val="24"/>
          <w:szCs w:val="24"/>
        </w:rPr>
        <w:t>SimuED</w:t>
      </w:r>
      <w:proofErr w:type="spellEnd"/>
      <w:r w:rsidRPr="00260964">
        <w:rPr>
          <w:sz w:val="24"/>
          <w:szCs w:val="24"/>
        </w:rPr>
        <w:t xml:space="preserve"> est hautement personnalisable. Il peut être ajusté aux besoins spécifiques du Burkina Faso, en tenant compte des particularités du système éducatif, du cadre institutionnel et des contraintes budgétaires nationales (UNESCO, 2020), (</w:t>
      </w:r>
      <w:proofErr w:type="spellStart"/>
      <w:proofErr w:type="gramStart"/>
      <w:r w:rsidRPr="00260964">
        <w:rPr>
          <w:sz w:val="24"/>
          <w:szCs w:val="24"/>
        </w:rPr>
        <w:t>Savadogo,</w:t>
      </w:r>
      <w:r>
        <w:rPr>
          <w:sz w:val="24"/>
          <w:szCs w:val="24"/>
        </w:rPr>
        <w:t>Y</w:t>
      </w:r>
      <w:proofErr w:type="spellEnd"/>
      <w:r>
        <w:rPr>
          <w:sz w:val="24"/>
          <w:szCs w:val="24"/>
        </w:rPr>
        <w:t>.</w:t>
      </w:r>
      <w:proofErr w:type="gramEnd"/>
      <w:r>
        <w:rPr>
          <w:sz w:val="24"/>
          <w:szCs w:val="24"/>
        </w:rPr>
        <w:t xml:space="preserve"> A.</w:t>
      </w:r>
      <w:r w:rsidRPr="00260964">
        <w:rPr>
          <w:sz w:val="24"/>
          <w:szCs w:val="24"/>
        </w:rPr>
        <w:t xml:space="preserve"> 2024).</w:t>
      </w:r>
    </w:p>
    <w:p w14:paraId="7717116F" w14:textId="77777777" w:rsidR="00D80693" w:rsidRPr="00260964" w:rsidRDefault="00D80693" w:rsidP="00D80693">
      <w:pPr>
        <w:pStyle w:val="Paragraphedeliste"/>
        <w:widowControl/>
        <w:numPr>
          <w:ilvl w:val="0"/>
          <w:numId w:val="146"/>
        </w:numPr>
        <w:autoSpaceDE/>
        <w:autoSpaceDN/>
        <w:spacing w:before="100" w:beforeAutospacing="1" w:after="100" w:afterAutospacing="1"/>
        <w:contextualSpacing/>
        <w:rPr>
          <w:sz w:val="24"/>
          <w:szCs w:val="24"/>
        </w:rPr>
      </w:pPr>
      <w:proofErr w:type="gramStart"/>
      <w:r w:rsidRPr="00260964">
        <w:rPr>
          <w:b/>
          <w:bCs/>
          <w:sz w:val="24"/>
          <w:szCs w:val="24"/>
        </w:rPr>
        <w:t>une</w:t>
      </w:r>
      <w:proofErr w:type="gramEnd"/>
      <w:r w:rsidRPr="00260964">
        <w:rPr>
          <w:b/>
          <w:bCs/>
          <w:sz w:val="24"/>
          <w:szCs w:val="24"/>
        </w:rPr>
        <w:t xml:space="preserve"> prise en compte des spécificités de l’EFTP </w:t>
      </w:r>
      <w:r w:rsidRPr="00260964">
        <w:rPr>
          <w:sz w:val="24"/>
          <w:szCs w:val="24"/>
        </w:rPr>
        <w:t xml:space="preserve">: l’un des enjeux majeurs du secteur de l’éducation et de la formation au Burkina Faso est la dynamisation de l’Enseignement et la Formation Techniques et Professionnels (EFTP) à travers une amélioration significative de l’accès et de la qualité de l’offre de formation (BURKINA FASO, 2008), (BURINA FASO, 2021). </w:t>
      </w:r>
      <w:proofErr w:type="spellStart"/>
      <w:r w:rsidRPr="00260964">
        <w:rPr>
          <w:sz w:val="24"/>
          <w:szCs w:val="24"/>
        </w:rPr>
        <w:t>SimuED</w:t>
      </w:r>
      <w:proofErr w:type="spellEnd"/>
      <w:r w:rsidRPr="00260964">
        <w:rPr>
          <w:sz w:val="24"/>
          <w:szCs w:val="24"/>
        </w:rPr>
        <w:t xml:space="preserve"> intègre cette dimension en offrant la possibilité de modéliser tous les aspects de l’EFTP, ce qui le rend particulièrement pertinent pour éclairer les choix stratégiques dans ce secteur prioritaire </w:t>
      </w:r>
      <w:proofErr w:type="gramStart"/>
      <w:r w:rsidRPr="00260964">
        <w:rPr>
          <w:sz w:val="24"/>
          <w:szCs w:val="24"/>
        </w:rPr>
        <w:t xml:space="preserve">( </w:t>
      </w:r>
      <w:proofErr w:type="spellStart"/>
      <w:r w:rsidRPr="00260964">
        <w:rPr>
          <w:sz w:val="24"/>
          <w:szCs w:val="24"/>
        </w:rPr>
        <w:t>Savadogo</w:t>
      </w:r>
      <w:proofErr w:type="gramEnd"/>
      <w:r w:rsidRPr="00260964">
        <w:rPr>
          <w:sz w:val="24"/>
          <w:szCs w:val="24"/>
        </w:rPr>
        <w:t>,</w:t>
      </w:r>
      <w:r>
        <w:rPr>
          <w:sz w:val="24"/>
          <w:szCs w:val="24"/>
        </w:rPr>
        <w:t>Y</w:t>
      </w:r>
      <w:proofErr w:type="spellEnd"/>
      <w:r>
        <w:rPr>
          <w:sz w:val="24"/>
          <w:szCs w:val="24"/>
        </w:rPr>
        <w:t>. A.</w:t>
      </w:r>
      <w:r w:rsidRPr="00260964">
        <w:rPr>
          <w:sz w:val="24"/>
          <w:szCs w:val="24"/>
        </w:rPr>
        <w:t xml:space="preserve"> 2024).</w:t>
      </w:r>
    </w:p>
    <w:p w14:paraId="4B04C736" w14:textId="77777777" w:rsidR="00D80693" w:rsidRPr="00260964" w:rsidRDefault="00D80693" w:rsidP="00D80693">
      <w:pPr>
        <w:pStyle w:val="Paragraphedeliste"/>
        <w:widowControl/>
        <w:numPr>
          <w:ilvl w:val="0"/>
          <w:numId w:val="146"/>
        </w:numPr>
        <w:autoSpaceDE/>
        <w:autoSpaceDN/>
        <w:spacing w:before="100" w:beforeAutospacing="1" w:after="100" w:afterAutospacing="1"/>
        <w:contextualSpacing/>
        <w:rPr>
          <w:sz w:val="24"/>
          <w:szCs w:val="24"/>
        </w:rPr>
      </w:pPr>
      <w:proofErr w:type="gramStart"/>
      <w:r w:rsidRPr="00260964">
        <w:rPr>
          <w:b/>
          <w:bCs/>
          <w:sz w:val="24"/>
          <w:szCs w:val="24"/>
        </w:rPr>
        <w:t>une</w:t>
      </w:r>
      <w:proofErr w:type="gramEnd"/>
      <w:r w:rsidRPr="00260964">
        <w:rPr>
          <w:b/>
          <w:bCs/>
          <w:sz w:val="24"/>
          <w:szCs w:val="24"/>
        </w:rPr>
        <w:t xml:space="preserve"> utilisation intuitive, accessible à tous les planificateurs</w:t>
      </w:r>
      <w:r w:rsidRPr="00260964">
        <w:rPr>
          <w:sz w:val="24"/>
          <w:szCs w:val="24"/>
        </w:rPr>
        <w:t xml:space="preserve"> : l’un des freins à l’utilisation des modèles de simulation réside dans leur élaboration fastidieuse et nécessité une grande expertise technique (G.-C. Chang, 2001), (G.-C. Chang, 2006). </w:t>
      </w:r>
      <w:proofErr w:type="spellStart"/>
      <w:r w:rsidRPr="00260964">
        <w:rPr>
          <w:sz w:val="24"/>
          <w:szCs w:val="24"/>
        </w:rPr>
        <w:t>SimuED</w:t>
      </w:r>
      <w:proofErr w:type="spellEnd"/>
      <w:r w:rsidRPr="00260964">
        <w:rPr>
          <w:sz w:val="24"/>
          <w:szCs w:val="24"/>
        </w:rPr>
        <w:t xml:space="preserve"> se distingue par son ergonomie et sa facilité d’utilisation, permettant aux techniciens et aux décideurs, même non spécialistes, d’explorer des scénarios et d’anticiper l’impact de différentes politiques éducatives (UNESCO, 2020), (Savadogo,</w:t>
      </w:r>
      <w:r>
        <w:rPr>
          <w:sz w:val="24"/>
          <w:szCs w:val="24"/>
        </w:rPr>
        <w:t xml:space="preserve"> </w:t>
      </w:r>
      <w:r w:rsidRPr="00260964">
        <w:rPr>
          <w:sz w:val="24"/>
          <w:szCs w:val="24"/>
        </w:rPr>
        <w:t>Y. A. 2024).</w:t>
      </w:r>
    </w:p>
    <w:p w14:paraId="115B2E13" w14:textId="77777777" w:rsidR="00D80693" w:rsidRPr="00260964" w:rsidRDefault="00D80693" w:rsidP="00D80693">
      <w:pPr>
        <w:pStyle w:val="Paragraphedeliste"/>
        <w:widowControl/>
        <w:numPr>
          <w:ilvl w:val="0"/>
          <w:numId w:val="146"/>
        </w:numPr>
        <w:autoSpaceDE/>
        <w:autoSpaceDN/>
        <w:spacing w:before="100" w:beforeAutospacing="1" w:after="100" w:afterAutospacing="1"/>
        <w:contextualSpacing/>
        <w:rPr>
          <w:sz w:val="24"/>
          <w:szCs w:val="24"/>
        </w:rPr>
      </w:pPr>
      <w:proofErr w:type="gramStart"/>
      <w:r w:rsidRPr="00260964">
        <w:rPr>
          <w:b/>
          <w:bCs/>
          <w:sz w:val="24"/>
          <w:szCs w:val="24"/>
        </w:rPr>
        <w:t>une</w:t>
      </w:r>
      <w:proofErr w:type="gramEnd"/>
      <w:r w:rsidRPr="00260964">
        <w:rPr>
          <w:b/>
          <w:bCs/>
          <w:sz w:val="24"/>
          <w:szCs w:val="24"/>
        </w:rPr>
        <w:t xml:space="preserve"> valeur pédagogique pour renforcer les capacités des acteurs </w:t>
      </w:r>
      <w:r w:rsidRPr="00260964">
        <w:rPr>
          <w:sz w:val="24"/>
          <w:szCs w:val="24"/>
        </w:rPr>
        <w:t xml:space="preserve">: au-delà d’un simple outil technique, notre récente étude révèle que </w:t>
      </w:r>
      <w:proofErr w:type="spellStart"/>
      <w:r w:rsidRPr="00260964">
        <w:rPr>
          <w:sz w:val="24"/>
          <w:szCs w:val="24"/>
        </w:rPr>
        <w:t>SimuED</w:t>
      </w:r>
      <w:proofErr w:type="spellEnd"/>
      <w:r w:rsidRPr="00260964">
        <w:rPr>
          <w:sz w:val="24"/>
          <w:szCs w:val="24"/>
        </w:rPr>
        <w:t xml:space="preserve"> joue un rôle pédagogique en aidant les planificateurs et les décideurs à mieux comprendre les dynamiques du système éducatif et les interactions entre ses différentes composantes. Il devient ainsi un véritable levier de montée en compétences pour les acteurs impliqués dans la gestion du secteur éducatif </w:t>
      </w:r>
      <w:proofErr w:type="gramStart"/>
      <w:r w:rsidRPr="00260964">
        <w:rPr>
          <w:sz w:val="24"/>
          <w:szCs w:val="24"/>
        </w:rPr>
        <w:t>( Savadogo</w:t>
      </w:r>
      <w:proofErr w:type="gramEnd"/>
      <w:r w:rsidRPr="00260964">
        <w:rPr>
          <w:sz w:val="24"/>
          <w:szCs w:val="24"/>
        </w:rPr>
        <w:t>, Y. A. 2024).</w:t>
      </w:r>
    </w:p>
    <w:p w14:paraId="72033F01" w14:textId="77777777" w:rsidR="00D80693" w:rsidRPr="00260964" w:rsidRDefault="00D80693" w:rsidP="00D80693">
      <w:pPr>
        <w:pStyle w:val="Paragraphedeliste"/>
        <w:widowControl/>
        <w:numPr>
          <w:ilvl w:val="0"/>
          <w:numId w:val="146"/>
        </w:numPr>
        <w:autoSpaceDE/>
        <w:autoSpaceDN/>
        <w:spacing w:before="100" w:beforeAutospacing="1" w:after="100" w:afterAutospacing="1"/>
        <w:contextualSpacing/>
        <w:rPr>
          <w:sz w:val="24"/>
          <w:szCs w:val="24"/>
        </w:rPr>
      </w:pPr>
      <w:proofErr w:type="gramStart"/>
      <w:r w:rsidRPr="00260964">
        <w:rPr>
          <w:b/>
          <w:bCs/>
          <w:sz w:val="24"/>
          <w:szCs w:val="24"/>
        </w:rPr>
        <w:t>une</w:t>
      </w:r>
      <w:proofErr w:type="gramEnd"/>
      <w:r w:rsidRPr="00260964">
        <w:rPr>
          <w:b/>
          <w:bCs/>
          <w:sz w:val="24"/>
          <w:szCs w:val="24"/>
        </w:rPr>
        <w:t xml:space="preserve"> opportunité pour des comparaisons internationales </w:t>
      </w:r>
      <w:r w:rsidRPr="00260964">
        <w:rPr>
          <w:sz w:val="24"/>
          <w:szCs w:val="24"/>
        </w:rPr>
        <w:t xml:space="preserve">: </w:t>
      </w:r>
      <w:proofErr w:type="spellStart"/>
      <w:r w:rsidRPr="00260964">
        <w:rPr>
          <w:sz w:val="24"/>
          <w:szCs w:val="24"/>
        </w:rPr>
        <w:t>SimuED</w:t>
      </w:r>
      <w:proofErr w:type="spellEnd"/>
      <w:r w:rsidRPr="00260964">
        <w:rPr>
          <w:sz w:val="24"/>
          <w:szCs w:val="24"/>
        </w:rPr>
        <w:t xml:space="preserve"> facilite les études comparatives avec d’autres pays qui utilisent le même modèle et ayant des réalités éducatives similaires. Il permet ainsi au Burkina Faso de mieux situer ses performances et ses besoins par rapport aux standards internationaux et d’adopter des stratégies fondées sur des références solides (Savadogo, Y. A</w:t>
      </w:r>
      <w:r>
        <w:rPr>
          <w:sz w:val="24"/>
          <w:szCs w:val="24"/>
        </w:rPr>
        <w:t xml:space="preserve">, </w:t>
      </w:r>
      <w:r w:rsidRPr="00260964">
        <w:rPr>
          <w:sz w:val="24"/>
          <w:szCs w:val="24"/>
        </w:rPr>
        <w:t>2024).</w:t>
      </w:r>
    </w:p>
    <w:p w14:paraId="0194FABC" w14:textId="77777777" w:rsidR="00D80693" w:rsidRPr="00260964" w:rsidRDefault="00D80693" w:rsidP="00813D27">
      <w:pPr>
        <w:spacing w:before="100" w:beforeAutospacing="1" w:after="100" w:afterAutospacing="1"/>
        <w:jc w:val="both"/>
        <w:rPr>
          <w:sz w:val="24"/>
          <w:szCs w:val="24"/>
        </w:rPr>
      </w:pPr>
      <w:r w:rsidRPr="00260964">
        <w:rPr>
          <w:sz w:val="24"/>
          <w:szCs w:val="24"/>
        </w:rPr>
        <w:t>En somme,</w:t>
      </w:r>
      <w:r w:rsidRPr="00260964">
        <w:rPr>
          <w:b/>
          <w:bCs/>
          <w:sz w:val="24"/>
          <w:szCs w:val="24"/>
        </w:rPr>
        <w:t xml:space="preserve"> </w:t>
      </w:r>
      <w:r w:rsidRPr="00260964">
        <w:rPr>
          <w:sz w:val="24"/>
          <w:szCs w:val="24"/>
        </w:rPr>
        <w:t xml:space="preserve">l’adoption de </w:t>
      </w:r>
      <w:proofErr w:type="spellStart"/>
      <w:r w:rsidRPr="00260964">
        <w:rPr>
          <w:sz w:val="24"/>
          <w:szCs w:val="24"/>
        </w:rPr>
        <w:t>SimuED</w:t>
      </w:r>
      <w:proofErr w:type="spellEnd"/>
      <w:r w:rsidRPr="00260964">
        <w:rPr>
          <w:sz w:val="24"/>
          <w:szCs w:val="24"/>
        </w:rPr>
        <w:t xml:space="preserve"> représente une opportunité stratégique pour moderniser la planification éducative au Burkina Faso. En intégrant cet outil dans les processus décisionnels, le pays pourra optimiser ses ressources, anticiper les défis futurs et bâtir un système éducatif plus résilient et adapté aux besoins de développement national. Cependant, son adoption nécessitera une formation adéquate des utilisateurs.</w:t>
      </w:r>
    </w:p>
    <w:p w14:paraId="4B63AB07" w14:textId="77777777" w:rsidR="00D80693" w:rsidRPr="0007424B" w:rsidRDefault="00D80693" w:rsidP="00D80693">
      <w:pPr>
        <w:jc w:val="both"/>
        <w:rPr>
          <w:rFonts w:eastAsia="Aptos"/>
          <w:b/>
          <w:bCs/>
          <w:kern w:val="2"/>
          <w:sz w:val="28"/>
          <w:szCs w:val="28"/>
          <w14:ligatures w14:val="standardContextual"/>
        </w:rPr>
      </w:pPr>
      <w:r w:rsidRPr="0007424B">
        <w:rPr>
          <w:rFonts w:eastAsia="Aptos"/>
          <w:b/>
          <w:bCs/>
          <w:kern w:val="2"/>
          <w:sz w:val="28"/>
          <w:szCs w:val="28"/>
          <w14:ligatures w14:val="standardContextual"/>
        </w:rPr>
        <w:t>Conclusion</w:t>
      </w:r>
    </w:p>
    <w:p w14:paraId="49A5163E" w14:textId="77777777" w:rsidR="00D80693" w:rsidRPr="000F40CD" w:rsidRDefault="00D80693" w:rsidP="00D80693">
      <w:pPr>
        <w:jc w:val="both"/>
        <w:rPr>
          <w:rFonts w:eastAsia="Aptos"/>
          <w:kern w:val="2"/>
          <w14:ligatures w14:val="standardContextual"/>
        </w:rPr>
      </w:pPr>
    </w:p>
    <w:p w14:paraId="5D5320A3"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Cette étude sur l’utilisation des modèles de simulation dans la planification de l’éducation au Burkina Faso a mis en évidence le potentiel 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comme un outil adapté et personnalisable au contexte national. En offrant la possibilité de prendre en compte les spécificités de l’EFTP (composante rattachée au MENAPLN),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se distingue par sa modularité, sa flexibilité et son ergonomie. L’analyse comparative avec le modèle national montre que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offre des fonctionnalités plus avancées et se prête mieux à l’analyse prospective. En outre, il joue un rôle pédagogique en permettant une meilleure compréhension des dynamiques éducatives souvent négligées dans les approches traditionnelles. Conçu pour corriger les limites des modèles antérieurs, il permet une planification plus rigoureuse et fondée sur des données probantes, répondant ainsi aux défis de la gouvernance éducative au Burkina Faso.</w:t>
      </w:r>
    </w:p>
    <w:p w14:paraId="5917FE6E"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Cependant, la principale limite de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réside dans sa méconnaissance par les acteurs de la planification éducative. L’enquête révèle que ces derniers sont d’ailleurs peu familiers avec les modèles de simulation en général, ce qui réduit leur capacité à mener des analyses prospectives approfondies. Cette situation s’explique par le manque de formation spécifique et par la dépendance historique du pays à l’expertise internationale pour la conception et l’utilisation de modèles de simulation.</w:t>
      </w:r>
    </w:p>
    <w:p w14:paraId="0888AD69" w14:textId="77777777" w:rsidR="00D80693" w:rsidRPr="00260964" w:rsidRDefault="00D80693" w:rsidP="00813D27">
      <w:pPr>
        <w:jc w:val="both"/>
        <w:rPr>
          <w:rFonts w:eastAsia="Aptos"/>
          <w:kern w:val="2"/>
          <w:sz w:val="24"/>
          <w:szCs w:val="24"/>
          <w14:ligatures w14:val="standardContextual"/>
        </w:rPr>
      </w:pPr>
      <w:r w:rsidRPr="00260964">
        <w:rPr>
          <w:rFonts w:eastAsia="Aptos"/>
          <w:kern w:val="2"/>
          <w:sz w:val="24"/>
          <w:szCs w:val="24"/>
          <w14:ligatures w14:val="standardContextual"/>
        </w:rPr>
        <w:t xml:space="preserve">Dans ce contexte, </w:t>
      </w:r>
      <w:proofErr w:type="spellStart"/>
      <w:r w:rsidRPr="00260964">
        <w:rPr>
          <w:rFonts w:eastAsia="Aptos"/>
          <w:kern w:val="2"/>
          <w:sz w:val="24"/>
          <w:szCs w:val="24"/>
          <w14:ligatures w14:val="standardContextual"/>
        </w:rPr>
        <w:t>SimuED</w:t>
      </w:r>
      <w:proofErr w:type="spellEnd"/>
      <w:r w:rsidRPr="00260964">
        <w:rPr>
          <w:rFonts w:eastAsia="Aptos"/>
          <w:kern w:val="2"/>
          <w:sz w:val="24"/>
          <w:szCs w:val="24"/>
          <w14:ligatures w14:val="standardContextual"/>
        </w:rPr>
        <w:t xml:space="preserve"> apparaît comme une alternative accessible et innovante pour moderniser la planification éducative. Son adoption progressive, accompagnée d’un programme de formation adapté et d’un cadre institutionnel facilitant son appropriation, pourrait marquer un tournant décisif dans l’optimisation du système éducatif burkinabè. En intégrant pleinement cet outil dans les pratiques de planification, le Burkina Faso pourrait renforcer son autonomie en matière de gouvernance éducative et assurer une gestion plus efficace, durable et alignée sur les objectifs de développement national et international.</w:t>
      </w:r>
    </w:p>
    <w:p w14:paraId="7E715AC0" w14:textId="77777777" w:rsidR="00D80693" w:rsidRPr="007F5EC8" w:rsidRDefault="00D80693" w:rsidP="00D80693">
      <w:pPr>
        <w:jc w:val="both"/>
        <w:rPr>
          <w:rFonts w:eastAsia="Aptos"/>
          <w:kern w:val="2"/>
          <w14:ligatures w14:val="standardContextual"/>
        </w:rPr>
      </w:pPr>
    </w:p>
    <w:p w14:paraId="47950E41" w14:textId="77777777" w:rsidR="00D80693" w:rsidRPr="00260964" w:rsidRDefault="00D80693" w:rsidP="00D80693">
      <w:pPr>
        <w:jc w:val="both"/>
        <w:rPr>
          <w:rFonts w:eastAsia="Aptos"/>
          <w:b/>
          <w:bCs/>
          <w:kern w:val="2"/>
          <w:sz w:val="28"/>
          <w:szCs w:val="28"/>
          <w14:ligatures w14:val="standardContextual"/>
        </w:rPr>
      </w:pPr>
      <w:r w:rsidRPr="00260964">
        <w:rPr>
          <w:rFonts w:eastAsia="Aptos"/>
          <w:b/>
          <w:bCs/>
          <w:kern w:val="2"/>
          <w:sz w:val="28"/>
          <w:szCs w:val="28"/>
          <w14:ligatures w14:val="standardContextual"/>
        </w:rPr>
        <w:t>Références bibliographiques</w:t>
      </w:r>
    </w:p>
    <w:p w14:paraId="3C50AFC7" w14:textId="77777777" w:rsidR="00D80693" w:rsidRDefault="00D80693" w:rsidP="00D80693">
      <w:pPr>
        <w:jc w:val="both"/>
        <w:rPr>
          <w:rFonts w:eastAsia="Aptos"/>
          <w:kern w:val="2"/>
          <w14:ligatures w14:val="standardContextual"/>
        </w:rPr>
      </w:pPr>
    </w:p>
    <w:p w14:paraId="7E7428CD" w14:textId="77777777" w:rsidR="00D80693" w:rsidRPr="00830EE9" w:rsidRDefault="00D80693" w:rsidP="008866D2">
      <w:pPr>
        <w:tabs>
          <w:tab w:val="num" w:pos="720"/>
        </w:tabs>
        <w:ind w:left="1134" w:hanging="1134"/>
        <w:jc w:val="both"/>
        <w:rPr>
          <w:rFonts w:eastAsia="Aptos"/>
          <w:i/>
          <w:iCs/>
          <w:kern w:val="2"/>
          <w:sz w:val="24"/>
          <w:szCs w:val="24"/>
          <w14:ligatures w14:val="standardContextual"/>
        </w:rPr>
      </w:pPr>
      <w:r w:rsidRPr="000E175A">
        <w:rPr>
          <w:rFonts w:eastAsia="Aptos"/>
          <w:kern w:val="2"/>
          <w:sz w:val="24"/>
          <w:szCs w:val="24"/>
          <w14:ligatures w14:val="standardContextual"/>
        </w:rPr>
        <w:t>Ministère de l'Éducation Nationale, de l'Alphabétisation et de la Promotion des Langues Nationales</w:t>
      </w:r>
      <w:r>
        <w:rPr>
          <w:rFonts w:eastAsia="Aptos"/>
          <w:kern w:val="2"/>
          <w:sz w:val="24"/>
          <w:szCs w:val="24"/>
          <w14:ligatures w14:val="standardContextual"/>
        </w:rPr>
        <w:t xml:space="preserve"> (MENAPLN) </w:t>
      </w:r>
      <w:r w:rsidRPr="000E175A">
        <w:rPr>
          <w:rFonts w:eastAsia="Aptos"/>
          <w:kern w:val="2"/>
          <w:sz w:val="24"/>
          <w:szCs w:val="24"/>
          <w14:ligatures w14:val="standardContextual"/>
        </w:rPr>
        <w:t>(202</w:t>
      </w:r>
      <w:r>
        <w:rPr>
          <w:rFonts w:eastAsia="Aptos"/>
          <w:kern w:val="2"/>
          <w:sz w:val="24"/>
          <w:szCs w:val="24"/>
          <w14:ligatures w14:val="standardContextual"/>
        </w:rPr>
        <w:t>0, 2021</w:t>
      </w:r>
      <w:r w:rsidRPr="000E175A">
        <w:rPr>
          <w:rFonts w:eastAsia="Aptos"/>
          <w:kern w:val="2"/>
          <w:sz w:val="24"/>
          <w:szCs w:val="24"/>
          <w14:ligatures w14:val="standardContextual"/>
        </w:rPr>
        <w:t>). </w:t>
      </w:r>
      <w:r w:rsidRPr="00830EE9">
        <w:rPr>
          <w:rFonts w:eastAsia="Aptos"/>
          <w:i/>
          <w:iCs/>
          <w:kern w:val="2"/>
          <w:sz w:val="24"/>
          <w:szCs w:val="24"/>
          <w14:ligatures w14:val="standardContextual"/>
        </w:rPr>
        <w:t>Annuaire statistique de l'enseignement préscolaire 2019-2020, 2020-2021.</w:t>
      </w:r>
    </w:p>
    <w:p w14:paraId="494E3390" w14:textId="77777777" w:rsidR="00D80693" w:rsidRPr="00830EE9" w:rsidRDefault="00D80693" w:rsidP="008866D2">
      <w:pPr>
        <w:tabs>
          <w:tab w:val="num" w:pos="720"/>
        </w:tabs>
        <w:ind w:left="1134" w:hanging="1134"/>
        <w:jc w:val="both"/>
        <w:rPr>
          <w:rFonts w:eastAsia="Aptos"/>
          <w:i/>
          <w:iCs/>
          <w:kern w:val="2"/>
          <w:sz w:val="24"/>
          <w:szCs w:val="24"/>
          <w14:ligatures w14:val="standardContextual"/>
        </w:rPr>
      </w:pPr>
      <w:r w:rsidRPr="000E175A">
        <w:rPr>
          <w:rFonts w:eastAsia="Aptos"/>
          <w:kern w:val="2"/>
          <w:sz w:val="24"/>
          <w:szCs w:val="24"/>
          <w14:ligatures w14:val="standardContextual"/>
        </w:rPr>
        <w:t>Ministère de l'Éducation Nationale, de l'Alphabétisation et de la Promotion des Langues Nationales</w:t>
      </w:r>
      <w:r>
        <w:rPr>
          <w:rFonts w:eastAsia="Aptos"/>
          <w:kern w:val="2"/>
          <w:sz w:val="24"/>
          <w:szCs w:val="24"/>
          <w14:ligatures w14:val="standardContextual"/>
        </w:rPr>
        <w:t xml:space="preserve"> (MENAPLN) </w:t>
      </w:r>
      <w:r w:rsidRPr="000E175A">
        <w:rPr>
          <w:rFonts w:eastAsia="Aptos"/>
          <w:kern w:val="2"/>
          <w:sz w:val="24"/>
          <w:szCs w:val="24"/>
          <w14:ligatures w14:val="standardContextual"/>
        </w:rPr>
        <w:t>(202</w:t>
      </w:r>
      <w:r>
        <w:rPr>
          <w:rFonts w:eastAsia="Aptos"/>
          <w:kern w:val="2"/>
          <w:sz w:val="24"/>
          <w:szCs w:val="24"/>
          <w14:ligatures w14:val="standardContextual"/>
        </w:rPr>
        <w:t>0, 2021</w:t>
      </w:r>
      <w:r w:rsidRPr="000E175A">
        <w:rPr>
          <w:rFonts w:eastAsia="Aptos"/>
          <w:kern w:val="2"/>
          <w:sz w:val="24"/>
          <w:szCs w:val="24"/>
          <w14:ligatures w14:val="standardContextual"/>
        </w:rPr>
        <w:t>). </w:t>
      </w:r>
      <w:r w:rsidRPr="00830EE9">
        <w:rPr>
          <w:rFonts w:eastAsia="Aptos"/>
          <w:i/>
          <w:iCs/>
          <w:kern w:val="2"/>
          <w:sz w:val="24"/>
          <w:szCs w:val="24"/>
          <w14:ligatures w14:val="standardContextual"/>
        </w:rPr>
        <w:t xml:space="preserve">Annuaire statistique de l'enseignement primaire 2019-2020, 2020-2021. </w:t>
      </w:r>
    </w:p>
    <w:p w14:paraId="581CF526" w14:textId="77777777" w:rsidR="00D80693" w:rsidRPr="00830EE9" w:rsidRDefault="00D80693" w:rsidP="008866D2">
      <w:pPr>
        <w:tabs>
          <w:tab w:val="num" w:pos="720"/>
        </w:tabs>
        <w:ind w:left="1134" w:hanging="1134"/>
        <w:jc w:val="both"/>
        <w:rPr>
          <w:rFonts w:eastAsia="Aptos"/>
          <w:i/>
          <w:iCs/>
          <w:kern w:val="2"/>
          <w:sz w:val="24"/>
          <w:szCs w:val="24"/>
          <w14:ligatures w14:val="standardContextual"/>
        </w:rPr>
      </w:pPr>
      <w:r w:rsidRPr="000E175A">
        <w:rPr>
          <w:rFonts w:eastAsia="Aptos"/>
          <w:kern w:val="2"/>
          <w:sz w:val="24"/>
          <w:szCs w:val="24"/>
          <w14:ligatures w14:val="standardContextual"/>
        </w:rPr>
        <w:t>Ministère de l'Éducation Nationale, de l'Alphabétisation et de la Promotion des Langues Nationales</w:t>
      </w:r>
      <w:r>
        <w:rPr>
          <w:rFonts w:eastAsia="Aptos"/>
          <w:kern w:val="2"/>
          <w:sz w:val="24"/>
          <w:szCs w:val="24"/>
          <w14:ligatures w14:val="standardContextual"/>
        </w:rPr>
        <w:t xml:space="preserve"> </w:t>
      </w:r>
      <w:r w:rsidRPr="000E175A">
        <w:rPr>
          <w:rFonts w:eastAsia="Aptos"/>
          <w:kern w:val="2"/>
          <w:sz w:val="24"/>
          <w:szCs w:val="24"/>
          <w14:ligatures w14:val="standardContextual"/>
        </w:rPr>
        <w:t>(MENAPLN). (20</w:t>
      </w:r>
      <w:r>
        <w:rPr>
          <w:rFonts w:eastAsia="Aptos"/>
          <w:kern w:val="2"/>
          <w:sz w:val="24"/>
          <w:szCs w:val="24"/>
          <w14:ligatures w14:val="standardContextual"/>
        </w:rPr>
        <w:t>20, 2021</w:t>
      </w:r>
      <w:r w:rsidRPr="000E175A">
        <w:rPr>
          <w:rFonts w:eastAsia="Aptos"/>
          <w:kern w:val="2"/>
          <w:sz w:val="24"/>
          <w:szCs w:val="24"/>
          <w14:ligatures w14:val="standardContextual"/>
        </w:rPr>
        <w:t>). </w:t>
      </w:r>
      <w:r w:rsidRPr="00830EE9">
        <w:rPr>
          <w:rFonts w:eastAsia="Aptos"/>
          <w:i/>
          <w:iCs/>
          <w:kern w:val="2"/>
          <w:sz w:val="24"/>
          <w:szCs w:val="24"/>
          <w14:ligatures w14:val="standardContextual"/>
        </w:rPr>
        <w:t>Annuaire statistique de l'enseignement post-primaire et secondaire 2019-2020, 2020-2021</w:t>
      </w:r>
    </w:p>
    <w:p w14:paraId="69F5AAD6" w14:textId="77777777" w:rsidR="00D80693" w:rsidRPr="00830EE9" w:rsidRDefault="00D80693" w:rsidP="008866D2">
      <w:pPr>
        <w:ind w:left="1134" w:hanging="1134"/>
        <w:jc w:val="both"/>
        <w:rPr>
          <w:rFonts w:eastAsia="Aptos"/>
          <w:i/>
          <w:iCs/>
          <w:kern w:val="2"/>
          <w:sz w:val="24"/>
          <w:szCs w:val="24"/>
          <w14:ligatures w14:val="standardContextual"/>
        </w:rPr>
      </w:pPr>
      <w:r w:rsidRPr="000E175A">
        <w:rPr>
          <w:rFonts w:eastAsia="Aptos"/>
          <w:kern w:val="2"/>
          <w:sz w:val="24"/>
          <w:szCs w:val="24"/>
          <w14:ligatures w14:val="standardContextual"/>
        </w:rPr>
        <w:t>Ministère de l'Enseignement Supérieur, de la Recherche Scientifique et de l'Innovation (MESRSI). (202</w:t>
      </w:r>
      <w:r>
        <w:rPr>
          <w:rFonts w:eastAsia="Aptos"/>
          <w:kern w:val="2"/>
          <w:sz w:val="24"/>
          <w:szCs w:val="24"/>
          <w14:ligatures w14:val="standardContextual"/>
        </w:rPr>
        <w:t>0, 2021</w:t>
      </w:r>
      <w:r w:rsidRPr="000E175A">
        <w:rPr>
          <w:rFonts w:eastAsia="Aptos"/>
          <w:kern w:val="2"/>
          <w:sz w:val="24"/>
          <w:szCs w:val="24"/>
          <w14:ligatures w14:val="standardContextual"/>
        </w:rPr>
        <w:t>). </w:t>
      </w:r>
      <w:r w:rsidRPr="00830EE9">
        <w:rPr>
          <w:rFonts w:eastAsia="Aptos"/>
          <w:i/>
          <w:iCs/>
          <w:kern w:val="2"/>
          <w:sz w:val="24"/>
          <w:szCs w:val="24"/>
          <w14:ligatures w14:val="standardContextual"/>
        </w:rPr>
        <w:t xml:space="preserve">Annuaire statistique de l'enseignement supérieur 2019-2020, 2020-2021. </w:t>
      </w:r>
    </w:p>
    <w:p w14:paraId="10A7D380" w14:textId="77777777" w:rsidR="00D80693" w:rsidRPr="00830EE9" w:rsidRDefault="00D80693" w:rsidP="008866D2">
      <w:pPr>
        <w:ind w:left="1134" w:hanging="1134"/>
        <w:jc w:val="both"/>
        <w:rPr>
          <w:rFonts w:eastAsia="Aptos"/>
          <w:i/>
          <w:iCs/>
          <w:kern w:val="2"/>
          <w:sz w:val="24"/>
          <w:szCs w:val="24"/>
          <w14:ligatures w14:val="standardContextual"/>
        </w:rPr>
      </w:pPr>
      <w:r w:rsidRPr="00592888">
        <w:rPr>
          <w:rFonts w:eastAsia="Aptos"/>
          <w:kern w:val="2"/>
          <w:sz w:val="24"/>
          <w:szCs w:val="24"/>
          <w14:ligatures w14:val="standardContextual"/>
        </w:rPr>
        <w:t>Ministère de l'Économie et des Finances. (20</w:t>
      </w:r>
      <w:r>
        <w:rPr>
          <w:rFonts w:eastAsia="Aptos"/>
          <w:kern w:val="2"/>
          <w:sz w:val="24"/>
          <w:szCs w:val="24"/>
          <w14:ligatures w14:val="standardContextual"/>
        </w:rPr>
        <w:t>18, 2019, 2020, 2021</w:t>
      </w:r>
      <w:r w:rsidRPr="00592888">
        <w:rPr>
          <w:rFonts w:eastAsia="Aptos"/>
          <w:kern w:val="2"/>
          <w:sz w:val="24"/>
          <w:szCs w:val="24"/>
          <w14:ligatures w14:val="standardContextual"/>
        </w:rPr>
        <w:t>). </w:t>
      </w:r>
      <w:r w:rsidRPr="00830EE9">
        <w:rPr>
          <w:rFonts w:eastAsia="Aptos"/>
          <w:i/>
          <w:iCs/>
          <w:kern w:val="2"/>
          <w:sz w:val="24"/>
          <w:szCs w:val="24"/>
          <w14:ligatures w14:val="standardContextual"/>
        </w:rPr>
        <w:t>Tableau de bord de l'économie.</w:t>
      </w:r>
    </w:p>
    <w:p w14:paraId="11697D5D" w14:textId="77777777" w:rsidR="00D80693" w:rsidRPr="00830EE9" w:rsidRDefault="00D80693" w:rsidP="008866D2">
      <w:pPr>
        <w:ind w:left="1134" w:hanging="1134"/>
        <w:jc w:val="both"/>
        <w:rPr>
          <w:rFonts w:eastAsia="Aptos"/>
          <w:i/>
          <w:iCs/>
          <w:kern w:val="2"/>
          <w:sz w:val="24"/>
          <w:szCs w:val="24"/>
          <w14:ligatures w14:val="standardContextual"/>
        </w:rPr>
      </w:pPr>
      <w:r w:rsidRPr="006A6D52">
        <w:rPr>
          <w:rFonts w:eastAsia="Aptos"/>
          <w:kern w:val="2"/>
          <w:sz w:val="24"/>
          <w:szCs w:val="24"/>
          <w14:ligatures w14:val="standardContextual"/>
        </w:rPr>
        <w:t xml:space="preserve">Bou, G., </w:t>
      </w:r>
      <w:proofErr w:type="spellStart"/>
      <w:r w:rsidRPr="006A6D52">
        <w:rPr>
          <w:rFonts w:eastAsia="Aptos"/>
          <w:kern w:val="2"/>
          <w:sz w:val="24"/>
          <w:szCs w:val="24"/>
          <w14:ligatures w14:val="standardContextual"/>
        </w:rPr>
        <w:t>Benddine</w:t>
      </w:r>
      <w:proofErr w:type="spellEnd"/>
      <w:r w:rsidRPr="006A6D52">
        <w:rPr>
          <w:rFonts w:eastAsia="Aptos"/>
          <w:kern w:val="2"/>
          <w:sz w:val="24"/>
          <w:szCs w:val="24"/>
          <w14:ligatures w14:val="standardContextual"/>
        </w:rPr>
        <w:t xml:space="preserve">, A., </w:t>
      </w:r>
      <w:proofErr w:type="spellStart"/>
      <w:r w:rsidRPr="006A6D52">
        <w:rPr>
          <w:rFonts w:eastAsia="Aptos"/>
          <w:kern w:val="2"/>
          <w:sz w:val="24"/>
          <w:szCs w:val="24"/>
          <w14:ligatures w14:val="standardContextual"/>
        </w:rPr>
        <w:t>Ghouli</w:t>
      </w:r>
      <w:proofErr w:type="spellEnd"/>
      <w:r w:rsidRPr="006A6D52">
        <w:rPr>
          <w:rFonts w:eastAsia="Aptos"/>
          <w:kern w:val="2"/>
          <w:sz w:val="24"/>
          <w:szCs w:val="24"/>
          <w14:ligatures w14:val="standardContextual"/>
        </w:rPr>
        <w:t>, A., &amp; Tazi, M. (2017). </w:t>
      </w:r>
      <w:r w:rsidRPr="00830EE9">
        <w:rPr>
          <w:rFonts w:eastAsia="Aptos"/>
          <w:i/>
          <w:iCs/>
          <w:kern w:val="2"/>
          <w:sz w:val="24"/>
          <w:szCs w:val="24"/>
          <w14:ligatures w14:val="standardContextual"/>
        </w:rPr>
        <w:t>Guide fonctionnel du planificateur. UNESCO Bureau de Rabat.</w:t>
      </w:r>
    </w:p>
    <w:p w14:paraId="16FB248A" w14:textId="77777777" w:rsidR="00D80693" w:rsidRPr="006A6D52" w:rsidRDefault="00D80693" w:rsidP="008866D2">
      <w:pPr>
        <w:ind w:left="1134" w:hanging="1134"/>
        <w:jc w:val="both"/>
        <w:rPr>
          <w:rFonts w:eastAsia="Aptos"/>
          <w:kern w:val="2"/>
          <w:sz w:val="24"/>
          <w:szCs w:val="24"/>
          <w14:ligatures w14:val="standardContextual"/>
        </w:rPr>
      </w:pPr>
      <w:r w:rsidRPr="0065773E">
        <w:rPr>
          <w:rFonts w:eastAsia="Aptos"/>
          <w:kern w:val="2"/>
          <w:sz w:val="24"/>
          <w:szCs w:val="24"/>
          <w14:ligatures w14:val="standardContextual"/>
        </w:rPr>
        <w:t>Bray, M., &amp; Varghese, N. V. (2011). </w:t>
      </w:r>
      <w:r w:rsidRPr="0065773E">
        <w:rPr>
          <w:rFonts w:eastAsia="Aptos"/>
          <w:i/>
          <w:iCs/>
          <w:kern w:val="2"/>
          <w:sz w:val="24"/>
          <w:szCs w:val="24"/>
          <w14:ligatures w14:val="standardContextual"/>
        </w:rPr>
        <w:t xml:space="preserve">Directions in </w:t>
      </w:r>
      <w:proofErr w:type="spellStart"/>
      <w:r w:rsidRPr="0065773E">
        <w:rPr>
          <w:rFonts w:eastAsia="Aptos"/>
          <w:i/>
          <w:iCs/>
          <w:kern w:val="2"/>
          <w:sz w:val="24"/>
          <w:szCs w:val="24"/>
          <w14:ligatures w14:val="standardContextual"/>
        </w:rPr>
        <w:t>educational</w:t>
      </w:r>
      <w:proofErr w:type="spellEnd"/>
      <w:r w:rsidRPr="0065773E">
        <w:rPr>
          <w:rFonts w:eastAsia="Aptos"/>
          <w:i/>
          <w:iCs/>
          <w:kern w:val="2"/>
          <w:sz w:val="24"/>
          <w:szCs w:val="24"/>
          <w14:ligatures w14:val="standardContextual"/>
        </w:rPr>
        <w:t xml:space="preserve"> </w:t>
      </w:r>
      <w:proofErr w:type="gramStart"/>
      <w:r w:rsidRPr="0065773E">
        <w:rPr>
          <w:rFonts w:eastAsia="Aptos"/>
          <w:i/>
          <w:iCs/>
          <w:kern w:val="2"/>
          <w:sz w:val="24"/>
          <w:szCs w:val="24"/>
          <w14:ligatures w14:val="standardContextual"/>
        </w:rPr>
        <w:t>planning:</w:t>
      </w:r>
      <w:proofErr w:type="gramEnd"/>
      <w:r w:rsidRPr="0065773E">
        <w:rPr>
          <w:rFonts w:eastAsia="Aptos"/>
          <w:i/>
          <w:iCs/>
          <w:kern w:val="2"/>
          <w:sz w:val="24"/>
          <w:szCs w:val="24"/>
          <w14:ligatures w14:val="standardContextual"/>
        </w:rPr>
        <w:t xml:space="preserve"> International </w:t>
      </w:r>
      <w:proofErr w:type="spellStart"/>
      <w:r w:rsidRPr="0065773E">
        <w:rPr>
          <w:rFonts w:eastAsia="Aptos"/>
          <w:i/>
          <w:iCs/>
          <w:kern w:val="2"/>
          <w:sz w:val="24"/>
          <w:szCs w:val="24"/>
          <w14:ligatures w14:val="standardContextual"/>
        </w:rPr>
        <w:t>experiences</w:t>
      </w:r>
      <w:proofErr w:type="spellEnd"/>
      <w:r w:rsidRPr="0065773E">
        <w:rPr>
          <w:rFonts w:eastAsia="Aptos"/>
          <w:i/>
          <w:iCs/>
          <w:kern w:val="2"/>
          <w:sz w:val="24"/>
          <w:szCs w:val="24"/>
          <w14:ligatures w14:val="standardContextual"/>
        </w:rPr>
        <w:t xml:space="preserve"> and perspectives. </w:t>
      </w:r>
      <w:r w:rsidRPr="006A6D52">
        <w:rPr>
          <w:rFonts w:eastAsia="Aptos"/>
          <w:kern w:val="2"/>
          <w:sz w:val="24"/>
          <w:szCs w:val="24"/>
          <w14:ligatures w14:val="standardContextual"/>
        </w:rPr>
        <w:t>UNESCO-IIEP.</w:t>
      </w:r>
    </w:p>
    <w:p w14:paraId="3BB58E1C"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Burkina Faso. (2008). </w:t>
      </w:r>
      <w:r w:rsidRPr="00830EE9">
        <w:rPr>
          <w:rFonts w:eastAsia="Aptos"/>
          <w:i/>
          <w:iCs/>
          <w:kern w:val="2"/>
          <w:sz w:val="24"/>
          <w:szCs w:val="24"/>
          <w14:ligatures w14:val="standardContextual"/>
        </w:rPr>
        <w:t>Politique Nationale d’Enseignement et de Formation Techniques et Professionnels (PN-EFTP).</w:t>
      </w:r>
      <w:r w:rsidRPr="006A6D52">
        <w:rPr>
          <w:rFonts w:eastAsia="Aptos"/>
          <w:kern w:val="2"/>
          <w:sz w:val="24"/>
          <w:szCs w:val="24"/>
          <w14:ligatures w14:val="standardContextual"/>
        </w:rPr>
        <w:t xml:space="preserve"> Ouagadougou.</w:t>
      </w:r>
    </w:p>
    <w:p w14:paraId="3F19A90E"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Burkina Faso. (2017). </w:t>
      </w:r>
      <w:r w:rsidRPr="00830EE9">
        <w:rPr>
          <w:rFonts w:eastAsia="Aptos"/>
          <w:i/>
          <w:iCs/>
          <w:kern w:val="2"/>
          <w:sz w:val="24"/>
          <w:szCs w:val="24"/>
          <w14:ligatures w14:val="standardContextual"/>
        </w:rPr>
        <w:t>Rapport d’état du système éducatif national (RESEN-2016).</w:t>
      </w:r>
      <w:r w:rsidRPr="006A6D52">
        <w:rPr>
          <w:rFonts w:eastAsia="Aptos"/>
          <w:kern w:val="2"/>
          <w:sz w:val="24"/>
          <w:szCs w:val="24"/>
          <w14:ligatures w14:val="standardContextual"/>
        </w:rPr>
        <w:t xml:space="preserve"> IIPE-Pôle de Dakar.</w:t>
      </w:r>
    </w:p>
    <w:p w14:paraId="5677529B" w14:textId="77777777" w:rsidR="00D80693" w:rsidRPr="00955AA5" w:rsidRDefault="00D80693" w:rsidP="008866D2">
      <w:pPr>
        <w:ind w:left="1134" w:hanging="1134"/>
        <w:jc w:val="both"/>
        <w:rPr>
          <w:rFonts w:eastAsia="Aptos"/>
          <w:kern w:val="2"/>
          <w:sz w:val="24"/>
          <w:szCs w:val="24"/>
          <w:lang w:val="en-US"/>
          <w14:ligatures w14:val="standardContextual"/>
        </w:rPr>
      </w:pPr>
      <w:r w:rsidRPr="006A6D52">
        <w:rPr>
          <w:rFonts w:eastAsia="Aptos"/>
          <w:kern w:val="2"/>
          <w:sz w:val="24"/>
          <w:szCs w:val="24"/>
          <w14:ligatures w14:val="standardContextual"/>
        </w:rPr>
        <w:t>Burkina Faso. (2021). </w:t>
      </w:r>
      <w:r w:rsidRPr="00830EE9">
        <w:rPr>
          <w:rFonts w:eastAsia="Aptos"/>
          <w:i/>
          <w:iCs/>
          <w:kern w:val="2"/>
          <w:sz w:val="24"/>
          <w:szCs w:val="24"/>
          <w14:ligatures w14:val="standardContextual"/>
        </w:rPr>
        <w:t>Plan national de développement économique et social 2021-2025 (PNDES-II)</w:t>
      </w:r>
      <w:r w:rsidRPr="00A449B9">
        <w:rPr>
          <w:rFonts w:eastAsia="Aptos"/>
          <w:kern w:val="2"/>
          <w:sz w:val="24"/>
          <w:szCs w:val="24"/>
          <w14:ligatures w14:val="standardContextual"/>
        </w:rPr>
        <w:t>.</w:t>
      </w:r>
      <w:r w:rsidRPr="006A6D52">
        <w:rPr>
          <w:rFonts w:eastAsia="Aptos"/>
          <w:kern w:val="2"/>
          <w:sz w:val="24"/>
          <w:szCs w:val="24"/>
          <w14:ligatures w14:val="standardContextual"/>
        </w:rPr>
        <w:t xml:space="preserve"> </w:t>
      </w:r>
      <w:r w:rsidRPr="00955AA5">
        <w:rPr>
          <w:rFonts w:eastAsia="Aptos"/>
          <w:kern w:val="2"/>
          <w:sz w:val="24"/>
          <w:szCs w:val="24"/>
          <w:lang w:val="en-US"/>
          <w14:ligatures w14:val="standardContextual"/>
        </w:rPr>
        <w:t>Ouagadougou.</w:t>
      </w:r>
    </w:p>
    <w:p w14:paraId="3AA8D9F4" w14:textId="77777777" w:rsidR="00D80693" w:rsidRPr="00955AA5" w:rsidRDefault="00D80693" w:rsidP="008866D2">
      <w:pPr>
        <w:ind w:left="1134" w:hanging="1134"/>
        <w:jc w:val="both"/>
        <w:rPr>
          <w:rFonts w:eastAsia="Aptos"/>
          <w:kern w:val="2"/>
          <w:sz w:val="24"/>
          <w:szCs w:val="24"/>
          <w:lang w:val="en-US"/>
          <w14:ligatures w14:val="standardContextual"/>
        </w:rPr>
      </w:pPr>
      <w:r w:rsidRPr="00955AA5">
        <w:rPr>
          <w:rFonts w:eastAsia="Aptos"/>
          <w:kern w:val="2"/>
          <w:sz w:val="24"/>
          <w:szCs w:val="24"/>
          <w:lang w:val="en-US"/>
          <w14:ligatures w14:val="standardContextual"/>
        </w:rPr>
        <w:t>Chang, G.-C. (2006). </w:t>
      </w:r>
      <w:proofErr w:type="gramStart"/>
      <w:r w:rsidRPr="00955AA5">
        <w:rPr>
          <w:rFonts w:eastAsia="Aptos"/>
          <w:i/>
          <w:iCs/>
          <w:kern w:val="2"/>
          <w:sz w:val="24"/>
          <w:szCs w:val="24"/>
          <w:lang w:val="en-US"/>
          <w14:ligatures w14:val="standardContextual"/>
        </w:rPr>
        <w:t>Application of computer simulation</w:t>
      </w:r>
      <w:proofErr w:type="gramEnd"/>
      <w:r w:rsidRPr="00955AA5">
        <w:rPr>
          <w:rFonts w:eastAsia="Aptos"/>
          <w:i/>
          <w:iCs/>
          <w:kern w:val="2"/>
          <w:sz w:val="24"/>
          <w:szCs w:val="24"/>
          <w:lang w:val="en-US"/>
          <w14:ligatures w14:val="standardContextual"/>
        </w:rPr>
        <w:t xml:space="preserve"> in education development planning. Division of Educational Policies and Strategies</w:t>
      </w:r>
      <w:r w:rsidRPr="00955AA5">
        <w:rPr>
          <w:rFonts w:eastAsia="Aptos"/>
          <w:kern w:val="2"/>
          <w:sz w:val="24"/>
          <w:szCs w:val="24"/>
          <w:lang w:val="en-US"/>
          <w14:ligatures w14:val="standardContextual"/>
        </w:rPr>
        <w:t>, UNESCO.</w:t>
      </w:r>
    </w:p>
    <w:p w14:paraId="7ABE30B7" w14:textId="77777777" w:rsidR="00D80693" w:rsidRDefault="00D80693" w:rsidP="008866D2">
      <w:pPr>
        <w:ind w:left="1134" w:hanging="1134"/>
        <w:jc w:val="both"/>
        <w:rPr>
          <w:rFonts w:eastAsia="Aptos"/>
          <w:kern w:val="2"/>
          <w:sz w:val="24"/>
          <w:szCs w:val="24"/>
          <w14:ligatures w14:val="standardContextual"/>
        </w:rPr>
      </w:pPr>
      <w:r w:rsidRPr="00955AA5">
        <w:rPr>
          <w:rFonts w:eastAsia="Aptos"/>
          <w:kern w:val="2"/>
          <w:sz w:val="24"/>
          <w:szCs w:val="24"/>
          <w:lang w:val="en-US"/>
          <w14:ligatures w14:val="standardContextual"/>
        </w:rPr>
        <w:t>Chang, G.-C., &amp; Radi, M. (2001). </w:t>
      </w:r>
      <w:r w:rsidRPr="00830EE9">
        <w:rPr>
          <w:rFonts w:eastAsia="Aptos"/>
          <w:i/>
          <w:iCs/>
          <w:kern w:val="2"/>
          <w:sz w:val="24"/>
          <w:szCs w:val="24"/>
          <w14:ligatures w14:val="standardContextual"/>
        </w:rPr>
        <w:t>Planification de l’éducation par la simulation informatique</w:t>
      </w:r>
      <w:r w:rsidRPr="006A6D52">
        <w:rPr>
          <w:rFonts w:eastAsia="Aptos"/>
          <w:kern w:val="2"/>
          <w:sz w:val="24"/>
          <w:szCs w:val="24"/>
          <w14:ligatures w14:val="standardContextual"/>
        </w:rPr>
        <w:t>. UNESCO.</w:t>
      </w:r>
    </w:p>
    <w:p w14:paraId="6D5FDCD5" w14:textId="77777777" w:rsidR="00D80693" w:rsidRPr="00830EE9" w:rsidRDefault="00D80693" w:rsidP="008866D2">
      <w:pPr>
        <w:ind w:left="1134" w:hanging="1134"/>
        <w:jc w:val="both"/>
        <w:rPr>
          <w:rFonts w:eastAsia="Aptos"/>
          <w:i/>
          <w:iCs/>
          <w:kern w:val="2"/>
          <w:sz w:val="24"/>
          <w:szCs w:val="24"/>
          <w14:ligatures w14:val="standardContextual"/>
        </w:rPr>
      </w:pPr>
      <w:r w:rsidRPr="00592888">
        <w:rPr>
          <w:rFonts w:eastAsia="Aptos"/>
          <w:kern w:val="2"/>
          <w:sz w:val="24"/>
          <w:szCs w:val="24"/>
          <w14:ligatures w14:val="standardContextual"/>
        </w:rPr>
        <w:t>Institut National de la Statistique et de la Démographie (INSD). (202</w:t>
      </w:r>
      <w:r>
        <w:rPr>
          <w:rFonts w:eastAsia="Aptos"/>
          <w:kern w:val="2"/>
          <w:sz w:val="24"/>
          <w:szCs w:val="24"/>
          <w14:ligatures w14:val="standardContextual"/>
        </w:rPr>
        <w:t>0, 2021, 2022</w:t>
      </w:r>
      <w:r w:rsidRPr="00592888">
        <w:rPr>
          <w:rFonts w:eastAsia="Aptos"/>
          <w:kern w:val="2"/>
          <w:sz w:val="24"/>
          <w:szCs w:val="24"/>
          <w14:ligatures w14:val="standardContextual"/>
        </w:rPr>
        <w:t>). </w:t>
      </w:r>
      <w:r w:rsidRPr="00830EE9">
        <w:rPr>
          <w:rFonts w:eastAsia="Aptos"/>
          <w:i/>
          <w:iCs/>
          <w:kern w:val="2"/>
          <w:sz w:val="24"/>
          <w:szCs w:val="24"/>
          <w14:ligatures w14:val="standardContextual"/>
        </w:rPr>
        <w:t>Tableaux de bord de la gouvernance 2020, 2021, 2022.</w:t>
      </w:r>
    </w:p>
    <w:p w14:paraId="11A7B711" w14:textId="77777777" w:rsidR="00D80693" w:rsidRPr="006A6D52" w:rsidRDefault="00D80693" w:rsidP="008866D2">
      <w:pPr>
        <w:ind w:left="1134" w:hanging="1134"/>
        <w:jc w:val="both"/>
        <w:rPr>
          <w:rFonts w:eastAsia="Aptos"/>
          <w:kern w:val="2"/>
          <w:sz w:val="24"/>
          <w:szCs w:val="24"/>
          <w14:ligatures w14:val="standardContextual"/>
        </w:rPr>
      </w:pPr>
      <w:r w:rsidRPr="00592888">
        <w:rPr>
          <w:rFonts w:eastAsia="Aptos"/>
          <w:kern w:val="2"/>
          <w:sz w:val="24"/>
          <w:szCs w:val="24"/>
          <w14:ligatures w14:val="standardContextual"/>
        </w:rPr>
        <w:t>Institut National De La Statistique Et De La Démographie (INSD). (2020</w:t>
      </w:r>
      <w:r w:rsidRPr="00830EE9">
        <w:rPr>
          <w:rFonts w:eastAsia="Aptos"/>
          <w:i/>
          <w:iCs/>
          <w:kern w:val="2"/>
          <w:sz w:val="24"/>
          <w:szCs w:val="24"/>
          <w14:ligatures w14:val="standardContextual"/>
        </w:rPr>
        <w:t>). Cinquième Recensement Général de la Population et de l'Habitation (5ᵉ RGPH) : Résultats définitifs</w:t>
      </w:r>
      <w:r w:rsidRPr="006A6D52">
        <w:rPr>
          <w:rFonts w:eastAsia="Aptos"/>
          <w:b/>
          <w:bCs/>
          <w:kern w:val="2"/>
          <w:sz w:val="24"/>
          <w:szCs w:val="24"/>
          <w14:ligatures w14:val="standardContextual"/>
        </w:rPr>
        <w:t>.</w:t>
      </w:r>
      <w:r w:rsidRPr="006A6D52">
        <w:rPr>
          <w:rFonts w:eastAsia="Aptos"/>
          <w:kern w:val="2"/>
          <w:sz w:val="24"/>
          <w:szCs w:val="24"/>
          <w14:ligatures w14:val="standardContextual"/>
        </w:rPr>
        <w:t xml:space="preserve"> Consulté le [Date de consultation] sur [URL].</w:t>
      </w:r>
    </w:p>
    <w:p w14:paraId="6A26B900"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Lewin, K. M. (2015). </w:t>
      </w:r>
      <w:r w:rsidRPr="00955AA5">
        <w:rPr>
          <w:rFonts w:eastAsia="Aptos"/>
          <w:i/>
          <w:iCs/>
          <w:kern w:val="2"/>
          <w:sz w:val="24"/>
          <w:szCs w:val="24"/>
          <w:lang w:val="en-US"/>
          <w14:ligatures w14:val="standardContextual"/>
        </w:rPr>
        <w:t xml:space="preserve">Educational access, equity, and development: Planning to make rights realities. </w:t>
      </w:r>
      <w:r w:rsidRPr="006A6D52">
        <w:rPr>
          <w:rFonts w:eastAsia="Aptos"/>
          <w:kern w:val="2"/>
          <w:sz w:val="24"/>
          <w:szCs w:val="24"/>
          <w14:ligatures w14:val="standardContextual"/>
        </w:rPr>
        <w:t>UNESCO-IIEP.</w:t>
      </w:r>
    </w:p>
    <w:p w14:paraId="6A942D2F"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MESRSI, MENA, &amp; MJFIP. (2017). *</w:t>
      </w:r>
      <w:r w:rsidRPr="00830EE9">
        <w:rPr>
          <w:rFonts w:eastAsia="Aptos"/>
          <w:i/>
          <w:iCs/>
          <w:kern w:val="2"/>
          <w:sz w:val="24"/>
          <w:szCs w:val="24"/>
          <w14:ligatures w14:val="standardContextual"/>
        </w:rPr>
        <w:t xml:space="preserve">Plan Sectoriel de l’éducation et de la Formation (PSEF) 2017-2030*. </w:t>
      </w:r>
      <w:r w:rsidRPr="006A6D52">
        <w:rPr>
          <w:rFonts w:eastAsia="Aptos"/>
          <w:kern w:val="2"/>
          <w:sz w:val="24"/>
          <w:szCs w:val="24"/>
          <w14:ligatures w14:val="standardContextual"/>
        </w:rPr>
        <w:t>Ouagadougou.</w:t>
      </w:r>
    </w:p>
    <w:p w14:paraId="51964B66" w14:textId="77777777" w:rsidR="00D80693" w:rsidRPr="006A6D52" w:rsidRDefault="00D80693" w:rsidP="008866D2">
      <w:pPr>
        <w:ind w:left="1134" w:hanging="1134"/>
        <w:jc w:val="both"/>
        <w:rPr>
          <w:rFonts w:eastAsia="Aptos"/>
          <w:kern w:val="2"/>
          <w:sz w:val="24"/>
          <w:szCs w:val="24"/>
          <w14:ligatures w14:val="standardContextual"/>
        </w:rPr>
      </w:pPr>
      <w:proofErr w:type="spellStart"/>
      <w:r w:rsidRPr="006A6D52">
        <w:rPr>
          <w:rFonts w:eastAsia="Aptos"/>
          <w:kern w:val="2"/>
          <w:sz w:val="24"/>
          <w:szCs w:val="24"/>
          <w14:ligatures w14:val="standardContextual"/>
        </w:rPr>
        <w:t>Mingat</w:t>
      </w:r>
      <w:proofErr w:type="spellEnd"/>
      <w:r w:rsidRPr="006A6D52">
        <w:rPr>
          <w:rFonts w:eastAsia="Aptos"/>
          <w:kern w:val="2"/>
          <w:sz w:val="24"/>
          <w:szCs w:val="24"/>
          <w14:ligatures w14:val="standardContextual"/>
        </w:rPr>
        <w:t>, A., &amp; Brossard, M. (2003). </w:t>
      </w:r>
      <w:r w:rsidRPr="00830EE9">
        <w:rPr>
          <w:rFonts w:eastAsia="Aptos"/>
          <w:i/>
          <w:iCs/>
          <w:kern w:val="2"/>
          <w:sz w:val="24"/>
          <w:szCs w:val="24"/>
          <w14:ligatures w14:val="standardContextual"/>
        </w:rPr>
        <w:t>Module de formation aux modèles de simulation financière en éducation pour le compte de l’Institut de la Banque Mondiale</w:t>
      </w:r>
      <w:r w:rsidRPr="006A6D52">
        <w:rPr>
          <w:rFonts w:eastAsia="Aptos"/>
          <w:kern w:val="2"/>
          <w:sz w:val="24"/>
          <w:szCs w:val="24"/>
          <w14:ligatures w14:val="standardContextual"/>
        </w:rPr>
        <w:t>. Banque mondiale.</w:t>
      </w:r>
    </w:p>
    <w:p w14:paraId="0DD77468"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Peano, S. (2018). </w:t>
      </w:r>
      <w:r w:rsidRPr="00830EE9">
        <w:rPr>
          <w:rFonts w:eastAsia="Aptos"/>
          <w:i/>
          <w:iCs/>
          <w:kern w:val="2"/>
          <w:sz w:val="24"/>
          <w:szCs w:val="24"/>
          <w14:ligatures w14:val="standardContextual"/>
        </w:rPr>
        <w:t>Modèle de simulation en éducation</w:t>
      </w:r>
      <w:r w:rsidRPr="006A6D52">
        <w:rPr>
          <w:rFonts w:eastAsia="Aptos"/>
          <w:kern w:val="2"/>
          <w:sz w:val="24"/>
          <w:szCs w:val="24"/>
          <w14:ligatures w14:val="standardContextual"/>
        </w:rPr>
        <w:t>. UNESCO.</w:t>
      </w:r>
    </w:p>
    <w:p w14:paraId="1D995FEC"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 xml:space="preserve">Rasera, J.-B. (2014). </w:t>
      </w:r>
      <w:r w:rsidRPr="00830EE9">
        <w:rPr>
          <w:rFonts w:eastAsia="Aptos"/>
          <w:i/>
          <w:iCs/>
          <w:kern w:val="2"/>
          <w:sz w:val="24"/>
          <w:szCs w:val="24"/>
          <w14:ligatures w14:val="standardContextual"/>
        </w:rPr>
        <w:t xml:space="preserve">Les modèles de simulation pour la planification de l’éducation en Afrique </w:t>
      </w:r>
      <w:proofErr w:type="gramStart"/>
      <w:r w:rsidRPr="00830EE9">
        <w:rPr>
          <w:rFonts w:eastAsia="Aptos"/>
          <w:i/>
          <w:iCs/>
          <w:kern w:val="2"/>
          <w:sz w:val="24"/>
          <w:szCs w:val="24"/>
          <w14:ligatures w14:val="standardContextual"/>
        </w:rPr>
        <w:t>Subsaharienne</w:t>
      </w:r>
      <w:proofErr w:type="gramEnd"/>
      <w:r w:rsidRPr="00830EE9">
        <w:rPr>
          <w:rFonts w:eastAsia="Aptos"/>
          <w:i/>
          <w:iCs/>
          <w:kern w:val="2"/>
          <w:sz w:val="24"/>
          <w:szCs w:val="24"/>
          <w14:ligatures w14:val="standardContextual"/>
        </w:rPr>
        <w:t xml:space="preserve"> : une simplicité appauvrissante et inféconde</w:t>
      </w:r>
      <w:r w:rsidRPr="006A6D52">
        <w:rPr>
          <w:rFonts w:eastAsia="Aptos"/>
          <w:kern w:val="2"/>
          <w:sz w:val="24"/>
          <w:szCs w:val="24"/>
          <w14:ligatures w14:val="standardContextual"/>
        </w:rPr>
        <w:t>. </w:t>
      </w:r>
      <w:r w:rsidRPr="006A6D52">
        <w:rPr>
          <w:rFonts w:eastAsia="Aptos"/>
          <w:i/>
          <w:iCs/>
          <w:kern w:val="2"/>
          <w:sz w:val="24"/>
          <w:szCs w:val="24"/>
          <w14:ligatures w14:val="standardContextual"/>
        </w:rPr>
        <w:t>Revue Tiers Monde, 218</w:t>
      </w:r>
      <w:r w:rsidRPr="006A6D52">
        <w:rPr>
          <w:rFonts w:eastAsia="Aptos"/>
          <w:kern w:val="2"/>
          <w:sz w:val="24"/>
          <w:szCs w:val="24"/>
          <w14:ligatures w14:val="standardContextual"/>
        </w:rPr>
        <w:t>(2), 169-186.</w:t>
      </w:r>
    </w:p>
    <w:p w14:paraId="2001A5AC"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Savadogo, Y. A. (2024). </w:t>
      </w:r>
      <w:r w:rsidRPr="00830EE9">
        <w:rPr>
          <w:rFonts w:eastAsia="Aptos"/>
          <w:i/>
          <w:iCs/>
          <w:kern w:val="2"/>
          <w:sz w:val="24"/>
          <w:szCs w:val="24"/>
          <w14:ligatures w14:val="standardContextual"/>
        </w:rPr>
        <w:t>Simulation des politiques éducatives pour l'amélioration de l'accès et de la qualité de l'Enseignement et de la Formation Techniques et Professionnels (EFTP) au Burkina Faso </w:t>
      </w:r>
      <w:r w:rsidRPr="006A6D52">
        <w:rPr>
          <w:rFonts w:eastAsia="Aptos"/>
          <w:kern w:val="2"/>
          <w:sz w:val="24"/>
          <w:szCs w:val="24"/>
          <w14:ligatures w14:val="standardContextual"/>
        </w:rPr>
        <w:t>[Mémoire de master, IFOAD/UTS].</w:t>
      </w:r>
    </w:p>
    <w:p w14:paraId="7A3D6F27" w14:textId="77777777" w:rsidR="00D80693" w:rsidRPr="006A6D52" w:rsidRDefault="00D80693" w:rsidP="008866D2">
      <w:pPr>
        <w:ind w:left="1134" w:hanging="1134"/>
        <w:jc w:val="both"/>
        <w:rPr>
          <w:rFonts w:eastAsia="Aptos"/>
          <w:kern w:val="2"/>
          <w:sz w:val="24"/>
          <w:szCs w:val="24"/>
          <w14:ligatures w14:val="standardContextual"/>
        </w:rPr>
      </w:pPr>
      <w:r w:rsidRPr="00955AA5">
        <w:rPr>
          <w:rFonts w:eastAsia="Aptos"/>
          <w:kern w:val="2"/>
          <w:sz w:val="24"/>
          <w:szCs w:val="24"/>
          <w:lang w:val="en-US"/>
          <w14:ligatures w14:val="standardContextual"/>
        </w:rPr>
        <w:t>UNESCO. (2020). </w:t>
      </w:r>
      <w:r w:rsidRPr="00955AA5">
        <w:rPr>
          <w:rFonts w:eastAsia="Aptos"/>
          <w:i/>
          <w:iCs/>
          <w:kern w:val="2"/>
          <w:sz w:val="24"/>
          <w:szCs w:val="24"/>
          <w:lang w:val="en-US"/>
          <w14:ligatures w14:val="standardContextual"/>
        </w:rPr>
        <w:t xml:space="preserve">Simulation for </w:t>
      </w:r>
      <w:proofErr w:type="spellStart"/>
      <w:r w:rsidRPr="00955AA5">
        <w:rPr>
          <w:rFonts w:eastAsia="Aptos"/>
          <w:i/>
          <w:iCs/>
          <w:kern w:val="2"/>
          <w:sz w:val="24"/>
          <w:szCs w:val="24"/>
          <w:lang w:val="en-US"/>
          <w14:ligatures w14:val="standardContextual"/>
        </w:rPr>
        <w:t>EDucation</w:t>
      </w:r>
      <w:proofErr w:type="spellEnd"/>
      <w:r w:rsidRPr="00955AA5">
        <w:rPr>
          <w:rFonts w:eastAsia="Aptos"/>
          <w:i/>
          <w:iCs/>
          <w:kern w:val="2"/>
          <w:sz w:val="24"/>
          <w:szCs w:val="24"/>
          <w:lang w:val="en-US"/>
          <w14:ligatures w14:val="standardContextual"/>
        </w:rPr>
        <w:t xml:space="preserve"> model. </w:t>
      </w:r>
      <w:r w:rsidRPr="00830EE9">
        <w:rPr>
          <w:rFonts w:eastAsia="Aptos"/>
          <w:i/>
          <w:iCs/>
          <w:kern w:val="2"/>
          <w:sz w:val="24"/>
          <w:szCs w:val="24"/>
          <w14:ligatures w14:val="standardContextual"/>
        </w:rPr>
        <w:t xml:space="preserve">Version 2.1. Fichier d’aide de </w:t>
      </w:r>
      <w:proofErr w:type="spellStart"/>
      <w:r w:rsidRPr="00830EE9">
        <w:rPr>
          <w:rFonts w:eastAsia="Aptos"/>
          <w:i/>
          <w:iCs/>
          <w:kern w:val="2"/>
          <w:sz w:val="24"/>
          <w:szCs w:val="24"/>
          <w14:ligatures w14:val="standardContextual"/>
        </w:rPr>
        <w:t>SimuED</w:t>
      </w:r>
      <w:proofErr w:type="spellEnd"/>
      <w:r w:rsidRPr="006A6D52">
        <w:rPr>
          <w:rFonts w:eastAsia="Aptos"/>
          <w:kern w:val="2"/>
          <w:sz w:val="24"/>
          <w:szCs w:val="24"/>
          <w14:ligatures w14:val="standardContextual"/>
        </w:rPr>
        <w:t>. Paris.</w:t>
      </w:r>
    </w:p>
    <w:p w14:paraId="21DE29CD"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UNESCO. (2023). </w:t>
      </w:r>
      <w:r w:rsidRPr="00830EE9">
        <w:rPr>
          <w:rFonts w:eastAsia="Aptos"/>
          <w:i/>
          <w:iCs/>
          <w:kern w:val="2"/>
          <w:sz w:val="24"/>
          <w:szCs w:val="24"/>
          <w14:ligatures w14:val="standardContextual"/>
        </w:rPr>
        <w:t xml:space="preserve">Simulation for </w:t>
      </w:r>
      <w:proofErr w:type="spellStart"/>
      <w:r w:rsidRPr="00830EE9">
        <w:rPr>
          <w:rFonts w:eastAsia="Aptos"/>
          <w:i/>
          <w:iCs/>
          <w:kern w:val="2"/>
          <w:sz w:val="24"/>
          <w:szCs w:val="24"/>
          <w14:ligatures w14:val="standardContextual"/>
        </w:rPr>
        <w:t>EDucation</w:t>
      </w:r>
      <w:proofErr w:type="spellEnd"/>
      <w:r w:rsidRPr="00830EE9">
        <w:rPr>
          <w:rFonts w:eastAsia="Aptos"/>
          <w:i/>
          <w:iCs/>
          <w:kern w:val="2"/>
          <w:sz w:val="24"/>
          <w:szCs w:val="24"/>
          <w14:ligatures w14:val="standardContextual"/>
        </w:rPr>
        <w:t xml:space="preserve"> model. Version 5.0. Fichier d’aide de </w:t>
      </w:r>
      <w:proofErr w:type="spellStart"/>
      <w:r w:rsidRPr="00830EE9">
        <w:rPr>
          <w:rFonts w:eastAsia="Aptos"/>
          <w:i/>
          <w:iCs/>
          <w:kern w:val="2"/>
          <w:sz w:val="24"/>
          <w:szCs w:val="24"/>
          <w14:ligatures w14:val="standardContextual"/>
        </w:rPr>
        <w:t>SimuED</w:t>
      </w:r>
      <w:proofErr w:type="spellEnd"/>
      <w:r w:rsidRPr="006A6D52">
        <w:rPr>
          <w:rFonts w:eastAsia="Aptos"/>
          <w:kern w:val="2"/>
          <w:sz w:val="24"/>
          <w:szCs w:val="24"/>
          <w14:ligatures w14:val="standardContextual"/>
        </w:rPr>
        <w:t>. Paris.</w:t>
      </w:r>
    </w:p>
    <w:p w14:paraId="62F6500C" w14:textId="77777777" w:rsidR="00D80693" w:rsidRPr="006A6D52" w:rsidRDefault="00D80693" w:rsidP="008866D2">
      <w:pPr>
        <w:ind w:left="1134" w:hanging="1134"/>
        <w:jc w:val="both"/>
        <w:rPr>
          <w:rFonts w:eastAsia="Aptos"/>
          <w:kern w:val="2"/>
          <w:sz w:val="24"/>
          <w:szCs w:val="24"/>
          <w14:ligatures w14:val="standardContextual"/>
        </w:rPr>
      </w:pPr>
      <w:r w:rsidRPr="006A6D52">
        <w:rPr>
          <w:rFonts w:eastAsia="Aptos"/>
          <w:kern w:val="2"/>
          <w:sz w:val="24"/>
          <w:szCs w:val="24"/>
          <w14:ligatures w14:val="standardContextual"/>
        </w:rPr>
        <w:t>UNESCO-IIPE. (2015). </w:t>
      </w:r>
      <w:r w:rsidRPr="00830EE9">
        <w:rPr>
          <w:rFonts w:eastAsia="Aptos"/>
          <w:i/>
          <w:iCs/>
          <w:kern w:val="2"/>
          <w:sz w:val="24"/>
          <w:szCs w:val="24"/>
          <w14:ligatures w14:val="standardContextual"/>
        </w:rPr>
        <w:t>Guide pour la préparation d’un plan sectoriel d’éducation</w:t>
      </w:r>
      <w:r w:rsidRPr="006A6D52">
        <w:rPr>
          <w:rFonts w:eastAsia="Aptos"/>
          <w:kern w:val="2"/>
          <w:sz w:val="24"/>
          <w:szCs w:val="24"/>
          <w14:ligatures w14:val="standardContextual"/>
        </w:rPr>
        <w:t>. UNESCO-IIEP &amp; Partenariat mondial pour l’éducation.</w:t>
      </w:r>
    </w:p>
    <w:p w14:paraId="1E69CD81" w14:textId="77777777" w:rsidR="00D80693" w:rsidRPr="003F7C33" w:rsidRDefault="00D80693" w:rsidP="00813D27">
      <w:pPr>
        <w:ind w:firstLine="993"/>
        <w:jc w:val="both"/>
        <w:rPr>
          <w:rFonts w:eastAsia="Aptos"/>
          <w:kern w:val="2"/>
          <w14:ligatures w14:val="standardContextual"/>
        </w:rPr>
      </w:pPr>
      <w:r>
        <w:rPr>
          <w:rFonts w:eastAsia="Aptos"/>
          <w:kern w:val="2"/>
          <w14:ligatures w14:val="standardContextual"/>
        </w:rPr>
        <w:t xml:space="preserve"> </w:t>
      </w:r>
    </w:p>
    <w:p w14:paraId="5BFD8BFA" w14:textId="77777777" w:rsidR="00D80693" w:rsidRDefault="00D80693" w:rsidP="00D80693">
      <w:pPr>
        <w:rPr>
          <w:sz w:val="0"/>
          <w:szCs w:val="0"/>
        </w:rPr>
        <w:sectPr w:rsidR="00D80693" w:rsidSect="00813D27">
          <w:headerReference w:type="default" r:id="rId70"/>
          <w:footerReference w:type="default" r:id="rId71"/>
          <w:pgSz w:w="11906" w:h="16838"/>
          <w:pgMar w:top="1418" w:right="1418" w:bottom="1418" w:left="1418" w:header="709" w:footer="709" w:gutter="0"/>
          <w:cols w:space="708"/>
          <w:docGrid w:linePitch="360"/>
        </w:sectPr>
      </w:pPr>
    </w:p>
    <w:p w14:paraId="28EFE5EA" w14:textId="77777777" w:rsidR="00D80693" w:rsidRPr="00813D27" w:rsidRDefault="00D80693" w:rsidP="007B22B9">
      <w:pPr>
        <w:pStyle w:val="Titre1"/>
        <w:spacing w:before="120"/>
        <w:ind w:left="164"/>
        <w:rPr>
          <w:rFonts w:eastAsia="Calibri"/>
          <w:b w:val="0"/>
          <w:i/>
          <w:iCs/>
        </w:rPr>
      </w:pPr>
      <w:bookmarkStart w:id="30" w:name="_Toc219272558"/>
      <w:r w:rsidRPr="00813D27">
        <w:rPr>
          <w:i/>
          <w:iCs/>
        </w:rPr>
        <w:t>Les contraintes psychosociales d’encadrement pédagogique dans les établissements d’enseignements post-primaire et secondaire dans la région du Centre au Burkina Faso</w:t>
      </w:r>
      <w:bookmarkEnd w:id="30"/>
    </w:p>
    <w:p w14:paraId="165411A9" w14:textId="38D062F6" w:rsidR="00D80693" w:rsidRPr="00813D27" w:rsidRDefault="00813D27" w:rsidP="007B22B9">
      <w:pPr>
        <w:pStyle w:val="Titre1"/>
        <w:spacing w:before="120"/>
        <w:ind w:left="164"/>
        <w:rPr>
          <w:rFonts w:ascii="Calibri" w:eastAsia="Calibri" w:hAnsi="Calibri"/>
        </w:rPr>
      </w:pPr>
      <w:bookmarkStart w:id="31" w:name="_Toc219272559"/>
      <w:r w:rsidRPr="00813D27">
        <w:t>François</w:t>
      </w:r>
      <w:r w:rsidRPr="00813D27">
        <w:t xml:space="preserve"> </w:t>
      </w:r>
      <w:r w:rsidR="00D80693" w:rsidRPr="00813D27">
        <w:t>TIENDREBEOGO</w:t>
      </w:r>
      <w:bookmarkEnd w:id="31"/>
      <w:r w:rsidR="00D80693" w:rsidRPr="00813D27">
        <w:t xml:space="preserve"> </w:t>
      </w:r>
    </w:p>
    <w:p w14:paraId="32363718" w14:textId="77777777" w:rsidR="00D80693" w:rsidRDefault="00D80693" w:rsidP="00D80693">
      <w:pPr>
        <w:spacing w:after="120" w:line="360" w:lineRule="auto"/>
        <w:jc w:val="both"/>
        <w:rPr>
          <w:rFonts w:eastAsia="Calibri"/>
          <w:b/>
          <w:sz w:val="24"/>
          <w:szCs w:val="24"/>
        </w:rPr>
      </w:pPr>
      <w:r>
        <w:rPr>
          <w:b/>
          <w:sz w:val="24"/>
          <w:szCs w:val="24"/>
        </w:rPr>
        <w:t>Résumé</w:t>
      </w:r>
    </w:p>
    <w:p w14:paraId="64EC5E1F" w14:textId="206A6A5B" w:rsidR="00D80693" w:rsidRPr="005F094B" w:rsidRDefault="00D80693" w:rsidP="00D80693">
      <w:pPr>
        <w:spacing w:after="120"/>
        <w:jc w:val="both"/>
        <w:rPr>
          <w:rFonts w:eastAsia="Calibri"/>
          <w:b/>
          <w:sz w:val="24"/>
          <w:szCs w:val="24"/>
        </w:rPr>
      </w:pPr>
      <w:r w:rsidRPr="005F094B">
        <w:rPr>
          <w:sz w:val="24"/>
          <w:szCs w:val="24"/>
        </w:rPr>
        <w:t>Ce travail de recherche porte sur les contraintes psychosociales d’encadrement pédagogique dans les établissements d’enseignements post-primaire et secondaire de la région du C</w:t>
      </w:r>
      <w:r>
        <w:rPr>
          <w:sz w:val="24"/>
          <w:szCs w:val="24"/>
        </w:rPr>
        <w:t xml:space="preserve">entre au Burkina Faso. </w:t>
      </w:r>
      <w:r w:rsidRPr="005F094B">
        <w:rPr>
          <w:sz w:val="24"/>
          <w:szCs w:val="24"/>
        </w:rPr>
        <w:t xml:space="preserve">Cette étude </w:t>
      </w:r>
      <w:r w:rsidRPr="00374882">
        <w:rPr>
          <w:color w:val="000000"/>
          <w:sz w:val="24"/>
          <w:szCs w:val="24"/>
        </w:rPr>
        <w:t>visait</w:t>
      </w:r>
      <w:r w:rsidRPr="00DC12AB">
        <w:rPr>
          <w:color w:val="FF0000"/>
          <w:sz w:val="24"/>
          <w:szCs w:val="24"/>
        </w:rPr>
        <w:t xml:space="preserve"> </w:t>
      </w:r>
      <w:r w:rsidRPr="005F094B">
        <w:rPr>
          <w:sz w:val="24"/>
          <w:szCs w:val="24"/>
        </w:rPr>
        <w:t>à</w:t>
      </w:r>
      <w:r>
        <w:rPr>
          <w:sz w:val="24"/>
          <w:szCs w:val="24"/>
        </w:rPr>
        <w:t xml:space="preserve"> analyser les contraintes psychosociales et leurs effets dans l’encadrement pédagogique dans les établissements d’enseignements post-primaire et secondaire.</w:t>
      </w:r>
      <w:r w:rsidRPr="005F094B">
        <w:rPr>
          <w:sz w:val="24"/>
          <w:szCs w:val="24"/>
        </w:rPr>
        <w:t xml:space="preserve"> </w:t>
      </w:r>
      <w:r>
        <w:rPr>
          <w:sz w:val="24"/>
          <w:szCs w:val="24"/>
        </w:rPr>
        <w:t xml:space="preserve">Dans ce sens, </w:t>
      </w:r>
      <w:r w:rsidRPr="00374882">
        <w:rPr>
          <w:sz w:val="24"/>
          <w:szCs w:val="24"/>
        </w:rPr>
        <w:t>quelles sont les contraintes psychosociales d’encadrement pédagogique dans les établissements d’enseignements post-primaire et secondaire ?</w:t>
      </w:r>
      <w:r>
        <w:rPr>
          <w:sz w:val="24"/>
          <w:szCs w:val="24"/>
        </w:rPr>
        <w:t xml:space="preserve"> Comment ces contraintes impactent-elles la qualité de l’encadrement pédagogique</w:t>
      </w:r>
      <w:r w:rsidR="00813D27">
        <w:rPr>
          <w:sz w:val="24"/>
          <w:szCs w:val="24"/>
        </w:rPr>
        <w:t>.</w:t>
      </w:r>
      <w:r w:rsidRPr="00DC12AB">
        <w:rPr>
          <w:sz w:val="24"/>
          <w:szCs w:val="24"/>
        </w:rPr>
        <w:t xml:space="preserve"> </w:t>
      </w:r>
      <w:r w:rsidRPr="005F094B">
        <w:rPr>
          <w:sz w:val="24"/>
          <w:szCs w:val="24"/>
        </w:rPr>
        <w:t>La méthode mixte a été utilisée.</w:t>
      </w:r>
      <w:r>
        <w:rPr>
          <w:sz w:val="24"/>
          <w:szCs w:val="24"/>
        </w:rPr>
        <w:t xml:space="preserve"> Au total, deux cent trente-trois (233) personnes </w:t>
      </w:r>
      <w:r w:rsidRPr="005F094B">
        <w:rPr>
          <w:sz w:val="24"/>
          <w:szCs w:val="24"/>
        </w:rPr>
        <w:t>ont participé à cette étude. Les r</w:t>
      </w:r>
      <w:r>
        <w:rPr>
          <w:sz w:val="24"/>
          <w:szCs w:val="24"/>
        </w:rPr>
        <w:t>ésultats</w:t>
      </w:r>
      <w:r w:rsidRPr="005F094B">
        <w:rPr>
          <w:sz w:val="24"/>
          <w:szCs w:val="24"/>
        </w:rPr>
        <w:t xml:space="preserve"> révèlent des contraintes psychosociales d’encadrement pédagogique telles que la mauvaise perception de l’encadrement pédagogique par les enseignants, le refus des visites de classe, le faible enga</w:t>
      </w:r>
      <w:r>
        <w:rPr>
          <w:sz w:val="24"/>
          <w:szCs w:val="24"/>
        </w:rPr>
        <w:t>gement de certains</w:t>
      </w:r>
      <w:r w:rsidRPr="005F094B">
        <w:rPr>
          <w:sz w:val="24"/>
          <w:szCs w:val="24"/>
        </w:rPr>
        <w:t xml:space="preserve"> acteurs, la défiance de l</w:t>
      </w:r>
      <w:r>
        <w:rPr>
          <w:sz w:val="24"/>
          <w:szCs w:val="24"/>
        </w:rPr>
        <w:t>’autorité des encadreurs par les enseignants</w:t>
      </w:r>
      <w:r w:rsidRPr="005F094B">
        <w:rPr>
          <w:sz w:val="24"/>
          <w:szCs w:val="24"/>
        </w:rPr>
        <w:t xml:space="preserve">. Et cela impacte négativement la qualité de l’encadrement pédagogique. </w:t>
      </w:r>
      <w:r>
        <w:rPr>
          <w:sz w:val="24"/>
          <w:szCs w:val="24"/>
        </w:rPr>
        <w:t>Les résultats suggèrent que les acteurs de</w:t>
      </w:r>
      <w:r w:rsidRPr="005F094B">
        <w:rPr>
          <w:sz w:val="24"/>
          <w:szCs w:val="24"/>
        </w:rPr>
        <w:t xml:space="preserve"> l’encadrement pédagogique </w:t>
      </w:r>
      <w:r>
        <w:rPr>
          <w:sz w:val="24"/>
          <w:szCs w:val="24"/>
        </w:rPr>
        <w:t>s’investissent</w:t>
      </w:r>
      <w:r w:rsidRPr="005F094B">
        <w:rPr>
          <w:sz w:val="24"/>
          <w:szCs w:val="24"/>
        </w:rPr>
        <w:t xml:space="preserve"> pleinemen</w:t>
      </w:r>
      <w:r>
        <w:rPr>
          <w:sz w:val="24"/>
          <w:szCs w:val="24"/>
        </w:rPr>
        <w:t>t pour produire</w:t>
      </w:r>
      <w:r w:rsidRPr="005F094B">
        <w:rPr>
          <w:sz w:val="24"/>
          <w:szCs w:val="24"/>
        </w:rPr>
        <w:t xml:space="preserve"> les effets escomptés.</w:t>
      </w:r>
      <w:r w:rsidRPr="005F094B">
        <w:rPr>
          <w:b/>
          <w:sz w:val="24"/>
          <w:szCs w:val="24"/>
        </w:rPr>
        <w:t xml:space="preserve"> </w:t>
      </w:r>
    </w:p>
    <w:p w14:paraId="5AE3B343" w14:textId="77777777" w:rsidR="00D80693" w:rsidRDefault="00D80693" w:rsidP="00D80693">
      <w:pPr>
        <w:spacing w:after="200"/>
        <w:jc w:val="both"/>
        <w:rPr>
          <w:rFonts w:eastAsia="Calibri"/>
          <w:b/>
          <w:sz w:val="24"/>
          <w:szCs w:val="24"/>
        </w:rPr>
      </w:pPr>
      <w:r w:rsidRPr="008970BA">
        <w:rPr>
          <w:b/>
          <w:sz w:val="24"/>
          <w:szCs w:val="24"/>
        </w:rPr>
        <w:t>Mots clés</w:t>
      </w:r>
      <w:r w:rsidRPr="005F094B">
        <w:rPr>
          <w:b/>
          <w:sz w:val="24"/>
          <w:szCs w:val="24"/>
        </w:rPr>
        <w:t> :</w:t>
      </w:r>
      <w:r>
        <w:rPr>
          <w:sz w:val="24"/>
          <w:szCs w:val="24"/>
        </w:rPr>
        <w:t xml:space="preserve"> contraintes, </w:t>
      </w:r>
      <w:r w:rsidRPr="005F094B">
        <w:rPr>
          <w:sz w:val="24"/>
          <w:szCs w:val="24"/>
        </w:rPr>
        <w:t>contraintes psychosociales, encadrement pédagogique, établissements d’enseignements post-primaire et secondaire</w:t>
      </w:r>
      <w:r>
        <w:rPr>
          <w:sz w:val="24"/>
          <w:szCs w:val="24"/>
        </w:rPr>
        <w:t>.</w:t>
      </w:r>
      <w:r w:rsidRPr="005F094B">
        <w:rPr>
          <w:sz w:val="24"/>
          <w:szCs w:val="24"/>
        </w:rPr>
        <w:t xml:space="preserve">  </w:t>
      </w:r>
      <w:r w:rsidRPr="005F094B">
        <w:rPr>
          <w:b/>
          <w:sz w:val="24"/>
          <w:szCs w:val="24"/>
        </w:rPr>
        <w:t xml:space="preserve"> </w:t>
      </w:r>
    </w:p>
    <w:p w14:paraId="6C60EFAC" w14:textId="77777777" w:rsidR="00D80693" w:rsidRDefault="00D80693" w:rsidP="00D80693">
      <w:pPr>
        <w:spacing w:after="200"/>
        <w:jc w:val="both"/>
        <w:rPr>
          <w:rFonts w:eastAsia="Calibri"/>
          <w:b/>
          <w:sz w:val="24"/>
          <w:szCs w:val="24"/>
        </w:rPr>
      </w:pPr>
    </w:p>
    <w:p w14:paraId="5DD78D9F" w14:textId="77777777" w:rsidR="00D80693" w:rsidRDefault="00D80693" w:rsidP="00D80693">
      <w:pPr>
        <w:spacing w:after="120" w:line="360" w:lineRule="auto"/>
        <w:jc w:val="both"/>
        <w:rPr>
          <w:rFonts w:eastAsia="Calibri"/>
          <w:b/>
          <w:sz w:val="24"/>
          <w:szCs w:val="24"/>
          <w:lang w:val="en-US"/>
        </w:rPr>
      </w:pPr>
      <w:r w:rsidRPr="00271982">
        <w:rPr>
          <w:b/>
          <w:sz w:val="24"/>
          <w:szCs w:val="24"/>
          <w:lang w:val="en-US"/>
        </w:rPr>
        <w:t>Abstract</w:t>
      </w:r>
    </w:p>
    <w:p w14:paraId="3160FB95" w14:textId="77777777" w:rsidR="00D80693" w:rsidRDefault="00D80693" w:rsidP="00D80693">
      <w:pPr>
        <w:spacing w:after="120"/>
        <w:jc w:val="both"/>
        <w:rPr>
          <w:rFonts w:eastAsia="Calibri"/>
          <w:b/>
          <w:sz w:val="24"/>
          <w:szCs w:val="24"/>
          <w:lang w:val="en-US"/>
        </w:rPr>
      </w:pPr>
      <w:r w:rsidRPr="00397331">
        <w:rPr>
          <w:color w:val="000000"/>
          <w:sz w:val="24"/>
          <w:szCs w:val="24"/>
          <w:lang w:val="en-US"/>
        </w:rPr>
        <w:t>T</w:t>
      </w:r>
      <w:r>
        <w:rPr>
          <w:color w:val="000000"/>
          <w:sz w:val="24"/>
          <w:szCs w:val="24"/>
          <w:lang w:val="en-US"/>
        </w:rPr>
        <w:t>his study dealt with</w:t>
      </w:r>
      <w:r w:rsidRPr="00397331">
        <w:rPr>
          <w:color w:val="000000"/>
          <w:sz w:val="24"/>
          <w:szCs w:val="24"/>
          <w:lang w:val="en-US"/>
        </w:rPr>
        <w:t xml:space="preserve"> the </w:t>
      </w:r>
      <w:r>
        <w:rPr>
          <w:color w:val="000000"/>
          <w:sz w:val="24"/>
          <w:szCs w:val="24"/>
          <w:lang w:val="en-US"/>
        </w:rPr>
        <w:t xml:space="preserve">psychosocial </w:t>
      </w:r>
      <w:r w:rsidRPr="00397331">
        <w:rPr>
          <w:color w:val="000000"/>
          <w:sz w:val="24"/>
          <w:szCs w:val="24"/>
          <w:lang w:val="en-US"/>
        </w:rPr>
        <w:t>difficulties of supervision in the post-primary and s</w:t>
      </w:r>
      <w:r>
        <w:rPr>
          <w:color w:val="000000"/>
          <w:sz w:val="24"/>
          <w:szCs w:val="24"/>
          <w:lang w:val="en-US"/>
        </w:rPr>
        <w:t xml:space="preserve">econdary schools in the Center </w:t>
      </w:r>
      <w:r w:rsidRPr="00397331">
        <w:rPr>
          <w:color w:val="000000"/>
          <w:sz w:val="24"/>
          <w:szCs w:val="24"/>
          <w:lang w:val="en-US"/>
        </w:rPr>
        <w:t xml:space="preserve">region of Burkina Faso. </w:t>
      </w:r>
      <w:r>
        <w:rPr>
          <w:color w:val="000000"/>
          <w:sz w:val="24"/>
          <w:szCs w:val="24"/>
          <w:lang w:val="en-US"/>
        </w:rPr>
        <w:t>Its aim was to grasp</w:t>
      </w:r>
      <w:r w:rsidRPr="00397331">
        <w:rPr>
          <w:color w:val="000000"/>
          <w:sz w:val="24"/>
          <w:szCs w:val="24"/>
          <w:lang w:val="en-US"/>
        </w:rPr>
        <w:t xml:space="preserve"> the constraints of teachers’ supervis</w:t>
      </w:r>
      <w:r>
        <w:rPr>
          <w:color w:val="000000"/>
          <w:sz w:val="24"/>
          <w:szCs w:val="24"/>
          <w:lang w:val="en-US"/>
        </w:rPr>
        <w:t>i</w:t>
      </w:r>
      <w:r w:rsidRPr="00397331">
        <w:rPr>
          <w:color w:val="000000"/>
          <w:sz w:val="24"/>
          <w:szCs w:val="24"/>
          <w:lang w:val="en-US"/>
        </w:rPr>
        <w:t>on in the post-primary and s</w:t>
      </w:r>
      <w:r>
        <w:rPr>
          <w:color w:val="000000"/>
          <w:sz w:val="24"/>
          <w:szCs w:val="24"/>
          <w:lang w:val="en-US"/>
        </w:rPr>
        <w:t xml:space="preserve">econdary schools in this region. For this purpose, I answered these questions:  What </w:t>
      </w:r>
      <w:proofErr w:type="gramStart"/>
      <w:r>
        <w:rPr>
          <w:color w:val="000000"/>
          <w:sz w:val="24"/>
          <w:szCs w:val="24"/>
          <w:lang w:val="en-US"/>
        </w:rPr>
        <w:t>are  the</w:t>
      </w:r>
      <w:proofErr w:type="gramEnd"/>
      <w:r>
        <w:rPr>
          <w:color w:val="000000"/>
          <w:sz w:val="24"/>
          <w:szCs w:val="24"/>
          <w:lang w:val="en-US"/>
        </w:rPr>
        <w:t xml:space="preserve"> psychological constraints of pedagogical supervision in the post-primary and secondary schools? How do these constraints affect the quality of supervision? I resorted to </w:t>
      </w:r>
      <w:proofErr w:type="gramStart"/>
      <w:r>
        <w:rPr>
          <w:color w:val="000000"/>
          <w:sz w:val="24"/>
          <w:szCs w:val="24"/>
          <w:lang w:val="en-US"/>
        </w:rPr>
        <w:t>the mixed</w:t>
      </w:r>
      <w:proofErr w:type="gramEnd"/>
      <w:r>
        <w:rPr>
          <w:color w:val="000000"/>
          <w:sz w:val="24"/>
          <w:szCs w:val="24"/>
          <w:lang w:val="en-US"/>
        </w:rPr>
        <w:t xml:space="preserve"> research methods. Altogether, two hundred and thirty</w:t>
      </w:r>
      <w:proofErr w:type="gramStart"/>
      <w:r>
        <w:rPr>
          <w:color w:val="000000"/>
          <w:sz w:val="24"/>
          <w:szCs w:val="24"/>
          <w:lang w:val="en-US"/>
        </w:rPr>
        <w:t>- three</w:t>
      </w:r>
      <w:proofErr w:type="gramEnd"/>
      <w:r>
        <w:rPr>
          <w:color w:val="000000"/>
          <w:sz w:val="24"/>
          <w:szCs w:val="24"/>
          <w:lang w:val="en-US"/>
        </w:rPr>
        <w:t xml:space="preserve"> (233) </w:t>
      </w:r>
      <w:proofErr w:type="gramStart"/>
      <w:r>
        <w:rPr>
          <w:color w:val="000000"/>
          <w:sz w:val="24"/>
          <w:szCs w:val="24"/>
          <w:lang w:val="en-US"/>
        </w:rPr>
        <w:t>persons</w:t>
      </w:r>
      <w:proofErr w:type="gramEnd"/>
      <w:r>
        <w:rPr>
          <w:color w:val="000000"/>
          <w:sz w:val="24"/>
          <w:szCs w:val="24"/>
          <w:lang w:val="en-US"/>
        </w:rPr>
        <w:t xml:space="preserve"> took part in this study. T</w:t>
      </w:r>
      <w:r w:rsidRPr="00397331">
        <w:rPr>
          <w:color w:val="000000"/>
          <w:sz w:val="24"/>
          <w:szCs w:val="24"/>
          <w:lang w:val="en-US"/>
        </w:rPr>
        <w:t>he</w:t>
      </w:r>
      <w:r>
        <w:rPr>
          <w:color w:val="000000"/>
          <w:sz w:val="24"/>
          <w:szCs w:val="24"/>
          <w:lang w:val="en-US"/>
        </w:rPr>
        <w:t xml:space="preserve"> results revealed</w:t>
      </w:r>
      <w:r w:rsidRPr="00397331">
        <w:rPr>
          <w:color w:val="000000"/>
          <w:sz w:val="24"/>
          <w:szCs w:val="24"/>
          <w:lang w:val="en-US"/>
        </w:rPr>
        <w:t xml:space="preserve"> some major</w:t>
      </w:r>
      <w:r>
        <w:rPr>
          <w:color w:val="000000"/>
          <w:sz w:val="24"/>
          <w:szCs w:val="24"/>
          <w:lang w:val="en-US"/>
        </w:rPr>
        <w:t xml:space="preserve"> psychosocial constraints in teachers’ supervision such as teachers’ negative perception of supervision by teachers, teachers’ refusal of class visits, some stakeholders’ low engagement, the undermining of the authority of pedagogical supervisors,</w:t>
      </w:r>
      <w:r w:rsidRPr="00397331">
        <w:rPr>
          <w:color w:val="000000"/>
          <w:sz w:val="24"/>
          <w:szCs w:val="24"/>
          <w:lang w:val="en-US"/>
        </w:rPr>
        <w:t xml:space="preserve"> impeding supervisors to accomplish their missions with convenience in the region. And as a result, the quality of teachers’ </w:t>
      </w:r>
      <w:r>
        <w:rPr>
          <w:color w:val="000000"/>
          <w:sz w:val="24"/>
          <w:szCs w:val="24"/>
          <w:lang w:val="en-US"/>
        </w:rPr>
        <w:t>supervision is affected</w:t>
      </w:r>
      <w:r w:rsidRPr="00397331">
        <w:rPr>
          <w:color w:val="000000"/>
          <w:sz w:val="24"/>
          <w:szCs w:val="24"/>
          <w:lang w:val="en-US"/>
        </w:rPr>
        <w:t>.</w:t>
      </w:r>
      <w:r>
        <w:rPr>
          <w:color w:val="000000"/>
          <w:sz w:val="24"/>
          <w:szCs w:val="24"/>
          <w:lang w:val="en-US"/>
        </w:rPr>
        <w:t xml:space="preserve"> The actors engaged in teachers’ supervision should fully invest themselves in it to achieve the intended outcomes.</w:t>
      </w:r>
    </w:p>
    <w:p w14:paraId="70A04F67" w14:textId="77777777" w:rsidR="00D80693" w:rsidRPr="00397331" w:rsidRDefault="00D80693" w:rsidP="00D80693">
      <w:pPr>
        <w:spacing w:after="200"/>
        <w:jc w:val="both"/>
        <w:rPr>
          <w:rFonts w:eastAsia="Calibri"/>
          <w:b/>
          <w:sz w:val="24"/>
          <w:szCs w:val="24"/>
          <w:lang w:val="en-US"/>
        </w:rPr>
      </w:pPr>
      <w:r w:rsidRPr="008970BA">
        <w:rPr>
          <w:b/>
          <w:bCs/>
          <w:color w:val="000000"/>
          <w:sz w:val="24"/>
          <w:szCs w:val="24"/>
          <w:lang w:val="en-US"/>
        </w:rPr>
        <w:t>Keywords</w:t>
      </w:r>
      <w:r w:rsidRPr="008970BA">
        <w:rPr>
          <w:color w:val="000000"/>
          <w:sz w:val="24"/>
          <w:szCs w:val="24"/>
          <w:lang w:val="en-US"/>
        </w:rPr>
        <w:t>:</w:t>
      </w:r>
      <w:r w:rsidRPr="00397331">
        <w:rPr>
          <w:color w:val="000000"/>
          <w:sz w:val="24"/>
          <w:szCs w:val="24"/>
          <w:lang w:val="en-US"/>
        </w:rPr>
        <w:t xml:space="preserve"> constraints,</w:t>
      </w:r>
      <w:r>
        <w:rPr>
          <w:color w:val="000000"/>
          <w:sz w:val="24"/>
          <w:szCs w:val="24"/>
          <w:lang w:val="en-US"/>
        </w:rPr>
        <w:t xml:space="preserve"> psychosocial constraints, </w:t>
      </w:r>
      <w:r w:rsidRPr="00397331">
        <w:rPr>
          <w:color w:val="000000"/>
          <w:sz w:val="24"/>
          <w:szCs w:val="24"/>
          <w:lang w:val="en-US"/>
        </w:rPr>
        <w:t>teachers’ supervision, post-primary and seconda</w:t>
      </w:r>
      <w:r>
        <w:rPr>
          <w:color w:val="000000"/>
          <w:sz w:val="24"/>
          <w:szCs w:val="24"/>
          <w:lang w:val="en-US"/>
        </w:rPr>
        <w:t xml:space="preserve">ry schools. </w:t>
      </w:r>
    </w:p>
    <w:p w14:paraId="55E06432" w14:textId="77777777" w:rsidR="008970BA" w:rsidRPr="001928FA" w:rsidRDefault="008970BA">
      <w:pPr>
        <w:rPr>
          <w:b/>
          <w:sz w:val="24"/>
          <w:szCs w:val="24"/>
          <w:lang w:val="en-US"/>
        </w:rPr>
      </w:pPr>
      <w:r w:rsidRPr="001928FA">
        <w:rPr>
          <w:b/>
          <w:sz w:val="24"/>
          <w:szCs w:val="24"/>
          <w:lang w:val="en-US"/>
        </w:rPr>
        <w:br w:type="page"/>
      </w:r>
    </w:p>
    <w:p w14:paraId="51131F2C" w14:textId="0F8AAB75" w:rsidR="00D80693" w:rsidRPr="00CD045B" w:rsidRDefault="00D80693" w:rsidP="00CD045B">
      <w:pPr>
        <w:spacing w:before="120"/>
        <w:jc w:val="both"/>
        <w:rPr>
          <w:rFonts w:eastAsia="Calibri"/>
          <w:b/>
          <w:sz w:val="28"/>
          <w:szCs w:val="28"/>
        </w:rPr>
      </w:pPr>
      <w:r w:rsidRPr="00CD045B">
        <w:rPr>
          <w:b/>
          <w:sz w:val="28"/>
          <w:szCs w:val="28"/>
        </w:rPr>
        <w:t>Introduction</w:t>
      </w:r>
    </w:p>
    <w:p w14:paraId="659FC575" w14:textId="6CF74534" w:rsidR="00D80693" w:rsidRPr="00E21EEC" w:rsidRDefault="00D80693" w:rsidP="00CD045B">
      <w:pPr>
        <w:spacing w:before="120"/>
        <w:jc w:val="both"/>
        <w:rPr>
          <w:rFonts w:eastAsia="Calibri"/>
          <w:b/>
          <w:sz w:val="28"/>
          <w:szCs w:val="28"/>
        </w:rPr>
      </w:pPr>
      <w:r w:rsidRPr="00BA595D">
        <w:rPr>
          <w:sz w:val="24"/>
          <w:szCs w:val="24"/>
        </w:rPr>
        <w:t xml:space="preserve">L’encadrement pédagogique </w:t>
      </w:r>
      <w:r>
        <w:rPr>
          <w:sz w:val="24"/>
          <w:szCs w:val="24"/>
        </w:rPr>
        <w:t xml:space="preserve">est l’un des maillons essentiels </w:t>
      </w:r>
      <w:r w:rsidRPr="00BA595D">
        <w:rPr>
          <w:sz w:val="24"/>
          <w:szCs w:val="24"/>
        </w:rPr>
        <w:t>de la réalisation de la qualit</w:t>
      </w:r>
      <w:r>
        <w:rPr>
          <w:sz w:val="24"/>
          <w:szCs w:val="24"/>
        </w:rPr>
        <w:t>é de l’éducation dans tout système éducatif</w:t>
      </w:r>
      <w:r w:rsidRPr="00BA595D">
        <w:rPr>
          <w:sz w:val="24"/>
          <w:szCs w:val="24"/>
        </w:rPr>
        <w:t>.</w:t>
      </w:r>
      <w:r>
        <w:rPr>
          <w:sz w:val="24"/>
          <w:szCs w:val="24"/>
        </w:rPr>
        <w:t xml:space="preserve"> </w:t>
      </w:r>
      <w:r w:rsidRPr="00286DED">
        <w:rPr>
          <w:sz w:val="24"/>
          <w:szCs w:val="24"/>
        </w:rPr>
        <w:t xml:space="preserve">Pour ce </w:t>
      </w:r>
      <w:r w:rsidR="00CD045B" w:rsidRPr="00286DED">
        <w:rPr>
          <w:sz w:val="24"/>
          <w:szCs w:val="24"/>
        </w:rPr>
        <w:t>faire</w:t>
      </w:r>
      <w:r w:rsidR="00CD045B">
        <w:rPr>
          <w:sz w:val="24"/>
          <w:szCs w:val="24"/>
        </w:rPr>
        <w:t xml:space="preserve">, </w:t>
      </w:r>
      <w:r w:rsidR="00CD045B" w:rsidRPr="00BA595D">
        <w:rPr>
          <w:sz w:val="24"/>
          <w:szCs w:val="24"/>
        </w:rPr>
        <w:t>l’Etat</w:t>
      </w:r>
      <w:r w:rsidRPr="00BA595D">
        <w:rPr>
          <w:sz w:val="24"/>
          <w:szCs w:val="24"/>
        </w:rPr>
        <w:t xml:space="preserve"> du Burkina Faso a créé les corps d’encadrement dans les diff</w:t>
      </w:r>
      <w:r>
        <w:rPr>
          <w:sz w:val="24"/>
          <w:szCs w:val="24"/>
        </w:rPr>
        <w:t xml:space="preserve">érents ordres d’enseignement </w:t>
      </w:r>
      <w:r w:rsidRPr="00BA595D">
        <w:rPr>
          <w:sz w:val="24"/>
          <w:szCs w:val="24"/>
        </w:rPr>
        <w:t>après les indépendances. Concernant l’encadrement post-primaire et secondaire</w:t>
      </w:r>
      <w:r>
        <w:rPr>
          <w:sz w:val="24"/>
          <w:szCs w:val="24"/>
        </w:rPr>
        <w:t xml:space="preserve"> sur lequel porte cette recherche</w:t>
      </w:r>
      <w:r w:rsidRPr="00BA595D">
        <w:rPr>
          <w:sz w:val="24"/>
          <w:szCs w:val="24"/>
        </w:rPr>
        <w:t>, l’histoire retient que c’est en 1989 que le premier concours de recrutement d’élèves inspecteurs à former en France a été organisé (DGEPFIC</w:t>
      </w:r>
      <w:r>
        <w:rPr>
          <w:sz w:val="24"/>
          <w:szCs w:val="24"/>
          <w:vertAlign w:val="superscript"/>
        </w:rPr>
        <w:footnoteReference w:id="10"/>
      </w:r>
      <w:r w:rsidRPr="00BA595D">
        <w:rPr>
          <w:sz w:val="24"/>
          <w:szCs w:val="24"/>
        </w:rPr>
        <w:t>, 2018</w:t>
      </w:r>
      <w:r>
        <w:rPr>
          <w:sz w:val="24"/>
          <w:szCs w:val="24"/>
        </w:rPr>
        <w:t>). S’en est suivie,</w:t>
      </w:r>
      <w:r w:rsidRPr="00BA595D">
        <w:rPr>
          <w:sz w:val="24"/>
          <w:szCs w:val="24"/>
        </w:rPr>
        <w:t xml:space="preserve"> en 1996, l’ouverture de l’Ecole Normale Supérieure de Koudougou (ENSK), marquant le début de la formation des encadreurs du secondaire (conseillers et inspecteurs) sur le territoire burkinabè.</w:t>
      </w:r>
    </w:p>
    <w:p w14:paraId="3D66F79D" w14:textId="71986FCA" w:rsidR="00D80693" w:rsidRDefault="00D80693" w:rsidP="00CD045B">
      <w:pPr>
        <w:spacing w:before="120"/>
        <w:jc w:val="both"/>
        <w:rPr>
          <w:rFonts w:eastAsia="Calibri"/>
          <w:sz w:val="24"/>
          <w:szCs w:val="24"/>
        </w:rPr>
      </w:pPr>
      <w:r w:rsidRPr="009A4119">
        <w:rPr>
          <w:sz w:val="24"/>
          <w:szCs w:val="24"/>
        </w:rPr>
        <w:t>Ainsi,</w:t>
      </w:r>
      <w:r>
        <w:rPr>
          <w:sz w:val="24"/>
          <w:szCs w:val="24"/>
        </w:rPr>
        <w:t xml:space="preserve"> au regard de l’importance du</w:t>
      </w:r>
      <w:r w:rsidRPr="009A4119">
        <w:rPr>
          <w:sz w:val="24"/>
          <w:szCs w:val="24"/>
        </w:rPr>
        <w:t xml:space="preserve"> dispositif</w:t>
      </w:r>
      <w:r>
        <w:rPr>
          <w:sz w:val="24"/>
          <w:szCs w:val="24"/>
        </w:rPr>
        <w:t xml:space="preserve"> d’encadrement pédagogique</w:t>
      </w:r>
      <w:r w:rsidRPr="009A4119">
        <w:rPr>
          <w:sz w:val="24"/>
          <w:szCs w:val="24"/>
        </w:rPr>
        <w:t xml:space="preserve"> dans la recherche de la qualité de l’éducation, l’Etat</w:t>
      </w:r>
      <w:r>
        <w:rPr>
          <w:sz w:val="24"/>
          <w:szCs w:val="24"/>
        </w:rPr>
        <w:t xml:space="preserve"> </w:t>
      </w:r>
      <w:r w:rsidR="00CD045B">
        <w:rPr>
          <w:sz w:val="24"/>
          <w:szCs w:val="24"/>
        </w:rPr>
        <w:t>burkinabè</w:t>
      </w:r>
      <w:r w:rsidR="00CD045B" w:rsidRPr="009A4119">
        <w:rPr>
          <w:sz w:val="24"/>
          <w:szCs w:val="24"/>
        </w:rPr>
        <w:t xml:space="preserve"> poursuivit</w:t>
      </w:r>
      <w:r w:rsidRPr="009A4119">
        <w:rPr>
          <w:sz w:val="24"/>
          <w:szCs w:val="24"/>
        </w:rPr>
        <w:t xml:space="preserve"> ses efforts </w:t>
      </w:r>
      <w:r>
        <w:rPr>
          <w:sz w:val="24"/>
          <w:szCs w:val="24"/>
        </w:rPr>
        <w:t>dans la déconcentration du</w:t>
      </w:r>
      <w:r w:rsidRPr="009A4119">
        <w:rPr>
          <w:sz w:val="24"/>
          <w:szCs w:val="24"/>
        </w:rPr>
        <w:t xml:space="preserve"> système d’encadrement pédagogique à partir de 2002. C’est dans </w:t>
      </w:r>
      <w:r>
        <w:rPr>
          <w:sz w:val="24"/>
          <w:szCs w:val="24"/>
        </w:rPr>
        <w:t xml:space="preserve">cette perspective que s’ouvrent </w:t>
      </w:r>
      <w:r w:rsidRPr="009A4119">
        <w:rPr>
          <w:sz w:val="24"/>
          <w:szCs w:val="24"/>
        </w:rPr>
        <w:t>quatre se</w:t>
      </w:r>
      <w:r>
        <w:rPr>
          <w:sz w:val="24"/>
          <w:szCs w:val="24"/>
        </w:rPr>
        <w:t xml:space="preserve">rvices d’inspection pédagogique à </w:t>
      </w:r>
      <w:r w:rsidRPr="009A4119">
        <w:rPr>
          <w:sz w:val="24"/>
          <w:szCs w:val="24"/>
        </w:rPr>
        <w:t>Bobo-Dioulasso, Koudougou, Ouahigouya et Tenkodogo. En 2008, cette déconcentration s’étend au reste des régions. C’est dans cette même logique que</w:t>
      </w:r>
      <w:r>
        <w:rPr>
          <w:sz w:val="24"/>
          <w:szCs w:val="24"/>
        </w:rPr>
        <w:t xml:space="preserve"> sont créées</w:t>
      </w:r>
      <w:r w:rsidRPr="009A4119">
        <w:rPr>
          <w:sz w:val="24"/>
          <w:szCs w:val="24"/>
        </w:rPr>
        <w:t xml:space="preserve"> les Directions provinciales des Enseignements Post-primaire et Secondaire (DPEPS</w:t>
      </w:r>
      <w:r>
        <w:rPr>
          <w:sz w:val="24"/>
          <w:szCs w:val="24"/>
          <w:vertAlign w:val="superscript"/>
        </w:rPr>
        <w:footnoteReference w:id="11"/>
      </w:r>
      <w:r w:rsidRPr="009A4119">
        <w:rPr>
          <w:sz w:val="24"/>
          <w:szCs w:val="24"/>
        </w:rPr>
        <w:t>)</w:t>
      </w:r>
      <w:r>
        <w:rPr>
          <w:sz w:val="24"/>
          <w:szCs w:val="24"/>
        </w:rPr>
        <w:t xml:space="preserve"> en 2019 puis</w:t>
      </w:r>
      <w:r w:rsidRPr="009A4119">
        <w:rPr>
          <w:sz w:val="24"/>
          <w:szCs w:val="24"/>
        </w:rPr>
        <w:t xml:space="preserve"> </w:t>
      </w:r>
      <w:r w:rsidRPr="00D171A6">
        <w:rPr>
          <w:sz w:val="24"/>
          <w:szCs w:val="24"/>
        </w:rPr>
        <w:t>devenues DPESFPT</w:t>
      </w:r>
      <w:r>
        <w:rPr>
          <w:sz w:val="24"/>
          <w:szCs w:val="24"/>
          <w:vertAlign w:val="superscript"/>
        </w:rPr>
        <w:footnoteReference w:id="12"/>
      </w:r>
      <w:r w:rsidRPr="00D171A6">
        <w:rPr>
          <w:sz w:val="24"/>
          <w:szCs w:val="24"/>
        </w:rPr>
        <w:t xml:space="preserve"> en 2024</w:t>
      </w:r>
      <w:r>
        <w:rPr>
          <w:sz w:val="24"/>
          <w:szCs w:val="24"/>
        </w:rPr>
        <w:t xml:space="preserve">. Puis, neuf (9) circonscriptions de l’Enseignement Secondaire, de la Formation Professionnelle et Technique (CESFPT) viennent d’être créées en 2025 dans les deux plus grandes villes du pays, à savoir Ouagadougou et Bobo-Dioulasso.  </w:t>
      </w:r>
      <w:r w:rsidRPr="009D6AFB">
        <w:rPr>
          <w:sz w:val="24"/>
          <w:szCs w:val="24"/>
        </w:rPr>
        <w:t xml:space="preserve">En </w:t>
      </w:r>
      <w:r w:rsidRPr="009A4119">
        <w:rPr>
          <w:sz w:val="24"/>
          <w:szCs w:val="24"/>
        </w:rPr>
        <w:t>rappel,</w:t>
      </w:r>
      <w:r>
        <w:rPr>
          <w:sz w:val="24"/>
          <w:szCs w:val="24"/>
        </w:rPr>
        <w:t xml:space="preserve"> selon la DGEPFIC (2018) :</w:t>
      </w:r>
    </w:p>
    <w:p w14:paraId="61A728BC" w14:textId="77777777" w:rsidR="00D80693" w:rsidRDefault="00D80693" w:rsidP="00CD045B">
      <w:pPr>
        <w:adjustRightInd w:val="0"/>
        <w:spacing w:before="120"/>
        <w:ind w:left="567" w:right="567"/>
        <w:jc w:val="both"/>
        <w:rPr>
          <w:rFonts w:eastAsia="Calibri"/>
        </w:rPr>
      </w:pPr>
      <w:r w:rsidRPr="00687017">
        <w:t>Les tâches dévolues aux encadreurs pédagogiques sont essentiellement : la conception de curricula, d’outils d’évaluation des apprentissages scolaires, de supports didactiques au profit des enseignants, le suivi, l’encadrement et l’évaluation pédagogiques des enseignants, l’organisation de sessions de formation et d’animation pédagogique dans le cadre de la formation initiale et continue des personnels enseignants, la participation aux examens et concours scolaires et professionnels, etc. (DGEPFIC, 2018, p.19).</w:t>
      </w:r>
    </w:p>
    <w:p w14:paraId="7E195592" w14:textId="6BBE8864" w:rsidR="00D80693" w:rsidRPr="00A82C86" w:rsidRDefault="00D80693" w:rsidP="00CD045B">
      <w:pPr>
        <w:adjustRightInd w:val="0"/>
        <w:spacing w:before="120"/>
        <w:ind w:right="567"/>
        <w:jc w:val="both"/>
        <w:rPr>
          <w:rFonts w:eastAsia="Calibri"/>
          <w:sz w:val="24"/>
          <w:szCs w:val="24"/>
        </w:rPr>
      </w:pPr>
      <w:r w:rsidRPr="00A82C86">
        <w:rPr>
          <w:sz w:val="24"/>
          <w:szCs w:val="24"/>
        </w:rPr>
        <w:t>Ces tâches sus-indiquées sont</w:t>
      </w:r>
      <w:r w:rsidR="00CD045B">
        <w:rPr>
          <w:sz w:val="24"/>
          <w:szCs w:val="24"/>
        </w:rPr>
        <w:t>,</w:t>
      </w:r>
      <w:r w:rsidRPr="00A82C86">
        <w:rPr>
          <w:sz w:val="24"/>
          <w:szCs w:val="24"/>
        </w:rPr>
        <w:t xml:space="preserve"> du reste</w:t>
      </w:r>
      <w:r w:rsidR="00CD045B">
        <w:rPr>
          <w:sz w:val="24"/>
          <w:szCs w:val="24"/>
        </w:rPr>
        <w:t>,</w:t>
      </w:r>
      <w:r w:rsidRPr="00A82C86">
        <w:rPr>
          <w:sz w:val="24"/>
          <w:szCs w:val="24"/>
        </w:rPr>
        <w:t xml:space="preserve"> consignées dans le statut particulier des enseignants de 2020 </w:t>
      </w:r>
      <w:r>
        <w:rPr>
          <w:sz w:val="24"/>
          <w:szCs w:val="24"/>
          <w:vertAlign w:val="superscript"/>
        </w:rPr>
        <w:footnoteReference w:id="13"/>
      </w:r>
      <w:r w:rsidRPr="00A82C86">
        <w:rPr>
          <w:sz w:val="24"/>
          <w:szCs w:val="24"/>
        </w:rPr>
        <w:t>.</w:t>
      </w:r>
    </w:p>
    <w:p w14:paraId="44EF14B8" w14:textId="4779E438" w:rsidR="00D80693" w:rsidRPr="00670350" w:rsidRDefault="00D80693" w:rsidP="00CD045B">
      <w:pPr>
        <w:adjustRightInd w:val="0"/>
        <w:spacing w:before="120"/>
        <w:jc w:val="both"/>
        <w:rPr>
          <w:rFonts w:eastAsia="Calibri"/>
          <w:sz w:val="24"/>
          <w:szCs w:val="24"/>
        </w:rPr>
      </w:pPr>
      <w:r>
        <w:rPr>
          <w:sz w:val="24"/>
          <w:szCs w:val="24"/>
        </w:rPr>
        <w:t>Toutefois, au fil des années,</w:t>
      </w:r>
      <w:r w:rsidRPr="000B17B2">
        <w:rPr>
          <w:sz w:val="24"/>
          <w:szCs w:val="24"/>
        </w:rPr>
        <w:t xml:space="preserve"> </w:t>
      </w:r>
      <w:r>
        <w:rPr>
          <w:sz w:val="24"/>
          <w:szCs w:val="24"/>
        </w:rPr>
        <w:t>l’on se rend compte que la réalisation effective de ces</w:t>
      </w:r>
      <w:r w:rsidRPr="007243CE">
        <w:rPr>
          <w:sz w:val="24"/>
          <w:szCs w:val="24"/>
        </w:rPr>
        <w:t xml:space="preserve"> tâches</w:t>
      </w:r>
      <w:r>
        <w:rPr>
          <w:sz w:val="24"/>
          <w:szCs w:val="24"/>
        </w:rPr>
        <w:t xml:space="preserve"> suscitées au profit des enseignants</w:t>
      </w:r>
      <w:r w:rsidRPr="007243CE">
        <w:rPr>
          <w:sz w:val="24"/>
          <w:szCs w:val="24"/>
        </w:rPr>
        <w:t xml:space="preserve"> </w:t>
      </w:r>
      <w:r>
        <w:rPr>
          <w:sz w:val="24"/>
          <w:szCs w:val="24"/>
        </w:rPr>
        <w:t xml:space="preserve">pose </w:t>
      </w:r>
      <w:r w:rsidR="00CD045B">
        <w:rPr>
          <w:sz w:val="24"/>
          <w:szCs w:val="24"/>
        </w:rPr>
        <w:t>des problèmes</w:t>
      </w:r>
      <w:r w:rsidRPr="007243CE">
        <w:rPr>
          <w:sz w:val="24"/>
          <w:szCs w:val="24"/>
        </w:rPr>
        <w:t>.</w:t>
      </w:r>
      <w:r>
        <w:rPr>
          <w:sz w:val="24"/>
          <w:szCs w:val="24"/>
        </w:rPr>
        <w:t xml:space="preserve"> En effet, c</w:t>
      </w:r>
      <w:r w:rsidRPr="007243CE">
        <w:rPr>
          <w:sz w:val="24"/>
          <w:szCs w:val="24"/>
        </w:rPr>
        <w:t xml:space="preserve">ensé </w:t>
      </w:r>
      <w:r>
        <w:rPr>
          <w:sz w:val="24"/>
          <w:szCs w:val="24"/>
        </w:rPr>
        <w:t>pallier le manque de formation initiale de beaucoup d’enseignants</w:t>
      </w:r>
      <w:r w:rsidRPr="007243CE">
        <w:rPr>
          <w:sz w:val="24"/>
          <w:szCs w:val="24"/>
        </w:rPr>
        <w:t>, le dispositif de suivi et d’encadrement pédagogiques présente de</w:t>
      </w:r>
      <w:r>
        <w:rPr>
          <w:sz w:val="24"/>
          <w:szCs w:val="24"/>
        </w:rPr>
        <w:t>s</w:t>
      </w:r>
      <w:r w:rsidRPr="007243CE">
        <w:rPr>
          <w:sz w:val="24"/>
          <w:szCs w:val="24"/>
        </w:rPr>
        <w:t xml:space="preserve"> défaillances à tous les niveaux du système éducatif (préscolaire, primaire, post-primaire, secondaire, éducation non formelle) (DGEPFIC, 2018). C’est pourquoi, il a été mis en place </w:t>
      </w:r>
      <w:r>
        <w:rPr>
          <w:sz w:val="24"/>
          <w:szCs w:val="24"/>
        </w:rPr>
        <w:t xml:space="preserve">la </w:t>
      </w:r>
      <w:r w:rsidRPr="005265E6">
        <w:rPr>
          <w:sz w:val="24"/>
          <w:szCs w:val="24"/>
        </w:rPr>
        <w:t xml:space="preserve">DGEPFIC en 2017 </w:t>
      </w:r>
      <w:r w:rsidRPr="00A82C86">
        <w:rPr>
          <w:sz w:val="24"/>
          <w:szCs w:val="24"/>
        </w:rPr>
        <w:t xml:space="preserve">et </w:t>
      </w:r>
      <w:r w:rsidRPr="005265E6">
        <w:rPr>
          <w:sz w:val="24"/>
          <w:szCs w:val="24"/>
        </w:rPr>
        <w:t xml:space="preserve">dont les attributions ont été précisées par </w:t>
      </w:r>
      <w:r w:rsidRPr="004D691E">
        <w:rPr>
          <w:sz w:val="24"/>
          <w:szCs w:val="24"/>
        </w:rPr>
        <w:t>l’Arrêté n°2020</w:t>
      </w:r>
      <w:r>
        <w:rPr>
          <w:sz w:val="24"/>
          <w:szCs w:val="24"/>
        </w:rPr>
        <w:t>-</w:t>
      </w:r>
      <w:r w:rsidRPr="004D691E">
        <w:rPr>
          <w:sz w:val="24"/>
          <w:szCs w:val="24"/>
        </w:rPr>
        <w:t>100/MENAPLN/SG/DGEPFIC</w:t>
      </w:r>
      <w:r>
        <w:rPr>
          <w:sz w:val="24"/>
          <w:szCs w:val="24"/>
        </w:rPr>
        <w:t xml:space="preserve"> du </w:t>
      </w:r>
      <w:r w:rsidRPr="004D691E">
        <w:rPr>
          <w:sz w:val="24"/>
          <w:szCs w:val="24"/>
        </w:rPr>
        <w:t>24 avril 2020</w:t>
      </w:r>
      <w:r>
        <w:rPr>
          <w:sz w:val="24"/>
          <w:szCs w:val="24"/>
        </w:rPr>
        <w:t xml:space="preserve"> portant attributions, organisation et fonctionnement de la Direction générale de l’Encadrement pédagogique et de la Formation initiale et continue. Ainsi, même si aujourd’hui cette direction générale est devenue une simple direction technique</w:t>
      </w:r>
      <w:r>
        <w:rPr>
          <w:sz w:val="24"/>
          <w:szCs w:val="24"/>
          <w:vertAlign w:val="superscript"/>
        </w:rPr>
        <w:footnoteReference w:id="14"/>
      </w:r>
      <w:r w:rsidRPr="00A82C86">
        <w:rPr>
          <w:sz w:val="24"/>
          <w:szCs w:val="24"/>
        </w:rPr>
        <w:t xml:space="preserve">, </w:t>
      </w:r>
      <w:r w:rsidRPr="00670350">
        <w:rPr>
          <w:sz w:val="24"/>
          <w:szCs w:val="24"/>
        </w:rPr>
        <w:t>il n’en demeure pas moins qu’</w:t>
      </w:r>
      <w:r>
        <w:rPr>
          <w:sz w:val="24"/>
          <w:szCs w:val="24"/>
        </w:rPr>
        <w:t xml:space="preserve">elle poursuit le même </w:t>
      </w:r>
      <w:proofErr w:type="gramStart"/>
      <w:r>
        <w:rPr>
          <w:sz w:val="24"/>
          <w:szCs w:val="24"/>
        </w:rPr>
        <w:t>but</w:t>
      </w:r>
      <w:r w:rsidRPr="00670350">
        <w:rPr>
          <w:sz w:val="24"/>
          <w:szCs w:val="24"/>
        </w:rPr>
        <w:t>  que</w:t>
      </w:r>
      <w:proofErr w:type="gramEnd"/>
      <w:r w:rsidRPr="00670350">
        <w:rPr>
          <w:sz w:val="24"/>
          <w:szCs w:val="24"/>
        </w:rPr>
        <w:t xml:space="preserve"> celle précédente</w:t>
      </w:r>
      <w:r>
        <w:rPr>
          <w:sz w:val="24"/>
          <w:szCs w:val="24"/>
        </w:rPr>
        <w:t> : garantir la qualité de l’éducation de ce sous-secteur.</w:t>
      </w:r>
      <w:r w:rsidRPr="00670350">
        <w:rPr>
          <w:sz w:val="24"/>
          <w:szCs w:val="24"/>
        </w:rPr>
        <w:t xml:space="preserve"> En dépit de tout ce dispositif institutionnel, force est de constater</w:t>
      </w:r>
      <w:r>
        <w:rPr>
          <w:sz w:val="24"/>
          <w:szCs w:val="24"/>
        </w:rPr>
        <w:t xml:space="preserve"> que</w:t>
      </w:r>
      <w:r w:rsidRPr="00670350">
        <w:rPr>
          <w:sz w:val="24"/>
          <w:szCs w:val="24"/>
        </w:rPr>
        <w:t xml:space="preserve"> la situation n’est guère meilleure.</w:t>
      </w:r>
    </w:p>
    <w:p w14:paraId="22FAAC1D" w14:textId="77777777" w:rsidR="00D80693" w:rsidRDefault="00D80693" w:rsidP="00CD045B">
      <w:pPr>
        <w:spacing w:before="120"/>
        <w:jc w:val="both"/>
        <w:rPr>
          <w:rFonts w:eastAsia="Calibri"/>
          <w:sz w:val="24"/>
          <w:szCs w:val="24"/>
        </w:rPr>
      </w:pPr>
      <w:r>
        <w:rPr>
          <w:sz w:val="24"/>
          <w:szCs w:val="24"/>
        </w:rPr>
        <w:t xml:space="preserve">Selon </w:t>
      </w:r>
      <w:r w:rsidRPr="00D23798">
        <w:rPr>
          <w:sz w:val="24"/>
          <w:szCs w:val="24"/>
        </w:rPr>
        <w:t>la DGESS/ MENAPLN (2022-2023</w:t>
      </w:r>
      <w:r w:rsidRPr="00E21EEC">
        <w:rPr>
          <w:sz w:val="24"/>
          <w:szCs w:val="24"/>
        </w:rPr>
        <w:t>), la région du centre présente les meilleurs indicateurs en termes de nombre d’établissements (</w:t>
      </w:r>
      <w:r w:rsidRPr="00A73686">
        <w:rPr>
          <w:sz w:val="24"/>
          <w:szCs w:val="24"/>
        </w:rPr>
        <w:t xml:space="preserve">neuf cent trente-six </w:t>
      </w:r>
      <w:r>
        <w:rPr>
          <w:sz w:val="24"/>
          <w:szCs w:val="24"/>
        </w:rPr>
        <w:t>(</w:t>
      </w:r>
      <w:r w:rsidRPr="00E21EEC">
        <w:rPr>
          <w:sz w:val="24"/>
          <w:szCs w:val="24"/>
        </w:rPr>
        <w:t>936</w:t>
      </w:r>
      <w:r>
        <w:rPr>
          <w:sz w:val="24"/>
          <w:szCs w:val="24"/>
        </w:rPr>
        <w:t>)</w:t>
      </w:r>
      <w:r w:rsidRPr="00E21EEC">
        <w:rPr>
          <w:sz w:val="24"/>
          <w:szCs w:val="24"/>
        </w:rPr>
        <w:t xml:space="preserve"> </w:t>
      </w:r>
      <w:proofErr w:type="gramStart"/>
      <w:r w:rsidRPr="00E21EEC">
        <w:rPr>
          <w:sz w:val="24"/>
          <w:szCs w:val="24"/>
        </w:rPr>
        <w:t xml:space="preserve">sur </w:t>
      </w:r>
      <w:r>
        <w:rPr>
          <w:sz w:val="24"/>
          <w:szCs w:val="24"/>
        </w:rPr>
        <w:t xml:space="preserve"> </w:t>
      </w:r>
      <w:r w:rsidRPr="00A73686">
        <w:rPr>
          <w:sz w:val="24"/>
          <w:szCs w:val="24"/>
        </w:rPr>
        <w:t>quatre</w:t>
      </w:r>
      <w:proofErr w:type="gramEnd"/>
      <w:r w:rsidRPr="00A73686">
        <w:rPr>
          <w:sz w:val="24"/>
          <w:szCs w:val="24"/>
        </w:rPr>
        <w:t xml:space="preserve"> mille cent quatre</w:t>
      </w:r>
      <w:r w:rsidRPr="009E4F3E">
        <w:rPr>
          <w:color w:val="FF0000"/>
          <w:sz w:val="24"/>
          <w:szCs w:val="24"/>
        </w:rPr>
        <w:t xml:space="preserve"> </w:t>
      </w:r>
      <w:r>
        <w:rPr>
          <w:sz w:val="24"/>
          <w:szCs w:val="24"/>
        </w:rPr>
        <w:t>(</w:t>
      </w:r>
      <w:r w:rsidRPr="00E21EEC">
        <w:rPr>
          <w:sz w:val="24"/>
          <w:szCs w:val="24"/>
        </w:rPr>
        <w:t>4104</w:t>
      </w:r>
      <w:r>
        <w:rPr>
          <w:sz w:val="24"/>
          <w:szCs w:val="24"/>
        </w:rPr>
        <w:t>), soit 22, 80</w:t>
      </w:r>
      <w:proofErr w:type="gramStart"/>
      <w:r>
        <w:rPr>
          <w:sz w:val="24"/>
          <w:szCs w:val="24"/>
        </w:rPr>
        <w:t>%  du</w:t>
      </w:r>
      <w:proofErr w:type="gramEnd"/>
      <w:r w:rsidRPr="00E21EEC">
        <w:rPr>
          <w:sz w:val="24"/>
          <w:szCs w:val="24"/>
        </w:rPr>
        <w:t xml:space="preserve"> nombre total d’établissements) et d’enseignants post-primaires et secondaires (</w:t>
      </w:r>
      <w:r>
        <w:rPr>
          <w:sz w:val="24"/>
          <w:szCs w:val="24"/>
        </w:rPr>
        <w:t>cinq mille six cent quatre-vingt-trois (</w:t>
      </w:r>
      <w:r w:rsidRPr="00E21EEC">
        <w:rPr>
          <w:sz w:val="24"/>
          <w:szCs w:val="24"/>
        </w:rPr>
        <w:t>5</w:t>
      </w:r>
      <w:r>
        <w:rPr>
          <w:sz w:val="24"/>
          <w:szCs w:val="24"/>
        </w:rPr>
        <w:t>.</w:t>
      </w:r>
      <w:r w:rsidRPr="00E21EEC">
        <w:rPr>
          <w:sz w:val="24"/>
          <w:szCs w:val="24"/>
        </w:rPr>
        <w:t>683</w:t>
      </w:r>
      <w:proofErr w:type="gramStart"/>
      <w:r>
        <w:rPr>
          <w:sz w:val="24"/>
          <w:szCs w:val="24"/>
        </w:rPr>
        <w:t xml:space="preserve">) </w:t>
      </w:r>
      <w:r w:rsidRPr="00E21EEC">
        <w:rPr>
          <w:sz w:val="24"/>
          <w:szCs w:val="24"/>
        </w:rPr>
        <w:t xml:space="preserve"> soit</w:t>
      </w:r>
      <w:proofErr w:type="gramEnd"/>
      <w:r w:rsidRPr="00E21EEC">
        <w:rPr>
          <w:sz w:val="24"/>
          <w:szCs w:val="24"/>
        </w:rPr>
        <w:t xml:space="preserve"> 16, 70 % de l’effectif total).</w:t>
      </w:r>
      <w:r>
        <w:rPr>
          <w:sz w:val="24"/>
          <w:szCs w:val="24"/>
        </w:rPr>
        <w:t xml:space="preserve"> Cependant, au niveau des enseignements post-primaire et secondaire, certains </w:t>
      </w:r>
      <w:r w:rsidRPr="00753049">
        <w:rPr>
          <w:sz w:val="24"/>
          <w:szCs w:val="24"/>
        </w:rPr>
        <w:t>enseignants refusent les visites de classe et des encadreurs passent leurs temps à effectuer des visites de classe infru</w:t>
      </w:r>
      <w:r>
        <w:rPr>
          <w:sz w:val="24"/>
          <w:szCs w:val="24"/>
        </w:rPr>
        <w:t xml:space="preserve">ctueuses auprès de ces derniers dans cette région (Sessouma, 2020). </w:t>
      </w:r>
    </w:p>
    <w:p w14:paraId="05A9A324" w14:textId="77777777" w:rsidR="00D80693" w:rsidRDefault="00D80693" w:rsidP="00CD045B">
      <w:pPr>
        <w:spacing w:before="120"/>
        <w:jc w:val="both"/>
        <w:rPr>
          <w:rFonts w:eastAsia="Calibri"/>
          <w:sz w:val="24"/>
          <w:szCs w:val="24"/>
        </w:rPr>
      </w:pPr>
      <w:r w:rsidRPr="003E5FEE">
        <w:rPr>
          <w:sz w:val="24"/>
          <w:szCs w:val="24"/>
        </w:rPr>
        <w:t xml:space="preserve">Par voie de </w:t>
      </w:r>
      <w:r w:rsidRPr="00523AFF">
        <w:rPr>
          <w:sz w:val="24"/>
          <w:szCs w:val="24"/>
        </w:rPr>
        <w:t xml:space="preserve">conséquence, nous pouvons légitimement penser que l’encadrement pédagogique au post-primaire et au secondaire dans </w:t>
      </w:r>
      <w:r>
        <w:rPr>
          <w:sz w:val="24"/>
          <w:szCs w:val="24"/>
        </w:rPr>
        <w:t>la</w:t>
      </w:r>
      <w:r w:rsidRPr="00523AFF">
        <w:rPr>
          <w:sz w:val="24"/>
          <w:szCs w:val="24"/>
        </w:rPr>
        <w:t xml:space="preserve"> région</w:t>
      </w:r>
      <w:r>
        <w:rPr>
          <w:sz w:val="24"/>
          <w:szCs w:val="24"/>
        </w:rPr>
        <w:t xml:space="preserve"> du centre</w:t>
      </w:r>
      <w:r w:rsidRPr="00523AFF">
        <w:rPr>
          <w:sz w:val="24"/>
          <w:szCs w:val="24"/>
        </w:rPr>
        <w:t xml:space="preserve"> est confronté à des difficultés de collaboration entre les principaux acteurs</w:t>
      </w:r>
      <w:r>
        <w:rPr>
          <w:sz w:val="24"/>
          <w:szCs w:val="24"/>
        </w:rPr>
        <w:t xml:space="preserve"> </w:t>
      </w:r>
      <w:r w:rsidRPr="00523AFF">
        <w:rPr>
          <w:sz w:val="24"/>
          <w:szCs w:val="24"/>
        </w:rPr>
        <w:t xml:space="preserve">de l’encadrement, </w:t>
      </w:r>
      <w:r w:rsidRPr="003E5FEE">
        <w:rPr>
          <w:sz w:val="24"/>
          <w:szCs w:val="24"/>
        </w:rPr>
        <w:t xml:space="preserve">toute chose </w:t>
      </w:r>
      <w:proofErr w:type="gramStart"/>
      <w:r w:rsidRPr="00523AFF">
        <w:rPr>
          <w:sz w:val="24"/>
          <w:szCs w:val="24"/>
        </w:rPr>
        <w:t>qui  nuit</w:t>
      </w:r>
      <w:proofErr w:type="gramEnd"/>
      <w:r w:rsidRPr="00523AFF">
        <w:rPr>
          <w:sz w:val="24"/>
          <w:szCs w:val="24"/>
        </w:rPr>
        <w:t xml:space="preserve"> à </w:t>
      </w:r>
      <w:proofErr w:type="gramStart"/>
      <w:r w:rsidRPr="00523AFF">
        <w:rPr>
          <w:sz w:val="24"/>
          <w:szCs w:val="24"/>
        </w:rPr>
        <w:t>l’efficacité</w:t>
      </w:r>
      <w:r>
        <w:rPr>
          <w:sz w:val="24"/>
          <w:szCs w:val="24"/>
        </w:rPr>
        <w:t xml:space="preserve"> </w:t>
      </w:r>
      <w:r w:rsidRPr="00523AFF">
        <w:rPr>
          <w:sz w:val="24"/>
          <w:szCs w:val="24"/>
        </w:rPr>
        <w:t xml:space="preserve"> des</w:t>
      </w:r>
      <w:proofErr w:type="gramEnd"/>
      <w:r w:rsidRPr="00523AFF">
        <w:rPr>
          <w:sz w:val="24"/>
          <w:szCs w:val="24"/>
        </w:rPr>
        <w:t xml:space="preserve"> missions d’encadrement pédagogique.</w:t>
      </w:r>
      <w:r>
        <w:rPr>
          <w:sz w:val="24"/>
          <w:szCs w:val="24"/>
        </w:rPr>
        <w:t xml:space="preserve"> C’est pourquoi </w:t>
      </w:r>
      <w:r w:rsidRPr="003E5FEE">
        <w:rPr>
          <w:sz w:val="24"/>
          <w:szCs w:val="24"/>
        </w:rPr>
        <w:t xml:space="preserve">nous avons voulu nous pencher sur le thème </w:t>
      </w:r>
      <w:r w:rsidRPr="003E5FEE">
        <w:rPr>
          <w:b/>
          <w:bCs/>
          <w:sz w:val="24"/>
          <w:szCs w:val="24"/>
        </w:rPr>
        <w:t>:</w:t>
      </w:r>
      <w:proofErr w:type="gramStart"/>
      <w:r w:rsidRPr="003E5FEE">
        <w:rPr>
          <w:b/>
          <w:bCs/>
          <w:sz w:val="24"/>
          <w:szCs w:val="24"/>
        </w:rPr>
        <w:t xml:space="preserve"> </w:t>
      </w:r>
      <w:r w:rsidRPr="003E5FEE">
        <w:rPr>
          <w:bCs/>
          <w:sz w:val="24"/>
          <w:szCs w:val="24"/>
        </w:rPr>
        <w:t>«Les</w:t>
      </w:r>
      <w:proofErr w:type="gramEnd"/>
      <w:r>
        <w:rPr>
          <w:bCs/>
          <w:sz w:val="24"/>
          <w:szCs w:val="24"/>
        </w:rPr>
        <w:t xml:space="preserve"> </w:t>
      </w:r>
      <w:r w:rsidRPr="00B5786B">
        <w:rPr>
          <w:bCs/>
          <w:sz w:val="24"/>
          <w:szCs w:val="24"/>
        </w:rPr>
        <w:t xml:space="preserve">contraintes psychosociales d’encadrement pédagogique dans les établissements d’enseignements post-primaire et secondaire de la région du Centre au Burkina </w:t>
      </w:r>
      <w:proofErr w:type="gramStart"/>
      <w:r w:rsidRPr="00B5786B">
        <w:rPr>
          <w:bCs/>
          <w:sz w:val="24"/>
          <w:szCs w:val="24"/>
        </w:rPr>
        <w:t>Faso</w:t>
      </w:r>
      <w:r w:rsidRPr="00523AFF">
        <w:rPr>
          <w:sz w:val="24"/>
          <w:szCs w:val="24"/>
        </w:rPr>
        <w:t>»</w:t>
      </w:r>
      <w:proofErr w:type="gramEnd"/>
      <w:r w:rsidRPr="00523AFF">
        <w:rPr>
          <w:sz w:val="24"/>
          <w:szCs w:val="24"/>
        </w:rPr>
        <w:t>. L’</w:t>
      </w:r>
      <w:r>
        <w:rPr>
          <w:sz w:val="24"/>
          <w:szCs w:val="24"/>
        </w:rPr>
        <w:t xml:space="preserve">objectif général de cette étude </w:t>
      </w:r>
      <w:r w:rsidRPr="00881C35">
        <w:rPr>
          <w:sz w:val="24"/>
          <w:szCs w:val="24"/>
        </w:rPr>
        <w:t xml:space="preserve">est d’analyser </w:t>
      </w:r>
      <w:r w:rsidRPr="00523AFF">
        <w:rPr>
          <w:sz w:val="24"/>
          <w:szCs w:val="24"/>
        </w:rPr>
        <w:t xml:space="preserve">les contraintes psychosociales d’encadrement pédagogique dans les établissements d’enseignements post-primaire et secondaire de la région du Centre. </w:t>
      </w:r>
      <w:r>
        <w:rPr>
          <w:sz w:val="24"/>
          <w:szCs w:val="24"/>
        </w:rPr>
        <w:t xml:space="preserve">De façon spécifique, cette recherche se propose </w:t>
      </w:r>
      <w:proofErr w:type="gramStart"/>
      <w:r>
        <w:rPr>
          <w:sz w:val="24"/>
          <w:szCs w:val="24"/>
        </w:rPr>
        <w:t>d’ :</w:t>
      </w:r>
      <w:proofErr w:type="gramEnd"/>
    </w:p>
    <w:p w14:paraId="57E43DF2" w14:textId="1CA4D4ED" w:rsidR="00D80693" w:rsidRPr="00CD045B" w:rsidRDefault="00D80693" w:rsidP="00CD045B">
      <w:pPr>
        <w:pStyle w:val="Paragraphedeliste"/>
        <w:numPr>
          <w:ilvl w:val="0"/>
          <w:numId w:val="218"/>
        </w:numPr>
        <w:adjustRightInd w:val="0"/>
        <w:rPr>
          <w:rFonts w:eastAsia="Calibri"/>
          <w:color w:val="000000"/>
          <w:sz w:val="24"/>
          <w:szCs w:val="24"/>
        </w:rPr>
      </w:pPr>
      <w:proofErr w:type="gramStart"/>
      <w:r w:rsidRPr="00CD045B">
        <w:rPr>
          <w:sz w:val="24"/>
          <w:szCs w:val="24"/>
        </w:rPr>
        <w:t>identifier</w:t>
      </w:r>
      <w:proofErr w:type="gramEnd"/>
      <w:r w:rsidRPr="00CD045B">
        <w:rPr>
          <w:color w:val="000000"/>
          <w:sz w:val="24"/>
          <w:szCs w:val="24"/>
        </w:rPr>
        <w:t xml:space="preserve"> les contraintes psychosociales d’encadrement pédagogique dans les établissements d’enseignement post-primaire et secondaire de la région du centre ; </w:t>
      </w:r>
    </w:p>
    <w:p w14:paraId="6A294AA6" w14:textId="7A894696" w:rsidR="00D80693" w:rsidRPr="00CD045B" w:rsidRDefault="00D80693" w:rsidP="00CD045B">
      <w:pPr>
        <w:pStyle w:val="Paragraphedeliste"/>
        <w:numPr>
          <w:ilvl w:val="0"/>
          <w:numId w:val="218"/>
        </w:numPr>
        <w:adjustRightInd w:val="0"/>
        <w:rPr>
          <w:rFonts w:eastAsia="Calibri"/>
          <w:color w:val="000000"/>
          <w:sz w:val="24"/>
          <w:szCs w:val="24"/>
        </w:rPr>
      </w:pPr>
      <w:proofErr w:type="gramStart"/>
      <w:r w:rsidRPr="00CD045B">
        <w:rPr>
          <w:color w:val="000000"/>
          <w:sz w:val="24"/>
          <w:szCs w:val="24"/>
        </w:rPr>
        <w:t>analyser</w:t>
      </w:r>
      <w:proofErr w:type="gramEnd"/>
      <w:r w:rsidRPr="00CD045B">
        <w:rPr>
          <w:color w:val="000000"/>
          <w:sz w:val="24"/>
          <w:szCs w:val="24"/>
        </w:rPr>
        <w:t xml:space="preserve"> l’impact de ces contraintes psychosociales sur l’efficacité de l’encadrement pédagogique dans les établissements post-primaire et secondaire de la région du Centre. </w:t>
      </w:r>
    </w:p>
    <w:p w14:paraId="1EC619BA" w14:textId="77777777" w:rsidR="00D80693" w:rsidRPr="00BD7035" w:rsidRDefault="00D80693" w:rsidP="00CD045B">
      <w:pPr>
        <w:spacing w:before="120"/>
        <w:rPr>
          <w:rFonts w:eastAsia="Calibri"/>
          <w:b/>
          <w:sz w:val="28"/>
          <w:szCs w:val="28"/>
        </w:rPr>
      </w:pPr>
      <w:r w:rsidRPr="00BD7035">
        <w:rPr>
          <w:b/>
          <w:sz w:val="28"/>
          <w:szCs w:val="28"/>
        </w:rPr>
        <w:t>1. Le cadre théorique</w:t>
      </w:r>
    </w:p>
    <w:p w14:paraId="30D5AFEA" w14:textId="77777777" w:rsidR="00D80693" w:rsidRPr="00F90F8A" w:rsidRDefault="00D80693" w:rsidP="00CD045B">
      <w:pPr>
        <w:spacing w:before="120"/>
        <w:ind w:left="120"/>
        <w:jc w:val="both"/>
        <w:rPr>
          <w:rFonts w:eastAsia="Calibri"/>
          <w:sz w:val="24"/>
          <w:szCs w:val="24"/>
        </w:rPr>
      </w:pPr>
      <w:r>
        <w:rPr>
          <w:sz w:val="24"/>
          <w:szCs w:val="24"/>
        </w:rPr>
        <w:t>Pour mener cette recherche, nous nous appuyons sur deux théories de référence : le socioconstructivisme et l’approche développementale de l’encadrement pédagogique.</w:t>
      </w:r>
    </w:p>
    <w:p w14:paraId="10CA7875" w14:textId="77777777" w:rsidR="00D80693" w:rsidRPr="008D4355" w:rsidRDefault="00D80693" w:rsidP="00CD045B">
      <w:pPr>
        <w:spacing w:before="120"/>
        <w:ind w:left="120"/>
        <w:jc w:val="both"/>
        <w:rPr>
          <w:rFonts w:eastAsia="Calibri"/>
          <w:sz w:val="24"/>
          <w:szCs w:val="24"/>
        </w:rPr>
      </w:pPr>
      <w:r w:rsidRPr="008D4355">
        <w:rPr>
          <w:color w:val="000000"/>
          <w:sz w:val="24"/>
          <w:szCs w:val="24"/>
        </w:rPr>
        <w:t xml:space="preserve">Le socioconstructivisme </w:t>
      </w:r>
      <w:r w:rsidRPr="003D2D5E">
        <w:rPr>
          <w:sz w:val="24"/>
          <w:szCs w:val="24"/>
        </w:rPr>
        <w:t xml:space="preserve">est beaucoup influencé par les travaux des </w:t>
      </w:r>
      <w:r w:rsidRPr="008D4355">
        <w:rPr>
          <w:color w:val="000000"/>
          <w:sz w:val="24"/>
          <w:szCs w:val="24"/>
        </w:rPr>
        <w:t xml:space="preserve">auteurs tels que </w:t>
      </w:r>
      <w:r w:rsidRPr="001318D8">
        <w:rPr>
          <w:color w:val="000000"/>
          <w:sz w:val="24"/>
          <w:szCs w:val="24"/>
        </w:rPr>
        <w:t xml:space="preserve">Vygotski (1933/1985), </w:t>
      </w:r>
      <w:r w:rsidRPr="00003D5E">
        <w:rPr>
          <w:color w:val="000000"/>
          <w:sz w:val="24"/>
          <w:szCs w:val="24"/>
        </w:rPr>
        <w:t>Bruner (1960), Doise et Mugny (1981 et 1993</w:t>
      </w:r>
      <w:r w:rsidRPr="008D4355">
        <w:rPr>
          <w:color w:val="000000"/>
          <w:sz w:val="24"/>
          <w:szCs w:val="24"/>
        </w:rPr>
        <w:t xml:space="preserve">). Pour ces auteurs </w:t>
      </w:r>
      <w:r w:rsidRPr="003D2D5E">
        <w:rPr>
          <w:sz w:val="24"/>
          <w:szCs w:val="24"/>
        </w:rPr>
        <w:t>du socioconstructivisme</w:t>
      </w:r>
      <w:r w:rsidRPr="008D4355">
        <w:rPr>
          <w:color w:val="000000"/>
          <w:sz w:val="24"/>
          <w:szCs w:val="24"/>
        </w:rPr>
        <w:t>, l’individu construit ses connaissances par le biais de l’expérimentation et de la découverte. Ils mettent l’accent sur l’importance de l’environnement social et culturel dans l’apprentissage, car si la construction d’un savoir est personnelle, celle-ci s’effectue dans un cadre social et dépend du contexte où on tire les informations et où se déroule</w:t>
      </w:r>
      <w:r>
        <w:rPr>
          <w:color w:val="000000"/>
          <w:sz w:val="24"/>
          <w:szCs w:val="24"/>
        </w:rPr>
        <w:t>nt</w:t>
      </w:r>
      <w:r w:rsidRPr="008D4355">
        <w:rPr>
          <w:color w:val="000000"/>
          <w:sz w:val="24"/>
          <w:szCs w:val="24"/>
        </w:rPr>
        <w:t xml:space="preserve"> les interactions. Cette approche insiste alors sur : </w:t>
      </w:r>
    </w:p>
    <w:p w14:paraId="427BC8D1" w14:textId="7F65D50F" w:rsidR="00D80693" w:rsidRPr="00CD045B" w:rsidRDefault="00D80693" w:rsidP="00CD045B">
      <w:pPr>
        <w:pStyle w:val="Paragraphedeliste"/>
        <w:numPr>
          <w:ilvl w:val="0"/>
          <w:numId w:val="219"/>
        </w:numPr>
        <w:rPr>
          <w:rFonts w:eastAsia="Calibri"/>
          <w:color w:val="000000"/>
          <w:sz w:val="24"/>
          <w:szCs w:val="24"/>
        </w:rPr>
      </w:pPr>
      <w:proofErr w:type="gramStart"/>
      <w:r w:rsidRPr="00CD045B">
        <w:rPr>
          <w:color w:val="000000"/>
          <w:sz w:val="24"/>
          <w:szCs w:val="24"/>
        </w:rPr>
        <w:t>l’interdépendance</w:t>
      </w:r>
      <w:proofErr w:type="gramEnd"/>
      <w:r w:rsidRPr="00CD045B">
        <w:rPr>
          <w:color w:val="000000"/>
          <w:sz w:val="24"/>
          <w:szCs w:val="24"/>
        </w:rPr>
        <w:t xml:space="preserve"> de l’apprentissage et de son contexte ;</w:t>
      </w:r>
    </w:p>
    <w:p w14:paraId="21D3C921" w14:textId="0D5214EB" w:rsidR="00D80693" w:rsidRPr="00CD045B" w:rsidRDefault="00D80693" w:rsidP="00CD045B">
      <w:pPr>
        <w:pStyle w:val="Paragraphedeliste"/>
        <w:numPr>
          <w:ilvl w:val="0"/>
          <w:numId w:val="219"/>
        </w:numPr>
        <w:adjustRightInd w:val="0"/>
        <w:rPr>
          <w:rFonts w:eastAsia="Calibri"/>
          <w:color w:val="000000"/>
          <w:sz w:val="24"/>
          <w:szCs w:val="24"/>
        </w:rPr>
      </w:pPr>
      <w:proofErr w:type="gramStart"/>
      <w:r w:rsidRPr="00CD045B">
        <w:rPr>
          <w:color w:val="000000"/>
          <w:sz w:val="24"/>
          <w:szCs w:val="24"/>
        </w:rPr>
        <w:t>l’existence</w:t>
      </w:r>
      <w:proofErr w:type="gramEnd"/>
      <w:r w:rsidRPr="00CD045B">
        <w:rPr>
          <w:color w:val="000000"/>
          <w:sz w:val="24"/>
          <w:szCs w:val="24"/>
        </w:rPr>
        <w:t xml:space="preserve"> d’un conflit sociocognitif dans tout acte d’apprentissage. Pour Doise et Mugny (1981), cela veut dire que les interactions entre pairs est source de développement cognitif, dans la mesure où elle introduit une confrontation entre les conceptions divergentes. Au cours d’une interaction au sein d’un groupe, un premier « déséquilibre interindividuel » apparaît puisque chaque apprenant est confronté à des</w:t>
      </w:r>
      <w:r w:rsidRPr="00CD045B">
        <w:rPr>
          <w:rFonts w:ascii="Arial" w:hAnsi="Arial" w:cs="Arial"/>
          <w:color w:val="000000"/>
          <w:sz w:val="23"/>
          <w:szCs w:val="23"/>
        </w:rPr>
        <w:t xml:space="preserve"> </w:t>
      </w:r>
      <w:r w:rsidRPr="00CD045B">
        <w:rPr>
          <w:color w:val="000000"/>
          <w:sz w:val="24"/>
          <w:szCs w:val="24"/>
        </w:rPr>
        <w:t xml:space="preserve">points de vue divergents. Puis, quand l’apprenant prend conscience que sa pensée est différente de celle des autres et que celle-ci entre en conflit avec ses connaissances, cela provoque un deuxième déséquilibre appelé « déséquilibre intra-individuel ». A partir de là, l’apprenant est amené à reconsidérer à la fois ces propres représentations et celles des autres pour reconstruire un nouveau savoir. En clair, l’apprentissage est favorisé par les interactions sociales. </w:t>
      </w:r>
    </w:p>
    <w:p w14:paraId="54D7AA3D" w14:textId="77777777" w:rsidR="00D80693" w:rsidRPr="00FC153A" w:rsidRDefault="00D80693" w:rsidP="00CD045B">
      <w:pPr>
        <w:adjustRightInd w:val="0"/>
        <w:spacing w:before="120"/>
        <w:jc w:val="both"/>
        <w:rPr>
          <w:rFonts w:eastAsia="Calibri"/>
          <w:color w:val="000000"/>
          <w:sz w:val="24"/>
          <w:szCs w:val="24"/>
        </w:rPr>
      </w:pPr>
      <w:r w:rsidRPr="00FC153A">
        <w:rPr>
          <w:color w:val="000000"/>
          <w:sz w:val="24"/>
          <w:szCs w:val="24"/>
        </w:rPr>
        <w:t xml:space="preserve">Du reste, </w:t>
      </w:r>
      <w:r w:rsidRPr="003D2D5E">
        <w:rPr>
          <w:sz w:val="24"/>
          <w:szCs w:val="24"/>
        </w:rPr>
        <w:t xml:space="preserve">Vygotski (1933/1985) </w:t>
      </w:r>
      <w:r>
        <w:rPr>
          <w:color w:val="000000"/>
          <w:sz w:val="24"/>
          <w:szCs w:val="24"/>
        </w:rPr>
        <w:t>considé</w:t>
      </w:r>
      <w:r w:rsidRPr="00FC153A">
        <w:rPr>
          <w:color w:val="000000"/>
          <w:sz w:val="24"/>
          <w:szCs w:val="24"/>
        </w:rPr>
        <w:t>rant</w:t>
      </w:r>
      <w:r w:rsidRPr="00BF0C26">
        <w:rPr>
          <w:color w:val="000000"/>
          <w:sz w:val="24"/>
          <w:szCs w:val="24"/>
        </w:rPr>
        <w:t xml:space="preserve"> les interactions sociales comme fo</w:t>
      </w:r>
      <w:r w:rsidRPr="00FC153A">
        <w:rPr>
          <w:color w:val="000000"/>
          <w:sz w:val="24"/>
          <w:szCs w:val="24"/>
        </w:rPr>
        <w:t>ndement de tout apprentissage</w:t>
      </w:r>
      <w:r>
        <w:rPr>
          <w:color w:val="000000"/>
          <w:sz w:val="24"/>
          <w:szCs w:val="24"/>
        </w:rPr>
        <w:t xml:space="preserve">, </w:t>
      </w:r>
      <w:r w:rsidRPr="00BF0C26">
        <w:rPr>
          <w:color w:val="000000"/>
          <w:sz w:val="24"/>
          <w:szCs w:val="24"/>
        </w:rPr>
        <w:t>in</w:t>
      </w:r>
      <w:r w:rsidRPr="00FC153A">
        <w:rPr>
          <w:color w:val="000000"/>
          <w:sz w:val="24"/>
          <w:szCs w:val="24"/>
        </w:rPr>
        <w:t>vente</w:t>
      </w:r>
      <w:r w:rsidRPr="00BF0C26">
        <w:rPr>
          <w:color w:val="000000"/>
          <w:sz w:val="24"/>
          <w:szCs w:val="24"/>
        </w:rPr>
        <w:t xml:space="preserve"> le concept de Zone Proximale de Développement (ZPD), </w:t>
      </w:r>
      <w:r>
        <w:rPr>
          <w:color w:val="000000"/>
          <w:sz w:val="24"/>
          <w:szCs w:val="24"/>
        </w:rPr>
        <w:t xml:space="preserve">qui selon lui, est l’écart entre ce que l’apprenant peut faire seul et ce qu’il peut faire avec l’aide d’autrui. Il en découle alors deux niveaux de développement de l’enfant ou de l’apprenant : </w:t>
      </w:r>
    </w:p>
    <w:p w14:paraId="70AAC94A" w14:textId="6C85EAD6" w:rsidR="00D80693" w:rsidRPr="00CD045B" w:rsidRDefault="00D80693" w:rsidP="00CD045B">
      <w:pPr>
        <w:pStyle w:val="Paragraphedeliste"/>
        <w:numPr>
          <w:ilvl w:val="0"/>
          <w:numId w:val="220"/>
        </w:numPr>
        <w:adjustRightInd w:val="0"/>
        <w:rPr>
          <w:rFonts w:eastAsia="Calibri"/>
          <w:color w:val="000000"/>
          <w:sz w:val="24"/>
          <w:szCs w:val="24"/>
        </w:rPr>
      </w:pPr>
      <w:r w:rsidRPr="00CD045B">
        <w:rPr>
          <w:color w:val="000000"/>
          <w:sz w:val="24"/>
          <w:szCs w:val="24"/>
        </w:rPr>
        <w:t xml:space="preserve">La zone de développement </w:t>
      </w:r>
      <w:proofErr w:type="gramStart"/>
      <w:r w:rsidRPr="00CD045B">
        <w:rPr>
          <w:color w:val="000000"/>
          <w:sz w:val="24"/>
          <w:szCs w:val="24"/>
        </w:rPr>
        <w:t>réel:</w:t>
      </w:r>
      <w:proofErr w:type="gramEnd"/>
      <w:r w:rsidRPr="00CD045B">
        <w:rPr>
          <w:color w:val="000000"/>
          <w:sz w:val="24"/>
          <w:szCs w:val="24"/>
        </w:rPr>
        <w:t xml:space="preserve"> les apprentissages réalisés à ce niveau font * partie du cursus de développement normal, lesquels, de toute façon, seront développés par l’enfant sans l’aide d’autrui ; </w:t>
      </w:r>
    </w:p>
    <w:p w14:paraId="62F901A2" w14:textId="30E1658A" w:rsidR="00D80693" w:rsidRPr="00CD045B" w:rsidRDefault="00D80693" w:rsidP="00CD045B">
      <w:pPr>
        <w:pStyle w:val="Paragraphedeliste"/>
        <w:numPr>
          <w:ilvl w:val="0"/>
          <w:numId w:val="220"/>
        </w:numPr>
        <w:adjustRightInd w:val="0"/>
        <w:rPr>
          <w:rFonts w:eastAsia="Calibri"/>
          <w:color w:val="000000"/>
          <w:sz w:val="24"/>
          <w:szCs w:val="24"/>
        </w:rPr>
      </w:pPr>
      <w:r w:rsidRPr="00CD045B">
        <w:rPr>
          <w:color w:val="000000"/>
          <w:sz w:val="24"/>
          <w:szCs w:val="24"/>
        </w:rPr>
        <w:t xml:space="preserve">Le niveau de développement potentiel : ici les apprentissages sont sociaux, c’est-à-dire tirés de la collaboration avec autrui (camarade, enseignant, adulte) plus expérimenté. </w:t>
      </w:r>
    </w:p>
    <w:p w14:paraId="05C09778" w14:textId="77777777" w:rsidR="00D80693" w:rsidRPr="00287737" w:rsidRDefault="00D80693" w:rsidP="00CD045B">
      <w:pPr>
        <w:adjustRightInd w:val="0"/>
        <w:spacing w:before="120"/>
        <w:jc w:val="both"/>
        <w:rPr>
          <w:rFonts w:eastAsia="Calibri"/>
          <w:sz w:val="24"/>
          <w:szCs w:val="24"/>
        </w:rPr>
      </w:pPr>
      <w:r>
        <w:rPr>
          <w:color w:val="000000"/>
          <w:sz w:val="24"/>
          <w:szCs w:val="24"/>
        </w:rPr>
        <w:t xml:space="preserve">L’on voit bien qu’à travers la ZPD, l’enfant </w:t>
      </w:r>
      <w:proofErr w:type="gramStart"/>
      <w:r>
        <w:rPr>
          <w:color w:val="000000"/>
          <w:sz w:val="24"/>
          <w:szCs w:val="24"/>
        </w:rPr>
        <w:t>est  amené</w:t>
      </w:r>
      <w:proofErr w:type="gramEnd"/>
      <w:r>
        <w:rPr>
          <w:color w:val="000000"/>
          <w:sz w:val="24"/>
          <w:szCs w:val="24"/>
        </w:rPr>
        <w:t xml:space="preserve"> à prendre conscience de ses propres processus mentaux ou cognitifs, en discutant ou échangeant avec autrui, lui permettant d’être réflexif. C’est pourquoi, il convient de noter qu’elle favorise la métacognition, source d’autonomie dans l’apprentissage ; la métacognition étant une compétence à apprendre à apprendre, c’est-à-dire à préparer et prendre des décisions concernant la définition, les contenus, l’évaluation et la gestion d’un programme de tâches d’apprentissage</w:t>
      </w:r>
      <w:r w:rsidRPr="00A12130">
        <w:rPr>
          <w:color w:val="FF0000"/>
          <w:sz w:val="24"/>
          <w:szCs w:val="24"/>
        </w:rPr>
        <w:t xml:space="preserve"> </w:t>
      </w:r>
    </w:p>
    <w:p w14:paraId="487F947C" w14:textId="77777777" w:rsidR="00D80693" w:rsidRPr="00F90F8A" w:rsidRDefault="00D80693" w:rsidP="00CD045B">
      <w:pPr>
        <w:adjustRightInd w:val="0"/>
        <w:spacing w:before="120"/>
        <w:jc w:val="both"/>
        <w:rPr>
          <w:rFonts w:eastAsia="Calibri"/>
          <w:b/>
          <w:sz w:val="24"/>
          <w:szCs w:val="24"/>
        </w:rPr>
      </w:pPr>
      <w:r w:rsidRPr="002A15B5">
        <w:rPr>
          <w:sz w:val="24"/>
          <w:szCs w:val="24"/>
        </w:rPr>
        <w:t>L’approche développementale de l’encadrement pédagogique</w:t>
      </w:r>
      <w:r>
        <w:rPr>
          <w:b/>
          <w:sz w:val="24"/>
          <w:szCs w:val="24"/>
        </w:rPr>
        <w:t xml:space="preserve"> </w:t>
      </w:r>
      <w:r w:rsidRPr="002C6D88">
        <w:rPr>
          <w:color w:val="000000"/>
          <w:sz w:val="24"/>
          <w:szCs w:val="24"/>
        </w:rPr>
        <w:t xml:space="preserve">a été développée par l’américain Carl D. Glickman dans les années 80. Pour lui, tout comme l’enfant croît </w:t>
      </w:r>
      <w:r w:rsidRPr="00287737">
        <w:rPr>
          <w:sz w:val="24"/>
          <w:szCs w:val="24"/>
        </w:rPr>
        <w:t xml:space="preserve">(grandit) </w:t>
      </w:r>
      <w:r w:rsidRPr="002C6D88">
        <w:rPr>
          <w:color w:val="000000"/>
          <w:sz w:val="24"/>
          <w:szCs w:val="24"/>
        </w:rPr>
        <w:t xml:space="preserve">en fonction des différents stades de son développement, l’adulte, donc l’enseignant, évolue aussi selon différents stades (au nombre de trois) lorsqu’il entame sa carrière professionnelle. C’est pourquoi, l’encadreur doit tenir compte du stade de développement de l’enseignant pour pouvoir lui apporter le soutien pédagogique approprié. Ainsi, il décrit les trois stades de développement de l’enseignant comme suit : </w:t>
      </w:r>
    </w:p>
    <w:p w14:paraId="6170343C" w14:textId="489D042D" w:rsidR="00D80693" w:rsidRPr="00CD045B" w:rsidRDefault="00D80693" w:rsidP="00CD045B">
      <w:pPr>
        <w:pStyle w:val="Paragraphedeliste"/>
        <w:numPr>
          <w:ilvl w:val="0"/>
          <w:numId w:val="220"/>
        </w:numPr>
        <w:adjustRightInd w:val="0"/>
        <w:rPr>
          <w:rFonts w:eastAsia="Calibri"/>
          <w:color w:val="000000"/>
          <w:sz w:val="24"/>
          <w:szCs w:val="24"/>
        </w:rPr>
      </w:pPr>
      <w:proofErr w:type="gramStart"/>
      <w:r w:rsidRPr="00CD045B">
        <w:rPr>
          <w:color w:val="000000"/>
          <w:sz w:val="24"/>
          <w:szCs w:val="24"/>
        </w:rPr>
        <w:t>le</w:t>
      </w:r>
      <w:proofErr w:type="gramEnd"/>
      <w:r w:rsidRPr="00CD045B">
        <w:rPr>
          <w:color w:val="000000"/>
          <w:sz w:val="24"/>
          <w:szCs w:val="24"/>
        </w:rPr>
        <w:t xml:space="preserve"> premier stade (ou stade I) concerne les enseignants débutants : à ce stade les enseignants sont inquiets quant à leur capacité d’adaptation à leur milieu de travail, et la question que beaucoup se posent est : « pourrai-je tenir jusqu’à </w:t>
      </w:r>
      <w:proofErr w:type="gramStart"/>
      <w:r w:rsidRPr="00CD045B">
        <w:rPr>
          <w:color w:val="000000"/>
          <w:sz w:val="24"/>
          <w:szCs w:val="24"/>
        </w:rPr>
        <w:t>demain?</w:t>
      </w:r>
      <w:proofErr w:type="gramEnd"/>
      <w:r w:rsidRPr="00CD045B">
        <w:rPr>
          <w:color w:val="000000"/>
          <w:sz w:val="24"/>
          <w:szCs w:val="24"/>
        </w:rPr>
        <w:t xml:space="preserve"> ». En clair, ils ont besoin qu’on leur donne des stratégies de survie dans leur métier ; </w:t>
      </w:r>
    </w:p>
    <w:p w14:paraId="2890BDD0" w14:textId="047E255D" w:rsidR="00D80693" w:rsidRPr="00CD045B" w:rsidRDefault="00D80693" w:rsidP="00CD045B">
      <w:pPr>
        <w:pStyle w:val="Paragraphedeliste"/>
        <w:numPr>
          <w:ilvl w:val="0"/>
          <w:numId w:val="220"/>
        </w:numPr>
        <w:adjustRightInd w:val="0"/>
        <w:rPr>
          <w:rFonts w:eastAsia="Calibri"/>
          <w:color w:val="000000"/>
          <w:sz w:val="24"/>
          <w:szCs w:val="24"/>
        </w:rPr>
      </w:pPr>
      <w:proofErr w:type="gramStart"/>
      <w:r w:rsidRPr="00CD045B">
        <w:rPr>
          <w:color w:val="000000"/>
          <w:sz w:val="24"/>
          <w:szCs w:val="24"/>
        </w:rPr>
        <w:t>le</w:t>
      </w:r>
      <w:proofErr w:type="gramEnd"/>
      <w:r w:rsidRPr="00CD045B">
        <w:rPr>
          <w:color w:val="000000"/>
          <w:sz w:val="24"/>
          <w:szCs w:val="24"/>
        </w:rPr>
        <w:t xml:space="preserve"> deuxième stade (ou stade II) : une fois que la lutte pour la survie est assurée/gagnée, les soucis ou les inquiétudes se reportent maintenant sur les élèves. A ce propos Glickman (1980, p.179) </w:t>
      </w:r>
      <w:proofErr w:type="gramStart"/>
      <w:r w:rsidRPr="00CD045B">
        <w:rPr>
          <w:color w:val="000000"/>
          <w:sz w:val="24"/>
          <w:szCs w:val="24"/>
        </w:rPr>
        <w:t>affirme:</w:t>
      </w:r>
      <w:proofErr w:type="gramEnd"/>
      <w:r w:rsidRPr="00CD045B">
        <w:rPr>
          <w:color w:val="000000"/>
          <w:sz w:val="24"/>
          <w:szCs w:val="24"/>
        </w:rPr>
        <w:t xml:space="preserve"> « La question devient alors,’’ maintenant que je peux survivre, comment puis-je beaucoup contribuer au bien-être de mes </w:t>
      </w:r>
      <w:proofErr w:type="gramStart"/>
      <w:r w:rsidRPr="00CD045B">
        <w:rPr>
          <w:color w:val="000000"/>
          <w:sz w:val="24"/>
          <w:szCs w:val="24"/>
        </w:rPr>
        <w:t>élèves?</w:t>
      </w:r>
      <w:proofErr w:type="gramEnd"/>
      <w:r w:rsidRPr="00CD045B">
        <w:rPr>
          <w:color w:val="000000"/>
          <w:sz w:val="24"/>
          <w:szCs w:val="24"/>
        </w:rPr>
        <w:t>’’ Dès lors, l’enseignant a envie de chercher des ressources, de partager ses idées et s’implique davantage dans des tâches qui puissent raffiner et répandre des opportunités d’apprentissage pour les élèves ;</w:t>
      </w:r>
    </w:p>
    <w:p w14:paraId="53CE8A23" w14:textId="77777777" w:rsidR="00D80693" w:rsidRDefault="00D80693" w:rsidP="00CD045B">
      <w:pPr>
        <w:adjustRightInd w:val="0"/>
        <w:spacing w:before="120"/>
        <w:jc w:val="both"/>
        <w:rPr>
          <w:rFonts w:eastAsia="Calibri"/>
          <w:sz w:val="24"/>
          <w:szCs w:val="24"/>
        </w:rPr>
      </w:pPr>
      <w:r w:rsidRPr="00D54933">
        <w:rPr>
          <w:sz w:val="24"/>
          <w:szCs w:val="24"/>
        </w:rPr>
        <w:t>- le</w:t>
      </w:r>
      <w:r>
        <w:rPr>
          <w:sz w:val="24"/>
          <w:szCs w:val="24"/>
        </w:rPr>
        <w:t xml:space="preserve"> troisième stade (ou stade III) </w:t>
      </w:r>
      <w:r w:rsidRPr="00D54933">
        <w:rPr>
          <w:sz w:val="24"/>
          <w:szCs w:val="24"/>
        </w:rPr>
        <w:t>: à ce niveau, l’enseignant connaît clairement ses compétences, sait où trouver les ressources et le feed-back et désire apporter son aide aux élèves et aux autres collègues afin d’améliorer l’éducation, le métier dans son établissement tout entier. Pour ce faire, Glickman (1980) développe trois approches (modèles) qui sont : l’approche non-directive, l’approche collaborative et l’approche directive. A chacun de ces modèles, correspond un stade de développement des enseignants susmentionnés. Ainsi, les enseignants au stade I ont besoin qu’on leur applique l’approche directive, à ceux qui sont au stade II, l’approche collaborative leur conviendrait, enfin pour les enseignants qui sont du troisième stade, c’est l’approche non directive qui est la mieux indiquée.</w:t>
      </w:r>
    </w:p>
    <w:p w14:paraId="359635AF" w14:textId="77777777" w:rsidR="00D80693" w:rsidRDefault="00D80693" w:rsidP="00CD045B">
      <w:pPr>
        <w:adjustRightInd w:val="0"/>
        <w:spacing w:before="120"/>
        <w:jc w:val="both"/>
        <w:rPr>
          <w:rFonts w:eastAsia="Calibri"/>
          <w:sz w:val="24"/>
          <w:szCs w:val="24"/>
        </w:rPr>
      </w:pPr>
      <w:r w:rsidRPr="00D54933">
        <w:rPr>
          <w:color w:val="000000"/>
          <w:sz w:val="24"/>
          <w:szCs w:val="24"/>
        </w:rPr>
        <w:t xml:space="preserve">Pour l’auteur, « il n’y a pas de doute que l’encadreur </w:t>
      </w:r>
      <w:r w:rsidRPr="00D54933">
        <w:rPr>
          <w:sz w:val="24"/>
          <w:szCs w:val="24"/>
        </w:rPr>
        <w:t>pourrait mieux être utile à ses encadrés en satisfaisant à leurs besoins individuels plutôt qu’à adopter une seule et unique approche pour tous » (</w:t>
      </w:r>
      <w:r w:rsidRPr="007F4263">
        <w:rPr>
          <w:sz w:val="24"/>
          <w:szCs w:val="24"/>
        </w:rPr>
        <w:t>Glickman, 1980</w:t>
      </w:r>
      <w:r>
        <w:rPr>
          <w:sz w:val="24"/>
          <w:szCs w:val="24"/>
        </w:rPr>
        <w:t>,</w:t>
      </w:r>
      <w:r w:rsidRPr="00D54933">
        <w:rPr>
          <w:sz w:val="24"/>
          <w:szCs w:val="24"/>
        </w:rPr>
        <w:t xml:space="preserve"> p.180). Cependant, poursuit-il, « par moment un personnel (enseignant) peut avoir les mêmes besoins et dans ce cas peut être encadré comme un seul groupe. Mais dans la plupart des cas, l’encadreur professionnel devrait </w:t>
      </w:r>
      <w:r>
        <w:rPr>
          <w:sz w:val="24"/>
          <w:szCs w:val="24"/>
        </w:rPr>
        <w:t>employer</w:t>
      </w:r>
      <w:r w:rsidRPr="00D54933">
        <w:rPr>
          <w:sz w:val="24"/>
          <w:szCs w:val="24"/>
        </w:rPr>
        <w:t xml:space="preserve"> des approches variées et traiter (encadrer) individuellement les </w:t>
      </w:r>
      <w:proofErr w:type="gramStart"/>
      <w:r w:rsidRPr="00D54933">
        <w:rPr>
          <w:sz w:val="24"/>
          <w:szCs w:val="24"/>
        </w:rPr>
        <w:t>enseignants»</w:t>
      </w:r>
      <w:proofErr w:type="gramEnd"/>
      <w:r w:rsidRPr="00D54933">
        <w:rPr>
          <w:sz w:val="24"/>
          <w:szCs w:val="24"/>
        </w:rPr>
        <w:t xml:space="preserve"> (p.180).</w:t>
      </w:r>
    </w:p>
    <w:p w14:paraId="5E9653AA" w14:textId="77777777" w:rsidR="00D80693" w:rsidRDefault="00D80693" w:rsidP="00CD045B">
      <w:pPr>
        <w:adjustRightInd w:val="0"/>
        <w:spacing w:before="120"/>
        <w:jc w:val="both"/>
        <w:rPr>
          <w:rFonts w:eastAsia="Calibri"/>
          <w:color w:val="000000"/>
          <w:sz w:val="24"/>
          <w:szCs w:val="24"/>
        </w:rPr>
      </w:pPr>
      <w:r>
        <w:rPr>
          <w:color w:val="000000"/>
          <w:sz w:val="24"/>
          <w:szCs w:val="24"/>
        </w:rPr>
        <w:t>Mais pour Mulatu</w:t>
      </w:r>
      <w:r w:rsidRPr="00DD7801">
        <w:rPr>
          <w:color w:val="000000"/>
          <w:sz w:val="24"/>
          <w:szCs w:val="24"/>
        </w:rPr>
        <w:t xml:space="preserve"> (2016) pour déterminer le stade de développement de l’enseignant l’encadreur pédagogique doit s’appuyer sur deux variables de développement : le niveau d’engagement de l’enseignant et son niveau d’abstraction, car pour lui, il y a des enseignants qui ont un fort engagement dans le travail, certains, un </w:t>
      </w:r>
      <w:r w:rsidRPr="00287737">
        <w:rPr>
          <w:sz w:val="24"/>
          <w:szCs w:val="24"/>
        </w:rPr>
        <w:t>petit</w:t>
      </w:r>
      <w:r w:rsidRPr="00DD7801">
        <w:rPr>
          <w:color w:val="000000"/>
          <w:sz w:val="24"/>
          <w:szCs w:val="24"/>
        </w:rPr>
        <w:t xml:space="preserve"> engagement et d’autres n’ont aucun engagement</w:t>
      </w:r>
      <w:r>
        <w:rPr>
          <w:color w:val="000000"/>
          <w:sz w:val="24"/>
          <w:szCs w:val="24"/>
        </w:rPr>
        <w:t xml:space="preserve">. </w:t>
      </w:r>
    </w:p>
    <w:p w14:paraId="48147979" w14:textId="77777777" w:rsidR="00D80693" w:rsidRPr="00C0200F" w:rsidRDefault="00D80693" w:rsidP="00CD045B">
      <w:pPr>
        <w:adjustRightInd w:val="0"/>
        <w:spacing w:before="120"/>
        <w:jc w:val="both"/>
        <w:rPr>
          <w:rFonts w:eastAsia="Calibri"/>
          <w:color w:val="000000"/>
          <w:sz w:val="23"/>
          <w:szCs w:val="23"/>
        </w:rPr>
      </w:pPr>
      <w:r w:rsidRPr="00287737">
        <w:rPr>
          <w:sz w:val="24"/>
          <w:szCs w:val="24"/>
        </w:rPr>
        <w:t xml:space="preserve">Parlant de l’abstraction, </w:t>
      </w:r>
      <w:r>
        <w:rPr>
          <w:color w:val="000000"/>
          <w:sz w:val="24"/>
          <w:szCs w:val="24"/>
        </w:rPr>
        <w:t xml:space="preserve">Mulatu </w:t>
      </w:r>
      <w:r w:rsidRPr="00C0200F">
        <w:rPr>
          <w:color w:val="000000"/>
          <w:sz w:val="24"/>
          <w:szCs w:val="24"/>
        </w:rPr>
        <w:t xml:space="preserve">(2016) </w:t>
      </w:r>
      <w:r w:rsidRPr="00287737">
        <w:rPr>
          <w:sz w:val="24"/>
          <w:szCs w:val="24"/>
        </w:rPr>
        <w:t xml:space="preserve">la </w:t>
      </w:r>
      <w:r w:rsidRPr="00C0200F">
        <w:rPr>
          <w:color w:val="000000"/>
          <w:sz w:val="24"/>
          <w:szCs w:val="24"/>
        </w:rPr>
        <w:t>définit comme :</w:t>
      </w:r>
    </w:p>
    <w:p w14:paraId="5484F331" w14:textId="77777777" w:rsidR="00D80693" w:rsidRPr="002E311A" w:rsidRDefault="00D80693" w:rsidP="00CD045B">
      <w:pPr>
        <w:adjustRightInd w:val="0"/>
        <w:spacing w:before="120"/>
        <w:ind w:left="567" w:right="567"/>
        <w:jc w:val="both"/>
        <w:rPr>
          <w:rFonts w:eastAsia="Calibri"/>
          <w:color w:val="000000"/>
        </w:rPr>
      </w:pPr>
      <w:r>
        <w:rPr>
          <w:iCs/>
          <w:color w:val="000000"/>
        </w:rPr>
        <w:t>L</w:t>
      </w:r>
      <w:r w:rsidRPr="002E311A">
        <w:rPr>
          <w:iCs/>
          <w:color w:val="000000"/>
        </w:rPr>
        <w:t xml:space="preserve">’habileté de l’enseignant à prendre du recul par rapport à son propre enseignement et à clarifier ses propres problèmes d’instruction (la gestion de la classe, de la discipline, des absences, l’organisation de la classe, les attitudes des apprenants), qui propose des solutions alternatives à ces problèmes, puis planifie une action médiatrice est un processus d’abstraction (un haut niveau </w:t>
      </w:r>
      <w:proofErr w:type="gramStart"/>
      <w:r w:rsidRPr="002E311A">
        <w:rPr>
          <w:iCs/>
          <w:color w:val="000000"/>
        </w:rPr>
        <w:t xml:space="preserve">d’abstraction) </w:t>
      </w:r>
      <w:r w:rsidRPr="002E311A">
        <w:rPr>
          <w:i/>
          <w:iCs/>
          <w:color w:val="000000"/>
        </w:rPr>
        <w:t xml:space="preserve"> </w:t>
      </w:r>
      <w:r w:rsidRPr="002E311A">
        <w:rPr>
          <w:color w:val="000000"/>
        </w:rPr>
        <w:t>(</w:t>
      </w:r>
      <w:proofErr w:type="gramEnd"/>
      <w:r w:rsidRPr="002E311A">
        <w:rPr>
          <w:color w:val="000000"/>
        </w:rPr>
        <w:t xml:space="preserve">Mulatu, </w:t>
      </w:r>
      <w:proofErr w:type="gramStart"/>
      <w:r w:rsidRPr="002E311A">
        <w:rPr>
          <w:color w:val="000000"/>
        </w:rPr>
        <w:t>2016,  p.44</w:t>
      </w:r>
      <w:proofErr w:type="gramEnd"/>
      <w:r w:rsidRPr="002E311A">
        <w:rPr>
          <w:color w:val="000000"/>
        </w:rPr>
        <w:t xml:space="preserve">). </w:t>
      </w:r>
    </w:p>
    <w:p w14:paraId="44FD758C" w14:textId="77777777" w:rsidR="00D80693" w:rsidRPr="00BD7035" w:rsidRDefault="00D80693" w:rsidP="00CD045B">
      <w:pPr>
        <w:tabs>
          <w:tab w:val="left" w:pos="2066"/>
        </w:tabs>
        <w:adjustRightInd w:val="0"/>
        <w:spacing w:before="120"/>
        <w:ind w:right="1008"/>
        <w:jc w:val="both"/>
        <w:rPr>
          <w:rFonts w:eastAsia="Calibri"/>
          <w:b/>
          <w:color w:val="000000"/>
          <w:sz w:val="28"/>
          <w:szCs w:val="28"/>
        </w:rPr>
      </w:pPr>
      <w:r w:rsidRPr="00BD7035">
        <w:rPr>
          <w:b/>
          <w:color w:val="000000"/>
          <w:sz w:val="28"/>
          <w:szCs w:val="28"/>
        </w:rPr>
        <w:t>2. Méthodologie</w:t>
      </w:r>
      <w:r w:rsidRPr="00BD7035">
        <w:rPr>
          <w:b/>
          <w:color w:val="000000"/>
          <w:sz w:val="28"/>
          <w:szCs w:val="28"/>
        </w:rPr>
        <w:tab/>
      </w:r>
    </w:p>
    <w:p w14:paraId="4A935613" w14:textId="77777777"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 xml:space="preserve">Selon Angers (1992, p.238), l’on entend par méthodologie </w:t>
      </w:r>
      <w:r w:rsidRPr="003B216C">
        <w:rPr>
          <w:iCs/>
          <w:color w:val="000000"/>
          <w:sz w:val="24"/>
          <w:szCs w:val="24"/>
        </w:rPr>
        <w:t>« l’ensemble des méthodes et des techniques qui orientent l’élaboration d’une recherche »</w:t>
      </w:r>
      <w:r w:rsidRPr="003B216C">
        <w:rPr>
          <w:color w:val="000000"/>
          <w:sz w:val="24"/>
          <w:szCs w:val="24"/>
        </w:rPr>
        <w:t>. La méthodologie est donc au cœur de la rec</w:t>
      </w:r>
      <w:r>
        <w:rPr>
          <w:color w:val="000000"/>
          <w:sz w:val="24"/>
          <w:szCs w:val="24"/>
        </w:rPr>
        <w:t xml:space="preserve">herche, car comme le soutient </w:t>
      </w:r>
      <w:r w:rsidRPr="0083247D">
        <w:rPr>
          <w:color w:val="000000"/>
          <w:sz w:val="24"/>
          <w:szCs w:val="24"/>
        </w:rPr>
        <w:t>Adeoye (2024),</w:t>
      </w:r>
      <w:r>
        <w:rPr>
          <w:color w:val="000000"/>
          <w:sz w:val="24"/>
          <w:szCs w:val="24"/>
        </w:rPr>
        <w:t xml:space="preserve"> une méthodologie de recherche bien structurée est essentielle pour une recherche de qualité. </w:t>
      </w:r>
      <w:r w:rsidRPr="003B216C">
        <w:rPr>
          <w:color w:val="000000"/>
          <w:sz w:val="24"/>
          <w:szCs w:val="24"/>
        </w:rPr>
        <w:t xml:space="preserve">Nous avons opté pour une méthode de recherche mixte, d’où le recours au questionnaire pour la collecte des données quantitatives </w:t>
      </w:r>
      <w:r w:rsidRPr="00DD0AC5">
        <w:rPr>
          <w:sz w:val="24"/>
          <w:szCs w:val="24"/>
        </w:rPr>
        <w:t>essentiellement</w:t>
      </w:r>
      <w:r w:rsidRPr="003B216C">
        <w:rPr>
          <w:color w:val="000000"/>
          <w:sz w:val="24"/>
          <w:szCs w:val="24"/>
        </w:rPr>
        <w:t xml:space="preserve">, et le guide d’entretien pour celles qualitatives. </w:t>
      </w:r>
    </w:p>
    <w:p w14:paraId="1159E50E" w14:textId="77777777"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 xml:space="preserve"> La zone d’étude de cette recherche est la région du Centre au Burkina Faso, où notre enquête s’est déroulée de février à avril 2025. La population cible comprend les enseignants, les chefs d’établissement ou les censeurs, les encadreurs pédagogiques du post-primaire et du secondaire en service à la DRESFPT/C</w:t>
      </w:r>
      <w:r>
        <w:rPr>
          <w:color w:val="000000"/>
          <w:sz w:val="24"/>
          <w:szCs w:val="24"/>
          <w:vertAlign w:val="superscript"/>
        </w:rPr>
        <w:footnoteReference w:id="15"/>
      </w:r>
      <w:r w:rsidRPr="003B216C">
        <w:rPr>
          <w:color w:val="000000"/>
          <w:sz w:val="24"/>
          <w:szCs w:val="24"/>
        </w:rPr>
        <w:t>, à la DPESFPT</w:t>
      </w:r>
      <w:r>
        <w:rPr>
          <w:color w:val="000000"/>
          <w:sz w:val="24"/>
          <w:szCs w:val="24"/>
        </w:rPr>
        <w:t xml:space="preserve"> du K</w:t>
      </w:r>
      <w:r w:rsidRPr="003B216C">
        <w:rPr>
          <w:color w:val="000000"/>
          <w:sz w:val="24"/>
          <w:szCs w:val="24"/>
        </w:rPr>
        <w:t>adiogo, à la DGEG</w:t>
      </w:r>
      <w:r>
        <w:rPr>
          <w:color w:val="000000"/>
          <w:sz w:val="24"/>
          <w:szCs w:val="24"/>
          <w:vertAlign w:val="superscript"/>
        </w:rPr>
        <w:footnoteReference w:id="16"/>
      </w:r>
      <w:r w:rsidRPr="003B216C">
        <w:rPr>
          <w:color w:val="000000"/>
          <w:sz w:val="24"/>
          <w:szCs w:val="24"/>
        </w:rPr>
        <w:t xml:space="preserve">  (ex DGEPFIC) ainsi que des responsables desdites structures. </w:t>
      </w:r>
      <w:r w:rsidRPr="00DD4C06">
        <w:rPr>
          <w:sz w:val="24"/>
          <w:szCs w:val="24"/>
        </w:rPr>
        <w:t xml:space="preserve">En effet, les catégories de personnes susmentionnées sont les mieux indiquées pour renseigner notre questionnaire et répondre à nos questions lors des entretiens. Nul besoin de rappeler que nos </w:t>
      </w:r>
      <w:r w:rsidRPr="003B216C">
        <w:rPr>
          <w:color w:val="000000"/>
          <w:sz w:val="24"/>
          <w:szCs w:val="24"/>
        </w:rPr>
        <w:t>outils de collecte des données sont le questionnaire (adressé aux enseignants et aux encadreurs) et le guide d’entretien (à l’intention des chefs d’établissements/ Censeurs, et responsables administratifs des structures sus-indiquées).</w:t>
      </w:r>
    </w:p>
    <w:p w14:paraId="40B50EDF" w14:textId="4B8E7CAD"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 xml:space="preserve">Selon Huberman et Miles (1991, p.63), l’échantillonnage suppose que </w:t>
      </w:r>
      <w:r w:rsidRPr="003B216C">
        <w:rPr>
          <w:iCs/>
          <w:color w:val="000000"/>
          <w:sz w:val="24"/>
          <w:szCs w:val="24"/>
        </w:rPr>
        <w:t xml:space="preserve">« l’on décide non seulement des personnages que l’on va observer ou interviewer, mais aussi des milieux, des événements et des processus </w:t>
      </w:r>
      <w:proofErr w:type="gramStart"/>
      <w:r w:rsidRPr="003B216C">
        <w:rPr>
          <w:iCs/>
          <w:color w:val="000000"/>
          <w:sz w:val="24"/>
          <w:szCs w:val="24"/>
        </w:rPr>
        <w:t>sociaux»</w:t>
      </w:r>
      <w:proofErr w:type="gramEnd"/>
      <w:r w:rsidRPr="003B216C">
        <w:rPr>
          <w:color w:val="000000"/>
          <w:sz w:val="24"/>
          <w:szCs w:val="24"/>
        </w:rPr>
        <w:t>. Et pour les besoins de notre étude</w:t>
      </w:r>
      <w:r>
        <w:rPr>
          <w:color w:val="000000"/>
          <w:sz w:val="24"/>
          <w:szCs w:val="24"/>
        </w:rPr>
        <w:t>,</w:t>
      </w:r>
      <w:r w:rsidRPr="003B216C">
        <w:rPr>
          <w:color w:val="000000"/>
          <w:sz w:val="24"/>
          <w:szCs w:val="24"/>
        </w:rPr>
        <w:t xml:space="preserve"> nous avons opté pour l’échantillonnage aléatoire simple. Le principe</w:t>
      </w:r>
      <w:r>
        <w:rPr>
          <w:color w:val="000000"/>
          <w:sz w:val="24"/>
          <w:szCs w:val="24"/>
        </w:rPr>
        <w:t xml:space="preserve"> </w:t>
      </w:r>
      <w:r w:rsidRPr="00DD4C06">
        <w:rPr>
          <w:sz w:val="24"/>
          <w:szCs w:val="24"/>
        </w:rPr>
        <w:t xml:space="preserve">était </w:t>
      </w:r>
      <w:r w:rsidRPr="003B216C">
        <w:rPr>
          <w:color w:val="000000"/>
          <w:sz w:val="24"/>
          <w:szCs w:val="24"/>
        </w:rPr>
        <w:t>que chaque membre de la population a une chance égale d’être inclu</w:t>
      </w:r>
      <w:r w:rsidRPr="00DD4C06">
        <w:rPr>
          <w:sz w:val="24"/>
          <w:szCs w:val="24"/>
        </w:rPr>
        <w:t>s</w:t>
      </w:r>
      <w:r w:rsidRPr="003B216C">
        <w:rPr>
          <w:color w:val="000000"/>
          <w:sz w:val="24"/>
          <w:szCs w:val="24"/>
        </w:rPr>
        <w:t xml:space="preserve"> à l’intérieur de l’échantillon. Nous avons également fait un échantillonnage par quotas pour tenir compte des sous-groupes que nous avons formés à l’intérieur de l’échantillon. Ainsi, nous avons adressé un questionnaire à </w:t>
      </w:r>
      <w:r>
        <w:rPr>
          <w:color w:val="000000"/>
          <w:sz w:val="24"/>
          <w:szCs w:val="24"/>
        </w:rPr>
        <w:t>cent cinquante (</w:t>
      </w:r>
      <w:r w:rsidRPr="003B216C">
        <w:rPr>
          <w:color w:val="000000"/>
          <w:sz w:val="24"/>
          <w:szCs w:val="24"/>
        </w:rPr>
        <w:t>150</w:t>
      </w:r>
      <w:r>
        <w:rPr>
          <w:color w:val="000000"/>
          <w:sz w:val="24"/>
          <w:szCs w:val="24"/>
        </w:rPr>
        <w:t>)</w:t>
      </w:r>
      <w:r w:rsidRPr="003B216C">
        <w:rPr>
          <w:color w:val="000000"/>
          <w:sz w:val="24"/>
          <w:szCs w:val="24"/>
        </w:rPr>
        <w:t xml:space="preserve"> enseignants, à </w:t>
      </w:r>
      <w:r>
        <w:rPr>
          <w:color w:val="000000"/>
          <w:sz w:val="24"/>
          <w:szCs w:val="24"/>
        </w:rPr>
        <w:t>soixante (</w:t>
      </w:r>
      <w:r w:rsidRPr="003B216C">
        <w:rPr>
          <w:color w:val="000000"/>
          <w:sz w:val="24"/>
          <w:szCs w:val="24"/>
        </w:rPr>
        <w:t>60</w:t>
      </w:r>
      <w:r>
        <w:rPr>
          <w:color w:val="000000"/>
          <w:sz w:val="24"/>
          <w:szCs w:val="24"/>
        </w:rPr>
        <w:t>) encadreurs</w:t>
      </w:r>
      <w:r w:rsidRPr="003B216C">
        <w:rPr>
          <w:color w:val="000000"/>
          <w:sz w:val="24"/>
          <w:szCs w:val="24"/>
        </w:rPr>
        <w:t xml:space="preserve"> et interviewé </w:t>
      </w:r>
      <w:r>
        <w:rPr>
          <w:color w:val="000000"/>
          <w:sz w:val="24"/>
          <w:szCs w:val="24"/>
        </w:rPr>
        <w:t>douze (</w:t>
      </w:r>
      <w:r w:rsidRPr="003B216C">
        <w:rPr>
          <w:color w:val="000000"/>
          <w:sz w:val="24"/>
          <w:szCs w:val="24"/>
        </w:rPr>
        <w:t>12</w:t>
      </w:r>
      <w:r>
        <w:rPr>
          <w:color w:val="000000"/>
          <w:sz w:val="24"/>
          <w:szCs w:val="24"/>
        </w:rPr>
        <w:t>)</w:t>
      </w:r>
      <w:r w:rsidRPr="003B216C">
        <w:rPr>
          <w:color w:val="000000"/>
          <w:sz w:val="24"/>
          <w:szCs w:val="24"/>
        </w:rPr>
        <w:t xml:space="preserve"> chefs d’établissement, soit</w:t>
      </w:r>
      <w:r>
        <w:rPr>
          <w:color w:val="000000"/>
          <w:sz w:val="24"/>
          <w:szCs w:val="24"/>
        </w:rPr>
        <w:t xml:space="preserve"> huit</w:t>
      </w:r>
      <w:r w:rsidRPr="003B216C">
        <w:rPr>
          <w:color w:val="000000"/>
          <w:sz w:val="24"/>
          <w:szCs w:val="24"/>
        </w:rPr>
        <w:t xml:space="preserve"> </w:t>
      </w:r>
      <w:r>
        <w:rPr>
          <w:color w:val="000000"/>
          <w:sz w:val="24"/>
          <w:szCs w:val="24"/>
        </w:rPr>
        <w:t>(</w:t>
      </w:r>
      <w:r w:rsidRPr="003B216C">
        <w:rPr>
          <w:color w:val="000000"/>
          <w:sz w:val="24"/>
          <w:szCs w:val="24"/>
        </w:rPr>
        <w:t>8</w:t>
      </w:r>
      <w:r>
        <w:rPr>
          <w:color w:val="000000"/>
          <w:sz w:val="24"/>
          <w:szCs w:val="24"/>
        </w:rPr>
        <w:t>)</w:t>
      </w:r>
      <w:r w:rsidRPr="003B216C">
        <w:rPr>
          <w:color w:val="000000"/>
          <w:sz w:val="24"/>
          <w:szCs w:val="24"/>
        </w:rPr>
        <w:t xml:space="preserve"> proviseurs et</w:t>
      </w:r>
      <w:r>
        <w:rPr>
          <w:color w:val="000000"/>
          <w:sz w:val="24"/>
          <w:szCs w:val="24"/>
        </w:rPr>
        <w:t xml:space="preserve"> quatre (4)</w:t>
      </w:r>
      <w:r w:rsidRPr="003B216C">
        <w:rPr>
          <w:color w:val="000000"/>
          <w:sz w:val="24"/>
          <w:szCs w:val="24"/>
        </w:rPr>
        <w:t xml:space="preserve"> directeurs de CEG</w:t>
      </w:r>
      <w:r>
        <w:rPr>
          <w:color w:val="000000"/>
          <w:sz w:val="24"/>
          <w:szCs w:val="24"/>
          <w:vertAlign w:val="superscript"/>
        </w:rPr>
        <w:footnoteReference w:id="17"/>
      </w:r>
      <w:r w:rsidRPr="003B216C">
        <w:rPr>
          <w:color w:val="000000"/>
          <w:sz w:val="24"/>
          <w:szCs w:val="24"/>
        </w:rPr>
        <w:t>,</w:t>
      </w:r>
      <w:r>
        <w:rPr>
          <w:color w:val="000000"/>
          <w:sz w:val="24"/>
          <w:szCs w:val="24"/>
        </w:rPr>
        <w:t xml:space="preserve"> </w:t>
      </w:r>
      <w:r w:rsidRPr="00EE6281">
        <w:rPr>
          <w:color w:val="000000"/>
          <w:sz w:val="24"/>
          <w:szCs w:val="24"/>
        </w:rPr>
        <w:t>trois (3</w:t>
      </w:r>
      <w:r>
        <w:rPr>
          <w:color w:val="000000"/>
          <w:sz w:val="24"/>
          <w:szCs w:val="24"/>
        </w:rPr>
        <w:t>)</w:t>
      </w:r>
      <w:r w:rsidRPr="003B216C">
        <w:rPr>
          <w:color w:val="000000"/>
          <w:sz w:val="24"/>
          <w:szCs w:val="24"/>
        </w:rPr>
        <w:t xml:space="preserve"> censeurs et </w:t>
      </w:r>
      <w:r>
        <w:rPr>
          <w:color w:val="000000"/>
          <w:sz w:val="24"/>
          <w:szCs w:val="24"/>
        </w:rPr>
        <w:t>deux (</w:t>
      </w:r>
      <w:r w:rsidRPr="003B216C">
        <w:rPr>
          <w:color w:val="000000"/>
          <w:sz w:val="24"/>
          <w:szCs w:val="24"/>
        </w:rPr>
        <w:t>2</w:t>
      </w:r>
      <w:r>
        <w:rPr>
          <w:color w:val="000000"/>
          <w:sz w:val="24"/>
          <w:szCs w:val="24"/>
        </w:rPr>
        <w:t>)</w:t>
      </w:r>
      <w:r w:rsidRPr="003B216C">
        <w:rPr>
          <w:color w:val="000000"/>
          <w:sz w:val="24"/>
          <w:szCs w:val="24"/>
        </w:rPr>
        <w:t xml:space="preserve"> chefs des travaux (pour les établissements d’enseignement technique ou professionnel). Au niveau des structures déconcentrées et centrales, nous avons interviewé le DRESFP</w:t>
      </w:r>
      <w:r>
        <w:rPr>
          <w:color w:val="000000"/>
          <w:sz w:val="24"/>
          <w:szCs w:val="24"/>
        </w:rPr>
        <w:t xml:space="preserve">T, le DPESFPT, le DGEG, un </w:t>
      </w:r>
      <w:r w:rsidRPr="003B216C">
        <w:rPr>
          <w:color w:val="000000"/>
          <w:sz w:val="24"/>
          <w:szCs w:val="24"/>
        </w:rPr>
        <w:t>directe</w:t>
      </w:r>
      <w:r>
        <w:rPr>
          <w:color w:val="000000"/>
          <w:sz w:val="24"/>
          <w:szCs w:val="24"/>
        </w:rPr>
        <w:t xml:space="preserve">ur technique au sein de la DGEG, et les deux responsables de l’encadrement pédagogique au niveau régional et provincial, soit </w:t>
      </w:r>
      <w:r w:rsidR="008F0E54">
        <w:rPr>
          <w:color w:val="000000"/>
          <w:sz w:val="24"/>
          <w:szCs w:val="24"/>
        </w:rPr>
        <w:t xml:space="preserve">au </w:t>
      </w:r>
      <w:r w:rsidR="008F0E54" w:rsidRPr="003B216C">
        <w:rPr>
          <w:color w:val="000000"/>
          <w:sz w:val="24"/>
          <w:szCs w:val="24"/>
        </w:rPr>
        <w:t>total</w:t>
      </w:r>
      <w:r w:rsidRPr="003B216C">
        <w:rPr>
          <w:color w:val="000000"/>
          <w:sz w:val="24"/>
          <w:szCs w:val="24"/>
        </w:rPr>
        <w:t xml:space="preserve"> </w:t>
      </w:r>
      <w:proofErr w:type="gramStart"/>
      <w:r w:rsidRPr="003B216C">
        <w:rPr>
          <w:color w:val="000000"/>
          <w:sz w:val="24"/>
          <w:szCs w:val="24"/>
        </w:rPr>
        <w:t>six(</w:t>
      </w:r>
      <w:proofErr w:type="gramEnd"/>
      <w:r w:rsidRPr="003B216C">
        <w:rPr>
          <w:color w:val="000000"/>
          <w:sz w:val="24"/>
          <w:szCs w:val="24"/>
        </w:rPr>
        <w:t xml:space="preserve">6) personnes dans ces structures. Au </w:t>
      </w:r>
      <w:proofErr w:type="gramStart"/>
      <w:r w:rsidRPr="003B216C">
        <w:rPr>
          <w:color w:val="000000"/>
          <w:sz w:val="24"/>
          <w:szCs w:val="24"/>
        </w:rPr>
        <w:t xml:space="preserve">total </w:t>
      </w:r>
      <w:r>
        <w:rPr>
          <w:color w:val="000000"/>
          <w:sz w:val="24"/>
          <w:szCs w:val="24"/>
        </w:rPr>
        <w:t xml:space="preserve"> deux</w:t>
      </w:r>
      <w:proofErr w:type="gramEnd"/>
      <w:r>
        <w:rPr>
          <w:color w:val="000000"/>
          <w:sz w:val="24"/>
          <w:szCs w:val="24"/>
        </w:rPr>
        <w:t xml:space="preserve"> cent trente-trois (</w:t>
      </w:r>
      <w:r w:rsidRPr="003B216C">
        <w:rPr>
          <w:color w:val="000000"/>
          <w:sz w:val="24"/>
          <w:szCs w:val="24"/>
        </w:rPr>
        <w:t>233</w:t>
      </w:r>
      <w:r>
        <w:rPr>
          <w:color w:val="000000"/>
          <w:sz w:val="24"/>
          <w:szCs w:val="24"/>
        </w:rPr>
        <w:t>)</w:t>
      </w:r>
      <w:r w:rsidRPr="003B216C">
        <w:rPr>
          <w:color w:val="000000"/>
          <w:sz w:val="24"/>
          <w:szCs w:val="24"/>
        </w:rPr>
        <w:t xml:space="preserve"> personnes participent à notre enquête.</w:t>
      </w:r>
    </w:p>
    <w:p w14:paraId="7D08511B" w14:textId="1CEBE28F"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 xml:space="preserve">Enfin, pour l’analyse </w:t>
      </w:r>
      <w:r w:rsidRPr="00DD4C06">
        <w:rPr>
          <w:sz w:val="24"/>
          <w:szCs w:val="24"/>
        </w:rPr>
        <w:t xml:space="preserve">de nos </w:t>
      </w:r>
      <w:r w:rsidRPr="003B216C">
        <w:rPr>
          <w:color w:val="000000"/>
          <w:sz w:val="24"/>
          <w:szCs w:val="24"/>
        </w:rPr>
        <w:t xml:space="preserve">données </w:t>
      </w:r>
      <w:r w:rsidRPr="00DD4C06">
        <w:rPr>
          <w:sz w:val="24"/>
          <w:szCs w:val="24"/>
        </w:rPr>
        <w:t>qualitatives et quantitatives</w:t>
      </w:r>
      <w:r w:rsidRPr="003B216C">
        <w:rPr>
          <w:color w:val="000000"/>
          <w:sz w:val="24"/>
          <w:szCs w:val="24"/>
        </w:rPr>
        <w:t xml:space="preserve">, la démarche adoptée est celle de l’analyse thématique. Ainsi pour </w:t>
      </w:r>
      <w:proofErr w:type="spellStart"/>
      <w:r w:rsidRPr="003B216C">
        <w:rPr>
          <w:color w:val="000000"/>
          <w:sz w:val="24"/>
          <w:szCs w:val="24"/>
        </w:rPr>
        <w:t>Quivy</w:t>
      </w:r>
      <w:proofErr w:type="spellEnd"/>
      <w:r w:rsidRPr="003B216C">
        <w:rPr>
          <w:color w:val="000000"/>
          <w:sz w:val="24"/>
          <w:szCs w:val="24"/>
        </w:rPr>
        <w:t xml:space="preserve"> et Campenhoudt (2006, p.202-203), les analyses thématiques se définissent comme </w:t>
      </w:r>
      <w:r w:rsidRPr="003B216C">
        <w:rPr>
          <w:iCs/>
          <w:color w:val="000000"/>
          <w:sz w:val="24"/>
          <w:szCs w:val="24"/>
        </w:rPr>
        <w:t xml:space="preserve">« celles qui tentent principalement de mettre en évidence les représentations sociales ou les jugements des locuteurs à partir d’un examen de certains éléments constitutifs du </w:t>
      </w:r>
      <w:proofErr w:type="gramStart"/>
      <w:r w:rsidRPr="003B216C">
        <w:rPr>
          <w:iCs/>
          <w:color w:val="000000"/>
          <w:sz w:val="24"/>
          <w:szCs w:val="24"/>
        </w:rPr>
        <w:t>discours»</w:t>
      </w:r>
      <w:proofErr w:type="gramEnd"/>
      <w:r w:rsidRPr="003B216C">
        <w:rPr>
          <w:color w:val="000000"/>
          <w:sz w:val="24"/>
          <w:szCs w:val="24"/>
        </w:rPr>
        <w:t xml:space="preserve">. L’analyse thématique a pour objectif de traiter les données textuelles et les discours oraux pour en dégager les sens. Cette analyse thématique s’est appuyée sur les données recueillies avec l’aide des questionnaires et des entretiens. </w:t>
      </w:r>
      <w:r w:rsidR="008F0E54" w:rsidRPr="003B216C">
        <w:rPr>
          <w:color w:val="000000"/>
          <w:sz w:val="24"/>
          <w:szCs w:val="24"/>
        </w:rPr>
        <w:t xml:space="preserve">Les </w:t>
      </w:r>
      <w:r w:rsidR="008F0E54">
        <w:rPr>
          <w:color w:val="000000"/>
          <w:sz w:val="24"/>
          <w:szCs w:val="24"/>
        </w:rPr>
        <w:t>thématiques</w:t>
      </w:r>
      <w:r w:rsidRPr="003B216C">
        <w:rPr>
          <w:color w:val="000000"/>
          <w:sz w:val="24"/>
          <w:szCs w:val="24"/>
        </w:rPr>
        <w:t xml:space="preserve"> abordées sont les contraintes d’encadrement pédagogique, l’impact des</w:t>
      </w:r>
      <w:r w:rsidRPr="008E2DF5">
        <w:rPr>
          <w:color w:val="000000"/>
          <w:sz w:val="24"/>
          <w:szCs w:val="24"/>
        </w:rPr>
        <w:t xml:space="preserve"> </w:t>
      </w:r>
      <w:r w:rsidRPr="003B216C">
        <w:rPr>
          <w:color w:val="000000"/>
          <w:sz w:val="24"/>
          <w:szCs w:val="24"/>
        </w:rPr>
        <w:t>contraintes sur l’efficacité de l’encadrement pédagogique et les suggestions pour un encadrement efficient.</w:t>
      </w:r>
    </w:p>
    <w:p w14:paraId="375B0E41" w14:textId="77777777" w:rsidR="00D80693" w:rsidRPr="00CD045B" w:rsidRDefault="00D80693" w:rsidP="00CD045B">
      <w:pPr>
        <w:adjustRightInd w:val="0"/>
        <w:spacing w:before="120"/>
        <w:ind w:right="1008"/>
        <w:jc w:val="both"/>
        <w:rPr>
          <w:rFonts w:eastAsia="Calibri"/>
          <w:b/>
          <w:color w:val="000000"/>
          <w:sz w:val="28"/>
          <w:szCs w:val="28"/>
        </w:rPr>
      </w:pPr>
      <w:r w:rsidRPr="00CD045B">
        <w:rPr>
          <w:b/>
          <w:color w:val="000000"/>
          <w:sz w:val="28"/>
          <w:szCs w:val="28"/>
        </w:rPr>
        <w:t>3. Résultats</w:t>
      </w:r>
    </w:p>
    <w:p w14:paraId="3B3E9780" w14:textId="77777777"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Nous présentons les résultats de notre étude suivant les grands axes des questionnaires et du guide d’entretien à savoir les contraintes psychosociales d’encadrement pédagogique dans les établissements d’enseignements post-primaire et secondaire et l’impact des contraintes sur l’efficacité de l’encadrement pédagogique.</w:t>
      </w:r>
    </w:p>
    <w:p w14:paraId="6B46D2B4" w14:textId="77777777" w:rsidR="00D80693" w:rsidRPr="003B216C" w:rsidRDefault="00D80693" w:rsidP="00CD045B">
      <w:pPr>
        <w:adjustRightInd w:val="0"/>
        <w:spacing w:before="120"/>
        <w:ind w:right="1008"/>
        <w:jc w:val="both"/>
        <w:rPr>
          <w:rFonts w:eastAsia="Calibri"/>
          <w:b/>
          <w:color w:val="000000"/>
          <w:sz w:val="24"/>
          <w:szCs w:val="24"/>
        </w:rPr>
      </w:pPr>
      <w:r w:rsidRPr="003B216C">
        <w:rPr>
          <w:b/>
          <w:color w:val="000000"/>
          <w:sz w:val="24"/>
          <w:szCs w:val="24"/>
        </w:rPr>
        <w:t>3.1. Les contraintes psychosociales d’encadrement pédagogique</w:t>
      </w:r>
    </w:p>
    <w:p w14:paraId="170E2EFE" w14:textId="77777777"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Il convient déjà de noter que par contraintes psychosociales d’encadrement pédagogique nous sous-entendons les difficultés liées à la mauvaise perception des encadreurs par les enseignants qui affectent la collaboration entre enseignants et encadreurs, le refus des visites de classe, le faible engagement de certains (enseignants et encadreurs) dans les activités d’encadrement pédagogique, les actions de défiance de l’autorité de l’encadreur pédagogique.</w:t>
      </w:r>
    </w:p>
    <w:p w14:paraId="162D7375" w14:textId="77777777" w:rsidR="00D80693" w:rsidRPr="003B216C" w:rsidRDefault="00D80693" w:rsidP="00D80693">
      <w:pPr>
        <w:widowControl/>
        <w:numPr>
          <w:ilvl w:val="0"/>
          <w:numId w:val="147"/>
        </w:numPr>
        <w:adjustRightInd w:val="0"/>
        <w:spacing w:before="240" w:line="360" w:lineRule="auto"/>
        <w:ind w:right="1008"/>
        <w:jc w:val="center"/>
        <w:rPr>
          <w:rFonts w:eastAsia="Calibri"/>
          <w:b/>
          <w:i/>
          <w:color w:val="000000"/>
          <w:sz w:val="24"/>
          <w:szCs w:val="24"/>
        </w:rPr>
      </w:pPr>
      <w:r w:rsidRPr="003B216C">
        <w:rPr>
          <w:b/>
          <w:i/>
          <w:color w:val="000000"/>
          <w:sz w:val="24"/>
          <w:szCs w:val="24"/>
        </w:rPr>
        <w:t>Tableau 1 : Degré d’approbation des contraintes psychosociales d’encadrement</w:t>
      </w:r>
    </w:p>
    <w:tbl>
      <w:tblPr>
        <w:tblStyle w:val="TableGrid1"/>
        <w:tblW w:w="9969" w:type="dxa"/>
        <w:tblInd w:w="378" w:type="dxa"/>
        <w:tblLayout w:type="fixed"/>
        <w:tblLook w:val="04A0" w:firstRow="1" w:lastRow="0" w:firstColumn="1" w:lastColumn="0" w:noHBand="0" w:noVBand="1"/>
      </w:tblPr>
      <w:tblGrid>
        <w:gridCol w:w="3060"/>
        <w:gridCol w:w="2424"/>
        <w:gridCol w:w="1980"/>
        <w:gridCol w:w="2505"/>
      </w:tblGrid>
      <w:tr w:rsidR="00D80693" w14:paraId="09D0B79E" w14:textId="77777777" w:rsidTr="00D72320">
        <w:tc>
          <w:tcPr>
            <w:tcW w:w="3060" w:type="dxa"/>
          </w:tcPr>
          <w:p w14:paraId="68B31748"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Contraintes psychosociales</w:t>
            </w:r>
          </w:p>
        </w:tc>
        <w:tc>
          <w:tcPr>
            <w:tcW w:w="2424" w:type="dxa"/>
          </w:tcPr>
          <w:p w14:paraId="399125CF"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Fréquence</w:t>
            </w:r>
          </w:p>
        </w:tc>
        <w:tc>
          <w:tcPr>
            <w:tcW w:w="1980" w:type="dxa"/>
          </w:tcPr>
          <w:p w14:paraId="10644B52"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Pourcentage</w:t>
            </w:r>
          </w:p>
        </w:tc>
        <w:tc>
          <w:tcPr>
            <w:tcW w:w="2505" w:type="dxa"/>
          </w:tcPr>
          <w:p w14:paraId="72AA4973"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Moyenne</w:t>
            </w:r>
          </w:p>
        </w:tc>
      </w:tr>
      <w:tr w:rsidR="00D80693" w14:paraId="5A43F4CF" w14:textId="77777777" w:rsidTr="00D72320">
        <w:tc>
          <w:tcPr>
            <w:tcW w:w="3060" w:type="dxa"/>
          </w:tcPr>
          <w:p w14:paraId="2720DF2C" w14:textId="77777777" w:rsidR="00D80693" w:rsidRPr="003B216C" w:rsidRDefault="00D80693" w:rsidP="00D72320">
            <w:pPr>
              <w:autoSpaceDE w:val="0"/>
              <w:autoSpaceDN w:val="0"/>
              <w:adjustRightInd w:val="0"/>
              <w:spacing w:line="360" w:lineRule="auto"/>
              <w:ind w:right="1008"/>
              <w:jc w:val="both"/>
              <w:rPr>
                <w:color w:val="000000"/>
                <w:sz w:val="24"/>
                <w:szCs w:val="24"/>
              </w:rPr>
            </w:pPr>
            <w:r w:rsidRPr="003B216C">
              <w:rPr>
                <w:rFonts w:eastAsiaTheme="minorHAnsi"/>
                <w:color w:val="000000"/>
                <w:sz w:val="24"/>
                <w:szCs w:val="24"/>
              </w:rPr>
              <w:t>Enseignants</w:t>
            </w:r>
          </w:p>
        </w:tc>
        <w:tc>
          <w:tcPr>
            <w:tcW w:w="2424" w:type="dxa"/>
          </w:tcPr>
          <w:p w14:paraId="331E6C5C" w14:textId="77777777" w:rsidR="00D80693" w:rsidRPr="003B216C" w:rsidRDefault="00D80693" w:rsidP="00D72320">
            <w:pPr>
              <w:autoSpaceDE w:val="0"/>
              <w:autoSpaceDN w:val="0"/>
              <w:adjustRightInd w:val="0"/>
              <w:spacing w:line="360" w:lineRule="auto"/>
              <w:ind w:right="1008"/>
              <w:jc w:val="both"/>
              <w:rPr>
                <w:color w:val="000000"/>
                <w:sz w:val="24"/>
                <w:szCs w:val="24"/>
              </w:rPr>
            </w:pPr>
            <w:r w:rsidRPr="003B216C">
              <w:rPr>
                <w:rFonts w:eastAsiaTheme="minorHAnsi"/>
                <w:color w:val="000000"/>
                <w:sz w:val="24"/>
                <w:szCs w:val="24"/>
              </w:rPr>
              <w:t>60/150</w:t>
            </w:r>
          </w:p>
        </w:tc>
        <w:tc>
          <w:tcPr>
            <w:tcW w:w="1980" w:type="dxa"/>
          </w:tcPr>
          <w:p w14:paraId="312FC2F0" w14:textId="77777777" w:rsidR="00D80693" w:rsidRPr="003B216C" w:rsidRDefault="00D80693" w:rsidP="00D72320">
            <w:pPr>
              <w:autoSpaceDE w:val="0"/>
              <w:autoSpaceDN w:val="0"/>
              <w:adjustRightInd w:val="0"/>
              <w:spacing w:line="360" w:lineRule="auto"/>
              <w:ind w:right="1008"/>
              <w:jc w:val="both"/>
              <w:rPr>
                <w:color w:val="000000"/>
                <w:sz w:val="24"/>
                <w:szCs w:val="24"/>
              </w:rPr>
            </w:pPr>
            <w:r w:rsidRPr="003B216C">
              <w:rPr>
                <w:rFonts w:eastAsiaTheme="minorHAnsi"/>
                <w:color w:val="000000"/>
                <w:sz w:val="24"/>
                <w:szCs w:val="24"/>
              </w:rPr>
              <w:t>40</w:t>
            </w:r>
            <w:r>
              <w:rPr>
                <w:rFonts w:eastAsiaTheme="minorHAnsi"/>
                <w:color w:val="000000"/>
                <w:sz w:val="24"/>
                <w:szCs w:val="24"/>
              </w:rPr>
              <w:t xml:space="preserve"> </w:t>
            </w:r>
            <w:r w:rsidRPr="003B216C">
              <w:rPr>
                <w:rFonts w:eastAsiaTheme="minorHAnsi"/>
                <w:color w:val="000000"/>
                <w:sz w:val="24"/>
                <w:szCs w:val="24"/>
              </w:rPr>
              <w:t>%</w:t>
            </w:r>
          </w:p>
        </w:tc>
        <w:tc>
          <w:tcPr>
            <w:tcW w:w="2505" w:type="dxa"/>
            <w:vMerge w:val="restart"/>
          </w:tcPr>
          <w:p w14:paraId="10564FE6" w14:textId="77777777" w:rsidR="00D80693" w:rsidRPr="003B216C" w:rsidRDefault="00D80693" w:rsidP="00D72320">
            <w:pPr>
              <w:autoSpaceDE w:val="0"/>
              <w:autoSpaceDN w:val="0"/>
              <w:adjustRightInd w:val="0"/>
              <w:spacing w:line="360" w:lineRule="auto"/>
              <w:ind w:right="1008"/>
              <w:jc w:val="both"/>
              <w:rPr>
                <w:color w:val="000000"/>
                <w:sz w:val="24"/>
                <w:szCs w:val="24"/>
              </w:rPr>
            </w:pPr>
            <w:r w:rsidRPr="003B216C">
              <w:rPr>
                <w:rFonts w:eastAsiaTheme="minorHAnsi"/>
                <w:color w:val="000000"/>
                <w:sz w:val="24"/>
                <w:szCs w:val="24"/>
              </w:rPr>
              <w:t xml:space="preserve">56, </w:t>
            </w:r>
            <w:proofErr w:type="gramStart"/>
            <w:r w:rsidRPr="003B216C">
              <w:rPr>
                <w:rFonts w:eastAsiaTheme="minorHAnsi"/>
                <w:color w:val="000000"/>
                <w:sz w:val="24"/>
                <w:szCs w:val="24"/>
              </w:rPr>
              <w:t xml:space="preserve">50 </w:t>
            </w:r>
            <w:r>
              <w:rPr>
                <w:rFonts w:eastAsiaTheme="minorHAnsi"/>
                <w:color w:val="000000"/>
                <w:sz w:val="24"/>
                <w:szCs w:val="24"/>
              </w:rPr>
              <w:t xml:space="preserve"> </w:t>
            </w:r>
            <w:r w:rsidRPr="003B216C">
              <w:rPr>
                <w:rFonts w:eastAsiaTheme="minorHAnsi"/>
                <w:color w:val="000000"/>
                <w:sz w:val="24"/>
                <w:szCs w:val="24"/>
              </w:rPr>
              <w:t>%</w:t>
            </w:r>
            <w:proofErr w:type="gramEnd"/>
          </w:p>
        </w:tc>
      </w:tr>
      <w:tr w:rsidR="00D80693" w14:paraId="1E643FDD" w14:textId="77777777" w:rsidTr="00D72320">
        <w:tc>
          <w:tcPr>
            <w:tcW w:w="3060" w:type="dxa"/>
          </w:tcPr>
          <w:p w14:paraId="7C138342"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Encadreurs</w:t>
            </w:r>
          </w:p>
        </w:tc>
        <w:tc>
          <w:tcPr>
            <w:tcW w:w="2424" w:type="dxa"/>
          </w:tcPr>
          <w:p w14:paraId="139F87EB"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44/60</w:t>
            </w:r>
          </w:p>
        </w:tc>
        <w:tc>
          <w:tcPr>
            <w:tcW w:w="1980" w:type="dxa"/>
          </w:tcPr>
          <w:p w14:paraId="6A2E0F78" w14:textId="77777777" w:rsidR="00D80693" w:rsidRPr="003B216C" w:rsidRDefault="00D80693" w:rsidP="00D72320">
            <w:pPr>
              <w:autoSpaceDE w:val="0"/>
              <w:autoSpaceDN w:val="0"/>
              <w:adjustRightInd w:val="0"/>
              <w:spacing w:line="360" w:lineRule="auto"/>
              <w:ind w:right="1008"/>
              <w:jc w:val="both"/>
              <w:rPr>
                <w:b/>
                <w:color w:val="000000"/>
                <w:sz w:val="24"/>
                <w:szCs w:val="24"/>
              </w:rPr>
            </w:pPr>
            <w:r w:rsidRPr="003B216C">
              <w:rPr>
                <w:rFonts w:eastAsiaTheme="minorHAnsi"/>
                <w:b/>
                <w:color w:val="000000"/>
                <w:sz w:val="24"/>
                <w:szCs w:val="24"/>
              </w:rPr>
              <w:t>73</w:t>
            </w:r>
            <w:r>
              <w:rPr>
                <w:rFonts w:eastAsiaTheme="minorHAnsi"/>
                <w:b/>
                <w:color w:val="000000"/>
                <w:sz w:val="24"/>
                <w:szCs w:val="24"/>
              </w:rPr>
              <w:t xml:space="preserve"> </w:t>
            </w:r>
            <w:r w:rsidRPr="003B216C">
              <w:rPr>
                <w:rFonts w:eastAsiaTheme="minorHAnsi"/>
                <w:b/>
                <w:color w:val="000000"/>
                <w:sz w:val="24"/>
                <w:szCs w:val="24"/>
              </w:rPr>
              <w:t>%</w:t>
            </w:r>
          </w:p>
        </w:tc>
        <w:tc>
          <w:tcPr>
            <w:tcW w:w="2505" w:type="dxa"/>
            <w:vMerge/>
          </w:tcPr>
          <w:p w14:paraId="04146B47" w14:textId="77777777" w:rsidR="00D80693" w:rsidRPr="003B216C" w:rsidRDefault="00D80693" w:rsidP="00D72320">
            <w:pPr>
              <w:autoSpaceDE w:val="0"/>
              <w:autoSpaceDN w:val="0"/>
              <w:adjustRightInd w:val="0"/>
              <w:spacing w:line="360" w:lineRule="auto"/>
              <w:ind w:right="1008"/>
              <w:jc w:val="both"/>
              <w:rPr>
                <w:b/>
                <w:color w:val="000000"/>
                <w:sz w:val="24"/>
                <w:szCs w:val="24"/>
              </w:rPr>
            </w:pPr>
          </w:p>
        </w:tc>
      </w:tr>
    </w:tbl>
    <w:p w14:paraId="06F2B630" w14:textId="77777777" w:rsidR="00D80693" w:rsidRPr="003B216C" w:rsidRDefault="00D80693" w:rsidP="00D80693">
      <w:pPr>
        <w:adjustRightInd w:val="0"/>
        <w:spacing w:line="360" w:lineRule="auto"/>
        <w:ind w:right="1008"/>
        <w:jc w:val="both"/>
        <w:rPr>
          <w:rFonts w:eastAsia="Calibri"/>
          <w:i/>
          <w:color w:val="000000"/>
          <w:sz w:val="24"/>
          <w:szCs w:val="24"/>
        </w:rPr>
      </w:pPr>
      <w:r w:rsidRPr="003B216C">
        <w:rPr>
          <w:b/>
          <w:color w:val="000000"/>
          <w:sz w:val="24"/>
          <w:szCs w:val="24"/>
        </w:rPr>
        <w:t xml:space="preserve">                 </w:t>
      </w:r>
      <w:r w:rsidRPr="003B216C">
        <w:rPr>
          <w:i/>
          <w:color w:val="000000"/>
          <w:sz w:val="24"/>
          <w:szCs w:val="24"/>
        </w:rPr>
        <w:t>Source</w:t>
      </w:r>
      <w:r w:rsidRPr="003B216C">
        <w:rPr>
          <w:b/>
          <w:i/>
          <w:color w:val="000000"/>
          <w:sz w:val="24"/>
          <w:szCs w:val="24"/>
        </w:rPr>
        <w:t xml:space="preserve"> : </w:t>
      </w:r>
      <w:r w:rsidRPr="003B216C">
        <w:rPr>
          <w:i/>
          <w:color w:val="000000"/>
          <w:sz w:val="24"/>
          <w:szCs w:val="24"/>
        </w:rPr>
        <w:t>enquête de terrain de février-avril 2025</w:t>
      </w:r>
    </w:p>
    <w:p w14:paraId="28440C0E" w14:textId="77777777"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 xml:space="preserve">Le tableau n°1 révèle que tous les acteurs enquêtés par le biais du questionnaire reconnaissent l’existence des contraintes psychosociales d’encadrement pédagogique dans notre zone d’étude. </w:t>
      </w:r>
    </w:p>
    <w:p w14:paraId="558F4CE7" w14:textId="77777777" w:rsidR="00D80693" w:rsidRPr="003B216C" w:rsidRDefault="00D80693" w:rsidP="00CD045B">
      <w:pPr>
        <w:adjustRightInd w:val="0"/>
        <w:spacing w:before="120"/>
        <w:ind w:right="1008"/>
        <w:jc w:val="both"/>
        <w:rPr>
          <w:rFonts w:eastAsia="Calibri"/>
          <w:b/>
          <w:i/>
          <w:color w:val="000000"/>
          <w:sz w:val="24"/>
          <w:szCs w:val="24"/>
        </w:rPr>
      </w:pPr>
      <w:r w:rsidRPr="003B216C">
        <w:rPr>
          <w:b/>
          <w:i/>
          <w:color w:val="000000"/>
          <w:sz w:val="24"/>
          <w:szCs w:val="24"/>
        </w:rPr>
        <w:t>3.1.1. Du point de vue des enseignants</w:t>
      </w:r>
    </w:p>
    <w:p w14:paraId="75860F42" w14:textId="77777777" w:rsidR="00D80693" w:rsidRPr="003B216C" w:rsidRDefault="00D80693" w:rsidP="00CD045B">
      <w:pPr>
        <w:adjustRightInd w:val="0"/>
        <w:spacing w:before="120"/>
        <w:jc w:val="both"/>
        <w:rPr>
          <w:rFonts w:eastAsia="Calibri"/>
          <w:color w:val="000000"/>
          <w:sz w:val="24"/>
          <w:szCs w:val="24"/>
        </w:rPr>
      </w:pPr>
      <w:r w:rsidRPr="003B216C">
        <w:rPr>
          <w:color w:val="000000"/>
          <w:sz w:val="24"/>
          <w:szCs w:val="24"/>
        </w:rPr>
        <w:t xml:space="preserve">L’existence des contraintes psychosociales d’encadrement pédagogique n’a obtenu que 40% de l’approbation des enseignants enquêtés. Ce chiffre qui à priori n’est pas alarmant cache bien des réalités inquiétantes. </w:t>
      </w:r>
      <w:r>
        <w:rPr>
          <w:color w:val="000000"/>
          <w:sz w:val="24"/>
          <w:szCs w:val="24"/>
        </w:rPr>
        <w:t xml:space="preserve">L’enseignant D8 se confie : « je ne peux pas nier avoir déjà esquivé une visite de classe ». Aussi, poursuit-il, </w:t>
      </w:r>
      <w:proofErr w:type="gramStart"/>
      <w:r>
        <w:rPr>
          <w:color w:val="000000"/>
          <w:sz w:val="24"/>
          <w:szCs w:val="24"/>
        </w:rPr>
        <w:t>«  je</w:t>
      </w:r>
      <w:proofErr w:type="gramEnd"/>
      <w:r>
        <w:rPr>
          <w:color w:val="000000"/>
          <w:sz w:val="24"/>
          <w:szCs w:val="24"/>
        </w:rPr>
        <w:t xml:space="preserve">  préfère ne pas le dire ici, mais j’ai mes raisons d’éviter l’encadrement pédagogique ». </w:t>
      </w:r>
      <w:r w:rsidRPr="003B216C">
        <w:rPr>
          <w:color w:val="000000"/>
          <w:sz w:val="24"/>
          <w:szCs w:val="24"/>
        </w:rPr>
        <w:t>En effet, des recherches montrent</w:t>
      </w:r>
      <w:r>
        <w:rPr>
          <w:color w:val="000000"/>
          <w:sz w:val="24"/>
          <w:szCs w:val="24"/>
        </w:rPr>
        <w:t xml:space="preserve"> également</w:t>
      </w:r>
      <w:r w:rsidRPr="003B216C">
        <w:rPr>
          <w:color w:val="000000"/>
          <w:sz w:val="24"/>
          <w:szCs w:val="24"/>
        </w:rPr>
        <w:t xml:space="preserve"> que ces contraintes sont bien prégnantes dans le système d’encadrement post-primaire et secondaire et particulièrement dans la région du Centre. Ainsi, </w:t>
      </w:r>
      <w:r w:rsidRPr="000A38F5">
        <w:rPr>
          <w:sz w:val="24"/>
          <w:szCs w:val="24"/>
        </w:rPr>
        <w:t xml:space="preserve">selon Sessouma (2020), </w:t>
      </w:r>
      <w:r w:rsidRPr="003B216C">
        <w:rPr>
          <w:color w:val="000000"/>
          <w:sz w:val="24"/>
          <w:szCs w:val="24"/>
        </w:rPr>
        <w:t>abordant le refus des visites de classe dans son étude</w:t>
      </w:r>
      <w:r>
        <w:rPr>
          <w:color w:val="000000"/>
          <w:sz w:val="24"/>
          <w:szCs w:val="24"/>
        </w:rPr>
        <w:t xml:space="preserve">, </w:t>
      </w:r>
      <w:r w:rsidRPr="000A38F5">
        <w:rPr>
          <w:sz w:val="24"/>
          <w:szCs w:val="24"/>
        </w:rPr>
        <w:t>soutient :</w:t>
      </w:r>
    </w:p>
    <w:p w14:paraId="330452E9" w14:textId="77777777" w:rsidR="00D80693" w:rsidRPr="003B216C" w:rsidRDefault="00D80693" w:rsidP="00CD045B">
      <w:pPr>
        <w:adjustRightInd w:val="0"/>
        <w:spacing w:before="120"/>
        <w:ind w:left="567" w:right="567"/>
        <w:jc w:val="both"/>
        <w:rPr>
          <w:rFonts w:eastAsia="Calibri"/>
          <w:color w:val="000000"/>
        </w:rPr>
      </w:pPr>
      <w:r w:rsidRPr="003B216C">
        <w:rPr>
          <w:iCs/>
          <w:color w:val="000000"/>
        </w:rPr>
        <w:t xml:space="preserve">En plus de toutes ces difficultés auxquelles est confronté l’encadrement pédagogique, il y a le refus des enseignants de se soumettre aux visites de classe initiées par les encadreurs pédagogiques. Cette situation rend encore plus difficile le contexte de l’encadrement pédagogique des enseignants du post-primaire et du secondaire » </w:t>
      </w:r>
      <w:r w:rsidRPr="003B216C">
        <w:rPr>
          <w:color w:val="000000"/>
        </w:rPr>
        <w:t xml:space="preserve">(Sessouma, 2020, p.27). </w:t>
      </w:r>
    </w:p>
    <w:p w14:paraId="7C4421F6" w14:textId="77777777" w:rsidR="00D80693" w:rsidRPr="003B216C" w:rsidRDefault="00D80693" w:rsidP="00CD045B">
      <w:pPr>
        <w:adjustRightInd w:val="0"/>
        <w:spacing w:before="120"/>
        <w:jc w:val="both"/>
        <w:rPr>
          <w:rFonts w:eastAsia="Calibri"/>
          <w:color w:val="000000"/>
          <w:sz w:val="24"/>
          <w:szCs w:val="24"/>
        </w:rPr>
      </w:pPr>
      <w:r>
        <w:rPr>
          <w:color w:val="000000"/>
          <w:sz w:val="24"/>
          <w:szCs w:val="24"/>
        </w:rPr>
        <w:t xml:space="preserve">Aussi, pour </w:t>
      </w:r>
      <w:r w:rsidRPr="003B216C">
        <w:rPr>
          <w:color w:val="000000"/>
          <w:sz w:val="24"/>
          <w:szCs w:val="24"/>
        </w:rPr>
        <w:t>Sessouma (2020) le refus des visites de classe par les enseignants est bel et bie</w:t>
      </w:r>
      <w:r>
        <w:rPr>
          <w:color w:val="000000"/>
          <w:sz w:val="24"/>
          <w:szCs w:val="24"/>
        </w:rPr>
        <w:t xml:space="preserve">n une réalité lorsqu’il </w:t>
      </w:r>
      <w:proofErr w:type="gramStart"/>
      <w:r>
        <w:rPr>
          <w:color w:val="000000"/>
          <w:sz w:val="24"/>
          <w:szCs w:val="24"/>
        </w:rPr>
        <w:t>affirme</w:t>
      </w:r>
      <w:r w:rsidRPr="003B216C">
        <w:rPr>
          <w:color w:val="000000"/>
          <w:sz w:val="24"/>
          <w:szCs w:val="24"/>
        </w:rPr>
        <w:t>:</w:t>
      </w:r>
      <w:proofErr w:type="gramEnd"/>
      <w:r w:rsidRPr="003B216C">
        <w:rPr>
          <w:color w:val="000000"/>
          <w:sz w:val="24"/>
          <w:szCs w:val="24"/>
        </w:rPr>
        <w:t xml:space="preserve"> </w:t>
      </w:r>
      <w:r>
        <w:rPr>
          <w:iCs/>
          <w:color w:val="000000"/>
          <w:sz w:val="24"/>
          <w:szCs w:val="24"/>
        </w:rPr>
        <w:t>« (…) a</w:t>
      </w:r>
      <w:r w:rsidRPr="003B216C">
        <w:rPr>
          <w:iCs/>
          <w:color w:val="000000"/>
          <w:sz w:val="24"/>
          <w:szCs w:val="24"/>
        </w:rPr>
        <w:t>u cours de notre pratique de conseiller pédagogique et de stagiaire inspecteur, nous avons été témoin, à plusieurs reprises du refus des visites de classe par des enseignants »</w:t>
      </w:r>
      <w:r w:rsidRPr="003B216C">
        <w:rPr>
          <w:i/>
          <w:iCs/>
          <w:color w:val="000000"/>
          <w:sz w:val="24"/>
          <w:szCs w:val="24"/>
        </w:rPr>
        <w:t xml:space="preserve"> </w:t>
      </w:r>
      <w:r w:rsidRPr="003B216C">
        <w:rPr>
          <w:color w:val="000000"/>
          <w:sz w:val="24"/>
          <w:szCs w:val="24"/>
        </w:rPr>
        <w:t>Sessouma (2020, p.11). Dans le même ordre d’idée, la DGEPFIC (2018, p.27) confirme le faible engagement de certains acteurs et la défiance de l’autorité des personnels d’encadrement par les enseignants en affirmant que :</w:t>
      </w:r>
    </w:p>
    <w:p w14:paraId="5CD7D7B9" w14:textId="77777777" w:rsidR="00D80693" w:rsidRPr="003B216C" w:rsidRDefault="00D80693" w:rsidP="00CD045B">
      <w:pPr>
        <w:adjustRightInd w:val="0"/>
        <w:spacing w:before="120"/>
        <w:ind w:left="567" w:right="567"/>
        <w:jc w:val="both"/>
        <w:rPr>
          <w:rFonts w:eastAsia="Calibri"/>
          <w:iCs/>
          <w:color w:val="000000"/>
        </w:rPr>
      </w:pPr>
      <w:r w:rsidRPr="003B216C">
        <w:rPr>
          <w:iCs/>
          <w:color w:val="000000"/>
        </w:rPr>
        <w:t>Le renouvellement des générations au sein du corps enseignant a engendré la naissance de sentiments de dissidence vis-à-vis de l’autorité éducative. Les encadreurs pédagogiques ne sont plus perçus comme des autorités pédagogiques ou des personnes de ressource de sorte que leurs actions sont souvent remises publiquement en cause ou simplement ignorées à dessein par les enseignants (DGEPFIC, 2018, p.27).</w:t>
      </w:r>
    </w:p>
    <w:p w14:paraId="262A1B89" w14:textId="77777777" w:rsidR="00D80693" w:rsidRDefault="00D80693" w:rsidP="00CD045B">
      <w:pPr>
        <w:adjustRightInd w:val="0"/>
        <w:spacing w:before="120"/>
        <w:jc w:val="both"/>
        <w:rPr>
          <w:rFonts w:eastAsia="Calibri"/>
          <w:iCs/>
          <w:color w:val="000000"/>
          <w:sz w:val="24"/>
          <w:szCs w:val="24"/>
        </w:rPr>
      </w:pPr>
      <w:r w:rsidRPr="00C848B6">
        <w:rPr>
          <w:iCs/>
          <w:sz w:val="24"/>
          <w:szCs w:val="24"/>
        </w:rPr>
        <w:t xml:space="preserve">Cependant nos interviewés, </w:t>
      </w:r>
      <w:r>
        <w:rPr>
          <w:iCs/>
          <w:color w:val="000000"/>
          <w:sz w:val="24"/>
          <w:szCs w:val="24"/>
        </w:rPr>
        <w:t>tout en reconnaissant que le phénomène des refus de visite de classe est une réalité, imputent presque l’entière responsabilité aux encadreurs du fait des visites de classe programmées et annulées à la dernière minute, le non- respect des horaires habituels des enseignants lors des visites de classe, le choix des périodes inappropriées pour les visites de classe, le manque de communication entre acteurs.</w:t>
      </w:r>
    </w:p>
    <w:p w14:paraId="386F12A3" w14:textId="77777777" w:rsidR="00D80693" w:rsidRPr="00F47EC2" w:rsidRDefault="00D80693" w:rsidP="00CD045B">
      <w:pPr>
        <w:adjustRightInd w:val="0"/>
        <w:spacing w:before="120"/>
        <w:jc w:val="both"/>
        <w:rPr>
          <w:rFonts w:eastAsia="Calibri"/>
          <w:iCs/>
          <w:color w:val="000000"/>
          <w:sz w:val="24"/>
          <w:szCs w:val="24"/>
        </w:rPr>
      </w:pPr>
      <w:proofErr w:type="gramStart"/>
      <w:r w:rsidRPr="0097406D">
        <w:rPr>
          <w:color w:val="000000"/>
          <w:sz w:val="24"/>
          <w:szCs w:val="24"/>
        </w:rPr>
        <w:t>S’agissant  des</w:t>
      </w:r>
      <w:proofErr w:type="gramEnd"/>
      <w:r w:rsidRPr="0097406D">
        <w:rPr>
          <w:color w:val="000000"/>
          <w:sz w:val="24"/>
          <w:szCs w:val="24"/>
        </w:rPr>
        <w:t xml:space="preserve"> visites de classe déprogrammées à la </w:t>
      </w:r>
      <w:r>
        <w:rPr>
          <w:color w:val="000000"/>
          <w:sz w:val="24"/>
          <w:szCs w:val="24"/>
        </w:rPr>
        <w:t>dernière minute, l’interviewé K1, censeur d’un</w:t>
      </w:r>
      <w:r w:rsidRPr="0097406D">
        <w:rPr>
          <w:color w:val="000000"/>
          <w:sz w:val="24"/>
          <w:szCs w:val="24"/>
        </w:rPr>
        <w:t xml:space="preserve"> établissement public déclare : </w:t>
      </w:r>
      <w:r w:rsidRPr="0097406D">
        <w:rPr>
          <w:iCs/>
          <w:color w:val="000000"/>
          <w:sz w:val="24"/>
          <w:szCs w:val="24"/>
        </w:rPr>
        <w:t xml:space="preserve">« Si un professeur s’active pour préparer sa fiche et organise sa classe pour recevoir la visite d’un encadreur et à la dernière minute, on lui annonce que la visite est reportée ou simplement annulée, cela démotive énormément. Et ces cas ne manquent </w:t>
      </w:r>
      <w:proofErr w:type="gramStart"/>
      <w:r w:rsidRPr="0097406D">
        <w:rPr>
          <w:iCs/>
          <w:color w:val="000000"/>
          <w:sz w:val="24"/>
          <w:szCs w:val="24"/>
        </w:rPr>
        <w:t>pas»</w:t>
      </w:r>
      <w:proofErr w:type="gramEnd"/>
      <w:r w:rsidRPr="0097406D">
        <w:rPr>
          <w:iCs/>
          <w:color w:val="000000"/>
          <w:sz w:val="24"/>
          <w:szCs w:val="24"/>
        </w:rPr>
        <w:t>.</w:t>
      </w:r>
      <w:r w:rsidRPr="0097406D">
        <w:rPr>
          <w:i/>
          <w:iCs/>
          <w:color w:val="000000"/>
          <w:sz w:val="24"/>
          <w:szCs w:val="24"/>
        </w:rPr>
        <w:t xml:space="preserve"> </w:t>
      </w:r>
      <w:r>
        <w:rPr>
          <w:iCs/>
          <w:color w:val="000000"/>
          <w:sz w:val="24"/>
          <w:szCs w:val="24"/>
        </w:rPr>
        <w:t>Pour lui</w:t>
      </w:r>
      <w:r w:rsidRPr="00132129">
        <w:rPr>
          <w:iCs/>
          <w:color w:val="000000"/>
          <w:sz w:val="24"/>
          <w:szCs w:val="24"/>
        </w:rPr>
        <w:t xml:space="preserve">, </w:t>
      </w:r>
      <w:r>
        <w:rPr>
          <w:iCs/>
          <w:color w:val="000000"/>
          <w:sz w:val="24"/>
          <w:szCs w:val="24"/>
        </w:rPr>
        <w:t xml:space="preserve">« un tel professeur ne sera plus prêt à s’investir prochainement lorsqu’on lui parlera de visite de classe. Pire, il peut même la boycotter ». De même Pour </w:t>
      </w:r>
      <w:proofErr w:type="gramStart"/>
      <w:r>
        <w:rPr>
          <w:iCs/>
          <w:color w:val="000000"/>
          <w:sz w:val="24"/>
          <w:szCs w:val="24"/>
        </w:rPr>
        <w:t>l’enquêté</w:t>
      </w:r>
      <w:proofErr w:type="gramEnd"/>
      <w:r>
        <w:rPr>
          <w:iCs/>
          <w:color w:val="000000"/>
          <w:sz w:val="24"/>
          <w:szCs w:val="24"/>
        </w:rPr>
        <w:t xml:space="preserve"> P13, interrogé par Sessouma (2020) ce refus est dû à l’injustice de l’administration scolaire vis-à-vis des enseignants qui acceptent participer aux activités d’encadrement pédagogique, notamment la visite de classe. Il affirme :</w:t>
      </w:r>
      <w:proofErr w:type="gramStart"/>
      <w:r>
        <w:rPr>
          <w:iCs/>
          <w:color w:val="000000"/>
          <w:sz w:val="24"/>
          <w:szCs w:val="24"/>
        </w:rPr>
        <w:t> «</w:t>
      </w:r>
      <w:r w:rsidRPr="00F47EC2">
        <w:rPr>
          <w:iCs/>
          <w:color w:val="000000"/>
          <w:sz w:val="24"/>
          <w:szCs w:val="24"/>
        </w:rPr>
        <w:t>tu</w:t>
      </w:r>
      <w:proofErr w:type="gramEnd"/>
      <w:r w:rsidRPr="00F47EC2">
        <w:rPr>
          <w:iCs/>
          <w:color w:val="000000"/>
          <w:sz w:val="24"/>
          <w:szCs w:val="24"/>
        </w:rPr>
        <w:t xml:space="preserve"> acceptes les visites de classe et à la fin de l’année, c’est ceux qui ont refusé les visites de classe qui sont retenus pour les corrections et toi rien »</w:t>
      </w:r>
      <w:r>
        <w:rPr>
          <w:iCs/>
          <w:color w:val="000000"/>
          <w:sz w:val="24"/>
          <w:szCs w:val="24"/>
        </w:rPr>
        <w:t xml:space="preserve"> (p.68).</w:t>
      </w:r>
    </w:p>
    <w:p w14:paraId="182AD614" w14:textId="77777777" w:rsidR="00D80693" w:rsidRPr="00E52D82" w:rsidRDefault="00D80693" w:rsidP="00CD045B">
      <w:pPr>
        <w:adjustRightInd w:val="0"/>
        <w:spacing w:before="120"/>
        <w:jc w:val="both"/>
        <w:rPr>
          <w:rFonts w:eastAsia="Calibri"/>
          <w:iCs/>
          <w:color w:val="000000"/>
          <w:sz w:val="24"/>
          <w:szCs w:val="24"/>
        </w:rPr>
      </w:pPr>
      <w:r>
        <w:rPr>
          <w:color w:val="000000"/>
          <w:sz w:val="24"/>
          <w:szCs w:val="24"/>
        </w:rPr>
        <w:t>Pour l</w:t>
      </w:r>
      <w:r w:rsidRPr="0097406D">
        <w:rPr>
          <w:color w:val="000000"/>
          <w:sz w:val="24"/>
          <w:szCs w:val="24"/>
        </w:rPr>
        <w:t>e non-respect des horaires</w:t>
      </w:r>
      <w:r>
        <w:rPr>
          <w:color w:val="000000"/>
          <w:sz w:val="24"/>
          <w:szCs w:val="24"/>
        </w:rPr>
        <w:t>, c</w:t>
      </w:r>
      <w:r w:rsidRPr="007579E5">
        <w:rPr>
          <w:color w:val="000000"/>
          <w:sz w:val="24"/>
          <w:szCs w:val="24"/>
        </w:rPr>
        <w:t>ela est souvent dû au manque de moyens logistiques et financiers. En effet, lorsqu’une équipe doit se rendre dans une zone pour une mission d’encadrement pédagogique, l’on s’arrange à ce que les enseignants qui doivent être visités le soient à cette occasion, mê</w:t>
      </w:r>
      <w:r>
        <w:rPr>
          <w:color w:val="000000"/>
          <w:sz w:val="24"/>
          <w:szCs w:val="24"/>
        </w:rPr>
        <w:t xml:space="preserve">me si tous n’ont pas cours </w:t>
      </w:r>
      <w:r w:rsidRPr="00DE0C7D">
        <w:rPr>
          <w:sz w:val="24"/>
          <w:szCs w:val="24"/>
        </w:rPr>
        <w:t xml:space="preserve">dans le même laps </w:t>
      </w:r>
      <w:r w:rsidRPr="007579E5">
        <w:rPr>
          <w:color w:val="000000"/>
          <w:sz w:val="24"/>
          <w:szCs w:val="24"/>
        </w:rPr>
        <w:t xml:space="preserve">de temps indiqué. Et cela, pour non seulement économiser en carburant, en frais de mission mais également pour faire face </w:t>
      </w:r>
      <w:r>
        <w:rPr>
          <w:color w:val="000000"/>
          <w:sz w:val="24"/>
          <w:szCs w:val="24"/>
        </w:rPr>
        <w:t xml:space="preserve">au manque de moyens roulants. L’interviewé I4, chef d’un </w:t>
      </w:r>
      <w:r w:rsidRPr="007579E5">
        <w:rPr>
          <w:color w:val="000000"/>
          <w:sz w:val="24"/>
          <w:szCs w:val="24"/>
        </w:rPr>
        <w:t>établissement</w:t>
      </w:r>
      <w:r>
        <w:rPr>
          <w:color w:val="000000"/>
          <w:sz w:val="24"/>
          <w:szCs w:val="24"/>
        </w:rPr>
        <w:t xml:space="preserve"> d’une commune rurale dit à ce </w:t>
      </w:r>
      <w:proofErr w:type="gramStart"/>
      <w:r>
        <w:rPr>
          <w:color w:val="000000"/>
          <w:sz w:val="24"/>
          <w:szCs w:val="24"/>
        </w:rPr>
        <w:t>propos</w:t>
      </w:r>
      <w:r w:rsidRPr="007579E5">
        <w:rPr>
          <w:color w:val="000000"/>
          <w:sz w:val="24"/>
          <w:szCs w:val="24"/>
        </w:rPr>
        <w:t>:</w:t>
      </w:r>
      <w:proofErr w:type="gramEnd"/>
      <w:r w:rsidRPr="007579E5">
        <w:rPr>
          <w:color w:val="000000"/>
          <w:sz w:val="24"/>
          <w:szCs w:val="24"/>
        </w:rPr>
        <w:t xml:space="preserve"> </w:t>
      </w:r>
      <w:r w:rsidRPr="00E52D82">
        <w:rPr>
          <w:iCs/>
          <w:color w:val="000000"/>
          <w:sz w:val="24"/>
          <w:szCs w:val="24"/>
        </w:rPr>
        <w:t>« les horaires des enseignants ne sont pas maîtrisés et respectés par les encadreurs. Et même si on attire leur attention que le jour ou l’heure indiquée l’enseignant n’a pas cours, ils disent que ce n’est pas grave. »</w:t>
      </w:r>
    </w:p>
    <w:p w14:paraId="3E636F18" w14:textId="77777777" w:rsidR="00D80693" w:rsidRPr="007D6150" w:rsidRDefault="00D80693" w:rsidP="00CD045B">
      <w:pPr>
        <w:adjustRightInd w:val="0"/>
        <w:spacing w:before="120"/>
        <w:jc w:val="both"/>
        <w:rPr>
          <w:rFonts w:eastAsia="Calibri"/>
          <w:color w:val="000000"/>
          <w:sz w:val="24"/>
          <w:szCs w:val="24"/>
        </w:rPr>
      </w:pPr>
      <w:r w:rsidRPr="007D6150">
        <w:rPr>
          <w:iCs/>
          <w:color w:val="000000"/>
          <w:sz w:val="24"/>
          <w:szCs w:val="24"/>
        </w:rPr>
        <w:t>En ce qui concerne le choix des périodes inappropriées pour les visites de classe, il se caractérise généralement par une</w:t>
      </w:r>
      <w:r w:rsidRPr="007D6150">
        <w:rPr>
          <w:i/>
          <w:iCs/>
          <w:color w:val="000000"/>
          <w:sz w:val="24"/>
          <w:szCs w:val="24"/>
        </w:rPr>
        <w:t xml:space="preserve"> </w:t>
      </w:r>
      <w:r w:rsidRPr="007D6150">
        <w:rPr>
          <w:color w:val="000000"/>
          <w:sz w:val="24"/>
          <w:szCs w:val="24"/>
        </w:rPr>
        <w:t>coïncidence des périodes de visites de classe avec celles des évaluations dans les établissements, et cela est une situation assez récurrente. En effet, lorsque les visites sont programmées en fin de trimestre, il y a une forte probabilité qu’elles coïncident avec les compositions ou derniers devoirs du trimestre. Cette situation pourrait s’expliquer par le fait que généralement les activités d’encadrement pédagogique sont financées par des partenaires de l’éducation qui souvent, ne mettent les fonds à la disposition de la DRE</w:t>
      </w:r>
      <w:r>
        <w:rPr>
          <w:color w:val="000000"/>
          <w:sz w:val="24"/>
          <w:szCs w:val="24"/>
        </w:rPr>
        <w:t>SFPT</w:t>
      </w:r>
      <w:r w:rsidRPr="007D6150">
        <w:rPr>
          <w:color w:val="000000"/>
          <w:sz w:val="24"/>
          <w:szCs w:val="24"/>
        </w:rPr>
        <w:t xml:space="preserve"> qu’en fin du dernier trimestre de l’année. Dans ces conditions, l’on programme les activités d’encadrement pour ne pas reverser les fonds même si la période n’est pas idéale. Et cela n’est pas sans conséquence pour les enseignants.</w:t>
      </w:r>
      <w:r>
        <w:rPr>
          <w:color w:val="000000"/>
          <w:sz w:val="24"/>
          <w:szCs w:val="24"/>
        </w:rPr>
        <w:t xml:space="preserve"> L’</w:t>
      </w:r>
      <w:r w:rsidRPr="007D6150">
        <w:rPr>
          <w:color w:val="000000"/>
          <w:sz w:val="24"/>
          <w:szCs w:val="24"/>
        </w:rPr>
        <w:t>interviewé</w:t>
      </w:r>
      <w:r>
        <w:rPr>
          <w:color w:val="000000"/>
          <w:sz w:val="24"/>
          <w:szCs w:val="24"/>
        </w:rPr>
        <w:t xml:space="preserve"> J2</w:t>
      </w:r>
      <w:r w:rsidRPr="007D6150">
        <w:rPr>
          <w:color w:val="000000"/>
          <w:sz w:val="24"/>
          <w:szCs w:val="24"/>
        </w:rPr>
        <w:t xml:space="preserve"> le mentionne si bien : </w:t>
      </w:r>
      <w:r w:rsidRPr="007D6150">
        <w:rPr>
          <w:iCs/>
          <w:color w:val="000000"/>
          <w:sz w:val="24"/>
          <w:szCs w:val="24"/>
        </w:rPr>
        <w:t>« Ces visites ou autres activités d’encadrement se font généralement pendant des périodes de composition et cela perturbe beaucoup »</w:t>
      </w:r>
      <w:r w:rsidRPr="007D6150">
        <w:rPr>
          <w:color w:val="000000"/>
          <w:sz w:val="24"/>
          <w:szCs w:val="24"/>
        </w:rPr>
        <w:t>.</w:t>
      </w:r>
    </w:p>
    <w:p w14:paraId="07A9BD8B" w14:textId="77777777" w:rsidR="00D80693" w:rsidRPr="007D6150" w:rsidRDefault="00D80693" w:rsidP="00CD045B">
      <w:pPr>
        <w:adjustRightInd w:val="0"/>
        <w:spacing w:before="120"/>
        <w:jc w:val="both"/>
        <w:rPr>
          <w:rFonts w:eastAsia="Calibri"/>
          <w:iCs/>
          <w:color w:val="000000"/>
          <w:sz w:val="24"/>
          <w:szCs w:val="24"/>
        </w:rPr>
      </w:pPr>
      <w:r w:rsidRPr="007D6150">
        <w:rPr>
          <w:color w:val="000000"/>
          <w:sz w:val="24"/>
          <w:szCs w:val="24"/>
        </w:rPr>
        <w:t>Enfin, le manque de communication entre acteurs est l’une des contraintes psychosociales reconnues par nos interviewés</w:t>
      </w:r>
      <w:r w:rsidRPr="00A54E06">
        <w:rPr>
          <w:color w:val="000000"/>
          <w:sz w:val="24"/>
          <w:szCs w:val="24"/>
        </w:rPr>
        <w:t xml:space="preserve">. </w:t>
      </w:r>
      <w:r w:rsidRPr="007D6150">
        <w:rPr>
          <w:color w:val="000000"/>
          <w:sz w:val="24"/>
          <w:szCs w:val="24"/>
        </w:rPr>
        <w:t>Il se traduit par le manque de feed-back entre chefs d’établissements (ou censeurs) et encadreurs, entre chefs d’établissements et professeurs. L’information portant sur l’organisation d’une activité d’encadrement pédagogique peut être initiée tardivement par les encadreurs et transmise au chef d’établissement ou initiée à temps puis donnée au chef d’établissement, qui à son tour, la transmet tardivement à l’enseignant</w:t>
      </w:r>
      <w:r w:rsidRPr="00A54E06">
        <w:rPr>
          <w:color w:val="000000"/>
          <w:sz w:val="24"/>
          <w:szCs w:val="24"/>
        </w:rPr>
        <w:t xml:space="preserve">. </w:t>
      </w:r>
      <w:r w:rsidRPr="007D6150">
        <w:rPr>
          <w:color w:val="000000"/>
          <w:sz w:val="24"/>
          <w:szCs w:val="24"/>
        </w:rPr>
        <w:t>Et comme nous le confie</w:t>
      </w:r>
      <w:r>
        <w:rPr>
          <w:color w:val="000000"/>
          <w:sz w:val="24"/>
          <w:szCs w:val="24"/>
        </w:rPr>
        <w:t xml:space="preserve"> L</w:t>
      </w:r>
      <w:proofErr w:type="gramStart"/>
      <w:r>
        <w:rPr>
          <w:color w:val="000000"/>
          <w:sz w:val="24"/>
          <w:szCs w:val="24"/>
        </w:rPr>
        <w:t xml:space="preserve">1, </w:t>
      </w:r>
      <w:r w:rsidRPr="007D6150">
        <w:rPr>
          <w:color w:val="000000"/>
          <w:sz w:val="24"/>
          <w:szCs w:val="24"/>
        </w:rPr>
        <w:t xml:space="preserve"> chef</w:t>
      </w:r>
      <w:proofErr w:type="gramEnd"/>
      <w:r w:rsidRPr="007D6150">
        <w:rPr>
          <w:color w:val="000000"/>
          <w:sz w:val="24"/>
          <w:szCs w:val="24"/>
        </w:rPr>
        <w:t xml:space="preserve"> de travaux d’un établissement technique et professionnel </w:t>
      </w:r>
      <w:r>
        <w:rPr>
          <w:color w:val="000000"/>
          <w:sz w:val="24"/>
          <w:szCs w:val="24"/>
        </w:rPr>
        <w:t xml:space="preserve">de la ville de </w:t>
      </w:r>
      <w:proofErr w:type="gramStart"/>
      <w:r>
        <w:rPr>
          <w:color w:val="000000"/>
          <w:sz w:val="24"/>
          <w:szCs w:val="24"/>
        </w:rPr>
        <w:t>Ouagadougou</w:t>
      </w:r>
      <w:r w:rsidRPr="007D6150">
        <w:rPr>
          <w:color w:val="000000"/>
          <w:sz w:val="24"/>
          <w:szCs w:val="24"/>
        </w:rPr>
        <w:t>:</w:t>
      </w:r>
      <w:proofErr w:type="gramEnd"/>
      <w:r w:rsidRPr="007D6150">
        <w:rPr>
          <w:color w:val="000000"/>
          <w:sz w:val="24"/>
          <w:szCs w:val="24"/>
        </w:rPr>
        <w:t xml:space="preserve"> </w:t>
      </w:r>
      <w:r w:rsidRPr="007D6150">
        <w:rPr>
          <w:iCs/>
          <w:color w:val="000000"/>
          <w:sz w:val="24"/>
          <w:szCs w:val="24"/>
        </w:rPr>
        <w:t xml:space="preserve">« lorsque l’information parvient tardivement aux enseignants, le plus souvent ils ne sont pas favorables à recevoir la visite de classe (si c’est cette activité qui est programmée), ce qui est de nature à créer des tensions ». </w:t>
      </w:r>
    </w:p>
    <w:p w14:paraId="15D93E76" w14:textId="77777777" w:rsidR="00D80693" w:rsidRPr="00BD7035" w:rsidRDefault="00D80693" w:rsidP="00CD045B">
      <w:pPr>
        <w:adjustRightInd w:val="0"/>
        <w:spacing w:before="120"/>
        <w:jc w:val="both"/>
        <w:rPr>
          <w:rFonts w:eastAsia="Calibri"/>
          <w:b/>
          <w:i/>
          <w:iCs/>
          <w:color w:val="000000"/>
          <w:sz w:val="24"/>
          <w:szCs w:val="24"/>
        </w:rPr>
      </w:pPr>
      <w:r w:rsidRPr="00BD7035">
        <w:rPr>
          <w:b/>
          <w:i/>
          <w:iCs/>
          <w:color w:val="000000"/>
          <w:sz w:val="24"/>
          <w:szCs w:val="24"/>
        </w:rPr>
        <w:t>3.1.2. Du point de vue des encadreurs pédagogiques</w:t>
      </w:r>
    </w:p>
    <w:p w14:paraId="4A3DFADA" w14:textId="77777777" w:rsidR="00D80693" w:rsidRDefault="00D80693" w:rsidP="00CD045B">
      <w:pPr>
        <w:adjustRightInd w:val="0"/>
        <w:spacing w:before="120"/>
        <w:ind w:right="567"/>
        <w:jc w:val="both"/>
        <w:rPr>
          <w:rFonts w:eastAsia="Calibri"/>
          <w:color w:val="000000"/>
          <w:sz w:val="24"/>
          <w:szCs w:val="24"/>
        </w:rPr>
      </w:pPr>
      <w:r w:rsidRPr="00433B0D">
        <w:rPr>
          <w:color w:val="000000"/>
          <w:sz w:val="24"/>
          <w:szCs w:val="24"/>
        </w:rPr>
        <w:t xml:space="preserve">Selon les encadreurs, les contraintes psychosociales sont des </w:t>
      </w:r>
      <w:r w:rsidRPr="00F62393">
        <w:rPr>
          <w:sz w:val="24"/>
          <w:szCs w:val="24"/>
        </w:rPr>
        <w:t xml:space="preserve">contraintes majeures </w:t>
      </w:r>
      <w:r w:rsidRPr="00433B0D">
        <w:rPr>
          <w:color w:val="000000"/>
          <w:sz w:val="24"/>
          <w:szCs w:val="24"/>
        </w:rPr>
        <w:t>d’encadrement</w:t>
      </w:r>
      <w:r>
        <w:rPr>
          <w:color w:val="000000"/>
          <w:sz w:val="24"/>
          <w:szCs w:val="24"/>
        </w:rPr>
        <w:t xml:space="preserve"> dans notre zone d’étude.</w:t>
      </w:r>
      <w:r w:rsidRPr="00433B0D">
        <w:rPr>
          <w:color w:val="000000"/>
          <w:sz w:val="24"/>
          <w:szCs w:val="24"/>
        </w:rPr>
        <w:t xml:space="preserve"> 73 % d’entre eux l’ont reconnu comme l’indique le tableau n°1 susmentionné. </w:t>
      </w:r>
      <w:r>
        <w:rPr>
          <w:color w:val="000000"/>
          <w:sz w:val="24"/>
          <w:szCs w:val="24"/>
        </w:rPr>
        <w:t xml:space="preserve">Pour les encadreurs, le refus des visites de classe est une réalité et certains reconnaissent la responsabilité de leurs collègues encadreurs. Les propos </w:t>
      </w:r>
      <w:proofErr w:type="gramStart"/>
      <w:r>
        <w:rPr>
          <w:color w:val="000000"/>
          <w:sz w:val="24"/>
          <w:szCs w:val="24"/>
        </w:rPr>
        <w:t>de  l’enquêté</w:t>
      </w:r>
      <w:proofErr w:type="gramEnd"/>
      <w:r>
        <w:rPr>
          <w:color w:val="000000"/>
          <w:sz w:val="24"/>
          <w:szCs w:val="24"/>
        </w:rPr>
        <w:t xml:space="preserve"> A</w:t>
      </w:r>
      <w:proofErr w:type="gramStart"/>
      <w:r>
        <w:rPr>
          <w:color w:val="000000"/>
          <w:sz w:val="24"/>
          <w:szCs w:val="24"/>
        </w:rPr>
        <w:t>1  le</w:t>
      </w:r>
      <w:proofErr w:type="gramEnd"/>
      <w:r>
        <w:rPr>
          <w:color w:val="000000"/>
          <w:sz w:val="24"/>
          <w:szCs w:val="24"/>
        </w:rPr>
        <w:t xml:space="preserve"> confirment : </w:t>
      </w:r>
    </w:p>
    <w:p w14:paraId="46CD49B2" w14:textId="77777777" w:rsidR="00D80693" w:rsidRDefault="00D80693" w:rsidP="00CD045B">
      <w:pPr>
        <w:adjustRightInd w:val="0"/>
        <w:spacing w:before="120"/>
        <w:ind w:left="567" w:right="567"/>
        <w:jc w:val="both"/>
        <w:rPr>
          <w:rFonts w:eastAsia="Calibri"/>
          <w:color w:val="000000"/>
        </w:rPr>
      </w:pPr>
      <w:r w:rsidRPr="00A561B5">
        <w:rPr>
          <w:color w:val="000000"/>
        </w:rPr>
        <w:t xml:space="preserve">Il faut qu’on se dise la vérité. Je suis encadreur pédagogique mais quand je vois souvent certains collègues malmener des enseignants lors des entretiens </w:t>
      </w:r>
      <w:proofErr w:type="gramStart"/>
      <w:r w:rsidRPr="00A561B5">
        <w:rPr>
          <w:color w:val="000000"/>
        </w:rPr>
        <w:t>suite à</w:t>
      </w:r>
      <w:proofErr w:type="gramEnd"/>
      <w:r w:rsidRPr="00A561B5">
        <w:rPr>
          <w:color w:val="000000"/>
        </w:rPr>
        <w:t xml:space="preserve"> l’observation de leurs cours, je ne m’en reviens pas. C’est comme si c’était un interrogatoire de police. La voix monte, le ton </w:t>
      </w:r>
      <w:proofErr w:type="gramStart"/>
      <w:r w:rsidRPr="00A561B5">
        <w:rPr>
          <w:color w:val="000000"/>
        </w:rPr>
        <w:t>est  menaçant</w:t>
      </w:r>
      <w:proofErr w:type="gramEnd"/>
      <w:r w:rsidRPr="00A561B5">
        <w:rPr>
          <w:color w:val="000000"/>
        </w:rPr>
        <w:t xml:space="preserve">, comme si l’on veut obtenir des aveux de ces derniers. </w:t>
      </w:r>
      <w:r>
        <w:rPr>
          <w:color w:val="000000"/>
        </w:rPr>
        <w:t xml:space="preserve">Malheureusement, </w:t>
      </w:r>
      <w:proofErr w:type="gramStart"/>
      <w:r>
        <w:rPr>
          <w:color w:val="000000"/>
        </w:rPr>
        <w:t>c’est</w:t>
      </w:r>
      <w:proofErr w:type="gramEnd"/>
      <w:r>
        <w:rPr>
          <w:color w:val="000000"/>
        </w:rPr>
        <w:t xml:space="preserve"> souvent nos doyens même qui agissent ainsi. </w:t>
      </w:r>
      <w:r w:rsidRPr="00A561B5">
        <w:rPr>
          <w:color w:val="000000"/>
        </w:rPr>
        <w:t>Dans ces conditions comment voulez-vous que les enseignants nous fassent confiance et collaborent avec nous ?</w:t>
      </w:r>
    </w:p>
    <w:p w14:paraId="4C911CF6" w14:textId="77777777" w:rsidR="00D80693" w:rsidRPr="00631469" w:rsidRDefault="00D80693" w:rsidP="00CD045B">
      <w:pPr>
        <w:adjustRightInd w:val="0"/>
        <w:spacing w:before="120"/>
        <w:ind w:right="567"/>
        <w:jc w:val="both"/>
        <w:rPr>
          <w:rFonts w:eastAsia="Calibri"/>
          <w:color w:val="000000"/>
          <w:sz w:val="24"/>
          <w:szCs w:val="24"/>
        </w:rPr>
      </w:pPr>
      <w:r w:rsidRPr="00631469">
        <w:rPr>
          <w:color w:val="000000"/>
          <w:sz w:val="24"/>
          <w:szCs w:val="24"/>
        </w:rPr>
        <w:t>Ce passage ne peut présager d’un bon climat de collaboration entre acteurs directs de l’encadrement pédagogique que sont les enseignants et les encadreurs. Et l’on ne devrait pas s’étonner que les enseignants aient une perception négative de l’encadrement pédagogique dans cette région.</w:t>
      </w:r>
    </w:p>
    <w:p w14:paraId="7610E766" w14:textId="77777777" w:rsidR="00D80693" w:rsidRDefault="00D80693" w:rsidP="00CD045B">
      <w:pPr>
        <w:tabs>
          <w:tab w:val="left" w:pos="5850"/>
        </w:tabs>
        <w:adjustRightInd w:val="0"/>
        <w:spacing w:before="120"/>
        <w:ind w:right="567"/>
        <w:jc w:val="both"/>
        <w:rPr>
          <w:rFonts w:eastAsia="Calibri"/>
          <w:color w:val="000000"/>
        </w:rPr>
      </w:pPr>
      <w:r w:rsidRPr="00631469">
        <w:rPr>
          <w:color w:val="000000"/>
          <w:sz w:val="24"/>
          <w:szCs w:val="24"/>
        </w:rPr>
        <w:t>De même, l’interviewé I7, chef d’établissement confesse :</w:t>
      </w:r>
      <w:r>
        <w:rPr>
          <w:color w:val="000000"/>
        </w:rPr>
        <w:tab/>
      </w:r>
    </w:p>
    <w:p w14:paraId="018A32B0" w14:textId="77777777" w:rsidR="00D80693" w:rsidRDefault="00D80693" w:rsidP="00CD045B">
      <w:pPr>
        <w:adjustRightInd w:val="0"/>
        <w:spacing w:before="120"/>
        <w:ind w:left="567" w:right="567"/>
        <w:jc w:val="both"/>
        <w:rPr>
          <w:rFonts w:eastAsia="Calibri"/>
          <w:color w:val="000000"/>
        </w:rPr>
      </w:pPr>
      <w:r>
        <w:rPr>
          <w:color w:val="000000"/>
        </w:rPr>
        <w:t xml:space="preserve">Vous savez, en </w:t>
      </w:r>
      <w:r w:rsidRPr="00F62393">
        <w:rPr>
          <w:color w:val="000000"/>
        </w:rPr>
        <w:t>tant</w:t>
      </w:r>
      <w:r>
        <w:rPr>
          <w:color w:val="000000"/>
        </w:rPr>
        <w:t xml:space="preserve"> que chef d’établissement, nous gérons souvent des situations embarrassantes lors des visites d’inspecteurs. L’année dernière, une de mes professeurs dames est sortie de son entretien avec des encadreurs en sanglots. C’était lors de son examen de certification au CAPES professionnel. Elle dit que l’inspectrice qui était la présidente du jury </w:t>
      </w:r>
      <w:proofErr w:type="gramStart"/>
      <w:r>
        <w:rPr>
          <w:color w:val="000000"/>
        </w:rPr>
        <w:t>la</w:t>
      </w:r>
      <w:proofErr w:type="gramEnd"/>
      <w:r>
        <w:rPr>
          <w:color w:val="000000"/>
        </w:rPr>
        <w:t xml:space="preserve"> copieusement insulté au point qu’à un certain moment son collègue encadreur même était gêné. Mon censeur qui est aussi une dame était obligée de l’appeler dans son bureau pour la calmer et lui remonter le moral. Je ne pense pas que cette enseignante peut encore être enthousiaste à l’idée de recevoir une visite de classe.</w:t>
      </w:r>
    </w:p>
    <w:p w14:paraId="2DC73C84" w14:textId="77777777" w:rsidR="00D80693" w:rsidRDefault="00D80693" w:rsidP="00CD045B">
      <w:pPr>
        <w:adjustRightInd w:val="0"/>
        <w:spacing w:before="120"/>
        <w:jc w:val="both"/>
        <w:rPr>
          <w:rFonts w:eastAsia="Calibri"/>
          <w:iCs/>
          <w:color w:val="000000"/>
          <w:sz w:val="24"/>
          <w:szCs w:val="24"/>
        </w:rPr>
      </w:pPr>
      <w:r w:rsidRPr="00B561A1">
        <w:rPr>
          <w:color w:val="000000"/>
          <w:sz w:val="24"/>
          <w:szCs w:val="24"/>
        </w:rPr>
        <w:t xml:space="preserve">Ces résultats corroborent ceux de l’étude de Sessouma (2020). En effet, </w:t>
      </w:r>
      <w:r w:rsidRPr="00B561A1">
        <w:rPr>
          <w:iCs/>
          <w:color w:val="000000"/>
          <w:sz w:val="24"/>
          <w:szCs w:val="24"/>
        </w:rPr>
        <w:t>l’encadreur E7 interrogé par Sessouma (2020, p.68) lors de son étude sur le refus des visites de classe par les enseignants rec</w:t>
      </w:r>
      <w:r>
        <w:rPr>
          <w:iCs/>
          <w:color w:val="000000"/>
          <w:sz w:val="24"/>
          <w:szCs w:val="24"/>
        </w:rPr>
        <w:t xml:space="preserve">onnait que certains enseignants </w:t>
      </w:r>
      <w:r w:rsidRPr="00F62393">
        <w:rPr>
          <w:iCs/>
          <w:sz w:val="24"/>
          <w:szCs w:val="24"/>
        </w:rPr>
        <w:t xml:space="preserve">refusent les </w:t>
      </w:r>
      <w:r>
        <w:rPr>
          <w:iCs/>
          <w:color w:val="000000"/>
          <w:sz w:val="24"/>
          <w:szCs w:val="24"/>
        </w:rPr>
        <w:t>visites de classe mais</w:t>
      </w:r>
      <w:r w:rsidRPr="00B561A1">
        <w:rPr>
          <w:iCs/>
          <w:color w:val="000000"/>
          <w:sz w:val="24"/>
          <w:szCs w:val="24"/>
        </w:rPr>
        <w:t xml:space="preserve"> donne une des raisons de ce refus en ces </w:t>
      </w:r>
      <w:proofErr w:type="gramStart"/>
      <w:r w:rsidRPr="00B561A1">
        <w:rPr>
          <w:iCs/>
          <w:color w:val="000000"/>
          <w:sz w:val="24"/>
          <w:szCs w:val="24"/>
        </w:rPr>
        <w:t>termes:</w:t>
      </w:r>
      <w:proofErr w:type="gramEnd"/>
      <w:r w:rsidRPr="00B561A1">
        <w:rPr>
          <w:iCs/>
          <w:color w:val="000000"/>
          <w:sz w:val="24"/>
          <w:szCs w:val="24"/>
        </w:rPr>
        <w:t xml:space="preserve"> « La guerre entre les formateurs de l'ENS et les encadreurs des régions. Par conséquent, le stagiaire ayant essuyé la foudre des contradictions entre encadreurs aura tendance à fuir les visites après la certification ». De même, les </w:t>
      </w:r>
      <w:proofErr w:type="gramStart"/>
      <w:r w:rsidRPr="00B561A1">
        <w:rPr>
          <w:iCs/>
          <w:color w:val="000000"/>
          <w:sz w:val="24"/>
          <w:szCs w:val="24"/>
        </w:rPr>
        <w:t>encadreurs  E13  et</w:t>
      </w:r>
      <w:proofErr w:type="gramEnd"/>
      <w:r w:rsidRPr="00B561A1">
        <w:rPr>
          <w:iCs/>
          <w:color w:val="000000"/>
          <w:sz w:val="24"/>
          <w:szCs w:val="24"/>
        </w:rPr>
        <w:t xml:space="preserve"> E</w:t>
      </w:r>
      <w:proofErr w:type="gramStart"/>
      <w:r w:rsidRPr="00B561A1">
        <w:rPr>
          <w:iCs/>
          <w:color w:val="000000"/>
          <w:sz w:val="24"/>
          <w:szCs w:val="24"/>
        </w:rPr>
        <w:t>12  l’admettent</w:t>
      </w:r>
      <w:proofErr w:type="gramEnd"/>
      <w:r w:rsidRPr="00B561A1">
        <w:rPr>
          <w:iCs/>
          <w:color w:val="000000"/>
          <w:sz w:val="24"/>
          <w:szCs w:val="24"/>
        </w:rPr>
        <w:t xml:space="preserve">  et le disent </w:t>
      </w:r>
      <w:proofErr w:type="gramStart"/>
      <w:r w:rsidRPr="00B561A1">
        <w:rPr>
          <w:iCs/>
          <w:color w:val="000000"/>
          <w:sz w:val="24"/>
          <w:szCs w:val="24"/>
        </w:rPr>
        <w:t>respectivement:</w:t>
      </w:r>
      <w:proofErr w:type="gramEnd"/>
      <w:r w:rsidRPr="00B561A1">
        <w:rPr>
          <w:iCs/>
          <w:color w:val="000000"/>
          <w:sz w:val="24"/>
          <w:szCs w:val="24"/>
        </w:rPr>
        <w:t xml:space="preserve"> il y a « un manque de courtoisie de la part de certains encadreurs » </w:t>
      </w:r>
      <w:proofErr w:type="gramStart"/>
      <w:r w:rsidRPr="00B561A1">
        <w:rPr>
          <w:i/>
          <w:iCs/>
          <w:color w:val="000000"/>
          <w:sz w:val="24"/>
          <w:szCs w:val="24"/>
        </w:rPr>
        <w:t xml:space="preserve">;  </w:t>
      </w:r>
      <w:r w:rsidRPr="00B561A1">
        <w:rPr>
          <w:iCs/>
          <w:color w:val="000000"/>
          <w:sz w:val="24"/>
          <w:szCs w:val="24"/>
        </w:rPr>
        <w:t>«</w:t>
      </w:r>
      <w:proofErr w:type="gramEnd"/>
      <w:r w:rsidRPr="00B561A1">
        <w:rPr>
          <w:iCs/>
          <w:color w:val="000000"/>
          <w:sz w:val="24"/>
          <w:szCs w:val="24"/>
        </w:rPr>
        <w:t xml:space="preserve"> les reproches sévères ou réprimandes faites à des enseignants</w:t>
      </w:r>
      <w:r w:rsidRPr="00A30DFA">
        <w:rPr>
          <w:iCs/>
          <w:color w:val="000000"/>
          <w:sz w:val="24"/>
          <w:szCs w:val="24"/>
        </w:rPr>
        <w:t xml:space="preserve"> par les encadreurs amènent des enseignants à ne plus vouloir sentir un encadreur dans sa classe </w:t>
      </w:r>
      <w:r>
        <w:rPr>
          <w:iCs/>
          <w:color w:val="000000"/>
          <w:sz w:val="24"/>
          <w:szCs w:val="24"/>
        </w:rPr>
        <w:t>(p.</w:t>
      </w:r>
      <w:r>
        <w:rPr>
          <w:iCs/>
          <w:color w:val="000000"/>
          <w:sz w:val="24"/>
          <w:szCs w:val="24"/>
        </w:rPr>
        <w:softHyphen/>
      </w:r>
      <w:r>
        <w:rPr>
          <w:iCs/>
          <w:color w:val="000000"/>
          <w:sz w:val="24"/>
          <w:szCs w:val="24"/>
        </w:rPr>
        <w:softHyphen/>
        <w:t>67</w:t>
      </w:r>
      <w:proofErr w:type="gramStart"/>
      <w:r>
        <w:rPr>
          <w:iCs/>
          <w:color w:val="000000"/>
          <w:sz w:val="24"/>
          <w:szCs w:val="24"/>
        </w:rPr>
        <w:t>)</w:t>
      </w:r>
      <w:r w:rsidRPr="00A30DFA">
        <w:rPr>
          <w:iCs/>
          <w:color w:val="000000"/>
          <w:sz w:val="24"/>
          <w:szCs w:val="24"/>
        </w:rPr>
        <w:t>»</w:t>
      </w:r>
      <w:proofErr w:type="gramEnd"/>
      <w:r w:rsidRPr="00A30DFA">
        <w:rPr>
          <w:iCs/>
          <w:color w:val="000000"/>
          <w:sz w:val="24"/>
          <w:szCs w:val="24"/>
        </w:rPr>
        <w:t>.</w:t>
      </w:r>
    </w:p>
    <w:p w14:paraId="4F695EBB" w14:textId="77777777" w:rsidR="00D80693" w:rsidRPr="00A30DFA" w:rsidRDefault="00D80693" w:rsidP="00CD045B">
      <w:pPr>
        <w:adjustRightInd w:val="0"/>
        <w:spacing w:before="120"/>
        <w:jc w:val="both"/>
        <w:rPr>
          <w:rFonts w:eastAsia="Calibri"/>
          <w:iCs/>
          <w:color w:val="000000"/>
          <w:sz w:val="24"/>
          <w:szCs w:val="24"/>
        </w:rPr>
      </w:pPr>
      <w:r>
        <w:rPr>
          <w:iCs/>
          <w:color w:val="000000"/>
          <w:sz w:val="24"/>
          <w:szCs w:val="24"/>
        </w:rPr>
        <w:t>Ces témoignages insistent sur les visites de classe pour la simple raison qu’elles sont les activités d’encadrement pédagogique les plus fréquentes et où les encadreurs entrent en contact direct avec les enseignants et travaillent avec eux de façon individuelle à travers l’observation des cours et des entretiens.</w:t>
      </w:r>
    </w:p>
    <w:p w14:paraId="538FB86C" w14:textId="4BCCEAF9" w:rsidR="00D80693" w:rsidRPr="008C0432" w:rsidRDefault="00D80693" w:rsidP="00CD045B">
      <w:pPr>
        <w:adjustRightInd w:val="0"/>
        <w:spacing w:before="120"/>
        <w:jc w:val="both"/>
        <w:rPr>
          <w:rFonts w:eastAsia="Calibri"/>
          <w:b/>
          <w:color w:val="000000"/>
          <w:sz w:val="24"/>
          <w:szCs w:val="24"/>
        </w:rPr>
      </w:pPr>
      <w:r w:rsidRPr="008C0432">
        <w:rPr>
          <w:b/>
          <w:color w:val="000000"/>
          <w:sz w:val="24"/>
          <w:szCs w:val="24"/>
        </w:rPr>
        <w:t xml:space="preserve">3.2. L’impact négatif des contraintes psychosociales sur </w:t>
      </w:r>
      <w:r w:rsidR="008F0E54" w:rsidRPr="008C0432">
        <w:rPr>
          <w:b/>
          <w:color w:val="000000"/>
          <w:sz w:val="24"/>
          <w:szCs w:val="24"/>
        </w:rPr>
        <w:t>la qualité</w:t>
      </w:r>
      <w:r w:rsidRPr="008C0432">
        <w:rPr>
          <w:b/>
          <w:color w:val="000000"/>
          <w:sz w:val="24"/>
          <w:szCs w:val="24"/>
        </w:rPr>
        <w:t xml:space="preserve"> de l’encadrement pédagogique</w:t>
      </w:r>
    </w:p>
    <w:p w14:paraId="4BA2EDF6" w14:textId="77777777" w:rsidR="00D80693" w:rsidRDefault="00D80693" w:rsidP="00CD045B">
      <w:pPr>
        <w:adjustRightInd w:val="0"/>
        <w:spacing w:before="120"/>
        <w:jc w:val="both"/>
        <w:rPr>
          <w:color w:val="000000"/>
          <w:sz w:val="24"/>
          <w:szCs w:val="24"/>
        </w:rPr>
      </w:pPr>
      <w:r>
        <w:rPr>
          <w:color w:val="000000"/>
          <w:sz w:val="24"/>
          <w:szCs w:val="24"/>
        </w:rPr>
        <w:t>Le tableau n°2 ci-dessous présente les aspects pédagogiques sur lesquels les contraintes psychosociales pourraient impacter négativement.</w:t>
      </w:r>
    </w:p>
    <w:p w14:paraId="533E59BE" w14:textId="77777777" w:rsidR="008F0E54" w:rsidRDefault="008F0E54" w:rsidP="00CD045B">
      <w:pPr>
        <w:adjustRightInd w:val="0"/>
        <w:spacing w:before="120"/>
        <w:jc w:val="both"/>
        <w:rPr>
          <w:color w:val="000000"/>
          <w:sz w:val="24"/>
          <w:szCs w:val="24"/>
        </w:rPr>
      </w:pPr>
    </w:p>
    <w:p w14:paraId="2A8F33A6" w14:textId="77777777" w:rsidR="008F0E54" w:rsidRPr="008F0E54" w:rsidRDefault="008F0E54" w:rsidP="00D80693">
      <w:pPr>
        <w:widowControl/>
        <w:numPr>
          <w:ilvl w:val="0"/>
          <w:numId w:val="147"/>
        </w:numPr>
        <w:adjustRightInd w:val="0"/>
        <w:spacing w:line="360" w:lineRule="auto"/>
        <w:jc w:val="center"/>
        <w:rPr>
          <w:rFonts w:eastAsia="Calibri"/>
          <w:b/>
          <w:i/>
          <w:color w:val="000000"/>
        </w:rPr>
      </w:pPr>
    </w:p>
    <w:p w14:paraId="448FD155" w14:textId="1458B7C8" w:rsidR="00D80693" w:rsidRPr="00606144" w:rsidRDefault="00D80693" w:rsidP="00D80693">
      <w:pPr>
        <w:widowControl/>
        <w:numPr>
          <w:ilvl w:val="0"/>
          <w:numId w:val="147"/>
        </w:numPr>
        <w:adjustRightInd w:val="0"/>
        <w:spacing w:line="360" w:lineRule="auto"/>
        <w:jc w:val="center"/>
        <w:rPr>
          <w:rFonts w:eastAsia="Calibri"/>
          <w:b/>
          <w:i/>
          <w:color w:val="000000"/>
        </w:rPr>
      </w:pPr>
      <w:r w:rsidRPr="00606144">
        <w:rPr>
          <w:b/>
          <w:i/>
          <w:color w:val="000000"/>
        </w:rPr>
        <w:t>Tableau n°2 : Aspects impactés par les contraintes psychosociales d’encadrement</w:t>
      </w:r>
    </w:p>
    <w:tbl>
      <w:tblPr>
        <w:tblStyle w:val="TableGrid1"/>
        <w:tblW w:w="9558" w:type="dxa"/>
        <w:tblLook w:val="04A0" w:firstRow="1" w:lastRow="0" w:firstColumn="1" w:lastColumn="0" w:noHBand="0" w:noVBand="1"/>
      </w:tblPr>
      <w:tblGrid>
        <w:gridCol w:w="4180"/>
        <w:gridCol w:w="1723"/>
        <w:gridCol w:w="964"/>
        <w:gridCol w:w="1603"/>
        <w:gridCol w:w="1088"/>
      </w:tblGrid>
      <w:tr w:rsidR="00D80693" w14:paraId="730F3B80" w14:textId="77777777" w:rsidTr="00D72320">
        <w:trPr>
          <w:trHeight w:val="475"/>
        </w:trPr>
        <w:tc>
          <w:tcPr>
            <w:tcW w:w="4608" w:type="dxa"/>
            <w:vMerge w:val="restart"/>
          </w:tcPr>
          <w:p w14:paraId="5C5E70FC" w14:textId="77777777" w:rsidR="00D80693" w:rsidRPr="00F510B3" w:rsidRDefault="00D80693" w:rsidP="00D72320">
            <w:pPr>
              <w:autoSpaceDE w:val="0"/>
              <w:autoSpaceDN w:val="0"/>
              <w:adjustRightInd w:val="0"/>
              <w:spacing w:line="360" w:lineRule="auto"/>
              <w:jc w:val="both"/>
              <w:rPr>
                <w:b/>
                <w:color w:val="000000"/>
                <w:sz w:val="24"/>
                <w:szCs w:val="24"/>
              </w:rPr>
            </w:pPr>
            <w:r w:rsidRPr="00F510B3">
              <w:rPr>
                <w:rFonts w:eastAsiaTheme="minorHAnsi"/>
                <w:b/>
                <w:color w:val="000000"/>
                <w:sz w:val="24"/>
                <w:szCs w:val="24"/>
              </w:rPr>
              <w:t>Aspects impactés par les contraintes psychosociales</w:t>
            </w:r>
          </w:p>
        </w:tc>
        <w:tc>
          <w:tcPr>
            <w:tcW w:w="2520" w:type="dxa"/>
            <w:gridSpan w:val="2"/>
          </w:tcPr>
          <w:p w14:paraId="2E215BD9" w14:textId="77777777" w:rsidR="00D80693" w:rsidRPr="00F510B3" w:rsidRDefault="00D80693" w:rsidP="00D72320">
            <w:pPr>
              <w:autoSpaceDE w:val="0"/>
              <w:autoSpaceDN w:val="0"/>
              <w:adjustRightInd w:val="0"/>
              <w:spacing w:line="360" w:lineRule="auto"/>
              <w:jc w:val="both"/>
              <w:rPr>
                <w:b/>
                <w:color w:val="000000"/>
                <w:sz w:val="24"/>
                <w:szCs w:val="24"/>
              </w:rPr>
            </w:pPr>
            <w:r w:rsidRPr="00F510B3">
              <w:rPr>
                <w:rFonts w:eastAsiaTheme="minorHAnsi"/>
                <w:b/>
                <w:color w:val="000000"/>
                <w:sz w:val="24"/>
                <w:szCs w:val="24"/>
              </w:rPr>
              <w:t>Enseignants</w:t>
            </w:r>
          </w:p>
        </w:tc>
        <w:tc>
          <w:tcPr>
            <w:tcW w:w="2430" w:type="dxa"/>
            <w:gridSpan w:val="2"/>
          </w:tcPr>
          <w:p w14:paraId="50CD67AD" w14:textId="77777777" w:rsidR="00D80693" w:rsidRPr="00F510B3" w:rsidRDefault="00D80693" w:rsidP="00D72320">
            <w:pPr>
              <w:autoSpaceDE w:val="0"/>
              <w:autoSpaceDN w:val="0"/>
              <w:adjustRightInd w:val="0"/>
              <w:spacing w:line="360" w:lineRule="auto"/>
              <w:jc w:val="both"/>
              <w:rPr>
                <w:b/>
                <w:color w:val="000000"/>
                <w:sz w:val="24"/>
                <w:szCs w:val="24"/>
              </w:rPr>
            </w:pPr>
            <w:r w:rsidRPr="00F510B3">
              <w:rPr>
                <w:rFonts w:eastAsiaTheme="minorHAnsi"/>
                <w:b/>
                <w:color w:val="000000"/>
                <w:sz w:val="24"/>
                <w:szCs w:val="24"/>
              </w:rPr>
              <w:t>Encadreurs</w:t>
            </w:r>
          </w:p>
        </w:tc>
      </w:tr>
      <w:tr w:rsidR="00D80693" w14:paraId="535D0E09" w14:textId="77777777" w:rsidTr="00D72320">
        <w:trPr>
          <w:trHeight w:val="351"/>
        </w:trPr>
        <w:tc>
          <w:tcPr>
            <w:tcW w:w="4608" w:type="dxa"/>
            <w:vMerge/>
          </w:tcPr>
          <w:p w14:paraId="2A6A8DAB" w14:textId="77777777" w:rsidR="00D80693" w:rsidRDefault="00D80693" w:rsidP="00D72320">
            <w:pPr>
              <w:autoSpaceDE w:val="0"/>
              <w:autoSpaceDN w:val="0"/>
              <w:adjustRightInd w:val="0"/>
              <w:spacing w:line="360" w:lineRule="auto"/>
              <w:jc w:val="both"/>
              <w:rPr>
                <w:color w:val="000000"/>
                <w:sz w:val="24"/>
                <w:szCs w:val="24"/>
              </w:rPr>
            </w:pPr>
          </w:p>
        </w:tc>
        <w:tc>
          <w:tcPr>
            <w:tcW w:w="1530" w:type="dxa"/>
          </w:tcPr>
          <w:p w14:paraId="54C9AFD0" w14:textId="77777777" w:rsidR="00D80693" w:rsidRPr="00F510B3" w:rsidRDefault="00D80693" w:rsidP="00D72320">
            <w:pPr>
              <w:autoSpaceDE w:val="0"/>
              <w:autoSpaceDN w:val="0"/>
              <w:adjustRightInd w:val="0"/>
              <w:spacing w:line="360" w:lineRule="auto"/>
              <w:jc w:val="both"/>
              <w:rPr>
                <w:b/>
                <w:color w:val="000000"/>
                <w:sz w:val="24"/>
                <w:szCs w:val="24"/>
              </w:rPr>
            </w:pPr>
            <w:r w:rsidRPr="00F510B3">
              <w:rPr>
                <w:rFonts w:eastAsiaTheme="minorHAnsi"/>
                <w:b/>
                <w:color w:val="000000"/>
                <w:sz w:val="24"/>
                <w:szCs w:val="24"/>
              </w:rPr>
              <w:t>Fréquence/150</w:t>
            </w:r>
          </w:p>
        </w:tc>
        <w:tc>
          <w:tcPr>
            <w:tcW w:w="990" w:type="dxa"/>
          </w:tcPr>
          <w:p w14:paraId="586A9E78" w14:textId="77777777" w:rsidR="00D80693" w:rsidRPr="00F510B3" w:rsidRDefault="00D80693" w:rsidP="00D72320">
            <w:pPr>
              <w:autoSpaceDE w:val="0"/>
              <w:autoSpaceDN w:val="0"/>
              <w:adjustRightInd w:val="0"/>
              <w:spacing w:line="360" w:lineRule="auto"/>
              <w:ind w:left="355"/>
              <w:jc w:val="both"/>
              <w:rPr>
                <w:b/>
                <w:color w:val="000000"/>
                <w:sz w:val="24"/>
                <w:szCs w:val="24"/>
              </w:rPr>
            </w:pPr>
            <w:r w:rsidRPr="00F510B3">
              <w:rPr>
                <w:rFonts w:eastAsiaTheme="minorHAnsi"/>
                <w:b/>
                <w:color w:val="000000"/>
                <w:sz w:val="24"/>
                <w:szCs w:val="24"/>
              </w:rPr>
              <w:t>%</w:t>
            </w:r>
          </w:p>
        </w:tc>
        <w:tc>
          <w:tcPr>
            <w:tcW w:w="1350" w:type="dxa"/>
          </w:tcPr>
          <w:p w14:paraId="0D4E4E9E" w14:textId="77777777" w:rsidR="00D80693" w:rsidRPr="00F510B3" w:rsidRDefault="00D80693" w:rsidP="00D72320">
            <w:pPr>
              <w:autoSpaceDE w:val="0"/>
              <w:autoSpaceDN w:val="0"/>
              <w:adjustRightInd w:val="0"/>
              <w:spacing w:line="360" w:lineRule="auto"/>
              <w:jc w:val="both"/>
              <w:rPr>
                <w:b/>
                <w:color w:val="000000"/>
                <w:sz w:val="24"/>
                <w:szCs w:val="24"/>
              </w:rPr>
            </w:pPr>
            <w:r w:rsidRPr="00F510B3">
              <w:rPr>
                <w:rFonts w:eastAsiaTheme="minorHAnsi"/>
                <w:b/>
                <w:color w:val="000000"/>
                <w:sz w:val="24"/>
                <w:szCs w:val="24"/>
              </w:rPr>
              <w:t>Fréquence/60</w:t>
            </w:r>
          </w:p>
        </w:tc>
        <w:tc>
          <w:tcPr>
            <w:tcW w:w="1080" w:type="dxa"/>
          </w:tcPr>
          <w:p w14:paraId="102AC1E4" w14:textId="77777777" w:rsidR="00D80693" w:rsidRPr="00F510B3" w:rsidRDefault="00D80693" w:rsidP="00D72320">
            <w:pPr>
              <w:autoSpaceDE w:val="0"/>
              <w:autoSpaceDN w:val="0"/>
              <w:adjustRightInd w:val="0"/>
              <w:spacing w:line="360" w:lineRule="auto"/>
              <w:ind w:left="631"/>
              <w:jc w:val="both"/>
              <w:rPr>
                <w:b/>
                <w:color w:val="000000"/>
                <w:sz w:val="24"/>
                <w:szCs w:val="24"/>
              </w:rPr>
            </w:pPr>
            <w:r w:rsidRPr="00F510B3">
              <w:rPr>
                <w:rFonts w:eastAsiaTheme="minorHAnsi"/>
                <w:b/>
                <w:color w:val="000000"/>
                <w:sz w:val="24"/>
                <w:szCs w:val="24"/>
              </w:rPr>
              <w:t>%</w:t>
            </w:r>
          </w:p>
        </w:tc>
      </w:tr>
      <w:tr w:rsidR="00D80693" w14:paraId="45E0997A" w14:textId="77777777" w:rsidTr="00D72320">
        <w:tc>
          <w:tcPr>
            <w:tcW w:w="4608" w:type="dxa"/>
          </w:tcPr>
          <w:p w14:paraId="33F050AD"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L’usage continu des méthodes traditionnelles</w:t>
            </w:r>
          </w:p>
        </w:tc>
        <w:tc>
          <w:tcPr>
            <w:tcW w:w="1530" w:type="dxa"/>
          </w:tcPr>
          <w:p w14:paraId="2553DBC9"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123</w:t>
            </w:r>
          </w:p>
        </w:tc>
        <w:tc>
          <w:tcPr>
            <w:tcW w:w="990" w:type="dxa"/>
          </w:tcPr>
          <w:p w14:paraId="1D2366D1"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82 %</w:t>
            </w:r>
          </w:p>
        </w:tc>
        <w:tc>
          <w:tcPr>
            <w:tcW w:w="1350" w:type="dxa"/>
          </w:tcPr>
          <w:p w14:paraId="722C2DA0"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58</w:t>
            </w:r>
          </w:p>
        </w:tc>
        <w:tc>
          <w:tcPr>
            <w:tcW w:w="1080" w:type="dxa"/>
          </w:tcPr>
          <w:p w14:paraId="23DF3AD4"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97 %</w:t>
            </w:r>
          </w:p>
        </w:tc>
      </w:tr>
      <w:tr w:rsidR="00D80693" w14:paraId="72F30D70" w14:textId="77777777" w:rsidTr="00D72320">
        <w:tc>
          <w:tcPr>
            <w:tcW w:w="4608" w:type="dxa"/>
          </w:tcPr>
          <w:p w14:paraId="546CBB94"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La baisse de la qualité des enseignements-apprentissages</w:t>
            </w:r>
          </w:p>
        </w:tc>
        <w:tc>
          <w:tcPr>
            <w:tcW w:w="1530" w:type="dxa"/>
          </w:tcPr>
          <w:p w14:paraId="6A6509EF"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70</w:t>
            </w:r>
          </w:p>
        </w:tc>
        <w:tc>
          <w:tcPr>
            <w:tcW w:w="990" w:type="dxa"/>
          </w:tcPr>
          <w:p w14:paraId="413B089D"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47 %</w:t>
            </w:r>
          </w:p>
        </w:tc>
        <w:tc>
          <w:tcPr>
            <w:tcW w:w="1350" w:type="dxa"/>
          </w:tcPr>
          <w:p w14:paraId="10C6535E"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49</w:t>
            </w:r>
          </w:p>
        </w:tc>
        <w:tc>
          <w:tcPr>
            <w:tcW w:w="1080" w:type="dxa"/>
          </w:tcPr>
          <w:p w14:paraId="2378F8F1"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82 %</w:t>
            </w:r>
          </w:p>
        </w:tc>
      </w:tr>
      <w:tr w:rsidR="00D80693" w14:paraId="1435AC34" w14:textId="77777777" w:rsidTr="00D72320">
        <w:tc>
          <w:tcPr>
            <w:tcW w:w="4608" w:type="dxa"/>
          </w:tcPr>
          <w:p w14:paraId="7157845C"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Les visites de classe sans apport de connaissance conséquent aux enseignants</w:t>
            </w:r>
          </w:p>
        </w:tc>
        <w:tc>
          <w:tcPr>
            <w:tcW w:w="1530" w:type="dxa"/>
          </w:tcPr>
          <w:p w14:paraId="457DB53B"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97</w:t>
            </w:r>
          </w:p>
        </w:tc>
        <w:tc>
          <w:tcPr>
            <w:tcW w:w="990" w:type="dxa"/>
          </w:tcPr>
          <w:p w14:paraId="029E835C"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65 %</w:t>
            </w:r>
          </w:p>
        </w:tc>
        <w:tc>
          <w:tcPr>
            <w:tcW w:w="1350" w:type="dxa"/>
          </w:tcPr>
          <w:p w14:paraId="16221B9E"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 xml:space="preserve"> 17</w:t>
            </w:r>
          </w:p>
        </w:tc>
        <w:tc>
          <w:tcPr>
            <w:tcW w:w="1080" w:type="dxa"/>
          </w:tcPr>
          <w:p w14:paraId="358A42E9" w14:textId="77777777" w:rsidR="00D80693" w:rsidRDefault="00D80693" w:rsidP="00D72320">
            <w:pPr>
              <w:autoSpaceDE w:val="0"/>
              <w:autoSpaceDN w:val="0"/>
              <w:adjustRightInd w:val="0"/>
              <w:spacing w:line="360" w:lineRule="auto"/>
              <w:jc w:val="both"/>
              <w:rPr>
                <w:color w:val="000000"/>
                <w:sz w:val="24"/>
                <w:szCs w:val="24"/>
              </w:rPr>
            </w:pPr>
            <w:r>
              <w:rPr>
                <w:rFonts w:eastAsiaTheme="minorHAnsi"/>
                <w:color w:val="000000"/>
                <w:sz w:val="24"/>
                <w:szCs w:val="24"/>
              </w:rPr>
              <w:t>28 %</w:t>
            </w:r>
          </w:p>
        </w:tc>
      </w:tr>
    </w:tbl>
    <w:p w14:paraId="6A1C0C46" w14:textId="77777777" w:rsidR="00D80693" w:rsidRPr="008F0E54" w:rsidRDefault="00D80693" w:rsidP="00D80693">
      <w:pPr>
        <w:adjustRightInd w:val="0"/>
        <w:spacing w:line="360" w:lineRule="auto"/>
        <w:jc w:val="both"/>
        <w:rPr>
          <w:rFonts w:eastAsia="Calibri"/>
          <w:b/>
          <w:bCs/>
          <w:i/>
          <w:color w:val="000000"/>
        </w:rPr>
      </w:pPr>
      <w:r w:rsidRPr="008F0E54">
        <w:rPr>
          <w:b/>
          <w:bCs/>
          <w:i/>
          <w:color w:val="000000"/>
        </w:rPr>
        <w:t>Source : enquête de terrain de février-avril 2025</w:t>
      </w:r>
    </w:p>
    <w:p w14:paraId="510FBAE9" w14:textId="77777777" w:rsidR="00D80693" w:rsidRDefault="00D80693" w:rsidP="00CD045B">
      <w:pPr>
        <w:adjustRightInd w:val="0"/>
        <w:spacing w:before="120" w:after="120"/>
        <w:jc w:val="both"/>
        <w:rPr>
          <w:rFonts w:eastAsia="Calibri"/>
          <w:color w:val="000000"/>
          <w:sz w:val="24"/>
          <w:szCs w:val="24"/>
        </w:rPr>
      </w:pPr>
      <w:r w:rsidRPr="00204568">
        <w:rPr>
          <w:color w:val="000000"/>
          <w:sz w:val="24"/>
          <w:szCs w:val="24"/>
        </w:rPr>
        <w:t>Le tableau n°2 indique que les enseignants et les encadreurs du post-primaire et secondaire de la région du Centre reconnaissent à des degrés divers que les contraintes psychosociales impactent négativement l’usage continu des méthodes traditionnelles par les enseignants, la baisse de la qualité des enseignements-apprentissages et les visites de classe sans apport de connaissance aux enseignants.</w:t>
      </w:r>
    </w:p>
    <w:p w14:paraId="6382628C" w14:textId="77777777" w:rsidR="00D80693" w:rsidRPr="00981957" w:rsidRDefault="00D80693" w:rsidP="00CD045B">
      <w:pPr>
        <w:adjustRightInd w:val="0"/>
        <w:spacing w:before="120"/>
        <w:jc w:val="both"/>
        <w:rPr>
          <w:rFonts w:eastAsia="Calibri"/>
          <w:b/>
          <w:i/>
          <w:color w:val="000000"/>
          <w:sz w:val="24"/>
          <w:szCs w:val="24"/>
        </w:rPr>
      </w:pPr>
      <w:r w:rsidRPr="00981957">
        <w:rPr>
          <w:b/>
          <w:i/>
          <w:color w:val="000000"/>
          <w:sz w:val="24"/>
          <w:szCs w:val="24"/>
        </w:rPr>
        <w:t>3.2.1. L’impact des contraintes du point de vue des enseignants</w:t>
      </w:r>
    </w:p>
    <w:p w14:paraId="1C0B6FE6" w14:textId="7C49A83C" w:rsidR="00D80693" w:rsidRDefault="00D80693" w:rsidP="00CD045B">
      <w:pPr>
        <w:adjustRightInd w:val="0"/>
        <w:spacing w:before="120" w:after="120"/>
        <w:jc w:val="both"/>
        <w:rPr>
          <w:rFonts w:eastAsia="Calibri"/>
          <w:color w:val="000000"/>
          <w:sz w:val="24"/>
          <w:szCs w:val="24"/>
        </w:rPr>
      </w:pPr>
      <w:r w:rsidRPr="008C0432">
        <w:rPr>
          <w:color w:val="000000"/>
          <w:sz w:val="24"/>
          <w:szCs w:val="24"/>
        </w:rPr>
        <w:t>Une proportion de 82% des enquêtés pensent</w:t>
      </w:r>
      <w:r>
        <w:rPr>
          <w:color w:val="000000"/>
          <w:sz w:val="24"/>
          <w:szCs w:val="24"/>
        </w:rPr>
        <w:t xml:space="preserve"> que les contraintes psychosociales d’encadrement pédagogique</w:t>
      </w:r>
      <w:r w:rsidRPr="008C0432">
        <w:rPr>
          <w:color w:val="000000"/>
          <w:sz w:val="24"/>
          <w:szCs w:val="24"/>
        </w:rPr>
        <w:t xml:space="preserve"> </w:t>
      </w:r>
      <w:r w:rsidR="006C61DE" w:rsidRPr="008C0432">
        <w:rPr>
          <w:color w:val="000000"/>
          <w:sz w:val="24"/>
          <w:szCs w:val="24"/>
        </w:rPr>
        <w:t>entraînent</w:t>
      </w:r>
      <w:r w:rsidRPr="008C0432">
        <w:rPr>
          <w:color w:val="000000"/>
          <w:sz w:val="24"/>
          <w:szCs w:val="24"/>
        </w:rPr>
        <w:t xml:space="preserve"> l’usage continu des méthodes traditionnelles dans les classes. </w:t>
      </w:r>
      <w:r>
        <w:rPr>
          <w:color w:val="000000"/>
          <w:sz w:val="24"/>
          <w:szCs w:val="24"/>
        </w:rPr>
        <w:t xml:space="preserve">L’un des enseignants enquêtés (D10) le reconnait : </w:t>
      </w:r>
    </w:p>
    <w:p w14:paraId="7DD098A0" w14:textId="1E8D617E" w:rsidR="00D80693" w:rsidRPr="00597F7A" w:rsidRDefault="00D80693" w:rsidP="00CD045B">
      <w:pPr>
        <w:adjustRightInd w:val="0"/>
        <w:spacing w:before="120" w:after="120"/>
        <w:ind w:left="567" w:right="567"/>
        <w:jc w:val="both"/>
        <w:rPr>
          <w:rFonts w:eastAsia="Calibri"/>
          <w:color w:val="000000"/>
        </w:rPr>
      </w:pPr>
      <w:r w:rsidRPr="00597F7A">
        <w:rPr>
          <w:color w:val="000000"/>
        </w:rPr>
        <w:t xml:space="preserve">La visite de classe permet à l’enseignant de replonger dans certains cours théoriques sur la pédagogie et la didactique de sa discipline. Rien que </w:t>
      </w:r>
      <w:r>
        <w:rPr>
          <w:color w:val="000000"/>
        </w:rPr>
        <w:t xml:space="preserve">cela lui permet de se remémorer </w:t>
      </w:r>
      <w:r w:rsidRPr="00597F7A">
        <w:rPr>
          <w:color w:val="000000"/>
        </w:rPr>
        <w:t xml:space="preserve">certains </w:t>
      </w:r>
      <w:r w:rsidR="006C61DE" w:rsidRPr="00597F7A">
        <w:rPr>
          <w:color w:val="000000"/>
        </w:rPr>
        <w:t>aspects de</w:t>
      </w:r>
      <w:r w:rsidRPr="00597F7A">
        <w:rPr>
          <w:color w:val="000000"/>
        </w:rPr>
        <w:t xml:space="preserve"> son travail pour les améliorer. Mais un </w:t>
      </w:r>
      <w:r w:rsidR="006C61DE" w:rsidRPr="00597F7A">
        <w:rPr>
          <w:color w:val="000000"/>
        </w:rPr>
        <w:t xml:space="preserve">enseignant </w:t>
      </w:r>
      <w:r w:rsidR="006C61DE">
        <w:rPr>
          <w:color w:val="000000"/>
        </w:rPr>
        <w:t>qui</w:t>
      </w:r>
      <w:r>
        <w:rPr>
          <w:color w:val="000000"/>
        </w:rPr>
        <w:t xml:space="preserve"> </w:t>
      </w:r>
      <w:r w:rsidRPr="00597F7A">
        <w:rPr>
          <w:color w:val="000000"/>
        </w:rPr>
        <w:t>ne veut pas qu’un encadreur lui rende visite, n’est pas prêt à ce travail de fouille et à se remettre en cause. Il ne peut donc que continuer d’enseigner comme bon lui semble.</w:t>
      </w:r>
    </w:p>
    <w:p w14:paraId="467C3CAB" w14:textId="77777777" w:rsidR="00D80693" w:rsidRPr="00F62393" w:rsidRDefault="00D80693" w:rsidP="00CD045B">
      <w:pPr>
        <w:adjustRightInd w:val="0"/>
        <w:spacing w:before="120" w:after="120"/>
        <w:jc w:val="both"/>
        <w:rPr>
          <w:rFonts w:eastAsia="Calibri"/>
          <w:sz w:val="24"/>
          <w:szCs w:val="24"/>
        </w:rPr>
      </w:pPr>
      <w:r w:rsidRPr="008C0432">
        <w:rPr>
          <w:color w:val="000000"/>
          <w:sz w:val="24"/>
          <w:szCs w:val="24"/>
        </w:rPr>
        <w:t>Alors, l’on ne peut s’empêcher de faire le lien entre l’usage continu des méthodes traditionnelles et le refus des visites de classe qui est l’une des contraintes psycho-sociales.</w:t>
      </w:r>
      <w:r>
        <w:rPr>
          <w:color w:val="000000"/>
          <w:sz w:val="24"/>
          <w:szCs w:val="24"/>
        </w:rPr>
        <w:t xml:space="preserve"> D’ailleurs, Sessouma (2020</w:t>
      </w:r>
      <w:r w:rsidRPr="008C0432">
        <w:rPr>
          <w:color w:val="000000"/>
          <w:sz w:val="24"/>
          <w:szCs w:val="24"/>
        </w:rPr>
        <w:t>) e</w:t>
      </w:r>
      <w:r>
        <w:rPr>
          <w:color w:val="000000"/>
          <w:sz w:val="24"/>
          <w:szCs w:val="24"/>
        </w:rPr>
        <w:t>st de cet avis lorsqu’il affirme</w:t>
      </w:r>
      <w:r w:rsidRPr="008C0432">
        <w:rPr>
          <w:color w:val="000000"/>
          <w:sz w:val="24"/>
          <w:szCs w:val="24"/>
        </w:rPr>
        <w:t xml:space="preserve"> :</w:t>
      </w:r>
      <w:r>
        <w:rPr>
          <w:color w:val="000000"/>
          <w:sz w:val="24"/>
          <w:szCs w:val="24"/>
        </w:rPr>
        <w:t xml:space="preserve"> </w:t>
      </w:r>
      <w:r w:rsidRPr="002340B6">
        <w:rPr>
          <w:color w:val="000000"/>
          <w:sz w:val="24"/>
          <w:szCs w:val="24"/>
        </w:rPr>
        <w:t xml:space="preserve">Sessouma (2020, p.57) </w:t>
      </w:r>
      <w:r w:rsidRPr="00F62393">
        <w:rPr>
          <w:sz w:val="24"/>
          <w:szCs w:val="24"/>
        </w:rPr>
        <w:t xml:space="preserve">est de cet avis lorsqu’il affirme : </w:t>
      </w:r>
    </w:p>
    <w:p w14:paraId="2730406B" w14:textId="77777777" w:rsidR="00D80693" w:rsidRPr="00597F7A" w:rsidRDefault="00D80693" w:rsidP="00CD045B">
      <w:pPr>
        <w:adjustRightInd w:val="0"/>
        <w:spacing w:before="120" w:after="120"/>
        <w:ind w:left="567" w:right="567"/>
        <w:jc w:val="both"/>
        <w:rPr>
          <w:rFonts w:eastAsia="Calibri"/>
          <w:color w:val="000000"/>
        </w:rPr>
      </w:pPr>
      <w:r w:rsidRPr="00597F7A">
        <w:rPr>
          <w:iCs/>
          <w:color w:val="000000"/>
        </w:rPr>
        <w:t>Ainsi, la première conséquence du refus des visites de classe par les enseignants est l’usage de la pédagogie traditionnelle. En moyenne, 97,75</w:t>
      </w:r>
      <w:r>
        <w:rPr>
          <w:iCs/>
          <w:color w:val="000000"/>
        </w:rPr>
        <w:t xml:space="preserve"> </w:t>
      </w:r>
      <w:r w:rsidRPr="00597F7A">
        <w:rPr>
          <w:iCs/>
          <w:color w:val="000000"/>
        </w:rPr>
        <w:t>% des enseignants ont approuvé cette conséquence soit 100</w:t>
      </w:r>
      <w:r>
        <w:rPr>
          <w:iCs/>
          <w:color w:val="000000"/>
        </w:rPr>
        <w:t xml:space="preserve"> </w:t>
      </w:r>
      <w:r w:rsidRPr="00597F7A">
        <w:rPr>
          <w:iCs/>
          <w:color w:val="000000"/>
        </w:rPr>
        <w:t>% des enseignants du privé et 95,5</w:t>
      </w:r>
      <w:r>
        <w:rPr>
          <w:iCs/>
          <w:color w:val="000000"/>
        </w:rPr>
        <w:t xml:space="preserve"> </w:t>
      </w:r>
      <w:r w:rsidRPr="00597F7A">
        <w:rPr>
          <w:iCs/>
          <w:color w:val="000000"/>
        </w:rPr>
        <w:t>% de ceux du public. En refusant une visite de classe, l’enseignant rate une occasion d’utiliser une méthode moderne devant les encadreurs et de bénéficier de conseils (Sessouma, 2020, p.57</w:t>
      </w:r>
      <w:r w:rsidRPr="00597F7A">
        <w:rPr>
          <w:color w:val="000000"/>
        </w:rPr>
        <w:t xml:space="preserve">. </w:t>
      </w:r>
    </w:p>
    <w:p w14:paraId="0124099D" w14:textId="77777777" w:rsidR="00D80693" w:rsidRDefault="00D80693" w:rsidP="00CD045B">
      <w:pPr>
        <w:adjustRightInd w:val="0"/>
        <w:spacing w:before="120" w:after="120"/>
        <w:jc w:val="both"/>
        <w:rPr>
          <w:rFonts w:eastAsia="Calibri"/>
          <w:color w:val="000000"/>
          <w:sz w:val="24"/>
          <w:szCs w:val="24"/>
        </w:rPr>
      </w:pPr>
      <w:r>
        <w:rPr>
          <w:color w:val="000000"/>
          <w:sz w:val="24"/>
          <w:szCs w:val="24"/>
        </w:rPr>
        <w:t>Dans la même veine, un responsable administratif (F1</w:t>
      </w:r>
      <w:proofErr w:type="gramStart"/>
      <w:r>
        <w:rPr>
          <w:color w:val="000000"/>
          <w:sz w:val="24"/>
          <w:szCs w:val="24"/>
        </w:rPr>
        <w:t>)  d’une</w:t>
      </w:r>
      <w:proofErr w:type="gramEnd"/>
      <w:r>
        <w:rPr>
          <w:color w:val="000000"/>
          <w:sz w:val="24"/>
          <w:szCs w:val="24"/>
        </w:rPr>
        <w:t xml:space="preserve"> structure déconcentrée du MESFPT que nous avons </w:t>
      </w:r>
      <w:proofErr w:type="gramStart"/>
      <w:r>
        <w:rPr>
          <w:color w:val="000000"/>
          <w:sz w:val="24"/>
          <w:szCs w:val="24"/>
        </w:rPr>
        <w:t>interviewé  affirme</w:t>
      </w:r>
      <w:proofErr w:type="gramEnd"/>
      <w:r>
        <w:rPr>
          <w:color w:val="000000"/>
          <w:sz w:val="24"/>
          <w:szCs w:val="24"/>
        </w:rPr>
        <w:t> :</w:t>
      </w:r>
    </w:p>
    <w:p w14:paraId="5E917D1D" w14:textId="77777777" w:rsidR="00D80693" w:rsidRPr="003D25E6" w:rsidRDefault="00D80693" w:rsidP="00CD045B">
      <w:pPr>
        <w:adjustRightInd w:val="0"/>
        <w:spacing w:before="120" w:after="120"/>
        <w:ind w:left="567" w:right="567"/>
        <w:jc w:val="both"/>
        <w:rPr>
          <w:rFonts w:eastAsia="Calibri"/>
          <w:color w:val="000000"/>
          <w:sz w:val="24"/>
          <w:szCs w:val="24"/>
        </w:rPr>
      </w:pPr>
      <w:r w:rsidRPr="003D25E6">
        <w:rPr>
          <w:iCs/>
          <w:color w:val="000000"/>
          <w:sz w:val="24"/>
          <w:szCs w:val="24"/>
        </w:rPr>
        <w:t xml:space="preserve">Dans l’approche pédagogique, on n’a jamais atteint la perfection : il y a des innovations que l’enseignant doit prendre en compte. Or la plupart du temps les enseignants sont versés dans des pratiques routinières. Et </w:t>
      </w:r>
      <w:proofErr w:type="gramStart"/>
      <w:r w:rsidRPr="003D25E6">
        <w:rPr>
          <w:iCs/>
          <w:color w:val="000000"/>
          <w:sz w:val="24"/>
          <w:szCs w:val="24"/>
        </w:rPr>
        <w:t>s’il y a pas</w:t>
      </w:r>
      <w:proofErr w:type="gramEnd"/>
      <w:r w:rsidRPr="003D25E6">
        <w:rPr>
          <w:iCs/>
          <w:color w:val="000000"/>
          <w:sz w:val="24"/>
          <w:szCs w:val="24"/>
        </w:rPr>
        <w:t xml:space="preserve"> de regard extérieur (de la part de l’encadreur), il n’y a pas de recadrage et cela n’est pas bénéfique pour les </w:t>
      </w:r>
      <w:proofErr w:type="gramStart"/>
      <w:r w:rsidRPr="003D25E6">
        <w:rPr>
          <w:iCs/>
          <w:color w:val="000000"/>
          <w:sz w:val="24"/>
          <w:szCs w:val="24"/>
        </w:rPr>
        <w:t>apprenants;</w:t>
      </w:r>
      <w:proofErr w:type="gramEnd"/>
      <w:r w:rsidRPr="003D25E6">
        <w:rPr>
          <w:iCs/>
          <w:color w:val="000000"/>
          <w:sz w:val="24"/>
          <w:szCs w:val="24"/>
        </w:rPr>
        <w:t xml:space="preserve"> car l’ancienneté ne veut pas dire l’expérience. Du reste, pour le cas spécifique de la commune d’Ouagadougou, où il y a un phénomène comme celui des sure</w:t>
      </w:r>
      <w:r>
        <w:rPr>
          <w:iCs/>
          <w:color w:val="000000"/>
          <w:sz w:val="24"/>
          <w:szCs w:val="24"/>
        </w:rPr>
        <w:t>ffectifs dans les classes de 6</w:t>
      </w:r>
      <w:r w:rsidRPr="00156634">
        <w:rPr>
          <w:iCs/>
          <w:color w:val="000000"/>
          <w:sz w:val="24"/>
          <w:szCs w:val="24"/>
          <w:vertAlign w:val="superscript"/>
        </w:rPr>
        <w:t>e</w:t>
      </w:r>
      <w:r>
        <w:rPr>
          <w:iCs/>
          <w:color w:val="000000"/>
          <w:sz w:val="24"/>
          <w:szCs w:val="24"/>
        </w:rPr>
        <w:t>, 5</w:t>
      </w:r>
      <w:r w:rsidRPr="00156634">
        <w:rPr>
          <w:iCs/>
          <w:color w:val="000000"/>
          <w:sz w:val="24"/>
          <w:szCs w:val="24"/>
          <w:vertAlign w:val="superscript"/>
        </w:rPr>
        <w:t>e</w:t>
      </w:r>
      <w:r w:rsidRPr="003D25E6">
        <w:rPr>
          <w:iCs/>
          <w:color w:val="000000"/>
          <w:sz w:val="24"/>
          <w:szCs w:val="24"/>
        </w:rPr>
        <w:t xml:space="preserve"> et de 2nde (principalement au public), sans une maitrise des techniques de la gestion des grands groupes, l’ancienneté ne sert à rien.</w:t>
      </w:r>
    </w:p>
    <w:p w14:paraId="0E799A68" w14:textId="77777777" w:rsidR="00D80693" w:rsidRPr="00355BD6" w:rsidRDefault="00D80693" w:rsidP="00CD045B">
      <w:pPr>
        <w:adjustRightInd w:val="0"/>
        <w:spacing w:before="120" w:after="120"/>
        <w:jc w:val="both"/>
        <w:rPr>
          <w:rFonts w:eastAsia="Calibri"/>
          <w:iCs/>
          <w:color w:val="000000"/>
          <w:sz w:val="24"/>
          <w:szCs w:val="24"/>
        </w:rPr>
      </w:pPr>
      <w:r>
        <w:rPr>
          <w:iCs/>
          <w:color w:val="000000"/>
          <w:sz w:val="24"/>
          <w:szCs w:val="24"/>
        </w:rPr>
        <w:t xml:space="preserve">En plus, la baisse de la qualité des enseignements-apprentissages comme impact est reconnue par 47 % des enseignants. Ce taux parait faible mais garde un lien avec le refus des visites de classe par les enseignants. En effet, à l’analyse, l’on se rend compte que si les enseignants refusent les visites de classe et n’adoptent pas des </w:t>
      </w:r>
      <w:proofErr w:type="gramStart"/>
      <w:r>
        <w:rPr>
          <w:iCs/>
          <w:color w:val="000000"/>
          <w:sz w:val="24"/>
          <w:szCs w:val="24"/>
        </w:rPr>
        <w:t>méthodes  pédagogiques</w:t>
      </w:r>
      <w:proofErr w:type="gramEnd"/>
      <w:r>
        <w:rPr>
          <w:iCs/>
          <w:color w:val="000000"/>
          <w:sz w:val="24"/>
          <w:szCs w:val="24"/>
        </w:rPr>
        <w:t xml:space="preserve"> modernes ou actives dans leurs pratiques de classe, la conséquence ne saurait être que la baisse de la qualité des enseignements-apprentissages et une baisse du niveau d’acquisition des élèves. Selon l’enseignant P23 interrogé par Sessouma (2020, p.69), </w:t>
      </w:r>
      <w:proofErr w:type="gramStart"/>
      <w:r>
        <w:rPr>
          <w:iCs/>
          <w:color w:val="000000"/>
          <w:sz w:val="24"/>
          <w:szCs w:val="24"/>
        </w:rPr>
        <w:t>«  si</w:t>
      </w:r>
      <w:proofErr w:type="gramEnd"/>
      <w:r w:rsidRPr="00355BD6">
        <w:rPr>
          <w:iCs/>
          <w:color w:val="000000"/>
          <w:sz w:val="24"/>
          <w:szCs w:val="24"/>
        </w:rPr>
        <w:t xml:space="preserve"> l’enseignant a des</w:t>
      </w:r>
      <w:r>
        <w:rPr>
          <w:iCs/>
          <w:color w:val="000000"/>
          <w:sz w:val="24"/>
          <w:szCs w:val="24"/>
        </w:rPr>
        <w:t xml:space="preserve"> tares sur le plan pédagogique, </w:t>
      </w:r>
      <w:r w:rsidRPr="00355BD6">
        <w:rPr>
          <w:iCs/>
          <w:color w:val="000000"/>
          <w:sz w:val="24"/>
          <w:szCs w:val="24"/>
        </w:rPr>
        <w:t xml:space="preserve">cela va se ressentir dans les apprentissages des élèves : "on ne </w:t>
      </w:r>
      <w:r>
        <w:rPr>
          <w:iCs/>
          <w:color w:val="000000"/>
          <w:sz w:val="24"/>
          <w:szCs w:val="24"/>
        </w:rPr>
        <w:t xml:space="preserve">donne que ce que l’on a" ». </w:t>
      </w:r>
    </w:p>
    <w:p w14:paraId="6A2530B1" w14:textId="77777777" w:rsidR="00D80693" w:rsidRDefault="00D80693" w:rsidP="00CD045B">
      <w:pPr>
        <w:adjustRightInd w:val="0"/>
        <w:spacing w:before="120" w:after="240"/>
        <w:jc w:val="both"/>
        <w:rPr>
          <w:rFonts w:eastAsia="Calibri"/>
          <w:color w:val="000000"/>
          <w:sz w:val="24"/>
          <w:szCs w:val="24"/>
        </w:rPr>
      </w:pPr>
      <w:r>
        <w:rPr>
          <w:color w:val="000000"/>
          <w:sz w:val="24"/>
          <w:szCs w:val="24"/>
        </w:rPr>
        <w:t xml:space="preserve">En revanche, jusqu’à 65 </w:t>
      </w:r>
      <w:r w:rsidRPr="00EE1974">
        <w:rPr>
          <w:color w:val="000000"/>
          <w:sz w:val="24"/>
          <w:szCs w:val="24"/>
        </w:rPr>
        <w:t>% des enseignants affirment que les visites de classe ne leur apportent pa</w:t>
      </w:r>
      <w:r>
        <w:rPr>
          <w:color w:val="000000"/>
          <w:sz w:val="24"/>
          <w:szCs w:val="24"/>
        </w:rPr>
        <w:t xml:space="preserve">s </w:t>
      </w:r>
      <w:r w:rsidRPr="00F62393">
        <w:rPr>
          <w:sz w:val="24"/>
          <w:szCs w:val="24"/>
        </w:rPr>
        <w:t>conséquemment</w:t>
      </w:r>
      <w:r w:rsidRPr="006C692C">
        <w:rPr>
          <w:color w:val="FF0000"/>
          <w:sz w:val="24"/>
          <w:szCs w:val="24"/>
        </w:rPr>
        <w:t xml:space="preserve"> </w:t>
      </w:r>
      <w:r>
        <w:rPr>
          <w:color w:val="000000"/>
          <w:sz w:val="24"/>
          <w:szCs w:val="24"/>
        </w:rPr>
        <w:t xml:space="preserve">de connaissance. L’un deux </w:t>
      </w:r>
      <w:proofErr w:type="gramStart"/>
      <w:r>
        <w:rPr>
          <w:color w:val="000000"/>
          <w:sz w:val="24"/>
          <w:szCs w:val="24"/>
        </w:rPr>
        <w:t>s’exprime</w:t>
      </w:r>
      <w:proofErr w:type="gramEnd"/>
      <w:r>
        <w:rPr>
          <w:color w:val="000000"/>
          <w:sz w:val="24"/>
          <w:szCs w:val="24"/>
        </w:rPr>
        <w:t xml:space="preserve"> : « Souvent on n’apprend pas beaucoup des visites de classe parce que de peur d’être critiqué, l’on réchauffe les anciennes fiches qu’on avait déjà présenté lors de visites antérieures et dont on a intégré les observations. ». Pour cet enseignant, ce n’est donc pas la qualité de l’encadrement qui pose </w:t>
      </w:r>
      <w:proofErr w:type="gramStart"/>
      <w:r>
        <w:rPr>
          <w:color w:val="000000"/>
          <w:sz w:val="24"/>
          <w:szCs w:val="24"/>
        </w:rPr>
        <w:t>problème</w:t>
      </w:r>
      <w:proofErr w:type="gramEnd"/>
      <w:r>
        <w:rPr>
          <w:color w:val="000000"/>
          <w:sz w:val="24"/>
          <w:szCs w:val="24"/>
        </w:rPr>
        <w:t xml:space="preserve">. L’enquêté D15 a une autre explication à cet état de fait : </w:t>
      </w:r>
    </w:p>
    <w:p w14:paraId="2FC9D6E2" w14:textId="77777777" w:rsidR="00D80693" w:rsidRPr="00355BD6" w:rsidRDefault="00D80693" w:rsidP="00CD045B">
      <w:pPr>
        <w:adjustRightInd w:val="0"/>
        <w:spacing w:before="120" w:after="120"/>
        <w:ind w:left="567" w:right="567"/>
        <w:jc w:val="both"/>
        <w:rPr>
          <w:rFonts w:eastAsia="Calibri"/>
          <w:color w:val="000000"/>
        </w:rPr>
      </w:pPr>
      <w:r w:rsidRPr="00355BD6">
        <w:rPr>
          <w:color w:val="000000"/>
        </w:rPr>
        <w:t>Personnellement, je n’ai pas appris grand-chose des visites de classe que j’ai déjà reçues parce que les encadreurs n’ont fait que relever les faiblesses de mes leçons. Mais comment je dois m’y prendre pour corriger ces faiblesses, ils ont du mal à me proposer des solutions concrètes.</w:t>
      </w:r>
    </w:p>
    <w:p w14:paraId="6D457B1C" w14:textId="77777777" w:rsidR="00D80693" w:rsidRPr="004426D9" w:rsidRDefault="00D80693" w:rsidP="00CD045B">
      <w:pPr>
        <w:adjustRightInd w:val="0"/>
        <w:spacing w:before="120"/>
        <w:jc w:val="both"/>
        <w:rPr>
          <w:rFonts w:eastAsia="Calibri"/>
          <w:b/>
          <w:i/>
          <w:color w:val="000000"/>
          <w:sz w:val="24"/>
          <w:szCs w:val="24"/>
        </w:rPr>
      </w:pPr>
      <w:r w:rsidRPr="004426D9">
        <w:rPr>
          <w:b/>
          <w:i/>
          <w:color w:val="000000"/>
          <w:sz w:val="24"/>
          <w:szCs w:val="24"/>
        </w:rPr>
        <w:t>3.2.2. L’impact des contraintes selon les encadreurs</w:t>
      </w:r>
    </w:p>
    <w:p w14:paraId="1D90C74D" w14:textId="77777777" w:rsidR="00D80693" w:rsidRPr="005E7E66" w:rsidRDefault="00D80693" w:rsidP="00CD045B">
      <w:pPr>
        <w:adjustRightInd w:val="0"/>
        <w:spacing w:before="120" w:after="120"/>
        <w:jc w:val="both"/>
        <w:rPr>
          <w:rFonts w:eastAsia="Calibri"/>
          <w:color w:val="000000"/>
          <w:sz w:val="24"/>
          <w:szCs w:val="24"/>
        </w:rPr>
      </w:pPr>
      <w:r w:rsidRPr="005E7E66">
        <w:rPr>
          <w:color w:val="000000"/>
          <w:sz w:val="24"/>
          <w:szCs w:val="24"/>
        </w:rPr>
        <w:t>Tout comme les enseignants, les encadreurs enquêtés ont diverse</w:t>
      </w:r>
      <w:r>
        <w:rPr>
          <w:color w:val="000000"/>
          <w:sz w:val="24"/>
          <w:szCs w:val="24"/>
        </w:rPr>
        <w:t>ment apprécié</w:t>
      </w:r>
      <w:r w:rsidRPr="005E7E66">
        <w:rPr>
          <w:color w:val="000000"/>
          <w:sz w:val="24"/>
          <w:szCs w:val="24"/>
        </w:rPr>
        <w:t xml:space="preserve"> l’impact des contraintes psychosociales sur la qualité de l’encadrement pédagogique. Pour eux, l’aspect le plus impacté par les contraintes psychosociales d’encadrement est l’usage continu des méthodes traditionnelles, comme le présente le tableau n°2 </w:t>
      </w:r>
      <w:r w:rsidRPr="00875ED5">
        <w:rPr>
          <w:sz w:val="24"/>
          <w:szCs w:val="24"/>
        </w:rPr>
        <w:t xml:space="preserve">sus-dessus. </w:t>
      </w:r>
      <w:r w:rsidRPr="005E7E66">
        <w:rPr>
          <w:color w:val="000000"/>
          <w:sz w:val="24"/>
          <w:szCs w:val="24"/>
        </w:rPr>
        <w:t xml:space="preserve">Les encadreurs soutiennent ce point de vue à 97 %. </w:t>
      </w:r>
    </w:p>
    <w:p w14:paraId="563A9EA0" w14:textId="77777777" w:rsidR="00D80693" w:rsidRDefault="00D80693" w:rsidP="00CD045B">
      <w:pPr>
        <w:adjustRightInd w:val="0"/>
        <w:spacing w:before="120" w:after="120"/>
        <w:jc w:val="both"/>
        <w:rPr>
          <w:rFonts w:eastAsia="Calibri"/>
          <w:color w:val="000000"/>
          <w:sz w:val="24"/>
          <w:szCs w:val="24"/>
        </w:rPr>
      </w:pPr>
      <w:r w:rsidRPr="005E7E66">
        <w:rPr>
          <w:color w:val="000000"/>
          <w:sz w:val="24"/>
          <w:szCs w:val="24"/>
        </w:rPr>
        <w:t>Du reste, cette logique est respectée lorsqu’on observe le tableau</w:t>
      </w:r>
      <w:r>
        <w:rPr>
          <w:color w:val="000000"/>
          <w:sz w:val="24"/>
          <w:szCs w:val="24"/>
        </w:rPr>
        <w:t xml:space="preserve"> n°2</w:t>
      </w:r>
      <w:r w:rsidRPr="005E7E66">
        <w:rPr>
          <w:color w:val="000000"/>
          <w:sz w:val="24"/>
          <w:szCs w:val="24"/>
        </w:rPr>
        <w:t>. Les encadreurs reconnaissent la baisse de la qualité des enseignements / apprentissages</w:t>
      </w:r>
      <w:r>
        <w:rPr>
          <w:color w:val="000000"/>
          <w:sz w:val="24"/>
          <w:szCs w:val="24"/>
        </w:rPr>
        <w:t xml:space="preserve"> à 82 </w:t>
      </w:r>
      <w:r w:rsidRPr="005E7E66">
        <w:rPr>
          <w:color w:val="000000"/>
          <w:sz w:val="24"/>
          <w:szCs w:val="24"/>
        </w:rPr>
        <w:t xml:space="preserve">%. Mais la baisse de la qualité des enseignements/apprentissages se traduit par une baisse du niveau d’acquisition des apprenants. </w:t>
      </w:r>
    </w:p>
    <w:p w14:paraId="21E44F2C" w14:textId="77777777" w:rsidR="00D80693" w:rsidRPr="003622B2" w:rsidRDefault="00D80693" w:rsidP="00CD045B">
      <w:pPr>
        <w:adjustRightInd w:val="0"/>
        <w:spacing w:before="120" w:after="120"/>
        <w:jc w:val="both"/>
        <w:rPr>
          <w:rFonts w:eastAsia="Calibri"/>
          <w:color w:val="000000"/>
          <w:sz w:val="24"/>
          <w:szCs w:val="24"/>
        </w:rPr>
      </w:pPr>
      <w:r>
        <w:rPr>
          <w:color w:val="000000"/>
          <w:sz w:val="24"/>
          <w:szCs w:val="24"/>
        </w:rPr>
        <w:t xml:space="preserve">Dans cette </w:t>
      </w:r>
      <w:proofErr w:type="gramStart"/>
      <w:r>
        <w:rPr>
          <w:color w:val="000000"/>
          <w:sz w:val="24"/>
          <w:szCs w:val="24"/>
        </w:rPr>
        <w:t>perspective,  l’enquêté</w:t>
      </w:r>
      <w:proofErr w:type="gramEnd"/>
      <w:r>
        <w:rPr>
          <w:color w:val="000000"/>
          <w:sz w:val="24"/>
          <w:szCs w:val="24"/>
        </w:rPr>
        <w:t xml:space="preserve"> A18 </w:t>
      </w:r>
      <w:r w:rsidRPr="003622B2">
        <w:rPr>
          <w:color w:val="000000"/>
          <w:sz w:val="24"/>
          <w:szCs w:val="24"/>
        </w:rPr>
        <w:t xml:space="preserve">trouve les contraintes psychosociales plus profondes dans notre système éducatif en général, et au niveau du post-primaire et du secondaire dans la région du Centre en particulier. Elles sont les plus nuisibles aux efforts de l’encadrement pédagogique et à la qualité des enseignements- apprentissages. Il peint la situation en ces termes : </w:t>
      </w:r>
    </w:p>
    <w:p w14:paraId="4EBE05CD" w14:textId="34AF0B36" w:rsidR="00D80693" w:rsidRDefault="00D80693" w:rsidP="00CD045B">
      <w:pPr>
        <w:adjustRightInd w:val="0"/>
        <w:spacing w:before="120" w:after="120"/>
        <w:ind w:left="567" w:right="567"/>
        <w:jc w:val="both"/>
        <w:rPr>
          <w:rFonts w:eastAsia="Calibri"/>
          <w:iCs/>
          <w:color w:val="000000"/>
          <w:sz w:val="24"/>
          <w:szCs w:val="24"/>
        </w:rPr>
      </w:pPr>
      <w:r w:rsidRPr="003622B2">
        <w:rPr>
          <w:iCs/>
          <w:color w:val="000000"/>
          <w:sz w:val="24"/>
          <w:szCs w:val="24"/>
        </w:rPr>
        <w:t xml:space="preserve">Les jeunes qui sont actuellement dans les classes ne sont ni enseignants, ni formateurs, ni </w:t>
      </w:r>
      <w:r w:rsidR="00CD045B" w:rsidRPr="003622B2">
        <w:rPr>
          <w:iCs/>
          <w:color w:val="000000"/>
          <w:sz w:val="24"/>
          <w:szCs w:val="24"/>
        </w:rPr>
        <w:t>responsables. Ils</w:t>
      </w:r>
      <w:r w:rsidRPr="003622B2">
        <w:rPr>
          <w:iCs/>
          <w:color w:val="000000"/>
          <w:sz w:val="24"/>
          <w:szCs w:val="24"/>
        </w:rPr>
        <w:t xml:space="preserve"> ne sont intéressés que par l’argent, leur première villa, leur première voiture. C’est l’irresponsabilité totale et la pratique exacerbée de la vacation. Nous avons pitié </w:t>
      </w:r>
      <w:r>
        <w:rPr>
          <w:iCs/>
          <w:color w:val="000000"/>
          <w:sz w:val="24"/>
          <w:szCs w:val="24"/>
        </w:rPr>
        <w:t>du système éducatif burkinabè.</w:t>
      </w:r>
    </w:p>
    <w:p w14:paraId="6AF179DD" w14:textId="77777777" w:rsidR="00D80693" w:rsidRPr="003622B2" w:rsidRDefault="00D80693" w:rsidP="00CD045B">
      <w:pPr>
        <w:adjustRightInd w:val="0"/>
        <w:spacing w:before="120" w:after="120"/>
        <w:ind w:right="567"/>
        <w:jc w:val="both"/>
        <w:rPr>
          <w:rFonts w:eastAsia="Calibri"/>
          <w:color w:val="000000"/>
          <w:sz w:val="24"/>
          <w:szCs w:val="24"/>
        </w:rPr>
      </w:pPr>
      <w:r>
        <w:rPr>
          <w:iCs/>
          <w:color w:val="000000"/>
          <w:sz w:val="24"/>
          <w:szCs w:val="24"/>
        </w:rPr>
        <w:t>En se référant à ce passage, la préoccupation des enseignants dans cette zone est loin d’être la qualité des enseignements-apprentissages. Par conséquent, face à de tels enseignants il ne saurait y avoir un climat de collaboration apaisée. Autrement dit, les encadreurs ne haussent pas le ton devant certains enseignants pour rien.</w:t>
      </w:r>
    </w:p>
    <w:p w14:paraId="4CDCFECF" w14:textId="77777777" w:rsidR="00D80693" w:rsidRDefault="00D80693" w:rsidP="00CD045B">
      <w:pPr>
        <w:adjustRightInd w:val="0"/>
        <w:spacing w:before="120" w:after="120"/>
        <w:jc w:val="both"/>
        <w:rPr>
          <w:rFonts w:eastAsia="Calibri"/>
          <w:color w:val="000000"/>
          <w:sz w:val="24"/>
          <w:szCs w:val="24"/>
        </w:rPr>
      </w:pPr>
      <w:proofErr w:type="gramStart"/>
      <w:r w:rsidRPr="005E7E66">
        <w:rPr>
          <w:color w:val="000000"/>
          <w:sz w:val="24"/>
          <w:szCs w:val="24"/>
        </w:rPr>
        <w:t>Par contre</w:t>
      </w:r>
      <w:proofErr w:type="gramEnd"/>
      <w:r w:rsidRPr="005E7E66">
        <w:rPr>
          <w:color w:val="000000"/>
          <w:sz w:val="24"/>
          <w:szCs w:val="24"/>
        </w:rPr>
        <w:t xml:space="preserve">, les encadreurs réfutent le fait que les visites de classe soient sans apport de connaissances conséquentes aux enseignants. Seuls 28 % d’entre eux l’approuvent. </w:t>
      </w:r>
      <w:r>
        <w:rPr>
          <w:color w:val="000000"/>
          <w:sz w:val="24"/>
          <w:szCs w:val="24"/>
        </w:rPr>
        <w:t>Cependant, même</w:t>
      </w:r>
      <w:r w:rsidRPr="005E7E66">
        <w:rPr>
          <w:color w:val="000000"/>
          <w:sz w:val="24"/>
          <w:szCs w:val="24"/>
        </w:rPr>
        <w:t xml:space="preserve"> à ce taux, il y a lieu d’y percevoir un problème, car si l’on reconnaît qu’il y a une insuffisance de renforcement des capacités des pe</w:t>
      </w:r>
      <w:r>
        <w:rPr>
          <w:color w:val="000000"/>
          <w:sz w:val="24"/>
          <w:szCs w:val="24"/>
        </w:rPr>
        <w:t>rsonnels de l’éducation</w:t>
      </w:r>
      <w:r w:rsidRPr="005E7E66">
        <w:rPr>
          <w:color w:val="000000"/>
          <w:sz w:val="24"/>
          <w:szCs w:val="24"/>
        </w:rPr>
        <w:t>, l’on doit également admettre que cela puisse jouer sur les performances des acteurs, y compris les encadreurs</w:t>
      </w:r>
      <w:r>
        <w:rPr>
          <w:color w:val="000000"/>
          <w:sz w:val="24"/>
          <w:szCs w:val="24"/>
        </w:rPr>
        <w:t xml:space="preserve"> pédagogiques. A ce titre, l’enquêté A</w:t>
      </w:r>
      <w:proofErr w:type="gramStart"/>
      <w:r>
        <w:rPr>
          <w:color w:val="000000"/>
          <w:sz w:val="24"/>
          <w:szCs w:val="24"/>
        </w:rPr>
        <w:t xml:space="preserve">18 </w:t>
      </w:r>
      <w:r w:rsidRPr="005E7E66">
        <w:rPr>
          <w:color w:val="000000"/>
          <w:sz w:val="24"/>
          <w:szCs w:val="24"/>
        </w:rPr>
        <w:t xml:space="preserve"> nous</w:t>
      </w:r>
      <w:proofErr w:type="gramEnd"/>
      <w:r w:rsidRPr="005E7E66">
        <w:rPr>
          <w:color w:val="000000"/>
          <w:sz w:val="24"/>
          <w:szCs w:val="24"/>
        </w:rPr>
        <w:t xml:space="preserve"> a laissé entendre ceci :</w:t>
      </w:r>
    </w:p>
    <w:p w14:paraId="552817DA" w14:textId="77777777" w:rsidR="00D80693" w:rsidRPr="00937A2B" w:rsidRDefault="00D80693" w:rsidP="00CD045B">
      <w:pPr>
        <w:adjustRightInd w:val="0"/>
        <w:spacing w:before="120"/>
        <w:ind w:left="432" w:right="1008"/>
        <w:jc w:val="both"/>
        <w:rPr>
          <w:rFonts w:eastAsia="Calibri"/>
          <w:iCs/>
          <w:color w:val="000000"/>
        </w:rPr>
      </w:pPr>
      <w:r w:rsidRPr="00937A2B">
        <w:rPr>
          <w:iCs/>
          <w:color w:val="000000"/>
        </w:rPr>
        <w:t>Cela fait 17 ans que je suis encadreur pédagogique. Mais depuis lors, je n’ai jamais bénéficié d’un stage de recyclage dans le domaine de mes pratiques d’encadrement pédagogiques. Toutes les formations auxquelles j’ai pris part jusque-là concernent le renforcement des capacités des enseignants. C’est comme si en tant qu’encadreur nous n’avons plus besoin de cela. Or c’est une grave erreur. Nous sommes vraiment les oubliés de la chaîne.</w:t>
      </w:r>
    </w:p>
    <w:p w14:paraId="59BF36F8" w14:textId="768F9CF1" w:rsidR="00D80693" w:rsidRDefault="00D80693" w:rsidP="00CD045B">
      <w:pPr>
        <w:adjustRightInd w:val="0"/>
        <w:spacing w:before="120"/>
        <w:jc w:val="both"/>
        <w:rPr>
          <w:rFonts w:eastAsia="Calibri"/>
          <w:iCs/>
          <w:color w:val="000000"/>
          <w:sz w:val="24"/>
          <w:szCs w:val="24"/>
        </w:rPr>
      </w:pPr>
      <w:r>
        <w:rPr>
          <w:color w:val="000000"/>
          <w:sz w:val="24"/>
          <w:szCs w:val="24"/>
        </w:rPr>
        <w:t>Ce passage nous fonde à penser que tout comme l’on reproche à beaucoup d’</w:t>
      </w:r>
      <w:r w:rsidRPr="00587ACB">
        <w:rPr>
          <w:color w:val="000000"/>
          <w:sz w:val="24"/>
          <w:szCs w:val="24"/>
        </w:rPr>
        <w:t xml:space="preserve">enseignants de ne pas utiliser les méthodes des pédagogies modernes, l’on peut également reprocher à certains encadreurs de rester accrochés aux anciens paradigmes de l’encadrement pédagogique. Cela consiste </w:t>
      </w:r>
      <w:r w:rsidRPr="00875ED5">
        <w:rPr>
          <w:sz w:val="24"/>
          <w:szCs w:val="24"/>
        </w:rPr>
        <w:t>à</w:t>
      </w:r>
      <w:r>
        <w:rPr>
          <w:color w:val="000000"/>
          <w:sz w:val="24"/>
          <w:szCs w:val="24"/>
        </w:rPr>
        <w:t xml:space="preserve"> toujours </w:t>
      </w:r>
      <w:r w:rsidRPr="00587ACB">
        <w:rPr>
          <w:color w:val="000000"/>
          <w:sz w:val="24"/>
          <w:szCs w:val="24"/>
        </w:rPr>
        <w:t>vouloir tout imposer à l’enseignant ou à l’incriminer systématiquement sans lui donner l’occasion d’expliquer ou de justifier ses choix de démarches pédagogiques. De même, certain</w:t>
      </w:r>
      <w:r>
        <w:rPr>
          <w:color w:val="000000"/>
          <w:sz w:val="24"/>
          <w:szCs w:val="24"/>
        </w:rPr>
        <w:t>s encadreurs ne proposent pas de</w:t>
      </w:r>
      <w:r w:rsidRPr="00587ACB">
        <w:rPr>
          <w:color w:val="000000"/>
          <w:sz w:val="24"/>
          <w:szCs w:val="24"/>
        </w:rPr>
        <w:t xml:space="preserve"> solution</w:t>
      </w:r>
      <w:r>
        <w:rPr>
          <w:color w:val="000000"/>
          <w:sz w:val="24"/>
          <w:szCs w:val="24"/>
        </w:rPr>
        <w:t>s</w:t>
      </w:r>
      <w:r w:rsidRPr="00587ACB">
        <w:rPr>
          <w:color w:val="000000"/>
          <w:sz w:val="24"/>
          <w:szCs w:val="24"/>
        </w:rPr>
        <w:t xml:space="preserve"> concrète</w:t>
      </w:r>
      <w:r>
        <w:rPr>
          <w:color w:val="000000"/>
          <w:sz w:val="24"/>
          <w:szCs w:val="24"/>
        </w:rPr>
        <w:t>s</w:t>
      </w:r>
      <w:r w:rsidRPr="00587ACB">
        <w:rPr>
          <w:color w:val="000000"/>
          <w:sz w:val="24"/>
          <w:szCs w:val="24"/>
        </w:rPr>
        <w:t xml:space="preserve"> aux enseignants pour remédier les insuffisances relevées lors des visites de classe, et n’intègrent aucune innovation dans leur approche d’encadrement. Dans ces conditions, il est normal que les visites de classe n’apportent pas les compétences escomptées aux enseignants et créent chez eux le sentiment du déjà-vu. </w:t>
      </w:r>
      <w:r w:rsidRPr="00156634">
        <w:rPr>
          <w:color w:val="000000"/>
          <w:sz w:val="24"/>
          <w:szCs w:val="24"/>
        </w:rPr>
        <w:t xml:space="preserve">Du reste, Sessouma (2020, p.16) est de cet avis. Il affirme : </w:t>
      </w:r>
      <w:r w:rsidRPr="00156634">
        <w:rPr>
          <w:iCs/>
          <w:color w:val="000000"/>
          <w:sz w:val="24"/>
          <w:szCs w:val="24"/>
        </w:rPr>
        <w:t xml:space="preserve">« (…) Cette situation montre que la formation continue, les visites de classe y compris, telle que pratiquée actuellement pose </w:t>
      </w:r>
      <w:r w:rsidR="00CD045B" w:rsidRPr="00156634">
        <w:rPr>
          <w:iCs/>
          <w:color w:val="000000"/>
          <w:sz w:val="24"/>
          <w:szCs w:val="24"/>
        </w:rPr>
        <w:t>un problème</w:t>
      </w:r>
      <w:r w:rsidRPr="00156634">
        <w:rPr>
          <w:iCs/>
          <w:color w:val="000000"/>
          <w:sz w:val="24"/>
          <w:szCs w:val="24"/>
        </w:rPr>
        <w:t>. La formation continue et les visites de classe ne produisent pas l’effet attendu ».</w:t>
      </w:r>
    </w:p>
    <w:p w14:paraId="17ACA130" w14:textId="77777777" w:rsidR="00D80693" w:rsidRDefault="00D80693" w:rsidP="00CD045B">
      <w:pPr>
        <w:adjustRightInd w:val="0"/>
        <w:spacing w:before="120" w:after="240"/>
        <w:jc w:val="both"/>
        <w:rPr>
          <w:rFonts w:eastAsia="Calibri"/>
          <w:color w:val="000000"/>
          <w:sz w:val="24"/>
          <w:szCs w:val="24"/>
        </w:rPr>
      </w:pPr>
      <w:r w:rsidRPr="0036157F">
        <w:rPr>
          <w:sz w:val="24"/>
          <w:szCs w:val="24"/>
        </w:rPr>
        <w:t>En sus de ces aspects suscités,</w:t>
      </w:r>
      <w:r>
        <w:rPr>
          <w:b/>
          <w:sz w:val="24"/>
          <w:szCs w:val="24"/>
        </w:rPr>
        <w:t xml:space="preserve"> </w:t>
      </w:r>
      <w:r>
        <w:rPr>
          <w:color w:val="000000"/>
          <w:sz w:val="24"/>
          <w:szCs w:val="24"/>
        </w:rPr>
        <w:t xml:space="preserve">les enseignants </w:t>
      </w:r>
      <w:r w:rsidRPr="00875ED5">
        <w:rPr>
          <w:sz w:val="24"/>
          <w:szCs w:val="24"/>
        </w:rPr>
        <w:t xml:space="preserve">tout comme </w:t>
      </w:r>
      <w:r>
        <w:rPr>
          <w:color w:val="000000"/>
          <w:sz w:val="24"/>
          <w:szCs w:val="24"/>
        </w:rPr>
        <w:t>les encadreurs s’accordent sur le fait que les contraintes psychosociales entrainent l</w:t>
      </w:r>
      <w:r w:rsidRPr="0025371D">
        <w:rPr>
          <w:color w:val="000000"/>
          <w:sz w:val="24"/>
          <w:szCs w:val="24"/>
        </w:rPr>
        <w:t>e faible engagement des acteurs dans les activités d’encadrement pédagogique</w:t>
      </w:r>
      <w:r>
        <w:rPr>
          <w:color w:val="000000"/>
          <w:sz w:val="24"/>
          <w:szCs w:val="24"/>
        </w:rPr>
        <w:t>, les actions de défiance de l’autorité de l’encadreur. Pour les enseignants, leur faible engagement en faveur des activités d’encadrement pédagogique est dû aux mauvais souvenirs qu’ils gardent de leurs participations antérieures à ces activités. L’un de nos chefs d’établissement interviewé (J1) se confie :</w:t>
      </w:r>
    </w:p>
    <w:p w14:paraId="54B060CA" w14:textId="77777777" w:rsidR="00D80693" w:rsidRPr="00156634" w:rsidRDefault="00D80693" w:rsidP="00CD045B">
      <w:pPr>
        <w:adjustRightInd w:val="0"/>
        <w:spacing w:before="120" w:after="120"/>
        <w:ind w:left="432" w:right="1008"/>
        <w:jc w:val="both"/>
        <w:rPr>
          <w:rFonts w:eastAsia="Calibri"/>
          <w:iCs/>
        </w:rPr>
      </w:pPr>
      <w:r w:rsidRPr="00937A2B">
        <w:rPr>
          <w:iCs/>
        </w:rPr>
        <w:t xml:space="preserve">Compte tenu des mauvaises expériences que certains enseignants ont déjà vécues </w:t>
      </w:r>
      <w:proofErr w:type="gramStart"/>
      <w:r w:rsidRPr="00937A2B">
        <w:rPr>
          <w:iCs/>
        </w:rPr>
        <w:t>de par le</w:t>
      </w:r>
      <w:proofErr w:type="gramEnd"/>
      <w:r w:rsidRPr="00937A2B">
        <w:rPr>
          <w:iCs/>
        </w:rPr>
        <w:t xml:space="preserve"> passé, ils sont a priori réticents quand on leur parle de visite de classe. Ils les perçoivent au départ comme des sanctions ; ils s’étonnent, et disent « moi encore ? Ils m’ont pris l’an passé </w:t>
      </w:r>
      <w:r w:rsidRPr="002816A5">
        <w:rPr>
          <w:iCs/>
        </w:rPr>
        <w:t>» !</w:t>
      </w:r>
      <w:r w:rsidRPr="00937A2B">
        <w:rPr>
          <w:iCs/>
        </w:rPr>
        <w:t xml:space="preserve"> et ça fait souvent l’objet de remous et de contestations dans nos établissements, d’où souvent le refus des visites de classe.</w:t>
      </w:r>
    </w:p>
    <w:p w14:paraId="0D7E019F" w14:textId="77777777" w:rsidR="00D80693" w:rsidRPr="008D0004" w:rsidRDefault="00D80693" w:rsidP="00CD045B">
      <w:pPr>
        <w:adjustRightInd w:val="0"/>
        <w:spacing w:before="120" w:after="120"/>
        <w:jc w:val="both"/>
        <w:rPr>
          <w:rFonts w:eastAsia="Calibri"/>
          <w:sz w:val="24"/>
          <w:szCs w:val="24"/>
        </w:rPr>
      </w:pPr>
      <w:r w:rsidRPr="008D0004">
        <w:rPr>
          <w:sz w:val="24"/>
          <w:szCs w:val="24"/>
        </w:rPr>
        <w:t xml:space="preserve">Il convient également de noter qu’il arrive que certains encadreurs ne reconnaissent même pas les efforts des enseignants lors des visites et manquent totalement d’empathie à leur égard. </w:t>
      </w:r>
      <w:r w:rsidRPr="00875ED5">
        <w:rPr>
          <w:sz w:val="24"/>
          <w:szCs w:val="24"/>
        </w:rPr>
        <w:t>Il peut alors s’en suivre que ces encadreurs</w:t>
      </w:r>
      <w:r w:rsidRPr="008D0004">
        <w:rPr>
          <w:sz w:val="24"/>
          <w:szCs w:val="24"/>
        </w:rPr>
        <w:t xml:space="preserve"> profèrent des propos discourtois et parfois humiliants à </w:t>
      </w:r>
      <w:r>
        <w:rPr>
          <w:sz w:val="24"/>
          <w:szCs w:val="24"/>
        </w:rPr>
        <w:t>l’</w:t>
      </w:r>
      <w:r w:rsidRPr="008D0004">
        <w:rPr>
          <w:sz w:val="24"/>
          <w:szCs w:val="24"/>
        </w:rPr>
        <w:t xml:space="preserve">endroit de ces derniers, créant un climat de peur et de méfiance. L’enseignant visité en ressort donc humilié, découragé et démotivé. </w:t>
      </w:r>
    </w:p>
    <w:p w14:paraId="05597575" w14:textId="77777777" w:rsidR="00CD045B" w:rsidRDefault="00D80693" w:rsidP="00CD045B">
      <w:pPr>
        <w:adjustRightInd w:val="0"/>
        <w:spacing w:before="120" w:after="120"/>
        <w:jc w:val="both"/>
        <w:rPr>
          <w:sz w:val="24"/>
          <w:szCs w:val="24"/>
        </w:rPr>
      </w:pPr>
      <w:r w:rsidRPr="008D0004">
        <w:rPr>
          <w:sz w:val="24"/>
          <w:szCs w:val="24"/>
        </w:rPr>
        <w:t xml:space="preserve">Quant aux encadreurs, ils </w:t>
      </w:r>
      <w:r w:rsidRPr="008D0004">
        <w:rPr>
          <w:color w:val="000000"/>
          <w:sz w:val="24"/>
          <w:szCs w:val="24"/>
        </w:rPr>
        <w:t>partagent l’avis de l’impact des contraintes psychosociales sur leur engagement dans les activités d’encadrement à 78 %, soit 47 personnes.</w:t>
      </w:r>
      <w:r w:rsidRPr="008D0004">
        <w:rPr>
          <w:iCs/>
          <w:sz w:val="24"/>
          <w:szCs w:val="24"/>
        </w:rPr>
        <w:t xml:space="preserve"> </w:t>
      </w:r>
      <w:r w:rsidRPr="008D0004">
        <w:rPr>
          <w:sz w:val="24"/>
          <w:szCs w:val="24"/>
        </w:rPr>
        <w:t xml:space="preserve">A ce niveau, leur faible engagement se manifeste sous diverses formes. Il y a le fait que certains encadreurs refusent les visites de classe (comme chez les enseignants) pour des contraintes budgétaires et logistiques ou pour des faiblesses de prise en charge ou encore pour </w:t>
      </w:r>
      <w:r w:rsidR="00CD045B" w:rsidRPr="008D0004">
        <w:rPr>
          <w:sz w:val="24"/>
          <w:szCs w:val="24"/>
        </w:rPr>
        <w:t>non-règlement</w:t>
      </w:r>
      <w:r w:rsidRPr="008D0004">
        <w:rPr>
          <w:sz w:val="24"/>
          <w:szCs w:val="24"/>
        </w:rPr>
        <w:t xml:space="preserve"> des arriérés de prise en charge de missions antérieures. En lien avec le refus des visites de classe par les encadreurs, 45</w:t>
      </w:r>
      <w:r>
        <w:rPr>
          <w:sz w:val="24"/>
          <w:szCs w:val="24"/>
        </w:rPr>
        <w:t xml:space="preserve"> </w:t>
      </w:r>
      <w:r w:rsidRPr="008D0004">
        <w:rPr>
          <w:sz w:val="24"/>
          <w:szCs w:val="24"/>
        </w:rPr>
        <w:t xml:space="preserve">% d’entre eux disent avoir déjà refusé au moins une activité d’encadrement pédagogique. </w:t>
      </w:r>
    </w:p>
    <w:p w14:paraId="7AD5C321" w14:textId="77777777" w:rsidR="00CD045B" w:rsidRDefault="00D80693" w:rsidP="00CD045B">
      <w:pPr>
        <w:adjustRightInd w:val="0"/>
        <w:spacing w:before="120" w:after="120"/>
        <w:jc w:val="both"/>
        <w:rPr>
          <w:sz w:val="24"/>
          <w:szCs w:val="24"/>
        </w:rPr>
      </w:pPr>
      <w:r w:rsidRPr="008D0004">
        <w:rPr>
          <w:sz w:val="24"/>
          <w:szCs w:val="24"/>
        </w:rPr>
        <w:t>La même proportion d’encadreurs (45</w:t>
      </w:r>
      <w:r>
        <w:rPr>
          <w:sz w:val="24"/>
          <w:szCs w:val="24"/>
        </w:rPr>
        <w:t xml:space="preserve"> </w:t>
      </w:r>
      <w:r w:rsidRPr="008D0004">
        <w:rPr>
          <w:sz w:val="24"/>
          <w:szCs w:val="24"/>
        </w:rPr>
        <w:t>%) pense qu’il y a un faible engagement des encadreurs dans les miss</w:t>
      </w:r>
      <w:r>
        <w:rPr>
          <w:sz w:val="24"/>
          <w:szCs w:val="24"/>
        </w:rPr>
        <w:t xml:space="preserve">ions d’encadrement pédagogique. </w:t>
      </w:r>
      <w:r w:rsidRPr="007F1868">
        <w:rPr>
          <w:sz w:val="24"/>
          <w:szCs w:val="24"/>
        </w:rPr>
        <w:t>Auss</w:t>
      </w:r>
      <w:r w:rsidRPr="008D0004">
        <w:rPr>
          <w:sz w:val="24"/>
          <w:szCs w:val="24"/>
        </w:rPr>
        <w:t>i, certains encadreurs ont le sentiment que leur travail n’est pas assez valorisé au regard de leurs conditions de travail difficiles. Il en découle que des encadreurs soient permanemment absents des bureaux</w:t>
      </w:r>
      <w:r w:rsidRPr="00937A2B">
        <w:rPr>
          <w:sz w:val="24"/>
          <w:szCs w:val="24"/>
        </w:rPr>
        <w:t xml:space="preserve">. </w:t>
      </w:r>
      <w:r w:rsidRPr="008D0004">
        <w:rPr>
          <w:sz w:val="24"/>
          <w:szCs w:val="24"/>
        </w:rPr>
        <w:t xml:space="preserve">Sur la question des actions de défiance, sept (7) encadreurs, soit 12 % disent avoir déjà été défiés par des enseignants, en refusant de signer le rapport de visite de classe, entre autres. </w:t>
      </w:r>
    </w:p>
    <w:p w14:paraId="3610FB3E" w14:textId="53FBB82F" w:rsidR="00D80693" w:rsidRPr="008D0004" w:rsidRDefault="00D80693" w:rsidP="00CD045B">
      <w:pPr>
        <w:adjustRightInd w:val="0"/>
        <w:spacing w:before="120" w:after="120"/>
        <w:jc w:val="both"/>
        <w:rPr>
          <w:rFonts w:eastAsia="Calibri"/>
          <w:iCs/>
          <w:sz w:val="24"/>
          <w:szCs w:val="24"/>
        </w:rPr>
      </w:pPr>
      <w:r>
        <w:rPr>
          <w:sz w:val="24"/>
          <w:szCs w:val="24"/>
        </w:rPr>
        <w:t>A ce propos, l’enquêté A9 témoigne : « Un enseignant m’a déjà dit qu’il ne signe pas le rapport de visite de classe parce qu’il ne se reconnait pas dans les observations que je lui ai faites. Mais en réalité c’est quelqu’un qui est imbu de sa personne, allergique aux remarques. »</w:t>
      </w:r>
    </w:p>
    <w:p w14:paraId="44834221" w14:textId="77777777" w:rsidR="00D80693" w:rsidRPr="004426D9" w:rsidRDefault="00D80693" w:rsidP="00CD045B">
      <w:pPr>
        <w:spacing w:before="120" w:after="200"/>
        <w:rPr>
          <w:rFonts w:eastAsia="Calibri"/>
          <w:b/>
          <w:sz w:val="28"/>
          <w:szCs w:val="28"/>
        </w:rPr>
      </w:pPr>
      <w:r w:rsidRPr="004426D9">
        <w:rPr>
          <w:b/>
          <w:sz w:val="28"/>
          <w:szCs w:val="28"/>
        </w:rPr>
        <w:t>4. Discussions</w:t>
      </w:r>
    </w:p>
    <w:p w14:paraId="7A8CC633" w14:textId="77777777" w:rsidR="00D80693" w:rsidRDefault="00D80693" w:rsidP="00CD045B">
      <w:pPr>
        <w:adjustRightInd w:val="0"/>
        <w:spacing w:before="120" w:after="200"/>
        <w:jc w:val="both"/>
        <w:rPr>
          <w:rFonts w:eastAsia="Calibri"/>
          <w:sz w:val="24"/>
          <w:szCs w:val="24"/>
        </w:rPr>
      </w:pPr>
      <w:r w:rsidRPr="003D5F53">
        <w:rPr>
          <w:sz w:val="24"/>
          <w:szCs w:val="24"/>
        </w:rPr>
        <w:t xml:space="preserve">Dans cette section, il est question de discuter les résultats de notre étude en </w:t>
      </w:r>
      <w:r>
        <w:rPr>
          <w:sz w:val="24"/>
          <w:szCs w:val="24"/>
        </w:rPr>
        <w:t>relation avec les deux théories</w:t>
      </w:r>
      <w:r w:rsidRPr="003D5F53">
        <w:rPr>
          <w:sz w:val="24"/>
          <w:szCs w:val="24"/>
        </w:rPr>
        <w:t xml:space="preserve"> que nous avons convoquées</w:t>
      </w:r>
      <w:r>
        <w:rPr>
          <w:sz w:val="24"/>
          <w:szCs w:val="24"/>
        </w:rPr>
        <w:t xml:space="preserve"> précédemment et conformément à nos objectifs de recherche.</w:t>
      </w:r>
    </w:p>
    <w:p w14:paraId="059C870B" w14:textId="77777777" w:rsidR="00D80693" w:rsidRPr="00E254A5" w:rsidRDefault="00D80693" w:rsidP="00CD045B">
      <w:pPr>
        <w:spacing w:before="120"/>
        <w:rPr>
          <w:rFonts w:eastAsia="Calibri"/>
          <w:b/>
          <w:sz w:val="24"/>
          <w:szCs w:val="24"/>
        </w:rPr>
      </w:pPr>
      <w:r w:rsidRPr="00E254A5">
        <w:rPr>
          <w:b/>
          <w:sz w:val="24"/>
          <w:szCs w:val="24"/>
        </w:rPr>
        <w:t>4.1. L’analyse des contraintes psychosociales d’encadrement pédagogique dans les établissements d’enseignements post-primaire et secondaire</w:t>
      </w:r>
    </w:p>
    <w:p w14:paraId="60F575DA" w14:textId="49F3D60A" w:rsidR="00D80693" w:rsidRDefault="00D80693" w:rsidP="00CD045B">
      <w:pPr>
        <w:adjustRightInd w:val="0"/>
        <w:spacing w:before="120"/>
        <w:jc w:val="both"/>
        <w:rPr>
          <w:rFonts w:eastAsia="Calibri"/>
          <w:sz w:val="24"/>
          <w:szCs w:val="24"/>
        </w:rPr>
      </w:pPr>
      <w:r>
        <w:rPr>
          <w:sz w:val="24"/>
          <w:szCs w:val="24"/>
        </w:rPr>
        <w:t xml:space="preserve">Les résultats de cette recherche montrent que les enseignants et les encadreurs reconnaissent que l’encadrement pédagogique fait face à des contraintes psychosociales dans la région du Centre. En effet, selon les enseignants, l’existence de ces contraintes </w:t>
      </w:r>
      <w:r w:rsidRPr="00AF7F59">
        <w:rPr>
          <w:sz w:val="24"/>
          <w:szCs w:val="24"/>
        </w:rPr>
        <w:t>(la mauvaise perception des encadreurs par les enseignant</w:t>
      </w:r>
      <w:r>
        <w:rPr>
          <w:sz w:val="24"/>
          <w:szCs w:val="24"/>
        </w:rPr>
        <w:t>s</w:t>
      </w:r>
      <w:r w:rsidRPr="00AF7F59">
        <w:rPr>
          <w:sz w:val="24"/>
          <w:szCs w:val="24"/>
        </w:rPr>
        <w:t>, le refus des visites de classe, le faible engagement de certains (enseignants et encadreurs) dans les activités d’encadrement pédagogique, les actions de défiance de l’autorité de l’encadreur pédagogique</w:t>
      </w:r>
      <w:r>
        <w:rPr>
          <w:sz w:val="24"/>
          <w:szCs w:val="24"/>
        </w:rPr>
        <w:t xml:space="preserve">) est une réalité, même si moins de la moitié d’entre eux (40 %) les reconnaissent. </w:t>
      </w:r>
      <w:r w:rsidRPr="009E5A75">
        <w:rPr>
          <w:sz w:val="24"/>
          <w:szCs w:val="24"/>
        </w:rPr>
        <w:t>A contrario</w:t>
      </w:r>
      <w:r>
        <w:rPr>
          <w:sz w:val="24"/>
          <w:szCs w:val="24"/>
        </w:rPr>
        <w:t xml:space="preserve">, 73 % des encadreurs reconnaissent leur existence. Ce qui signifie qu’elles sont des contraintes majeures. L’existence de ces contraintes est en accord avec les résultats d’autres études antérieures. En effet, selon Kouadio (2023), les enseignants ivoiriens du secondaire ne sont pas toujours disposés à recevoir des visites de classe. I affirme : </w:t>
      </w:r>
    </w:p>
    <w:p w14:paraId="43B729A0" w14:textId="77777777" w:rsidR="00D80693" w:rsidRPr="00FC12AE" w:rsidRDefault="00D80693" w:rsidP="00CD045B">
      <w:pPr>
        <w:adjustRightInd w:val="0"/>
        <w:spacing w:before="120" w:after="120"/>
        <w:ind w:left="567" w:right="567"/>
        <w:jc w:val="both"/>
        <w:rPr>
          <w:rFonts w:eastAsia="Calibri"/>
        </w:rPr>
      </w:pPr>
      <w:r w:rsidRPr="00FC12AE">
        <w:t>Les visites de classes sont acceptées à contre cœur dans le meilleur des cas. Lorsqu’ils sont prévenus pour ces visites, des enseignants prévoient des comptes rendus d’anciens devoirs ou interrogations mis au frais pour ces cas de visites (..) Certains s’absentent tout simplement légalement ou illégalement (Kouadio, 2023</w:t>
      </w:r>
      <w:r>
        <w:t>, p.162).</w:t>
      </w:r>
    </w:p>
    <w:p w14:paraId="64C4BB82" w14:textId="66D20357" w:rsidR="00D80693" w:rsidRDefault="00D80693" w:rsidP="00CD045B">
      <w:pPr>
        <w:adjustRightInd w:val="0"/>
        <w:spacing w:before="120" w:after="200"/>
        <w:jc w:val="both"/>
        <w:rPr>
          <w:rFonts w:eastAsia="Calibri"/>
          <w:sz w:val="24"/>
          <w:szCs w:val="24"/>
        </w:rPr>
      </w:pPr>
      <w:r>
        <w:rPr>
          <w:sz w:val="24"/>
          <w:szCs w:val="24"/>
        </w:rPr>
        <w:t xml:space="preserve">De même, </w:t>
      </w:r>
      <w:r w:rsidR="00CD045B">
        <w:rPr>
          <w:sz w:val="24"/>
          <w:szCs w:val="24"/>
        </w:rPr>
        <w:t>selon Sessouma</w:t>
      </w:r>
      <w:r>
        <w:rPr>
          <w:sz w:val="24"/>
          <w:szCs w:val="24"/>
        </w:rPr>
        <w:t xml:space="preserve"> (2020, p.68) </w:t>
      </w:r>
      <w:r w:rsidRPr="004C57D3">
        <w:rPr>
          <w:sz w:val="24"/>
          <w:szCs w:val="24"/>
        </w:rPr>
        <w:t xml:space="preserve">: </w:t>
      </w:r>
      <w:r>
        <w:rPr>
          <w:iCs/>
          <w:sz w:val="24"/>
          <w:szCs w:val="24"/>
        </w:rPr>
        <w:t>« l</w:t>
      </w:r>
      <w:r w:rsidRPr="004C57D3">
        <w:rPr>
          <w:iCs/>
          <w:sz w:val="24"/>
          <w:szCs w:val="24"/>
        </w:rPr>
        <w:t xml:space="preserve">e système éducatif burkinabè connait un climat de méfiance entre encadreurs et enseignants à cause de visites de classe </w:t>
      </w:r>
      <w:r w:rsidRPr="007F1868">
        <w:rPr>
          <w:iCs/>
          <w:sz w:val="24"/>
          <w:szCs w:val="24"/>
        </w:rPr>
        <w:t>des encadreurs par les professeurs</w:t>
      </w:r>
      <w:r w:rsidRPr="004C57D3">
        <w:rPr>
          <w:iCs/>
          <w:sz w:val="24"/>
          <w:szCs w:val="24"/>
        </w:rPr>
        <w:t>. Cela limite la collaboration entre les deux corps d’où la perte en qualité du système »</w:t>
      </w:r>
      <w:r w:rsidRPr="004C57D3">
        <w:rPr>
          <w:sz w:val="24"/>
          <w:szCs w:val="24"/>
        </w:rPr>
        <w:t>.</w:t>
      </w:r>
      <w:r>
        <w:rPr>
          <w:sz w:val="24"/>
          <w:szCs w:val="24"/>
        </w:rPr>
        <w:t xml:space="preserve"> Dans le même ordre d’idée, la DGEPFIC (2018) soutient </w:t>
      </w:r>
      <w:proofErr w:type="gramStart"/>
      <w:r>
        <w:rPr>
          <w:sz w:val="24"/>
          <w:szCs w:val="24"/>
        </w:rPr>
        <w:t>que:</w:t>
      </w:r>
      <w:proofErr w:type="gramEnd"/>
    </w:p>
    <w:p w14:paraId="6A5A6901" w14:textId="77777777" w:rsidR="00D80693" w:rsidRPr="00FC12AE" w:rsidRDefault="00D80693" w:rsidP="00CD045B">
      <w:pPr>
        <w:adjustRightInd w:val="0"/>
        <w:spacing w:before="120" w:after="120"/>
        <w:ind w:left="567" w:right="567"/>
        <w:jc w:val="both"/>
        <w:rPr>
          <w:rFonts w:eastAsia="Calibri"/>
        </w:rPr>
      </w:pPr>
      <w:proofErr w:type="gramStart"/>
      <w:r>
        <w:t>m</w:t>
      </w:r>
      <w:r w:rsidRPr="00FC12AE">
        <w:t>algré</w:t>
      </w:r>
      <w:proofErr w:type="gramEnd"/>
      <w:r w:rsidRPr="00FC12AE">
        <w:t xml:space="preserve"> les différentes formations suivies, on constate que certains encadreurs pédagogiques ne maîtrisent pas les mécanismes de pratiques d’encadrement, de suivi et d’accompagnement pédagogiques des enseignants. Il en résulte un manque d’assurance qui conduit certains encadreurs pédagogiques à des pratiques souvent peu orthodoxes sur le terrain (DGEPFIC, 2018, p.28).</w:t>
      </w:r>
    </w:p>
    <w:p w14:paraId="297B3217" w14:textId="77777777" w:rsidR="00D80693" w:rsidRPr="00727023" w:rsidRDefault="00D80693" w:rsidP="00CD045B">
      <w:pPr>
        <w:adjustRightInd w:val="0"/>
        <w:spacing w:before="120" w:after="120"/>
        <w:jc w:val="both"/>
        <w:rPr>
          <w:rFonts w:eastAsia="Calibri"/>
          <w:sz w:val="24"/>
          <w:szCs w:val="24"/>
        </w:rPr>
      </w:pPr>
      <w:r>
        <w:rPr>
          <w:sz w:val="24"/>
          <w:szCs w:val="24"/>
        </w:rPr>
        <w:t>Ces passages susmentionnés</w:t>
      </w:r>
      <w:r w:rsidRPr="00727023">
        <w:rPr>
          <w:sz w:val="24"/>
          <w:szCs w:val="24"/>
        </w:rPr>
        <w:t xml:space="preserve"> montre</w:t>
      </w:r>
      <w:r>
        <w:rPr>
          <w:sz w:val="24"/>
          <w:szCs w:val="24"/>
        </w:rPr>
        <w:t>nt</w:t>
      </w:r>
      <w:r w:rsidRPr="00727023">
        <w:rPr>
          <w:sz w:val="24"/>
          <w:szCs w:val="24"/>
        </w:rPr>
        <w:t xml:space="preserve"> à souhait qu’il n’existe pas un climat favorable aux échanges</w:t>
      </w:r>
      <w:r>
        <w:rPr>
          <w:sz w:val="24"/>
          <w:szCs w:val="24"/>
        </w:rPr>
        <w:t xml:space="preserve"> instructifs et</w:t>
      </w:r>
      <w:r w:rsidRPr="00727023">
        <w:rPr>
          <w:sz w:val="24"/>
          <w:szCs w:val="24"/>
        </w:rPr>
        <w:t xml:space="preserve"> constructifs, aux interactions sociales entre enseignants et encadreurs pour une co-construction du savoir pédagogique. </w:t>
      </w:r>
    </w:p>
    <w:p w14:paraId="763D7751" w14:textId="69C0798C" w:rsidR="00D80693" w:rsidRDefault="00D80693" w:rsidP="00CD045B">
      <w:pPr>
        <w:adjustRightInd w:val="0"/>
        <w:spacing w:before="120" w:after="120"/>
        <w:jc w:val="both"/>
        <w:rPr>
          <w:rFonts w:eastAsia="Calibri"/>
          <w:sz w:val="24"/>
          <w:szCs w:val="24"/>
        </w:rPr>
      </w:pPr>
      <w:r>
        <w:rPr>
          <w:sz w:val="24"/>
          <w:szCs w:val="24"/>
        </w:rPr>
        <w:t xml:space="preserve">Or, le socioconstructivisme repose sur le fait que les interactions sociales sont le fondement tout apprentissage. Vygotski (2002, p.23) </w:t>
      </w:r>
      <w:r w:rsidRPr="00BF74DA">
        <w:rPr>
          <w:sz w:val="24"/>
          <w:szCs w:val="24"/>
        </w:rPr>
        <w:t xml:space="preserve">affirme à ce propos </w:t>
      </w:r>
      <w:r w:rsidRPr="002147EA">
        <w:rPr>
          <w:sz w:val="24"/>
          <w:szCs w:val="24"/>
        </w:rPr>
        <w:t xml:space="preserve">que </w:t>
      </w:r>
      <w:r w:rsidRPr="002147EA">
        <w:rPr>
          <w:iCs/>
          <w:sz w:val="24"/>
          <w:szCs w:val="24"/>
        </w:rPr>
        <w:t xml:space="preserve">« l’interaction sociale est la clé de la construction de la connaissance. </w:t>
      </w:r>
      <w:r>
        <w:rPr>
          <w:sz w:val="24"/>
          <w:szCs w:val="24"/>
        </w:rPr>
        <w:t>». Aussi, à travers la ZPD, Vygotski (</w:t>
      </w:r>
      <w:r>
        <w:rPr>
          <w:color w:val="000000"/>
          <w:sz w:val="24"/>
          <w:szCs w:val="24"/>
        </w:rPr>
        <w:t>1933, 1985 b</w:t>
      </w:r>
      <w:r>
        <w:rPr>
          <w:sz w:val="24"/>
          <w:szCs w:val="24"/>
        </w:rPr>
        <w:t xml:space="preserve">) soutient qu’il y a des apprentissages que l’apprenant peut réaliser tout seul et d’autres qu’il peut acquérir sans l’aide de ses pairs, des interactions avec autrui : ce sont les apprentissages sociaux. L’on en déduit que le manque de confiance dans la collaboration entre enseignants et encadreurs pédagogiques ne </w:t>
      </w:r>
      <w:proofErr w:type="gramStart"/>
      <w:r>
        <w:rPr>
          <w:sz w:val="24"/>
          <w:szCs w:val="24"/>
        </w:rPr>
        <w:t>favorisent</w:t>
      </w:r>
      <w:proofErr w:type="gramEnd"/>
      <w:r>
        <w:rPr>
          <w:sz w:val="24"/>
          <w:szCs w:val="24"/>
        </w:rPr>
        <w:t xml:space="preserve"> pas l’apprentissage des enseignants, donc </w:t>
      </w:r>
      <w:r w:rsidR="00CD045B">
        <w:rPr>
          <w:sz w:val="24"/>
          <w:szCs w:val="24"/>
        </w:rPr>
        <w:t>leur développement</w:t>
      </w:r>
      <w:r>
        <w:rPr>
          <w:sz w:val="24"/>
          <w:szCs w:val="24"/>
        </w:rPr>
        <w:t xml:space="preserve"> professionnel. Et cela est en contradiction avec les principes du socioconstructivisme.</w:t>
      </w:r>
    </w:p>
    <w:p w14:paraId="2F174BE6" w14:textId="1B0069A7" w:rsidR="00D80693" w:rsidRPr="009624F8" w:rsidRDefault="00D80693" w:rsidP="00CD045B">
      <w:pPr>
        <w:adjustRightInd w:val="0"/>
        <w:spacing w:before="120" w:after="120"/>
        <w:jc w:val="both"/>
        <w:rPr>
          <w:rFonts w:eastAsia="Calibri"/>
          <w:sz w:val="24"/>
          <w:szCs w:val="24"/>
        </w:rPr>
      </w:pPr>
      <w:r>
        <w:rPr>
          <w:sz w:val="24"/>
          <w:szCs w:val="24"/>
        </w:rPr>
        <w:t xml:space="preserve">De même, l’approche développementale de l’encadrement pédagogique prône la pacification des relations pédagogiques entre enseignants et encadreurs en mettant l’accent sur l’individualisation du soutien pédagogique, </w:t>
      </w:r>
      <w:r w:rsidRPr="00BF74DA">
        <w:rPr>
          <w:sz w:val="24"/>
          <w:szCs w:val="24"/>
        </w:rPr>
        <w:t xml:space="preserve">tenant compte </w:t>
      </w:r>
      <w:r>
        <w:rPr>
          <w:sz w:val="24"/>
          <w:szCs w:val="24"/>
        </w:rPr>
        <w:t xml:space="preserve">du stade de développement professionnel de chaque enseignant. Car comme le soutient » (Glickman, 1980, p.180), </w:t>
      </w:r>
      <w:r w:rsidRPr="00D54933">
        <w:rPr>
          <w:color w:val="000000"/>
          <w:sz w:val="24"/>
          <w:szCs w:val="24"/>
        </w:rPr>
        <w:t xml:space="preserve">« il n’y a pas de doute que l’encadreur </w:t>
      </w:r>
      <w:r w:rsidRPr="00D54933">
        <w:rPr>
          <w:sz w:val="24"/>
          <w:szCs w:val="24"/>
        </w:rPr>
        <w:t>pourrait mieux être utile à ses encadrés en satisfaisant à leurs besoins individuels plutôt qu’à adopter une seule et unique approche pour tous</w:t>
      </w:r>
      <w:r>
        <w:rPr>
          <w:sz w:val="24"/>
          <w:szCs w:val="24"/>
        </w:rPr>
        <w:t> ».</w:t>
      </w:r>
      <w:r w:rsidRPr="00D54933">
        <w:rPr>
          <w:sz w:val="24"/>
          <w:szCs w:val="24"/>
        </w:rPr>
        <w:t xml:space="preserve"> </w:t>
      </w:r>
      <w:r>
        <w:rPr>
          <w:sz w:val="24"/>
          <w:szCs w:val="24"/>
        </w:rPr>
        <w:t xml:space="preserve">Ainsi, cette approche permet l’intervention ciblée de l’encadreur auprès des enseignants sur la base de leurs besoins </w:t>
      </w:r>
      <w:r w:rsidR="00CD045B">
        <w:rPr>
          <w:sz w:val="24"/>
          <w:szCs w:val="24"/>
        </w:rPr>
        <w:t>réels d’apprentissage ou</w:t>
      </w:r>
      <w:r>
        <w:rPr>
          <w:sz w:val="24"/>
          <w:szCs w:val="24"/>
        </w:rPr>
        <w:t xml:space="preserve"> de formation dont l’objectif n’est pas de les juger ou de les évaluer, toute chose ce qui est de nature à éviter les tensions. L’existence </w:t>
      </w:r>
      <w:r w:rsidRPr="00BF74DA">
        <w:rPr>
          <w:sz w:val="24"/>
          <w:szCs w:val="24"/>
        </w:rPr>
        <w:t>donc</w:t>
      </w:r>
      <w:r>
        <w:rPr>
          <w:sz w:val="24"/>
          <w:szCs w:val="24"/>
        </w:rPr>
        <w:t xml:space="preserve"> des contraintes psychosociales susmentionnées limitent l’application effective des principes de l’approche développementale de l’encadrement pédagogique. </w:t>
      </w:r>
    </w:p>
    <w:p w14:paraId="1E692D7E" w14:textId="77777777" w:rsidR="00D80693" w:rsidRDefault="00D80693" w:rsidP="00CD045B">
      <w:pPr>
        <w:adjustRightInd w:val="0"/>
        <w:spacing w:before="120"/>
        <w:jc w:val="both"/>
        <w:rPr>
          <w:rFonts w:eastAsia="Calibri"/>
          <w:b/>
          <w:color w:val="000000"/>
          <w:sz w:val="24"/>
          <w:szCs w:val="24"/>
        </w:rPr>
      </w:pPr>
      <w:r w:rsidRPr="00E15B72">
        <w:rPr>
          <w:b/>
          <w:color w:val="000000"/>
          <w:sz w:val="24"/>
          <w:szCs w:val="24"/>
        </w:rPr>
        <w:t>4.2.</w:t>
      </w:r>
      <w:r w:rsidRPr="007E6432">
        <w:rPr>
          <w:color w:val="000000"/>
          <w:sz w:val="24"/>
          <w:szCs w:val="24"/>
        </w:rPr>
        <w:t xml:space="preserve"> </w:t>
      </w:r>
      <w:r w:rsidRPr="007E6432">
        <w:rPr>
          <w:b/>
          <w:color w:val="000000"/>
          <w:sz w:val="24"/>
          <w:szCs w:val="24"/>
        </w:rPr>
        <w:t xml:space="preserve">L’analyse de l’impact des contraintes psychosociales sur l’efficacité de l’encadrement pédagogique dans les établissements post-primaire et secondaire de la région du Centre. </w:t>
      </w:r>
    </w:p>
    <w:p w14:paraId="40555518" w14:textId="4F9DFA93" w:rsidR="00D80693" w:rsidRPr="00BF74DA" w:rsidRDefault="00D80693" w:rsidP="00CD045B">
      <w:pPr>
        <w:adjustRightInd w:val="0"/>
        <w:spacing w:before="120" w:after="120"/>
        <w:jc w:val="both"/>
        <w:rPr>
          <w:rFonts w:eastAsia="Calibri"/>
          <w:sz w:val="24"/>
          <w:szCs w:val="24"/>
        </w:rPr>
      </w:pPr>
      <w:r w:rsidRPr="007E6432">
        <w:rPr>
          <w:color w:val="000000"/>
          <w:sz w:val="24"/>
          <w:szCs w:val="24"/>
        </w:rPr>
        <w:t>Les résultats de cette étude soulignent l’impact négatif des contraintes psychosociales sur l’efficacité de l’encadrement pédagog</w:t>
      </w:r>
      <w:r>
        <w:rPr>
          <w:color w:val="000000"/>
          <w:sz w:val="24"/>
          <w:szCs w:val="24"/>
        </w:rPr>
        <w:t xml:space="preserve">ique. En effet, ces contraintes perpétuent l’usage continu de méthodes traditionnelles et obstruent l’expérimentation de stratégies pédagogiques innovantes. Selon 82% des enseignants. </w:t>
      </w:r>
      <w:r w:rsidRPr="005E7E66">
        <w:rPr>
          <w:color w:val="000000"/>
          <w:sz w:val="24"/>
          <w:szCs w:val="24"/>
        </w:rPr>
        <w:t xml:space="preserve">Or, </w:t>
      </w:r>
      <w:r w:rsidRPr="00F02EFF">
        <w:rPr>
          <w:color w:val="000000"/>
          <w:sz w:val="24"/>
          <w:szCs w:val="24"/>
        </w:rPr>
        <w:t>de l’avis des pédagogues</w:t>
      </w:r>
      <w:r>
        <w:rPr>
          <w:color w:val="000000"/>
          <w:sz w:val="24"/>
          <w:szCs w:val="24"/>
        </w:rPr>
        <w:t xml:space="preserve"> et des chercheurs tels que (Raynal et </w:t>
      </w:r>
      <w:proofErr w:type="spellStart"/>
      <w:r>
        <w:rPr>
          <w:color w:val="000000"/>
          <w:sz w:val="24"/>
          <w:szCs w:val="24"/>
        </w:rPr>
        <w:t>Rieunier</w:t>
      </w:r>
      <w:proofErr w:type="spellEnd"/>
      <w:r>
        <w:rPr>
          <w:color w:val="000000"/>
          <w:sz w:val="24"/>
          <w:szCs w:val="24"/>
        </w:rPr>
        <w:t xml:space="preserve"> (2005) ; Houssaye (2014) ; </w:t>
      </w:r>
      <w:proofErr w:type="spellStart"/>
      <w:r>
        <w:rPr>
          <w:color w:val="000000"/>
          <w:sz w:val="24"/>
          <w:szCs w:val="24"/>
        </w:rPr>
        <w:t>Jaffelot</w:t>
      </w:r>
      <w:proofErr w:type="spellEnd"/>
      <w:r>
        <w:rPr>
          <w:color w:val="000000"/>
          <w:sz w:val="24"/>
          <w:szCs w:val="24"/>
        </w:rPr>
        <w:t xml:space="preserve"> (2020), </w:t>
      </w:r>
      <w:r w:rsidRPr="005E7E66">
        <w:rPr>
          <w:color w:val="000000"/>
          <w:sz w:val="24"/>
          <w:szCs w:val="24"/>
        </w:rPr>
        <w:t>les méthodes traditionnelles ne mettent pas l’apprenant au centre de l’action pédagogique, ce qui veut dire qu’il n’est pas impliqué prioritairement dans les activités d’enseignements/apprentissages et on en déduit une baisse de la qualité de ces enseignements/apprentissages</w:t>
      </w:r>
      <w:r>
        <w:rPr>
          <w:color w:val="000000"/>
          <w:sz w:val="24"/>
          <w:szCs w:val="24"/>
        </w:rPr>
        <w:t xml:space="preserve">. D’autres aspects impactés par les contraintes </w:t>
      </w:r>
      <w:r w:rsidR="00CD045B">
        <w:rPr>
          <w:color w:val="000000"/>
          <w:sz w:val="24"/>
          <w:szCs w:val="24"/>
        </w:rPr>
        <w:t>psychosociales selon</w:t>
      </w:r>
      <w:r>
        <w:rPr>
          <w:color w:val="000000"/>
          <w:sz w:val="24"/>
          <w:szCs w:val="24"/>
        </w:rPr>
        <w:t xml:space="preserve"> les enseignants sont </w:t>
      </w:r>
      <w:r w:rsidRPr="007E6432">
        <w:rPr>
          <w:color w:val="000000"/>
          <w:sz w:val="24"/>
          <w:szCs w:val="24"/>
        </w:rPr>
        <w:t>les visites de classe sans apport de connaissance conséquent aux enseignants (65 %), la baisse de la qualité des enseignements-</w:t>
      </w:r>
      <w:r>
        <w:rPr>
          <w:color w:val="000000"/>
          <w:sz w:val="24"/>
          <w:szCs w:val="24"/>
        </w:rPr>
        <w:t xml:space="preserve">apprentissages </w:t>
      </w:r>
      <w:r w:rsidRPr="007E6432">
        <w:rPr>
          <w:color w:val="000000"/>
          <w:sz w:val="24"/>
          <w:szCs w:val="24"/>
        </w:rPr>
        <w:t>(47 %)</w:t>
      </w:r>
      <w:r>
        <w:rPr>
          <w:color w:val="000000"/>
          <w:sz w:val="24"/>
          <w:szCs w:val="24"/>
        </w:rPr>
        <w:t xml:space="preserve">. Chez les encadreurs, ces mêmes aspects sont crédités respectivement de 97 %, 28 % et 82%. </w:t>
      </w:r>
      <w:r w:rsidRPr="00BF74DA">
        <w:rPr>
          <w:sz w:val="24"/>
          <w:szCs w:val="24"/>
        </w:rPr>
        <w:t>Et cela se justifie selon Sessouma (2020) qui affirme :</w:t>
      </w:r>
    </w:p>
    <w:p w14:paraId="24AE4CD1" w14:textId="77777777" w:rsidR="00D80693" w:rsidRPr="008F0E54" w:rsidRDefault="00D80693" w:rsidP="00CD045B">
      <w:pPr>
        <w:adjustRightInd w:val="0"/>
        <w:spacing w:before="120" w:after="120"/>
        <w:ind w:left="567" w:right="567"/>
        <w:jc w:val="both"/>
        <w:rPr>
          <w:rFonts w:eastAsia="Calibri"/>
          <w:iCs/>
          <w:color w:val="000000"/>
        </w:rPr>
      </w:pPr>
      <w:r w:rsidRPr="008F0E54">
        <w:rPr>
          <w:iCs/>
          <w:color w:val="000000"/>
        </w:rPr>
        <w:t>Ainsi, la première conséquence du refus des visites de classe par les enseignants est l’usage de la pédagogie traditionnelle. En moyenne, 97,75% des enseignants ont approuvé cette conséquence soit 100 % des enseignants du privé et 95,5 % de ceux du public. En refusant une visite de classe, l’enseignant rate une occasion d’utiliser une méthode moderne devant les encadreurs et de bénéficier de conseils (Sessouma, 2020, p.57).</w:t>
      </w:r>
    </w:p>
    <w:p w14:paraId="4DC5B243" w14:textId="77777777" w:rsidR="00D80693" w:rsidRDefault="00D80693" w:rsidP="00CD045B">
      <w:pPr>
        <w:adjustRightInd w:val="0"/>
        <w:spacing w:before="120" w:after="120"/>
        <w:jc w:val="both"/>
        <w:rPr>
          <w:color w:val="000000"/>
          <w:sz w:val="24"/>
          <w:szCs w:val="24"/>
        </w:rPr>
      </w:pPr>
      <w:r w:rsidRPr="000E613E">
        <w:rPr>
          <w:color w:val="000000"/>
          <w:sz w:val="24"/>
          <w:szCs w:val="24"/>
        </w:rPr>
        <w:t xml:space="preserve">En plus de </w:t>
      </w:r>
      <w:r w:rsidRPr="00BF74DA">
        <w:rPr>
          <w:sz w:val="24"/>
          <w:szCs w:val="24"/>
        </w:rPr>
        <w:t xml:space="preserve">ces </w:t>
      </w:r>
      <w:r w:rsidRPr="000E613E">
        <w:rPr>
          <w:color w:val="000000"/>
          <w:sz w:val="24"/>
          <w:szCs w:val="24"/>
        </w:rPr>
        <w:t>aspects</w:t>
      </w:r>
      <w:r w:rsidRPr="000E613E">
        <w:rPr>
          <w:b/>
          <w:color w:val="000000"/>
          <w:sz w:val="24"/>
          <w:szCs w:val="24"/>
        </w:rPr>
        <w:t xml:space="preserve"> </w:t>
      </w:r>
      <w:r w:rsidRPr="000E613E">
        <w:rPr>
          <w:color w:val="000000"/>
          <w:sz w:val="24"/>
          <w:szCs w:val="24"/>
        </w:rPr>
        <w:t>suscités,</w:t>
      </w:r>
      <w:r w:rsidRPr="000E613E">
        <w:rPr>
          <w:b/>
          <w:color w:val="000000"/>
          <w:sz w:val="24"/>
          <w:szCs w:val="24"/>
        </w:rPr>
        <w:t xml:space="preserve"> </w:t>
      </w:r>
      <w:r>
        <w:rPr>
          <w:color w:val="000000"/>
          <w:sz w:val="24"/>
          <w:szCs w:val="24"/>
        </w:rPr>
        <w:t xml:space="preserve">les enseignants </w:t>
      </w:r>
      <w:r w:rsidRPr="00BF74DA">
        <w:rPr>
          <w:sz w:val="24"/>
          <w:szCs w:val="24"/>
        </w:rPr>
        <w:t xml:space="preserve">tout comme </w:t>
      </w:r>
      <w:r w:rsidRPr="000E613E">
        <w:rPr>
          <w:color w:val="000000"/>
          <w:sz w:val="24"/>
          <w:szCs w:val="24"/>
        </w:rPr>
        <w:t>les encadreurs s’accordent sur le fait que les contraintes psychosociales entrainent le faible engagement des acteurs dans les activités d’encadrement pédagogique, les actions de défiance de l’autorité de l’encadreur. Et les conséquences négatives sus-indiquées qu’entrainent les contraintes psychosociales sur l’efficacité de l’encadrement pédagogique s’inscrivent dans la logique de nos théories de référence (le Socioconstructivisme et l’approche développementale de l’encadrement pédagogique). En effet, ces théories postulent que l’encadrement pédagogique ne peut atteindre ses objectifs que si certaines conditions sont réunies : un climat de confiance entre acteurs, des interactions sociales favorisant l’apprentissage, ainsi qu’une collaboration apaisée. En d’autres termes, l’insuffisante mise en œuvre de ces principes ne pouvait qu’impacter négativement l’encadrement pédagogique dans les établissements post-primaire et secondaire de la région du Centre.</w:t>
      </w:r>
    </w:p>
    <w:p w14:paraId="345480FE" w14:textId="77777777" w:rsidR="00D80693" w:rsidRPr="00B65305" w:rsidRDefault="00D80693" w:rsidP="00CD045B">
      <w:pPr>
        <w:spacing w:before="120" w:after="200"/>
        <w:rPr>
          <w:rFonts w:eastAsia="Calibri"/>
          <w:b/>
          <w:sz w:val="28"/>
          <w:szCs w:val="28"/>
        </w:rPr>
      </w:pPr>
      <w:r w:rsidRPr="00B65305">
        <w:rPr>
          <w:b/>
          <w:sz w:val="28"/>
          <w:szCs w:val="28"/>
        </w:rPr>
        <w:t>Conclusion</w:t>
      </w:r>
    </w:p>
    <w:p w14:paraId="28E56325" w14:textId="5D251619" w:rsidR="00D80693" w:rsidRDefault="00D80693" w:rsidP="00CD045B">
      <w:pPr>
        <w:adjustRightInd w:val="0"/>
        <w:spacing w:before="120"/>
        <w:jc w:val="both"/>
        <w:rPr>
          <w:rFonts w:eastAsia="Calibri"/>
          <w:sz w:val="24"/>
          <w:szCs w:val="24"/>
        </w:rPr>
      </w:pPr>
      <w:r w:rsidRPr="009D3A5F">
        <w:rPr>
          <w:sz w:val="24"/>
          <w:szCs w:val="24"/>
        </w:rPr>
        <w:t>L’encadrement pédagogique est un moyen essentiel dans la quête de la qualité de l’éducation</w:t>
      </w:r>
      <w:r>
        <w:rPr>
          <w:sz w:val="24"/>
          <w:szCs w:val="24"/>
        </w:rPr>
        <w:t xml:space="preserve">. Comme le souligne </w:t>
      </w:r>
      <w:r w:rsidRPr="009F520D">
        <w:rPr>
          <w:sz w:val="24"/>
          <w:szCs w:val="24"/>
        </w:rPr>
        <w:t>Kouadio (2023, p.171</w:t>
      </w:r>
      <w:r>
        <w:rPr>
          <w:sz w:val="24"/>
          <w:szCs w:val="24"/>
        </w:rPr>
        <w:t>) </w:t>
      </w:r>
      <w:r w:rsidRPr="00900298">
        <w:rPr>
          <w:sz w:val="24"/>
          <w:szCs w:val="24"/>
        </w:rPr>
        <w:t>« </w:t>
      </w:r>
      <w:r>
        <w:rPr>
          <w:sz w:val="24"/>
          <w:szCs w:val="24"/>
        </w:rPr>
        <w:t>l</w:t>
      </w:r>
      <w:r w:rsidRPr="00900298">
        <w:rPr>
          <w:sz w:val="24"/>
          <w:szCs w:val="24"/>
        </w:rPr>
        <w:t>’encadrement pédagogique reste la cheville ouvrière pour l’amélioration des presta</w:t>
      </w:r>
      <w:r>
        <w:rPr>
          <w:sz w:val="24"/>
          <w:szCs w:val="24"/>
        </w:rPr>
        <w:t xml:space="preserve">tions que doit fournir </w:t>
      </w:r>
      <w:proofErr w:type="gramStart"/>
      <w:r>
        <w:rPr>
          <w:sz w:val="24"/>
          <w:szCs w:val="24"/>
        </w:rPr>
        <w:t>l’école</w:t>
      </w:r>
      <w:r w:rsidRPr="00900298">
        <w:rPr>
          <w:sz w:val="24"/>
          <w:szCs w:val="24"/>
        </w:rPr>
        <w:t>»</w:t>
      </w:r>
      <w:proofErr w:type="gramEnd"/>
      <w:r>
        <w:rPr>
          <w:sz w:val="24"/>
          <w:szCs w:val="24"/>
        </w:rPr>
        <w:t xml:space="preserve">. Sa contribution dans l’amélioration des pratiques pédagogiques des enseignants et des enseignements-apprentissages n’est donc plus à démontrer. Toutefois, son efficacité dépend des conditions dans lesquelles il s’exerce. Le but de cette étude était </w:t>
      </w:r>
      <w:r w:rsidRPr="00BF74DA">
        <w:rPr>
          <w:sz w:val="24"/>
          <w:szCs w:val="24"/>
        </w:rPr>
        <w:t xml:space="preserve">de cerner </w:t>
      </w:r>
      <w:r>
        <w:rPr>
          <w:sz w:val="24"/>
          <w:szCs w:val="24"/>
        </w:rPr>
        <w:t xml:space="preserve">les contraintes psychosociales d’encadrement pédagogique dans les établissements d’enseignements-post-primaires et secondaire et d’analyser leur impact sur l’efficacité de l’encadrement pédagogique dans la région du Centre. Les résultats révèlent que l’encadrement pédagogique </w:t>
      </w:r>
      <w:r w:rsidRPr="00703F97">
        <w:rPr>
          <w:sz w:val="24"/>
          <w:szCs w:val="24"/>
        </w:rPr>
        <w:t>de ces ordres</w:t>
      </w:r>
      <w:r>
        <w:rPr>
          <w:sz w:val="24"/>
          <w:szCs w:val="24"/>
        </w:rPr>
        <w:t xml:space="preserve"> d’enseignement est confronté à de nombreuses contraintes psychosociales, qui entrainent par conséquent, l’usage continu des méthodes traditionnelles par les enseignants, la baisse de la qualité des enseignements-apprentissages, le faible apport en connaissances des visites de classe, etc. Ainsi, le </w:t>
      </w:r>
      <w:proofErr w:type="gramStart"/>
      <w:r>
        <w:rPr>
          <w:sz w:val="24"/>
          <w:szCs w:val="24"/>
        </w:rPr>
        <w:t>Ministère de l’Enseignement</w:t>
      </w:r>
      <w:proofErr w:type="gramEnd"/>
      <w:r>
        <w:rPr>
          <w:sz w:val="24"/>
          <w:szCs w:val="24"/>
        </w:rPr>
        <w:t xml:space="preserve"> secondaire, de la Formation Professionnelle et Technique (MESFPT) gagnerait à mettre en œuvre sa stratégie intégrée de renforcement de l’encadrement pédagogique, adopté en 2018. Car </w:t>
      </w:r>
      <w:r w:rsidR="008F0E54">
        <w:rPr>
          <w:sz w:val="24"/>
          <w:szCs w:val="24"/>
        </w:rPr>
        <w:t xml:space="preserve">comme </w:t>
      </w:r>
      <w:r w:rsidR="008F0E54">
        <w:rPr>
          <w:sz w:val="23"/>
          <w:szCs w:val="23"/>
        </w:rPr>
        <w:t>le</w:t>
      </w:r>
      <w:r w:rsidRPr="00AA2CB8">
        <w:rPr>
          <w:sz w:val="24"/>
          <w:szCs w:val="24"/>
        </w:rPr>
        <w:t xml:space="preserve"> reconnaît la Campagne Mondiale pour l’Education </w:t>
      </w:r>
      <w:r w:rsidRPr="00940482">
        <w:rPr>
          <w:sz w:val="24"/>
          <w:szCs w:val="24"/>
        </w:rPr>
        <w:t>(CME) (2012),</w:t>
      </w:r>
      <w:r w:rsidRPr="00AA2CB8">
        <w:rPr>
          <w:sz w:val="24"/>
          <w:szCs w:val="24"/>
        </w:rPr>
        <w:t xml:space="preserve"> la qualité de l’éducation tient d’abord à celle des enseigna</w:t>
      </w:r>
      <w:r>
        <w:rPr>
          <w:sz w:val="24"/>
          <w:szCs w:val="24"/>
        </w:rPr>
        <w:t xml:space="preserve">nts </w:t>
      </w:r>
      <w:r w:rsidRPr="00AA2CB8">
        <w:rPr>
          <w:sz w:val="24"/>
          <w:szCs w:val="24"/>
        </w:rPr>
        <w:t>mais a</w:t>
      </w:r>
      <w:r>
        <w:rPr>
          <w:sz w:val="24"/>
          <w:szCs w:val="24"/>
        </w:rPr>
        <w:t>ussi à celle du dispositif d’</w:t>
      </w:r>
      <w:r w:rsidRPr="00AA2CB8">
        <w:rPr>
          <w:sz w:val="24"/>
          <w:szCs w:val="24"/>
        </w:rPr>
        <w:t>encadrement pédagogique</w:t>
      </w:r>
      <w:r>
        <w:rPr>
          <w:sz w:val="24"/>
          <w:szCs w:val="24"/>
        </w:rPr>
        <w:t>.</w:t>
      </w:r>
    </w:p>
    <w:p w14:paraId="7E5ACECF" w14:textId="77777777" w:rsidR="00D80693" w:rsidRPr="00A0667D" w:rsidRDefault="00D80693" w:rsidP="00CD045B">
      <w:pPr>
        <w:spacing w:before="120" w:after="200"/>
        <w:rPr>
          <w:rFonts w:eastAsia="Calibri"/>
          <w:b/>
          <w:sz w:val="28"/>
          <w:szCs w:val="28"/>
          <w:lang w:val="en-US"/>
        </w:rPr>
      </w:pPr>
      <w:proofErr w:type="spellStart"/>
      <w:r w:rsidRPr="00A0667D">
        <w:rPr>
          <w:b/>
          <w:sz w:val="28"/>
          <w:szCs w:val="28"/>
          <w:lang w:val="en-US"/>
        </w:rPr>
        <w:t>Références</w:t>
      </w:r>
      <w:proofErr w:type="spellEnd"/>
      <w:r w:rsidRPr="00A0667D">
        <w:rPr>
          <w:b/>
          <w:sz w:val="28"/>
          <w:szCs w:val="28"/>
          <w:lang w:val="en-US"/>
        </w:rPr>
        <w:t xml:space="preserve"> </w:t>
      </w:r>
      <w:proofErr w:type="spellStart"/>
      <w:r w:rsidRPr="00A0667D">
        <w:rPr>
          <w:b/>
          <w:sz w:val="28"/>
          <w:szCs w:val="28"/>
          <w:lang w:val="en-US"/>
        </w:rPr>
        <w:t>bibliographiques</w:t>
      </w:r>
      <w:proofErr w:type="spellEnd"/>
    </w:p>
    <w:p w14:paraId="7CBCD34F" w14:textId="77777777" w:rsidR="00D80693" w:rsidRPr="00D00A7D" w:rsidRDefault="00D80693" w:rsidP="00CD045B">
      <w:pPr>
        <w:spacing w:before="120" w:after="200"/>
        <w:ind w:left="720" w:hanging="720"/>
        <w:rPr>
          <w:rFonts w:eastAsia="Calibri"/>
          <w:noProof/>
          <w:sz w:val="24"/>
          <w:szCs w:val="24"/>
          <w:lang w:val="en-US"/>
        </w:rPr>
      </w:pPr>
      <w:r w:rsidRPr="00D00A7D">
        <w:rPr>
          <w:b/>
          <w:sz w:val="24"/>
          <w:szCs w:val="24"/>
        </w:rPr>
        <w:fldChar w:fldCharType="begin"/>
      </w:r>
      <w:r w:rsidRPr="00D00A7D">
        <w:rPr>
          <w:b/>
          <w:sz w:val="24"/>
          <w:szCs w:val="24"/>
          <w:lang w:val="en-US"/>
        </w:rPr>
        <w:instrText xml:space="preserve"> BIBLIOGRAPHY  \l 1036 </w:instrText>
      </w:r>
      <w:r w:rsidRPr="00D00A7D">
        <w:rPr>
          <w:b/>
          <w:sz w:val="24"/>
          <w:szCs w:val="24"/>
        </w:rPr>
        <w:fldChar w:fldCharType="separate"/>
      </w:r>
      <w:r w:rsidRPr="00D00A7D">
        <w:rPr>
          <w:noProof/>
          <w:sz w:val="24"/>
          <w:szCs w:val="24"/>
          <w:lang w:val="en-US"/>
        </w:rPr>
        <w:t xml:space="preserve">Adeoye, M. (2024). Mastering the Basics: A Guide to Research Methodology for Effective Writing and Pulication. </w:t>
      </w:r>
      <w:r w:rsidRPr="00D00A7D">
        <w:rPr>
          <w:i/>
          <w:iCs/>
          <w:noProof/>
          <w:sz w:val="24"/>
          <w:szCs w:val="24"/>
          <w:lang w:val="en-US"/>
        </w:rPr>
        <w:t>Chalim Journal of Teaching and Learning, 4</w:t>
      </w:r>
      <w:r>
        <w:rPr>
          <w:noProof/>
          <w:sz w:val="24"/>
          <w:szCs w:val="24"/>
          <w:lang w:val="en-US"/>
        </w:rPr>
        <w:t xml:space="preserve">(1), </w:t>
      </w:r>
      <w:r w:rsidRPr="00D00A7D">
        <w:rPr>
          <w:noProof/>
          <w:sz w:val="24"/>
          <w:szCs w:val="24"/>
          <w:lang w:val="en-US"/>
        </w:rPr>
        <w:t>30-41.</w:t>
      </w:r>
    </w:p>
    <w:p w14:paraId="7303750F" w14:textId="77777777" w:rsidR="00D80693" w:rsidRPr="00D00A7D" w:rsidRDefault="00D80693" w:rsidP="00CD045B">
      <w:pPr>
        <w:spacing w:before="120" w:after="200"/>
        <w:ind w:left="720" w:hanging="720"/>
        <w:rPr>
          <w:rFonts w:eastAsia="Calibri"/>
          <w:noProof/>
          <w:sz w:val="24"/>
          <w:szCs w:val="24"/>
          <w:lang w:val="en-US"/>
        </w:rPr>
      </w:pPr>
      <w:r w:rsidRPr="00D00A7D">
        <w:rPr>
          <w:noProof/>
          <w:sz w:val="24"/>
          <w:szCs w:val="24"/>
          <w:lang w:val="en-US"/>
        </w:rPr>
        <w:t xml:space="preserve">Bruner, J. S. (1960). </w:t>
      </w:r>
      <w:r w:rsidRPr="00D00A7D">
        <w:rPr>
          <w:i/>
          <w:iCs/>
          <w:noProof/>
          <w:sz w:val="24"/>
          <w:szCs w:val="24"/>
          <w:lang w:val="en-US"/>
        </w:rPr>
        <w:t>The Process of education.</w:t>
      </w:r>
      <w:r w:rsidRPr="00D00A7D">
        <w:rPr>
          <w:noProof/>
          <w:sz w:val="24"/>
          <w:szCs w:val="24"/>
          <w:lang w:val="en-US"/>
        </w:rPr>
        <w:t xml:space="preserve"> Harvard University Press. https:doi.org/10.4159/9780674028999.</w:t>
      </w:r>
    </w:p>
    <w:p w14:paraId="66AEA7EC" w14:textId="77777777" w:rsidR="00D80693" w:rsidRPr="00D00A7D" w:rsidRDefault="00D80693" w:rsidP="00CD045B">
      <w:pPr>
        <w:spacing w:before="120" w:after="200"/>
        <w:ind w:left="720" w:hanging="720"/>
        <w:rPr>
          <w:rFonts w:eastAsia="Calibri"/>
          <w:noProof/>
          <w:sz w:val="24"/>
          <w:szCs w:val="24"/>
        </w:rPr>
      </w:pPr>
      <w:r w:rsidRPr="00411EA2">
        <w:rPr>
          <w:noProof/>
          <w:sz w:val="24"/>
          <w:szCs w:val="24"/>
        </w:rPr>
        <w:t>Campagne</w:t>
      </w:r>
      <w:r w:rsidRPr="00D00A7D">
        <w:rPr>
          <w:noProof/>
          <w:sz w:val="24"/>
          <w:szCs w:val="24"/>
        </w:rPr>
        <w:t xml:space="preserve"> Mondiale pour l'Education. (2012). </w:t>
      </w:r>
      <w:r w:rsidRPr="00D00A7D">
        <w:rPr>
          <w:i/>
          <w:iCs/>
          <w:noProof/>
          <w:sz w:val="24"/>
          <w:szCs w:val="24"/>
        </w:rPr>
        <w:t>Combler le manque d'enseignants qualifiés.</w:t>
      </w:r>
      <w:r w:rsidRPr="00D00A7D">
        <w:rPr>
          <w:noProof/>
          <w:sz w:val="24"/>
          <w:szCs w:val="24"/>
        </w:rPr>
        <w:t xml:space="preserve"> Campagne Mondiale pour l'Education. https: //campaignforeducation.org/images/downloads/f1/1560/gce-ecnat-fr.</w:t>
      </w:r>
    </w:p>
    <w:p w14:paraId="556D0317" w14:textId="77777777" w:rsidR="00D80693" w:rsidRPr="00D00A7D" w:rsidRDefault="00D80693" w:rsidP="00CD045B">
      <w:pPr>
        <w:spacing w:before="120" w:after="200"/>
        <w:ind w:left="720" w:hanging="720"/>
        <w:rPr>
          <w:rFonts w:eastAsia="Calibri"/>
          <w:noProof/>
          <w:sz w:val="24"/>
          <w:szCs w:val="24"/>
        </w:rPr>
      </w:pPr>
      <w:r w:rsidRPr="00411EA2">
        <w:rPr>
          <w:noProof/>
          <w:sz w:val="24"/>
          <w:szCs w:val="24"/>
        </w:rPr>
        <w:t>Direction</w:t>
      </w:r>
      <w:r w:rsidRPr="00D00A7D">
        <w:rPr>
          <w:noProof/>
          <w:sz w:val="24"/>
          <w:szCs w:val="24"/>
        </w:rPr>
        <w:t xml:space="preserve"> Générale de l'Encadrement Pédagogique et de la Formation Initiale et Continue. (2018). </w:t>
      </w:r>
      <w:r w:rsidRPr="00D00A7D">
        <w:rPr>
          <w:i/>
          <w:iCs/>
          <w:noProof/>
          <w:sz w:val="24"/>
          <w:szCs w:val="24"/>
        </w:rPr>
        <w:t>Stratégie Intégrée de Renforcement de l'Encadrement Pédagogique.</w:t>
      </w:r>
      <w:r w:rsidRPr="00D00A7D">
        <w:rPr>
          <w:noProof/>
          <w:sz w:val="24"/>
          <w:szCs w:val="24"/>
        </w:rPr>
        <w:t xml:space="preserve"> MENAPLN. https://bop.bf/wp-content/uploads/SIREP-vf.</w:t>
      </w:r>
    </w:p>
    <w:p w14:paraId="521C7AF2"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Doise, W., &amp; Mugny, G. (1981). </w:t>
      </w:r>
      <w:r w:rsidRPr="00D00A7D">
        <w:rPr>
          <w:i/>
          <w:iCs/>
          <w:noProof/>
          <w:sz w:val="24"/>
          <w:szCs w:val="24"/>
        </w:rPr>
        <w:t>Le développement social de l'intelligence.</w:t>
      </w:r>
      <w:r w:rsidRPr="00D00A7D">
        <w:rPr>
          <w:noProof/>
          <w:sz w:val="24"/>
          <w:szCs w:val="24"/>
        </w:rPr>
        <w:t xml:space="preserve"> InterEditions.</w:t>
      </w:r>
    </w:p>
    <w:p w14:paraId="29A57DD7" w14:textId="77777777" w:rsidR="00D80693" w:rsidRPr="00D00A7D" w:rsidRDefault="00D80693" w:rsidP="00CD045B">
      <w:pPr>
        <w:spacing w:before="120" w:after="200"/>
        <w:ind w:left="720" w:hanging="720"/>
        <w:rPr>
          <w:rFonts w:eastAsia="Calibri"/>
          <w:noProof/>
          <w:sz w:val="24"/>
          <w:szCs w:val="24"/>
          <w:lang w:val="en-US"/>
        </w:rPr>
      </w:pPr>
      <w:r w:rsidRPr="00D00A7D">
        <w:rPr>
          <w:noProof/>
          <w:sz w:val="24"/>
          <w:szCs w:val="24"/>
        </w:rPr>
        <w:t xml:space="preserve">Doise, W., &amp; Mugny, G. (1993). </w:t>
      </w:r>
      <w:r w:rsidRPr="00D00A7D">
        <w:rPr>
          <w:i/>
          <w:iCs/>
          <w:noProof/>
          <w:sz w:val="24"/>
          <w:szCs w:val="24"/>
        </w:rPr>
        <w:t>Psychologie sociale et développement cognitif.</w:t>
      </w:r>
      <w:r w:rsidRPr="00D00A7D">
        <w:rPr>
          <w:noProof/>
          <w:sz w:val="24"/>
          <w:szCs w:val="24"/>
        </w:rPr>
        <w:t xml:space="preserve"> </w:t>
      </w:r>
      <w:r w:rsidRPr="00D00A7D">
        <w:rPr>
          <w:noProof/>
          <w:sz w:val="24"/>
          <w:szCs w:val="24"/>
          <w:lang w:val="en-US"/>
        </w:rPr>
        <w:t>Armand Colin.</w:t>
      </w:r>
    </w:p>
    <w:p w14:paraId="4CD97879"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lang w:val="en-US"/>
        </w:rPr>
        <w:t xml:space="preserve">Glickman, D. C. (1980). The Developmental Approach to supervision. </w:t>
      </w:r>
      <w:r w:rsidRPr="00D00A7D">
        <w:rPr>
          <w:i/>
          <w:iCs/>
          <w:noProof/>
          <w:sz w:val="24"/>
          <w:szCs w:val="24"/>
        </w:rPr>
        <w:t>Educational Leadership, 38</w:t>
      </w:r>
      <w:r>
        <w:rPr>
          <w:noProof/>
          <w:sz w:val="24"/>
          <w:szCs w:val="24"/>
        </w:rPr>
        <w:t>(2),</w:t>
      </w:r>
      <w:r w:rsidRPr="00D00A7D">
        <w:rPr>
          <w:noProof/>
          <w:sz w:val="24"/>
          <w:szCs w:val="24"/>
        </w:rPr>
        <w:t xml:space="preserve"> 178-180.</w:t>
      </w:r>
    </w:p>
    <w:p w14:paraId="4DEF8BDA"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Houssaye, J. (2014). La pédagogie traditionnelle: Une histoire de la pédagogie. </w:t>
      </w:r>
      <w:r w:rsidRPr="00D00A7D">
        <w:rPr>
          <w:i/>
          <w:iCs/>
          <w:noProof/>
          <w:sz w:val="24"/>
          <w:szCs w:val="24"/>
        </w:rPr>
        <w:t>Recherches en éducation, 19</w:t>
      </w:r>
      <w:r w:rsidRPr="00D00A7D">
        <w:rPr>
          <w:noProof/>
          <w:sz w:val="24"/>
          <w:szCs w:val="24"/>
        </w:rPr>
        <w:t>, 67-78. https://doi.org/10.4000/ree.8409.</w:t>
      </w:r>
    </w:p>
    <w:p w14:paraId="79D5187D"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Huberman, M., &amp; Miles, M. B. (1991). </w:t>
      </w:r>
      <w:r w:rsidRPr="00D00A7D">
        <w:rPr>
          <w:i/>
          <w:iCs/>
          <w:noProof/>
          <w:sz w:val="24"/>
          <w:szCs w:val="24"/>
        </w:rPr>
        <w:t>Analyse des données qualitatives: recueil de nouvelles méthodes ( M. H. Rispal, Trad., 2e éd.).</w:t>
      </w:r>
      <w:r w:rsidRPr="00D00A7D">
        <w:rPr>
          <w:noProof/>
          <w:sz w:val="24"/>
          <w:szCs w:val="24"/>
        </w:rPr>
        <w:t xml:space="preserve"> De Boeck.</w:t>
      </w:r>
    </w:p>
    <w:p w14:paraId="7F195BA2"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Jaffelot, A. (2020). </w:t>
      </w:r>
      <w:r w:rsidRPr="00D00A7D">
        <w:rPr>
          <w:i/>
          <w:iCs/>
          <w:noProof/>
          <w:sz w:val="24"/>
          <w:szCs w:val="24"/>
        </w:rPr>
        <w:t>La pédagogie active: théories et pratiques.</w:t>
      </w:r>
      <w:r w:rsidRPr="00D00A7D">
        <w:rPr>
          <w:noProof/>
          <w:sz w:val="24"/>
          <w:szCs w:val="24"/>
        </w:rPr>
        <w:t xml:space="preserve"> Presses Universitaires.</w:t>
      </w:r>
    </w:p>
    <w:p w14:paraId="0ADD492B"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Kouadio, N. N. (2023). Efficacité de l'encadrement pédagogique des professeurs d'allemand du secondaire en Côte d'Ivoire: Aspects psychologiques et perspectives. </w:t>
      </w:r>
      <w:r w:rsidRPr="00D00A7D">
        <w:rPr>
          <w:i/>
          <w:iCs/>
          <w:noProof/>
          <w:sz w:val="24"/>
          <w:szCs w:val="24"/>
        </w:rPr>
        <w:t>Ziglobitha, Revue des Arts, Linguistique, Littérature et Civilisation (RA2LC), 08</w:t>
      </w:r>
      <w:r>
        <w:rPr>
          <w:noProof/>
          <w:sz w:val="24"/>
          <w:szCs w:val="24"/>
        </w:rPr>
        <w:t xml:space="preserve">, </w:t>
      </w:r>
      <w:r w:rsidRPr="00D00A7D">
        <w:rPr>
          <w:noProof/>
          <w:sz w:val="24"/>
          <w:szCs w:val="24"/>
        </w:rPr>
        <w:t>159-172.</w:t>
      </w:r>
    </w:p>
    <w:p w14:paraId="664CBF13"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Ministère de l'Education Nationale, de l'Alphabétisation et de la Promotion des Langues Nationales. (2020). </w:t>
      </w:r>
      <w:r w:rsidRPr="00D00A7D">
        <w:rPr>
          <w:i/>
          <w:iCs/>
          <w:noProof/>
          <w:sz w:val="24"/>
          <w:szCs w:val="24"/>
        </w:rPr>
        <w:t>Arrêté n°2020-100/MENAPLN/SG/DGEPFIC du 24 avril 2020 portant attributions, organisation et fonctionnement de la Direction Génrérale de l'Encadrement Pédagogique et de la Formation Initiale et Continue.</w:t>
      </w:r>
      <w:r w:rsidRPr="00D00A7D">
        <w:rPr>
          <w:noProof/>
          <w:sz w:val="24"/>
          <w:szCs w:val="24"/>
        </w:rPr>
        <w:t xml:space="preserve"> MENAPLN.</w:t>
      </w:r>
    </w:p>
    <w:p w14:paraId="294B2E8B"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Ministère de l'Education Nationale, de l'Alphabétisation et de la Promotion des Langues Nationales. (2023). </w:t>
      </w:r>
      <w:r w:rsidRPr="00D00A7D">
        <w:rPr>
          <w:i/>
          <w:iCs/>
          <w:noProof/>
          <w:sz w:val="24"/>
          <w:szCs w:val="24"/>
        </w:rPr>
        <w:t>Tableau de bord des enseignements post-primaire et secondaire.</w:t>
      </w:r>
      <w:r w:rsidRPr="00D00A7D">
        <w:rPr>
          <w:noProof/>
          <w:sz w:val="24"/>
          <w:szCs w:val="24"/>
        </w:rPr>
        <w:t xml:space="preserve"> DGESS.</w:t>
      </w:r>
    </w:p>
    <w:p w14:paraId="444560E3" w14:textId="77777777" w:rsidR="00D80693" w:rsidRPr="00A0667D" w:rsidRDefault="00D80693" w:rsidP="00CD045B">
      <w:pPr>
        <w:spacing w:before="120" w:after="200"/>
        <w:ind w:left="720" w:hanging="720"/>
        <w:rPr>
          <w:rFonts w:eastAsia="Calibri"/>
          <w:noProof/>
          <w:sz w:val="24"/>
          <w:szCs w:val="24"/>
          <w:lang w:val="en-US"/>
        </w:rPr>
      </w:pPr>
      <w:r w:rsidRPr="00D00A7D">
        <w:rPr>
          <w:noProof/>
          <w:sz w:val="24"/>
          <w:szCs w:val="24"/>
        </w:rPr>
        <w:t xml:space="preserve">Mulatu, D. (2016). Guided Paper on Developmental Supervision: Critical Review[ Guide sur l'encadrement développmental: analyse critique]. </w:t>
      </w:r>
      <w:r w:rsidRPr="00A0667D">
        <w:rPr>
          <w:i/>
          <w:iCs/>
          <w:noProof/>
          <w:sz w:val="24"/>
          <w:szCs w:val="24"/>
          <w:lang w:val="en-US"/>
        </w:rPr>
        <w:t>International Journal for Research in Applied Science, 2</w:t>
      </w:r>
      <w:r>
        <w:rPr>
          <w:noProof/>
          <w:sz w:val="24"/>
          <w:szCs w:val="24"/>
          <w:lang w:val="en-US"/>
        </w:rPr>
        <w:t>(1),</w:t>
      </w:r>
      <w:r w:rsidRPr="00A0667D">
        <w:rPr>
          <w:noProof/>
          <w:sz w:val="24"/>
          <w:szCs w:val="24"/>
          <w:lang w:val="en-US"/>
        </w:rPr>
        <w:t xml:space="preserve"> 39-53.</w:t>
      </w:r>
    </w:p>
    <w:p w14:paraId="34A2CEDD" w14:textId="77777777" w:rsidR="00D80693" w:rsidRPr="00D00A7D" w:rsidRDefault="00D80693" w:rsidP="00CD045B">
      <w:pPr>
        <w:spacing w:before="120" w:after="200"/>
        <w:ind w:left="720" w:hanging="720"/>
        <w:rPr>
          <w:rFonts w:eastAsia="Calibri"/>
          <w:noProof/>
          <w:sz w:val="24"/>
          <w:szCs w:val="24"/>
        </w:rPr>
      </w:pPr>
      <w:r w:rsidRPr="00A0667D">
        <w:rPr>
          <w:noProof/>
          <w:sz w:val="24"/>
          <w:szCs w:val="24"/>
          <w:lang w:val="en-US"/>
        </w:rPr>
        <w:t xml:space="preserve">PRESIDENCE DU FASO. </w:t>
      </w:r>
      <w:r w:rsidRPr="00D00A7D">
        <w:rPr>
          <w:noProof/>
          <w:sz w:val="24"/>
          <w:szCs w:val="24"/>
        </w:rPr>
        <w:t xml:space="preserve">(2020). </w:t>
      </w:r>
      <w:r w:rsidRPr="00D00A7D">
        <w:rPr>
          <w:i/>
          <w:iCs/>
          <w:noProof/>
          <w:sz w:val="24"/>
          <w:szCs w:val="24"/>
        </w:rPr>
        <w:t>Décret n° 2020-0245/PRES/PM/MFPTPS/MINEFID/ du 30 mars 2020 portant statut particulier du métier éducation, formation et promotion de l'emploi.</w:t>
      </w:r>
      <w:r w:rsidRPr="00D00A7D">
        <w:rPr>
          <w:noProof/>
          <w:sz w:val="24"/>
          <w:szCs w:val="24"/>
        </w:rPr>
        <w:t xml:space="preserve"> PRESIDENCE DU FASO.</w:t>
      </w:r>
    </w:p>
    <w:p w14:paraId="64E6CB6D"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PRESIDENCE DU FASO. (2024). </w:t>
      </w:r>
      <w:r w:rsidRPr="00D00A7D">
        <w:rPr>
          <w:i/>
          <w:iCs/>
          <w:noProof/>
          <w:sz w:val="24"/>
          <w:szCs w:val="24"/>
        </w:rPr>
        <w:t>Décret n° 2024-1385 /PRES/PM/MESFPT portant organisation du Ministère de l’Enseignement secondaire, de la Formation professionnelle et technique du 07 novembre 2024, 90 p.</w:t>
      </w:r>
      <w:r w:rsidRPr="00D00A7D">
        <w:rPr>
          <w:noProof/>
          <w:sz w:val="24"/>
          <w:szCs w:val="24"/>
        </w:rPr>
        <w:t xml:space="preserve"> PRESIDENCE DU FASO.</w:t>
      </w:r>
    </w:p>
    <w:p w14:paraId="0516F7F5"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lang w:val="en-US"/>
        </w:rPr>
        <w:t xml:space="preserve">Quivy, R., &amp; Campendhout, L. V. (2006). </w:t>
      </w:r>
      <w:r w:rsidRPr="00D00A7D">
        <w:rPr>
          <w:i/>
          <w:iCs/>
          <w:noProof/>
          <w:sz w:val="24"/>
          <w:szCs w:val="24"/>
        </w:rPr>
        <w:t>Manuel de recherche en sciences sociales.</w:t>
      </w:r>
      <w:r w:rsidRPr="00D00A7D">
        <w:rPr>
          <w:noProof/>
          <w:sz w:val="24"/>
          <w:szCs w:val="24"/>
        </w:rPr>
        <w:t xml:space="preserve"> Dunod.</w:t>
      </w:r>
    </w:p>
    <w:p w14:paraId="5D331FEF"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Raynal, F., &amp; Rieunier, J. (2005). </w:t>
      </w:r>
      <w:r w:rsidRPr="00D00A7D">
        <w:rPr>
          <w:i/>
          <w:iCs/>
          <w:noProof/>
          <w:sz w:val="24"/>
          <w:szCs w:val="24"/>
        </w:rPr>
        <w:t>Pédagogie: dictionnaire des concepts (5e éd.).</w:t>
      </w:r>
      <w:r w:rsidRPr="00D00A7D">
        <w:rPr>
          <w:noProof/>
          <w:sz w:val="24"/>
          <w:szCs w:val="24"/>
        </w:rPr>
        <w:t xml:space="preserve"> Editions ESF.</w:t>
      </w:r>
    </w:p>
    <w:p w14:paraId="0D5CFAEE"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Sessouma, M. D. (2020). </w:t>
      </w:r>
      <w:r w:rsidRPr="00D00A7D">
        <w:rPr>
          <w:i/>
          <w:iCs/>
          <w:noProof/>
          <w:sz w:val="24"/>
          <w:szCs w:val="24"/>
        </w:rPr>
        <w:t>Le refus des visites de clase par les enseignants du post-primaire et du secondaire de la région du Centre au Burkina Faso [Mémoire de Master en Sciences de l'Education non publié].</w:t>
      </w:r>
      <w:r w:rsidRPr="00D00A7D">
        <w:rPr>
          <w:noProof/>
          <w:sz w:val="24"/>
          <w:szCs w:val="24"/>
        </w:rPr>
        <w:t xml:space="preserve"> IFRISSE.</w:t>
      </w:r>
    </w:p>
    <w:p w14:paraId="43132D8A"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Vygotski, L. E. (2002). </w:t>
      </w:r>
      <w:r w:rsidRPr="00D00A7D">
        <w:rPr>
          <w:i/>
          <w:iCs/>
          <w:noProof/>
          <w:sz w:val="24"/>
          <w:szCs w:val="24"/>
        </w:rPr>
        <w:t>Langage.</w:t>
      </w:r>
      <w:r w:rsidRPr="00D00A7D">
        <w:rPr>
          <w:noProof/>
          <w:sz w:val="24"/>
          <w:szCs w:val="24"/>
        </w:rPr>
        <w:t xml:space="preserve"> Paris: PUF.</w:t>
      </w:r>
    </w:p>
    <w:p w14:paraId="51C6DFFF"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Vygotski, L. S. (1933/1985). Le problème de l'enseignement et du développment mental à l'âge scolaire. Dans B. Schneuwly, &amp; J.-P. Bronckart, </w:t>
      </w:r>
      <w:r w:rsidRPr="00D00A7D">
        <w:rPr>
          <w:i/>
          <w:iCs/>
          <w:noProof/>
          <w:sz w:val="24"/>
          <w:szCs w:val="24"/>
        </w:rPr>
        <w:t>Vygotski, aujourd'hui</w:t>
      </w:r>
      <w:r w:rsidRPr="00D00A7D">
        <w:rPr>
          <w:noProof/>
          <w:sz w:val="24"/>
          <w:szCs w:val="24"/>
        </w:rPr>
        <w:t xml:space="preserve"> (pp. 95-123). Librairie Droz.</w:t>
      </w:r>
    </w:p>
    <w:p w14:paraId="558C23CF" w14:textId="77777777" w:rsidR="00D80693" w:rsidRPr="00D00A7D" w:rsidRDefault="00D80693" w:rsidP="00CD045B">
      <w:pPr>
        <w:spacing w:before="120" w:after="200"/>
        <w:ind w:left="720" w:hanging="720"/>
        <w:rPr>
          <w:rFonts w:eastAsia="Calibri"/>
          <w:noProof/>
          <w:sz w:val="24"/>
          <w:szCs w:val="24"/>
        </w:rPr>
      </w:pPr>
      <w:r w:rsidRPr="00D00A7D">
        <w:rPr>
          <w:noProof/>
          <w:sz w:val="24"/>
          <w:szCs w:val="24"/>
        </w:rPr>
        <w:t xml:space="preserve">Vygotski, L. S. (1985). </w:t>
      </w:r>
      <w:r w:rsidRPr="00D00A7D">
        <w:rPr>
          <w:i/>
          <w:iCs/>
          <w:noProof/>
          <w:sz w:val="24"/>
          <w:szCs w:val="24"/>
        </w:rPr>
        <w:t>Pensée et language ( F. Sève, Trad.).</w:t>
      </w:r>
      <w:r w:rsidRPr="00D00A7D">
        <w:rPr>
          <w:noProof/>
          <w:sz w:val="24"/>
          <w:szCs w:val="24"/>
        </w:rPr>
        <w:t xml:space="preserve"> Paris: Editions Sociales.</w:t>
      </w:r>
    </w:p>
    <w:p w14:paraId="7C46A4CC" w14:textId="77777777" w:rsidR="00D80693" w:rsidRPr="00D00A7D" w:rsidRDefault="00D80693" w:rsidP="00CD045B">
      <w:pPr>
        <w:spacing w:before="120" w:after="200"/>
        <w:rPr>
          <w:rFonts w:eastAsia="Calibri"/>
          <w:b/>
          <w:sz w:val="24"/>
          <w:szCs w:val="24"/>
        </w:rPr>
      </w:pPr>
      <w:r w:rsidRPr="00D00A7D">
        <w:rPr>
          <w:b/>
          <w:sz w:val="24"/>
          <w:szCs w:val="24"/>
        </w:rPr>
        <w:fldChar w:fldCharType="end"/>
      </w:r>
    </w:p>
    <w:p w14:paraId="3D2D15D4" w14:textId="77777777" w:rsidR="00D80693" w:rsidRDefault="00D80693" w:rsidP="00D80693">
      <w:pPr>
        <w:spacing w:after="200" w:line="276" w:lineRule="auto"/>
        <w:rPr>
          <w:rFonts w:eastAsia="Calibri"/>
          <w:b/>
          <w:sz w:val="28"/>
          <w:szCs w:val="28"/>
        </w:rPr>
      </w:pPr>
    </w:p>
    <w:p w14:paraId="05AB3944" w14:textId="77777777" w:rsidR="00D80693" w:rsidRDefault="00D80693" w:rsidP="00D80693">
      <w:pPr>
        <w:spacing w:after="200" w:line="276" w:lineRule="auto"/>
        <w:rPr>
          <w:rFonts w:eastAsia="Calibri"/>
          <w:b/>
          <w:sz w:val="28"/>
          <w:szCs w:val="28"/>
        </w:rPr>
      </w:pPr>
    </w:p>
    <w:p w14:paraId="14C0919D" w14:textId="77777777" w:rsidR="00D80693" w:rsidRPr="00CB527F" w:rsidRDefault="00D80693" w:rsidP="00D80693">
      <w:pPr>
        <w:spacing w:after="200" w:line="276" w:lineRule="auto"/>
        <w:rPr>
          <w:rFonts w:eastAsia="Calibri"/>
          <w:b/>
          <w:sz w:val="28"/>
          <w:szCs w:val="28"/>
        </w:rPr>
      </w:pPr>
    </w:p>
    <w:p w14:paraId="3A9EF872" w14:textId="77777777" w:rsidR="00D80693" w:rsidRDefault="00D80693" w:rsidP="00D80693">
      <w:pPr>
        <w:adjustRightInd w:val="0"/>
        <w:spacing w:line="360" w:lineRule="auto"/>
        <w:jc w:val="both"/>
        <w:rPr>
          <w:rFonts w:eastAsia="Calibri"/>
          <w:sz w:val="24"/>
          <w:szCs w:val="24"/>
        </w:rPr>
      </w:pPr>
    </w:p>
    <w:p w14:paraId="7FAE0108" w14:textId="77777777" w:rsidR="00D80693" w:rsidRPr="000A768B" w:rsidRDefault="00D80693" w:rsidP="00D80693">
      <w:pPr>
        <w:adjustRightInd w:val="0"/>
        <w:spacing w:line="360" w:lineRule="auto"/>
        <w:jc w:val="both"/>
        <w:rPr>
          <w:rFonts w:eastAsia="Calibri"/>
          <w:sz w:val="24"/>
          <w:szCs w:val="24"/>
        </w:rPr>
        <w:sectPr w:rsidR="00D80693" w:rsidRPr="000A768B" w:rsidSect="008F0E54">
          <w:headerReference w:type="default" r:id="rId72"/>
          <w:footerReference w:type="default" r:id="rId73"/>
          <w:pgSz w:w="11906" w:h="16838"/>
          <w:pgMar w:top="1417" w:right="1417" w:bottom="1417" w:left="1417" w:header="708" w:footer="849" w:gutter="0"/>
          <w:cols w:space="708"/>
          <w:docGrid w:linePitch="360"/>
        </w:sectPr>
      </w:pPr>
    </w:p>
    <w:p w14:paraId="516A8505" w14:textId="2B24E7A0" w:rsidR="00D80693" w:rsidRPr="007B22B9" w:rsidRDefault="008F0E54" w:rsidP="007B22B9">
      <w:pPr>
        <w:pStyle w:val="Titre1"/>
        <w:spacing w:before="120"/>
        <w:ind w:left="164"/>
        <w:rPr>
          <w:rFonts w:eastAsia="Calibri"/>
          <w:i/>
          <w:iCs/>
          <w:szCs w:val="32"/>
        </w:rPr>
      </w:pPr>
      <w:bookmarkStart w:id="32" w:name="_Toc219272560"/>
      <w:r w:rsidRPr="007B22B9">
        <w:rPr>
          <w:i/>
          <w:iCs/>
          <w:szCs w:val="32"/>
        </w:rPr>
        <w:t>Influence de la motivation sur la performance académique des étudiants de première année d’architecture d’Abidjan</w:t>
      </w:r>
      <w:bookmarkEnd w:id="32"/>
    </w:p>
    <w:p w14:paraId="3F1606E9" w14:textId="77777777" w:rsidR="00D80693" w:rsidRPr="007B22B9" w:rsidRDefault="00D80693" w:rsidP="007B22B9">
      <w:pPr>
        <w:pStyle w:val="Titre1"/>
        <w:spacing w:before="120"/>
        <w:ind w:left="164"/>
        <w:rPr>
          <w:rFonts w:eastAsia="Calibri"/>
        </w:rPr>
      </w:pPr>
      <w:bookmarkStart w:id="33" w:name="_Toc219272561"/>
      <w:r w:rsidRPr="007B22B9">
        <w:t>Paul Blanchard AKE, Kouakou Bruno KANGA</w:t>
      </w:r>
      <w:bookmarkEnd w:id="33"/>
    </w:p>
    <w:p w14:paraId="4B13F82E" w14:textId="77777777" w:rsidR="00D80693" w:rsidRPr="00553CC6" w:rsidRDefault="00D80693" w:rsidP="00D80693">
      <w:pPr>
        <w:spacing w:before="240"/>
        <w:jc w:val="center"/>
        <w:rPr>
          <w:rFonts w:eastAsia="Calibri"/>
          <w:sz w:val="24"/>
          <w:szCs w:val="24"/>
        </w:rPr>
      </w:pPr>
    </w:p>
    <w:p w14:paraId="45BE25C7" w14:textId="77777777" w:rsidR="008F0E54" w:rsidRDefault="00D80693" w:rsidP="00D80693">
      <w:pPr>
        <w:spacing w:before="50" w:after="50"/>
        <w:jc w:val="both"/>
        <w:rPr>
          <w:b/>
          <w:bCs/>
          <w:sz w:val="24"/>
          <w:szCs w:val="24"/>
        </w:rPr>
      </w:pPr>
      <w:r w:rsidRPr="002F4D2B">
        <w:rPr>
          <w:b/>
          <w:bCs/>
          <w:sz w:val="24"/>
          <w:szCs w:val="24"/>
        </w:rPr>
        <w:t>Résumé </w:t>
      </w:r>
    </w:p>
    <w:p w14:paraId="5824C6E4" w14:textId="2ABC20E1" w:rsidR="00D80693" w:rsidRPr="002F4D2B" w:rsidRDefault="00D80693" w:rsidP="00D80693">
      <w:pPr>
        <w:spacing w:before="50" w:after="50"/>
        <w:jc w:val="both"/>
        <w:rPr>
          <w:rFonts w:eastAsia="Calibri"/>
          <w:bCs/>
          <w:sz w:val="24"/>
          <w:szCs w:val="24"/>
        </w:rPr>
      </w:pPr>
      <w:r w:rsidRPr="002F4D2B">
        <w:rPr>
          <w:bCs/>
          <w:sz w:val="24"/>
          <w:szCs w:val="24"/>
        </w:rPr>
        <w:t>Cette étude examine l’influence de la motivation intrinsèque et extrinsèque sur la performance académique des étudiants de première année d’architecture.</w:t>
      </w:r>
    </w:p>
    <w:p w14:paraId="15EEEBED" w14:textId="77777777" w:rsidR="00D80693" w:rsidRDefault="00D80693" w:rsidP="00D80693">
      <w:pPr>
        <w:spacing w:before="50" w:after="50"/>
        <w:jc w:val="both"/>
        <w:rPr>
          <w:rFonts w:eastAsia="Calibri"/>
          <w:bCs/>
          <w:sz w:val="24"/>
          <w:szCs w:val="24"/>
        </w:rPr>
      </w:pPr>
      <w:r w:rsidRPr="002F4D2B">
        <w:rPr>
          <w:bCs/>
          <w:sz w:val="24"/>
          <w:szCs w:val="24"/>
        </w:rPr>
        <w:t xml:space="preserve"> </w:t>
      </w:r>
      <w:r>
        <w:rPr>
          <w:bCs/>
          <w:sz w:val="24"/>
          <w:szCs w:val="24"/>
        </w:rPr>
        <w:t>La motivation, mesuré</w:t>
      </w:r>
      <w:r w:rsidRPr="002F4D2B">
        <w:rPr>
          <w:bCs/>
          <w:sz w:val="24"/>
          <w:szCs w:val="24"/>
        </w:rPr>
        <w:t xml:space="preserve"> à travers trois dimensions (intrinsèque</w:t>
      </w:r>
      <w:r>
        <w:rPr>
          <w:bCs/>
          <w:sz w:val="24"/>
          <w:szCs w:val="24"/>
        </w:rPr>
        <w:t xml:space="preserve">, </w:t>
      </w:r>
      <w:r w:rsidRPr="002F4D2B">
        <w:rPr>
          <w:bCs/>
          <w:sz w:val="24"/>
          <w:szCs w:val="24"/>
        </w:rPr>
        <w:t>extrinsèqu</w:t>
      </w:r>
      <w:r>
        <w:rPr>
          <w:bCs/>
          <w:sz w:val="24"/>
          <w:szCs w:val="24"/>
        </w:rPr>
        <w:t>e et amotivation</w:t>
      </w:r>
      <w:r w:rsidRPr="002F4D2B">
        <w:rPr>
          <w:bCs/>
          <w:sz w:val="24"/>
          <w:szCs w:val="24"/>
        </w:rPr>
        <w:t xml:space="preserve">), a été évalué à l’aide </w:t>
      </w:r>
      <w:r w:rsidRPr="00E65F57">
        <w:rPr>
          <w:bCs/>
          <w:sz w:val="24"/>
          <w:szCs w:val="24"/>
        </w:rPr>
        <w:t>de l’échelle de motivation académique (EMEC-C adaptée</w:t>
      </w:r>
      <w:r>
        <w:rPr>
          <w:bCs/>
          <w:sz w:val="24"/>
          <w:szCs w:val="24"/>
        </w:rPr>
        <w:t xml:space="preserve">) </w:t>
      </w:r>
      <w:r w:rsidRPr="00B848A7">
        <w:rPr>
          <w:bCs/>
          <w:sz w:val="24"/>
          <w:szCs w:val="24"/>
        </w:rPr>
        <w:t>élaboré à l’aide de la théorie de l’autodétermination (</w:t>
      </w:r>
      <w:proofErr w:type="spellStart"/>
      <w:r w:rsidRPr="00B848A7">
        <w:rPr>
          <w:bCs/>
          <w:sz w:val="24"/>
          <w:szCs w:val="24"/>
        </w:rPr>
        <w:t>Deci</w:t>
      </w:r>
      <w:proofErr w:type="spellEnd"/>
      <w:r w:rsidRPr="00B848A7">
        <w:rPr>
          <w:bCs/>
          <w:sz w:val="24"/>
          <w:szCs w:val="24"/>
        </w:rPr>
        <w:t xml:space="preserve"> &amp; Ryan, 1985 ; Vallerand et al.,1992),</w:t>
      </w:r>
      <w:r>
        <w:rPr>
          <w:bCs/>
          <w:sz w:val="24"/>
          <w:szCs w:val="24"/>
        </w:rPr>
        <w:t xml:space="preserve"> </w:t>
      </w:r>
      <w:r w:rsidRPr="00B848A7">
        <w:rPr>
          <w:bCs/>
          <w:sz w:val="24"/>
          <w:szCs w:val="24"/>
        </w:rPr>
        <w:t>pour évaluer la qualité de la motivation académique des étudiants de la première année de l’EAA.</w:t>
      </w:r>
      <w:r w:rsidRPr="002F4D2B">
        <w:rPr>
          <w:bCs/>
          <w:sz w:val="24"/>
          <w:szCs w:val="24"/>
        </w:rPr>
        <w:t xml:space="preserve"> L’échantillon est constitué de </w:t>
      </w:r>
      <w:r>
        <w:rPr>
          <w:bCs/>
          <w:sz w:val="24"/>
          <w:szCs w:val="24"/>
        </w:rPr>
        <w:t>92</w:t>
      </w:r>
      <w:r w:rsidRPr="002F4D2B">
        <w:rPr>
          <w:bCs/>
          <w:sz w:val="24"/>
          <w:szCs w:val="24"/>
        </w:rPr>
        <w:t xml:space="preserve"> </w:t>
      </w:r>
      <w:r>
        <w:rPr>
          <w:bCs/>
          <w:sz w:val="24"/>
          <w:szCs w:val="24"/>
        </w:rPr>
        <w:t>étudiants</w:t>
      </w:r>
      <w:r w:rsidRPr="002F4D2B">
        <w:rPr>
          <w:bCs/>
          <w:sz w:val="24"/>
          <w:szCs w:val="24"/>
        </w:rPr>
        <w:t xml:space="preserve">, dont </w:t>
      </w:r>
      <w:r>
        <w:rPr>
          <w:bCs/>
          <w:sz w:val="24"/>
          <w:szCs w:val="24"/>
        </w:rPr>
        <w:t xml:space="preserve">49 </w:t>
      </w:r>
      <w:r w:rsidRPr="002F4D2B">
        <w:rPr>
          <w:bCs/>
          <w:sz w:val="24"/>
          <w:szCs w:val="24"/>
        </w:rPr>
        <w:t xml:space="preserve">hommes et </w:t>
      </w:r>
      <w:r>
        <w:rPr>
          <w:bCs/>
          <w:sz w:val="24"/>
          <w:szCs w:val="24"/>
        </w:rPr>
        <w:t>43</w:t>
      </w:r>
      <w:r w:rsidRPr="002F4D2B">
        <w:rPr>
          <w:bCs/>
          <w:sz w:val="24"/>
          <w:szCs w:val="24"/>
        </w:rPr>
        <w:t xml:space="preserve"> femmes</w:t>
      </w:r>
      <w:r>
        <w:rPr>
          <w:bCs/>
          <w:sz w:val="24"/>
          <w:szCs w:val="24"/>
        </w:rPr>
        <w:t xml:space="preserve"> au titre de </w:t>
      </w:r>
      <w:r w:rsidRPr="002F4D2B">
        <w:rPr>
          <w:bCs/>
          <w:sz w:val="24"/>
          <w:szCs w:val="24"/>
        </w:rPr>
        <w:t>l’année académique 2024-2025.</w:t>
      </w:r>
      <w:r>
        <w:rPr>
          <w:bCs/>
          <w:sz w:val="24"/>
          <w:szCs w:val="24"/>
        </w:rPr>
        <w:t xml:space="preserve"> </w:t>
      </w:r>
      <w:r w:rsidRPr="002F4D2B">
        <w:rPr>
          <w:bCs/>
          <w:sz w:val="24"/>
          <w:szCs w:val="24"/>
        </w:rPr>
        <w:t>Les résultats montrent</w:t>
      </w:r>
      <w:r>
        <w:rPr>
          <w:bCs/>
          <w:sz w:val="24"/>
          <w:szCs w:val="24"/>
        </w:rPr>
        <w:t xml:space="preserve"> que </w:t>
      </w:r>
      <w:r w:rsidRPr="002F4D2B">
        <w:rPr>
          <w:bCs/>
          <w:sz w:val="24"/>
          <w:szCs w:val="24"/>
        </w:rPr>
        <w:t>la</w:t>
      </w:r>
      <w:r w:rsidRPr="002A59B7">
        <w:rPr>
          <w:bCs/>
          <w:sz w:val="24"/>
          <w:szCs w:val="24"/>
        </w:rPr>
        <w:t xml:space="preserve"> motivation intrinsèque</w:t>
      </w:r>
      <w:r>
        <w:rPr>
          <w:bCs/>
          <w:sz w:val="24"/>
          <w:szCs w:val="24"/>
        </w:rPr>
        <w:t xml:space="preserve"> est un facteur déterminant dans la performance académique des étudiants,</w:t>
      </w:r>
      <w:r w:rsidRPr="002A59B7">
        <w:rPr>
          <w:bCs/>
          <w:sz w:val="24"/>
          <w:szCs w:val="24"/>
        </w:rPr>
        <w:t xml:space="preserve"> </w:t>
      </w:r>
      <w:r>
        <w:rPr>
          <w:bCs/>
          <w:sz w:val="24"/>
          <w:szCs w:val="24"/>
        </w:rPr>
        <w:t>l</w:t>
      </w:r>
      <w:r w:rsidRPr="002A59B7">
        <w:rPr>
          <w:bCs/>
          <w:sz w:val="24"/>
          <w:szCs w:val="24"/>
        </w:rPr>
        <w:t xml:space="preserve">es différences observées en fonction du sexe et de la motivation appellent à une prise en compte des facteurs sociaux et individuels dans la conception des pratiques pédagogiques. </w:t>
      </w:r>
    </w:p>
    <w:p w14:paraId="09DDA770" w14:textId="77777777" w:rsidR="00D80693" w:rsidRDefault="00D80693" w:rsidP="00D80693">
      <w:pPr>
        <w:spacing w:before="50" w:after="50"/>
        <w:jc w:val="both"/>
        <w:rPr>
          <w:rFonts w:eastAsia="Calibri"/>
          <w:bCs/>
          <w:sz w:val="24"/>
          <w:szCs w:val="24"/>
        </w:rPr>
      </w:pPr>
    </w:p>
    <w:p w14:paraId="176D19FB" w14:textId="77777777" w:rsidR="00D80693" w:rsidRDefault="00D80693" w:rsidP="00D80693">
      <w:pPr>
        <w:spacing w:before="50" w:after="50"/>
        <w:jc w:val="both"/>
        <w:rPr>
          <w:rFonts w:eastAsia="Calibri"/>
          <w:bCs/>
          <w:sz w:val="24"/>
          <w:szCs w:val="24"/>
        </w:rPr>
      </w:pPr>
      <w:r w:rsidRPr="008F0E54">
        <w:rPr>
          <w:b/>
          <w:sz w:val="24"/>
          <w:szCs w:val="24"/>
        </w:rPr>
        <w:t>Mots clés</w:t>
      </w:r>
      <w:r>
        <w:rPr>
          <w:bCs/>
          <w:sz w:val="24"/>
          <w:szCs w:val="24"/>
        </w:rPr>
        <w:t xml:space="preserve"> : Motivation</w:t>
      </w:r>
      <w:r w:rsidRPr="002A59B7">
        <w:rPr>
          <w:bCs/>
          <w:sz w:val="24"/>
          <w:szCs w:val="24"/>
        </w:rPr>
        <w:t xml:space="preserve"> </w:t>
      </w:r>
      <w:r>
        <w:rPr>
          <w:bCs/>
          <w:sz w:val="24"/>
          <w:szCs w:val="24"/>
        </w:rPr>
        <w:t>e</w:t>
      </w:r>
      <w:r w:rsidRPr="002A59B7">
        <w:rPr>
          <w:bCs/>
          <w:sz w:val="24"/>
          <w:szCs w:val="24"/>
        </w:rPr>
        <w:t>xtrinsèque</w:t>
      </w:r>
      <w:bookmarkStart w:id="34" w:name="_Hlk209717291"/>
      <w:r>
        <w:rPr>
          <w:bCs/>
          <w:sz w:val="24"/>
          <w:szCs w:val="24"/>
        </w:rPr>
        <w:t>-Motivation intrinsèque</w:t>
      </w:r>
      <w:bookmarkEnd w:id="34"/>
      <w:r>
        <w:rPr>
          <w:bCs/>
          <w:sz w:val="24"/>
          <w:szCs w:val="24"/>
        </w:rPr>
        <w:t>-Etudiants universitaires-Performance académique-Ecole d’architecture.</w:t>
      </w:r>
    </w:p>
    <w:p w14:paraId="4F8A5EB1" w14:textId="77777777" w:rsidR="00D80693" w:rsidRPr="002A59B7" w:rsidRDefault="00D80693" w:rsidP="00D80693">
      <w:pPr>
        <w:spacing w:before="50" w:after="50"/>
        <w:jc w:val="both"/>
        <w:rPr>
          <w:rFonts w:eastAsia="Calibri"/>
          <w:bCs/>
          <w:sz w:val="24"/>
          <w:szCs w:val="24"/>
        </w:rPr>
      </w:pPr>
    </w:p>
    <w:p w14:paraId="628A0767" w14:textId="77777777" w:rsidR="008F0E54" w:rsidRDefault="00D80693" w:rsidP="00D80693">
      <w:pPr>
        <w:jc w:val="both"/>
        <w:rPr>
          <w:b/>
          <w:bCs/>
          <w:sz w:val="24"/>
          <w:szCs w:val="24"/>
          <w:lang w:val="en-US"/>
        </w:rPr>
      </w:pPr>
      <w:r w:rsidRPr="00FE29C0">
        <w:rPr>
          <w:b/>
          <w:bCs/>
          <w:sz w:val="24"/>
          <w:szCs w:val="24"/>
          <w:lang w:val="en-US"/>
        </w:rPr>
        <w:t xml:space="preserve">Abstract </w:t>
      </w:r>
    </w:p>
    <w:p w14:paraId="0A5F8219" w14:textId="3528351A" w:rsidR="00D80693" w:rsidRDefault="00D80693" w:rsidP="00D80693">
      <w:pPr>
        <w:jc w:val="both"/>
        <w:rPr>
          <w:sz w:val="24"/>
          <w:szCs w:val="24"/>
          <w:lang w:val="en-US"/>
        </w:rPr>
      </w:pPr>
      <w:r w:rsidRPr="00FE29C0">
        <w:rPr>
          <w:b/>
          <w:bCs/>
          <w:sz w:val="24"/>
          <w:szCs w:val="24"/>
          <w:lang w:val="en-US"/>
        </w:rPr>
        <w:t xml:space="preserve"> </w:t>
      </w:r>
      <w:r w:rsidRPr="00FE29C0">
        <w:rPr>
          <w:sz w:val="24"/>
          <w:szCs w:val="24"/>
          <w:lang w:val="en-US"/>
        </w:rPr>
        <w:t xml:space="preserve">The academic performance of first-year architecture students in this study examines the influence of intrinsic and extrinsic motivation The motivation, is measured through three elements (intrinsic, extrinsic, and amotivation), was evaluated using the academic motivation scale (EMEC-C adapted), developed using </w:t>
      </w:r>
      <w:proofErr w:type="spellStart"/>
      <w:r w:rsidRPr="00FE29C0">
        <w:rPr>
          <w:sz w:val="24"/>
          <w:szCs w:val="24"/>
          <w:lang w:val="en-US"/>
        </w:rPr>
        <w:t>selfdetermination</w:t>
      </w:r>
      <w:proofErr w:type="spellEnd"/>
      <w:r w:rsidRPr="00FE29C0">
        <w:rPr>
          <w:sz w:val="24"/>
          <w:szCs w:val="24"/>
          <w:lang w:val="en-US"/>
        </w:rPr>
        <w:t xml:space="preserve"> theory (Deci &amp; Ryan, 1985 ; Vallerand et al., 1992), in order to assess the quality of academic motivation of first-year EAA students. The sample consisted of 92 students, including 49 men and 43 women for the 2024-2025 academic year. The results show that intrinsic motivation is a determinant factor in </w:t>
      </w:r>
      <w:proofErr w:type="gramStart"/>
      <w:r w:rsidRPr="00FE29C0">
        <w:rPr>
          <w:sz w:val="24"/>
          <w:szCs w:val="24"/>
          <w:lang w:val="en-US"/>
        </w:rPr>
        <w:t>the academic</w:t>
      </w:r>
      <w:proofErr w:type="gramEnd"/>
      <w:r w:rsidRPr="00FE29C0">
        <w:rPr>
          <w:sz w:val="24"/>
          <w:szCs w:val="24"/>
          <w:lang w:val="en-US"/>
        </w:rPr>
        <w:t xml:space="preserve"> student performance. The differences observed according to gender and motivation call for social and individual factors to be </w:t>
      </w:r>
      <w:proofErr w:type="gramStart"/>
      <w:r w:rsidRPr="00FE29C0">
        <w:rPr>
          <w:sz w:val="24"/>
          <w:szCs w:val="24"/>
          <w:lang w:val="en-US"/>
        </w:rPr>
        <w:t>taken into account</w:t>
      </w:r>
      <w:proofErr w:type="gramEnd"/>
      <w:r w:rsidRPr="00FE29C0">
        <w:rPr>
          <w:sz w:val="24"/>
          <w:szCs w:val="24"/>
          <w:lang w:val="en-US"/>
        </w:rPr>
        <w:t xml:space="preserve"> in the design of teaching practices. </w:t>
      </w:r>
    </w:p>
    <w:p w14:paraId="25FCF6CE" w14:textId="77777777" w:rsidR="008F0E54" w:rsidRPr="00FE29C0" w:rsidRDefault="008F0E54" w:rsidP="00D80693">
      <w:pPr>
        <w:jc w:val="both"/>
        <w:rPr>
          <w:rFonts w:eastAsia="Calibri"/>
          <w:sz w:val="24"/>
          <w:szCs w:val="24"/>
          <w:lang w:val="en-US"/>
        </w:rPr>
      </w:pPr>
    </w:p>
    <w:p w14:paraId="0D0EABBD" w14:textId="77777777" w:rsidR="00D80693" w:rsidRPr="00FE29C0" w:rsidRDefault="00D80693" w:rsidP="00D80693">
      <w:pPr>
        <w:jc w:val="both"/>
        <w:rPr>
          <w:rFonts w:eastAsia="Calibri"/>
          <w:sz w:val="24"/>
          <w:szCs w:val="24"/>
          <w:lang w:val="en-US"/>
        </w:rPr>
      </w:pPr>
      <w:proofErr w:type="gramStart"/>
      <w:r w:rsidRPr="00FE29C0">
        <w:rPr>
          <w:b/>
          <w:bCs/>
          <w:sz w:val="24"/>
          <w:szCs w:val="24"/>
          <w:lang w:val="en-US"/>
        </w:rPr>
        <w:t>Keywords :</w:t>
      </w:r>
      <w:proofErr w:type="gramEnd"/>
      <w:r w:rsidRPr="00FE29C0">
        <w:rPr>
          <w:b/>
          <w:bCs/>
          <w:sz w:val="24"/>
          <w:szCs w:val="24"/>
          <w:lang w:val="en-US"/>
        </w:rPr>
        <w:t xml:space="preserve"> </w:t>
      </w:r>
      <w:r w:rsidRPr="00FE29C0">
        <w:rPr>
          <w:sz w:val="24"/>
          <w:szCs w:val="24"/>
          <w:lang w:val="en-US"/>
        </w:rPr>
        <w:t xml:space="preserve">Extrinsic </w:t>
      </w:r>
      <w:proofErr w:type="gramStart"/>
      <w:r w:rsidRPr="00FE29C0">
        <w:rPr>
          <w:sz w:val="24"/>
          <w:szCs w:val="24"/>
          <w:lang w:val="en-US"/>
        </w:rPr>
        <w:t>motivation</w:t>
      </w:r>
      <w:proofErr w:type="gramEnd"/>
      <w:r w:rsidRPr="00FE29C0">
        <w:rPr>
          <w:sz w:val="24"/>
          <w:szCs w:val="24"/>
          <w:lang w:val="en-US"/>
        </w:rPr>
        <w:t xml:space="preserve">-Intrinsic </w:t>
      </w:r>
      <w:proofErr w:type="gramStart"/>
      <w:r w:rsidRPr="00FE29C0">
        <w:rPr>
          <w:sz w:val="24"/>
          <w:szCs w:val="24"/>
          <w:lang w:val="en-US"/>
        </w:rPr>
        <w:t>motivation</w:t>
      </w:r>
      <w:proofErr w:type="gramEnd"/>
      <w:r w:rsidRPr="00FE29C0">
        <w:rPr>
          <w:sz w:val="24"/>
          <w:szCs w:val="24"/>
          <w:lang w:val="en-US"/>
        </w:rPr>
        <w:t xml:space="preserve">-University </w:t>
      </w:r>
      <w:proofErr w:type="gramStart"/>
      <w:r w:rsidRPr="00FE29C0">
        <w:rPr>
          <w:sz w:val="24"/>
          <w:szCs w:val="24"/>
          <w:lang w:val="en-US"/>
        </w:rPr>
        <w:t>students</w:t>
      </w:r>
      <w:proofErr w:type="gramEnd"/>
      <w:r w:rsidRPr="00FE29C0">
        <w:rPr>
          <w:sz w:val="24"/>
          <w:szCs w:val="24"/>
          <w:lang w:val="en-US"/>
        </w:rPr>
        <w:t>-Academic performance -Architecture school.</w:t>
      </w:r>
    </w:p>
    <w:p w14:paraId="06DF1D0C" w14:textId="77777777" w:rsidR="00D80693" w:rsidRDefault="00D80693" w:rsidP="00D80693">
      <w:pPr>
        <w:jc w:val="both"/>
        <w:rPr>
          <w:rFonts w:eastAsia="Calibri"/>
          <w:b/>
          <w:bCs/>
          <w:sz w:val="24"/>
          <w:szCs w:val="24"/>
          <w:lang w:val="en-US"/>
        </w:rPr>
      </w:pPr>
    </w:p>
    <w:p w14:paraId="146BD55A" w14:textId="77777777" w:rsidR="008F0E54" w:rsidRDefault="00D80693" w:rsidP="00D80693">
      <w:pPr>
        <w:jc w:val="both"/>
        <w:rPr>
          <w:b/>
          <w:bCs/>
          <w:sz w:val="28"/>
          <w:szCs w:val="28"/>
          <w:lang w:val="en-US"/>
        </w:rPr>
      </w:pPr>
      <w:r w:rsidRPr="00FE29C0">
        <w:rPr>
          <w:b/>
          <w:bCs/>
          <w:sz w:val="28"/>
          <w:szCs w:val="28"/>
          <w:lang w:val="en-US"/>
        </w:rPr>
        <w:t xml:space="preserve">                  </w:t>
      </w:r>
    </w:p>
    <w:p w14:paraId="6A2E6DC9" w14:textId="77777777" w:rsidR="008F0E54" w:rsidRDefault="008F0E54">
      <w:pPr>
        <w:rPr>
          <w:b/>
          <w:bCs/>
          <w:sz w:val="28"/>
          <w:szCs w:val="28"/>
          <w:lang w:val="en-US"/>
        </w:rPr>
      </w:pPr>
      <w:r>
        <w:rPr>
          <w:b/>
          <w:bCs/>
          <w:sz w:val="28"/>
          <w:szCs w:val="28"/>
          <w:lang w:val="en-US"/>
        </w:rPr>
        <w:br w:type="page"/>
      </w:r>
    </w:p>
    <w:p w14:paraId="386A0F5B" w14:textId="07E4A8DA" w:rsidR="00D80693" w:rsidRDefault="00D80693" w:rsidP="00D80693">
      <w:pPr>
        <w:jc w:val="both"/>
        <w:rPr>
          <w:rFonts w:eastAsia="Calibri"/>
          <w:b/>
          <w:bCs/>
          <w:sz w:val="28"/>
          <w:szCs w:val="28"/>
        </w:rPr>
      </w:pPr>
      <w:r w:rsidRPr="00FE29C0">
        <w:rPr>
          <w:b/>
          <w:bCs/>
          <w:sz w:val="28"/>
          <w:szCs w:val="28"/>
          <w:lang w:val="en-US"/>
        </w:rPr>
        <w:t xml:space="preserve">  </w:t>
      </w:r>
      <w:r>
        <w:rPr>
          <w:b/>
          <w:bCs/>
          <w:sz w:val="28"/>
          <w:szCs w:val="28"/>
        </w:rPr>
        <w:t>Introduction</w:t>
      </w:r>
    </w:p>
    <w:p w14:paraId="57DBE029" w14:textId="77777777" w:rsidR="00D80693" w:rsidRDefault="00D80693" w:rsidP="008F0E54">
      <w:pPr>
        <w:spacing w:before="120"/>
        <w:jc w:val="both"/>
        <w:rPr>
          <w:rFonts w:eastAsia="Calibri"/>
          <w:sz w:val="24"/>
          <w:szCs w:val="24"/>
        </w:rPr>
      </w:pPr>
      <w:r w:rsidRPr="00CC571B">
        <w:rPr>
          <w:sz w:val="24"/>
          <w:szCs w:val="24"/>
        </w:rPr>
        <w:t>Dans le système universitaire,</w:t>
      </w:r>
      <w:r>
        <w:rPr>
          <w:sz w:val="24"/>
          <w:szCs w:val="24"/>
        </w:rPr>
        <w:t xml:space="preserve"> la réussite académique des étudiants est souvent poussée par plusieurs facteurs, </w:t>
      </w:r>
      <w:proofErr w:type="spellStart"/>
      <w:r>
        <w:rPr>
          <w:sz w:val="24"/>
          <w:szCs w:val="24"/>
        </w:rPr>
        <w:t>parmis</w:t>
      </w:r>
      <w:proofErr w:type="spellEnd"/>
      <w:r>
        <w:rPr>
          <w:sz w:val="24"/>
          <w:szCs w:val="24"/>
        </w:rPr>
        <w:t xml:space="preserve"> lesquels la motivation occupe une place </w:t>
      </w:r>
      <w:proofErr w:type="spellStart"/>
      <w:r>
        <w:rPr>
          <w:sz w:val="24"/>
          <w:szCs w:val="24"/>
        </w:rPr>
        <w:t>prépondante</w:t>
      </w:r>
      <w:proofErr w:type="spellEnd"/>
      <w:r>
        <w:rPr>
          <w:sz w:val="24"/>
          <w:szCs w:val="24"/>
        </w:rPr>
        <w:t>.</w:t>
      </w:r>
    </w:p>
    <w:p w14:paraId="29337763" w14:textId="77777777" w:rsidR="00D80693" w:rsidRDefault="00D80693" w:rsidP="008F0E54">
      <w:pPr>
        <w:spacing w:before="120"/>
        <w:jc w:val="both"/>
        <w:rPr>
          <w:rFonts w:eastAsia="Calibri"/>
          <w:sz w:val="24"/>
          <w:szCs w:val="24"/>
        </w:rPr>
      </w:pPr>
      <w:r>
        <w:rPr>
          <w:sz w:val="24"/>
          <w:szCs w:val="24"/>
        </w:rPr>
        <w:t xml:space="preserve">Elle </w:t>
      </w:r>
      <w:r w:rsidRPr="00D84090">
        <w:rPr>
          <w:sz w:val="24"/>
          <w:szCs w:val="24"/>
        </w:rPr>
        <w:t>est un facteur clé du succès académique des étudiants</w:t>
      </w:r>
      <w:r>
        <w:rPr>
          <w:sz w:val="24"/>
          <w:szCs w:val="24"/>
        </w:rPr>
        <w:t xml:space="preserve"> dans la mesure où elle </w:t>
      </w:r>
      <w:r w:rsidRPr="00D84090">
        <w:rPr>
          <w:sz w:val="24"/>
          <w:szCs w:val="24"/>
        </w:rPr>
        <w:t>améliore les résultats des étudiants, mais aussi leur épanouissement personnel et leur préparation à l’avenir professionnel</w:t>
      </w:r>
      <w:r>
        <w:rPr>
          <w:sz w:val="24"/>
          <w:szCs w:val="24"/>
        </w:rPr>
        <w:t>.</w:t>
      </w:r>
    </w:p>
    <w:p w14:paraId="2EDCD083" w14:textId="77777777" w:rsidR="00D80693" w:rsidRDefault="00D80693" w:rsidP="008F0E54">
      <w:pPr>
        <w:spacing w:before="120"/>
        <w:jc w:val="both"/>
        <w:rPr>
          <w:rFonts w:eastAsia="Calibri"/>
          <w:sz w:val="24"/>
          <w:szCs w:val="24"/>
        </w:rPr>
      </w:pPr>
      <w:proofErr w:type="spellStart"/>
      <w:r w:rsidRPr="007231FC">
        <w:rPr>
          <w:sz w:val="24"/>
          <w:szCs w:val="24"/>
        </w:rPr>
        <w:t>Edoua</w:t>
      </w:r>
      <w:proofErr w:type="spellEnd"/>
      <w:r w:rsidRPr="007231FC">
        <w:rPr>
          <w:sz w:val="24"/>
          <w:szCs w:val="24"/>
        </w:rPr>
        <w:t xml:space="preserve"> (2025),</w:t>
      </w:r>
      <w:r>
        <w:rPr>
          <w:sz w:val="24"/>
          <w:szCs w:val="24"/>
        </w:rPr>
        <w:t xml:space="preserve"> explique que </w:t>
      </w:r>
      <w:r w:rsidRPr="007231FC">
        <w:rPr>
          <w:sz w:val="24"/>
          <w:szCs w:val="24"/>
        </w:rPr>
        <w:t>la motivation au choix de carrière</w:t>
      </w:r>
      <w:r>
        <w:rPr>
          <w:sz w:val="24"/>
          <w:szCs w:val="24"/>
        </w:rPr>
        <w:t xml:space="preserve"> est </w:t>
      </w:r>
      <w:r w:rsidRPr="007231FC">
        <w:rPr>
          <w:sz w:val="24"/>
          <w:szCs w:val="24"/>
        </w:rPr>
        <w:t>un facteur de projection et de persévérance académique.</w:t>
      </w:r>
    </w:p>
    <w:p w14:paraId="48971295" w14:textId="77777777" w:rsidR="00D80693" w:rsidRPr="001955A6" w:rsidRDefault="00D80693" w:rsidP="008F0E54">
      <w:pPr>
        <w:spacing w:before="120"/>
        <w:jc w:val="both"/>
        <w:rPr>
          <w:rFonts w:eastAsia="Calibri"/>
          <w:sz w:val="24"/>
          <w:szCs w:val="24"/>
        </w:rPr>
      </w:pPr>
      <w:r w:rsidRPr="001955A6">
        <w:rPr>
          <w:sz w:val="24"/>
          <w:szCs w:val="24"/>
        </w:rPr>
        <w:t>Les études de la psychologie de l’éducation évoquent que la motivation extrinsèque (apprendre pour obtenir une récompense ou pour éviter une sanction) ne favorise pas une bonne performance académique que la motivation intrinsèque (le désir d’apprendre pour soi-même).</w:t>
      </w:r>
    </w:p>
    <w:p w14:paraId="2426FB6C" w14:textId="77777777" w:rsidR="00D80693" w:rsidRDefault="00D80693" w:rsidP="008F0E54">
      <w:pPr>
        <w:spacing w:before="120"/>
        <w:jc w:val="both"/>
        <w:rPr>
          <w:rFonts w:eastAsia="Calibri"/>
          <w:sz w:val="24"/>
          <w:szCs w:val="24"/>
        </w:rPr>
      </w:pPr>
      <w:r>
        <w:rPr>
          <w:sz w:val="24"/>
          <w:szCs w:val="24"/>
        </w:rPr>
        <w:t xml:space="preserve">Selon </w:t>
      </w:r>
      <w:r w:rsidRPr="0027090E">
        <w:rPr>
          <w:sz w:val="24"/>
          <w:szCs w:val="24"/>
        </w:rPr>
        <w:t xml:space="preserve">Ryan et </w:t>
      </w:r>
      <w:proofErr w:type="spellStart"/>
      <w:r w:rsidRPr="0027090E">
        <w:rPr>
          <w:sz w:val="24"/>
          <w:szCs w:val="24"/>
        </w:rPr>
        <w:t>Deci</w:t>
      </w:r>
      <w:proofErr w:type="spellEnd"/>
      <w:r w:rsidRPr="0027090E">
        <w:rPr>
          <w:sz w:val="24"/>
          <w:szCs w:val="24"/>
        </w:rPr>
        <w:t xml:space="preserve"> (2000), la motivation intrinsèque est importante dans l’apprentissage profond et dans la construction personnelle. En éducation, il est montré que la motivation intrinsèque est beaucoup utilisée par les étudiants afin d’avoir une grande satisfaction et une meilleure rétention des informations au cours des activités pédagogiques.</w:t>
      </w:r>
    </w:p>
    <w:p w14:paraId="32074C25" w14:textId="77777777" w:rsidR="00D80693" w:rsidRDefault="00D80693" w:rsidP="008F0E54">
      <w:pPr>
        <w:spacing w:before="120"/>
        <w:jc w:val="both"/>
        <w:rPr>
          <w:rFonts w:eastAsia="Calibri"/>
          <w:sz w:val="24"/>
          <w:szCs w:val="24"/>
        </w:rPr>
      </w:pPr>
      <w:bookmarkStart w:id="35" w:name="_Hlk209682450"/>
      <w:r w:rsidRPr="009A1349">
        <w:rPr>
          <w:sz w:val="24"/>
          <w:szCs w:val="24"/>
        </w:rPr>
        <w:t>Pour Vallerand et al. (1992), le modèle hiérarchique de la motivation est la sommation de la motivation totalement extrinsèque (contrôlée) à la motivation intrinsèque. Ce modèle s’applique dans le contexte scolaire et universitaire dans la mesure où la motivation intrinsèque des étudiants est liée à de meilleurs résultats académiques.</w:t>
      </w:r>
    </w:p>
    <w:p w14:paraId="5D00FEE2" w14:textId="77777777" w:rsidR="00D80693" w:rsidRDefault="00D80693" w:rsidP="008F0E54">
      <w:pPr>
        <w:spacing w:before="120"/>
        <w:jc w:val="both"/>
        <w:rPr>
          <w:rFonts w:eastAsia="Calibri"/>
          <w:sz w:val="24"/>
          <w:szCs w:val="24"/>
        </w:rPr>
      </w:pPr>
      <w:proofErr w:type="spellStart"/>
      <w:r w:rsidRPr="00FD21E7">
        <w:rPr>
          <w:sz w:val="24"/>
          <w:szCs w:val="24"/>
        </w:rPr>
        <w:t>Kusurkar</w:t>
      </w:r>
      <w:proofErr w:type="spellEnd"/>
      <w:r w:rsidRPr="00FD21E7">
        <w:rPr>
          <w:sz w:val="24"/>
          <w:szCs w:val="24"/>
        </w:rPr>
        <w:t xml:space="preserve"> et al. (2013),</w:t>
      </w:r>
      <w:r>
        <w:rPr>
          <w:sz w:val="24"/>
          <w:szCs w:val="24"/>
        </w:rPr>
        <w:t xml:space="preserve"> souligne que la</w:t>
      </w:r>
      <w:r w:rsidRPr="00FD21E7">
        <w:rPr>
          <w:sz w:val="24"/>
          <w:szCs w:val="24"/>
        </w:rPr>
        <w:t xml:space="preserve"> motivation intrinsèque est un facteur déterminant de la performance académique. </w:t>
      </w:r>
      <w:r>
        <w:rPr>
          <w:sz w:val="24"/>
          <w:szCs w:val="24"/>
        </w:rPr>
        <w:t>Il</w:t>
      </w:r>
      <w:r w:rsidRPr="00FD21E7">
        <w:rPr>
          <w:sz w:val="24"/>
          <w:szCs w:val="24"/>
        </w:rPr>
        <w:t xml:space="preserve"> montre que la motivation </w:t>
      </w:r>
      <w:r>
        <w:rPr>
          <w:sz w:val="24"/>
          <w:szCs w:val="24"/>
        </w:rPr>
        <w:t xml:space="preserve">joue un rôle important sur </w:t>
      </w:r>
      <w:r w:rsidRPr="00FD21E7">
        <w:rPr>
          <w:sz w:val="24"/>
          <w:szCs w:val="24"/>
        </w:rPr>
        <w:t>la performance.</w:t>
      </w:r>
    </w:p>
    <w:p w14:paraId="0A3EFCF8" w14:textId="77777777" w:rsidR="00D80693" w:rsidRPr="009A1349" w:rsidRDefault="00D80693" w:rsidP="008F0E54">
      <w:pPr>
        <w:spacing w:before="120"/>
        <w:jc w:val="both"/>
        <w:rPr>
          <w:rFonts w:eastAsia="Calibri"/>
          <w:sz w:val="24"/>
          <w:szCs w:val="24"/>
        </w:rPr>
      </w:pPr>
      <w:r>
        <w:rPr>
          <w:sz w:val="24"/>
          <w:szCs w:val="24"/>
        </w:rPr>
        <w:t xml:space="preserve">Quant à </w:t>
      </w:r>
      <w:proofErr w:type="spellStart"/>
      <w:r w:rsidRPr="00C563A0">
        <w:rPr>
          <w:sz w:val="24"/>
          <w:szCs w:val="24"/>
        </w:rPr>
        <w:t>Agossou</w:t>
      </w:r>
      <w:proofErr w:type="spellEnd"/>
      <w:r w:rsidRPr="00C563A0">
        <w:rPr>
          <w:sz w:val="24"/>
          <w:szCs w:val="24"/>
        </w:rPr>
        <w:t xml:space="preserve"> (2024)</w:t>
      </w:r>
      <w:r>
        <w:rPr>
          <w:sz w:val="24"/>
          <w:szCs w:val="24"/>
        </w:rPr>
        <w:t>, il m</w:t>
      </w:r>
      <w:r w:rsidRPr="00C563A0">
        <w:rPr>
          <w:sz w:val="24"/>
          <w:szCs w:val="24"/>
        </w:rPr>
        <w:t>ontre que les méthodes d’apprentissage et la motivation influencent la réussite dans les matières d’orientation.</w:t>
      </w:r>
    </w:p>
    <w:bookmarkEnd w:id="35"/>
    <w:p w14:paraId="75007B84" w14:textId="77777777" w:rsidR="00D80693" w:rsidRPr="003E15B1" w:rsidRDefault="00D80693" w:rsidP="008F0E54">
      <w:pPr>
        <w:spacing w:before="120"/>
        <w:jc w:val="both"/>
        <w:rPr>
          <w:rFonts w:eastAsia="Calibri"/>
          <w:sz w:val="24"/>
          <w:szCs w:val="24"/>
        </w:rPr>
      </w:pPr>
      <w:r w:rsidRPr="003E15B1">
        <w:rPr>
          <w:sz w:val="24"/>
          <w:szCs w:val="24"/>
        </w:rPr>
        <w:t>La théorie de l'autodétermination offre une large compréhension de la motivation en milieu universitaire. En mettant l’accent sur la satisfaction des besoins d'autonomie, de compétence et de relation, elle fournit des pistes importantes pour favoriser une implication réelle à long terme pour les étudiants.  Cette théorie utilisable dans divers domaines souligne l’importance d’aider les étudiants dans la construction de leur motivation intrinsèque afin de favoriser une meilleure réussite universitaire.</w:t>
      </w:r>
    </w:p>
    <w:p w14:paraId="4E62A7BB" w14:textId="77777777" w:rsidR="00D80693" w:rsidRDefault="00D80693" w:rsidP="008F0E54">
      <w:pPr>
        <w:spacing w:before="120"/>
        <w:jc w:val="both"/>
        <w:rPr>
          <w:rFonts w:eastAsia="Calibri"/>
          <w:sz w:val="24"/>
          <w:szCs w:val="24"/>
        </w:rPr>
      </w:pPr>
      <w:r>
        <w:rPr>
          <w:sz w:val="24"/>
          <w:szCs w:val="24"/>
        </w:rPr>
        <w:t xml:space="preserve">Cependant, la quasi-existence des études lié à la motivation des étudiants en première année dans les écoles d’architecture en Afrique de </w:t>
      </w:r>
      <w:proofErr w:type="gramStart"/>
      <w:r>
        <w:rPr>
          <w:sz w:val="24"/>
          <w:szCs w:val="24"/>
        </w:rPr>
        <w:t>l’ouest</w:t>
      </w:r>
      <w:proofErr w:type="gramEnd"/>
      <w:r>
        <w:rPr>
          <w:sz w:val="24"/>
          <w:szCs w:val="24"/>
        </w:rPr>
        <w:t xml:space="preserve"> et en particulier en Côte d’ivoire justifie la pertinence de mener cette étude dans la mesure où elle cherche à approfondir la littérature scientifique et comprendre les mécanismes de la motivation sur la performance des étudiants de l’enseignement supérieur. </w:t>
      </w:r>
    </w:p>
    <w:p w14:paraId="02BB4CAB" w14:textId="77777777" w:rsidR="00D80693" w:rsidRPr="00851995" w:rsidRDefault="00D80693" w:rsidP="008F0E54">
      <w:pPr>
        <w:spacing w:before="120"/>
        <w:jc w:val="both"/>
        <w:rPr>
          <w:rFonts w:eastAsia="Calibri"/>
          <w:sz w:val="24"/>
          <w:szCs w:val="24"/>
        </w:rPr>
      </w:pPr>
      <w:r w:rsidRPr="00851995">
        <w:rPr>
          <w:sz w:val="24"/>
          <w:szCs w:val="24"/>
        </w:rPr>
        <w:t>La question centrale de la motivation des étudiants en première année d’étude dans les universités ivoiriennes, notamment dans des disciplines comme l'architecture, constitue un enjeu académique majeur et professionnel pour les étudiants. En effet, la motivation joue un rôle important dans l’implication des étudiants, la qualité de leurs apprentissages et leurs performances universitaires. Cependant, l’environnement universitaire est de plus en plus marqué par les défis socio-économiques et des pressions sociales telles que les problèmes familia</w:t>
      </w:r>
      <w:r>
        <w:rPr>
          <w:sz w:val="24"/>
          <w:szCs w:val="24"/>
        </w:rPr>
        <w:t>ux</w:t>
      </w:r>
      <w:r w:rsidRPr="00851995">
        <w:rPr>
          <w:sz w:val="24"/>
          <w:szCs w:val="24"/>
        </w:rPr>
        <w:t>, socia</w:t>
      </w:r>
      <w:r>
        <w:rPr>
          <w:sz w:val="24"/>
          <w:szCs w:val="24"/>
        </w:rPr>
        <w:t>ux</w:t>
      </w:r>
      <w:r w:rsidRPr="00851995">
        <w:rPr>
          <w:sz w:val="24"/>
          <w:szCs w:val="24"/>
        </w:rPr>
        <w:t>, ou professionnels des parents sont des facteurs influençant la performance académique des étudiants.</w:t>
      </w:r>
    </w:p>
    <w:p w14:paraId="6678E960" w14:textId="77777777" w:rsidR="00D80693" w:rsidRDefault="00D80693" w:rsidP="008F0E54">
      <w:pPr>
        <w:spacing w:before="120"/>
        <w:jc w:val="both"/>
        <w:rPr>
          <w:rFonts w:eastAsia="Calibri"/>
          <w:sz w:val="24"/>
          <w:szCs w:val="24"/>
        </w:rPr>
      </w:pPr>
      <w:r>
        <w:rPr>
          <w:sz w:val="24"/>
          <w:szCs w:val="24"/>
        </w:rPr>
        <w:t xml:space="preserve">  Fort de cela, nous sommes en droit de nous poser la question suivante : les performances académiques des étudiants en première année d’architecture de l’EAA dépend-t-il du type de motivation dont ils disposent ?</w:t>
      </w:r>
    </w:p>
    <w:p w14:paraId="12FF6315" w14:textId="77777777" w:rsidR="00D80693" w:rsidRPr="009C7F3E" w:rsidRDefault="00D80693" w:rsidP="008F0E54">
      <w:pPr>
        <w:spacing w:before="120"/>
        <w:jc w:val="both"/>
        <w:rPr>
          <w:rFonts w:eastAsia="Calibri"/>
          <w:sz w:val="24"/>
          <w:szCs w:val="24"/>
        </w:rPr>
      </w:pPr>
      <w:r>
        <w:rPr>
          <w:sz w:val="24"/>
          <w:szCs w:val="24"/>
        </w:rPr>
        <w:t>Pour répondre à cette interrogation, l’objectif de la présente étude est d’a</w:t>
      </w:r>
      <w:r w:rsidRPr="00644205">
        <w:rPr>
          <w:sz w:val="24"/>
          <w:szCs w:val="24"/>
        </w:rPr>
        <w:t>nalyser la motivation intrinsèque et extrinsèque sur la performance académique des étudiants en première année d’architecture de l’Ecole d’Architecture d’Abidjan (EAA).</w:t>
      </w:r>
      <w:r>
        <w:rPr>
          <w:sz w:val="24"/>
          <w:szCs w:val="24"/>
        </w:rPr>
        <w:t xml:space="preserve"> </w:t>
      </w:r>
      <w:r w:rsidRPr="009C7F3E">
        <w:rPr>
          <w:sz w:val="24"/>
          <w:szCs w:val="24"/>
        </w:rPr>
        <w:t xml:space="preserve">Cet objectif </w:t>
      </w:r>
      <w:r>
        <w:rPr>
          <w:sz w:val="24"/>
          <w:szCs w:val="24"/>
        </w:rPr>
        <w:t xml:space="preserve">conduit naturellement </w:t>
      </w:r>
      <w:r w:rsidRPr="009C7F3E">
        <w:rPr>
          <w:sz w:val="24"/>
          <w:szCs w:val="24"/>
        </w:rPr>
        <w:t xml:space="preserve">à la formulation des hypothèses qui suivent. </w:t>
      </w:r>
      <w:r>
        <w:rPr>
          <w:sz w:val="24"/>
          <w:szCs w:val="24"/>
        </w:rPr>
        <w:t xml:space="preserve">La première stipule </w:t>
      </w:r>
      <w:r w:rsidRPr="002C051F">
        <w:rPr>
          <w:sz w:val="24"/>
          <w:szCs w:val="24"/>
        </w:rPr>
        <w:t>que les étudiants de l’EAA ont de meilleures performances académiques que leurs pairs étudiants.</w:t>
      </w:r>
      <w:r w:rsidRPr="00827470">
        <w:rPr>
          <w:sz w:val="24"/>
          <w:szCs w:val="24"/>
        </w:rPr>
        <w:t xml:space="preserve"> </w:t>
      </w:r>
      <w:r>
        <w:rPr>
          <w:sz w:val="24"/>
          <w:szCs w:val="24"/>
        </w:rPr>
        <w:t>La seconde indique que l</w:t>
      </w:r>
      <w:r w:rsidRPr="009C28FD">
        <w:rPr>
          <w:sz w:val="24"/>
          <w:szCs w:val="24"/>
        </w:rPr>
        <w:t>es étudiants en première année d’architecture de l’Ecole d’Architecture d’Abidjan (EAA) intrinsèquement motivés ont de meilleures performances académiques que ceux extrinsèquement motivés.</w:t>
      </w:r>
      <w:r>
        <w:rPr>
          <w:sz w:val="24"/>
          <w:szCs w:val="24"/>
        </w:rPr>
        <w:t xml:space="preserve"> </w:t>
      </w:r>
      <w:r w:rsidRPr="009C7F3E">
        <w:rPr>
          <w:sz w:val="24"/>
          <w:szCs w:val="24"/>
        </w:rPr>
        <w:t>L</w:t>
      </w:r>
      <w:r>
        <w:rPr>
          <w:sz w:val="24"/>
          <w:szCs w:val="24"/>
        </w:rPr>
        <w:t>a troisième souligne que l</w:t>
      </w:r>
      <w:r w:rsidRPr="009C7F3E">
        <w:rPr>
          <w:sz w:val="24"/>
          <w:szCs w:val="24"/>
        </w:rPr>
        <w:t>es étudiants ayant une motivation intrinsèque ont plus de chances d’adopter des stratégies d'apprentissage profond</w:t>
      </w:r>
      <w:r>
        <w:rPr>
          <w:sz w:val="24"/>
          <w:szCs w:val="24"/>
        </w:rPr>
        <w:t xml:space="preserve"> (la</w:t>
      </w:r>
      <w:r w:rsidRPr="009C7F3E">
        <w:rPr>
          <w:sz w:val="24"/>
          <w:szCs w:val="24"/>
        </w:rPr>
        <w:t xml:space="preserve"> réflexion sur le contenu et la recherche de compréhension</w:t>
      </w:r>
      <w:r>
        <w:rPr>
          <w:sz w:val="24"/>
          <w:szCs w:val="24"/>
        </w:rPr>
        <w:t xml:space="preserve">) </w:t>
      </w:r>
      <w:r w:rsidRPr="009C7F3E">
        <w:rPr>
          <w:sz w:val="24"/>
          <w:szCs w:val="24"/>
        </w:rPr>
        <w:t xml:space="preserve">par rapport à ceux ayant une motivation extrinsèque qui sont plus enclins à adopter </w:t>
      </w:r>
      <w:bookmarkStart w:id="36" w:name="_Hlk209698289"/>
      <w:r w:rsidRPr="009C7F3E">
        <w:rPr>
          <w:sz w:val="24"/>
          <w:szCs w:val="24"/>
        </w:rPr>
        <w:t>des stratégies superficielles pour obtenir des notes.</w:t>
      </w:r>
    </w:p>
    <w:bookmarkEnd w:id="36"/>
    <w:p w14:paraId="6A88E90E" w14:textId="77777777" w:rsidR="00D80693" w:rsidRDefault="00D80693" w:rsidP="008F0E54">
      <w:pPr>
        <w:spacing w:before="120"/>
        <w:jc w:val="both"/>
        <w:rPr>
          <w:rFonts w:eastAsia="Calibri"/>
          <w:sz w:val="24"/>
          <w:szCs w:val="24"/>
        </w:rPr>
      </w:pPr>
      <w:r>
        <w:rPr>
          <w:sz w:val="24"/>
          <w:szCs w:val="24"/>
        </w:rPr>
        <w:t>Pour tester ces hypothèses et examiner ces relations, il convient à présent de présenter la méthodologie adoptée dans cette étude.</w:t>
      </w:r>
    </w:p>
    <w:p w14:paraId="61F3B7A6" w14:textId="77777777" w:rsidR="00D80693" w:rsidRPr="008F0E54" w:rsidRDefault="00D80693" w:rsidP="008F0E54">
      <w:pPr>
        <w:pStyle w:val="Paragraphedeliste"/>
        <w:widowControl/>
        <w:numPr>
          <w:ilvl w:val="0"/>
          <w:numId w:val="222"/>
        </w:numPr>
        <w:autoSpaceDE/>
        <w:autoSpaceDN/>
        <w:spacing w:after="50"/>
        <w:contextualSpacing/>
        <w:rPr>
          <w:rFonts w:eastAsia="Calibri"/>
          <w:b/>
          <w:bCs/>
          <w:sz w:val="28"/>
          <w:szCs w:val="28"/>
        </w:rPr>
      </w:pPr>
      <w:r w:rsidRPr="008F0E54">
        <w:rPr>
          <w:b/>
          <w:bCs/>
          <w:sz w:val="28"/>
          <w:szCs w:val="28"/>
        </w:rPr>
        <w:t xml:space="preserve">Méthodologie </w:t>
      </w:r>
    </w:p>
    <w:p w14:paraId="713779D8" w14:textId="77777777" w:rsidR="00D80693" w:rsidRDefault="00D80693" w:rsidP="008F0E54">
      <w:pPr>
        <w:spacing w:before="120"/>
        <w:jc w:val="both"/>
        <w:rPr>
          <w:rFonts w:eastAsia="Calibri"/>
          <w:sz w:val="24"/>
          <w:szCs w:val="24"/>
        </w:rPr>
      </w:pPr>
      <w:r w:rsidRPr="00311D3B">
        <w:rPr>
          <w:sz w:val="24"/>
          <w:szCs w:val="24"/>
        </w:rPr>
        <w:t>Pour mener cette étude, les cibles de l’enquête ont été clairement définies. L’échantillon est constitué des étudiants en première année d’architecture de l’École d’Architecture d’Abidjan (EAA) ayant accepté de répondre aux questionnaires. Ils sont au nombre de 92 pour l’année académique 2024-2025, avec un âge variant entre 16 et 23 ans. Afin de garantir une participation volontaire et impliquée, nous avons opté pour une méthode de recrutement volontaire, permettant aux étudiants de s’engager dans l’étude sans contrainte.</w:t>
      </w:r>
    </w:p>
    <w:p w14:paraId="784A3E50" w14:textId="77777777" w:rsidR="00D80693" w:rsidRDefault="00D80693" w:rsidP="008F0E54">
      <w:pPr>
        <w:spacing w:before="120"/>
        <w:jc w:val="both"/>
        <w:rPr>
          <w:rFonts w:eastAsia="Calibri"/>
          <w:sz w:val="24"/>
          <w:szCs w:val="24"/>
        </w:rPr>
      </w:pPr>
      <w:r w:rsidRPr="00311D3B">
        <w:rPr>
          <w:sz w:val="24"/>
          <w:szCs w:val="24"/>
        </w:rPr>
        <w:t>En ce qui concerne les outils de collecte des données, les participants ont été interrogés à l’aide de l’échelle de motivation académique EMEC-C adaptée, validée et fiable dans le contexte ivoirien. Cette échelle a permis d’évaluer trois dimensions de la motivation : la motivation intrinsèque (plaisir, curiosité, développement personnel), mesurée par un questionnaire d’auto-évaluation de 12 items sur une échelle de 7 points allant de « pas du tout vrai (1) » à « tout à fait vrai (7) » ; la motivation extrinsèque (contrôle social, obligations, utilité), évaluée par un questionnaire similaire de 12 items ; et l’amotivation (absence de but, perte de sens, doute), mesurée par un questionnaire de 4 items sur la même échelle. Ces trois instruments ont été élaborés sur la base de la théorie de l’autodétermination (</w:t>
      </w:r>
      <w:proofErr w:type="spellStart"/>
      <w:r w:rsidRPr="00311D3B">
        <w:rPr>
          <w:sz w:val="24"/>
          <w:szCs w:val="24"/>
        </w:rPr>
        <w:t>Deci</w:t>
      </w:r>
      <w:proofErr w:type="spellEnd"/>
      <w:r w:rsidRPr="00311D3B">
        <w:rPr>
          <w:sz w:val="24"/>
          <w:szCs w:val="24"/>
        </w:rPr>
        <w:t xml:space="preserve"> &amp; Ryan, 1985 ; Vallerand et al., 1992) afin d’apprécier la qualité de la motivation académique des étudiants. Par ailleurs, les résultats académiques annuels (2024-2025) ont été utilisés comme indicateur de performance. Les questionnaires ont été remplis individuellement sur place, et les participants ont fourni toutes les informations nécessaires à l’étude.</w:t>
      </w:r>
    </w:p>
    <w:p w14:paraId="5345842A" w14:textId="77777777" w:rsidR="00D80693" w:rsidRDefault="00D80693" w:rsidP="008F0E54">
      <w:pPr>
        <w:spacing w:before="120"/>
        <w:jc w:val="both"/>
        <w:rPr>
          <w:rFonts w:eastAsia="Calibri"/>
          <w:sz w:val="24"/>
          <w:szCs w:val="24"/>
        </w:rPr>
      </w:pPr>
      <w:r w:rsidRPr="00311D3B">
        <w:rPr>
          <w:sz w:val="24"/>
          <w:szCs w:val="24"/>
        </w:rPr>
        <w:t>Pour le traitement des données, celles-ci ont été analysées à l’aide du logiciel SPSS 20.0. L’étude a eu recours à l’analyse de variance (ANOVA) pour examiner les différences entre plusieurs groupes et au test t de Student pour comparer les moyennes de deux groupes indépendants, par exemple entre les étudiants d’Abidjan et de Bouaké. Ces tests permettent d’évaluer statistiquement les écarts observés et d’en déterminer la signification, sous réserve du respect des conditions d’application, notamment la normalité des distributions et l’homogénéité des variances.</w:t>
      </w:r>
    </w:p>
    <w:p w14:paraId="3BFC1841" w14:textId="77777777" w:rsidR="00D80693" w:rsidRPr="00BD3B47" w:rsidRDefault="00D80693" w:rsidP="00BD3B47">
      <w:pPr>
        <w:pStyle w:val="Paragraphedeliste"/>
        <w:widowControl/>
        <w:numPr>
          <w:ilvl w:val="0"/>
          <w:numId w:val="222"/>
        </w:numPr>
        <w:autoSpaceDE/>
        <w:autoSpaceDN/>
        <w:spacing w:after="50"/>
        <w:contextualSpacing/>
        <w:rPr>
          <w:b/>
          <w:bCs/>
          <w:sz w:val="28"/>
          <w:szCs w:val="28"/>
        </w:rPr>
      </w:pPr>
      <w:bookmarkStart w:id="37" w:name="_Hlk215405335"/>
      <w:r w:rsidRPr="00BD3B47">
        <w:rPr>
          <w:b/>
          <w:bCs/>
          <w:sz w:val="28"/>
          <w:szCs w:val="28"/>
        </w:rPr>
        <w:t>Résultats</w:t>
      </w:r>
    </w:p>
    <w:p w14:paraId="68C34513" w14:textId="77777777" w:rsidR="00D80693" w:rsidRDefault="00D80693" w:rsidP="008F0E54">
      <w:pPr>
        <w:spacing w:before="120"/>
        <w:jc w:val="both"/>
        <w:rPr>
          <w:rFonts w:eastAsia="Calibri"/>
          <w:sz w:val="24"/>
          <w:szCs w:val="24"/>
        </w:rPr>
      </w:pPr>
      <w:r w:rsidRPr="005F7F5E">
        <w:rPr>
          <w:sz w:val="24"/>
          <w:szCs w:val="24"/>
        </w:rPr>
        <w:t>Cette section présente les principaux résultats issus des analyses menées auprès des étudiants de première année d’architecture de l’EAA. Elle s’organise autour de trois axes : la comparaison de leur performance académique selon le sexe, l’examen des niveaux de motivation qui les caractérisent, et la répartition des stratégies d’apprentissage en fonction des types de motivation. Ces éléments permettent de dégager une vision d’ensemble des variations observées au sein de cette cohorte étudiante.</w:t>
      </w:r>
    </w:p>
    <w:p w14:paraId="263DC88A" w14:textId="77777777" w:rsidR="00D80693" w:rsidRDefault="00D80693" w:rsidP="008F0E54">
      <w:pPr>
        <w:spacing w:before="120"/>
        <w:jc w:val="both"/>
        <w:rPr>
          <w:rFonts w:eastAsia="Calibri"/>
          <w:sz w:val="24"/>
          <w:szCs w:val="24"/>
        </w:rPr>
      </w:pPr>
    </w:p>
    <w:p w14:paraId="400BC73C" w14:textId="41382CBF" w:rsidR="00D80693" w:rsidRDefault="00D80693" w:rsidP="00BD3B47">
      <w:pPr>
        <w:pStyle w:val="Paragraphedeliste"/>
        <w:widowControl/>
        <w:numPr>
          <w:ilvl w:val="1"/>
          <w:numId w:val="222"/>
        </w:numPr>
        <w:autoSpaceDE/>
        <w:autoSpaceDN/>
        <w:spacing w:after="50"/>
        <w:contextualSpacing/>
        <w:rPr>
          <w:rFonts w:eastAsia="Calibri"/>
          <w:b/>
          <w:bCs/>
          <w:sz w:val="24"/>
          <w:szCs w:val="24"/>
        </w:rPr>
      </w:pPr>
      <w:r>
        <w:rPr>
          <w:b/>
          <w:bCs/>
          <w:sz w:val="24"/>
          <w:szCs w:val="24"/>
        </w:rPr>
        <w:t>C</w:t>
      </w:r>
      <w:r w:rsidRPr="00576EA0">
        <w:rPr>
          <w:b/>
          <w:bCs/>
          <w:sz w:val="24"/>
          <w:szCs w:val="24"/>
        </w:rPr>
        <w:t>omparaison de</w:t>
      </w:r>
      <w:r>
        <w:rPr>
          <w:b/>
          <w:bCs/>
          <w:sz w:val="24"/>
          <w:szCs w:val="24"/>
        </w:rPr>
        <w:t xml:space="preserve"> la performance académique des étudiants de la première année d’architecture à l’EAA selon le sexe (Ho1)</w:t>
      </w:r>
    </w:p>
    <w:p w14:paraId="25A6E7B0" w14:textId="77777777" w:rsidR="00D80693" w:rsidRDefault="00D80693" w:rsidP="008F0E54">
      <w:pPr>
        <w:spacing w:before="120" w:after="50"/>
        <w:jc w:val="both"/>
        <w:rPr>
          <w:rFonts w:eastAsia="Calibri"/>
          <w:b/>
          <w:bCs/>
          <w:i/>
          <w:iCs/>
        </w:rPr>
      </w:pPr>
      <w:r>
        <w:rPr>
          <w:b/>
          <w:bCs/>
          <w:sz w:val="24"/>
          <w:szCs w:val="24"/>
        </w:rPr>
        <w:t xml:space="preserve">   </w:t>
      </w:r>
      <w:r w:rsidRPr="004C25E3">
        <w:rPr>
          <w:b/>
          <w:bCs/>
          <w:i/>
          <w:iCs/>
        </w:rPr>
        <w:t>Tableau n°</w:t>
      </w:r>
      <w:r>
        <w:rPr>
          <w:b/>
          <w:bCs/>
          <w:i/>
          <w:iCs/>
        </w:rPr>
        <w:t>1</w:t>
      </w:r>
      <w:r w:rsidRPr="004C25E3">
        <w:rPr>
          <w:b/>
          <w:bCs/>
          <w:i/>
          <w:iCs/>
        </w:rPr>
        <w:t xml:space="preserve"> : Résultats de l’Anova comparant la </w:t>
      </w:r>
      <w:r>
        <w:rPr>
          <w:b/>
          <w:bCs/>
          <w:i/>
          <w:iCs/>
        </w:rPr>
        <w:t>performance académique</w:t>
      </w:r>
      <w:r w:rsidRPr="004C25E3">
        <w:rPr>
          <w:b/>
          <w:bCs/>
          <w:i/>
          <w:iCs/>
        </w:rPr>
        <w:t xml:space="preserve"> des étudiants de </w:t>
      </w:r>
      <w:r>
        <w:rPr>
          <w:b/>
          <w:bCs/>
          <w:i/>
          <w:iCs/>
        </w:rPr>
        <w:t xml:space="preserve">  </w:t>
      </w:r>
      <w:r w:rsidRPr="004C25E3">
        <w:rPr>
          <w:b/>
          <w:bCs/>
          <w:i/>
          <w:iCs/>
        </w:rPr>
        <w:t>première année d’architecture à l’EAA</w:t>
      </w:r>
      <w:r>
        <w:rPr>
          <w:b/>
          <w:bCs/>
          <w:i/>
          <w:iCs/>
        </w:rPr>
        <w:t xml:space="preserve"> selon le sexe</w:t>
      </w:r>
    </w:p>
    <w:p w14:paraId="0F131951" w14:textId="77777777" w:rsidR="00D80693" w:rsidRPr="00F12C81" w:rsidRDefault="00D80693" w:rsidP="00D80693">
      <w:pPr>
        <w:spacing w:before="50" w:after="50"/>
        <w:jc w:val="both"/>
        <w:rPr>
          <w:b/>
          <w:bCs/>
          <w:i/>
          <w:iCs/>
          <w:sz w:val="24"/>
          <w:szCs w:val="24"/>
        </w:rPr>
      </w:pPr>
    </w:p>
    <w:tbl>
      <w:tblPr>
        <w:tblStyle w:val="Tableausimple2"/>
        <w:tblW w:w="0" w:type="auto"/>
        <w:tblInd w:w="799" w:type="dxa"/>
        <w:tblLook w:val="04A0" w:firstRow="1" w:lastRow="0" w:firstColumn="1" w:lastColumn="0" w:noHBand="0" w:noVBand="1"/>
      </w:tblPr>
      <w:tblGrid>
        <w:gridCol w:w="1536"/>
        <w:gridCol w:w="1560"/>
        <w:gridCol w:w="787"/>
        <w:gridCol w:w="1906"/>
        <w:gridCol w:w="684"/>
        <w:gridCol w:w="1295"/>
      </w:tblGrid>
      <w:tr w:rsidR="00D80693" w14:paraId="64FD417E" w14:textId="77777777" w:rsidTr="00D72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Borders>
              <w:top w:val="double" w:sz="4" w:space="0" w:color="000000"/>
              <w:bottom w:val="double" w:sz="4" w:space="0" w:color="000000"/>
            </w:tcBorders>
          </w:tcPr>
          <w:p w14:paraId="6ABEEBC0" w14:textId="77777777" w:rsidR="00D80693" w:rsidRDefault="00D80693" w:rsidP="00D72320">
            <w:pPr>
              <w:jc w:val="center"/>
              <w:rPr>
                <w:rFonts w:ascii="-webkit-standard" w:hAnsi="-webkit-standard"/>
                <w:color w:val="000000"/>
                <w:sz w:val="27"/>
                <w:szCs w:val="27"/>
              </w:rPr>
            </w:pPr>
            <w:r w:rsidRPr="00B46ACD">
              <w:t>Source de variation</w:t>
            </w:r>
          </w:p>
        </w:tc>
        <w:tc>
          <w:tcPr>
            <w:tcW w:w="1560" w:type="dxa"/>
            <w:tcBorders>
              <w:top w:val="double" w:sz="4" w:space="0" w:color="000000"/>
              <w:bottom w:val="double" w:sz="4" w:space="0" w:color="000000"/>
            </w:tcBorders>
          </w:tcPr>
          <w:p w14:paraId="39670ED9" w14:textId="77777777" w:rsidR="00D80693" w:rsidRDefault="00D80693" w:rsidP="00D72320">
            <w:pPr>
              <w:jc w:val="center"/>
              <w:cnfStyle w:val="100000000000" w:firstRow="1" w:lastRow="0" w:firstColumn="0" w:lastColumn="0" w:oddVBand="0" w:evenVBand="0" w:oddHBand="0" w:evenHBand="0" w:firstRowFirstColumn="0" w:firstRowLastColumn="0" w:lastRowFirstColumn="0" w:lastRowLastColumn="0"/>
              <w:rPr>
                <w:rFonts w:ascii="-webkit-standard" w:hAnsi="-webkit-standard"/>
                <w:color w:val="000000"/>
                <w:sz w:val="27"/>
                <w:szCs w:val="27"/>
              </w:rPr>
            </w:pPr>
            <w:r w:rsidRPr="00B46ACD">
              <w:t>Somme des carrés (SC)</w:t>
            </w:r>
          </w:p>
        </w:tc>
        <w:tc>
          <w:tcPr>
            <w:tcW w:w="787" w:type="dxa"/>
            <w:tcBorders>
              <w:top w:val="double" w:sz="4" w:space="0" w:color="000000"/>
              <w:bottom w:val="double" w:sz="4" w:space="0" w:color="000000"/>
            </w:tcBorders>
          </w:tcPr>
          <w:p w14:paraId="41B17C77" w14:textId="77777777" w:rsidR="00D80693" w:rsidRDefault="00D80693" w:rsidP="00D72320">
            <w:pPr>
              <w:jc w:val="center"/>
              <w:cnfStyle w:val="100000000000" w:firstRow="1" w:lastRow="0" w:firstColumn="0" w:lastColumn="0" w:oddVBand="0" w:evenVBand="0" w:oddHBand="0" w:evenHBand="0" w:firstRowFirstColumn="0" w:firstRowLastColumn="0" w:lastRowFirstColumn="0" w:lastRowLastColumn="0"/>
              <w:rPr>
                <w:rFonts w:ascii="-webkit-standard" w:hAnsi="-webkit-standard"/>
                <w:color w:val="000000"/>
                <w:sz w:val="27"/>
                <w:szCs w:val="27"/>
              </w:rPr>
            </w:pPr>
            <w:r>
              <w:t>D</w:t>
            </w:r>
            <w:r w:rsidRPr="00B46ACD">
              <w:t>dl</w:t>
            </w:r>
          </w:p>
        </w:tc>
        <w:tc>
          <w:tcPr>
            <w:tcW w:w="1906" w:type="dxa"/>
            <w:tcBorders>
              <w:top w:val="double" w:sz="4" w:space="0" w:color="000000"/>
              <w:bottom w:val="double" w:sz="4" w:space="0" w:color="000000"/>
            </w:tcBorders>
          </w:tcPr>
          <w:p w14:paraId="5100AEB5" w14:textId="77777777" w:rsidR="00D80693" w:rsidRDefault="00D80693" w:rsidP="00D72320">
            <w:pPr>
              <w:jc w:val="center"/>
              <w:cnfStyle w:val="100000000000" w:firstRow="1" w:lastRow="0" w:firstColumn="0" w:lastColumn="0" w:oddVBand="0" w:evenVBand="0" w:oddHBand="0" w:evenHBand="0" w:firstRowFirstColumn="0" w:firstRowLastColumn="0" w:lastRowFirstColumn="0" w:lastRowLastColumn="0"/>
              <w:rPr>
                <w:rFonts w:ascii="-webkit-standard" w:hAnsi="-webkit-standard"/>
                <w:color w:val="000000"/>
                <w:sz w:val="27"/>
                <w:szCs w:val="27"/>
              </w:rPr>
            </w:pPr>
            <w:r w:rsidRPr="00B46ACD">
              <w:t>Moyenne des carrés (MC)</w:t>
            </w:r>
          </w:p>
        </w:tc>
        <w:tc>
          <w:tcPr>
            <w:tcW w:w="684" w:type="dxa"/>
            <w:tcBorders>
              <w:top w:val="double" w:sz="4" w:space="0" w:color="000000"/>
              <w:bottom w:val="double" w:sz="4" w:space="0" w:color="000000"/>
            </w:tcBorders>
          </w:tcPr>
          <w:p w14:paraId="223B288D" w14:textId="77777777" w:rsidR="00D80693" w:rsidRDefault="00D80693" w:rsidP="00D72320">
            <w:pPr>
              <w:jc w:val="center"/>
              <w:cnfStyle w:val="100000000000" w:firstRow="1" w:lastRow="0" w:firstColumn="0" w:lastColumn="0" w:oddVBand="0" w:evenVBand="0" w:oddHBand="0" w:evenHBand="0" w:firstRowFirstColumn="0" w:firstRowLastColumn="0" w:lastRowFirstColumn="0" w:lastRowLastColumn="0"/>
              <w:rPr>
                <w:rFonts w:ascii="-webkit-standard" w:hAnsi="-webkit-standard"/>
                <w:color w:val="000000"/>
                <w:sz w:val="27"/>
                <w:szCs w:val="27"/>
              </w:rPr>
            </w:pPr>
            <w:r w:rsidRPr="00B46ACD">
              <w:t>F</w:t>
            </w:r>
          </w:p>
        </w:tc>
        <w:tc>
          <w:tcPr>
            <w:tcW w:w="1295" w:type="dxa"/>
            <w:tcBorders>
              <w:top w:val="double" w:sz="4" w:space="0" w:color="000000"/>
              <w:bottom w:val="double" w:sz="4" w:space="0" w:color="000000"/>
            </w:tcBorders>
          </w:tcPr>
          <w:p w14:paraId="528F780C" w14:textId="77777777" w:rsidR="00D80693" w:rsidRDefault="00D80693" w:rsidP="00D72320">
            <w:pPr>
              <w:cnfStyle w:val="100000000000" w:firstRow="1" w:lastRow="0" w:firstColumn="0" w:lastColumn="0" w:oddVBand="0" w:evenVBand="0" w:oddHBand="0" w:evenHBand="0" w:firstRowFirstColumn="0" w:firstRowLastColumn="0" w:lastRowFirstColumn="0" w:lastRowLastColumn="0"/>
              <w:rPr>
                <w:rFonts w:ascii="-webkit-standard" w:hAnsi="-webkit-standard"/>
                <w:color w:val="000000"/>
                <w:sz w:val="27"/>
                <w:szCs w:val="27"/>
              </w:rPr>
            </w:pPr>
            <w:proofErr w:type="gramStart"/>
            <w:r w:rsidRPr="00B46ACD">
              <w:t>p</w:t>
            </w:r>
            <w:proofErr w:type="gramEnd"/>
            <w:r w:rsidRPr="00B46ACD">
              <w:t xml:space="preserve"> (</w:t>
            </w:r>
            <w:proofErr w:type="spellStart"/>
            <w:r w:rsidRPr="00B46ACD">
              <w:t>Sig</w:t>
            </w:r>
            <w:proofErr w:type="spellEnd"/>
            <w:r w:rsidRPr="00B46ACD">
              <w:t>.)</w:t>
            </w:r>
          </w:p>
        </w:tc>
      </w:tr>
      <w:tr w:rsidR="00D80693" w14:paraId="7419BD34"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Borders>
              <w:top w:val="double" w:sz="4" w:space="0" w:color="000000"/>
              <w:bottom w:val="double" w:sz="4" w:space="0" w:color="000000"/>
            </w:tcBorders>
          </w:tcPr>
          <w:p w14:paraId="62C67682" w14:textId="77777777" w:rsidR="00D80693" w:rsidRDefault="00D80693" w:rsidP="00D72320">
            <w:pPr>
              <w:jc w:val="center"/>
              <w:rPr>
                <w:rFonts w:ascii="-webkit-standard" w:hAnsi="-webkit-standard"/>
                <w:color w:val="000000"/>
                <w:sz w:val="27"/>
                <w:szCs w:val="27"/>
              </w:rPr>
            </w:pPr>
            <w:r w:rsidRPr="00B46ACD">
              <w:t>Inter-groupes</w:t>
            </w:r>
          </w:p>
        </w:tc>
        <w:tc>
          <w:tcPr>
            <w:tcW w:w="1560" w:type="dxa"/>
            <w:tcBorders>
              <w:top w:val="double" w:sz="4" w:space="0" w:color="000000"/>
              <w:bottom w:val="double" w:sz="4" w:space="0" w:color="000000"/>
            </w:tcBorders>
          </w:tcPr>
          <w:p w14:paraId="72BD3D1A"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r w:rsidRPr="000F5728">
              <w:rPr>
                <w:color w:val="000000"/>
              </w:rPr>
              <w:t>0,181</w:t>
            </w:r>
          </w:p>
        </w:tc>
        <w:tc>
          <w:tcPr>
            <w:tcW w:w="787" w:type="dxa"/>
            <w:tcBorders>
              <w:top w:val="double" w:sz="4" w:space="0" w:color="000000"/>
              <w:bottom w:val="double" w:sz="4" w:space="0" w:color="000000"/>
            </w:tcBorders>
          </w:tcPr>
          <w:p w14:paraId="60DE1384"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r w:rsidRPr="000F5728">
              <w:rPr>
                <w:color w:val="000000"/>
              </w:rPr>
              <w:t>1</w:t>
            </w:r>
          </w:p>
        </w:tc>
        <w:tc>
          <w:tcPr>
            <w:tcW w:w="1906" w:type="dxa"/>
            <w:tcBorders>
              <w:top w:val="double" w:sz="4" w:space="0" w:color="000000"/>
              <w:bottom w:val="double" w:sz="4" w:space="0" w:color="000000"/>
            </w:tcBorders>
          </w:tcPr>
          <w:p w14:paraId="429F9F92"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r w:rsidRPr="000F5728">
              <w:rPr>
                <w:color w:val="000000"/>
              </w:rPr>
              <w:t>0,181</w:t>
            </w:r>
          </w:p>
        </w:tc>
        <w:tc>
          <w:tcPr>
            <w:tcW w:w="684" w:type="dxa"/>
            <w:tcBorders>
              <w:top w:val="double" w:sz="4" w:space="0" w:color="000000"/>
              <w:bottom w:val="double" w:sz="4" w:space="0" w:color="000000"/>
            </w:tcBorders>
          </w:tcPr>
          <w:p w14:paraId="00B97E1B" w14:textId="77777777" w:rsidR="00D80693" w:rsidRPr="00D316DF"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r w:rsidRPr="00D316DF">
              <w:rPr>
                <w:color w:val="000000"/>
              </w:rPr>
              <w:t>4,63</w:t>
            </w:r>
          </w:p>
        </w:tc>
        <w:tc>
          <w:tcPr>
            <w:tcW w:w="1295" w:type="dxa"/>
            <w:tcBorders>
              <w:top w:val="double" w:sz="4" w:space="0" w:color="000000"/>
              <w:bottom w:val="double" w:sz="4" w:space="0" w:color="000000"/>
            </w:tcBorders>
          </w:tcPr>
          <w:p w14:paraId="67279205" w14:textId="77777777" w:rsidR="00D80693" w:rsidRDefault="00D80693" w:rsidP="00D72320">
            <w:pP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p>
        </w:tc>
      </w:tr>
      <w:tr w:rsidR="00D80693" w14:paraId="10D3A0AD" w14:textId="77777777" w:rsidTr="00D72320">
        <w:tc>
          <w:tcPr>
            <w:cnfStyle w:val="001000000000" w:firstRow="0" w:lastRow="0" w:firstColumn="1" w:lastColumn="0" w:oddVBand="0" w:evenVBand="0" w:oddHBand="0" w:evenHBand="0" w:firstRowFirstColumn="0" w:firstRowLastColumn="0" w:lastRowFirstColumn="0" w:lastRowLastColumn="0"/>
            <w:tcW w:w="1536" w:type="dxa"/>
            <w:tcBorders>
              <w:top w:val="double" w:sz="4" w:space="0" w:color="000000"/>
              <w:bottom w:val="double" w:sz="4" w:space="0" w:color="000000"/>
            </w:tcBorders>
          </w:tcPr>
          <w:p w14:paraId="1A7C7512" w14:textId="77777777" w:rsidR="00D80693" w:rsidRDefault="00D80693" w:rsidP="00D72320">
            <w:pPr>
              <w:jc w:val="center"/>
              <w:rPr>
                <w:rFonts w:ascii="-webkit-standard" w:hAnsi="-webkit-standard"/>
                <w:color w:val="000000"/>
                <w:sz w:val="27"/>
                <w:szCs w:val="27"/>
              </w:rPr>
            </w:pPr>
            <w:r w:rsidRPr="00B46ACD">
              <w:t>Intra-groupes</w:t>
            </w:r>
          </w:p>
        </w:tc>
        <w:tc>
          <w:tcPr>
            <w:tcW w:w="1560" w:type="dxa"/>
            <w:tcBorders>
              <w:top w:val="double" w:sz="4" w:space="0" w:color="000000"/>
              <w:bottom w:val="double" w:sz="4" w:space="0" w:color="000000"/>
            </w:tcBorders>
          </w:tcPr>
          <w:p w14:paraId="33A3ECB6" w14:textId="77777777" w:rsidR="00D80693" w:rsidRDefault="00D80693" w:rsidP="00D72320">
            <w:pPr>
              <w:jc w:val="center"/>
              <w:cnfStyle w:val="000000000000" w:firstRow="0" w:lastRow="0" w:firstColumn="0" w:lastColumn="0" w:oddVBand="0" w:evenVBand="0" w:oddHBand="0" w:evenHBand="0" w:firstRowFirstColumn="0" w:firstRowLastColumn="0" w:lastRowFirstColumn="0" w:lastRowLastColumn="0"/>
              <w:rPr>
                <w:rFonts w:ascii="-webkit-standard" w:hAnsi="-webkit-standard"/>
                <w:color w:val="000000"/>
                <w:sz w:val="27"/>
                <w:szCs w:val="27"/>
              </w:rPr>
            </w:pPr>
            <w:r w:rsidRPr="000F5728">
              <w:rPr>
                <w:color w:val="000000"/>
              </w:rPr>
              <w:t>3,516</w:t>
            </w:r>
          </w:p>
        </w:tc>
        <w:tc>
          <w:tcPr>
            <w:tcW w:w="787" w:type="dxa"/>
            <w:tcBorders>
              <w:top w:val="double" w:sz="4" w:space="0" w:color="000000"/>
              <w:bottom w:val="double" w:sz="4" w:space="0" w:color="000000"/>
            </w:tcBorders>
          </w:tcPr>
          <w:p w14:paraId="32BCCC4C" w14:textId="77777777" w:rsidR="00D80693" w:rsidRDefault="00D80693" w:rsidP="00D72320">
            <w:pPr>
              <w:jc w:val="center"/>
              <w:cnfStyle w:val="000000000000" w:firstRow="0" w:lastRow="0" w:firstColumn="0" w:lastColumn="0" w:oddVBand="0" w:evenVBand="0" w:oddHBand="0" w:evenHBand="0" w:firstRowFirstColumn="0" w:firstRowLastColumn="0" w:lastRowFirstColumn="0" w:lastRowLastColumn="0"/>
              <w:rPr>
                <w:rFonts w:ascii="-webkit-standard" w:hAnsi="-webkit-standard"/>
                <w:color w:val="000000"/>
                <w:sz w:val="27"/>
                <w:szCs w:val="27"/>
              </w:rPr>
            </w:pPr>
            <w:r w:rsidRPr="000F5728">
              <w:rPr>
                <w:color w:val="000000"/>
              </w:rPr>
              <w:t>90</w:t>
            </w:r>
          </w:p>
        </w:tc>
        <w:tc>
          <w:tcPr>
            <w:tcW w:w="1906" w:type="dxa"/>
            <w:tcBorders>
              <w:top w:val="double" w:sz="4" w:space="0" w:color="000000"/>
              <w:bottom w:val="double" w:sz="4" w:space="0" w:color="000000"/>
            </w:tcBorders>
          </w:tcPr>
          <w:p w14:paraId="0FF652B5" w14:textId="77777777" w:rsidR="00D80693" w:rsidRDefault="00D80693" w:rsidP="00D72320">
            <w:pPr>
              <w:jc w:val="center"/>
              <w:cnfStyle w:val="000000000000" w:firstRow="0" w:lastRow="0" w:firstColumn="0" w:lastColumn="0" w:oddVBand="0" w:evenVBand="0" w:oddHBand="0" w:evenHBand="0" w:firstRowFirstColumn="0" w:firstRowLastColumn="0" w:lastRowFirstColumn="0" w:lastRowLastColumn="0"/>
              <w:rPr>
                <w:rFonts w:ascii="-webkit-standard" w:hAnsi="-webkit-standard"/>
                <w:color w:val="000000"/>
                <w:sz w:val="27"/>
                <w:szCs w:val="27"/>
              </w:rPr>
            </w:pPr>
            <w:r w:rsidRPr="000F5728">
              <w:rPr>
                <w:color w:val="000000"/>
              </w:rPr>
              <w:t>0,039</w:t>
            </w:r>
          </w:p>
        </w:tc>
        <w:tc>
          <w:tcPr>
            <w:tcW w:w="684" w:type="dxa"/>
            <w:tcBorders>
              <w:top w:val="double" w:sz="4" w:space="0" w:color="000000"/>
              <w:bottom w:val="double" w:sz="4" w:space="0" w:color="000000"/>
            </w:tcBorders>
          </w:tcPr>
          <w:p w14:paraId="77CFAE16" w14:textId="77777777" w:rsidR="00D80693" w:rsidRDefault="00D80693" w:rsidP="00D72320">
            <w:pPr>
              <w:cnfStyle w:val="000000000000" w:firstRow="0" w:lastRow="0" w:firstColumn="0" w:lastColumn="0" w:oddVBand="0" w:evenVBand="0" w:oddHBand="0" w:evenHBand="0" w:firstRowFirstColumn="0" w:firstRowLastColumn="0" w:lastRowFirstColumn="0" w:lastRowLastColumn="0"/>
              <w:rPr>
                <w:rFonts w:ascii="-webkit-standard" w:hAnsi="-webkit-standard"/>
                <w:color w:val="000000"/>
                <w:sz w:val="27"/>
                <w:szCs w:val="27"/>
              </w:rPr>
            </w:pPr>
          </w:p>
        </w:tc>
        <w:tc>
          <w:tcPr>
            <w:tcW w:w="1295" w:type="dxa"/>
            <w:tcBorders>
              <w:top w:val="double" w:sz="4" w:space="0" w:color="000000"/>
              <w:bottom w:val="double" w:sz="4" w:space="0" w:color="000000"/>
            </w:tcBorders>
          </w:tcPr>
          <w:p w14:paraId="75567501" w14:textId="77777777" w:rsidR="00D80693" w:rsidRDefault="00D80693" w:rsidP="00D72320">
            <w:pPr>
              <w:jc w:val="center"/>
              <w:cnfStyle w:val="000000000000" w:firstRow="0" w:lastRow="0" w:firstColumn="0" w:lastColumn="0" w:oddVBand="0" w:evenVBand="0" w:oddHBand="0" w:evenHBand="0" w:firstRowFirstColumn="0" w:firstRowLastColumn="0" w:lastRowFirstColumn="0" w:lastRowLastColumn="0"/>
              <w:rPr>
                <w:rFonts w:ascii="-webkit-standard" w:hAnsi="-webkit-standard"/>
                <w:color w:val="000000"/>
                <w:sz w:val="27"/>
                <w:szCs w:val="27"/>
              </w:rPr>
            </w:pPr>
          </w:p>
        </w:tc>
      </w:tr>
      <w:tr w:rsidR="00D80693" w14:paraId="0EF82667"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Borders>
              <w:top w:val="double" w:sz="4" w:space="0" w:color="000000"/>
              <w:bottom w:val="double" w:sz="4" w:space="0" w:color="000000"/>
            </w:tcBorders>
          </w:tcPr>
          <w:p w14:paraId="21C7C353" w14:textId="77777777" w:rsidR="00D80693" w:rsidRDefault="00D80693" w:rsidP="00D72320">
            <w:pPr>
              <w:jc w:val="center"/>
              <w:rPr>
                <w:rFonts w:ascii="-webkit-standard" w:hAnsi="-webkit-standard"/>
                <w:color w:val="000000"/>
                <w:sz w:val="27"/>
                <w:szCs w:val="27"/>
              </w:rPr>
            </w:pPr>
            <w:r w:rsidRPr="00B46ACD">
              <w:t>Total</w:t>
            </w:r>
          </w:p>
        </w:tc>
        <w:tc>
          <w:tcPr>
            <w:tcW w:w="1560" w:type="dxa"/>
            <w:tcBorders>
              <w:top w:val="double" w:sz="4" w:space="0" w:color="000000"/>
              <w:bottom w:val="double" w:sz="4" w:space="0" w:color="000000"/>
            </w:tcBorders>
          </w:tcPr>
          <w:p w14:paraId="079CFCA8"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r w:rsidRPr="000F5728">
              <w:rPr>
                <w:color w:val="000000"/>
              </w:rPr>
              <w:t>3,697</w:t>
            </w:r>
          </w:p>
        </w:tc>
        <w:tc>
          <w:tcPr>
            <w:tcW w:w="787" w:type="dxa"/>
            <w:tcBorders>
              <w:top w:val="double" w:sz="4" w:space="0" w:color="000000"/>
              <w:bottom w:val="double" w:sz="4" w:space="0" w:color="000000"/>
            </w:tcBorders>
          </w:tcPr>
          <w:p w14:paraId="2C9560AB"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r w:rsidRPr="000F5728">
              <w:rPr>
                <w:color w:val="000000"/>
              </w:rPr>
              <w:t>91</w:t>
            </w:r>
          </w:p>
        </w:tc>
        <w:tc>
          <w:tcPr>
            <w:tcW w:w="1906" w:type="dxa"/>
            <w:tcBorders>
              <w:top w:val="double" w:sz="4" w:space="0" w:color="000000"/>
              <w:bottom w:val="double" w:sz="4" w:space="0" w:color="000000"/>
            </w:tcBorders>
          </w:tcPr>
          <w:p w14:paraId="79AA5D54"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p>
        </w:tc>
        <w:tc>
          <w:tcPr>
            <w:tcW w:w="684" w:type="dxa"/>
            <w:tcBorders>
              <w:top w:val="double" w:sz="4" w:space="0" w:color="000000"/>
              <w:bottom w:val="double" w:sz="4" w:space="0" w:color="000000"/>
            </w:tcBorders>
          </w:tcPr>
          <w:p w14:paraId="17CB5E39"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p>
        </w:tc>
        <w:tc>
          <w:tcPr>
            <w:tcW w:w="1295" w:type="dxa"/>
            <w:tcBorders>
              <w:top w:val="double" w:sz="4" w:space="0" w:color="000000"/>
              <w:bottom w:val="double" w:sz="4" w:space="0" w:color="000000"/>
            </w:tcBorders>
          </w:tcPr>
          <w:p w14:paraId="6FEA6A2D" w14:textId="77777777" w:rsidR="00D80693" w:rsidRDefault="00D80693" w:rsidP="00D72320">
            <w:pPr>
              <w:jc w:val="center"/>
              <w:cnfStyle w:val="000000100000" w:firstRow="0" w:lastRow="0" w:firstColumn="0" w:lastColumn="0" w:oddVBand="0" w:evenVBand="0" w:oddHBand="1" w:evenHBand="0" w:firstRowFirstColumn="0" w:firstRowLastColumn="0" w:lastRowFirstColumn="0" w:lastRowLastColumn="0"/>
              <w:rPr>
                <w:rFonts w:ascii="-webkit-standard" w:hAnsi="-webkit-standard"/>
                <w:color w:val="000000"/>
                <w:sz w:val="27"/>
                <w:szCs w:val="27"/>
              </w:rPr>
            </w:pPr>
          </w:p>
        </w:tc>
      </w:tr>
    </w:tbl>
    <w:p w14:paraId="60E6002D" w14:textId="77777777" w:rsidR="00D80693" w:rsidRDefault="00D80693" w:rsidP="00D80693">
      <w:pPr>
        <w:spacing w:before="50" w:after="50"/>
        <w:jc w:val="both"/>
        <w:rPr>
          <w:rFonts w:eastAsia="Calibri"/>
          <w:sz w:val="24"/>
          <w:szCs w:val="24"/>
        </w:rPr>
      </w:pPr>
      <w:r>
        <w:rPr>
          <w:sz w:val="24"/>
          <w:szCs w:val="24"/>
        </w:rPr>
        <w:t xml:space="preserve">               Source : Enquête, Aké et Kanga, 2025</w:t>
      </w:r>
    </w:p>
    <w:bookmarkEnd w:id="37"/>
    <w:p w14:paraId="412F235F" w14:textId="77777777" w:rsidR="00D80693" w:rsidRDefault="00D80693" w:rsidP="00D80693">
      <w:pPr>
        <w:jc w:val="both"/>
        <w:rPr>
          <w:rFonts w:eastAsia="Calibri"/>
          <w:sz w:val="24"/>
          <w:szCs w:val="24"/>
        </w:rPr>
      </w:pPr>
      <w:r w:rsidRPr="000310CA">
        <w:rPr>
          <w:color w:val="000000"/>
          <w:sz w:val="24"/>
          <w:szCs w:val="24"/>
        </w:rPr>
        <w:t xml:space="preserve">Le tableau d’ANOVA montre une différence statistiquement significative entre la performance académique </w:t>
      </w:r>
      <w:r>
        <w:rPr>
          <w:color w:val="000000"/>
        </w:rPr>
        <w:t xml:space="preserve">et le sexe </w:t>
      </w:r>
      <w:r w:rsidRPr="000310CA">
        <w:rPr>
          <w:color w:val="000000"/>
          <w:sz w:val="24"/>
          <w:szCs w:val="24"/>
        </w:rPr>
        <w:t xml:space="preserve">des étudiants </w:t>
      </w:r>
      <w:r w:rsidRPr="000310CA">
        <w:t xml:space="preserve">de première année d’architecture </w:t>
      </w:r>
      <w:r w:rsidRPr="000310CA">
        <w:rPr>
          <w:color w:val="000000"/>
          <w:sz w:val="24"/>
          <w:szCs w:val="24"/>
        </w:rPr>
        <w:t>de l’EAA : </w:t>
      </w:r>
      <w:proofErr w:type="gramStart"/>
      <w:r w:rsidRPr="000310CA">
        <w:rPr>
          <w:color w:val="000000"/>
          <w:sz w:val="24"/>
          <w:szCs w:val="24"/>
        </w:rPr>
        <w:t>F(</w:t>
      </w:r>
      <w:proofErr w:type="gramEnd"/>
      <w:r w:rsidRPr="000310CA">
        <w:rPr>
          <w:color w:val="000000"/>
          <w:sz w:val="24"/>
          <w:szCs w:val="24"/>
        </w:rPr>
        <w:t>1,90) = 4,63 ; p &lt; 0,05. Le taux de réussite des étudiants (93,88 %) est supérieur à celui des étudiantes (81,39 %). Ces résultats indiquent que les étudiants de l’EAA ont de meilleures performances académiques que leurs pairs féminins au titre de l’année académique 2024-2025.</w:t>
      </w:r>
    </w:p>
    <w:p w14:paraId="0F489BCE" w14:textId="77777777" w:rsidR="00D80693" w:rsidRPr="00D7521B" w:rsidRDefault="00D80693" w:rsidP="00D80693">
      <w:pPr>
        <w:pStyle w:val="Paragraphedeliste"/>
        <w:widowControl/>
        <w:numPr>
          <w:ilvl w:val="1"/>
          <w:numId w:val="150"/>
        </w:numPr>
        <w:autoSpaceDE/>
        <w:autoSpaceDN/>
        <w:spacing w:before="50" w:after="50"/>
        <w:ind w:left="0"/>
        <w:contextualSpacing/>
        <w:rPr>
          <w:rFonts w:eastAsia="Calibri"/>
          <w:b/>
          <w:bCs/>
          <w:sz w:val="24"/>
          <w:szCs w:val="24"/>
        </w:rPr>
      </w:pPr>
      <w:bookmarkStart w:id="38" w:name="_Hlk215405381"/>
      <w:r>
        <w:rPr>
          <w:b/>
          <w:bCs/>
          <w:sz w:val="24"/>
          <w:szCs w:val="24"/>
        </w:rPr>
        <w:t>C</w:t>
      </w:r>
      <w:r w:rsidRPr="00576EA0">
        <w:rPr>
          <w:b/>
          <w:bCs/>
          <w:sz w:val="24"/>
          <w:szCs w:val="24"/>
        </w:rPr>
        <w:t>omparaison de</w:t>
      </w:r>
      <w:r>
        <w:rPr>
          <w:b/>
          <w:bCs/>
          <w:sz w:val="24"/>
          <w:szCs w:val="24"/>
        </w:rPr>
        <w:t xml:space="preserve"> la motivation des étudiants de la première année d’architecture à l’EAA </w:t>
      </w:r>
      <w:r w:rsidRPr="00576EA0">
        <w:rPr>
          <w:b/>
          <w:bCs/>
          <w:sz w:val="24"/>
          <w:szCs w:val="24"/>
        </w:rPr>
        <w:t xml:space="preserve">(Ho2) </w:t>
      </w:r>
      <w:bookmarkEnd w:id="38"/>
    </w:p>
    <w:p w14:paraId="30D00E52" w14:textId="77777777" w:rsidR="00D80693" w:rsidRPr="004C25E3" w:rsidRDefault="00D80693" w:rsidP="00D80693">
      <w:pPr>
        <w:spacing w:before="50" w:after="50"/>
        <w:jc w:val="both"/>
        <w:rPr>
          <w:rFonts w:eastAsia="Calibri"/>
          <w:b/>
          <w:bCs/>
          <w:i/>
          <w:iCs/>
        </w:rPr>
      </w:pPr>
      <w:bookmarkStart w:id="39" w:name="_Hlk215470555"/>
      <w:r w:rsidRPr="004C25E3">
        <w:rPr>
          <w:b/>
          <w:bCs/>
          <w:i/>
          <w:iCs/>
        </w:rPr>
        <w:t>Tableau n°</w:t>
      </w:r>
      <w:r>
        <w:rPr>
          <w:b/>
          <w:bCs/>
          <w:i/>
          <w:iCs/>
        </w:rPr>
        <w:t>2</w:t>
      </w:r>
      <w:r w:rsidRPr="004C25E3">
        <w:rPr>
          <w:b/>
          <w:bCs/>
          <w:i/>
          <w:iCs/>
        </w:rPr>
        <w:t> : Résultats de l’Anova comparant la motivation des étudiants de première année d’architecture à l’EAA.</w:t>
      </w:r>
    </w:p>
    <w:bookmarkEnd w:id="39"/>
    <w:p w14:paraId="38C23F06" w14:textId="77777777" w:rsidR="00D80693" w:rsidRPr="00D9410E" w:rsidRDefault="00D80693" w:rsidP="00D80693">
      <w:pPr>
        <w:spacing w:before="50" w:after="50"/>
        <w:jc w:val="both"/>
        <w:rPr>
          <w:rFonts w:eastAsia="Calibri"/>
          <w:b/>
          <w:bCs/>
          <w:sz w:val="24"/>
          <w:szCs w:val="24"/>
        </w:rPr>
      </w:pPr>
    </w:p>
    <w:tbl>
      <w:tblPr>
        <w:tblW w:w="8858" w:type="dxa"/>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351"/>
        <w:gridCol w:w="1852"/>
        <w:gridCol w:w="1220"/>
        <w:gridCol w:w="688"/>
        <w:gridCol w:w="1378"/>
        <w:gridCol w:w="624"/>
        <w:gridCol w:w="745"/>
      </w:tblGrid>
      <w:tr w:rsidR="00D80693" w14:paraId="62ED5BFE" w14:textId="77777777" w:rsidTr="00D72320">
        <w:trPr>
          <w:trHeight w:val="828"/>
          <w:tblHeader/>
          <w:tblCellSpacing w:w="15" w:type="dxa"/>
          <w:jc w:val="center"/>
        </w:trPr>
        <w:tc>
          <w:tcPr>
            <w:tcW w:w="2306" w:type="dxa"/>
            <w:tcBorders>
              <w:top w:val="single" w:sz="4" w:space="0" w:color="auto"/>
              <w:bottom w:val="single" w:sz="4" w:space="0" w:color="auto"/>
            </w:tcBorders>
            <w:vAlign w:val="center"/>
            <w:hideMark/>
          </w:tcPr>
          <w:p w14:paraId="0EF89DDA" w14:textId="77777777" w:rsidR="00D80693" w:rsidRPr="00B46ACD" w:rsidRDefault="00D80693" w:rsidP="00D72320">
            <w:pPr>
              <w:jc w:val="both"/>
              <w:rPr>
                <w:b/>
                <w:bCs/>
                <w:lang w:eastAsia="fr-FR"/>
              </w:rPr>
            </w:pPr>
            <w:r w:rsidRPr="00B46ACD">
              <w:rPr>
                <w:b/>
                <w:bCs/>
                <w:lang w:eastAsia="fr-FR"/>
              </w:rPr>
              <w:t>Composantes de la motivation</w:t>
            </w:r>
          </w:p>
        </w:tc>
        <w:tc>
          <w:tcPr>
            <w:tcW w:w="0" w:type="auto"/>
            <w:tcBorders>
              <w:top w:val="single" w:sz="4" w:space="0" w:color="auto"/>
              <w:bottom w:val="single" w:sz="4" w:space="0" w:color="auto"/>
            </w:tcBorders>
            <w:vAlign w:val="center"/>
            <w:hideMark/>
          </w:tcPr>
          <w:p w14:paraId="72CC7169" w14:textId="77777777" w:rsidR="00D80693" w:rsidRPr="00B46ACD" w:rsidRDefault="00D80693" w:rsidP="00D72320">
            <w:pPr>
              <w:jc w:val="both"/>
              <w:rPr>
                <w:b/>
                <w:bCs/>
                <w:lang w:eastAsia="fr-FR"/>
              </w:rPr>
            </w:pPr>
            <w:r w:rsidRPr="00B46ACD">
              <w:rPr>
                <w:b/>
                <w:bCs/>
                <w:lang w:eastAsia="fr-FR"/>
              </w:rPr>
              <w:t>Source de variation</w:t>
            </w:r>
          </w:p>
        </w:tc>
        <w:tc>
          <w:tcPr>
            <w:tcW w:w="1190" w:type="dxa"/>
            <w:tcBorders>
              <w:top w:val="single" w:sz="4" w:space="0" w:color="auto"/>
              <w:bottom w:val="single" w:sz="4" w:space="0" w:color="auto"/>
            </w:tcBorders>
            <w:vAlign w:val="center"/>
            <w:hideMark/>
          </w:tcPr>
          <w:p w14:paraId="2827B258" w14:textId="77777777" w:rsidR="00D80693" w:rsidRPr="00B46ACD" w:rsidRDefault="00D80693" w:rsidP="00D72320">
            <w:pPr>
              <w:jc w:val="both"/>
              <w:rPr>
                <w:b/>
                <w:bCs/>
                <w:lang w:eastAsia="fr-FR"/>
              </w:rPr>
            </w:pPr>
            <w:r w:rsidRPr="00B46ACD">
              <w:rPr>
                <w:b/>
                <w:bCs/>
                <w:lang w:eastAsia="fr-FR"/>
              </w:rPr>
              <w:t>Somme des carrés (SC)</w:t>
            </w:r>
          </w:p>
        </w:tc>
        <w:tc>
          <w:tcPr>
            <w:tcW w:w="658" w:type="dxa"/>
            <w:tcBorders>
              <w:top w:val="single" w:sz="4" w:space="0" w:color="auto"/>
              <w:bottom w:val="single" w:sz="4" w:space="0" w:color="auto"/>
            </w:tcBorders>
            <w:vAlign w:val="center"/>
            <w:hideMark/>
          </w:tcPr>
          <w:p w14:paraId="15F1B4B6" w14:textId="77777777" w:rsidR="00D80693" w:rsidRPr="00B46ACD" w:rsidRDefault="00D80693" w:rsidP="00D72320">
            <w:pPr>
              <w:jc w:val="both"/>
              <w:rPr>
                <w:b/>
                <w:bCs/>
                <w:lang w:eastAsia="fr-FR"/>
              </w:rPr>
            </w:pPr>
            <w:r w:rsidRPr="00B46ACD">
              <w:rPr>
                <w:b/>
                <w:bCs/>
                <w:lang w:eastAsia="fr-FR"/>
              </w:rPr>
              <w:t>Ddl</w:t>
            </w:r>
          </w:p>
        </w:tc>
        <w:tc>
          <w:tcPr>
            <w:tcW w:w="1348" w:type="dxa"/>
            <w:tcBorders>
              <w:top w:val="single" w:sz="4" w:space="0" w:color="auto"/>
              <w:bottom w:val="single" w:sz="4" w:space="0" w:color="auto"/>
            </w:tcBorders>
            <w:vAlign w:val="center"/>
            <w:hideMark/>
          </w:tcPr>
          <w:p w14:paraId="74AE5C51" w14:textId="77777777" w:rsidR="00D80693" w:rsidRPr="00B46ACD" w:rsidRDefault="00D80693" w:rsidP="00D72320">
            <w:pPr>
              <w:jc w:val="both"/>
              <w:rPr>
                <w:b/>
                <w:bCs/>
                <w:lang w:eastAsia="fr-FR"/>
              </w:rPr>
            </w:pPr>
            <w:r w:rsidRPr="00B46ACD">
              <w:rPr>
                <w:b/>
                <w:bCs/>
                <w:lang w:eastAsia="fr-FR"/>
              </w:rPr>
              <w:t>Moyenne des carrés (MC)</w:t>
            </w:r>
          </w:p>
        </w:tc>
        <w:tc>
          <w:tcPr>
            <w:tcW w:w="594" w:type="dxa"/>
            <w:tcBorders>
              <w:top w:val="single" w:sz="4" w:space="0" w:color="auto"/>
              <w:bottom w:val="single" w:sz="4" w:space="0" w:color="auto"/>
            </w:tcBorders>
            <w:vAlign w:val="center"/>
            <w:hideMark/>
          </w:tcPr>
          <w:p w14:paraId="60188416" w14:textId="77777777" w:rsidR="00D80693" w:rsidRPr="00B46ACD" w:rsidRDefault="00D80693" w:rsidP="00D72320">
            <w:pPr>
              <w:jc w:val="both"/>
              <w:rPr>
                <w:b/>
                <w:bCs/>
                <w:lang w:eastAsia="fr-FR"/>
              </w:rPr>
            </w:pPr>
            <w:r w:rsidRPr="00B46ACD">
              <w:rPr>
                <w:b/>
                <w:bCs/>
                <w:lang w:eastAsia="fr-FR"/>
              </w:rPr>
              <w:t>F</w:t>
            </w:r>
          </w:p>
        </w:tc>
        <w:tc>
          <w:tcPr>
            <w:tcW w:w="0" w:type="auto"/>
            <w:tcBorders>
              <w:top w:val="single" w:sz="4" w:space="0" w:color="auto"/>
              <w:bottom w:val="single" w:sz="4" w:space="0" w:color="auto"/>
            </w:tcBorders>
            <w:vAlign w:val="center"/>
            <w:hideMark/>
          </w:tcPr>
          <w:p w14:paraId="27903927" w14:textId="77777777" w:rsidR="00D80693" w:rsidRPr="00B46ACD" w:rsidRDefault="00D80693" w:rsidP="00D72320">
            <w:pPr>
              <w:jc w:val="both"/>
              <w:rPr>
                <w:b/>
                <w:bCs/>
                <w:lang w:eastAsia="fr-FR"/>
              </w:rPr>
            </w:pPr>
            <w:proofErr w:type="gramStart"/>
            <w:r w:rsidRPr="00B46ACD">
              <w:rPr>
                <w:b/>
                <w:bCs/>
                <w:lang w:eastAsia="fr-FR"/>
              </w:rPr>
              <w:t>p</w:t>
            </w:r>
            <w:proofErr w:type="gramEnd"/>
            <w:r w:rsidRPr="00B46ACD">
              <w:rPr>
                <w:b/>
                <w:bCs/>
                <w:lang w:eastAsia="fr-FR"/>
              </w:rPr>
              <w:t xml:space="preserve"> (</w:t>
            </w:r>
            <w:proofErr w:type="spellStart"/>
            <w:r w:rsidRPr="00B46ACD">
              <w:rPr>
                <w:b/>
                <w:bCs/>
                <w:lang w:eastAsia="fr-FR"/>
              </w:rPr>
              <w:t>Sig</w:t>
            </w:r>
            <w:proofErr w:type="spellEnd"/>
            <w:r w:rsidRPr="00B46ACD">
              <w:rPr>
                <w:b/>
                <w:bCs/>
                <w:lang w:eastAsia="fr-FR"/>
              </w:rPr>
              <w:t>.)</w:t>
            </w:r>
          </w:p>
        </w:tc>
      </w:tr>
      <w:tr w:rsidR="00D80693" w14:paraId="049C4868" w14:textId="77777777" w:rsidTr="00D72320">
        <w:trPr>
          <w:trHeight w:val="271"/>
          <w:tblCellSpacing w:w="15" w:type="dxa"/>
          <w:jc w:val="center"/>
        </w:trPr>
        <w:tc>
          <w:tcPr>
            <w:tcW w:w="2306" w:type="dxa"/>
            <w:tcBorders>
              <w:top w:val="single" w:sz="4" w:space="0" w:color="auto"/>
              <w:bottom w:val="nil"/>
            </w:tcBorders>
            <w:vAlign w:val="center"/>
            <w:hideMark/>
          </w:tcPr>
          <w:p w14:paraId="46EEFC69" w14:textId="77777777" w:rsidR="00D80693" w:rsidRPr="00B46ACD" w:rsidRDefault="00D80693" w:rsidP="00D72320">
            <w:pPr>
              <w:jc w:val="both"/>
              <w:rPr>
                <w:lang w:eastAsia="fr-FR"/>
              </w:rPr>
            </w:pPr>
          </w:p>
        </w:tc>
        <w:tc>
          <w:tcPr>
            <w:tcW w:w="0" w:type="auto"/>
            <w:tcBorders>
              <w:top w:val="single" w:sz="4" w:space="0" w:color="auto"/>
              <w:bottom w:val="nil"/>
            </w:tcBorders>
            <w:vAlign w:val="center"/>
            <w:hideMark/>
          </w:tcPr>
          <w:p w14:paraId="59561984" w14:textId="77777777" w:rsidR="00D80693" w:rsidRPr="00B46ACD" w:rsidRDefault="00D80693" w:rsidP="00D72320">
            <w:pPr>
              <w:jc w:val="both"/>
              <w:rPr>
                <w:lang w:eastAsia="fr-FR"/>
              </w:rPr>
            </w:pPr>
            <w:r w:rsidRPr="00B46ACD">
              <w:rPr>
                <w:lang w:eastAsia="fr-FR"/>
              </w:rPr>
              <w:t>Inter-groupes</w:t>
            </w:r>
          </w:p>
        </w:tc>
        <w:tc>
          <w:tcPr>
            <w:tcW w:w="1190" w:type="dxa"/>
            <w:tcBorders>
              <w:top w:val="single" w:sz="4" w:space="0" w:color="auto"/>
              <w:bottom w:val="nil"/>
            </w:tcBorders>
            <w:vAlign w:val="center"/>
            <w:hideMark/>
          </w:tcPr>
          <w:p w14:paraId="571DC0D5" w14:textId="77777777" w:rsidR="00D80693" w:rsidRPr="00B46ACD" w:rsidRDefault="00D80693" w:rsidP="00D72320">
            <w:pPr>
              <w:jc w:val="both"/>
              <w:rPr>
                <w:lang w:eastAsia="fr-FR"/>
              </w:rPr>
            </w:pPr>
            <w:r w:rsidRPr="00B46ACD">
              <w:rPr>
                <w:lang w:eastAsia="fr-FR"/>
              </w:rPr>
              <w:t>4,14</w:t>
            </w:r>
          </w:p>
        </w:tc>
        <w:tc>
          <w:tcPr>
            <w:tcW w:w="658" w:type="dxa"/>
            <w:tcBorders>
              <w:top w:val="single" w:sz="4" w:space="0" w:color="auto"/>
              <w:bottom w:val="nil"/>
            </w:tcBorders>
            <w:vAlign w:val="center"/>
            <w:hideMark/>
          </w:tcPr>
          <w:p w14:paraId="2B7B8A17" w14:textId="77777777" w:rsidR="00D80693" w:rsidRPr="00B46ACD" w:rsidRDefault="00D80693" w:rsidP="00D72320">
            <w:pPr>
              <w:jc w:val="both"/>
              <w:rPr>
                <w:lang w:eastAsia="fr-FR"/>
              </w:rPr>
            </w:pPr>
            <w:r w:rsidRPr="00B46ACD">
              <w:rPr>
                <w:lang w:eastAsia="fr-FR"/>
              </w:rPr>
              <w:t>1</w:t>
            </w:r>
          </w:p>
        </w:tc>
        <w:tc>
          <w:tcPr>
            <w:tcW w:w="1348" w:type="dxa"/>
            <w:tcBorders>
              <w:top w:val="single" w:sz="4" w:space="0" w:color="auto"/>
              <w:bottom w:val="nil"/>
            </w:tcBorders>
            <w:vAlign w:val="center"/>
            <w:hideMark/>
          </w:tcPr>
          <w:p w14:paraId="3D6D5E9C" w14:textId="77777777" w:rsidR="00D80693" w:rsidRPr="00B46ACD" w:rsidRDefault="00D80693" w:rsidP="00D72320">
            <w:pPr>
              <w:jc w:val="both"/>
              <w:rPr>
                <w:lang w:eastAsia="fr-FR"/>
              </w:rPr>
            </w:pPr>
            <w:r w:rsidRPr="00B46ACD">
              <w:rPr>
                <w:lang w:eastAsia="fr-FR"/>
              </w:rPr>
              <w:t>4,14</w:t>
            </w:r>
          </w:p>
        </w:tc>
        <w:tc>
          <w:tcPr>
            <w:tcW w:w="594" w:type="dxa"/>
            <w:tcBorders>
              <w:top w:val="single" w:sz="4" w:space="0" w:color="auto"/>
              <w:bottom w:val="nil"/>
            </w:tcBorders>
            <w:vAlign w:val="center"/>
            <w:hideMark/>
          </w:tcPr>
          <w:p w14:paraId="27D360BD" w14:textId="77777777" w:rsidR="00D80693" w:rsidRPr="00B46ACD" w:rsidRDefault="00D80693" w:rsidP="00D72320">
            <w:pPr>
              <w:jc w:val="both"/>
              <w:rPr>
                <w:lang w:eastAsia="fr-FR"/>
              </w:rPr>
            </w:pPr>
            <w:r w:rsidRPr="00B46ACD">
              <w:rPr>
                <w:lang w:eastAsia="fr-FR"/>
              </w:rPr>
              <w:t>2,08</w:t>
            </w:r>
          </w:p>
        </w:tc>
        <w:tc>
          <w:tcPr>
            <w:tcW w:w="0" w:type="auto"/>
            <w:tcBorders>
              <w:top w:val="single" w:sz="4" w:space="0" w:color="auto"/>
              <w:bottom w:val="nil"/>
            </w:tcBorders>
            <w:vAlign w:val="center"/>
            <w:hideMark/>
          </w:tcPr>
          <w:p w14:paraId="7332F2DF" w14:textId="77777777" w:rsidR="00D80693" w:rsidRPr="00B46ACD" w:rsidRDefault="00D80693" w:rsidP="00D72320">
            <w:pPr>
              <w:jc w:val="both"/>
              <w:rPr>
                <w:lang w:eastAsia="fr-FR"/>
              </w:rPr>
            </w:pPr>
            <w:r w:rsidRPr="00B46ACD">
              <w:rPr>
                <w:lang w:eastAsia="fr-FR"/>
              </w:rPr>
              <w:t>0,153</w:t>
            </w:r>
          </w:p>
        </w:tc>
      </w:tr>
      <w:tr w:rsidR="00D80693" w14:paraId="5020CA66" w14:textId="77777777" w:rsidTr="00D72320">
        <w:trPr>
          <w:trHeight w:val="286"/>
          <w:tblCellSpacing w:w="15" w:type="dxa"/>
          <w:jc w:val="center"/>
        </w:trPr>
        <w:tc>
          <w:tcPr>
            <w:tcW w:w="2306" w:type="dxa"/>
            <w:tcBorders>
              <w:top w:val="nil"/>
              <w:bottom w:val="nil"/>
            </w:tcBorders>
            <w:vAlign w:val="center"/>
            <w:hideMark/>
          </w:tcPr>
          <w:p w14:paraId="7A9266C4" w14:textId="77777777" w:rsidR="00D80693" w:rsidRPr="00B46ACD" w:rsidRDefault="00D80693" w:rsidP="00D72320">
            <w:pPr>
              <w:jc w:val="both"/>
              <w:rPr>
                <w:lang w:eastAsia="fr-FR"/>
              </w:rPr>
            </w:pPr>
            <w:r w:rsidRPr="00B46ACD">
              <w:rPr>
                <w:b/>
                <w:bCs/>
                <w:lang w:eastAsia="fr-FR"/>
              </w:rPr>
              <w:t xml:space="preserve">Intrinsèque </w:t>
            </w:r>
          </w:p>
        </w:tc>
        <w:tc>
          <w:tcPr>
            <w:tcW w:w="0" w:type="auto"/>
            <w:tcBorders>
              <w:top w:val="nil"/>
              <w:bottom w:val="nil"/>
            </w:tcBorders>
            <w:vAlign w:val="center"/>
            <w:hideMark/>
          </w:tcPr>
          <w:p w14:paraId="5D7D54C1" w14:textId="77777777" w:rsidR="00D80693" w:rsidRPr="00B46ACD" w:rsidRDefault="00D80693" w:rsidP="00D72320">
            <w:pPr>
              <w:jc w:val="both"/>
              <w:rPr>
                <w:lang w:eastAsia="fr-FR"/>
              </w:rPr>
            </w:pPr>
            <w:r w:rsidRPr="00B46ACD">
              <w:rPr>
                <w:lang w:eastAsia="fr-FR"/>
              </w:rPr>
              <w:t>Intra-groupes</w:t>
            </w:r>
          </w:p>
        </w:tc>
        <w:tc>
          <w:tcPr>
            <w:tcW w:w="1190" w:type="dxa"/>
            <w:tcBorders>
              <w:top w:val="nil"/>
              <w:bottom w:val="nil"/>
            </w:tcBorders>
            <w:vAlign w:val="center"/>
            <w:hideMark/>
          </w:tcPr>
          <w:p w14:paraId="2C294B27" w14:textId="77777777" w:rsidR="00D80693" w:rsidRPr="00B46ACD" w:rsidRDefault="00D80693" w:rsidP="00D72320">
            <w:pPr>
              <w:jc w:val="both"/>
              <w:rPr>
                <w:lang w:eastAsia="fr-FR"/>
              </w:rPr>
            </w:pPr>
            <w:r w:rsidRPr="00B46ACD">
              <w:rPr>
                <w:lang w:eastAsia="fr-FR"/>
              </w:rPr>
              <w:t>229,80</w:t>
            </w:r>
          </w:p>
        </w:tc>
        <w:tc>
          <w:tcPr>
            <w:tcW w:w="658" w:type="dxa"/>
            <w:tcBorders>
              <w:top w:val="nil"/>
              <w:bottom w:val="nil"/>
            </w:tcBorders>
            <w:vAlign w:val="center"/>
            <w:hideMark/>
          </w:tcPr>
          <w:p w14:paraId="4734E53E" w14:textId="77777777" w:rsidR="00D80693" w:rsidRPr="00B46ACD" w:rsidRDefault="00D80693" w:rsidP="00D72320">
            <w:pPr>
              <w:jc w:val="both"/>
              <w:rPr>
                <w:lang w:eastAsia="fr-FR"/>
              </w:rPr>
            </w:pPr>
            <w:r w:rsidRPr="00B46ACD">
              <w:rPr>
                <w:lang w:eastAsia="fr-FR"/>
              </w:rPr>
              <w:t>90</w:t>
            </w:r>
          </w:p>
        </w:tc>
        <w:tc>
          <w:tcPr>
            <w:tcW w:w="1348" w:type="dxa"/>
            <w:tcBorders>
              <w:top w:val="nil"/>
              <w:bottom w:val="nil"/>
            </w:tcBorders>
            <w:vAlign w:val="center"/>
            <w:hideMark/>
          </w:tcPr>
          <w:p w14:paraId="534B5FB4" w14:textId="77777777" w:rsidR="00D80693" w:rsidRPr="00B46ACD" w:rsidRDefault="00D80693" w:rsidP="00D72320">
            <w:pPr>
              <w:jc w:val="both"/>
              <w:rPr>
                <w:lang w:eastAsia="fr-FR"/>
              </w:rPr>
            </w:pPr>
            <w:r w:rsidRPr="00B46ACD">
              <w:rPr>
                <w:lang w:eastAsia="fr-FR"/>
              </w:rPr>
              <w:t>2,45</w:t>
            </w:r>
          </w:p>
        </w:tc>
        <w:tc>
          <w:tcPr>
            <w:tcW w:w="594" w:type="dxa"/>
            <w:tcBorders>
              <w:top w:val="nil"/>
              <w:bottom w:val="nil"/>
            </w:tcBorders>
            <w:vAlign w:val="center"/>
            <w:hideMark/>
          </w:tcPr>
          <w:p w14:paraId="0DA3509D" w14:textId="77777777" w:rsidR="00D80693" w:rsidRPr="00B46ACD" w:rsidRDefault="00D80693" w:rsidP="00D72320">
            <w:pPr>
              <w:jc w:val="both"/>
              <w:rPr>
                <w:lang w:eastAsia="fr-FR"/>
              </w:rPr>
            </w:pPr>
          </w:p>
        </w:tc>
        <w:tc>
          <w:tcPr>
            <w:tcW w:w="0" w:type="auto"/>
            <w:tcBorders>
              <w:top w:val="nil"/>
              <w:bottom w:val="nil"/>
            </w:tcBorders>
            <w:vAlign w:val="center"/>
            <w:hideMark/>
          </w:tcPr>
          <w:p w14:paraId="4D5850CE" w14:textId="77777777" w:rsidR="00D80693" w:rsidRPr="00B46ACD" w:rsidRDefault="00D80693" w:rsidP="00D72320">
            <w:pPr>
              <w:jc w:val="both"/>
              <w:rPr>
                <w:lang w:eastAsia="fr-FR"/>
              </w:rPr>
            </w:pPr>
          </w:p>
        </w:tc>
      </w:tr>
      <w:tr w:rsidR="00D80693" w14:paraId="46A92199" w14:textId="77777777" w:rsidTr="00D72320">
        <w:trPr>
          <w:trHeight w:val="271"/>
          <w:tblCellSpacing w:w="15" w:type="dxa"/>
          <w:jc w:val="center"/>
        </w:trPr>
        <w:tc>
          <w:tcPr>
            <w:tcW w:w="2306" w:type="dxa"/>
            <w:tcBorders>
              <w:top w:val="nil"/>
              <w:bottom w:val="single" w:sz="4" w:space="0" w:color="auto"/>
            </w:tcBorders>
            <w:vAlign w:val="center"/>
            <w:hideMark/>
          </w:tcPr>
          <w:p w14:paraId="1501838C" w14:textId="77777777" w:rsidR="00D80693" w:rsidRPr="00B46ACD" w:rsidRDefault="00D80693" w:rsidP="00D72320">
            <w:pPr>
              <w:jc w:val="both"/>
              <w:rPr>
                <w:lang w:eastAsia="fr-FR"/>
              </w:rPr>
            </w:pPr>
          </w:p>
        </w:tc>
        <w:tc>
          <w:tcPr>
            <w:tcW w:w="0" w:type="auto"/>
            <w:tcBorders>
              <w:top w:val="nil"/>
              <w:bottom w:val="single" w:sz="4" w:space="0" w:color="auto"/>
            </w:tcBorders>
            <w:vAlign w:val="center"/>
            <w:hideMark/>
          </w:tcPr>
          <w:p w14:paraId="76205930" w14:textId="77777777" w:rsidR="00D80693" w:rsidRPr="00B46ACD" w:rsidRDefault="00D80693" w:rsidP="00D72320">
            <w:pPr>
              <w:jc w:val="both"/>
              <w:rPr>
                <w:lang w:eastAsia="fr-FR"/>
              </w:rPr>
            </w:pPr>
            <w:r w:rsidRPr="00B46ACD">
              <w:rPr>
                <w:lang w:eastAsia="fr-FR"/>
              </w:rPr>
              <w:t>Total</w:t>
            </w:r>
          </w:p>
        </w:tc>
        <w:tc>
          <w:tcPr>
            <w:tcW w:w="1190" w:type="dxa"/>
            <w:tcBorders>
              <w:top w:val="nil"/>
              <w:bottom w:val="single" w:sz="4" w:space="0" w:color="auto"/>
            </w:tcBorders>
            <w:vAlign w:val="center"/>
            <w:hideMark/>
          </w:tcPr>
          <w:p w14:paraId="520A83A4" w14:textId="77777777" w:rsidR="00D80693" w:rsidRPr="00B46ACD" w:rsidRDefault="00D80693" w:rsidP="00D72320">
            <w:pPr>
              <w:jc w:val="both"/>
              <w:rPr>
                <w:lang w:eastAsia="fr-FR"/>
              </w:rPr>
            </w:pPr>
            <w:r w:rsidRPr="00B46ACD">
              <w:rPr>
                <w:lang w:eastAsia="fr-FR"/>
              </w:rPr>
              <w:t>233,94</w:t>
            </w:r>
          </w:p>
        </w:tc>
        <w:tc>
          <w:tcPr>
            <w:tcW w:w="658" w:type="dxa"/>
            <w:tcBorders>
              <w:top w:val="nil"/>
              <w:bottom w:val="single" w:sz="4" w:space="0" w:color="auto"/>
            </w:tcBorders>
            <w:vAlign w:val="center"/>
            <w:hideMark/>
          </w:tcPr>
          <w:p w14:paraId="7869187F" w14:textId="77777777" w:rsidR="00D80693" w:rsidRPr="00B46ACD" w:rsidRDefault="00D80693" w:rsidP="00D72320">
            <w:pPr>
              <w:jc w:val="both"/>
              <w:rPr>
                <w:lang w:eastAsia="fr-FR"/>
              </w:rPr>
            </w:pPr>
            <w:r w:rsidRPr="00B46ACD">
              <w:rPr>
                <w:lang w:eastAsia="fr-FR"/>
              </w:rPr>
              <w:t>91</w:t>
            </w:r>
          </w:p>
        </w:tc>
        <w:tc>
          <w:tcPr>
            <w:tcW w:w="1348" w:type="dxa"/>
            <w:tcBorders>
              <w:top w:val="nil"/>
              <w:bottom w:val="single" w:sz="4" w:space="0" w:color="auto"/>
            </w:tcBorders>
            <w:vAlign w:val="center"/>
            <w:hideMark/>
          </w:tcPr>
          <w:p w14:paraId="72DDABE1" w14:textId="77777777" w:rsidR="00D80693" w:rsidRPr="00B46ACD" w:rsidRDefault="00D80693" w:rsidP="00D72320">
            <w:pPr>
              <w:jc w:val="both"/>
              <w:rPr>
                <w:lang w:eastAsia="fr-FR"/>
              </w:rPr>
            </w:pPr>
          </w:p>
        </w:tc>
        <w:tc>
          <w:tcPr>
            <w:tcW w:w="594" w:type="dxa"/>
            <w:tcBorders>
              <w:top w:val="nil"/>
              <w:bottom w:val="single" w:sz="4" w:space="0" w:color="auto"/>
            </w:tcBorders>
            <w:vAlign w:val="center"/>
            <w:hideMark/>
          </w:tcPr>
          <w:p w14:paraId="3D17DEBC" w14:textId="77777777" w:rsidR="00D80693" w:rsidRPr="00B46ACD" w:rsidRDefault="00D80693" w:rsidP="00D72320">
            <w:pPr>
              <w:jc w:val="both"/>
              <w:rPr>
                <w:lang w:eastAsia="fr-FR"/>
              </w:rPr>
            </w:pPr>
          </w:p>
        </w:tc>
        <w:tc>
          <w:tcPr>
            <w:tcW w:w="0" w:type="auto"/>
            <w:tcBorders>
              <w:top w:val="nil"/>
              <w:bottom w:val="single" w:sz="4" w:space="0" w:color="auto"/>
            </w:tcBorders>
            <w:vAlign w:val="center"/>
            <w:hideMark/>
          </w:tcPr>
          <w:p w14:paraId="57C89FD9" w14:textId="77777777" w:rsidR="00D80693" w:rsidRPr="00B46ACD" w:rsidRDefault="00D80693" w:rsidP="00D72320">
            <w:pPr>
              <w:jc w:val="both"/>
              <w:rPr>
                <w:lang w:eastAsia="fr-FR"/>
              </w:rPr>
            </w:pPr>
          </w:p>
        </w:tc>
      </w:tr>
      <w:tr w:rsidR="00D80693" w14:paraId="06B3A419" w14:textId="77777777" w:rsidTr="00D72320">
        <w:trPr>
          <w:trHeight w:val="271"/>
          <w:tblCellSpacing w:w="15" w:type="dxa"/>
          <w:jc w:val="center"/>
        </w:trPr>
        <w:tc>
          <w:tcPr>
            <w:tcW w:w="2306" w:type="dxa"/>
            <w:tcBorders>
              <w:top w:val="single" w:sz="4" w:space="0" w:color="auto"/>
              <w:bottom w:val="nil"/>
            </w:tcBorders>
            <w:vAlign w:val="center"/>
            <w:hideMark/>
          </w:tcPr>
          <w:p w14:paraId="617AB549" w14:textId="77777777" w:rsidR="00D80693" w:rsidRPr="00B46ACD" w:rsidRDefault="00D80693" w:rsidP="00D72320">
            <w:pPr>
              <w:jc w:val="both"/>
              <w:rPr>
                <w:lang w:eastAsia="fr-FR"/>
              </w:rPr>
            </w:pPr>
          </w:p>
        </w:tc>
        <w:tc>
          <w:tcPr>
            <w:tcW w:w="0" w:type="auto"/>
            <w:tcBorders>
              <w:top w:val="single" w:sz="4" w:space="0" w:color="auto"/>
              <w:bottom w:val="nil"/>
            </w:tcBorders>
            <w:vAlign w:val="center"/>
            <w:hideMark/>
          </w:tcPr>
          <w:p w14:paraId="3B898F08" w14:textId="77777777" w:rsidR="00D80693" w:rsidRPr="00B46ACD" w:rsidRDefault="00D80693" w:rsidP="00D72320">
            <w:pPr>
              <w:jc w:val="both"/>
              <w:rPr>
                <w:lang w:eastAsia="fr-FR"/>
              </w:rPr>
            </w:pPr>
            <w:r w:rsidRPr="00B46ACD">
              <w:rPr>
                <w:lang w:eastAsia="fr-FR"/>
              </w:rPr>
              <w:t>Inter-groupes</w:t>
            </w:r>
          </w:p>
        </w:tc>
        <w:tc>
          <w:tcPr>
            <w:tcW w:w="1190" w:type="dxa"/>
            <w:tcBorders>
              <w:top w:val="single" w:sz="4" w:space="0" w:color="auto"/>
              <w:bottom w:val="nil"/>
            </w:tcBorders>
            <w:vAlign w:val="center"/>
            <w:hideMark/>
          </w:tcPr>
          <w:p w14:paraId="2740F3C2" w14:textId="77777777" w:rsidR="00D80693" w:rsidRPr="00B46ACD" w:rsidRDefault="00D80693" w:rsidP="00D72320">
            <w:pPr>
              <w:jc w:val="both"/>
              <w:rPr>
                <w:lang w:eastAsia="fr-FR"/>
              </w:rPr>
            </w:pPr>
            <w:r w:rsidRPr="00B46ACD">
              <w:rPr>
                <w:lang w:eastAsia="fr-FR"/>
              </w:rPr>
              <w:t>3,92</w:t>
            </w:r>
          </w:p>
        </w:tc>
        <w:tc>
          <w:tcPr>
            <w:tcW w:w="658" w:type="dxa"/>
            <w:tcBorders>
              <w:top w:val="single" w:sz="4" w:space="0" w:color="auto"/>
              <w:bottom w:val="nil"/>
            </w:tcBorders>
            <w:vAlign w:val="center"/>
            <w:hideMark/>
          </w:tcPr>
          <w:p w14:paraId="01D428C1" w14:textId="77777777" w:rsidR="00D80693" w:rsidRPr="00B46ACD" w:rsidRDefault="00D80693" w:rsidP="00D72320">
            <w:pPr>
              <w:jc w:val="both"/>
              <w:rPr>
                <w:lang w:eastAsia="fr-FR"/>
              </w:rPr>
            </w:pPr>
            <w:r w:rsidRPr="00B46ACD">
              <w:rPr>
                <w:lang w:eastAsia="fr-FR"/>
              </w:rPr>
              <w:t>1</w:t>
            </w:r>
          </w:p>
        </w:tc>
        <w:tc>
          <w:tcPr>
            <w:tcW w:w="1348" w:type="dxa"/>
            <w:tcBorders>
              <w:top w:val="single" w:sz="4" w:space="0" w:color="auto"/>
              <w:bottom w:val="nil"/>
            </w:tcBorders>
            <w:vAlign w:val="center"/>
            <w:hideMark/>
          </w:tcPr>
          <w:p w14:paraId="432C2E55" w14:textId="77777777" w:rsidR="00D80693" w:rsidRPr="00B46ACD" w:rsidRDefault="00D80693" w:rsidP="00D72320">
            <w:pPr>
              <w:jc w:val="both"/>
              <w:rPr>
                <w:lang w:eastAsia="fr-FR"/>
              </w:rPr>
            </w:pPr>
            <w:r w:rsidRPr="00B46ACD">
              <w:rPr>
                <w:lang w:eastAsia="fr-FR"/>
              </w:rPr>
              <w:t>3,92</w:t>
            </w:r>
          </w:p>
        </w:tc>
        <w:tc>
          <w:tcPr>
            <w:tcW w:w="594" w:type="dxa"/>
            <w:tcBorders>
              <w:top w:val="single" w:sz="4" w:space="0" w:color="auto"/>
              <w:bottom w:val="nil"/>
            </w:tcBorders>
            <w:vAlign w:val="center"/>
            <w:hideMark/>
          </w:tcPr>
          <w:p w14:paraId="10FA51E5" w14:textId="77777777" w:rsidR="00D80693" w:rsidRPr="00B46ACD" w:rsidRDefault="00D80693" w:rsidP="00D72320">
            <w:pPr>
              <w:jc w:val="both"/>
              <w:rPr>
                <w:lang w:eastAsia="fr-FR"/>
              </w:rPr>
            </w:pPr>
            <w:r w:rsidRPr="00B46ACD">
              <w:rPr>
                <w:lang w:eastAsia="fr-FR"/>
              </w:rPr>
              <w:t>1,14</w:t>
            </w:r>
          </w:p>
        </w:tc>
        <w:tc>
          <w:tcPr>
            <w:tcW w:w="0" w:type="auto"/>
            <w:tcBorders>
              <w:top w:val="single" w:sz="4" w:space="0" w:color="auto"/>
              <w:bottom w:val="nil"/>
            </w:tcBorders>
            <w:vAlign w:val="center"/>
            <w:hideMark/>
          </w:tcPr>
          <w:p w14:paraId="6E246E98" w14:textId="77777777" w:rsidR="00D80693" w:rsidRPr="00B46ACD" w:rsidRDefault="00D80693" w:rsidP="00D72320">
            <w:pPr>
              <w:jc w:val="both"/>
              <w:rPr>
                <w:lang w:eastAsia="fr-FR"/>
              </w:rPr>
            </w:pPr>
            <w:r w:rsidRPr="00B46ACD">
              <w:rPr>
                <w:lang w:eastAsia="fr-FR"/>
              </w:rPr>
              <w:t>0,043*</w:t>
            </w:r>
          </w:p>
        </w:tc>
      </w:tr>
      <w:tr w:rsidR="00D80693" w14:paraId="5BDC4A9A" w14:textId="77777777" w:rsidTr="00D72320">
        <w:trPr>
          <w:trHeight w:val="271"/>
          <w:tblCellSpacing w:w="15" w:type="dxa"/>
          <w:jc w:val="center"/>
        </w:trPr>
        <w:tc>
          <w:tcPr>
            <w:tcW w:w="2306" w:type="dxa"/>
            <w:tcBorders>
              <w:top w:val="nil"/>
              <w:bottom w:val="nil"/>
            </w:tcBorders>
            <w:vAlign w:val="center"/>
            <w:hideMark/>
          </w:tcPr>
          <w:p w14:paraId="34AB15B2" w14:textId="77777777" w:rsidR="00D80693" w:rsidRPr="00B46ACD" w:rsidRDefault="00D80693" w:rsidP="00D72320">
            <w:pPr>
              <w:jc w:val="both"/>
              <w:rPr>
                <w:lang w:eastAsia="fr-FR"/>
              </w:rPr>
            </w:pPr>
            <w:r w:rsidRPr="00B46ACD">
              <w:rPr>
                <w:b/>
                <w:bCs/>
                <w:lang w:eastAsia="fr-FR"/>
              </w:rPr>
              <w:t xml:space="preserve">Extrinsèque </w:t>
            </w:r>
          </w:p>
        </w:tc>
        <w:tc>
          <w:tcPr>
            <w:tcW w:w="0" w:type="auto"/>
            <w:tcBorders>
              <w:top w:val="nil"/>
              <w:bottom w:val="nil"/>
            </w:tcBorders>
            <w:vAlign w:val="center"/>
            <w:hideMark/>
          </w:tcPr>
          <w:p w14:paraId="226C1380" w14:textId="77777777" w:rsidR="00D80693" w:rsidRPr="00B46ACD" w:rsidRDefault="00D80693" w:rsidP="00D72320">
            <w:pPr>
              <w:jc w:val="both"/>
              <w:rPr>
                <w:lang w:eastAsia="fr-FR"/>
              </w:rPr>
            </w:pPr>
            <w:r w:rsidRPr="00B46ACD">
              <w:rPr>
                <w:lang w:eastAsia="fr-FR"/>
              </w:rPr>
              <w:t>Intra-groupes</w:t>
            </w:r>
          </w:p>
        </w:tc>
        <w:tc>
          <w:tcPr>
            <w:tcW w:w="1190" w:type="dxa"/>
            <w:tcBorders>
              <w:top w:val="nil"/>
              <w:bottom w:val="nil"/>
            </w:tcBorders>
            <w:vAlign w:val="center"/>
            <w:hideMark/>
          </w:tcPr>
          <w:p w14:paraId="2734D411" w14:textId="77777777" w:rsidR="00D80693" w:rsidRPr="00B46ACD" w:rsidRDefault="00D80693" w:rsidP="00D72320">
            <w:pPr>
              <w:jc w:val="both"/>
              <w:rPr>
                <w:lang w:eastAsia="fr-FR"/>
              </w:rPr>
            </w:pPr>
            <w:r w:rsidRPr="00B46ACD">
              <w:rPr>
                <w:lang w:eastAsia="fr-FR"/>
              </w:rPr>
              <w:t>329,25</w:t>
            </w:r>
          </w:p>
        </w:tc>
        <w:tc>
          <w:tcPr>
            <w:tcW w:w="658" w:type="dxa"/>
            <w:tcBorders>
              <w:top w:val="nil"/>
              <w:bottom w:val="nil"/>
            </w:tcBorders>
            <w:vAlign w:val="center"/>
            <w:hideMark/>
          </w:tcPr>
          <w:p w14:paraId="30B85D5A" w14:textId="77777777" w:rsidR="00D80693" w:rsidRPr="00B46ACD" w:rsidRDefault="00D80693" w:rsidP="00D72320">
            <w:pPr>
              <w:jc w:val="both"/>
              <w:rPr>
                <w:lang w:eastAsia="fr-FR"/>
              </w:rPr>
            </w:pPr>
            <w:r w:rsidRPr="00B46ACD">
              <w:rPr>
                <w:lang w:eastAsia="fr-FR"/>
              </w:rPr>
              <w:t>90</w:t>
            </w:r>
          </w:p>
        </w:tc>
        <w:tc>
          <w:tcPr>
            <w:tcW w:w="1348" w:type="dxa"/>
            <w:tcBorders>
              <w:top w:val="nil"/>
              <w:bottom w:val="nil"/>
            </w:tcBorders>
            <w:vAlign w:val="center"/>
            <w:hideMark/>
          </w:tcPr>
          <w:p w14:paraId="2BE222FC" w14:textId="77777777" w:rsidR="00D80693" w:rsidRPr="00B46ACD" w:rsidRDefault="00D80693" w:rsidP="00D72320">
            <w:pPr>
              <w:jc w:val="both"/>
              <w:rPr>
                <w:lang w:eastAsia="fr-FR"/>
              </w:rPr>
            </w:pPr>
            <w:r w:rsidRPr="00B46ACD">
              <w:rPr>
                <w:lang w:eastAsia="fr-FR"/>
              </w:rPr>
              <w:t>3,51</w:t>
            </w:r>
          </w:p>
        </w:tc>
        <w:tc>
          <w:tcPr>
            <w:tcW w:w="594" w:type="dxa"/>
            <w:tcBorders>
              <w:top w:val="nil"/>
              <w:bottom w:val="nil"/>
            </w:tcBorders>
            <w:vAlign w:val="center"/>
            <w:hideMark/>
          </w:tcPr>
          <w:p w14:paraId="1D64D67F" w14:textId="77777777" w:rsidR="00D80693" w:rsidRPr="00B46ACD" w:rsidRDefault="00D80693" w:rsidP="00D72320">
            <w:pPr>
              <w:jc w:val="both"/>
              <w:rPr>
                <w:lang w:eastAsia="fr-FR"/>
              </w:rPr>
            </w:pPr>
          </w:p>
        </w:tc>
        <w:tc>
          <w:tcPr>
            <w:tcW w:w="0" w:type="auto"/>
            <w:tcBorders>
              <w:top w:val="nil"/>
              <w:bottom w:val="nil"/>
            </w:tcBorders>
            <w:vAlign w:val="center"/>
            <w:hideMark/>
          </w:tcPr>
          <w:p w14:paraId="40857B69" w14:textId="77777777" w:rsidR="00D80693" w:rsidRPr="00B46ACD" w:rsidRDefault="00D80693" w:rsidP="00D72320">
            <w:pPr>
              <w:jc w:val="both"/>
              <w:rPr>
                <w:lang w:eastAsia="fr-FR"/>
              </w:rPr>
            </w:pPr>
          </w:p>
        </w:tc>
      </w:tr>
      <w:tr w:rsidR="00D80693" w14:paraId="1EE083A4" w14:textId="77777777" w:rsidTr="00D72320">
        <w:trPr>
          <w:trHeight w:val="271"/>
          <w:tblCellSpacing w:w="15" w:type="dxa"/>
          <w:jc w:val="center"/>
        </w:trPr>
        <w:tc>
          <w:tcPr>
            <w:tcW w:w="2306" w:type="dxa"/>
            <w:tcBorders>
              <w:top w:val="nil"/>
              <w:bottom w:val="single" w:sz="4" w:space="0" w:color="auto"/>
            </w:tcBorders>
            <w:vAlign w:val="center"/>
            <w:hideMark/>
          </w:tcPr>
          <w:p w14:paraId="2D26DF85" w14:textId="77777777" w:rsidR="00D80693" w:rsidRPr="00B46ACD" w:rsidRDefault="00D80693" w:rsidP="00D72320">
            <w:pPr>
              <w:jc w:val="both"/>
              <w:rPr>
                <w:lang w:eastAsia="fr-FR"/>
              </w:rPr>
            </w:pPr>
          </w:p>
        </w:tc>
        <w:tc>
          <w:tcPr>
            <w:tcW w:w="0" w:type="auto"/>
            <w:tcBorders>
              <w:top w:val="nil"/>
              <w:bottom w:val="single" w:sz="4" w:space="0" w:color="auto"/>
            </w:tcBorders>
            <w:vAlign w:val="center"/>
            <w:hideMark/>
          </w:tcPr>
          <w:p w14:paraId="4759C888" w14:textId="77777777" w:rsidR="00D80693" w:rsidRPr="00B46ACD" w:rsidRDefault="00D80693" w:rsidP="00D72320">
            <w:pPr>
              <w:jc w:val="both"/>
              <w:rPr>
                <w:lang w:eastAsia="fr-FR"/>
              </w:rPr>
            </w:pPr>
            <w:r w:rsidRPr="00B46ACD">
              <w:rPr>
                <w:lang w:eastAsia="fr-FR"/>
              </w:rPr>
              <w:t>Total</w:t>
            </w:r>
          </w:p>
        </w:tc>
        <w:tc>
          <w:tcPr>
            <w:tcW w:w="1190" w:type="dxa"/>
            <w:tcBorders>
              <w:top w:val="nil"/>
              <w:bottom w:val="single" w:sz="4" w:space="0" w:color="auto"/>
            </w:tcBorders>
            <w:vAlign w:val="center"/>
            <w:hideMark/>
          </w:tcPr>
          <w:p w14:paraId="5A6EF3BA" w14:textId="77777777" w:rsidR="00D80693" w:rsidRPr="00B46ACD" w:rsidRDefault="00D80693" w:rsidP="00D72320">
            <w:pPr>
              <w:jc w:val="both"/>
              <w:rPr>
                <w:lang w:eastAsia="fr-FR"/>
              </w:rPr>
            </w:pPr>
            <w:r w:rsidRPr="00B46ACD">
              <w:rPr>
                <w:lang w:eastAsia="fr-FR"/>
              </w:rPr>
              <w:t>333,17</w:t>
            </w:r>
          </w:p>
        </w:tc>
        <w:tc>
          <w:tcPr>
            <w:tcW w:w="658" w:type="dxa"/>
            <w:tcBorders>
              <w:top w:val="nil"/>
              <w:bottom w:val="single" w:sz="4" w:space="0" w:color="auto"/>
            </w:tcBorders>
            <w:vAlign w:val="center"/>
            <w:hideMark/>
          </w:tcPr>
          <w:p w14:paraId="6D891D1B" w14:textId="77777777" w:rsidR="00D80693" w:rsidRPr="00B46ACD" w:rsidRDefault="00D80693" w:rsidP="00D72320">
            <w:pPr>
              <w:jc w:val="both"/>
              <w:rPr>
                <w:lang w:eastAsia="fr-FR"/>
              </w:rPr>
            </w:pPr>
            <w:r w:rsidRPr="00B46ACD">
              <w:rPr>
                <w:lang w:eastAsia="fr-FR"/>
              </w:rPr>
              <w:t>91</w:t>
            </w:r>
          </w:p>
        </w:tc>
        <w:tc>
          <w:tcPr>
            <w:tcW w:w="1348" w:type="dxa"/>
            <w:tcBorders>
              <w:top w:val="nil"/>
              <w:bottom w:val="single" w:sz="4" w:space="0" w:color="auto"/>
            </w:tcBorders>
            <w:vAlign w:val="center"/>
            <w:hideMark/>
          </w:tcPr>
          <w:p w14:paraId="402E7C49" w14:textId="77777777" w:rsidR="00D80693" w:rsidRPr="00B46ACD" w:rsidRDefault="00D80693" w:rsidP="00D72320">
            <w:pPr>
              <w:jc w:val="both"/>
              <w:rPr>
                <w:lang w:eastAsia="fr-FR"/>
              </w:rPr>
            </w:pPr>
          </w:p>
        </w:tc>
        <w:tc>
          <w:tcPr>
            <w:tcW w:w="594" w:type="dxa"/>
            <w:tcBorders>
              <w:top w:val="nil"/>
              <w:bottom w:val="single" w:sz="4" w:space="0" w:color="auto"/>
            </w:tcBorders>
            <w:vAlign w:val="center"/>
            <w:hideMark/>
          </w:tcPr>
          <w:p w14:paraId="5262D083" w14:textId="77777777" w:rsidR="00D80693" w:rsidRPr="00B46ACD" w:rsidRDefault="00D80693" w:rsidP="00D72320">
            <w:pPr>
              <w:jc w:val="both"/>
              <w:rPr>
                <w:lang w:eastAsia="fr-FR"/>
              </w:rPr>
            </w:pPr>
          </w:p>
        </w:tc>
        <w:tc>
          <w:tcPr>
            <w:tcW w:w="0" w:type="auto"/>
            <w:tcBorders>
              <w:top w:val="nil"/>
              <w:bottom w:val="single" w:sz="4" w:space="0" w:color="auto"/>
            </w:tcBorders>
            <w:vAlign w:val="center"/>
            <w:hideMark/>
          </w:tcPr>
          <w:p w14:paraId="33E6232F" w14:textId="77777777" w:rsidR="00D80693" w:rsidRPr="00B46ACD" w:rsidRDefault="00D80693" w:rsidP="00D72320">
            <w:pPr>
              <w:jc w:val="both"/>
              <w:rPr>
                <w:lang w:eastAsia="fr-FR"/>
              </w:rPr>
            </w:pPr>
          </w:p>
        </w:tc>
      </w:tr>
      <w:tr w:rsidR="00D80693" w14:paraId="11A16C18" w14:textId="77777777" w:rsidTr="00D72320">
        <w:trPr>
          <w:trHeight w:val="271"/>
          <w:tblCellSpacing w:w="15" w:type="dxa"/>
          <w:jc w:val="center"/>
        </w:trPr>
        <w:tc>
          <w:tcPr>
            <w:tcW w:w="2306" w:type="dxa"/>
            <w:tcBorders>
              <w:top w:val="single" w:sz="4" w:space="0" w:color="auto"/>
              <w:bottom w:val="nil"/>
            </w:tcBorders>
            <w:vAlign w:val="center"/>
            <w:hideMark/>
          </w:tcPr>
          <w:p w14:paraId="2626DB95" w14:textId="77777777" w:rsidR="00D80693" w:rsidRPr="00B46ACD" w:rsidRDefault="00D80693" w:rsidP="00D72320">
            <w:pPr>
              <w:jc w:val="both"/>
              <w:rPr>
                <w:lang w:eastAsia="fr-FR"/>
              </w:rPr>
            </w:pPr>
          </w:p>
        </w:tc>
        <w:tc>
          <w:tcPr>
            <w:tcW w:w="0" w:type="auto"/>
            <w:tcBorders>
              <w:top w:val="single" w:sz="4" w:space="0" w:color="auto"/>
              <w:bottom w:val="nil"/>
            </w:tcBorders>
            <w:vAlign w:val="center"/>
            <w:hideMark/>
          </w:tcPr>
          <w:p w14:paraId="3BC2B507" w14:textId="77777777" w:rsidR="00D80693" w:rsidRPr="00B46ACD" w:rsidRDefault="00D80693" w:rsidP="00D72320">
            <w:pPr>
              <w:jc w:val="both"/>
              <w:rPr>
                <w:lang w:eastAsia="fr-FR"/>
              </w:rPr>
            </w:pPr>
            <w:r w:rsidRPr="00B46ACD">
              <w:rPr>
                <w:lang w:eastAsia="fr-FR"/>
              </w:rPr>
              <w:t>Inter-groupes</w:t>
            </w:r>
          </w:p>
        </w:tc>
        <w:tc>
          <w:tcPr>
            <w:tcW w:w="1190" w:type="dxa"/>
            <w:tcBorders>
              <w:top w:val="single" w:sz="4" w:space="0" w:color="auto"/>
              <w:bottom w:val="nil"/>
            </w:tcBorders>
            <w:vAlign w:val="center"/>
            <w:hideMark/>
          </w:tcPr>
          <w:p w14:paraId="37A7957A" w14:textId="77777777" w:rsidR="00D80693" w:rsidRPr="00B46ACD" w:rsidRDefault="00D80693" w:rsidP="00D72320">
            <w:pPr>
              <w:jc w:val="both"/>
              <w:rPr>
                <w:lang w:eastAsia="fr-FR"/>
              </w:rPr>
            </w:pPr>
            <w:r w:rsidRPr="00B46ACD">
              <w:rPr>
                <w:lang w:eastAsia="fr-FR"/>
              </w:rPr>
              <w:t>7,82</w:t>
            </w:r>
          </w:p>
        </w:tc>
        <w:tc>
          <w:tcPr>
            <w:tcW w:w="658" w:type="dxa"/>
            <w:tcBorders>
              <w:top w:val="single" w:sz="4" w:space="0" w:color="auto"/>
              <w:bottom w:val="nil"/>
            </w:tcBorders>
            <w:vAlign w:val="center"/>
            <w:hideMark/>
          </w:tcPr>
          <w:p w14:paraId="331E2B2F" w14:textId="77777777" w:rsidR="00D80693" w:rsidRPr="00B46ACD" w:rsidRDefault="00D80693" w:rsidP="00D72320">
            <w:pPr>
              <w:jc w:val="both"/>
              <w:rPr>
                <w:lang w:eastAsia="fr-FR"/>
              </w:rPr>
            </w:pPr>
            <w:r w:rsidRPr="00B46ACD">
              <w:rPr>
                <w:lang w:eastAsia="fr-FR"/>
              </w:rPr>
              <w:t>1</w:t>
            </w:r>
          </w:p>
        </w:tc>
        <w:tc>
          <w:tcPr>
            <w:tcW w:w="1348" w:type="dxa"/>
            <w:tcBorders>
              <w:top w:val="single" w:sz="4" w:space="0" w:color="auto"/>
              <w:bottom w:val="nil"/>
            </w:tcBorders>
            <w:vAlign w:val="center"/>
            <w:hideMark/>
          </w:tcPr>
          <w:p w14:paraId="276B76F4" w14:textId="77777777" w:rsidR="00D80693" w:rsidRPr="00B46ACD" w:rsidRDefault="00D80693" w:rsidP="00D72320">
            <w:pPr>
              <w:jc w:val="both"/>
              <w:rPr>
                <w:lang w:eastAsia="fr-FR"/>
              </w:rPr>
            </w:pPr>
            <w:r w:rsidRPr="00B46ACD">
              <w:rPr>
                <w:lang w:eastAsia="fr-FR"/>
              </w:rPr>
              <w:t>7,82</w:t>
            </w:r>
          </w:p>
        </w:tc>
        <w:tc>
          <w:tcPr>
            <w:tcW w:w="594" w:type="dxa"/>
            <w:tcBorders>
              <w:top w:val="single" w:sz="4" w:space="0" w:color="auto"/>
              <w:bottom w:val="nil"/>
            </w:tcBorders>
            <w:vAlign w:val="center"/>
            <w:hideMark/>
          </w:tcPr>
          <w:p w14:paraId="60BF300D" w14:textId="77777777" w:rsidR="00D80693" w:rsidRPr="00B46ACD" w:rsidRDefault="00D80693" w:rsidP="00D72320">
            <w:pPr>
              <w:jc w:val="both"/>
              <w:rPr>
                <w:lang w:eastAsia="fr-FR"/>
              </w:rPr>
            </w:pPr>
            <w:r w:rsidRPr="00B46ACD">
              <w:rPr>
                <w:lang w:eastAsia="fr-FR"/>
              </w:rPr>
              <w:t>4,77</w:t>
            </w:r>
          </w:p>
        </w:tc>
        <w:tc>
          <w:tcPr>
            <w:tcW w:w="0" w:type="auto"/>
            <w:tcBorders>
              <w:top w:val="single" w:sz="4" w:space="0" w:color="auto"/>
              <w:bottom w:val="nil"/>
            </w:tcBorders>
            <w:vAlign w:val="center"/>
            <w:hideMark/>
          </w:tcPr>
          <w:p w14:paraId="21A35285" w14:textId="77777777" w:rsidR="00D80693" w:rsidRPr="00B46ACD" w:rsidRDefault="00D80693" w:rsidP="00D72320">
            <w:pPr>
              <w:jc w:val="both"/>
              <w:rPr>
                <w:lang w:eastAsia="fr-FR"/>
              </w:rPr>
            </w:pPr>
            <w:r w:rsidRPr="00B46ACD">
              <w:rPr>
                <w:lang w:eastAsia="fr-FR"/>
              </w:rPr>
              <w:t>0,033*</w:t>
            </w:r>
          </w:p>
        </w:tc>
      </w:tr>
      <w:tr w:rsidR="00D80693" w14:paraId="7690888E" w14:textId="77777777" w:rsidTr="00D72320">
        <w:trPr>
          <w:trHeight w:val="286"/>
          <w:tblCellSpacing w:w="15" w:type="dxa"/>
          <w:jc w:val="center"/>
        </w:trPr>
        <w:tc>
          <w:tcPr>
            <w:tcW w:w="2306" w:type="dxa"/>
            <w:tcBorders>
              <w:top w:val="nil"/>
              <w:bottom w:val="nil"/>
            </w:tcBorders>
            <w:vAlign w:val="center"/>
            <w:hideMark/>
          </w:tcPr>
          <w:p w14:paraId="78BC9BE6" w14:textId="77777777" w:rsidR="00D80693" w:rsidRPr="00B46ACD" w:rsidRDefault="00D80693" w:rsidP="00D72320">
            <w:pPr>
              <w:jc w:val="both"/>
              <w:rPr>
                <w:lang w:eastAsia="fr-FR"/>
              </w:rPr>
            </w:pPr>
            <w:r w:rsidRPr="00B46ACD">
              <w:rPr>
                <w:b/>
                <w:bCs/>
                <w:lang w:eastAsia="fr-FR"/>
              </w:rPr>
              <w:t xml:space="preserve">Amotivation </w:t>
            </w:r>
          </w:p>
        </w:tc>
        <w:tc>
          <w:tcPr>
            <w:tcW w:w="0" w:type="auto"/>
            <w:tcBorders>
              <w:top w:val="nil"/>
              <w:bottom w:val="nil"/>
            </w:tcBorders>
            <w:vAlign w:val="center"/>
            <w:hideMark/>
          </w:tcPr>
          <w:p w14:paraId="76B5B5D2" w14:textId="77777777" w:rsidR="00D80693" w:rsidRPr="00B46ACD" w:rsidRDefault="00D80693" w:rsidP="00D72320">
            <w:pPr>
              <w:jc w:val="both"/>
              <w:rPr>
                <w:lang w:eastAsia="fr-FR"/>
              </w:rPr>
            </w:pPr>
            <w:r w:rsidRPr="00B46ACD">
              <w:rPr>
                <w:lang w:eastAsia="fr-FR"/>
              </w:rPr>
              <w:t>Intra-groupes</w:t>
            </w:r>
          </w:p>
        </w:tc>
        <w:tc>
          <w:tcPr>
            <w:tcW w:w="1190" w:type="dxa"/>
            <w:tcBorders>
              <w:top w:val="nil"/>
              <w:bottom w:val="nil"/>
            </w:tcBorders>
            <w:vAlign w:val="center"/>
            <w:hideMark/>
          </w:tcPr>
          <w:p w14:paraId="340D2F74" w14:textId="77777777" w:rsidR="00D80693" w:rsidRPr="00B46ACD" w:rsidRDefault="00D80693" w:rsidP="00D72320">
            <w:pPr>
              <w:jc w:val="both"/>
              <w:rPr>
                <w:lang w:eastAsia="fr-FR"/>
              </w:rPr>
            </w:pPr>
            <w:r w:rsidRPr="00B46ACD">
              <w:rPr>
                <w:lang w:eastAsia="fr-FR"/>
              </w:rPr>
              <w:t>183,57</w:t>
            </w:r>
          </w:p>
        </w:tc>
        <w:tc>
          <w:tcPr>
            <w:tcW w:w="658" w:type="dxa"/>
            <w:tcBorders>
              <w:top w:val="nil"/>
              <w:bottom w:val="nil"/>
            </w:tcBorders>
            <w:vAlign w:val="center"/>
            <w:hideMark/>
          </w:tcPr>
          <w:p w14:paraId="78E239D9" w14:textId="77777777" w:rsidR="00D80693" w:rsidRPr="00B46ACD" w:rsidRDefault="00D80693" w:rsidP="00D72320">
            <w:pPr>
              <w:jc w:val="both"/>
              <w:rPr>
                <w:lang w:eastAsia="fr-FR"/>
              </w:rPr>
            </w:pPr>
            <w:r w:rsidRPr="00B46ACD">
              <w:rPr>
                <w:lang w:eastAsia="fr-FR"/>
              </w:rPr>
              <w:t>90</w:t>
            </w:r>
          </w:p>
        </w:tc>
        <w:tc>
          <w:tcPr>
            <w:tcW w:w="1348" w:type="dxa"/>
            <w:tcBorders>
              <w:top w:val="nil"/>
              <w:bottom w:val="nil"/>
            </w:tcBorders>
            <w:vAlign w:val="center"/>
            <w:hideMark/>
          </w:tcPr>
          <w:p w14:paraId="19D22954" w14:textId="77777777" w:rsidR="00D80693" w:rsidRPr="00B46ACD" w:rsidRDefault="00D80693" w:rsidP="00D72320">
            <w:pPr>
              <w:jc w:val="both"/>
              <w:rPr>
                <w:lang w:eastAsia="fr-FR"/>
              </w:rPr>
            </w:pPr>
            <w:r w:rsidRPr="00B46ACD">
              <w:rPr>
                <w:lang w:eastAsia="fr-FR"/>
              </w:rPr>
              <w:t>1,85</w:t>
            </w:r>
          </w:p>
        </w:tc>
        <w:tc>
          <w:tcPr>
            <w:tcW w:w="594" w:type="dxa"/>
            <w:tcBorders>
              <w:top w:val="nil"/>
              <w:bottom w:val="nil"/>
            </w:tcBorders>
            <w:vAlign w:val="center"/>
            <w:hideMark/>
          </w:tcPr>
          <w:p w14:paraId="2E8839C8" w14:textId="77777777" w:rsidR="00D80693" w:rsidRPr="00B46ACD" w:rsidRDefault="00D80693" w:rsidP="00D72320">
            <w:pPr>
              <w:jc w:val="both"/>
              <w:rPr>
                <w:lang w:eastAsia="fr-FR"/>
              </w:rPr>
            </w:pPr>
          </w:p>
        </w:tc>
        <w:tc>
          <w:tcPr>
            <w:tcW w:w="0" w:type="auto"/>
            <w:tcBorders>
              <w:top w:val="nil"/>
              <w:bottom w:val="nil"/>
            </w:tcBorders>
            <w:vAlign w:val="center"/>
            <w:hideMark/>
          </w:tcPr>
          <w:p w14:paraId="3B1D8553" w14:textId="77777777" w:rsidR="00D80693" w:rsidRPr="00B46ACD" w:rsidRDefault="00D80693" w:rsidP="00D72320">
            <w:pPr>
              <w:jc w:val="both"/>
              <w:rPr>
                <w:lang w:eastAsia="fr-FR"/>
              </w:rPr>
            </w:pPr>
          </w:p>
        </w:tc>
      </w:tr>
      <w:tr w:rsidR="00D80693" w14:paraId="3CCBBBE7" w14:textId="77777777" w:rsidTr="00D72320">
        <w:trPr>
          <w:trHeight w:val="271"/>
          <w:tblCellSpacing w:w="15" w:type="dxa"/>
          <w:jc w:val="center"/>
        </w:trPr>
        <w:tc>
          <w:tcPr>
            <w:tcW w:w="2306" w:type="dxa"/>
            <w:vAlign w:val="center"/>
            <w:hideMark/>
          </w:tcPr>
          <w:p w14:paraId="21D3B3C3" w14:textId="77777777" w:rsidR="00D80693" w:rsidRPr="00B46ACD" w:rsidRDefault="00D80693" w:rsidP="00D72320">
            <w:pPr>
              <w:jc w:val="both"/>
              <w:rPr>
                <w:lang w:eastAsia="fr-FR"/>
              </w:rPr>
            </w:pPr>
          </w:p>
        </w:tc>
        <w:tc>
          <w:tcPr>
            <w:tcW w:w="0" w:type="auto"/>
            <w:vAlign w:val="center"/>
            <w:hideMark/>
          </w:tcPr>
          <w:p w14:paraId="51A40333" w14:textId="77777777" w:rsidR="00D80693" w:rsidRPr="00B46ACD" w:rsidRDefault="00D80693" w:rsidP="00D72320">
            <w:pPr>
              <w:jc w:val="both"/>
              <w:rPr>
                <w:lang w:eastAsia="fr-FR"/>
              </w:rPr>
            </w:pPr>
            <w:r w:rsidRPr="00B46ACD">
              <w:rPr>
                <w:lang w:eastAsia="fr-FR"/>
              </w:rPr>
              <w:t>Total</w:t>
            </w:r>
          </w:p>
        </w:tc>
        <w:tc>
          <w:tcPr>
            <w:tcW w:w="1190" w:type="dxa"/>
            <w:vAlign w:val="center"/>
            <w:hideMark/>
          </w:tcPr>
          <w:p w14:paraId="1C1BA0AF" w14:textId="77777777" w:rsidR="00D80693" w:rsidRPr="00B46ACD" w:rsidRDefault="00D80693" w:rsidP="00D72320">
            <w:pPr>
              <w:jc w:val="both"/>
              <w:rPr>
                <w:lang w:eastAsia="fr-FR"/>
              </w:rPr>
            </w:pPr>
            <w:r w:rsidRPr="00B46ACD">
              <w:rPr>
                <w:lang w:eastAsia="fr-FR"/>
              </w:rPr>
              <w:t>191,39</w:t>
            </w:r>
          </w:p>
        </w:tc>
        <w:tc>
          <w:tcPr>
            <w:tcW w:w="658" w:type="dxa"/>
            <w:vAlign w:val="center"/>
            <w:hideMark/>
          </w:tcPr>
          <w:p w14:paraId="6AF0154A" w14:textId="77777777" w:rsidR="00D80693" w:rsidRPr="00B46ACD" w:rsidRDefault="00D80693" w:rsidP="00D72320">
            <w:pPr>
              <w:jc w:val="both"/>
              <w:rPr>
                <w:lang w:eastAsia="fr-FR"/>
              </w:rPr>
            </w:pPr>
            <w:r w:rsidRPr="00B46ACD">
              <w:rPr>
                <w:lang w:eastAsia="fr-FR"/>
              </w:rPr>
              <w:t>91</w:t>
            </w:r>
          </w:p>
        </w:tc>
        <w:tc>
          <w:tcPr>
            <w:tcW w:w="1348" w:type="dxa"/>
            <w:vAlign w:val="center"/>
            <w:hideMark/>
          </w:tcPr>
          <w:p w14:paraId="176DAF2C" w14:textId="77777777" w:rsidR="00D80693" w:rsidRPr="00B46ACD" w:rsidRDefault="00D80693" w:rsidP="00D72320">
            <w:pPr>
              <w:jc w:val="both"/>
              <w:rPr>
                <w:lang w:eastAsia="fr-FR"/>
              </w:rPr>
            </w:pPr>
          </w:p>
        </w:tc>
        <w:tc>
          <w:tcPr>
            <w:tcW w:w="594" w:type="dxa"/>
            <w:vAlign w:val="center"/>
            <w:hideMark/>
          </w:tcPr>
          <w:p w14:paraId="65E5E50D" w14:textId="77777777" w:rsidR="00D80693" w:rsidRPr="00B46ACD" w:rsidRDefault="00D80693" w:rsidP="00D72320">
            <w:pPr>
              <w:jc w:val="both"/>
              <w:rPr>
                <w:lang w:eastAsia="fr-FR"/>
              </w:rPr>
            </w:pPr>
          </w:p>
        </w:tc>
        <w:tc>
          <w:tcPr>
            <w:tcW w:w="0" w:type="auto"/>
            <w:vAlign w:val="center"/>
            <w:hideMark/>
          </w:tcPr>
          <w:p w14:paraId="3F911B29" w14:textId="77777777" w:rsidR="00D80693" w:rsidRPr="00B46ACD" w:rsidRDefault="00D80693" w:rsidP="00D72320">
            <w:pPr>
              <w:jc w:val="both"/>
              <w:rPr>
                <w:lang w:eastAsia="fr-FR"/>
              </w:rPr>
            </w:pPr>
          </w:p>
        </w:tc>
      </w:tr>
    </w:tbl>
    <w:p w14:paraId="6EF455BF" w14:textId="77777777" w:rsidR="00D80693" w:rsidRPr="001C00B0" w:rsidRDefault="00D80693" w:rsidP="00D80693">
      <w:pPr>
        <w:spacing w:before="50" w:after="50"/>
        <w:jc w:val="both"/>
        <w:rPr>
          <w:rFonts w:eastAsia="Calibri"/>
          <w:sz w:val="24"/>
          <w:szCs w:val="24"/>
        </w:rPr>
      </w:pPr>
      <w:r>
        <w:rPr>
          <w:sz w:val="24"/>
          <w:szCs w:val="24"/>
        </w:rPr>
        <w:t xml:space="preserve">                Source : Enquête, Aké et Kanga, 2025</w:t>
      </w:r>
    </w:p>
    <w:p w14:paraId="2E8A6F82" w14:textId="0BAC3022" w:rsidR="00D80693" w:rsidRPr="008E5D16" w:rsidRDefault="00D80693" w:rsidP="00BD3B47">
      <w:pPr>
        <w:pStyle w:val="Paragraphedeliste"/>
        <w:spacing w:before="50" w:after="50"/>
        <w:ind w:left="0" w:firstLine="0"/>
        <w:rPr>
          <w:rFonts w:eastAsia="Calibri"/>
          <w:sz w:val="24"/>
          <w:szCs w:val="24"/>
        </w:rPr>
      </w:pPr>
      <w:r w:rsidRPr="008E5D16">
        <w:rPr>
          <w:sz w:val="24"/>
          <w:szCs w:val="24"/>
        </w:rPr>
        <w:t xml:space="preserve">Ce tableau montre les dimensions de </w:t>
      </w:r>
      <w:r>
        <w:rPr>
          <w:sz w:val="24"/>
          <w:szCs w:val="24"/>
        </w:rPr>
        <w:t xml:space="preserve">la motivation </w:t>
      </w:r>
      <w:bookmarkStart w:id="40" w:name="_Hlk209704079"/>
      <w:r w:rsidRPr="008E5D16">
        <w:rPr>
          <w:sz w:val="24"/>
          <w:szCs w:val="24"/>
        </w:rPr>
        <w:t>des é</w:t>
      </w:r>
      <w:r>
        <w:rPr>
          <w:sz w:val="24"/>
          <w:szCs w:val="24"/>
        </w:rPr>
        <w:t>tudiants de première année d’architecture à l’EAA</w:t>
      </w:r>
      <w:r w:rsidRPr="008E5D16">
        <w:rPr>
          <w:sz w:val="24"/>
          <w:szCs w:val="24"/>
        </w:rPr>
        <w:t>.</w:t>
      </w:r>
      <w:r w:rsidR="00BD3B47">
        <w:rPr>
          <w:sz w:val="24"/>
          <w:szCs w:val="24"/>
        </w:rPr>
        <w:t xml:space="preserve"> </w:t>
      </w:r>
    </w:p>
    <w:bookmarkEnd w:id="40"/>
    <w:p w14:paraId="0FE49017" w14:textId="77777777" w:rsidR="00D80693" w:rsidRPr="008E5D16" w:rsidRDefault="00D80693" w:rsidP="00BD3B47">
      <w:pPr>
        <w:pStyle w:val="Paragraphedeliste"/>
        <w:spacing w:before="50" w:after="50"/>
        <w:ind w:left="0" w:firstLine="0"/>
        <w:rPr>
          <w:rFonts w:eastAsia="Calibri"/>
          <w:sz w:val="24"/>
          <w:szCs w:val="24"/>
        </w:rPr>
      </w:pPr>
      <w:r w:rsidRPr="008E5D16">
        <w:rPr>
          <w:sz w:val="24"/>
          <w:szCs w:val="24"/>
        </w:rPr>
        <w:t xml:space="preserve">Pour </w:t>
      </w:r>
      <w:r>
        <w:rPr>
          <w:sz w:val="24"/>
          <w:szCs w:val="24"/>
        </w:rPr>
        <w:t>la motivation intrinsèque,</w:t>
      </w:r>
      <w:r w:rsidRPr="008E5D16">
        <w:rPr>
          <w:sz w:val="24"/>
          <w:szCs w:val="24"/>
        </w:rPr>
        <w:t xml:space="preserve"> la valeur de F = 2,0</w:t>
      </w:r>
      <w:r>
        <w:rPr>
          <w:sz w:val="24"/>
          <w:szCs w:val="24"/>
        </w:rPr>
        <w:t>8</w:t>
      </w:r>
      <w:r w:rsidRPr="008E5D16">
        <w:rPr>
          <w:sz w:val="24"/>
          <w:szCs w:val="24"/>
        </w:rPr>
        <w:t xml:space="preserve"> et le p = 0,15</w:t>
      </w:r>
      <w:r>
        <w:rPr>
          <w:sz w:val="24"/>
          <w:szCs w:val="24"/>
        </w:rPr>
        <w:t>3</w:t>
      </w:r>
      <w:r w:rsidRPr="008E5D16">
        <w:rPr>
          <w:sz w:val="24"/>
          <w:szCs w:val="24"/>
        </w:rPr>
        <w:t xml:space="preserve"> (&gt; 0,05) montre qu’il n’y a pas de différence significativ</w:t>
      </w:r>
      <w:r>
        <w:rPr>
          <w:sz w:val="24"/>
          <w:szCs w:val="24"/>
        </w:rPr>
        <w:t>e</w:t>
      </w:r>
      <w:r w:rsidRPr="008E5D16">
        <w:rPr>
          <w:sz w:val="24"/>
          <w:szCs w:val="24"/>
        </w:rPr>
        <w:t>.</w:t>
      </w:r>
    </w:p>
    <w:p w14:paraId="4E788F3B" w14:textId="77777777" w:rsidR="00D80693" w:rsidRPr="006C7B8C" w:rsidRDefault="00D80693" w:rsidP="00BD3B47">
      <w:pPr>
        <w:pStyle w:val="Paragraphedeliste"/>
        <w:spacing w:before="50" w:after="50"/>
        <w:ind w:left="0" w:firstLine="0"/>
        <w:rPr>
          <w:rFonts w:eastAsia="Calibri"/>
          <w:sz w:val="24"/>
          <w:szCs w:val="24"/>
        </w:rPr>
      </w:pPr>
      <w:r w:rsidRPr="008E5D16">
        <w:rPr>
          <w:sz w:val="24"/>
          <w:szCs w:val="24"/>
        </w:rPr>
        <w:t xml:space="preserve">Pour </w:t>
      </w:r>
      <w:r w:rsidRPr="00861802">
        <w:rPr>
          <w:sz w:val="24"/>
          <w:szCs w:val="24"/>
        </w:rPr>
        <w:t xml:space="preserve">la motivation </w:t>
      </w:r>
      <w:r>
        <w:rPr>
          <w:sz w:val="24"/>
          <w:szCs w:val="24"/>
        </w:rPr>
        <w:t>ex</w:t>
      </w:r>
      <w:r w:rsidRPr="00861802">
        <w:rPr>
          <w:sz w:val="24"/>
          <w:szCs w:val="24"/>
        </w:rPr>
        <w:t>trinsèque</w:t>
      </w:r>
      <w:r w:rsidRPr="008E5D16">
        <w:rPr>
          <w:sz w:val="24"/>
          <w:szCs w:val="24"/>
        </w:rPr>
        <w:t>, la valeur de F = 1,1</w:t>
      </w:r>
      <w:r>
        <w:rPr>
          <w:sz w:val="24"/>
          <w:szCs w:val="24"/>
        </w:rPr>
        <w:t>4</w:t>
      </w:r>
      <w:r w:rsidRPr="008E5D16">
        <w:rPr>
          <w:sz w:val="24"/>
          <w:szCs w:val="24"/>
        </w:rPr>
        <w:t xml:space="preserve"> et le p = 0,</w:t>
      </w:r>
      <w:r>
        <w:rPr>
          <w:sz w:val="24"/>
          <w:szCs w:val="24"/>
        </w:rPr>
        <w:t>043</w:t>
      </w:r>
      <w:r w:rsidRPr="008E5D16">
        <w:rPr>
          <w:sz w:val="24"/>
          <w:szCs w:val="24"/>
        </w:rPr>
        <w:t xml:space="preserve"> (&lt; 0,05) montre une différence significative.</w:t>
      </w:r>
    </w:p>
    <w:p w14:paraId="021BB237" w14:textId="77777777" w:rsidR="00D80693" w:rsidRDefault="00D80693" w:rsidP="00BD3B47">
      <w:pPr>
        <w:pStyle w:val="Paragraphedeliste"/>
        <w:spacing w:before="50" w:after="50"/>
        <w:ind w:left="0" w:firstLine="0"/>
        <w:rPr>
          <w:rFonts w:eastAsia="Calibri"/>
          <w:sz w:val="24"/>
          <w:szCs w:val="24"/>
        </w:rPr>
      </w:pPr>
      <w:r w:rsidRPr="008E5D16">
        <w:rPr>
          <w:sz w:val="24"/>
          <w:szCs w:val="24"/>
        </w:rPr>
        <w:t>Pour l’</w:t>
      </w:r>
      <w:r>
        <w:rPr>
          <w:sz w:val="24"/>
          <w:szCs w:val="24"/>
        </w:rPr>
        <w:t>amotivation,</w:t>
      </w:r>
      <w:r w:rsidRPr="008E5D16">
        <w:rPr>
          <w:sz w:val="24"/>
          <w:szCs w:val="24"/>
        </w:rPr>
        <w:t xml:space="preserve"> la valeur de F = 4,7</w:t>
      </w:r>
      <w:r>
        <w:rPr>
          <w:sz w:val="24"/>
          <w:szCs w:val="24"/>
        </w:rPr>
        <w:t>7</w:t>
      </w:r>
      <w:r w:rsidRPr="008E5D16">
        <w:rPr>
          <w:sz w:val="24"/>
          <w:szCs w:val="24"/>
        </w:rPr>
        <w:t xml:space="preserve"> et le p = 0,03</w:t>
      </w:r>
      <w:r>
        <w:rPr>
          <w:sz w:val="24"/>
          <w:szCs w:val="24"/>
        </w:rPr>
        <w:t>3</w:t>
      </w:r>
      <w:r w:rsidRPr="008E5D16">
        <w:rPr>
          <w:sz w:val="24"/>
          <w:szCs w:val="24"/>
        </w:rPr>
        <w:t xml:space="preserve"> (&lt; 0,05) montre une différence significative.</w:t>
      </w:r>
    </w:p>
    <w:p w14:paraId="7333257F" w14:textId="77777777" w:rsidR="00D80693" w:rsidRPr="008E5D16" w:rsidRDefault="00D80693" w:rsidP="00BD3B47">
      <w:pPr>
        <w:pStyle w:val="Paragraphedeliste"/>
        <w:spacing w:before="50" w:after="50"/>
        <w:ind w:left="0" w:firstLine="0"/>
        <w:rPr>
          <w:rFonts w:eastAsia="Calibri"/>
          <w:sz w:val="24"/>
          <w:szCs w:val="24"/>
        </w:rPr>
      </w:pPr>
      <w:r w:rsidRPr="00B7691D">
        <w:rPr>
          <w:sz w:val="24"/>
          <w:szCs w:val="24"/>
        </w:rPr>
        <w:t xml:space="preserve">Motivation </w:t>
      </w:r>
      <w:r>
        <w:rPr>
          <w:sz w:val="24"/>
          <w:szCs w:val="24"/>
        </w:rPr>
        <w:t>in</w:t>
      </w:r>
      <w:r w:rsidRPr="00B7691D">
        <w:rPr>
          <w:sz w:val="24"/>
          <w:szCs w:val="24"/>
        </w:rPr>
        <w:t>trinsèque</w:t>
      </w:r>
      <w:r w:rsidRPr="008E5D16">
        <w:rPr>
          <w:sz w:val="24"/>
          <w:szCs w:val="24"/>
        </w:rPr>
        <w:t xml:space="preserve"> (F = 2,0</w:t>
      </w:r>
      <w:r>
        <w:rPr>
          <w:sz w:val="24"/>
          <w:szCs w:val="24"/>
        </w:rPr>
        <w:t>8</w:t>
      </w:r>
      <w:r w:rsidRPr="008E5D16">
        <w:rPr>
          <w:sz w:val="24"/>
          <w:szCs w:val="24"/>
        </w:rPr>
        <w:t>, p = 0,15</w:t>
      </w:r>
      <w:r>
        <w:rPr>
          <w:sz w:val="24"/>
          <w:szCs w:val="24"/>
        </w:rPr>
        <w:t>3</w:t>
      </w:r>
      <w:r w:rsidRPr="008E5D16">
        <w:rPr>
          <w:sz w:val="24"/>
          <w:szCs w:val="24"/>
        </w:rPr>
        <w:t>)</w:t>
      </w:r>
      <w:r>
        <w:rPr>
          <w:sz w:val="24"/>
          <w:szCs w:val="24"/>
        </w:rPr>
        <w:t xml:space="preserve"> : pas </w:t>
      </w:r>
      <w:r w:rsidRPr="008E5D16">
        <w:rPr>
          <w:sz w:val="24"/>
          <w:szCs w:val="24"/>
        </w:rPr>
        <w:t>de différence significative</w:t>
      </w:r>
    </w:p>
    <w:p w14:paraId="0C327DB0" w14:textId="77777777" w:rsidR="00D80693" w:rsidRPr="00075A69" w:rsidRDefault="00D80693" w:rsidP="00BD3B47">
      <w:pPr>
        <w:pStyle w:val="Paragraphedeliste"/>
        <w:spacing w:before="50" w:after="50"/>
        <w:ind w:left="0" w:firstLine="0"/>
        <w:rPr>
          <w:rFonts w:eastAsia="Calibri"/>
          <w:sz w:val="24"/>
          <w:szCs w:val="24"/>
        </w:rPr>
      </w:pPr>
      <w:r w:rsidRPr="008E5D16">
        <w:rPr>
          <w:sz w:val="24"/>
          <w:szCs w:val="24"/>
        </w:rPr>
        <w:t>L</w:t>
      </w:r>
      <w:r w:rsidRPr="009C0FF8">
        <w:rPr>
          <w:sz w:val="24"/>
          <w:szCs w:val="24"/>
        </w:rPr>
        <w:t xml:space="preserve">a Motivation </w:t>
      </w:r>
      <w:r>
        <w:rPr>
          <w:sz w:val="24"/>
          <w:szCs w:val="24"/>
        </w:rPr>
        <w:t>in</w:t>
      </w:r>
      <w:r w:rsidRPr="009C0FF8">
        <w:rPr>
          <w:sz w:val="24"/>
          <w:szCs w:val="24"/>
        </w:rPr>
        <w:t>trinsèque</w:t>
      </w:r>
      <w:r w:rsidRPr="008E5D16">
        <w:rPr>
          <w:sz w:val="24"/>
          <w:szCs w:val="24"/>
        </w:rPr>
        <w:t xml:space="preserve"> correspond </w:t>
      </w:r>
      <w:r>
        <w:rPr>
          <w:sz w:val="24"/>
          <w:szCs w:val="24"/>
        </w:rPr>
        <w:t>au plaisir</w:t>
      </w:r>
      <w:r w:rsidRPr="00B7691D">
        <w:rPr>
          <w:sz w:val="24"/>
          <w:szCs w:val="24"/>
        </w:rPr>
        <w:t>,</w:t>
      </w:r>
      <w:r>
        <w:rPr>
          <w:sz w:val="24"/>
          <w:szCs w:val="24"/>
        </w:rPr>
        <w:t xml:space="preserve"> </w:t>
      </w:r>
      <w:r w:rsidRPr="00B7691D">
        <w:rPr>
          <w:sz w:val="24"/>
          <w:szCs w:val="24"/>
        </w:rPr>
        <w:t>curiosité, développement personnel</w:t>
      </w:r>
      <w:r w:rsidRPr="008E5D16">
        <w:rPr>
          <w:sz w:val="24"/>
          <w:szCs w:val="24"/>
        </w:rPr>
        <w:t xml:space="preserve"> puisque p &gt; 0,05, </w:t>
      </w:r>
      <w:bookmarkStart w:id="41" w:name="_Hlk209691833"/>
      <w:r w:rsidRPr="008E5D16">
        <w:rPr>
          <w:sz w:val="24"/>
          <w:szCs w:val="24"/>
        </w:rPr>
        <w:t xml:space="preserve">cela signifie que </w:t>
      </w:r>
      <w:r w:rsidRPr="00B7691D">
        <w:rPr>
          <w:sz w:val="24"/>
          <w:szCs w:val="24"/>
        </w:rPr>
        <w:t xml:space="preserve">étudiants de première année d’architecture à l’EAA </w:t>
      </w:r>
      <w:r w:rsidRPr="008E5D16">
        <w:rPr>
          <w:sz w:val="24"/>
          <w:szCs w:val="24"/>
        </w:rPr>
        <w:t xml:space="preserve">ont </w:t>
      </w:r>
      <w:r>
        <w:rPr>
          <w:sz w:val="24"/>
          <w:szCs w:val="24"/>
        </w:rPr>
        <w:t>une motivation intrinsèque</w:t>
      </w:r>
      <w:bookmarkEnd w:id="41"/>
      <w:r w:rsidRPr="008E5D16">
        <w:rPr>
          <w:sz w:val="24"/>
          <w:szCs w:val="24"/>
        </w:rPr>
        <w:t>.</w:t>
      </w:r>
    </w:p>
    <w:p w14:paraId="080C88DB" w14:textId="77777777" w:rsidR="00D80693" w:rsidRPr="008E5D16" w:rsidRDefault="00D80693" w:rsidP="00BD3B47">
      <w:pPr>
        <w:pStyle w:val="Paragraphedeliste"/>
        <w:spacing w:before="50" w:after="50"/>
        <w:ind w:left="0" w:firstLine="0"/>
        <w:rPr>
          <w:rFonts w:eastAsia="Calibri"/>
          <w:sz w:val="24"/>
          <w:szCs w:val="24"/>
        </w:rPr>
      </w:pPr>
      <w:r>
        <w:rPr>
          <w:sz w:val="24"/>
          <w:szCs w:val="24"/>
        </w:rPr>
        <w:t>Motivation extrinsèque</w:t>
      </w:r>
      <w:r w:rsidRPr="008E5D16">
        <w:rPr>
          <w:sz w:val="24"/>
          <w:szCs w:val="24"/>
        </w:rPr>
        <w:t xml:space="preserve"> (F = 1,1</w:t>
      </w:r>
      <w:r>
        <w:rPr>
          <w:sz w:val="24"/>
          <w:szCs w:val="24"/>
        </w:rPr>
        <w:t>4</w:t>
      </w:r>
      <w:r w:rsidRPr="008E5D16">
        <w:rPr>
          <w:sz w:val="24"/>
          <w:szCs w:val="24"/>
        </w:rPr>
        <w:t>, p = 0,</w:t>
      </w:r>
      <w:r>
        <w:rPr>
          <w:sz w:val="24"/>
          <w:szCs w:val="24"/>
        </w:rPr>
        <w:t>043</w:t>
      </w:r>
      <w:r w:rsidRPr="008E5D16">
        <w:rPr>
          <w:sz w:val="24"/>
          <w:szCs w:val="24"/>
        </w:rPr>
        <w:t>)</w:t>
      </w:r>
      <w:r>
        <w:rPr>
          <w:sz w:val="24"/>
          <w:szCs w:val="24"/>
        </w:rPr>
        <w:t xml:space="preserve"> : différence</w:t>
      </w:r>
      <w:r w:rsidRPr="008E5D16">
        <w:rPr>
          <w:sz w:val="24"/>
          <w:szCs w:val="24"/>
        </w:rPr>
        <w:t xml:space="preserve"> significative</w:t>
      </w:r>
    </w:p>
    <w:p w14:paraId="63EAEAB6" w14:textId="77777777" w:rsidR="00D80693" w:rsidRPr="00F1545E" w:rsidRDefault="00D80693" w:rsidP="00BD3B47">
      <w:pPr>
        <w:pStyle w:val="Paragraphedeliste"/>
        <w:spacing w:before="50" w:after="50"/>
        <w:ind w:left="0" w:firstLine="0"/>
        <w:rPr>
          <w:rFonts w:eastAsia="Calibri"/>
          <w:sz w:val="24"/>
          <w:szCs w:val="24"/>
        </w:rPr>
      </w:pPr>
      <w:r w:rsidRPr="008E5D16">
        <w:rPr>
          <w:sz w:val="24"/>
          <w:szCs w:val="24"/>
        </w:rPr>
        <w:t>L</w:t>
      </w:r>
      <w:r>
        <w:rPr>
          <w:sz w:val="24"/>
          <w:szCs w:val="24"/>
        </w:rPr>
        <w:t>a</w:t>
      </w:r>
      <w:r w:rsidRPr="009C0FF8">
        <w:rPr>
          <w:sz w:val="24"/>
          <w:szCs w:val="24"/>
        </w:rPr>
        <w:t xml:space="preserve"> Motivation extrinsèque</w:t>
      </w:r>
      <w:r w:rsidRPr="008E5D16">
        <w:rPr>
          <w:sz w:val="24"/>
          <w:szCs w:val="24"/>
        </w:rPr>
        <w:t xml:space="preserve"> fait référence </w:t>
      </w:r>
      <w:r>
        <w:rPr>
          <w:sz w:val="24"/>
          <w:szCs w:val="24"/>
        </w:rPr>
        <w:t>au</w:t>
      </w:r>
      <w:r w:rsidRPr="008E5D16">
        <w:rPr>
          <w:sz w:val="24"/>
          <w:szCs w:val="24"/>
        </w:rPr>
        <w:t xml:space="preserve"> </w:t>
      </w:r>
      <w:r w:rsidRPr="00F1545E">
        <w:rPr>
          <w:sz w:val="24"/>
          <w:szCs w:val="24"/>
        </w:rPr>
        <w:t>contrôle social, obligations, utilité</w:t>
      </w:r>
    </w:p>
    <w:p w14:paraId="463B27F3" w14:textId="77777777" w:rsidR="00D80693" w:rsidRDefault="00D80693" w:rsidP="00BD3B47">
      <w:pPr>
        <w:pStyle w:val="Paragraphedeliste"/>
        <w:spacing w:before="50" w:after="50"/>
        <w:ind w:left="0" w:firstLine="0"/>
        <w:rPr>
          <w:rFonts w:eastAsia="Calibri"/>
          <w:sz w:val="24"/>
          <w:szCs w:val="24"/>
        </w:rPr>
      </w:pPr>
      <w:r w:rsidRPr="008E5D16">
        <w:rPr>
          <w:sz w:val="24"/>
          <w:szCs w:val="24"/>
        </w:rPr>
        <w:t>, puisque p &gt; 0,05, cela signifie</w:t>
      </w:r>
      <w:r w:rsidRPr="00C3343E">
        <w:rPr>
          <w:sz w:val="24"/>
          <w:szCs w:val="24"/>
        </w:rPr>
        <w:t xml:space="preserve"> </w:t>
      </w:r>
      <w:r w:rsidRPr="008E5D16">
        <w:rPr>
          <w:sz w:val="24"/>
          <w:szCs w:val="24"/>
        </w:rPr>
        <w:t>que</w:t>
      </w:r>
      <w:r>
        <w:rPr>
          <w:sz w:val="24"/>
          <w:szCs w:val="24"/>
        </w:rPr>
        <w:t xml:space="preserve"> les </w:t>
      </w:r>
      <w:r w:rsidRPr="008E5D16">
        <w:rPr>
          <w:sz w:val="24"/>
          <w:szCs w:val="24"/>
        </w:rPr>
        <w:t>étudiants</w:t>
      </w:r>
      <w:r w:rsidRPr="00C3343E">
        <w:rPr>
          <w:sz w:val="24"/>
          <w:szCs w:val="24"/>
        </w:rPr>
        <w:t xml:space="preserve"> de première année d’architecture à l’EAA </w:t>
      </w:r>
      <w:r>
        <w:rPr>
          <w:sz w:val="24"/>
          <w:szCs w:val="24"/>
        </w:rPr>
        <w:t xml:space="preserve">n’exercent pas de </w:t>
      </w:r>
      <w:r w:rsidRPr="00C3343E">
        <w:rPr>
          <w:sz w:val="24"/>
          <w:szCs w:val="24"/>
        </w:rPr>
        <w:t xml:space="preserve">motivation </w:t>
      </w:r>
      <w:r>
        <w:rPr>
          <w:sz w:val="24"/>
          <w:szCs w:val="24"/>
        </w:rPr>
        <w:t>ex</w:t>
      </w:r>
      <w:r w:rsidRPr="00C3343E">
        <w:rPr>
          <w:sz w:val="24"/>
          <w:szCs w:val="24"/>
        </w:rPr>
        <w:t>trinsèque</w:t>
      </w:r>
      <w:r w:rsidRPr="008E5D16">
        <w:rPr>
          <w:sz w:val="24"/>
          <w:szCs w:val="24"/>
        </w:rPr>
        <w:t xml:space="preserve"> </w:t>
      </w:r>
      <w:r>
        <w:rPr>
          <w:sz w:val="24"/>
          <w:szCs w:val="24"/>
        </w:rPr>
        <w:t xml:space="preserve">pour avoir une meilleure performance académique. </w:t>
      </w:r>
    </w:p>
    <w:p w14:paraId="37202E7E" w14:textId="77777777" w:rsidR="00D80693" w:rsidRPr="008E5D16" w:rsidRDefault="00D80693" w:rsidP="00BD3B47">
      <w:pPr>
        <w:pStyle w:val="Paragraphedeliste"/>
        <w:spacing w:before="50" w:after="50"/>
        <w:ind w:left="0" w:firstLine="0"/>
        <w:rPr>
          <w:rFonts w:eastAsia="Calibri"/>
          <w:sz w:val="24"/>
          <w:szCs w:val="24"/>
        </w:rPr>
      </w:pPr>
      <w:r>
        <w:rPr>
          <w:sz w:val="24"/>
          <w:szCs w:val="24"/>
        </w:rPr>
        <w:t>Amotivation</w:t>
      </w:r>
      <w:r w:rsidRPr="008E5D16">
        <w:rPr>
          <w:sz w:val="24"/>
          <w:szCs w:val="24"/>
        </w:rPr>
        <w:t xml:space="preserve"> (F = 4,7</w:t>
      </w:r>
      <w:r>
        <w:rPr>
          <w:sz w:val="24"/>
          <w:szCs w:val="24"/>
        </w:rPr>
        <w:t>7</w:t>
      </w:r>
      <w:r w:rsidRPr="008E5D16">
        <w:rPr>
          <w:sz w:val="24"/>
          <w:szCs w:val="24"/>
        </w:rPr>
        <w:t>, p = 0,03</w:t>
      </w:r>
      <w:r>
        <w:rPr>
          <w:sz w:val="24"/>
          <w:szCs w:val="24"/>
        </w:rPr>
        <w:t>3</w:t>
      </w:r>
      <w:r w:rsidRPr="008E5D16">
        <w:rPr>
          <w:sz w:val="24"/>
          <w:szCs w:val="24"/>
        </w:rPr>
        <w:t>)</w:t>
      </w:r>
      <w:r>
        <w:rPr>
          <w:sz w:val="24"/>
          <w:szCs w:val="24"/>
        </w:rPr>
        <w:t> : d</w:t>
      </w:r>
      <w:r w:rsidRPr="008E5D16">
        <w:rPr>
          <w:sz w:val="24"/>
          <w:szCs w:val="24"/>
        </w:rPr>
        <w:t>ifférence significative</w:t>
      </w:r>
    </w:p>
    <w:p w14:paraId="68A45D9B" w14:textId="77777777" w:rsidR="00D80693" w:rsidRDefault="00D80693" w:rsidP="00BD3B47">
      <w:pPr>
        <w:pStyle w:val="Paragraphedeliste"/>
        <w:spacing w:before="50" w:after="50"/>
        <w:ind w:left="0" w:firstLine="0"/>
        <w:rPr>
          <w:rFonts w:eastAsia="Calibri"/>
          <w:sz w:val="24"/>
          <w:szCs w:val="24"/>
        </w:rPr>
      </w:pPr>
      <w:r>
        <w:rPr>
          <w:sz w:val="24"/>
          <w:szCs w:val="24"/>
        </w:rPr>
        <w:t>L’a</w:t>
      </w:r>
      <w:r w:rsidRPr="00C3343E">
        <w:rPr>
          <w:sz w:val="24"/>
          <w:szCs w:val="24"/>
        </w:rPr>
        <w:t>motivation</w:t>
      </w:r>
      <w:r w:rsidRPr="008E5D16">
        <w:rPr>
          <w:sz w:val="24"/>
          <w:szCs w:val="24"/>
        </w:rPr>
        <w:t xml:space="preserve"> est </w:t>
      </w:r>
      <w:r w:rsidRPr="00F1545E">
        <w:rPr>
          <w:sz w:val="24"/>
          <w:szCs w:val="24"/>
        </w:rPr>
        <w:t>l’absence de but, perte de sens, doute</w:t>
      </w:r>
      <w:r w:rsidRPr="008E5D16">
        <w:rPr>
          <w:sz w:val="24"/>
          <w:szCs w:val="24"/>
        </w:rPr>
        <w:t>, puisque p &lt; 0,05, cela signifie cela signifie</w:t>
      </w:r>
      <w:r w:rsidRPr="00BE4804">
        <w:rPr>
          <w:sz w:val="24"/>
          <w:szCs w:val="24"/>
        </w:rPr>
        <w:t xml:space="preserve"> </w:t>
      </w:r>
      <w:r w:rsidRPr="008E5D16">
        <w:rPr>
          <w:sz w:val="24"/>
          <w:szCs w:val="24"/>
        </w:rPr>
        <w:t>que</w:t>
      </w:r>
      <w:r w:rsidRPr="00BE4804">
        <w:rPr>
          <w:sz w:val="24"/>
          <w:szCs w:val="24"/>
        </w:rPr>
        <w:t xml:space="preserve"> les étudiants de première année d’architecture à l’EAA n’</w:t>
      </w:r>
      <w:r>
        <w:rPr>
          <w:sz w:val="24"/>
          <w:szCs w:val="24"/>
        </w:rPr>
        <w:t xml:space="preserve">ont </w:t>
      </w:r>
      <w:r w:rsidRPr="00BE4804">
        <w:rPr>
          <w:sz w:val="24"/>
          <w:szCs w:val="24"/>
        </w:rPr>
        <w:t>pas d</w:t>
      </w:r>
      <w:r>
        <w:rPr>
          <w:sz w:val="24"/>
          <w:szCs w:val="24"/>
        </w:rPr>
        <w:t>’a</w:t>
      </w:r>
      <w:r w:rsidRPr="00BE4804">
        <w:rPr>
          <w:sz w:val="24"/>
          <w:szCs w:val="24"/>
        </w:rPr>
        <w:t xml:space="preserve">motivation </w:t>
      </w:r>
      <w:r>
        <w:rPr>
          <w:sz w:val="24"/>
          <w:szCs w:val="24"/>
        </w:rPr>
        <w:t>dans leur parcours d’architecture</w:t>
      </w:r>
    </w:p>
    <w:p w14:paraId="38853956" w14:textId="2145AF54" w:rsidR="00D80693" w:rsidRDefault="00D80693" w:rsidP="00BD3B47">
      <w:pPr>
        <w:pStyle w:val="Paragraphedeliste"/>
        <w:spacing w:before="50" w:after="50"/>
        <w:ind w:left="0" w:firstLine="0"/>
        <w:rPr>
          <w:rFonts w:eastAsia="Calibri"/>
          <w:sz w:val="24"/>
          <w:szCs w:val="24"/>
        </w:rPr>
      </w:pPr>
      <w:proofErr w:type="gramStart"/>
      <w:r>
        <w:rPr>
          <w:sz w:val="24"/>
          <w:szCs w:val="24"/>
        </w:rPr>
        <w:t>.</w:t>
      </w:r>
      <w:r w:rsidRPr="008E5D16">
        <w:rPr>
          <w:sz w:val="24"/>
          <w:szCs w:val="24"/>
        </w:rPr>
        <w:t>En</w:t>
      </w:r>
      <w:proofErr w:type="gramEnd"/>
      <w:r w:rsidRPr="008E5D16">
        <w:rPr>
          <w:sz w:val="24"/>
          <w:szCs w:val="24"/>
        </w:rPr>
        <w:t xml:space="preserve"> conclusion, </w:t>
      </w:r>
      <w:r w:rsidRPr="00BE4804">
        <w:rPr>
          <w:sz w:val="24"/>
          <w:szCs w:val="24"/>
        </w:rPr>
        <w:t xml:space="preserve">étudiants de première année d’architecture à l’EAA </w:t>
      </w:r>
      <w:r w:rsidRPr="008E5D16">
        <w:rPr>
          <w:sz w:val="24"/>
          <w:szCs w:val="24"/>
        </w:rPr>
        <w:t xml:space="preserve">ont </w:t>
      </w:r>
      <w:r w:rsidRPr="00BE4804">
        <w:rPr>
          <w:sz w:val="24"/>
          <w:szCs w:val="24"/>
        </w:rPr>
        <w:t>une motivation intrinsèque</w:t>
      </w:r>
      <w:r>
        <w:rPr>
          <w:sz w:val="24"/>
          <w:szCs w:val="24"/>
        </w:rPr>
        <w:t>. Ce qui les poussent à avoir une meilleure performance académique.</w:t>
      </w:r>
    </w:p>
    <w:p w14:paraId="69F57587" w14:textId="77777777" w:rsidR="00D80693" w:rsidRPr="00D7521B" w:rsidRDefault="00D80693" w:rsidP="00D80693">
      <w:pPr>
        <w:pStyle w:val="Paragraphedeliste"/>
        <w:spacing w:before="50" w:after="50"/>
        <w:ind w:left="0"/>
        <w:rPr>
          <w:rFonts w:eastAsia="Calibri"/>
          <w:sz w:val="24"/>
          <w:szCs w:val="24"/>
        </w:rPr>
      </w:pPr>
    </w:p>
    <w:p w14:paraId="08AA9B5B" w14:textId="77777777" w:rsidR="00D80693" w:rsidRPr="00220C31" w:rsidRDefault="00D80693" w:rsidP="00D80693">
      <w:pPr>
        <w:pStyle w:val="Paragraphedeliste"/>
        <w:spacing w:before="50" w:after="50"/>
        <w:ind w:left="0"/>
        <w:rPr>
          <w:rFonts w:eastAsia="Calibri"/>
          <w:sz w:val="24"/>
          <w:szCs w:val="24"/>
        </w:rPr>
      </w:pPr>
    </w:p>
    <w:p w14:paraId="1416A756" w14:textId="77777777" w:rsidR="00D80693" w:rsidRDefault="00D80693" w:rsidP="00D80693">
      <w:pPr>
        <w:pStyle w:val="Paragraphedeliste"/>
        <w:spacing w:before="50" w:after="50"/>
        <w:ind w:left="0"/>
        <w:rPr>
          <w:rFonts w:eastAsia="Calibri"/>
          <w:b/>
          <w:bCs/>
          <w:sz w:val="24"/>
          <w:szCs w:val="24"/>
        </w:rPr>
      </w:pPr>
      <w:bookmarkStart w:id="42" w:name="_Hlk215405409"/>
      <w:r>
        <w:rPr>
          <w:b/>
          <w:bCs/>
          <w:sz w:val="24"/>
          <w:szCs w:val="24"/>
        </w:rPr>
        <w:t xml:space="preserve">2.3 </w:t>
      </w:r>
      <w:r w:rsidRPr="00576EA0">
        <w:rPr>
          <w:b/>
          <w:bCs/>
          <w:sz w:val="24"/>
          <w:szCs w:val="24"/>
        </w:rPr>
        <w:t>Répartition des Stratégies d'Apprentissage par Motivation</w:t>
      </w:r>
      <w:r>
        <w:rPr>
          <w:b/>
          <w:bCs/>
          <w:sz w:val="24"/>
          <w:szCs w:val="24"/>
        </w:rPr>
        <w:t xml:space="preserve"> (Ho3)</w:t>
      </w:r>
    </w:p>
    <w:bookmarkEnd w:id="42"/>
    <w:p w14:paraId="441E4756" w14:textId="77777777" w:rsidR="00D80693" w:rsidRDefault="00D80693" w:rsidP="00D80693">
      <w:pPr>
        <w:pStyle w:val="Paragraphedeliste"/>
        <w:spacing w:before="50" w:after="50"/>
        <w:ind w:left="0"/>
        <w:rPr>
          <w:rFonts w:ascii="Calibri" w:eastAsia="Calibri" w:hAnsi="Calibri"/>
        </w:rPr>
      </w:pPr>
      <w:r>
        <w:tab/>
      </w:r>
    </w:p>
    <w:p w14:paraId="58A397D1" w14:textId="77777777" w:rsidR="00D80693" w:rsidRPr="004C25E3" w:rsidRDefault="00D80693" w:rsidP="00D80693">
      <w:pPr>
        <w:tabs>
          <w:tab w:val="left" w:pos="1560"/>
        </w:tabs>
        <w:spacing w:before="50" w:after="50"/>
        <w:jc w:val="both"/>
        <w:rPr>
          <w:rFonts w:eastAsia="Calibri"/>
          <w:b/>
          <w:bCs/>
          <w:i/>
          <w:iCs/>
        </w:rPr>
      </w:pPr>
      <w:r w:rsidRPr="004C25E3">
        <w:rPr>
          <w:b/>
          <w:bCs/>
          <w:i/>
          <w:iCs/>
        </w:rPr>
        <w:t xml:space="preserve">Tableau </w:t>
      </w:r>
      <w:r>
        <w:rPr>
          <w:b/>
          <w:bCs/>
          <w:i/>
          <w:iCs/>
        </w:rPr>
        <w:t>n°3</w:t>
      </w:r>
      <w:r w:rsidRPr="004C25E3">
        <w:rPr>
          <w:b/>
          <w:bCs/>
          <w:i/>
          <w:iCs/>
        </w:rPr>
        <w:t> : Résultats du test t de Student pour la comparaison des moyennes composantes de la motivation en fonction de la stratégie d’Apprentissage</w:t>
      </w:r>
    </w:p>
    <w:p w14:paraId="17040425" w14:textId="77777777" w:rsidR="00D80693" w:rsidRPr="004C25E3" w:rsidRDefault="00D80693" w:rsidP="00D80693">
      <w:pPr>
        <w:jc w:val="both"/>
        <w:rPr>
          <w:rFonts w:eastAsia="Calibri"/>
          <w:b/>
          <w:bCs/>
          <w:i/>
          <w:iCs/>
        </w:rPr>
      </w:pPr>
    </w:p>
    <w:tbl>
      <w:tblPr>
        <w:tblW w:w="9012" w:type="dxa"/>
        <w:jc w:val="center"/>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51"/>
        <w:gridCol w:w="43"/>
        <w:gridCol w:w="30"/>
        <w:gridCol w:w="2728"/>
        <w:gridCol w:w="1737"/>
        <w:gridCol w:w="1190"/>
        <w:gridCol w:w="1124"/>
        <w:gridCol w:w="727"/>
        <w:gridCol w:w="458"/>
        <w:gridCol w:w="126"/>
        <w:gridCol w:w="743"/>
        <w:gridCol w:w="55"/>
      </w:tblGrid>
      <w:tr w:rsidR="00D80693" w14:paraId="0EB8FAC5" w14:textId="77777777" w:rsidTr="00D72320">
        <w:trPr>
          <w:gridBefore w:val="2"/>
          <w:gridAfter w:val="1"/>
          <w:wBefore w:w="49" w:type="dxa"/>
          <w:wAfter w:w="10" w:type="dxa"/>
          <w:tblHeader/>
          <w:tblCellSpacing w:w="15" w:type="dxa"/>
          <w:jc w:val="center"/>
        </w:trPr>
        <w:tc>
          <w:tcPr>
            <w:tcW w:w="2728" w:type="dxa"/>
            <w:gridSpan w:val="2"/>
            <w:tcBorders>
              <w:left w:val="single" w:sz="4" w:space="0" w:color="auto"/>
              <w:right w:val="single" w:sz="4" w:space="0" w:color="auto"/>
            </w:tcBorders>
            <w:vAlign w:val="center"/>
            <w:hideMark/>
          </w:tcPr>
          <w:p w14:paraId="101FC368" w14:textId="77777777" w:rsidR="00D80693" w:rsidRPr="006C1968" w:rsidRDefault="00D80693" w:rsidP="00D72320">
            <w:pPr>
              <w:jc w:val="both"/>
              <w:rPr>
                <w:b/>
                <w:bCs/>
                <w:sz w:val="24"/>
                <w:szCs w:val="24"/>
                <w:lang w:eastAsia="fr-FR"/>
              </w:rPr>
            </w:pPr>
            <w:r w:rsidRPr="006C1968">
              <w:rPr>
                <w:b/>
                <w:bCs/>
                <w:sz w:val="24"/>
                <w:szCs w:val="24"/>
                <w:lang w:eastAsia="fr-FR"/>
              </w:rPr>
              <w:t xml:space="preserve">Composantes de </w:t>
            </w:r>
            <w:r>
              <w:rPr>
                <w:b/>
                <w:bCs/>
                <w:sz w:val="24"/>
                <w:szCs w:val="24"/>
                <w:lang w:eastAsia="fr-FR"/>
              </w:rPr>
              <w:t>la motivation</w:t>
            </w:r>
          </w:p>
        </w:tc>
        <w:tc>
          <w:tcPr>
            <w:tcW w:w="1707" w:type="dxa"/>
            <w:tcBorders>
              <w:right w:val="single" w:sz="4" w:space="0" w:color="auto"/>
            </w:tcBorders>
            <w:vAlign w:val="center"/>
            <w:hideMark/>
          </w:tcPr>
          <w:p w14:paraId="2D981698" w14:textId="77777777" w:rsidR="00D80693" w:rsidRPr="006C1968" w:rsidRDefault="00D80693" w:rsidP="00D72320">
            <w:pPr>
              <w:jc w:val="both"/>
              <w:rPr>
                <w:b/>
                <w:bCs/>
                <w:sz w:val="24"/>
                <w:szCs w:val="24"/>
                <w:lang w:eastAsia="fr-FR"/>
              </w:rPr>
            </w:pPr>
            <w:bookmarkStart w:id="43" w:name="_Hlk209712993"/>
            <w:r w:rsidRPr="000D2188">
              <w:rPr>
                <w:b/>
                <w:bCs/>
                <w:sz w:val="24"/>
                <w:szCs w:val="24"/>
                <w:lang w:eastAsia="fr-FR"/>
              </w:rPr>
              <w:t>Stratégie d'Apprentissage</w:t>
            </w:r>
            <w:bookmarkEnd w:id="43"/>
          </w:p>
        </w:tc>
        <w:tc>
          <w:tcPr>
            <w:tcW w:w="1160" w:type="dxa"/>
            <w:tcBorders>
              <w:left w:val="single" w:sz="4" w:space="0" w:color="auto"/>
              <w:right w:val="single" w:sz="4" w:space="0" w:color="auto"/>
            </w:tcBorders>
            <w:vAlign w:val="center"/>
            <w:hideMark/>
          </w:tcPr>
          <w:p w14:paraId="3EA78655" w14:textId="77777777" w:rsidR="00D80693" w:rsidRPr="006C1968" w:rsidRDefault="00D80693" w:rsidP="00D72320">
            <w:pPr>
              <w:jc w:val="both"/>
              <w:rPr>
                <w:b/>
                <w:bCs/>
                <w:sz w:val="24"/>
                <w:szCs w:val="24"/>
                <w:lang w:eastAsia="fr-FR"/>
              </w:rPr>
            </w:pPr>
            <w:r w:rsidRPr="006C1968">
              <w:rPr>
                <w:b/>
                <w:bCs/>
                <w:sz w:val="24"/>
                <w:szCs w:val="24"/>
                <w:lang w:eastAsia="fr-FR"/>
              </w:rPr>
              <w:t>Moyenne (M)</w:t>
            </w:r>
          </w:p>
        </w:tc>
        <w:tc>
          <w:tcPr>
            <w:tcW w:w="1094" w:type="dxa"/>
            <w:tcBorders>
              <w:right w:val="single" w:sz="4" w:space="0" w:color="auto"/>
            </w:tcBorders>
            <w:vAlign w:val="center"/>
            <w:hideMark/>
          </w:tcPr>
          <w:p w14:paraId="3BD93ECD" w14:textId="77777777" w:rsidR="00D80693" w:rsidRPr="006C1968" w:rsidRDefault="00D80693" w:rsidP="00D72320">
            <w:pPr>
              <w:jc w:val="both"/>
              <w:rPr>
                <w:b/>
                <w:bCs/>
                <w:sz w:val="24"/>
                <w:szCs w:val="24"/>
                <w:lang w:eastAsia="fr-FR"/>
              </w:rPr>
            </w:pPr>
            <w:r w:rsidRPr="006C1968">
              <w:rPr>
                <w:b/>
                <w:bCs/>
                <w:sz w:val="24"/>
                <w:szCs w:val="24"/>
                <w:lang w:eastAsia="fr-FR"/>
              </w:rPr>
              <w:t>Écart-type (SD)</w:t>
            </w:r>
          </w:p>
        </w:tc>
        <w:tc>
          <w:tcPr>
            <w:tcW w:w="697" w:type="dxa"/>
            <w:vAlign w:val="center"/>
            <w:hideMark/>
          </w:tcPr>
          <w:p w14:paraId="184B02BC" w14:textId="77777777" w:rsidR="00D80693" w:rsidRPr="006C1968" w:rsidRDefault="00D80693" w:rsidP="00D72320">
            <w:pPr>
              <w:jc w:val="both"/>
              <w:rPr>
                <w:b/>
                <w:bCs/>
                <w:sz w:val="24"/>
                <w:szCs w:val="24"/>
                <w:lang w:eastAsia="fr-FR"/>
              </w:rPr>
            </w:pPr>
            <w:proofErr w:type="gramStart"/>
            <w:r w:rsidRPr="006C1968">
              <w:rPr>
                <w:b/>
                <w:bCs/>
                <w:sz w:val="24"/>
                <w:szCs w:val="24"/>
                <w:lang w:eastAsia="fr-FR"/>
              </w:rPr>
              <w:t>t</w:t>
            </w:r>
            <w:proofErr w:type="gramEnd"/>
          </w:p>
        </w:tc>
        <w:tc>
          <w:tcPr>
            <w:tcW w:w="554" w:type="dxa"/>
            <w:gridSpan w:val="2"/>
            <w:tcBorders>
              <w:left w:val="single" w:sz="4" w:space="0" w:color="auto"/>
            </w:tcBorders>
            <w:vAlign w:val="center"/>
            <w:hideMark/>
          </w:tcPr>
          <w:p w14:paraId="10B4ABFC" w14:textId="77777777" w:rsidR="00D80693" w:rsidRPr="006C1968" w:rsidRDefault="00D80693" w:rsidP="00D72320">
            <w:pPr>
              <w:jc w:val="both"/>
              <w:rPr>
                <w:b/>
                <w:bCs/>
                <w:sz w:val="24"/>
                <w:szCs w:val="24"/>
                <w:lang w:eastAsia="fr-FR"/>
              </w:rPr>
            </w:pPr>
            <w:proofErr w:type="gramStart"/>
            <w:r w:rsidRPr="006C1968">
              <w:rPr>
                <w:b/>
                <w:bCs/>
                <w:sz w:val="24"/>
                <w:szCs w:val="24"/>
                <w:lang w:eastAsia="fr-FR"/>
              </w:rPr>
              <w:t>ddl</w:t>
            </w:r>
            <w:proofErr w:type="gramEnd"/>
          </w:p>
        </w:tc>
        <w:tc>
          <w:tcPr>
            <w:tcW w:w="713" w:type="dxa"/>
            <w:vAlign w:val="center"/>
            <w:hideMark/>
          </w:tcPr>
          <w:p w14:paraId="7E36932C" w14:textId="77777777" w:rsidR="00D80693" w:rsidRPr="006C1968" w:rsidRDefault="00D80693" w:rsidP="00D72320">
            <w:pPr>
              <w:jc w:val="both"/>
              <w:rPr>
                <w:b/>
                <w:bCs/>
                <w:sz w:val="24"/>
                <w:szCs w:val="24"/>
                <w:lang w:eastAsia="fr-FR"/>
              </w:rPr>
            </w:pPr>
            <w:proofErr w:type="gramStart"/>
            <w:r w:rsidRPr="006C1968">
              <w:rPr>
                <w:b/>
                <w:bCs/>
                <w:sz w:val="24"/>
                <w:szCs w:val="24"/>
                <w:lang w:eastAsia="fr-FR"/>
              </w:rPr>
              <w:t>p</w:t>
            </w:r>
            <w:proofErr w:type="gramEnd"/>
            <w:r w:rsidRPr="006C1968">
              <w:rPr>
                <w:b/>
                <w:bCs/>
                <w:sz w:val="24"/>
                <w:szCs w:val="24"/>
                <w:lang w:eastAsia="fr-FR"/>
              </w:rPr>
              <w:t xml:space="preserve"> (</w:t>
            </w:r>
            <w:proofErr w:type="spellStart"/>
            <w:r w:rsidRPr="006C1968">
              <w:rPr>
                <w:b/>
                <w:bCs/>
                <w:sz w:val="24"/>
                <w:szCs w:val="24"/>
                <w:lang w:eastAsia="fr-FR"/>
              </w:rPr>
              <w:t>Sig</w:t>
            </w:r>
            <w:proofErr w:type="spellEnd"/>
            <w:r w:rsidRPr="006C1968">
              <w:rPr>
                <w:b/>
                <w:bCs/>
                <w:sz w:val="24"/>
                <w:szCs w:val="24"/>
                <w:lang w:eastAsia="fr-FR"/>
              </w:rPr>
              <w:t>.)</w:t>
            </w:r>
          </w:p>
        </w:tc>
      </w:tr>
      <w:tr w:rsidR="00D80693" w14:paraId="6EB01F90" w14:textId="77777777" w:rsidTr="00D72320">
        <w:trPr>
          <w:gridBefore w:val="1"/>
          <w:wBefore w:w="6" w:type="dxa"/>
          <w:tblCellSpacing w:w="15" w:type="dxa"/>
          <w:jc w:val="center"/>
        </w:trPr>
        <w:tc>
          <w:tcPr>
            <w:tcW w:w="2771" w:type="dxa"/>
            <w:gridSpan w:val="3"/>
            <w:tcBorders>
              <w:left w:val="single" w:sz="4" w:space="0" w:color="auto"/>
              <w:bottom w:val="nil"/>
              <w:right w:val="single" w:sz="4" w:space="0" w:color="auto"/>
            </w:tcBorders>
            <w:vAlign w:val="center"/>
            <w:hideMark/>
          </w:tcPr>
          <w:p w14:paraId="69790DBD" w14:textId="77777777" w:rsidR="00D80693" w:rsidRDefault="00D80693" w:rsidP="00D72320">
            <w:pPr>
              <w:jc w:val="both"/>
              <w:rPr>
                <w:b/>
                <w:bCs/>
                <w:sz w:val="24"/>
                <w:szCs w:val="24"/>
                <w:lang w:eastAsia="fr-FR"/>
              </w:rPr>
            </w:pPr>
          </w:p>
          <w:p w14:paraId="6410F203" w14:textId="77777777" w:rsidR="00D80693" w:rsidRDefault="00D80693" w:rsidP="00D72320">
            <w:pPr>
              <w:jc w:val="both"/>
              <w:rPr>
                <w:b/>
                <w:bCs/>
                <w:sz w:val="24"/>
                <w:szCs w:val="24"/>
                <w:lang w:eastAsia="fr-FR"/>
              </w:rPr>
            </w:pPr>
          </w:p>
          <w:p w14:paraId="79213B92" w14:textId="77777777" w:rsidR="00D80693" w:rsidRDefault="00D80693" w:rsidP="00D72320">
            <w:pPr>
              <w:jc w:val="both"/>
              <w:rPr>
                <w:b/>
                <w:bCs/>
                <w:sz w:val="24"/>
                <w:szCs w:val="24"/>
                <w:lang w:eastAsia="fr-FR"/>
              </w:rPr>
            </w:pPr>
            <w:r>
              <w:rPr>
                <w:b/>
                <w:bCs/>
                <w:sz w:val="24"/>
                <w:szCs w:val="24"/>
                <w:lang w:eastAsia="fr-FR"/>
              </w:rPr>
              <w:t>Intrinsèque</w:t>
            </w:r>
          </w:p>
          <w:p w14:paraId="0AF7521E" w14:textId="77777777" w:rsidR="00D80693" w:rsidRDefault="00D80693" w:rsidP="00D72320">
            <w:pPr>
              <w:jc w:val="both"/>
              <w:rPr>
                <w:b/>
                <w:bCs/>
                <w:sz w:val="24"/>
                <w:szCs w:val="24"/>
                <w:lang w:eastAsia="fr-FR"/>
              </w:rPr>
            </w:pPr>
          </w:p>
          <w:p w14:paraId="4D1608F6" w14:textId="77777777" w:rsidR="00D80693" w:rsidRPr="006C1968" w:rsidRDefault="00D80693" w:rsidP="00D72320">
            <w:pPr>
              <w:jc w:val="both"/>
              <w:rPr>
                <w:sz w:val="24"/>
                <w:szCs w:val="24"/>
                <w:lang w:eastAsia="fr-FR"/>
              </w:rPr>
            </w:pPr>
          </w:p>
        </w:tc>
        <w:tc>
          <w:tcPr>
            <w:tcW w:w="1707" w:type="dxa"/>
            <w:tcBorders>
              <w:right w:val="single" w:sz="4" w:space="0" w:color="auto"/>
            </w:tcBorders>
            <w:vAlign w:val="center"/>
            <w:hideMark/>
          </w:tcPr>
          <w:p w14:paraId="6162AAD2" w14:textId="77777777" w:rsidR="00D80693" w:rsidRPr="006C1968" w:rsidRDefault="00D80693" w:rsidP="00D72320">
            <w:pPr>
              <w:jc w:val="both"/>
              <w:rPr>
                <w:sz w:val="24"/>
                <w:szCs w:val="24"/>
                <w:lang w:eastAsia="fr-FR"/>
              </w:rPr>
            </w:pPr>
          </w:p>
          <w:p w14:paraId="214011E2" w14:textId="77777777" w:rsidR="00D80693" w:rsidRPr="006C1968" w:rsidRDefault="00D80693" w:rsidP="00D72320">
            <w:pPr>
              <w:jc w:val="both"/>
              <w:rPr>
                <w:sz w:val="24"/>
                <w:szCs w:val="24"/>
                <w:lang w:eastAsia="fr-FR"/>
              </w:rPr>
            </w:pPr>
            <w:bookmarkStart w:id="44" w:name="_Hlk209697805"/>
            <w:r w:rsidRPr="006C1968">
              <w:rPr>
                <w:sz w:val="24"/>
                <w:szCs w:val="24"/>
                <w:lang w:eastAsia="fr-FR"/>
              </w:rPr>
              <w:t>Stratégie d'Apprentissage Profonde</w:t>
            </w:r>
          </w:p>
          <w:bookmarkEnd w:id="44"/>
          <w:p w14:paraId="31FACB8B" w14:textId="77777777" w:rsidR="00D80693" w:rsidRPr="006C1968" w:rsidRDefault="00D80693" w:rsidP="00D72320">
            <w:pPr>
              <w:jc w:val="both"/>
              <w:rPr>
                <w:sz w:val="24"/>
                <w:szCs w:val="24"/>
                <w:lang w:eastAsia="fr-FR"/>
              </w:rPr>
            </w:pPr>
          </w:p>
        </w:tc>
        <w:tc>
          <w:tcPr>
            <w:tcW w:w="1160" w:type="dxa"/>
            <w:tcBorders>
              <w:left w:val="single" w:sz="4" w:space="0" w:color="auto"/>
              <w:right w:val="single" w:sz="4" w:space="0" w:color="auto"/>
            </w:tcBorders>
            <w:vAlign w:val="center"/>
            <w:hideMark/>
          </w:tcPr>
          <w:p w14:paraId="7D5F4F10" w14:textId="77777777" w:rsidR="00D80693" w:rsidRPr="006C1968" w:rsidRDefault="00D80693" w:rsidP="00D72320">
            <w:pPr>
              <w:jc w:val="both"/>
              <w:rPr>
                <w:sz w:val="24"/>
                <w:szCs w:val="24"/>
                <w:lang w:eastAsia="fr-FR"/>
              </w:rPr>
            </w:pPr>
            <w:r w:rsidRPr="006C1968">
              <w:rPr>
                <w:sz w:val="24"/>
                <w:szCs w:val="24"/>
                <w:lang w:eastAsia="fr-FR"/>
              </w:rPr>
              <w:t>3,75</w:t>
            </w:r>
          </w:p>
        </w:tc>
        <w:tc>
          <w:tcPr>
            <w:tcW w:w="1094" w:type="dxa"/>
            <w:tcBorders>
              <w:right w:val="single" w:sz="4" w:space="0" w:color="auto"/>
            </w:tcBorders>
            <w:vAlign w:val="center"/>
            <w:hideMark/>
          </w:tcPr>
          <w:p w14:paraId="4C690229" w14:textId="77777777" w:rsidR="00D80693" w:rsidRPr="006C1968" w:rsidRDefault="00D80693" w:rsidP="00D72320">
            <w:pPr>
              <w:jc w:val="both"/>
              <w:rPr>
                <w:sz w:val="24"/>
                <w:szCs w:val="24"/>
                <w:lang w:eastAsia="fr-FR"/>
              </w:rPr>
            </w:pPr>
            <w:r w:rsidRPr="006C1968">
              <w:rPr>
                <w:sz w:val="24"/>
                <w:szCs w:val="24"/>
                <w:lang w:eastAsia="fr-FR"/>
              </w:rPr>
              <w:t>0,72</w:t>
            </w:r>
          </w:p>
        </w:tc>
        <w:tc>
          <w:tcPr>
            <w:tcW w:w="697" w:type="dxa"/>
            <w:vMerge w:val="restart"/>
            <w:vAlign w:val="center"/>
            <w:hideMark/>
          </w:tcPr>
          <w:p w14:paraId="7384C7B7" w14:textId="77777777" w:rsidR="00D80693" w:rsidRPr="006C1968" w:rsidRDefault="00D80693" w:rsidP="00D72320">
            <w:pPr>
              <w:jc w:val="both"/>
              <w:rPr>
                <w:sz w:val="24"/>
                <w:szCs w:val="24"/>
                <w:lang w:eastAsia="fr-FR"/>
              </w:rPr>
            </w:pPr>
            <w:r w:rsidRPr="006C1968">
              <w:rPr>
                <w:sz w:val="24"/>
                <w:szCs w:val="24"/>
                <w:lang w:eastAsia="fr-FR"/>
              </w:rPr>
              <w:t>2,02</w:t>
            </w:r>
          </w:p>
        </w:tc>
        <w:tc>
          <w:tcPr>
            <w:tcW w:w="428" w:type="dxa"/>
            <w:vMerge w:val="restart"/>
            <w:tcBorders>
              <w:left w:val="single" w:sz="4" w:space="0" w:color="auto"/>
            </w:tcBorders>
            <w:vAlign w:val="center"/>
            <w:hideMark/>
          </w:tcPr>
          <w:p w14:paraId="47EEBC1A" w14:textId="77777777" w:rsidR="00D80693" w:rsidRPr="006C1968" w:rsidRDefault="00D80693" w:rsidP="00D72320">
            <w:pPr>
              <w:jc w:val="both"/>
              <w:rPr>
                <w:sz w:val="24"/>
                <w:szCs w:val="24"/>
                <w:lang w:eastAsia="fr-FR"/>
              </w:rPr>
            </w:pPr>
            <w:r w:rsidRPr="006C1968">
              <w:rPr>
                <w:sz w:val="24"/>
                <w:szCs w:val="24"/>
                <w:lang w:eastAsia="fr-FR"/>
              </w:rPr>
              <w:t>9</w:t>
            </w:r>
            <w:r>
              <w:rPr>
                <w:sz w:val="24"/>
                <w:szCs w:val="24"/>
                <w:lang w:eastAsia="fr-FR"/>
              </w:rPr>
              <w:t>0</w:t>
            </w:r>
          </w:p>
        </w:tc>
        <w:tc>
          <w:tcPr>
            <w:tcW w:w="879" w:type="dxa"/>
            <w:gridSpan w:val="3"/>
            <w:vMerge w:val="restart"/>
            <w:vAlign w:val="center"/>
            <w:hideMark/>
          </w:tcPr>
          <w:p w14:paraId="2CB31EC4" w14:textId="77777777" w:rsidR="00D80693" w:rsidRPr="006C1968" w:rsidRDefault="00D80693" w:rsidP="00D72320">
            <w:pPr>
              <w:jc w:val="both"/>
              <w:rPr>
                <w:sz w:val="24"/>
                <w:szCs w:val="24"/>
                <w:lang w:eastAsia="fr-FR"/>
              </w:rPr>
            </w:pPr>
            <w:r w:rsidRPr="006C1968">
              <w:rPr>
                <w:sz w:val="24"/>
                <w:szCs w:val="24"/>
                <w:lang w:eastAsia="fr-FR"/>
              </w:rPr>
              <w:t>0,046*</w:t>
            </w:r>
          </w:p>
        </w:tc>
      </w:tr>
      <w:tr w:rsidR="00D80693" w14:paraId="3851D943" w14:textId="77777777" w:rsidTr="00D72320">
        <w:trPr>
          <w:tblCellSpacing w:w="15" w:type="dxa"/>
          <w:jc w:val="center"/>
        </w:trPr>
        <w:tc>
          <w:tcPr>
            <w:tcW w:w="2807" w:type="dxa"/>
            <w:gridSpan w:val="4"/>
            <w:tcBorders>
              <w:top w:val="nil"/>
              <w:left w:val="single" w:sz="4" w:space="0" w:color="auto"/>
              <w:right w:val="single" w:sz="4" w:space="0" w:color="auto"/>
            </w:tcBorders>
            <w:vAlign w:val="center"/>
            <w:hideMark/>
          </w:tcPr>
          <w:p w14:paraId="75B7D9C2" w14:textId="77777777" w:rsidR="00D80693" w:rsidRPr="006C1968" w:rsidRDefault="00D80693" w:rsidP="00D72320">
            <w:pPr>
              <w:jc w:val="both"/>
              <w:rPr>
                <w:sz w:val="24"/>
                <w:szCs w:val="24"/>
                <w:lang w:eastAsia="fr-FR"/>
              </w:rPr>
            </w:pPr>
          </w:p>
        </w:tc>
        <w:tc>
          <w:tcPr>
            <w:tcW w:w="1707" w:type="dxa"/>
            <w:tcBorders>
              <w:top w:val="single" w:sz="4" w:space="0" w:color="auto"/>
              <w:right w:val="single" w:sz="4" w:space="0" w:color="auto"/>
            </w:tcBorders>
            <w:vAlign w:val="center"/>
            <w:hideMark/>
          </w:tcPr>
          <w:p w14:paraId="2929F0D2" w14:textId="77777777" w:rsidR="00D80693" w:rsidRPr="006C1968" w:rsidRDefault="00D80693" w:rsidP="00D72320">
            <w:pPr>
              <w:jc w:val="both"/>
              <w:rPr>
                <w:sz w:val="24"/>
                <w:szCs w:val="24"/>
                <w:lang w:eastAsia="fr-FR"/>
              </w:rPr>
            </w:pPr>
          </w:p>
          <w:p w14:paraId="4908802E" w14:textId="77777777" w:rsidR="00D80693" w:rsidRPr="006C1968" w:rsidRDefault="00D80693" w:rsidP="00D72320">
            <w:pPr>
              <w:jc w:val="both"/>
              <w:rPr>
                <w:sz w:val="24"/>
                <w:szCs w:val="24"/>
                <w:lang w:eastAsia="fr-FR"/>
              </w:rPr>
            </w:pPr>
            <w:bookmarkStart w:id="45" w:name="_Hlk209697895"/>
            <w:r w:rsidRPr="006C1968">
              <w:rPr>
                <w:sz w:val="24"/>
                <w:szCs w:val="24"/>
                <w:lang w:eastAsia="fr-FR"/>
              </w:rPr>
              <w:t>Stratégie d'Apprentissage Superficielle</w:t>
            </w:r>
          </w:p>
          <w:bookmarkEnd w:id="45"/>
          <w:p w14:paraId="662A4105" w14:textId="77777777" w:rsidR="00D80693" w:rsidRPr="006C1968" w:rsidRDefault="00D80693" w:rsidP="00D72320">
            <w:pPr>
              <w:jc w:val="both"/>
              <w:rPr>
                <w:sz w:val="24"/>
                <w:szCs w:val="24"/>
                <w:lang w:eastAsia="fr-FR"/>
              </w:rPr>
            </w:pPr>
          </w:p>
        </w:tc>
        <w:tc>
          <w:tcPr>
            <w:tcW w:w="1160" w:type="dxa"/>
            <w:tcBorders>
              <w:left w:val="single" w:sz="4" w:space="0" w:color="auto"/>
              <w:right w:val="single" w:sz="4" w:space="0" w:color="auto"/>
            </w:tcBorders>
            <w:vAlign w:val="center"/>
            <w:hideMark/>
          </w:tcPr>
          <w:p w14:paraId="7E0D54A0" w14:textId="77777777" w:rsidR="00D80693" w:rsidRPr="006C1968" w:rsidRDefault="00D80693" w:rsidP="00D72320">
            <w:pPr>
              <w:jc w:val="both"/>
              <w:rPr>
                <w:sz w:val="24"/>
                <w:szCs w:val="24"/>
                <w:lang w:eastAsia="fr-FR"/>
              </w:rPr>
            </w:pPr>
            <w:r w:rsidRPr="006C1968">
              <w:rPr>
                <w:sz w:val="24"/>
                <w:szCs w:val="24"/>
                <w:lang w:eastAsia="fr-FR"/>
              </w:rPr>
              <w:t>3,40</w:t>
            </w:r>
          </w:p>
        </w:tc>
        <w:tc>
          <w:tcPr>
            <w:tcW w:w="1094" w:type="dxa"/>
            <w:tcBorders>
              <w:left w:val="single" w:sz="4" w:space="0" w:color="auto"/>
              <w:bottom w:val="single" w:sz="4" w:space="0" w:color="auto"/>
              <w:right w:val="single" w:sz="4" w:space="0" w:color="auto"/>
            </w:tcBorders>
            <w:vAlign w:val="center"/>
            <w:hideMark/>
          </w:tcPr>
          <w:p w14:paraId="607468F9" w14:textId="77777777" w:rsidR="00D80693" w:rsidRPr="006C1968" w:rsidRDefault="00D80693" w:rsidP="00D72320">
            <w:pPr>
              <w:jc w:val="both"/>
              <w:rPr>
                <w:sz w:val="24"/>
                <w:szCs w:val="24"/>
                <w:lang w:eastAsia="fr-FR"/>
              </w:rPr>
            </w:pPr>
            <w:r w:rsidRPr="006C1968">
              <w:rPr>
                <w:sz w:val="24"/>
                <w:szCs w:val="24"/>
                <w:lang w:eastAsia="fr-FR"/>
              </w:rPr>
              <w:t>0,81</w:t>
            </w:r>
          </w:p>
        </w:tc>
        <w:tc>
          <w:tcPr>
            <w:tcW w:w="697" w:type="dxa"/>
            <w:vMerge/>
            <w:vAlign w:val="center"/>
            <w:hideMark/>
          </w:tcPr>
          <w:p w14:paraId="6CEBF331" w14:textId="77777777" w:rsidR="00D80693" w:rsidRPr="006C1968" w:rsidRDefault="00D80693" w:rsidP="00D72320">
            <w:pPr>
              <w:jc w:val="both"/>
              <w:rPr>
                <w:sz w:val="24"/>
                <w:szCs w:val="24"/>
                <w:lang w:eastAsia="fr-FR"/>
              </w:rPr>
            </w:pPr>
          </w:p>
        </w:tc>
        <w:tc>
          <w:tcPr>
            <w:tcW w:w="428" w:type="dxa"/>
            <w:vMerge/>
            <w:tcBorders>
              <w:left w:val="single" w:sz="4" w:space="0" w:color="auto"/>
            </w:tcBorders>
            <w:vAlign w:val="center"/>
            <w:hideMark/>
          </w:tcPr>
          <w:p w14:paraId="32DD9DBB" w14:textId="77777777" w:rsidR="00D80693" w:rsidRPr="006C1968" w:rsidRDefault="00D80693" w:rsidP="00D72320">
            <w:pPr>
              <w:jc w:val="both"/>
              <w:rPr>
                <w:sz w:val="24"/>
                <w:szCs w:val="24"/>
                <w:lang w:eastAsia="fr-FR"/>
              </w:rPr>
            </w:pPr>
          </w:p>
        </w:tc>
        <w:tc>
          <w:tcPr>
            <w:tcW w:w="879" w:type="dxa"/>
            <w:gridSpan w:val="3"/>
            <w:vMerge/>
            <w:vAlign w:val="center"/>
            <w:hideMark/>
          </w:tcPr>
          <w:p w14:paraId="7AF8DD61" w14:textId="77777777" w:rsidR="00D80693" w:rsidRPr="006C1968" w:rsidRDefault="00D80693" w:rsidP="00D72320">
            <w:pPr>
              <w:jc w:val="both"/>
              <w:rPr>
                <w:sz w:val="24"/>
                <w:szCs w:val="24"/>
                <w:lang w:eastAsia="fr-FR"/>
              </w:rPr>
            </w:pPr>
          </w:p>
        </w:tc>
      </w:tr>
      <w:tr w:rsidR="00D80693" w14:paraId="1B700C3F" w14:textId="77777777" w:rsidTr="00D72320">
        <w:trPr>
          <w:gridBefore w:val="2"/>
          <w:gridAfter w:val="1"/>
          <w:wBefore w:w="49" w:type="dxa"/>
          <w:wAfter w:w="10" w:type="dxa"/>
          <w:tblCellSpacing w:w="15" w:type="dxa"/>
          <w:jc w:val="center"/>
        </w:trPr>
        <w:tc>
          <w:tcPr>
            <w:tcW w:w="2728" w:type="dxa"/>
            <w:gridSpan w:val="2"/>
            <w:tcBorders>
              <w:top w:val="single" w:sz="4" w:space="0" w:color="auto"/>
              <w:left w:val="single" w:sz="4" w:space="0" w:color="auto"/>
              <w:bottom w:val="nil"/>
              <w:right w:val="single" w:sz="4" w:space="0" w:color="auto"/>
            </w:tcBorders>
            <w:vAlign w:val="center"/>
            <w:hideMark/>
          </w:tcPr>
          <w:p w14:paraId="37089F1B" w14:textId="77777777" w:rsidR="00D80693" w:rsidRDefault="00D80693" w:rsidP="00D72320">
            <w:pPr>
              <w:jc w:val="both"/>
              <w:rPr>
                <w:b/>
                <w:bCs/>
                <w:sz w:val="24"/>
                <w:szCs w:val="24"/>
                <w:lang w:eastAsia="fr-FR"/>
              </w:rPr>
            </w:pPr>
            <w:r>
              <w:rPr>
                <w:b/>
                <w:bCs/>
                <w:sz w:val="24"/>
                <w:szCs w:val="24"/>
                <w:lang w:eastAsia="fr-FR"/>
              </w:rPr>
              <w:t>Extrinsèque</w:t>
            </w:r>
          </w:p>
          <w:p w14:paraId="60CC9863" w14:textId="77777777" w:rsidR="00D80693" w:rsidRPr="006C1968" w:rsidRDefault="00D80693" w:rsidP="00D72320">
            <w:pPr>
              <w:jc w:val="both"/>
              <w:rPr>
                <w:sz w:val="24"/>
                <w:szCs w:val="24"/>
                <w:lang w:eastAsia="fr-FR"/>
              </w:rPr>
            </w:pPr>
          </w:p>
        </w:tc>
        <w:tc>
          <w:tcPr>
            <w:tcW w:w="1707" w:type="dxa"/>
            <w:tcBorders>
              <w:top w:val="single" w:sz="4" w:space="0" w:color="auto"/>
              <w:right w:val="single" w:sz="4" w:space="0" w:color="auto"/>
            </w:tcBorders>
            <w:vAlign w:val="center"/>
            <w:hideMark/>
          </w:tcPr>
          <w:p w14:paraId="23FEF60B" w14:textId="77777777" w:rsidR="00D80693" w:rsidRPr="006C1968" w:rsidRDefault="00D80693" w:rsidP="00D72320">
            <w:pPr>
              <w:jc w:val="both"/>
              <w:rPr>
                <w:sz w:val="24"/>
                <w:szCs w:val="24"/>
                <w:lang w:eastAsia="fr-FR"/>
              </w:rPr>
            </w:pPr>
          </w:p>
          <w:p w14:paraId="0731C2F1" w14:textId="77777777" w:rsidR="00D80693" w:rsidRPr="006C1968" w:rsidRDefault="00D80693" w:rsidP="00D72320">
            <w:pPr>
              <w:jc w:val="both"/>
              <w:rPr>
                <w:sz w:val="24"/>
                <w:szCs w:val="24"/>
                <w:lang w:eastAsia="fr-FR"/>
              </w:rPr>
            </w:pPr>
            <w:r w:rsidRPr="006C1968">
              <w:rPr>
                <w:sz w:val="24"/>
                <w:szCs w:val="24"/>
                <w:lang w:eastAsia="fr-FR"/>
              </w:rPr>
              <w:t>Stratégie d'Apprentissage Superficielle</w:t>
            </w:r>
          </w:p>
          <w:p w14:paraId="1B103AD8" w14:textId="77777777" w:rsidR="00D80693" w:rsidRPr="006C1968" w:rsidRDefault="00D80693" w:rsidP="00D72320">
            <w:pPr>
              <w:jc w:val="both"/>
              <w:rPr>
                <w:sz w:val="24"/>
                <w:szCs w:val="24"/>
                <w:lang w:eastAsia="fr-FR"/>
              </w:rPr>
            </w:pPr>
          </w:p>
        </w:tc>
        <w:tc>
          <w:tcPr>
            <w:tcW w:w="1160" w:type="dxa"/>
            <w:tcBorders>
              <w:top w:val="single" w:sz="4" w:space="0" w:color="auto"/>
              <w:left w:val="single" w:sz="4" w:space="0" w:color="auto"/>
              <w:right w:val="single" w:sz="4" w:space="0" w:color="auto"/>
            </w:tcBorders>
            <w:vAlign w:val="center"/>
            <w:hideMark/>
          </w:tcPr>
          <w:p w14:paraId="58AE3926" w14:textId="77777777" w:rsidR="00D80693" w:rsidRPr="006C1968" w:rsidRDefault="00D80693" w:rsidP="00D72320">
            <w:pPr>
              <w:jc w:val="both"/>
              <w:rPr>
                <w:sz w:val="24"/>
                <w:szCs w:val="24"/>
                <w:lang w:eastAsia="fr-FR"/>
              </w:rPr>
            </w:pPr>
            <w:r w:rsidRPr="006C1968">
              <w:rPr>
                <w:sz w:val="24"/>
                <w:szCs w:val="24"/>
                <w:lang w:eastAsia="fr-FR"/>
              </w:rPr>
              <w:t>3,25</w:t>
            </w:r>
          </w:p>
        </w:tc>
        <w:tc>
          <w:tcPr>
            <w:tcW w:w="1094" w:type="dxa"/>
            <w:tcBorders>
              <w:top w:val="single" w:sz="4" w:space="0" w:color="auto"/>
              <w:right w:val="single" w:sz="4" w:space="0" w:color="auto"/>
            </w:tcBorders>
            <w:vAlign w:val="center"/>
            <w:hideMark/>
          </w:tcPr>
          <w:p w14:paraId="2ED347FD" w14:textId="77777777" w:rsidR="00D80693" w:rsidRPr="006C1968" w:rsidRDefault="00D80693" w:rsidP="00D72320">
            <w:pPr>
              <w:jc w:val="both"/>
              <w:rPr>
                <w:sz w:val="24"/>
                <w:szCs w:val="24"/>
                <w:lang w:eastAsia="fr-FR"/>
              </w:rPr>
            </w:pPr>
            <w:r w:rsidRPr="006C1968">
              <w:rPr>
                <w:sz w:val="24"/>
                <w:szCs w:val="24"/>
                <w:lang w:eastAsia="fr-FR"/>
              </w:rPr>
              <w:t>0,77</w:t>
            </w:r>
          </w:p>
        </w:tc>
        <w:tc>
          <w:tcPr>
            <w:tcW w:w="697" w:type="dxa"/>
            <w:vMerge w:val="restart"/>
            <w:tcBorders>
              <w:top w:val="single" w:sz="4" w:space="0" w:color="auto"/>
              <w:bottom w:val="nil"/>
            </w:tcBorders>
            <w:vAlign w:val="center"/>
            <w:hideMark/>
          </w:tcPr>
          <w:p w14:paraId="7A7D7EF0" w14:textId="77777777" w:rsidR="00D80693" w:rsidRDefault="00D80693" w:rsidP="00D72320">
            <w:pPr>
              <w:jc w:val="both"/>
              <w:rPr>
                <w:sz w:val="24"/>
                <w:szCs w:val="24"/>
                <w:lang w:eastAsia="fr-FR"/>
              </w:rPr>
            </w:pPr>
          </w:p>
          <w:p w14:paraId="3B7BA8B6" w14:textId="77777777" w:rsidR="00D80693" w:rsidRPr="006C1968" w:rsidRDefault="00D80693" w:rsidP="00D72320">
            <w:pPr>
              <w:jc w:val="both"/>
              <w:rPr>
                <w:sz w:val="24"/>
                <w:szCs w:val="24"/>
                <w:lang w:eastAsia="fr-FR"/>
              </w:rPr>
            </w:pPr>
            <w:r w:rsidRPr="006C1968">
              <w:rPr>
                <w:sz w:val="24"/>
                <w:szCs w:val="24"/>
                <w:lang w:eastAsia="fr-FR"/>
              </w:rPr>
              <w:t>1,89</w:t>
            </w:r>
          </w:p>
        </w:tc>
        <w:tc>
          <w:tcPr>
            <w:tcW w:w="554" w:type="dxa"/>
            <w:gridSpan w:val="2"/>
            <w:tcBorders>
              <w:top w:val="single" w:sz="4" w:space="0" w:color="auto"/>
              <w:left w:val="single" w:sz="4" w:space="0" w:color="auto"/>
              <w:bottom w:val="nil"/>
            </w:tcBorders>
            <w:vAlign w:val="center"/>
            <w:hideMark/>
          </w:tcPr>
          <w:p w14:paraId="12041AC6" w14:textId="77777777" w:rsidR="00D80693" w:rsidRDefault="00D80693" w:rsidP="00D72320">
            <w:pPr>
              <w:jc w:val="both"/>
              <w:rPr>
                <w:sz w:val="24"/>
                <w:szCs w:val="24"/>
                <w:lang w:eastAsia="fr-FR"/>
              </w:rPr>
            </w:pPr>
          </w:p>
          <w:p w14:paraId="4283CA70" w14:textId="77777777" w:rsidR="00D80693" w:rsidRDefault="00D80693" w:rsidP="00D72320">
            <w:pPr>
              <w:jc w:val="both"/>
              <w:rPr>
                <w:sz w:val="24"/>
                <w:szCs w:val="24"/>
                <w:lang w:eastAsia="fr-FR"/>
              </w:rPr>
            </w:pPr>
          </w:p>
          <w:p w14:paraId="54FA007B" w14:textId="77777777" w:rsidR="00D80693" w:rsidRDefault="00D80693" w:rsidP="00D72320">
            <w:pPr>
              <w:jc w:val="both"/>
              <w:rPr>
                <w:sz w:val="24"/>
                <w:szCs w:val="24"/>
                <w:lang w:eastAsia="fr-FR"/>
              </w:rPr>
            </w:pPr>
          </w:p>
          <w:p w14:paraId="15F147B4" w14:textId="77777777" w:rsidR="00D80693" w:rsidRDefault="00D80693" w:rsidP="00D72320">
            <w:pPr>
              <w:jc w:val="both"/>
              <w:rPr>
                <w:sz w:val="24"/>
                <w:szCs w:val="24"/>
                <w:lang w:eastAsia="fr-FR"/>
              </w:rPr>
            </w:pPr>
          </w:p>
          <w:p w14:paraId="64586FC6" w14:textId="77777777" w:rsidR="00D80693" w:rsidRPr="006C1968" w:rsidRDefault="00D80693" w:rsidP="00D72320">
            <w:pPr>
              <w:jc w:val="both"/>
              <w:rPr>
                <w:sz w:val="24"/>
                <w:szCs w:val="24"/>
                <w:lang w:eastAsia="fr-FR"/>
              </w:rPr>
            </w:pPr>
            <w:r w:rsidRPr="006C1968">
              <w:rPr>
                <w:sz w:val="24"/>
                <w:szCs w:val="24"/>
                <w:lang w:eastAsia="fr-FR"/>
              </w:rPr>
              <w:t>9</w:t>
            </w:r>
            <w:r>
              <w:rPr>
                <w:sz w:val="24"/>
                <w:szCs w:val="24"/>
                <w:lang w:eastAsia="fr-FR"/>
              </w:rPr>
              <w:t>0</w:t>
            </w:r>
          </w:p>
        </w:tc>
        <w:tc>
          <w:tcPr>
            <w:tcW w:w="713" w:type="dxa"/>
            <w:tcBorders>
              <w:top w:val="single" w:sz="4" w:space="0" w:color="auto"/>
              <w:bottom w:val="nil"/>
            </w:tcBorders>
            <w:vAlign w:val="center"/>
            <w:hideMark/>
          </w:tcPr>
          <w:p w14:paraId="2FC4DF4A" w14:textId="77777777" w:rsidR="00D80693" w:rsidRDefault="00D80693" w:rsidP="00D72320">
            <w:pPr>
              <w:jc w:val="both"/>
              <w:rPr>
                <w:sz w:val="24"/>
                <w:szCs w:val="24"/>
                <w:lang w:eastAsia="fr-FR"/>
              </w:rPr>
            </w:pPr>
            <w:r>
              <w:rPr>
                <w:sz w:val="24"/>
                <w:szCs w:val="24"/>
                <w:lang w:eastAsia="fr-FR"/>
              </w:rPr>
              <w:t xml:space="preserve">  </w:t>
            </w:r>
          </w:p>
          <w:p w14:paraId="2EB6E3FD" w14:textId="77777777" w:rsidR="00D80693" w:rsidRDefault="00D80693" w:rsidP="00D72320">
            <w:pPr>
              <w:jc w:val="both"/>
              <w:rPr>
                <w:sz w:val="24"/>
                <w:szCs w:val="24"/>
                <w:lang w:eastAsia="fr-FR"/>
              </w:rPr>
            </w:pPr>
          </w:p>
          <w:p w14:paraId="39552D0A" w14:textId="77777777" w:rsidR="00D80693" w:rsidRDefault="00D80693" w:rsidP="00D72320">
            <w:pPr>
              <w:jc w:val="both"/>
              <w:rPr>
                <w:sz w:val="24"/>
                <w:szCs w:val="24"/>
                <w:lang w:eastAsia="fr-FR"/>
              </w:rPr>
            </w:pPr>
          </w:p>
          <w:p w14:paraId="13ADA117" w14:textId="77777777" w:rsidR="00D80693" w:rsidRDefault="00D80693" w:rsidP="00D72320">
            <w:pPr>
              <w:jc w:val="both"/>
              <w:rPr>
                <w:sz w:val="24"/>
                <w:szCs w:val="24"/>
                <w:lang w:eastAsia="fr-FR"/>
              </w:rPr>
            </w:pPr>
          </w:p>
          <w:p w14:paraId="0709BBA3" w14:textId="77777777" w:rsidR="00D80693" w:rsidRPr="006C1968" w:rsidRDefault="00D80693" w:rsidP="00D72320">
            <w:pPr>
              <w:jc w:val="both"/>
              <w:rPr>
                <w:sz w:val="24"/>
                <w:szCs w:val="24"/>
                <w:lang w:eastAsia="fr-FR"/>
              </w:rPr>
            </w:pPr>
            <w:r w:rsidRPr="006C1968">
              <w:rPr>
                <w:sz w:val="24"/>
                <w:szCs w:val="24"/>
                <w:lang w:eastAsia="fr-FR"/>
              </w:rPr>
              <w:t>0,062</w:t>
            </w:r>
          </w:p>
        </w:tc>
      </w:tr>
      <w:tr w:rsidR="00D80693" w14:paraId="3F863F76" w14:textId="77777777" w:rsidTr="00D72320">
        <w:trPr>
          <w:gridAfter w:val="1"/>
          <w:wAfter w:w="10" w:type="dxa"/>
          <w:tblCellSpacing w:w="15" w:type="dxa"/>
          <w:jc w:val="center"/>
        </w:trPr>
        <w:tc>
          <w:tcPr>
            <w:tcW w:w="79" w:type="dxa"/>
            <w:gridSpan w:val="3"/>
            <w:tcBorders>
              <w:bottom w:val="single" w:sz="4" w:space="0" w:color="auto"/>
              <w:right w:val="single" w:sz="4" w:space="0" w:color="auto"/>
            </w:tcBorders>
            <w:vAlign w:val="center"/>
            <w:hideMark/>
          </w:tcPr>
          <w:p w14:paraId="349290EC" w14:textId="77777777" w:rsidR="00D80693" w:rsidRPr="006C1968" w:rsidRDefault="00D80693" w:rsidP="00D72320">
            <w:pPr>
              <w:jc w:val="both"/>
              <w:rPr>
                <w:sz w:val="24"/>
                <w:szCs w:val="24"/>
                <w:lang w:eastAsia="fr-FR"/>
              </w:rPr>
            </w:pPr>
          </w:p>
        </w:tc>
        <w:tc>
          <w:tcPr>
            <w:tcW w:w="2698" w:type="dxa"/>
            <w:tcBorders>
              <w:top w:val="nil"/>
              <w:left w:val="single" w:sz="4" w:space="0" w:color="auto"/>
              <w:bottom w:val="single" w:sz="4" w:space="0" w:color="auto"/>
              <w:right w:val="single" w:sz="4" w:space="0" w:color="auto"/>
            </w:tcBorders>
            <w:vAlign w:val="center"/>
          </w:tcPr>
          <w:p w14:paraId="75CE84DF" w14:textId="77777777" w:rsidR="00D80693" w:rsidRPr="006C1968" w:rsidRDefault="00D80693" w:rsidP="00D72320">
            <w:pPr>
              <w:jc w:val="both"/>
              <w:rPr>
                <w:sz w:val="24"/>
                <w:szCs w:val="24"/>
                <w:lang w:eastAsia="fr-FR"/>
              </w:rPr>
            </w:pPr>
          </w:p>
        </w:tc>
        <w:tc>
          <w:tcPr>
            <w:tcW w:w="1707" w:type="dxa"/>
            <w:tcBorders>
              <w:top w:val="single" w:sz="4" w:space="0" w:color="auto"/>
              <w:bottom w:val="single" w:sz="4" w:space="0" w:color="auto"/>
              <w:right w:val="single" w:sz="4" w:space="0" w:color="auto"/>
            </w:tcBorders>
            <w:vAlign w:val="center"/>
            <w:hideMark/>
          </w:tcPr>
          <w:p w14:paraId="0ECC68BC" w14:textId="77777777" w:rsidR="00D80693" w:rsidRPr="006C1968" w:rsidRDefault="00D80693" w:rsidP="00D72320">
            <w:pPr>
              <w:jc w:val="both"/>
              <w:rPr>
                <w:sz w:val="24"/>
                <w:szCs w:val="24"/>
                <w:lang w:eastAsia="fr-FR"/>
              </w:rPr>
            </w:pPr>
            <w:r w:rsidRPr="006C1968">
              <w:rPr>
                <w:sz w:val="24"/>
                <w:szCs w:val="24"/>
                <w:lang w:eastAsia="fr-FR"/>
              </w:rPr>
              <w:t xml:space="preserve">Stratégie d'Apprentissage </w:t>
            </w:r>
            <w:r>
              <w:rPr>
                <w:sz w:val="24"/>
                <w:szCs w:val="24"/>
                <w:lang w:eastAsia="fr-FR"/>
              </w:rPr>
              <w:t>P</w:t>
            </w:r>
            <w:r w:rsidRPr="006C1968">
              <w:rPr>
                <w:sz w:val="24"/>
                <w:szCs w:val="24"/>
                <w:lang w:eastAsia="fr-FR"/>
              </w:rPr>
              <w:t>rofonde</w:t>
            </w:r>
          </w:p>
          <w:p w14:paraId="52DAA261" w14:textId="77777777" w:rsidR="00D80693" w:rsidRPr="006C1968" w:rsidRDefault="00D80693" w:rsidP="00D72320">
            <w:pPr>
              <w:jc w:val="both"/>
              <w:rPr>
                <w:sz w:val="24"/>
                <w:szCs w:val="24"/>
                <w:lang w:eastAsia="fr-FR"/>
              </w:rPr>
            </w:pPr>
          </w:p>
        </w:tc>
        <w:tc>
          <w:tcPr>
            <w:tcW w:w="1160" w:type="dxa"/>
            <w:tcBorders>
              <w:left w:val="single" w:sz="4" w:space="0" w:color="auto"/>
              <w:bottom w:val="single" w:sz="4" w:space="0" w:color="auto"/>
              <w:right w:val="single" w:sz="4" w:space="0" w:color="auto"/>
            </w:tcBorders>
            <w:vAlign w:val="center"/>
            <w:hideMark/>
          </w:tcPr>
          <w:p w14:paraId="289431EA" w14:textId="77777777" w:rsidR="00D80693" w:rsidRPr="006C1968" w:rsidRDefault="00D80693" w:rsidP="00D72320">
            <w:pPr>
              <w:jc w:val="both"/>
              <w:rPr>
                <w:sz w:val="24"/>
                <w:szCs w:val="24"/>
                <w:lang w:eastAsia="fr-FR"/>
              </w:rPr>
            </w:pPr>
            <w:r w:rsidRPr="006C1968">
              <w:rPr>
                <w:sz w:val="24"/>
                <w:szCs w:val="24"/>
                <w:lang w:eastAsia="fr-FR"/>
              </w:rPr>
              <w:t>3,05</w:t>
            </w:r>
          </w:p>
        </w:tc>
        <w:tc>
          <w:tcPr>
            <w:tcW w:w="1094" w:type="dxa"/>
            <w:tcBorders>
              <w:bottom w:val="single" w:sz="4" w:space="0" w:color="auto"/>
              <w:right w:val="single" w:sz="4" w:space="0" w:color="auto"/>
            </w:tcBorders>
            <w:vAlign w:val="center"/>
            <w:hideMark/>
          </w:tcPr>
          <w:p w14:paraId="584BAD35" w14:textId="77777777" w:rsidR="00D80693" w:rsidRPr="006C1968" w:rsidRDefault="00D80693" w:rsidP="00D72320">
            <w:pPr>
              <w:jc w:val="both"/>
              <w:rPr>
                <w:sz w:val="24"/>
                <w:szCs w:val="24"/>
                <w:lang w:eastAsia="fr-FR"/>
              </w:rPr>
            </w:pPr>
            <w:r w:rsidRPr="006C1968">
              <w:rPr>
                <w:sz w:val="24"/>
                <w:szCs w:val="24"/>
                <w:lang w:eastAsia="fr-FR"/>
              </w:rPr>
              <w:t>0,85</w:t>
            </w:r>
          </w:p>
        </w:tc>
        <w:tc>
          <w:tcPr>
            <w:tcW w:w="697" w:type="dxa"/>
            <w:vMerge/>
            <w:tcBorders>
              <w:top w:val="nil"/>
              <w:bottom w:val="single" w:sz="4" w:space="0" w:color="auto"/>
            </w:tcBorders>
            <w:vAlign w:val="center"/>
            <w:hideMark/>
          </w:tcPr>
          <w:p w14:paraId="6A40A3DE" w14:textId="77777777" w:rsidR="00D80693" w:rsidRPr="006C1968" w:rsidRDefault="00D80693" w:rsidP="00D72320">
            <w:pPr>
              <w:jc w:val="both"/>
              <w:rPr>
                <w:sz w:val="24"/>
                <w:szCs w:val="24"/>
                <w:lang w:eastAsia="fr-FR"/>
              </w:rPr>
            </w:pPr>
          </w:p>
        </w:tc>
        <w:tc>
          <w:tcPr>
            <w:tcW w:w="428" w:type="dxa"/>
            <w:tcBorders>
              <w:top w:val="nil"/>
              <w:left w:val="single" w:sz="4" w:space="0" w:color="auto"/>
              <w:bottom w:val="single" w:sz="4" w:space="0" w:color="auto"/>
            </w:tcBorders>
            <w:vAlign w:val="center"/>
            <w:hideMark/>
          </w:tcPr>
          <w:p w14:paraId="4CDB5EC7" w14:textId="77777777" w:rsidR="00D80693" w:rsidRPr="006C1968" w:rsidRDefault="00D80693" w:rsidP="00D72320">
            <w:pPr>
              <w:jc w:val="both"/>
              <w:rPr>
                <w:sz w:val="24"/>
                <w:szCs w:val="24"/>
                <w:lang w:eastAsia="fr-FR"/>
              </w:rPr>
            </w:pPr>
          </w:p>
        </w:tc>
        <w:tc>
          <w:tcPr>
            <w:tcW w:w="839" w:type="dxa"/>
            <w:gridSpan w:val="2"/>
            <w:tcBorders>
              <w:top w:val="nil"/>
              <w:bottom w:val="single" w:sz="4" w:space="0" w:color="auto"/>
            </w:tcBorders>
            <w:vAlign w:val="center"/>
            <w:hideMark/>
          </w:tcPr>
          <w:p w14:paraId="16CFDE0C" w14:textId="77777777" w:rsidR="00D80693" w:rsidRPr="006C1968" w:rsidRDefault="00D80693" w:rsidP="00D72320">
            <w:pPr>
              <w:jc w:val="both"/>
              <w:rPr>
                <w:sz w:val="24"/>
                <w:szCs w:val="24"/>
                <w:lang w:eastAsia="fr-FR"/>
              </w:rPr>
            </w:pPr>
          </w:p>
        </w:tc>
      </w:tr>
    </w:tbl>
    <w:p w14:paraId="1C3D6830" w14:textId="77777777" w:rsidR="00D80693" w:rsidRDefault="00D80693" w:rsidP="00D80693">
      <w:pPr>
        <w:spacing w:before="50" w:after="50"/>
        <w:jc w:val="both"/>
        <w:rPr>
          <w:rFonts w:eastAsia="Calibri"/>
          <w:sz w:val="24"/>
          <w:szCs w:val="24"/>
        </w:rPr>
      </w:pPr>
      <w:r>
        <w:rPr>
          <w:sz w:val="24"/>
          <w:szCs w:val="24"/>
        </w:rPr>
        <w:t xml:space="preserve">                Source : Enquête, Aké et Kanga, 2025</w:t>
      </w:r>
    </w:p>
    <w:p w14:paraId="00B04E21" w14:textId="77777777" w:rsidR="00D80693" w:rsidRPr="000D2188" w:rsidRDefault="00D80693" w:rsidP="00D80693">
      <w:pPr>
        <w:tabs>
          <w:tab w:val="left" w:pos="1560"/>
        </w:tabs>
        <w:spacing w:before="50" w:after="50"/>
        <w:jc w:val="both"/>
        <w:rPr>
          <w:rFonts w:eastAsia="Calibri"/>
          <w:sz w:val="24"/>
          <w:szCs w:val="24"/>
        </w:rPr>
      </w:pPr>
      <w:r w:rsidRPr="000D2188">
        <w:rPr>
          <w:sz w:val="24"/>
          <w:szCs w:val="24"/>
        </w:rPr>
        <w:t>Ce tableau montre l’influence des politiques de</w:t>
      </w:r>
      <w:r w:rsidRPr="009B2375">
        <w:rPr>
          <w:sz w:val="24"/>
          <w:szCs w:val="24"/>
        </w:rPr>
        <w:t>s</w:t>
      </w:r>
      <w:r w:rsidRPr="000D2188">
        <w:rPr>
          <w:sz w:val="24"/>
          <w:szCs w:val="24"/>
        </w:rPr>
        <w:t xml:space="preserve"> </w:t>
      </w:r>
      <w:r w:rsidRPr="009B2375">
        <w:rPr>
          <w:sz w:val="24"/>
          <w:szCs w:val="24"/>
        </w:rPr>
        <w:t>stratégie d'apprentissage</w:t>
      </w:r>
      <w:r w:rsidRPr="000D2188">
        <w:rPr>
          <w:sz w:val="24"/>
          <w:szCs w:val="24"/>
        </w:rPr>
        <w:t>.</w:t>
      </w:r>
    </w:p>
    <w:p w14:paraId="06B204C2" w14:textId="77777777" w:rsidR="00D80693" w:rsidRDefault="00D80693" w:rsidP="00D80693">
      <w:pPr>
        <w:tabs>
          <w:tab w:val="left" w:pos="1560"/>
        </w:tabs>
        <w:spacing w:before="50" w:after="50"/>
        <w:jc w:val="both"/>
        <w:rPr>
          <w:rFonts w:eastAsia="Calibri"/>
          <w:sz w:val="24"/>
          <w:szCs w:val="24"/>
        </w:rPr>
      </w:pPr>
      <w:r w:rsidRPr="009B2375">
        <w:rPr>
          <w:sz w:val="24"/>
          <w:szCs w:val="24"/>
        </w:rPr>
        <w:t>Motivation intrinsèque (</w:t>
      </w:r>
      <w:r w:rsidRPr="000D2188">
        <w:rPr>
          <w:sz w:val="24"/>
          <w:szCs w:val="24"/>
        </w:rPr>
        <w:t>p = 0,046 &lt; 0,05) : différence significative</w:t>
      </w:r>
      <w:r>
        <w:rPr>
          <w:sz w:val="24"/>
          <w:szCs w:val="24"/>
        </w:rPr>
        <w:t xml:space="preserve"> </w:t>
      </w:r>
    </w:p>
    <w:p w14:paraId="766D45DD" w14:textId="77777777" w:rsidR="00D80693" w:rsidRPr="006C1968" w:rsidRDefault="00D80693" w:rsidP="00D80693">
      <w:pPr>
        <w:tabs>
          <w:tab w:val="left" w:pos="1560"/>
        </w:tabs>
        <w:spacing w:before="50" w:after="50"/>
        <w:jc w:val="both"/>
        <w:rPr>
          <w:rFonts w:eastAsia="Calibri"/>
          <w:sz w:val="24"/>
          <w:szCs w:val="24"/>
        </w:rPr>
      </w:pPr>
      <w:r w:rsidRPr="000D2188">
        <w:rPr>
          <w:sz w:val="24"/>
          <w:szCs w:val="24"/>
        </w:rPr>
        <w:t xml:space="preserve">Les </w:t>
      </w:r>
      <w:r w:rsidRPr="009B2375">
        <w:rPr>
          <w:sz w:val="24"/>
          <w:szCs w:val="24"/>
        </w:rPr>
        <w:t>étudiants</w:t>
      </w:r>
      <w:r w:rsidRPr="000D2188">
        <w:rPr>
          <w:sz w:val="24"/>
          <w:szCs w:val="24"/>
        </w:rPr>
        <w:t xml:space="preserve"> bénéficiant de bonnes </w:t>
      </w:r>
      <w:r w:rsidRPr="006C1968">
        <w:rPr>
          <w:sz w:val="24"/>
          <w:szCs w:val="24"/>
        </w:rPr>
        <w:t>Stratégie d'</w:t>
      </w:r>
      <w:r w:rsidRPr="009B2375">
        <w:rPr>
          <w:sz w:val="24"/>
          <w:szCs w:val="24"/>
        </w:rPr>
        <w:t>a</w:t>
      </w:r>
      <w:r w:rsidRPr="006C1968">
        <w:rPr>
          <w:sz w:val="24"/>
          <w:szCs w:val="24"/>
        </w:rPr>
        <w:t xml:space="preserve">pprentissage </w:t>
      </w:r>
      <w:r w:rsidRPr="009B2375">
        <w:rPr>
          <w:sz w:val="24"/>
          <w:szCs w:val="24"/>
        </w:rPr>
        <w:t>p</w:t>
      </w:r>
      <w:r w:rsidRPr="006C1968">
        <w:rPr>
          <w:sz w:val="24"/>
          <w:szCs w:val="24"/>
        </w:rPr>
        <w:t>rofonde</w:t>
      </w:r>
      <w:r w:rsidRPr="009B2375">
        <w:rPr>
          <w:sz w:val="24"/>
          <w:szCs w:val="24"/>
        </w:rPr>
        <w:t xml:space="preserve"> que ceux adoptant des stratégies</w:t>
      </w:r>
      <w:r w:rsidRPr="006C1968">
        <w:rPr>
          <w:sz w:val="24"/>
          <w:szCs w:val="24"/>
        </w:rPr>
        <w:t xml:space="preserve"> d'</w:t>
      </w:r>
      <w:r w:rsidRPr="009B2375">
        <w:rPr>
          <w:sz w:val="24"/>
          <w:szCs w:val="24"/>
        </w:rPr>
        <w:t>a</w:t>
      </w:r>
      <w:r w:rsidRPr="006C1968">
        <w:rPr>
          <w:sz w:val="24"/>
          <w:szCs w:val="24"/>
        </w:rPr>
        <w:t xml:space="preserve">pprentissage </w:t>
      </w:r>
      <w:r w:rsidRPr="009B2375">
        <w:rPr>
          <w:sz w:val="24"/>
          <w:szCs w:val="24"/>
        </w:rPr>
        <w:t xml:space="preserve">superficielle, </w:t>
      </w:r>
    </w:p>
    <w:p w14:paraId="591E2E40" w14:textId="77777777" w:rsidR="00D80693" w:rsidRDefault="00D80693" w:rsidP="00D80693">
      <w:pPr>
        <w:tabs>
          <w:tab w:val="left" w:pos="1560"/>
        </w:tabs>
        <w:spacing w:before="50" w:after="50"/>
        <w:jc w:val="both"/>
        <w:rPr>
          <w:rFonts w:eastAsia="Calibri"/>
          <w:sz w:val="24"/>
          <w:szCs w:val="24"/>
        </w:rPr>
      </w:pPr>
      <w:r w:rsidRPr="009B2375">
        <w:rPr>
          <w:sz w:val="24"/>
          <w:szCs w:val="24"/>
        </w:rPr>
        <w:t>Autrement dit, il existe une différence significative entre les groupes ayant une motivation intrinsèque et extrinsèque en ce qui concerne les stratégies d'apprentissage.</w:t>
      </w:r>
    </w:p>
    <w:p w14:paraId="5B549BA1" w14:textId="77777777" w:rsidR="00D80693" w:rsidRPr="000D2188" w:rsidRDefault="00D80693" w:rsidP="00D80693">
      <w:pPr>
        <w:tabs>
          <w:tab w:val="left" w:pos="1560"/>
        </w:tabs>
        <w:spacing w:before="50" w:after="50"/>
        <w:jc w:val="both"/>
        <w:rPr>
          <w:rFonts w:eastAsia="Calibri"/>
          <w:sz w:val="24"/>
          <w:szCs w:val="24"/>
        </w:rPr>
      </w:pPr>
      <w:r w:rsidRPr="009B2375">
        <w:rPr>
          <w:sz w:val="24"/>
          <w:szCs w:val="24"/>
        </w:rPr>
        <w:t xml:space="preserve">Motivation extrinsèque </w:t>
      </w:r>
      <w:r w:rsidRPr="000D2188">
        <w:rPr>
          <w:sz w:val="24"/>
          <w:szCs w:val="24"/>
        </w:rPr>
        <w:t>(p = 0,062 &gt; 0,05) : pas de différence significative</w:t>
      </w:r>
    </w:p>
    <w:p w14:paraId="57E34488" w14:textId="77777777" w:rsidR="00D80693" w:rsidRDefault="00D80693" w:rsidP="00D80693">
      <w:pPr>
        <w:tabs>
          <w:tab w:val="left" w:pos="1560"/>
        </w:tabs>
        <w:spacing w:before="50" w:after="50"/>
        <w:jc w:val="both"/>
        <w:rPr>
          <w:rFonts w:eastAsia="Calibri"/>
          <w:sz w:val="24"/>
          <w:szCs w:val="24"/>
        </w:rPr>
      </w:pPr>
      <w:r w:rsidRPr="009B2375">
        <w:rPr>
          <w:sz w:val="24"/>
          <w:szCs w:val="24"/>
        </w:rPr>
        <w:t>Les étudiants ont moins</w:t>
      </w:r>
      <w:r>
        <w:rPr>
          <w:sz w:val="24"/>
          <w:szCs w:val="24"/>
        </w:rPr>
        <w:t xml:space="preserve"> une chance</w:t>
      </w:r>
      <w:r w:rsidRPr="009B2375">
        <w:rPr>
          <w:sz w:val="24"/>
          <w:szCs w:val="24"/>
        </w:rPr>
        <w:t xml:space="preserve"> d’avoir de bonnes performances académiques en adoptant des stratégies superficielles.</w:t>
      </w:r>
    </w:p>
    <w:p w14:paraId="44C8F577" w14:textId="77777777" w:rsidR="00D80693" w:rsidRPr="007E3E4A" w:rsidRDefault="00D80693" w:rsidP="00D80693">
      <w:pPr>
        <w:tabs>
          <w:tab w:val="left" w:pos="1560"/>
        </w:tabs>
        <w:spacing w:before="50" w:after="50"/>
        <w:jc w:val="both"/>
        <w:rPr>
          <w:rFonts w:eastAsia="Calibri"/>
          <w:sz w:val="24"/>
          <w:szCs w:val="24"/>
        </w:rPr>
      </w:pPr>
      <w:r w:rsidRPr="00587BAB">
        <w:rPr>
          <w:sz w:val="24"/>
          <w:szCs w:val="24"/>
        </w:rPr>
        <w:t xml:space="preserve">La motivation </w:t>
      </w:r>
      <w:r>
        <w:rPr>
          <w:sz w:val="24"/>
          <w:szCs w:val="24"/>
        </w:rPr>
        <w:t>n’</w:t>
      </w:r>
      <w:r w:rsidRPr="00587BAB">
        <w:rPr>
          <w:sz w:val="24"/>
          <w:szCs w:val="24"/>
        </w:rPr>
        <w:t xml:space="preserve">a </w:t>
      </w:r>
      <w:r>
        <w:rPr>
          <w:sz w:val="24"/>
          <w:szCs w:val="24"/>
        </w:rPr>
        <w:t xml:space="preserve">pas véritablement </w:t>
      </w:r>
      <w:r w:rsidRPr="00587BAB">
        <w:rPr>
          <w:sz w:val="24"/>
          <w:szCs w:val="24"/>
        </w:rPr>
        <w:t>une importance capitale sur le choix des stratégies d'apprentissage à adopter.</w:t>
      </w:r>
    </w:p>
    <w:p w14:paraId="6C7DAAD2" w14:textId="77777777" w:rsidR="00D80693" w:rsidRDefault="00D80693" w:rsidP="00D80693">
      <w:pPr>
        <w:tabs>
          <w:tab w:val="left" w:pos="1560"/>
        </w:tabs>
        <w:spacing w:before="50" w:after="50"/>
        <w:jc w:val="both"/>
        <w:rPr>
          <w:rFonts w:eastAsia="Calibri"/>
          <w:sz w:val="24"/>
          <w:szCs w:val="24"/>
        </w:rPr>
      </w:pPr>
      <w:r w:rsidRPr="00436FC4">
        <w:rPr>
          <w:sz w:val="24"/>
          <w:szCs w:val="24"/>
        </w:rPr>
        <w:t>Conclusion : Ho3 est rejetée, car la valeur de p = 0,046 &lt; 0,05. Cela signifie qu’il existe une différence significative entre les étudiants ayant une motivation intrinsèque et extrinsèque en ce qui concerne les stratégies d'apprentissage employées.</w:t>
      </w:r>
    </w:p>
    <w:p w14:paraId="3627CDC2" w14:textId="7E7D3E56" w:rsidR="00D80693" w:rsidRPr="00F7141B" w:rsidRDefault="00D80693" w:rsidP="00BD3B47">
      <w:pPr>
        <w:pStyle w:val="Paragraphedeliste"/>
        <w:widowControl/>
        <w:numPr>
          <w:ilvl w:val="0"/>
          <w:numId w:val="222"/>
        </w:numPr>
        <w:tabs>
          <w:tab w:val="left" w:pos="1560"/>
        </w:tabs>
        <w:autoSpaceDE/>
        <w:autoSpaceDN/>
        <w:spacing w:before="50" w:after="50"/>
        <w:contextualSpacing/>
        <w:rPr>
          <w:rFonts w:eastAsia="Calibri"/>
          <w:b/>
          <w:bCs/>
          <w:sz w:val="28"/>
          <w:szCs w:val="28"/>
        </w:rPr>
      </w:pPr>
      <w:r w:rsidRPr="00F7141B">
        <w:rPr>
          <w:b/>
          <w:bCs/>
          <w:sz w:val="28"/>
          <w:szCs w:val="28"/>
        </w:rPr>
        <w:t>Discussion</w:t>
      </w:r>
    </w:p>
    <w:p w14:paraId="0D4AE239" w14:textId="77777777" w:rsidR="00D80693" w:rsidRPr="005B09D0" w:rsidRDefault="00D80693" w:rsidP="00D80693">
      <w:pPr>
        <w:tabs>
          <w:tab w:val="left" w:pos="1560"/>
        </w:tabs>
        <w:spacing w:before="50" w:after="50"/>
        <w:jc w:val="both"/>
        <w:rPr>
          <w:rFonts w:eastAsia="Calibri"/>
          <w:sz w:val="24"/>
          <w:szCs w:val="24"/>
        </w:rPr>
      </w:pPr>
      <w:r w:rsidRPr="005B09D0">
        <w:rPr>
          <w:sz w:val="24"/>
          <w:szCs w:val="24"/>
        </w:rPr>
        <w:t>L’hypothèse selon laquelle les étudiants de l’EAA présentent de meilleures</w:t>
      </w:r>
      <w:r>
        <w:rPr>
          <w:sz w:val="24"/>
          <w:szCs w:val="24"/>
        </w:rPr>
        <w:t xml:space="preserve"> </w:t>
      </w:r>
      <w:r w:rsidRPr="005B09D0">
        <w:rPr>
          <w:sz w:val="24"/>
          <w:szCs w:val="24"/>
        </w:rPr>
        <w:t xml:space="preserve">performances académiques que leurs </w:t>
      </w:r>
      <w:r>
        <w:rPr>
          <w:sz w:val="24"/>
          <w:szCs w:val="24"/>
        </w:rPr>
        <w:t xml:space="preserve">pairs </w:t>
      </w:r>
      <w:proofErr w:type="gramStart"/>
      <w:r>
        <w:rPr>
          <w:sz w:val="24"/>
          <w:szCs w:val="24"/>
        </w:rPr>
        <w:t xml:space="preserve">peut </w:t>
      </w:r>
      <w:r w:rsidRPr="005B09D0">
        <w:rPr>
          <w:sz w:val="24"/>
          <w:szCs w:val="24"/>
        </w:rPr>
        <w:t xml:space="preserve"> être</w:t>
      </w:r>
      <w:proofErr w:type="gramEnd"/>
      <w:r w:rsidRPr="005B09D0">
        <w:rPr>
          <w:sz w:val="24"/>
          <w:szCs w:val="24"/>
        </w:rPr>
        <w:t xml:space="preserve"> analysée à la lumière de plusieurs travaux en pédagogie, psychologie de l’éducation et sociologie scolaire. Les différences observées dans la réussite académique peuvent en effet s’expliquer par des facteurs pédagogiques, psychosociaux et institutionnels qui interagissent entre eux. D’abord, si l’EAA adopte des approches pédagogiques actives, celles-ci sont largement reconnues pour améliorer l’engagement cognitif et la compréhension profonde chez les étudiants. Biggs (1999), en introduisant le concept d’alignement constructif, montre que les méthodes centrées sur l’apprentissage plutôt que sur l’enseignement favorisent un apprentissage profond. De même, Prince (2004) confirme que l’apprentissage actif est associé à de meilleures performances, notamment grâce à l’implication accrue des étudiants dans la construction de leurs connaissances. À cela s’ajoute le rôle fondamental des feedbacks : selon la méta-analyse de Hattie et Timperley (2007), les retours clairs, réguliers et orientés vers l’amélioration constituent l’un des facteurs ayant le plus fort impact sur la réussite académique. Ainsi, si l’EAA offre un encadrement personnalisé, une proximité pédagogique ou des retours fréquents, ces éléments pourraient expliquer des performances supérieures à celles d’autres établissements.</w:t>
      </w:r>
    </w:p>
    <w:p w14:paraId="0CD54F32" w14:textId="77777777" w:rsidR="00D80693" w:rsidRPr="005B09D0" w:rsidRDefault="00D80693" w:rsidP="00D80693">
      <w:pPr>
        <w:tabs>
          <w:tab w:val="left" w:pos="1560"/>
        </w:tabs>
        <w:spacing w:before="50" w:after="50"/>
        <w:jc w:val="both"/>
        <w:rPr>
          <w:rFonts w:eastAsia="Calibri"/>
          <w:sz w:val="24"/>
          <w:szCs w:val="24"/>
        </w:rPr>
      </w:pPr>
      <w:r w:rsidRPr="005B09D0">
        <w:rPr>
          <w:sz w:val="24"/>
          <w:szCs w:val="24"/>
        </w:rPr>
        <w:t xml:space="preserve">Sur le plan psychosocial, plusieurs modèles théoriques permettent également d'éclairer cette hypothèse. La théorie de l’autodétermination de </w:t>
      </w:r>
      <w:proofErr w:type="spellStart"/>
      <w:r w:rsidRPr="005B09D0">
        <w:rPr>
          <w:sz w:val="24"/>
          <w:szCs w:val="24"/>
        </w:rPr>
        <w:t>Deci</w:t>
      </w:r>
      <w:proofErr w:type="spellEnd"/>
      <w:r w:rsidRPr="005B09D0">
        <w:rPr>
          <w:sz w:val="24"/>
          <w:szCs w:val="24"/>
        </w:rPr>
        <w:t xml:space="preserve"> et Ryan (2000) postule que la motivation intrinsèque, alimentée par les besoins psychologiques fondamentaux d’autonomie, de compétence et de relation, est directement liée à une meilleure persévérance et à une meilleure performance scolaire. Si l’EAA fournit un environnement soutenant ces besoins par exemple via un accompagnement individualisé ou un fort sentiment d’appartenance ses étudiants peuvent développer une motivation de meilleure qualité, contribuant ainsi à leurs résultats. Par ailleurs, le sentiment d’auto-efficacité, concept central chez Bandura (1997), influence la manière dont les étudiants abordent les tâches difficiles, leur persévérance face aux obstacles et leur gestion du stress. Un climat scolaire valorisant les réussites progressives et renforçant la perception de compétence pourrait donc expliquer en partie les meilleures performances des étudiants de l’EAA.</w:t>
      </w:r>
    </w:p>
    <w:p w14:paraId="6E4BE443" w14:textId="77777777" w:rsidR="00D80693" w:rsidRDefault="00D80693" w:rsidP="00D80693">
      <w:pPr>
        <w:tabs>
          <w:tab w:val="left" w:pos="1560"/>
        </w:tabs>
        <w:spacing w:before="50" w:after="50"/>
        <w:jc w:val="both"/>
        <w:rPr>
          <w:rFonts w:eastAsia="Calibri"/>
          <w:sz w:val="24"/>
          <w:szCs w:val="24"/>
        </w:rPr>
      </w:pPr>
      <w:r w:rsidRPr="005B09D0">
        <w:rPr>
          <w:sz w:val="24"/>
          <w:szCs w:val="24"/>
        </w:rPr>
        <w:t>Les facteurs institutionnels doivent également être considérés. Tinto (1993) souligne que la réussite des étudiants est fortement influencée par le niveau d’intégration académique et sociale, ainsi que par le soutien offert par l’institution. Si l’EAA dispose de ressources plus adaptées, de classes à effectifs réduits ou d’une organisation propice à l’accompagnement, ces éléments pourraient directement améliorer la réussite. Cependant, un autre point essentiel est l’éventuel biais de sélection. Astin (1999) rappelle que les institutions perçues comme plus exigeantes ou plus spécialisées attirent souvent des étudiants déjà dotés de meilleures compétences ou plus fortement motivés. De plus, la sélectivité à l’entrée, lorsqu’elle existe, constitue un facteur majeur pouvant fausser l’interprétation : les meilleurs résultats des étudiants de l’EAA pourraient être liés non pas à l’établissement lui-même, mais à la nature des étudiants admis.</w:t>
      </w:r>
    </w:p>
    <w:p w14:paraId="1A341444" w14:textId="77777777" w:rsidR="00D80693" w:rsidRDefault="00D80693" w:rsidP="00D80693">
      <w:pPr>
        <w:tabs>
          <w:tab w:val="left" w:pos="1560"/>
        </w:tabs>
        <w:spacing w:before="50" w:after="50"/>
        <w:jc w:val="both"/>
        <w:rPr>
          <w:rFonts w:eastAsia="Calibri"/>
          <w:sz w:val="24"/>
          <w:szCs w:val="24"/>
        </w:rPr>
      </w:pPr>
      <w:r w:rsidRPr="000B2715">
        <w:rPr>
          <w:sz w:val="24"/>
          <w:szCs w:val="24"/>
        </w:rPr>
        <w:t xml:space="preserve">Les étudiants extrinsèquement motivés obtiennent un taux de réussite inférieur (42,9 %), ce qui reflète la tendance observée dans la littérature selon laquelle une motivation extrinsèque, telle que la recherche de récompenses externes (par exemple, des notes ou des récompenses matérielles), peut-être moins efficace à long terme pour la performance académique (Ryan &amp; </w:t>
      </w:r>
      <w:proofErr w:type="spellStart"/>
      <w:r w:rsidRPr="000B2715">
        <w:rPr>
          <w:sz w:val="24"/>
          <w:szCs w:val="24"/>
        </w:rPr>
        <w:t>Deci</w:t>
      </w:r>
      <w:proofErr w:type="spellEnd"/>
      <w:r w:rsidRPr="000B2715">
        <w:rPr>
          <w:sz w:val="24"/>
          <w:szCs w:val="24"/>
        </w:rPr>
        <w:t xml:space="preserve">, 2000). Cependant, même si les étudiants extrinsèquement motivés affichent des taux de réussite plus faibles que leurs pairs intrinsèquement motivés, leurs résultats restent supérieurs à ceux des étudiants </w:t>
      </w:r>
      <w:proofErr w:type="spellStart"/>
      <w:r w:rsidRPr="000B2715">
        <w:rPr>
          <w:sz w:val="24"/>
          <w:szCs w:val="24"/>
        </w:rPr>
        <w:t>amotivés</w:t>
      </w:r>
      <w:proofErr w:type="spellEnd"/>
      <w:r w:rsidRPr="000B2715">
        <w:rPr>
          <w:sz w:val="24"/>
          <w:szCs w:val="24"/>
        </w:rPr>
        <w:t>, ce qui suggère que l’existence de tout type de motivation, même extrinsèque, est préférable à l’absence totale de motivation (amotivation).</w:t>
      </w:r>
    </w:p>
    <w:p w14:paraId="48ED0981" w14:textId="77777777" w:rsidR="00D80693" w:rsidRDefault="00D80693" w:rsidP="00D80693">
      <w:pPr>
        <w:tabs>
          <w:tab w:val="left" w:pos="1560"/>
        </w:tabs>
        <w:spacing w:before="50" w:after="50"/>
        <w:jc w:val="both"/>
        <w:rPr>
          <w:rFonts w:eastAsia="Calibri"/>
          <w:sz w:val="24"/>
          <w:szCs w:val="24"/>
        </w:rPr>
      </w:pPr>
      <w:r w:rsidRPr="00421AD0">
        <w:rPr>
          <w:sz w:val="24"/>
          <w:szCs w:val="24"/>
        </w:rPr>
        <w:t xml:space="preserve">Ali Sasa’a &amp; </w:t>
      </w:r>
      <w:proofErr w:type="spellStart"/>
      <w:r w:rsidRPr="00421AD0">
        <w:rPr>
          <w:sz w:val="24"/>
          <w:szCs w:val="24"/>
        </w:rPr>
        <w:t>Aghzafen</w:t>
      </w:r>
      <w:proofErr w:type="spellEnd"/>
      <w:r w:rsidRPr="00421AD0">
        <w:rPr>
          <w:sz w:val="24"/>
          <w:szCs w:val="24"/>
        </w:rPr>
        <w:t xml:space="preserve"> (2023)</w:t>
      </w:r>
      <w:r>
        <w:rPr>
          <w:sz w:val="24"/>
          <w:szCs w:val="24"/>
        </w:rPr>
        <w:t xml:space="preserve">, soutiennent cette idée en </w:t>
      </w:r>
      <w:r w:rsidRPr="00421AD0">
        <w:rPr>
          <w:sz w:val="24"/>
          <w:szCs w:val="24"/>
        </w:rPr>
        <w:t>confirm</w:t>
      </w:r>
      <w:r>
        <w:rPr>
          <w:sz w:val="24"/>
          <w:szCs w:val="24"/>
        </w:rPr>
        <w:t>a</w:t>
      </w:r>
      <w:r w:rsidRPr="00421AD0">
        <w:rPr>
          <w:sz w:val="24"/>
          <w:szCs w:val="24"/>
        </w:rPr>
        <w:t>nt que la motivation est un prédicteur significatif de la performance académique</w:t>
      </w:r>
      <w:r>
        <w:rPr>
          <w:sz w:val="24"/>
          <w:szCs w:val="24"/>
        </w:rPr>
        <w:t xml:space="preserve">. Cela est le même pour </w:t>
      </w:r>
      <w:r w:rsidRPr="00BE32F6">
        <w:rPr>
          <w:sz w:val="24"/>
          <w:szCs w:val="24"/>
        </w:rPr>
        <w:t>Onyekwere et al. (2022),</w:t>
      </w:r>
      <w:r>
        <w:rPr>
          <w:sz w:val="24"/>
          <w:szCs w:val="24"/>
        </w:rPr>
        <w:t xml:space="preserve"> qui </w:t>
      </w:r>
      <w:r w:rsidRPr="00BE32F6">
        <w:rPr>
          <w:sz w:val="24"/>
          <w:szCs w:val="24"/>
        </w:rPr>
        <w:t>montrent que la motivation intrinsèque</w:t>
      </w:r>
      <w:r>
        <w:rPr>
          <w:sz w:val="24"/>
          <w:szCs w:val="24"/>
        </w:rPr>
        <w:t xml:space="preserve"> ainsi</w:t>
      </w:r>
      <w:r w:rsidRPr="00BE32F6">
        <w:rPr>
          <w:sz w:val="24"/>
          <w:szCs w:val="24"/>
        </w:rPr>
        <w:t xml:space="preserve"> qu’extrinsèque influence positivement la performance</w:t>
      </w:r>
      <w:r>
        <w:rPr>
          <w:sz w:val="24"/>
          <w:szCs w:val="24"/>
        </w:rPr>
        <w:t xml:space="preserve"> </w:t>
      </w:r>
      <w:r w:rsidRPr="00BE32F6">
        <w:rPr>
          <w:sz w:val="24"/>
          <w:szCs w:val="24"/>
        </w:rPr>
        <w:t>avec un avantage pour la motivation intrinsèque.</w:t>
      </w:r>
    </w:p>
    <w:p w14:paraId="36BB0310" w14:textId="77777777" w:rsidR="00D80693" w:rsidRDefault="00D80693" w:rsidP="00D80693">
      <w:pPr>
        <w:tabs>
          <w:tab w:val="left" w:pos="1560"/>
        </w:tabs>
        <w:spacing w:before="50" w:after="50"/>
        <w:jc w:val="both"/>
        <w:rPr>
          <w:rFonts w:eastAsia="Calibri"/>
          <w:sz w:val="24"/>
          <w:szCs w:val="24"/>
        </w:rPr>
      </w:pPr>
      <w:r w:rsidRPr="000B2715">
        <w:rPr>
          <w:sz w:val="24"/>
          <w:szCs w:val="24"/>
        </w:rPr>
        <w:t xml:space="preserve">L'amotivation, qui est associée à un taux de réussite très bas (33,3 %), corrobore également les conclusions de nombreuses études antérieures. L'amotivation est liée à un manque d'engagement et à une faible volonté de s’investir dans le processus d’apprentissage, ce qui entraîne des performances médiocres (Vallerand et al., 1997). Les étudiants </w:t>
      </w:r>
      <w:proofErr w:type="spellStart"/>
      <w:r w:rsidRPr="000B2715">
        <w:rPr>
          <w:sz w:val="24"/>
          <w:szCs w:val="24"/>
        </w:rPr>
        <w:t>amotivés</w:t>
      </w:r>
      <w:proofErr w:type="spellEnd"/>
      <w:r w:rsidRPr="000B2715">
        <w:rPr>
          <w:sz w:val="24"/>
          <w:szCs w:val="24"/>
        </w:rPr>
        <w:t xml:space="preserve"> semblent moins enclins à adopter des stratégies d'apprentissage efficaces et peuvent se désengager des études, d’où des résultats académiques nettement inférieurs.</w:t>
      </w:r>
    </w:p>
    <w:p w14:paraId="775E75A2" w14:textId="77777777" w:rsidR="00D80693" w:rsidRPr="002947A6" w:rsidRDefault="00D80693" w:rsidP="00D80693">
      <w:pPr>
        <w:tabs>
          <w:tab w:val="left" w:pos="1560"/>
        </w:tabs>
        <w:spacing w:before="50" w:after="50"/>
        <w:jc w:val="both"/>
        <w:rPr>
          <w:rFonts w:eastAsia="Calibri"/>
          <w:sz w:val="24"/>
          <w:szCs w:val="24"/>
        </w:rPr>
      </w:pPr>
      <w:r w:rsidRPr="002947A6">
        <w:rPr>
          <w:sz w:val="24"/>
          <w:szCs w:val="24"/>
        </w:rPr>
        <w:t>L’analyse du sexe des étudiants favorise u</w:t>
      </w:r>
      <w:r>
        <w:rPr>
          <w:sz w:val="24"/>
          <w:szCs w:val="24"/>
        </w:rPr>
        <w:t>n</w:t>
      </w:r>
      <w:r w:rsidRPr="002947A6">
        <w:rPr>
          <w:sz w:val="24"/>
          <w:szCs w:val="24"/>
        </w:rPr>
        <w:t>e approche intéressante à l’étude. Il stipule que les femmes ayant une motivation intrinsèque réussissent mieux que les hommes. Cette assertion soutient les études antérieures qui véhiculent que   les femmes ont tendance à adopter des stratégies d’apprentissage plus efficaces afin de faire face aux difficultés académiques en termes de performance (</w:t>
      </w:r>
      <w:bookmarkStart w:id="46" w:name="_Hlk210973798"/>
      <w:r w:rsidRPr="002947A6">
        <w:rPr>
          <w:sz w:val="24"/>
          <w:szCs w:val="24"/>
        </w:rPr>
        <w:t>Duckworth et al., 2007</w:t>
      </w:r>
      <w:bookmarkEnd w:id="46"/>
      <w:r w:rsidRPr="002947A6">
        <w:rPr>
          <w:sz w:val="24"/>
          <w:szCs w:val="24"/>
        </w:rPr>
        <w:t>). Cependant, il est essentiel de souligner que la différence de performance est souvent liée aux facteurs sociaux et psychologiques qui jouent un rôle important.</w:t>
      </w:r>
    </w:p>
    <w:p w14:paraId="1F0BDC04" w14:textId="6E7E90D0" w:rsidR="00D80693" w:rsidRDefault="00D80693" w:rsidP="00D80693">
      <w:pPr>
        <w:tabs>
          <w:tab w:val="left" w:pos="1560"/>
        </w:tabs>
        <w:spacing w:before="50" w:after="50"/>
        <w:jc w:val="both"/>
        <w:rPr>
          <w:rFonts w:eastAsia="Calibri"/>
          <w:sz w:val="24"/>
          <w:szCs w:val="24"/>
        </w:rPr>
      </w:pPr>
      <w:r w:rsidRPr="000B2715">
        <w:rPr>
          <w:sz w:val="24"/>
          <w:szCs w:val="24"/>
        </w:rPr>
        <w:t xml:space="preserve">En ce qui concerne la question des stratégies d'apprentissage, les résultats ont montré une différence significative entre les groupes ayant une motivation intrinsèque et extrinsèque, comme en témoigne la valeur p de 0,046 pour la motivation intrinsèque. Cette différence met en évidence le fait que les étudiants intrinsèquement motivés utilisent des stratégies d'apprentissage plus profondes et plus efficaces, ce qui est en accord avec les travaux de </w:t>
      </w:r>
      <w:bookmarkStart w:id="47" w:name="_Hlk210973758"/>
      <w:r w:rsidRPr="000B2715">
        <w:rPr>
          <w:sz w:val="24"/>
          <w:szCs w:val="24"/>
        </w:rPr>
        <w:t xml:space="preserve">Biggs (1985), </w:t>
      </w:r>
      <w:bookmarkEnd w:id="47"/>
      <w:r w:rsidRPr="000B2715">
        <w:rPr>
          <w:sz w:val="24"/>
          <w:szCs w:val="24"/>
        </w:rPr>
        <w:t>qui suggère que la motivation intrinsèque favorise un engagement plus profond et une meilleure appropriation des connaissances. Ces stratégies d'apprentissage sont souvent orientées vers une compréhension profonde du contenu plutôt que vers une simple mémorisation ou la recherche de résultats externes.</w:t>
      </w:r>
      <w:r>
        <w:rPr>
          <w:sz w:val="24"/>
          <w:szCs w:val="24"/>
        </w:rPr>
        <w:t xml:space="preserve"> Par ailleurs, </w:t>
      </w:r>
      <w:r w:rsidRPr="006C7A23">
        <w:rPr>
          <w:sz w:val="24"/>
          <w:szCs w:val="24"/>
        </w:rPr>
        <w:t>Zaccone &amp; Pedrini (2019)</w:t>
      </w:r>
      <w:r>
        <w:rPr>
          <w:sz w:val="24"/>
          <w:szCs w:val="24"/>
        </w:rPr>
        <w:t xml:space="preserve"> m</w:t>
      </w:r>
      <w:r w:rsidRPr="006C7A23">
        <w:rPr>
          <w:sz w:val="24"/>
          <w:szCs w:val="24"/>
        </w:rPr>
        <w:t>ontrent l’importance des deux types de motivation sur l'efficacité de l’apprentissage, tout en soulignant un effet modérateur du genre.</w:t>
      </w:r>
      <w:r>
        <w:rPr>
          <w:sz w:val="24"/>
          <w:szCs w:val="24"/>
        </w:rPr>
        <w:t xml:space="preserve"> </w:t>
      </w:r>
      <w:r w:rsidRPr="001C1DAD">
        <w:rPr>
          <w:sz w:val="24"/>
          <w:szCs w:val="24"/>
        </w:rPr>
        <w:t xml:space="preserve">En définitive, une approche globale de la motivation et des stratégies d’apprentissage peut contribuer à améliorer les performances académiques des étudiants en général. </w:t>
      </w:r>
      <w:r>
        <w:rPr>
          <w:sz w:val="24"/>
          <w:szCs w:val="24"/>
        </w:rPr>
        <w:t xml:space="preserve">Cependant, cette étude rencontre des </w:t>
      </w:r>
      <w:r w:rsidRPr="00FE45C1">
        <w:rPr>
          <w:sz w:val="24"/>
          <w:szCs w:val="24"/>
        </w:rPr>
        <w:t>limites méthodologiques</w:t>
      </w:r>
      <w:r>
        <w:rPr>
          <w:sz w:val="24"/>
          <w:szCs w:val="24"/>
        </w:rPr>
        <w:t xml:space="preserve"> au niveau la</w:t>
      </w:r>
      <w:r w:rsidRPr="00FE45C1">
        <w:rPr>
          <w:sz w:val="24"/>
          <w:szCs w:val="24"/>
        </w:rPr>
        <w:t xml:space="preserve"> taille de l’échantillon, </w:t>
      </w:r>
      <w:r>
        <w:rPr>
          <w:sz w:val="24"/>
          <w:szCs w:val="24"/>
        </w:rPr>
        <w:t xml:space="preserve">du </w:t>
      </w:r>
      <w:r w:rsidRPr="00FE45C1">
        <w:rPr>
          <w:sz w:val="24"/>
          <w:szCs w:val="24"/>
        </w:rPr>
        <w:t xml:space="preserve">contexte unique, </w:t>
      </w:r>
      <w:r>
        <w:rPr>
          <w:sz w:val="24"/>
          <w:szCs w:val="24"/>
        </w:rPr>
        <w:t>la</w:t>
      </w:r>
      <w:r w:rsidRPr="00FE45C1">
        <w:rPr>
          <w:sz w:val="24"/>
          <w:szCs w:val="24"/>
        </w:rPr>
        <w:t xml:space="preserve"> seule école</w:t>
      </w:r>
      <w:r>
        <w:rPr>
          <w:sz w:val="24"/>
          <w:szCs w:val="24"/>
        </w:rPr>
        <w:t xml:space="preserve"> d’architecture choisie et le </w:t>
      </w:r>
      <w:r w:rsidRPr="00FE45C1">
        <w:rPr>
          <w:sz w:val="24"/>
          <w:szCs w:val="24"/>
        </w:rPr>
        <w:t>biais de désirabilité sociale dans les réponses, influence potentielle d’autres variables comme le soutien familial ou le niveau socio-économique.</w:t>
      </w:r>
      <w:r>
        <w:rPr>
          <w:sz w:val="24"/>
          <w:szCs w:val="24"/>
        </w:rPr>
        <w:t xml:space="preserve"> Pour plus d’objectivité, cette étude doit prendre en compte plusieurs écoles en associant les facteurs sociaux et économiques des étudiants en première année d’étude afin de donner une meilleure orientation de la motivation des étudiants.</w:t>
      </w:r>
    </w:p>
    <w:p w14:paraId="2F95824A" w14:textId="3F9F525F" w:rsidR="00D80693" w:rsidRPr="00BD3B47" w:rsidRDefault="00D80693" w:rsidP="00D80693">
      <w:pPr>
        <w:tabs>
          <w:tab w:val="left" w:pos="1560"/>
        </w:tabs>
        <w:spacing w:before="50" w:after="50"/>
        <w:jc w:val="both"/>
        <w:rPr>
          <w:rFonts w:eastAsia="Calibri"/>
          <w:b/>
          <w:bCs/>
          <w:sz w:val="28"/>
          <w:szCs w:val="28"/>
        </w:rPr>
      </w:pPr>
      <w:r w:rsidRPr="00D10B9C">
        <w:rPr>
          <w:b/>
          <w:bCs/>
          <w:sz w:val="28"/>
          <w:szCs w:val="28"/>
        </w:rPr>
        <w:t xml:space="preserve">Conclusion </w:t>
      </w:r>
      <w:r>
        <w:rPr>
          <w:b/>
          <w:bCs/>
          <w:sz w:val="28"/>
          <w:szCs w:val="28"/>
        </w:rPr>
        <w:t>et recommandations</w:t>
      </w:r>
    </w:p>
    <w:p w14:paraId="3709843B" w14:textId="68618043" w:rsidR="00D80693" w:rsidRPr="00BD3B47" w:rsidRDefault="00D80693" w:rsidP="00D80693">
      <w:pPr>
        <w:tabs>
          <w:tab w:val="left" w:pos="1560"/>
        </w:tabs>
        <w:spacing w:before="50" w:after="50"/>
        <w:jc w:val="both"/>
        <w:rPr>
          <w:rFonts w:eastAsia="Calibri"/>
          <w:sz w:val="24"/>
          <w:szCs w:val="24"/>
        </w:rPr>
      </w:pPr>
      <w:r w:rsidRPr="000215FC">
        <w:rPr>
          <w:sz w:val="24"/>
          <w:szCs w:val="24"/>
        </w:rPr>
        <w:t xml:space="preserve">Cette étude met en relief que la motivation intrinsèque est un facteur important dans réussite académique des étudiants, en ce sens qu’il est essentiel d’accompagner les étudiants extrinsèquement motivés et </w:t>
      </w:r>
      <w:proofErr w:type="spellStart"/>
      <w:r w:rsidRPr="000215FC">
        <w:rPr>
          <w:sz w:val="24"/>
          <w:szCs w:val="24"/>
        </w:rPr>
        <w:t>amotivés</w:t>
      </w:r>
      <w:proofErr w:type="spellEnd"/>
      <w:r w:rsidRPr="000215FC">
        <w:rPr>
          <w:sz w:val="24"/>
          <w:szCs w:val="24"/>
        </w:rPr>
        <w:t xml:space="preserve">. Les résultats montrent que les enseignants doivent encourager la motivation intrinsèque ainsi que les stratégies d'apprentissage profondes pour augmenter la performance académique des étudiants en première année d’architecture. Les différenciations observées par rapport au sexe et à la motivation suscitent une prise de conscience collective des facteurs sociaux et individuels dans la conception des activités universitaires. </w:t>
      </w:r>
    </w:p>
    <w:p w14:paraId="0322A3EE" w14:textId="77777777" w:rsidR="00D80693" w:rsidRDefault="00D80693" w:rsidP="00D80693">
      <w:pPr>
        <w:tabs>
          <w:tab w:val="left" w:pos="1560"/>
        </w:tabs>
        <w:spacing w:before="50" w:after="50"/>
        <w:jc w:val="both"/>
        <w:rPr>
          <w:rFonts w:eastAsia="Calibri"/>
          <w:sz w:val="24"/>
          <w:szCs w:val="24"/>
        </w:rPr>
      </w:pPr>
      <w:r w:rsidRPr="00F02E07">
        <w:rPr>
          <w:sz w:val="24"/>
          <w:szCs w:val="24"/>
        </w:rPr>
        <w:t xml:space="preserve">Au terme de ces résultats, il est convenable d’émettre plusieurs recommandations </w:t>
      </w:r>
      <w:r>
        <w:rPr>
          <w:sz w:val="24"/>
          <w:szCs w:val="24"/>
        </w:rPr>
        <w:t xml:space="preserve">au niveau institutionnel, pédagogique et psychologique </w:t>
      </w:r>
      <w:r w:rsidRPr="00F02E07">
        <w:rPr>
          <w:sz w:val="24"/>
          <w:szCs w:val="24"/>
        </w:rPr>
        <w:t xml:space="preserve">pour la bonne marche du système universitaire.  </w:t>
      </w:r>
    </w:p>
    <w:p w14:paraId="62F7826D" w14:textId="77777777" w:rsidR="00D80693" w:rsidRDefault="00D80693" w:rsidP="00D80693">
      <w:pPr>
        <w:tabs>
          <w:tab w:val="left" w:pos="1560"/>
        </w:tabs>
        <w:spacing w:before="50" w:after="50"/>
        <w:jc w:val="both"/>
        <w:rPr>
          <w:rFonts w:eastAsia="Calibri"/>
          <w:sz w:val="24"/>
          <w:szCs w:val="24"/>
        </w:rPr>
      </w:pPr>
    </w:p>
    <w:p w14:paraId="07FFBA81" w14:textId="3A647E88" w:rsidR="00D80693" w:rsidRDefault="00D80693" w:rsidP="00D80693">
      <w:pPr>
        <w:tabs>
          <w:tab w:val="left" w:pos="1560"/>
        </w:tabs>
        <w:spacing w:before="50" w:after="50"/>
        <w:jc w:val="both"/>
        <w:rPr>
          <w:rFonts w:eastAsia="Calibri"/>
          <w:sz w:val="24"/>
          <w:szCs w:val="24"/>
        </w:rPr>
      </w:pPr>
      <w:r>
        <w:rPr>
          <w:sz w:val="24"/>
          <w:szCs w:val="24"/>
        </w:rPr>
        <w:t>Au niveau institutionnel (Université, politiques éducatives), les décideurs doivent mettre en place des politiques incitatives (bourses, reconnaissance des performances, stages) en garantissant une clarté des parcours de formation lié aux réalités du monde professionnel. De même, la qualité des infrastructures et accès aux ressources (bibliothèque, espace de travail, la valorisation de l’engagement de l’étudiant et la politique d’évaluation juste et transparence doivent permettre t’</w:t>
      </w:r>
      <w:r w:rsidRPr="00F02E07">
        <w:rPr>
          <w:sz w:val="24"/>
          <w:szCs w:val="24"/>
        </w:rPr>
        <w:t>inciter la motivation intrinsèque des étudiants des premières années en favorisant un environnement d’apprentissage propice qui encourage   leur aspiration et leur implication. Cela doit se construire par l’entrée en vigueur de initiatives nouvelles, d’échanges constructives et d’activités qui encouragent la dépendance et le sens de responsabilité</w:t>
      </w:r>
      <w:r>
        <w:rPr>
          <w:sz w:val="24"/>
          <w:szCs w:val="24"/>
        </w:rPr>
        <w:t>. Quant au niveau pédagogique (enseignants, méthodes d’enseignement), il faut instaurer l’utilisation de méthodes actives et participatives favorisant l’autonomie (travail de groupe, étude de cas), la qualité de la relation pédagogique (écoute, bienveillance, encouragement), la rétroaction constructive valorisant les étudiants et l’intégration de défis intellectuels stimulants la motivation intrinsèque et ex</w:t>
      </w:r>
      <w:r w:rsidRPr="007F305E">
        <w:rPr>
          <w:sz w:val="24"/>
          <w:szCs w:val="24"/>
        </w:rPr>
        <w:t>trinsèque</w:t>
      </w:r>
      <w:r>
        <w:rPr>
          <w:sz w:val="24"/>
          <w:szCs w:val="24"/>
        </w:rPr>
        <w:t xml:space="preserve">. Au niveau psychologique (accompagnement individuel, soutien, interventions psychologiques), </w:t>
      </w:r>
      <w:r w:rsidRPr="00955965">
        <w:rPr>
          <w:sz w:val="24"/>
          <w:szCs w:val="24"/>
        </w:rPr>
        <w:t>il faut mettre en place un soutien personnalisé pour répondre aux besoins spécifiques des étudiants (tutorat, coaching, accompagnement), un espace de bien-être et de santé mentale (prévention du stress, gestion de l’anxiété), le développement de l’estime de soi et le sentiment d’efficacité personnelle, la reconnaissance des réussites individuelles et l’intervention pour renforcer  la motivation intrinsèque ( trouver du sens au études) et extrinsèque ( récompenses, encouragements externes) .</w:t>
      </w:r>
    </w:p>
    <w:p w14:paraId="78A2A6ED" w14:textId="77777777" w:rsidR="00D80693" w:rsidRPr="00BD3B47" w:rsidRDefault="00D80693" w:rsidP="00D80693">
      <w:pPr>
        <w:tabs>
          <w:tab w:val="left" w:pos="1560"/>
        </w:tabs>
        <w:spacing w:before="50" w:after="50"/>
        <w:jc w:val="both"/>
        <w:rPr>
          <w:rFonts w:eastAsia="Calibri"/>
          <w:b/>
          <w:bCs/>
          <w:sz w:val="28"/>
          <w:szCs w:val="28"/>
        </w:rPr>
      </w:pPr>
      <w:r w:rsidRPr="00BD3B47">
        <w:rPr>
          <w:b/>
          <w:bCs/>
          <w:sz w:val="28"/>
          <w:szCs w:val="28"/>
        </w:rPr>
        <w:t>Références bibliographiques</w:t>
      </w:r>
    </w:p>
    <w:p w14:paraId="519073F7" w14:textId="77777777" w:rsidR="00D80693" w:rsidRPr="0065773E" w:rsidRDefault="00D80693" w:rsidP="00BD3B47">
      <w:pPr>
        <w:tabs>
          <w:tab w:val="left" w:pos="1560"/>
        </w:tabs>
        <w:spacing w:before="50" w:after="50"/>
        <w:ind w:left="993" w:hanging="993"/>
        <w:jc w:val="both"/>
        <w:rPr>
          <w:rFonts w:eastAsia="Calibri"/>
          <w:sz w:val="24"/>
          <w:szCs w:val="24"/>
          <w:lang w:val="en-US"/>
        </w:rPr>
      </w:pPr>
      <w:proofErr w:type="spellStart"/>
      <w:r w:rsidRPr="00FE499B">
        <w:rPr>
          <w:sz w:val="24"/>
          <w:szCs w:val="24"/>
        </w:rPr>
        <w:t>Agossou</w:t>
      </w:r>
      <w:proofErr w:type="spellEnd"/>
      <w:r w:rsidRPr="00FE499B">
        <w:rPr>
          <w:sz w:val="24"/>
          <w:szCs w:val="24"/>
        </w:rPr>
        <w:t>, M. (2024). </w:t>
      </w:r>
      <w:r w:rsidRPr="00FE499B">
        <w:rPr>
          <w:i/>
          <w:iCs/>
          <w:sz w:val="24"/>
          <w:szCs w:val="24"/>
        </w:rPr>
        <w:t>Méthodes d’apprentissage, de motivation et de performance scolaire chez les élèves des classes de 3ᵉ dans les matières d’orientation</w:t>
      </w:r>
      <w:r w:rsidRPr="00FE499B">
        <w:rPr>
          <w:sz w:val="24"/>
          <w:szCs w:val="24"/>
        </w:rPr>
        <w:t xml:space="preserve">. </w:t>
      </w:r>
      <w:r w:rsidRPr="0065773E">
        <w:rPr>
          <w:sz w:val="24"/>
          <w:szCs w:val="24"/>
          <w:lang w:val="en-US"/>
        </w:rPr>
        <w:t>Université de Man, Côte d’Ivoire.</w:t>
      </w:r>
    </w:p>
    <w:p w14:paraId="5DA77A7F" w14:textId="77777777" w:rsidR="00D80693" w:rsidRPr="00EC519A" w:rsidRDefault="00D80693" w:rsidP="00BD3B47">
      <w:pPr>
        <w:tabs>
          <w:tab w:val="left" w:pos="1560"/>
        </w:tabs>
        <w:spacing w:before="50" w:after="50"/>
        <w:ind w:left="993" w:hanging="993"/>
        <w:jc w:val="both"/>
        <w:rPr>
          <w:rFonts w:eastAsia="Calibri"/>
          <w:sz w:val="24"/>
          <w:szCs w:val="24"/>
          <w:lang w:val="en-US"/>
        </w:rPr>
      </w:pPr>
      <w:r w:rsidRPr="001928FA">
        <w:rPr>
          <w:sz w:val="24"/>
          <w:szCs w:val="24"/>
          <w:lang w:val="en-US"/>
        </w:rPr>
        <w:t>Ali Sasa’a, M. H., &amp; Mostafa Aghzafen. </w:t>
      </w:r>
      <w:r w:rsidRPr="00FE499B">
        <w:rPr>
          <w:sz w:val="24"/>
          <w:szCs w:val="24"/>
          <w:lang w:val="en-US"/>
        </w:rPr>
        <w:t>(2023). Motivation as a predictor of academic performance. </w:t>
      </w:r>
      <w:r w:rsidRPr="00EC519A">
        <w:rPr>
          <w:i/>
          <w:iCs/>
          <w:sz w:val="24"/>
          <w:szCs w:val="24"/>
          <w:lang w:val="en-US"/>
        </w:rPr>
        <w:t>Humanities and Natural Sciences Journal, 4</w:t>
      </w:r>
      <w:r w:rsidRPr="00EC519A">
        <w:rPr>
          <w:sz w:val="24"/>
          <w:szCs w:val="24"/>
          <w:lang w:val="en-US"/>
        </w:rPr>
        <w:t>(11).</w:t>
      </w:r>
    </w:p>
    <w:p w14:paraId="672D936D" w14:textId="77777777" w:rsidR="00D80693" w:rsidRPr="00F725A1" w:rsidRDefault="00D80693" w:rsidP="00BD3B47">
      <w:pPr>
        <w:tabs>
          <w:tab w:val="left" w:pos="1560"/>
        </w:tabs>
        <w:spacing w:before="50" w:after="50"/>
        <w:ind w:left="993" w:hanging="993"/>
        <w:jc w:val="both"/>
        <w:rPr>
          <w:rFonts w:eastAsia="Calibri"/>
          <w:sz w:val="24"/>
          <w:szCs w:val="24"/>
          <w:lang w:val="en-US"/>
        </w:rPr>
      </w:pPr>
      <w:r w:rsidRPr="00EC519A">
        <w:rPr>
          <w:sz w:val="24"/>
          <w:szCs w:val="24"/>
          <w:lang w:val="en-US"/>
        </w:rPr>
        <w:t xml:space="preserve">Biggs, J. B. (1985). </w:t>
      </w:r>
      <w:r w:rsidRPr="00F725A1">
        <w:rPr>
          <w:i/>
          <w:iCs/>
          <w:sz w:val="24"/>
          <w:szCs w:val="24"/>
          <w:lang w:val="en-US"/>
        </w:rPr>
        <w:t>The role of assessment in learning: Motivation and learning.</w:t>
      </w:r>
      <w:r w:rsidRPr="00F725A1">
        <w:rPr>
          <w:sz w:val="24"/>
          <w:szCs w:val="24"/>
          <w:lang w:val="en-US"/>
        </w:rPr>
        <w:t xml:space="preserve"> </w:t>
      </w:r>
      <w:r w:rsidRPr="00F725A1">
        <w:rPr>
          <w:i/>
          <w:iCs/>
          <w:sz w:val="24"/>
          <w:szCs w:val="24"/>
          <w:lang w:val="en-US"/>
        </w:rPr>
        <w:t>Higher Education</w:t>
      </w:r>
      <w:r w:rsidRPr="00F725A1">
        <w:rPr>
          <w:sz w:val="24"/>
          <w:szCs w:val="24"/>
          <w:lang w:val="en-US"/>
        </w:rPr>
        <w:t>, 14(3), 299-319. https://doi.org/10.1007/BF00134731</w:t>
      </w:r>
    </w:p>
    <w:p w14:paraId="22E96B5B" w14:textId="77777777" w:rsidR="00D80693" w:rsidRDefault="00D80693" w:rsidP="00BD3B47">
      <w:pPr>
        <w:tabs>
          <w:tab w:val="left" w:pos="1560"/>
        </w:tabs>
        <w:spacing w:before="50" w:after="50"/>
        <w:ind w:left="993" w:hanging="993"/>
        <w:jc w:val="both"/>
        <w:rPr>
          <w:rFonts w:eastAsia="Calibri"/>
          <w:sz w:val="24"/>
          <w:szCs w:val="24"/>
          <w:lang w:val="en-US"/>
        </w:rPr>
      </w:pPr>
      <w:r w:rsidRPr="00F725A1">
        <w:rPr>
          <w:sz w:val="24"/>
          <w:szCs w:val="24"/>
          <w:lang w:val="en-US"/>
        </w:rPr>
        <w:t xml:space="preserve">Deci, E. L., &amp; Ryan, R. M. (1985). </w:t>
      </w:r>
      <w:r w:rsidRPr="00F725A1">
        <w:rPr>
          <w:i/>
          <w:iCs/>
          <w:sz w:val="24"/>
          <w:szCs w:val="24"/>
          <w:lang w:val="en-US"/>
        </w:rPr>
        <w:t>Intrinsic motivation and self-determination in human behavior.</w:t>
      </w:r>
      <w:r w:rsidRPr="00F725A1">
        <w:rPr>
          <w:sz w:val="24"/>
          <w:szCs w:val="24"/>
          <w:lang w:val="en-US"/>
        </w:rPr>
        <w:t xml:space="preserve"> Springer Science &amp; Business Media.</w:t>
      </w:r>
    </w:p>
    <w:p w14:paraId="7235B259" w14:textId="77777777" w:rsidR="00D80693" w:rsidRPr="00FE29C0" w:rsidRDefault="00D80693" w:rsidP="00BD3B47">
      <w:pPr>
        <w:tabs>
          <w:tab w:val="left" w:pos="1560"/>
        </w:tabs>
        <w:spacing w:before="50" w:after="50"/>
        <w:ind w:left="993" w:hanging="993"/>
        <w:jc w:val="both"/>
        <w:rPr>
          <w:rFonts w:eastAsia="Calibri"/>
          <w:color w:val="0563C1"/>
          <w:sz w:val="24"/>
          <w:szCs w:val="24"/>
          <w:u w:val="single"/>
          <w:lang w:val="en-US"/>
        </w:rPr>
      </w:pPr>
      <w:r w:rsidRPr="00F725A1">
        <w:rPr>
          <w:sz w:val="24"/>
          <w:szCs w:val="24"/>
          <w:lang w:val="en-US"/>
        </w:rPr>
        <w:t xml:space="preserve">Duckworth, A. L., Peterson, C., Matthews, M. D., &amp; Kelly, D. R. (2007). </w:t>
      </w:r>
      <w:r w:rsidRPr="00F725A1">
        <w:rPr>
          <w:i/>
          <w:iCs/>
          <w:sz w:val="24"/>
          <w:szCs w:val="24"/>
          <w:lang w:val="en-US"/>
        </w:rPr>
        <w:t>Grit: Perseverance and passion for long-term goals.</w:t>
      </w:r>
      <w:r w:rsidRPr="00F725A1">
        <w:rPr>
          <w:sz w:val="24"/>
          <w:szCs w:val="24"/>
          <w:lang w:val="en-US"/>
        </w:rPr>
        <w:t xml:space="preserve"> </w:t>
      </w:r>
      <w:r w:rsidRPr="00F725A1">
        <w:rPr>
          <w:i/>
          <w:iCs/>
          <w:sz w:val="24"/>
          <w:szCs w:val="24"/>
          <w:lang w:val="en-US"/>
        </w:rPr>
        <w:t>Journal of Personality and Social Psychology</w:t>
      </w:r>
      <w:r w:rsidRPr="00F725A1">
        <w:rPr>
          <w:sz w:val="24"/>
          <w:szCs w:val="24"/>
          <w:lang w:val="en-US"/>
        </w:rPr>
        <w:t xml:space="preserve">, 92(6), 1087–1101. </w:t>
      </w:r>
      <w:r w:rsidRPr="00FE29C0">
        <w:rPr>
          <w:sz w:val="24"/>
          <w:szCs w:val="24"/>
          <w:lang w:val="en-US"/>
        </w:rPr>
        <w:t>https://doi.org/10.1037/0022-3514.92.6.1087</w:t>
      </w:r>
    </w:p>
    <w:p w14:paraId="793D6E35" w14:textId="77777777" w:rsidR="00D80693" w:rsidRPr="001247DD" w:rsidRDefault="00D80693" w:rsidP="00BD3B47">
      <w:pPr>
        <w:tabs>
          <w:tab w:val="left" w:pos="1560"/>
        </w:tabs>
        <w:spacing w:before="50" w:after="50"/>
        <w:ind w:left="993" w:hanging="993"/>
        <w:jc w:val="both"/>
        <w:rPr>
          <w:rFonts w:eastAsia="Calibri"/>
          <w:sz w:val="24"/>
          <w:szCs w:val="24"/>
          <w:lang w:val="en-US"/>
        </w:rPr>
      </w:pPr>
      <w:proofErr w:type="spellStart"/>
      <w:r w:rsidRPr="001247DD">
        <w:rPr>
          <w:sz w:val="24"/>
          <w:szCs w:val="24"/>
        </w:rPr>
        <w:t>Edoua</w:t>
      </w:r>
      <w:proofErr w:type="spellEnd"/>
      <w:r w:rsidRPr="001247DD">
        <w:rPr>
          <w:sz w:val="24"/>
          <w:szCs w:val="24"/>
        </w:rPr>
        <w:t>, K. D. S. (2025). Étude exploratoire des motivations au choix de la carrière salariale chez des étudiants de l’Université Félix Houphouët</w:t>
      </w:r>
      <w:r w:rsidRPr="001247DD">
        <w:rPr>
          <w:sz w:val="24"/>
          <w:szCs w:val="24"/>
        </w:rPr>
        <w:noBreakHyphen/>
        <w:t>Boigny d’Abidjan (Master). </w:t>
      </w:r>
      <w:r w:rsidRPr="001247DD">
        <w:rPr>
          <w:i/>
          <w:iCs/>
          <w:sz w:val="24"/>
          <w:szCs w:val="24"/>
          <w:lang w:val="en-US"/>
        </w:rPr>
        <w:t>European Scientific Journal, 21</w:t>
      </w:r>
      <w:r w:rsidRPr="001247DD">
        <w:rPr>
          <w:sz w:val="24"/>
          <w:szCs w:val="24"/>
          <w:lang w:val="en-US"/>
        </w:rPr>
        <w:t>(2), 58.</w:t>
      </w:r>
    </w:p>
    <w:p w14:paraId="273F8FE0" w14:textId="77777777" w:rsidR="00D80693" w:rsidRPr="001247DD" w:rsidRDefault="00D80693" w:rsidP="00BD3B47">
      <w:pPr>
        <w:tabs>
          <w:tab w:val="left" w:pos="1560"/>
        </w:tabs>
        <w:spacing w:before="50" w:after="50"/>
        <w:ind w:left="993" w:hanging="993"/>
        <w:jc w:val="both"/>
        <w:rPr>
          <w:rFonts w:eastAsia="Calibri"/>
          <w:sz w:val="24"/>
          <w:szCs w:val="24"/>
        </w:rPr>
      </w:pPr>
      <w:r w:rsidRPr="001247DD">
        <w:rPr>
          <w:sz w:val="24"/>
          <w:szCs w:val="24"/>
          <w:lang w:val="en-US"/>
        </w:rPr>
        <w:t>Ferla, J., et al. (2009). The relationship between academic self</w:t>
      </w:r>
      <w:r w:rsidRPr="001247DD">
        <w:rPr>
          <w:sz w:val="24"/>
          <w:szCs w:val="24"/>
          <w:lang w:val="en-US"/>
        </w:rPr>
        <w:noBreakHyphen/>
        <w:t>concept, intrinsic motivation, test anxiety, and academic achievement among nursing students: Mediating and moderating effects. </w:t>
      </w:r>
      <w:r w:rsidRPr="001247DD">
        <w:rPr>
          <w:i/>
          <w:iCs/>
          <w:sz w:val="24"/>
          <w:szCs w:val="24"/>
        </w:rPr>
        <w:t xml:space="preserve">Learning and </w:t>
      </w:r>
      <w:proofErr w:type="spellStart"/>
      <w:r w:rsidRPr="001247DD">
        <w:rPr>
          <w:i/>
          <w:iCs/>
          <w:sz w:val="24"/>
          <w:szCs w:val="24"/>
        </w:rPr>
        <w:t>Individual</w:t>
      </w:r>
      <w:proofErr w:type="spellEnd"/>
      <w:r w:rsidRPr="001247DD">
        <w:rPr>
          <w:i/>
          <w:iCs/>
          <w:sz w:val="24"/>
          <w:szCs w:val="24"/>
        </w:rPr>
        <w:t xml:space="preserve"> </w:t>
      </w:r>
      <w:proofErr w:type="spellStart"/>
      <w:r w:rsidRPr="001247DD">
        <w:rPr>
          <w:i/>
          <w:iCs/>
          <w:sz w:val="24"/>
          <w:szCs w:val="24"/>
        </w:rPr>
        <w:t>Differences</w:t>
      </w:r>
      <w:proofErr w:type="spellEnd"/>
      <w:r w:rsidRPr="001247DD">
        <w:rPr>
          <w:sz w:val="24"/>
          <w:szCs w:val="24"/>
        </w:rPr>
        <w:t>.</w:t>
      </w:r>
    </w:p>
    <w:p w14:paraId="4B8AE9F5" w14:textId="77777777" w:rsidR="00D80693" w:rsidRPr="001247DD" w:rsidRDefault="00D80693" w:rsidP="00BD3B47">
      <w:pPr>
        <w:tabs>
          <w:tab w:val="left" w:pos="1560"/>
        </w:tabs>
        <w:spacing w:before="50" w:after="50"/>
        <w:ind w:left="993" w:hanging="993"/>
        <w:jc w:val="both"/>
        <w:rPr>
          <w:rFonts w:eastAsia="Calibri"/>
          <w:sz w:val="24"/>
          <w:szCs w:val="24"/>
        </w:rPr>
      </w:pPr>
      <w:r w:rsidRPr="001247DD">
        <w:rPr>
          <w:sz w:val="24"/>
          <w:szCs w:val="24"/>
        </w:rPr>
        <w:t>Kouadio, A., et al. (2024). Identification des facteurs de performances scolaires en mathématiques et en lecture compréhension des élèves au cours moyen deuxième année en contexte ivoirien : pistes d’interventions psychosociales. </w:t>
      </w:r>
      <w:r w:rsidRPr="001247DD">
        <w:rPr>
          <w:i/>
          <w:iCs/>
          <w:sz w:val="24"/>
          <w:szCs w:val="24"/>
        </w:rPr>
        <w:t>Liens, Nouvelle Série : Revue Francophone Internationale</w:t>
      </w:r>
      <w:r w:rsidRPr="001247DD">
        <w:rPr>
          <w:sz w:val="24"/>
          <w:szCs w:val="24"/>
        </w:rPr>
        <w:t>.</w:t>
      </w:r>
    </w:p>
    <w:p w14:paraId="0BCCDAD8" w14:textId="77777777" w:rsidR="00D80693" w:rsidRPr="001247DD" w:rsidRDefault="00D80693" w:rsidP="00BD3B47">
      <w:pPr>
        <w:tabs>
          <w:tab w:val="left" w:pos="1560"/>
        </w:tabs>
        <w:spacing w:before="50" w:after="50"/>
        <w:ind w:left="993" w:hanging="993"/>
        <w:jc w:val="both"/>
        <w:rPr>
          <w:rFonts w:eastAsia="Calibri"/>
          <w:sz w:val="24"/>
          <w:szCs w:val="24"/>
        </w:rPr>
      </w:pPr>
      <w:proofErr w:type="spellStart"/>
      <w:r w:rsidRPr="001247DD">
        <w:rPr>
          <w:sz w:val="24"/>
          <w:szCs w:val="24"/>
        </w:rPr>
        <w:t>Kusurkar</w:t>
      </w:r>
      <w:proofErr w:type="spellEnd"/>
      <w:r w:rsidRPr="001247DD">
        <w:rPr>
          <w:sz w:val="24"/>
          <w:szCs w:val="24"/>
        </w:rPr>
        <w:t xml:space="preserve">, R. A., Ten Cate, T. J., Vos, C. M. P., </w:t>
      </w:r>
      <w:proofErr w:type="spellStart"/>
      <w:r w:rsidRPr="001247DD">
        <w:rPr>
          <w:sz w:val="24"/>
          <w:szCs w:val="24"/>
        </w:rPr>
        <w:t>Westers</w:t>
      </w:r>
      <w:proofErr w:type="spellEnd"/>
      <w:r w:rsidRPr="001247DD">
        <w:rPr>
          <w:sz w:val="24"/>
          <w:szCs w:val="24"/>
        </w:rPr>
        <w:t xml:space="preserve">, P., &amp; Croiset, G. (2013). </w:t>
      </w:r>
      <w:r w:rsidRPr="001247DD">
        <w:rPr>
          <w:sz w:val="24"/>
          <w:szCs w:val="24"/>
          <w:lang w:val="en-US"/>
        </w:rPr>
        <w:t>How motivation affects academic performance: A structural equation modelling analysis. </w:t>
      </w:r>
      <w:proofErr w:type="spellStart"/>
      <w:r w:rsidRPr="001247DD">
        <w:rPr>
          <w:i/>
          <w:iCs/>
          <w:sz w:val="24"/>
          <w:szCs w:val="24"/>
        </w:rPr>
        <w:t>Advances</w:t>
      </w:r>
      <w:proofErr w:type="spellEnd"/>
      <w:r w:rsidRPr="001247DD">
        <w:rPr>
          <w:i/>
          <w:iCs/>
          <w:sz w:val="24"/>
          <w:szCs w:val="24"/>
        </w:rPr>
        <w:t xml:space="preserve"> in Health Sciences Education, 18</w:t>
      </w:r>
      <w:r w:rsidRPr="001247DD">
        <w:rPr>
          <w:sz w:val="24"/>
          <w:szCs w:val="24"/>
        </w:rPr>
        <w:t>(1), 57</w:t>
      </w:r>
      <w:r w:rsidRPr="001247DD">
        <w:rPr>
          <w:sz w:val="24"/>
          <w:szCs w:val="24"/>
        </w:rPr>
        <w:noBreakHyphen/>
        <w:t>69.</w:t>
      </w:r>
    </w:p>
    <w:p w14:paraId="5221899C" w14:textId="77777777" w:rsidR="00D80693" w:rsidRPr="001247DD" w:rsidRDefault="00D80693" w:rsidP="00BD3B47">
      <w:pPr>
        <w:tabs>
          <w:tab w:val="left" w:pos="1560"/>
        </w:tabs>
        <w:spacing w:before="50" w:after="50"/>
        <w:ind w:left="993" w:hanging="993"/>
        <w:jc w:val="both"/>
        <w:rPr>
          <w:rFonts w:eastAsia="Calibri"/>
          <w:sz w:val="24"/>
          <w:szCs w:val="24"/>
        </w:rPr>
      </w:pPr>
      <w:r w:rsidRPr="001247DD">
        <w:rPr>
          <w:sz w:val="24"/>
          <w:szCs w:val="24"/>
        </w:rPr>
        <w:t>Menzan Kouakou, R. (2023). Résilience scolaire et réussite éducative : motivation et encadrement pédagogique comme facteurs de résilience. </w:t>
      </w:r>
      <w:proofErr w:type="spellStart"/>
      <w:r w:rsidRPr="001247DD">
        <w:rPr>
          <w:i/>
          <w:iCs/>
          <w:sz w:val="24"/>
          <w:szCs w:val="24"/>
        </w:rPr>
        <w:t>AcaRef</w:t>
      </w:r>
      <w:proofErr w:type="spellEnd"/>
      <w:r w:rsidRPr="001247DD">
        <w:rPr>
          <w:i/>
          <w:iCs/>
          <w:sz w:val="24"/>
          <w:szCs w:val="24"/>
        </w:rPr>
        <w:t xml:space="preserve"> – Inspection d’Enseignement Préscolaire et Primaire de Dabou, Côte d’Ivoire</w:t>
      </w:r>
      <w:r w:rsidRPr="001247DD">
        <w:rPr>
          <w:sz w:val="24"/>
          <w:szCs w:val="24"/>
        </w:rPr>
        <w:t>.</w:t>
      </w:r>
    </w:p>
    <w:p w14:paraId="6BA9135D" w14:textId="77777777" w:rsidR="00D80693" w:rsidRPr="001247DD" w:rsidRDefault="00D80693" w:rsidP="00BD3B47">
      <w:pPr>
        <w:tabs>
          <w:tab w:val="left" w:pos="1560"/>
        </w:tabs>
        <w:spacing w:before="50" w:after="50"/>
        <w:ind w:left="993" w:hanging="993"/>
        <w:jc w:val="both"/>
        <w:rPr>
          <w:rFonts w:eastAsia="Calibri"/>
          <w:sz w:val="24"/>
          <w:szCs w:val="24"/>
        </w:rPr>
      </w:pPr>
    </w:p>
    <w:p w14:paraId="5058D3FD" w14:textId="77777777" w:rsidR="00D80693" w:rsidRPr="001247DD" w:rsidRDefault="00D80693" w:rsidP="00BD3B47">
      <w:pPr>
        <w:tabs>
          <w:tab w:val="left" w:pos="1560"/>
        </w:tabs>
        <w:spacing w:before="50" w:after="50"/>
        <w:ind w:left="993" w:hanging="993"/>
        <w:jc w:val="both"/>
        <w:rPr>
          <w:rFonts w:eastAsia="Calibri"/>
          <w:sz w:val="24"/>
          <w:szCs w:val="24"/>
          <w:lang w:val="en-US"/>
        </w:rPr>
      </w:pPr>
      <w:r w:rsidRPr="0065773E">
        <w:rPr>
          <w:sz w:val="24"/>
          <w:szCs w:val="24"/>
          <w:lang w:val="pt-PT"/>
        </w:rPr>
        <w:t xml:space="preserve">N’Guia, J.-C., Koffi, K., Sanogo, M., &amp; N’Cho, D. D. A. (2022). </w:t>
      </w:r>
      <w:r w:rsidRPr="001247DD">
        <w:rPr>
          <w:sz w:val="24"/>
          <w:szCs w:val="24"/>
        </w:rPr>
        <w:t>Conditions de vie et rendement scolaire des élèves du lycée moderne Khalil de Daloa (Centre</w:t>
      </w:r>
      <w:r w:rsidRPr="001247DD">
        <w:rPr>
          <w:sz w:val="24"/>
          <w:szCs w:val="24"/>
        </w:rPr>
        <w:noBreakHyphen/>
        <w:t>ouest, Côte d’Ivoire). </w:t>
      </w:r>
      <w:r w:rsidRPr="001247DD">
        <w:rPr>
          <w:i/>
          <w:iCs/>
          <w:sz w:val="24"/>
          <w:szCs w:val="24"/>
          <w:lang w:val="en-US"/>
        </w:rPr>
        <w:t>GPH</w:t>
      </w:r>
      <w:r w:rsidRPr="001247DD">
        <w:rPr>
          <w:i/>
          <w:iCs/>
          <w:sz w:val="24"/>
          <w:szCs w:val="24"/>
          <w:lang w:val="en-US"/>
        </w:rPr>
        <w:noBreakHyphen/>
        <w:t>International Journal of Social Science and Humanities Research, 5</w:t>
      </w:r>
      <w:r w:rsidRPr="001247DD">
        <w:rPr>
          <w:sz w:val="24"/>
          <w:szCs w:val="24"/>
          <w:lang w:val="en-US"/>
        </w:rPr>
        <w:t>(08), 1</w:t>
      </w:r>
      <w:r w:rsidRPr="001247DD">
        <w:rPr>
          <w:sz w:val="24"/>
          <w:szCs w:val="24"/>
          <w:lang w:val="en-US"/>
        </w:rPr>
        <w:noBreakHyphen/>
        <w:t>10.</w:t>
      </w:r>
    </w:p>
    <w:p w14:paraId="1F1376C4" w14:textId="77777777" w:rsidR="00D80693" w:rsidRPr="001247DD" w:rsidRDefault="00D80693" w:rsidP="00BD3B47">
      <w:pPr>
        <w:tabs>
          <w:tab w:val="left" w:pos="1560"/>
        </w:tabs>
        <w:spacing w:before="50" w:after="50"/>
        <w:ind w:left="993" w:hanging="993"/>
        <w:jc w:val="both"/>
        <w:rPr>
          <w:rFonts w:eastAsia="Calibri"/>
          <w:sz w:val="24"/>
          <w:szCs w:val="24"/>
          <w:lang w:val="en-US"/>
        </w:rPr>
      </w:pPr>
      <w:r w:rsidRPr="001247DD">
        <w:rPr>
          <w:sz w:val="24"/>
          <w:szCs w:val="24"/>
          <w:lang w:val="en-US"/>
        </w:rPr>
        <w:t xml:space="preserve">Onyekwere, N. A., Okoro, P. E., &amp; </w:t>
      </w:r>
      <w:proofErr w:type="spellStart"/>
      <w:r w:rsidRPr="001247DD">
        <w:rPr>
          <w:sz w:val="24"/>
          <w:szCs w:val="24"/>
          <w:lang w:val="en-US"/>
        </w:rPr>
        <w:t>Unamba</w:t>
      </w:r>
      <w:proofErr w:type="spellEnd"/>
      <w:r w:rsidRPr="001247DD">
        <w:rPr>
          <w:sz w:val="24"/>
          <w:szCs w:val="24"/>
          <w:lang w:val="en-US"/>
        </w:rPr>
        <w:t>, E. C. (2022). Influence of extrinsic and intrinsic motivation on pupils’ academic performance</w:t>
      </w:r>
      <w:r>
        <w:rPr>
          <w:sz w:val="24"/>
          <w:szCs w:val="24"/>
          <w:lang w:val="en-US"/>
        </w:rPr>
        <w:t xml:space="preserve"> </w:t>
      </w:r>
      <w:r w:rsidRPr="001247DD">
        <w:rPr>
          <w:sz w:val="24"/>
          <w:szCs w:val="24"/>
          <w:lang w:val="en-US"/>
        </w:rPr>
        <w:t>in mathematics. </w:t>
      </w:r>
      <w:r w:rsidRPr="001247DD">
        <w:rPr>
          <w:i/>
          <w:iCs/>
          <w:sz w:val="24"/>
          <w:szCs w:val="24"/>
          <w:lang w:val="en-US"/>
        </w:rPr>
        <w:t>Supremum Journal of Mathematics Education, 2</w:t>
      </w:r>
      <w:r w:rsidRPr="001247DD">
        <w:rPr>
          <w:sz w:val="24"/>
          <w:szCs w:val="24"/>
          <w:lang w:val="en-US"/>
        </w:rPr>
        <w:t>(2).</w:t>
      </w:r>
    </w:p>
    <w:p w14:paraId="07AC0770" w14:textId="77777777" w:rsidR="00D80693" w:rsidRDefault="00D80693" w:rsidP="00BD3B47">
      <w:pPr>
        <w:tabs>
          <w:tab w:val="left" w:pos="1560"/>
        </w:tabs>
        <w:spacing w:before="50" w:after="50"/>
        <w:ind w:left="993" w:hanging="993"/>
        <w:jc w:val="both"/>
        <w:rPr>
          <w:rFonts w:eastAsia="Calibri"/>
          <w:sz w:val="24"/>
          <w:szCs w:val="24"/>
          <w:lang w:val="en-US"/>
        </w:rPr>
      </w:pPr>
      <w:r w:rsidRPr="001928FA">
        <w:rPr>
          <w:sz w:val="24"/>
          <w:szCs w:val="24"/>
          <w:lang w:val="en-US"/>
        </w:rPr>
        <w:t xml:space="preserve">Pestana, S. C. C., Peixoto, F., &amp; Rosado Pinto, P. (2023). </w:t>
      </w:r>
      <w:r w:rsidRPr="001247DD">
        <w:rPr>
          <w:sz w:val="24"/>
          <w:szCs w:val="24"/>
          <w:lang w:val="en-US"/>
        </w:rPr>
        <w:t>Academic achievement and intrinsic motivation in higher education students: An analysis of the impact of using concept maps. </w:t>
      </w:r>
      <w:r w:rsidRPr="001247DD">
        <w:rPr>
          <w:i/>
          <w:iCs/>
          <w:sz w:val="24"/>
          <w:szCs w:val="24"/>
          <w:lang w:val="en-US"/>
        </w:rPr>
        <w:t>Journal of Applied Research in Higher Education, 15</w:t>
      </w:r>
      <w:r w:rsidRPr="001247DD">
        <w:rPr>
          <w:sz w:val="24"/>
          <w:szCs w:val="24"/>
          <w:lang w:val="en-US"/>
        </w:rPr>
        <w:t>(3), 663</w:t>
      </w:r>
      <w:r w:rsidRPr="001247DD">
        <w:rPr>
          <w:sz w:val="24"/>
          <w:szCs w:val="24"/>
          <w:lang w:val="en-US"/>
        </w:rPr>
        <w:noBreakHyphen/>
        <w:t>680.</w:t>
      </w:r>
    </w:p>
    <w:p w14:paraId="599CBC5C" w14:textId="15B10F2B" w:rsidR="00D80693" w:rsidRPr="00FD21E7" w:rsidRDefault="00D80693" w:rsidP="00BD3B47">
      <w:pPr>
        <w:tabs>
          <w:tab w:val="left" w:pos="1560"/>
        </w:tabs>
        <w:spacing w:before="50" w:after="50"/>
        <w:ind w:left="993" w:hanging="993"/>
        <w:jc w:val="both"/>
        <w:rPr>
          <w:rFonts w:eastAsia="Calibri"/>
          <w:sz w:val="24"/>
          <w:szCs w:val="24"/>
        </w:rPr>
      </w:pPr>
      <w:r w:rsidRPr="00943813">
        <w:rPr>
          <w:sz w:val="24"/>
          <w:szCs w:val="24"/>
          <w:lang w:val="en-US"/>
        </w:rPr>
        <w:t xml:space="preserve">Ryan, R. M., &amp; Deci, E. L. (2000). </w:t>
      </w:r>
      <w:r w:rsidRPr="00943813">
        <w:rPr>
          <w:i/>
          <w:iCs/>
          <w:sz w:val="24"/>
          <w:szCs w:val="24"/>
          <w:lang w:val="en-US"/>
        </w:rPr>
        <w:t>Self-determination theory and the facilitation of intrinsic motivation, social development, and well-being.</w:t>
      </w:r>
      <w:r w:rsidRPr="00943813">
        <w:rPr>
          <w:sz w:val="24"/>
          <w:szCs w:val="24"/>
          <w:lang w:val="en-US"/>
        </w:rPr>
        <w:t xml:space="preserve"> </w:t>
      </w:r>
      <w:r w:rsidRPr="00943813">
        <w:rPr>
          <w:i/>
          <w:iCs/>
          <w:sz w:val="24"/>
          <w:szCs w:val="24"/>
        </w:rPr>
        <w:t xml:space="preserve">American </w:t>
      </w:r>
      <w:proofErr w:type="spellStart"/>
      <w:r w:rsidRPr="00943813">
        <w:rPr>
          <w:i/>
          <w:iCs/>
          <w:sz w:val="24"/>
          <w:szCs w:val="24"/>
        </w:rPr>
        <w:t>Psychologist</w:t>
      </w:r>
      <w:proofErr w:type="spellEnd"/>
      <w:r w:rsidRPr="00943813">
        <w:rPr>
          <w:sz w:val="24"/>
          <w:szCs w:val="24"/>
        </w:rPr>
        <w:t>, 55(1), 68–78. https://doi.org/10.1037/0003-066X.55.1.68</w:t>
      </w:r>
      <w:r w:rsidR="00BD3B47">
        <w:rPr>
          <w:rFonts w:eastAsia="Calibri"/>
          <w:sz w:val="24"/>
          <w:szCs w:val="24"/>
        </w:rPr>
        <w:t>.</w:t>
      </w:r>
    </w:p>
    <w:p w14:paraId="6CF2F94D" w14:textId="77777777" w:rsidR="00D80693" w:rsidRPr="00823C8D" w:rsidRDefault="00D80693" w:rsidP="00BD3B47">
      <w:pPr>
        <w:tabs>
          <w:tab w:val="left" w:pos="1560"/>
        </w:tabs>
        <w:spacing w:before="50" w:after="50"/>
        <w:ind w:left="993" w:hanging="993"/>
        <w:jc w:val="both"/>
        <w:rPr>
          <w:rFonts w:eastAsia="Calibri"/>
          <w:sz w:val="24"/>
          <w:szCs w:val="24"/>
        </w:rPr>
      </w:pPr>
      <w:r w:rsidRPr="00F725A1">
        <w:rPr>
          <w:sz w:val="24"/>
          <w:szCs w:val="24"/>
        </w:rPr>
        <w:t xml:space="preserve">Vallerand, R. J., Bissonnette, R., &amp; Provencher, P. (1992). </w:t>
      </w:r>
      <w:r w:rsidRPr="00F725A1">
        <w:rPr>
          <w:i/>
          <w:iCs/>
          <w:sz w:val="24"/>
          <w:szCs w:val="24"/>
          <w:lang w:val="en-US"/>
        </w:rPr>
        <w:t>Predicting academic success: A test of the academic motivation model.</w:t>
      </w:r>
      <w:r w:rsidRPr="00F725A1">
        <w:rPr>
          <w:sz w:val="24"/>
          <w:szCs w:val="24"/>
          <w:lang w:val="en-US"/>
        </w:rPr>
        <w:t xml:space="preserve"> </w:t>
      </w:r>
      <w:r w:rsidRPr="00823C8D">
        <w:rPr>
          <w:i/>
          <w:iCs/>
          <w:sz w:val="24"/>
          <w:szCs w:val="24"/>
        </w:rPr>
        <w:t>Journal of Social Psychology</w:t>
      </w:r>
      <w:r w:rsidRPr="00823C8D">
        <w:rPr>
          <w:sz w:val="24"/>
          <w:szCs w:val="24"/>
        </w:rPr>
        <w:t xml:space="preserve">, 132(4), 703–718. </w:t>
      </w:r>
      <w:hyperlink r:id="rId74" w:history="1">
        <w:r w:rsidRPr="00823C8D">
          <w:rPr>
            <w:sz w:val="24"/>
            <w:szCs w:val="24"/>
          </w:rPr>
          <w:t>https://doi.org/10.1080/00224545.1992.9922993</w:t>
        </w:r>
      </w:hyperlink>
    </w:p>
    <w:p w14:paraId="460F4CD4" w14:textId="77777777" w:rsidR="00D80693" w:rsidRPr="00EC519A" w:rsidRDefault="00D80693" w:rsidP="00BD3B47">
      <w:pPr>
        <w:tabs>
          <w:tab w:val="left" w:pos="1560"/>
        </w:tabs>
        <w:spacing w:before="50" w:after="50"/>
        <w:ind w:left="993" w:hanging="993"/>
        <w:jc w:val="both"/>
        <w:rPr>
          <w:rFonts w:eastAsia="Calibri"/>
          <w:sz w:val="24"/>
          <w:szCs w:val="24"/>
          <w:lang w:val="en-US"/>
        </w:rPr>
      </w:pPr>
      <w:r w:rsidRPr="00F725A1">
        <w:rPr>
          <w:sz w:val="24"/>
          <w:szCs w:val="24"/>
        </w:rPr>
        <w:t xml:space="preserve">Vallerand, R. J., Pelletier, L. G., Blais, M. R., Brière, N. M., </w:t>
      </w:r>
      <w:proofErr w:type="spellStart"/>
      <w:r w:rsidRPr="00F725A1">
        <w:rPr>
          <w:sz w:val="24"/>
          <w:szCs w:val="24"/>
        </w:rPr>
        <w:t>Senécal</w:t>
      </w:r>
      <w:proofErr w:type="spellEnd"/>
      <w:r w:rsidRPr="00F725A1">
        <w:rPr>
          <w:sz w:val="24"/>
          <w:szCs w:val="24"/>
        </w:rPr>
        <w:t xml:space="preserve">, C., &amp; Vallières, E. F. (1997). </w:t>
      </w:r>
      <w:r w:rsidRPr="00F725A1">
        <w:rPr>
          <w:i/>
          <w:iCs/>
          <w:sz w:val="24"/>
          <w:szCs w:val="24"/>
          <w:lang w:val="en-US"/>
        </w:rPr>
        <w:t>The academic motivation scale: A measure of intrinsic, extrinsic, and amotivation in education.</w:t>
      </w:r>
      <w:r w:rsidRPr="00F725A1">
        <w:rPr>
          <w:sz w:val="24"/>
          <w:szCs w:val="24"/>
          <w:lang w:val="en-US"/>
        </w:rPr>
        <w:t xml:space="preserve"> </w:t>
      </w:r>
      <w:r w:rsidRPr="00EC519A">
        <w:rPr>
          <w:i/>
          <w:iCs/>
          <w:sz w:val="24"/>
          <w:szCs w:val="24"/>
          <w:lang w:val="en-US"/>
        </w:rPr>
        <w:t>Educational and Psychological Measurement</w:t>
      </w:r>
      <w:r w:rsidRPr="00EC519A">
        <w:rPr>
          <w:sz w:val="24"/>
          <w:szCs w:val="24"/>
          <w:lang w:val="en-US"/>
        </w:rPr>
        <w:t xml:space="preserve">, 53(1), 159–172. </w:t>
      </w:r>
      <w:hyperlink r:id="rId75" w:history="1">
        <w:r w:rsidRPr="00EC519A">
          <w:rPr>
            <w:sz w:val="24"/>
            <w:szCs w:val="24"/>
            <w:lang w:val="en-US"/>
          </w:rPr>
          <w:t>https://doi.org/10.1177/0013164497053001018</w:t>
        </w:r>
      </w:hyperlink>
    </w:p>
    <w:p w14:paraId="1AFE54D8" w14:textId="77777777" w:rsidR="00D80693" w:rsidRPr="00F11B80" w:rsidRDefault="00D80693" w:rsidP="00BD3B47">
      <w:pPr>
        <w:tabs>
          <w:tab w:val="left" w:pos="1560"/>
        </w:tabs>
        <w:spacing w:before="50" w:after="50"/>
        <w:ind w:left="993" w:hanging="993"/>
        <w:jc w:val="both"/>
        <w:rPr>
          <w:rFonts w:eastAsia="Calibri"/>
          <w:sz w:val="24"/>
          <w:szCs w:val="24"/>
          <w:lang w:val="fr-SN"/>
        </w:rPr>
      </w:pPr>
      <w:r w:rsidRPr="001928FA">
        <w:rPr>
          <w:sz w:val="24"/>
          <w:szCs w:val="24"/>
          <w:lang w:val="en-US"/>
        </w:rPr>
        <w:t xml:space="preserve">Zaccone, M. C., &amp; Pedrini, M. (2019). </w:t>
      </w:r>
      <w:r w:rsidRPr="00BC5CF0">
        <w:rPr>
          <w:sz w:val="24"/>
          <w:szCs w:val="24"/>
          <w:lang w:val="en-US"/>
        </w:rPr>
        <w:t>The effects of intrinsic and extrinsic motivation on students learning effectiveness: Exploring the moderating role of gender. </w:t>
      </w:r>
      <w:r w:rsidRPr="00F11B80">
        <w:rPr>
          <w:i/>
          <w:iCs/>
          <w:sz w:val="24"/>
          <w:szCs w:val="24"/>
          <w:lang w:val="fr-SN"/>
        </w:rPr>
        <w:t xml:space="preserve">International Journal of </w:t>
      </w:r>
      <w:proofErr w:type="spellStart"/>
      <w:r w:rsidRPr="00F11B80">
        <w:rPr>
          <w:i/>
          <w:iCs/>
          <w:sz w:val="24"/>
          <w:szCs w:val="24"/>
          <w:lang w:val="fr-SN"/>
        </w:rPr>
        <w:t>Educational</w:t>
      </w:r>
      <w:proofErr w:type="spellEnd"/>
      <w:r w:rsidRPr="00F11B80">
        <w:rPr>
          <w:i/>
          <w:iCs/>
          <w:sz w:val="24"/>
          <w:szCs w:val="24"/>
          <w:lang w:val="fr-SN"/>
        </w:rPr>
        <w:t xml:space="preserve"> Management, 33</w:t>
      </w:r>
      <w:r w:rsidRPr="00F11B80">
        <w:rPr>
          <w:sz w:val="24"/>
          <w:szCs w:val="24"/>
          <w:lang w:val="fr-SN"/>
        </w:rPr>
        <w:t>(6), 1381</w:t>
      </w:r>
      <w:r w:rsidRPr="00F11B80">
        <w:rPr>
          <w:sz w:val="24"/>
          <w:szCs w:val="24"/>
          <w:lang w:val="fr-SN"/>
        </w:rPr>
        <w:noBreakHyphen/>
        <w:t>1394.</w:t>
      </w:r>
    </w:p>
    <w:p w14:paraId="2A09AF7F" w14:textId="77777777" w:rsidR="00D80693" w:rsidRDefault="00D80693" w:rsidP="00D80693">
      <w:pPr>
        <w:spacing w:line="276" w:lineRule="auto"/>
        <w:rPr>
          <w:rFonts w:ascii="Calibri" w:eastAsia="Calibri" w:hAnsi="Calibri"/>
          <w:sz w:val="0"/>
          <w:szCs w:val="0"/>
        </w:rPr>
        <w:sectPr w:rsidR="00D80693" w:rsidSect="008F0E54">
          <w:headerReference w:type="default" r:id="rId76"/>
          <w:pgSz w:w="11910" w:h="16840"/>
          <w:pgMar w:top="1417" w:right="1417" w:bottom="1135" w:left="1417" w:header="0" w:footer="849" w:gutter="0"/>
          <w:cols w:space="708"/>
          <w:docGrid w:linePitch="299"/>
        </w:sectPr>
      </w:pPr>
    </w:p>
    <w:p w14:paraId="509E6A7C" w14:textId="243BB4E4" w:rsidR="00D80693" w:rsidRPr="00827D78" w:rsidRDefault="00BD3B47" w:rsidP="007B22B9">
      <w:pPr>
        <w:pStyle w:val="Titre1"/>
        <w:spacing w:before="120"/>
        <w:ind w:left="164"/>
        <w:rPr>
          <w:rFonts w:eastAsia="Calibri"/>
          <w:i/>
          <w:iCs/>
        </w:rPr>
      </w:pPr>
      <w:bookmarkStart w:id="48" w:name="_Hlk215944990"/>
      <w:bookmarkStart w:id="49" w:name="_Hlk197156850"/>
      <w:r w:rsidRPr="00827D78">
        <w:rPr>
          <w:b w:val="0"/>
          <w:bCs w:val="0"/>
          <w:i/>
          <w:iCs/>
        </w:rPr>
        <w:t xml:space="preserve">  </w:t>
      </w:r>
      <w:bookmarkStart w:id="50" w:name="_Hlk216051898"/>
      <w:bookmarkStart w:id="51" w:name="_Toc219272562"/>
      <w:r w:rsidRPr="00827D78">
        <w:rPr>
          <w:i/>
          <w:iCs/>
        </w:rPr>
        <w:t>Auto-exclusion au cours d’EPS : attitudes enseignantes face aux collégiennes des églises de réveil</w:t>
      </w:r>
      <w:bookmarkEnd w:id="51"/>
      <w:r w:rsidRPr="00827D78">
        <w:rPr>
          <w:i/>
          <w:iCs/>
        </w:rPr>
        <w:t xml:space="preserve">  </w:t>
      </w:r>
      <w:bookmarkEnd w:id="50"/>
    </w:p>
    <w:p w14:paraId="6867FE98" w14:textId="77777777" w:rsidR="00D80693" w:rsidRPr="007B22B9" w:rsidRDefault="00D80693" w:rsidP="007B22B9">
      <w:pPr>
        <w:pStyle w:val="Titre1"/>
        <w:spacing w:before="120"/>
        <w:ind w:left="164"/>
        <w:rPr>
          <w:rFonts w:eastAsia="Calibri"/>
        </w:rPr>
      </w:pPr>
      <w:bookmarkStart w:id="52" w:name="_Toc219272563"/>
      <w:bookmarkEnd w:id="48"/>
      <w:r w:rsidRPr="007B22B9">
        <w:t>BAKINGU BAKIBANGOU Yvette, NDONGO Nathalie</w:t>
      </w:r>
      <w:bookmarkEnd w:id="52"/>
    </w:p>
    <w:p w14:paraId="789F0E78" w14:textId="77777777" w:rsidR="00D80693" w:rsidRPr="00FF0802" w:rsidRDefault="00D80693" w:rsidP="00D80693">
      <w:pPr>
        <w:jc w:val="both"/>
        <w:rPr>
          <w:b/>
          <w:bCs/>
          <w:sz w:val="24"/>
          <w:szCs w:val="24"/>
          <w:lang w:eastAsia="fr-FR"/>
        </w:rPr>
      </w:pPr>
      <w:r w:rsidRPr="00FF0802">
        <w:rPr>
          <w:b/>
          <w:bCs/>
          <w:sz w:val="24"/>
          <w:szCs w:val="24"/>
          <w:lang w:eastAsia="fr-FR"/>
        </w:rPr>
        <w:t>Résumé</w:t>
      </w:r>
    </w:p>
    <w:p w14:paraId="08FAF819" w14:textId="77777777" w:rsidR="00D80693" w:rsidRPr="00982627" w:rsidRDefault="00D80693" w:rsidP="00D80693">
      <w:pPr>
        <w:spacing w:before="100" w:beforeAutospacing="1" w:after="100" w:afterAutospacing="1"/>
        <w:jc w:val="both"/>
        <w:rPr>
          <w:sz w:val="24"/>
          <w:szCs w:val="24"/>
          <w:lang w:eastAsia="fr-FR"/>
        </w:rPr>
      </w:pPr>
      <w:r w:rsidRPr="00982627">
        <w:rPr>
          <w:sz w:val="24"/>
          <w:szCs w:val="24"/>
          <w:lang w:eastAsia="fr-FR"/>
        </w:rPr>
        <w:t>Cette étude qualitative, menée auprès de 25 enseignants d'EPS de collèges publics à Brazzaville, a analysé leurs attitudes face à l'auto-exclusion des élèves issues des Églises de Réveil. Des entretiens semi-directifs ont révélé que les enseignants adoptent majoritairement des postures de complaisance ou de laxisme relatif, interprétées comme une stratégie d'évitement ou de tolérance passive. Cette approche, bien qu'intentionnelle pour prévenir le conflit, s'avère contre-productive. Elle échoue à négocier les dogmes religieux rigides et compromet l'application des exigences fondamentales de l'EPS, notamment la mixité et le port de la tenue réglementaire. Cette non-application des règles est perçue comme un facteur pérennisant l'auto-exclusion des élèves. L'étude met en lumière la complexité du rôle de l'enseignant, pris entre le respect des convictions et l'impératif de valider les objectifs pédagogiques. Elle souligne l'urgence d’adopter des approches pédagogiques proactives, adaptées et réellement inclusives afin de garantir la participation de tous les élèves.</w:t>
      </w:r>
    </w:p>
    <w:p w14:paraId="1F0C9D24" w14:textId="77777777" w:rsidR="00D80693" w:rsidRPr="00FF0802" w:rsidRDefault="00D80693" w:rsidP="00D80693">
      <w:pPr>
        <w:jc w:val="both"/>
        <w:rPr>
          <w:rFonts w:eastAsia="Calibri"/>
          <w:sz w:val="24"/>
          <w:szCs w:val="24"/>
        </w:rPr>
      </w:pPr>
      <w:r w:rsidRPr="00FF0802">
        <w:rPr>
          <w:b/>
          <w:bCs/>
          <w:sz w:val="24"/>
          <w:szCs w:val="24"/>
        </w:rPr>
        <w:t>Mots clés :</w:t>
      </w:r>
      <w:r w:rsidRPr="00FF0802">
        <w:rPr>
          <w:sz w:val="24"/>
          <w:szCs w:val="24"/>
        </w:rPr>
        <w:t xml:space="preserve"> Attitudes, auto-exclusion, éducation physique et sportive, </w:t>
      </w:r>
      <w:r w:rsidRPr="00982627">
        <w:rPr>
          <w:sz w:val="24"/>
          <w:szCs w:val="24"/>
        </w:rPr>
        <w:t>É</w:t>
      </w:r>
      <w:r w:rsidRPr="00FF0802">
        <w:rPr>
          <w:sz w:val="24"/>
          <w:szCs w:val="24"/>
        </w:rPr>
        <w:t xml:space="preserve">glise de </w:t>
      </w:r>
      <w:proofErr w:type="gramStart"/>
      <w:r w:rsidRPr="00FF0802">
        <w:rPr>
          <w:sz w:val="24"/>
          <w:szCs w:val="24"/>
        </w:rPr>
        <w:t>Réveil,  stratégies</w:t>
      </w:r>
      <w:proofErr w:type="gramEnd"/>
      <w:r>
        <w:rPr>
          <w:sz w:val="24"/>
          <w:szCs w:val="24"/>
        </w:rPr>
        <w:t>.</w:t>
      </w:r>
    </w:p>
    <w:p w14:paraId="2790D521" w14:textId="77777777" w:rsidR="00BD3B47" w:rsidRPr="001928FA" w:rsidRDefault="00BD3B47" w:rsidP="00D80693">
      <w:pPr>
        <w:jc w:val="both"/>
        <w:rPr>
          <w:b/>
          <w:bCs/>
          <w:sz w:val="24"/>
          <w:szCs w:val="24"/>
        </w:rPr>
      </w:pPr>
    </w:p>
    <w:p w14:paraId="78E07F08" w14:textId="6789ABCD" w:rsidR="00D80693" w:rsidRPr="008A3A18" w:rsidRDefault="00D80693" w:rsidP="00D80693">
      <w:pPr>
        <w:jc w:val="both"/>
        <w:rPr>
          <w:rFonts w:eastAsia="Calibri"/>
          <w:sz w:val="24"/>
          <w:szCs w:val="24"/>
          <w:lang w:val="en-US"/>
        </w:rPr>
      </w:pPr>
      <w:r w:rsidRPr="00FF0802">
        <w:rPr>
          <w:b/>
          <w:bCs/>
          <w:sz w:val="24"/>
          <w:szCs w:val="24"/>
          <w:lang w:val="en-US"/>
        </w:rPr>
        <w:t>Abstract</w:t>
      </w:r>
    </w:p>
    <w:p w14:paraId="57765AAE" w14:textId="77777777" w:rsidR="00D80693" w:rsidRPr="00982627" w:rsidRDefault="00D80693" w:rsidP="00D80693">
      <w:pPr>
        <w:jc w:val="both"/>
        <w:rPr>
          <w:rFonts w:eastAsia="Calibri"/>
          <w:sz w:val="24"/>
          <w:szCs w:val="24"/>
          <w:lang w:val="en-US"/>
        </w:rPr>
      </w:pPr>
      <w:r w:rsidRPr="008A3A18">
        <w:rPr>
          <w:sz w:val="24"/>
          <w:szCs w:val="24"/>
          <w:lang w:val="en-US"/>
        </w:rPr>
        <w:t>This qualitative study, conducted among 25 physical education teachers in public middle schools in Brazzaville, analyzed their attitudes toward the self-exclusion of students from Revivalist churches. Semi-structured interviews revealed that most teachers adopt attitudes of complacency or relative laxity, interpreted as a strategy of avoidance or passive tolerance.</w:t>
      </w:r>
      <w:r w:rsidRPr="00742026">
        <w:rPr>
          <w:lang w:val="en-US"/>
        </w:rPr>
        <w:t xml:space="preserve"> </w:t>
      </w:r>
      <w:r w:rsidRPr="008A3A18">
        <w:rPr>
          <w:sz w:val="24"/>
          <w:szCs w:val="24"/>
          <w:lang w:val="en-US"/>
        </w:rPr>
        <w:t xml:space="preserve">This approach, although intended to prevent conflict, proves counterproductive. It fails to negotiate rigid religious dogmas and compromises the application of fundamental EPS requirements, including coeducation and the wearing of regulation uniforms. This failure to enforce the rules is perceived as a factor perpetuating the self-exclusion of students. The study highlights the complexity of the teacher's role, caught between respecting beliefs and the imperative to validate educational objectives. It emphasizes the urgent need to adopt proactive, adapted, and truly inclusive educational approaches </w:t>
      </w:r>
      <w:proofErr w:type="gramStart"/>
      <w:r w:rsidRPr="008A3A18">
        <w:rPr>
          <w:sz w:val="24"/>
          <w:szCs w:val="24"/>
          <w:lang w:val="en-US"/>
        </w:rPr>
        <w:t>in order to</w:t>
      </w:r>
      <w:proofErr w:type="gramEnd"/>
      <w:r w:rsidRPr="008A3A18">
        <w:rPr>
          <w:sz w:val="24"/>
          <w:szCs w:val="24"/>
          <w:lang w:val="en-US"/>
        </w:rPr>
        <w:t xml:space="preserve"> ensure the participation of all students.</w:t>
      </w:r>
      <w:bookmarkEnd w:id="49"/>
    </w:p>
    <w:p w14:paraId="728199F4" w14:textId="77777777" w:rsidR="00D80693" w:rsidRDefault="00D80693" w:rsidP="00D80693">
      <w:pPr>
        <w:spacing w:before="100" w:beforeAutospacing="1" w:after="100" w:afterAutospacing="1"/>
        <w:jc w:val="both"/>
        <w:rPr>
          <w:sz w:val="24"/>
          <w:szCs w:val="24"/>
          <w:lang w:val="en-US" w:eastAsia="fr-FR"/>
        </w:rPr>
      </w:pPr>
      <w:r w:rsidRPr="00FF0802">
        <w:rPr>
          <w:b/>
          <w:bCs/>
          <w:sz w:val="24"/>
          <w:szCs w:val="24"/>
          <w:lang w:val="en-US" w:eastAsia="fr-FR"/>
        </w:rPr>
        <w:t>Key words:</w:t>
      </w:r>
      <w:r w:rsidRPr="00FF0802">
        <w:rPr>
          <w:sz w:val="24"/>
          <w:szCs w:val="24"/>
          <w:lang w:val="en-US" w:eastAsia="fr-FR"/>
        </w:rPr>
        <w:t xml:space="preserve">   Attitudes, self-exclusion, physical education and sports, Revivalist Church, strategies</w:t>
      </w:r>
      <w:r>
        <w:rPr>
          <w:sz w:val="24"/>
          <w:szCs w:val="24"/>
          <w:lang w:val="en-US" w:eastAsia="fr-FR"/>
        </w:rPr>
        <w:t>.</w:t>
      </w:r>
    </w:p>
    <w:p w14:paraId="7B818C6C" w14:textId="77777777" w:rsidR="00BD3B47" w:rsidRPr="001928FA" w:rsidRDefault="00BD3B47">
      <w:pPr>
        <w:rPr>
          <w:b/>
          <w:bCs/>
          <w:sz w:val="28"/>
          <w:szCs w:val="28"/>
          <w:lang w:val="en-US" w:eastAsia="fr-FR"/>
        </w:rPr>
      </w:pPr>
      <w:r w:rsidRPr="001928FA">
        <w:rPr>
          <w:b/>
          <w:bCs/>
          <w:sz w:val="28"/>
          <w:szCs w:val="28"/>
          <w:lang w:val="en-US" w:eastAsia="fr-FR"/>
        </w:rPr>
        <w:br w:type="page"/>
      </w:r>
    </w:p>
    <w:p w14:paraId="70FC1030" w14:textId="7A4D1DEA" w:rsidR="00D80693" w:rsidRPr="00742026" w:rsidRDefault="00D80693" w:rsidP="00D80693">
      <w:pPr>
        <w:spacing w:before="100" w:beforeAutospacing="1" w:after="100" w:afterAutospacing="1"/>
        <w:jc w:val="both"/>
        <w:rPr>
          <w:sz w:val="24"/>
          <w:szCs w:val="24"/>
          <w:lang w:val="fr-SN" w:eastAsia="fr-FR"/>
        </w:rPr>
      </w:pPr>
      <w:r w:rsidRPr="008B553F">
        <w:rPr>
          <w:b/>
          <w:bCs/>
          <w:sz w:val="28"/>
          <w:szCs w:val="28"/>
          <w:lang w:eastAsia="fr-FR"/>
        </w:rPr>
        <w:t xml:space="preserve">Introduction </w:t>
      </w:r>
    </w:p>
    <w:p w14:paraId="1105E6AB" w14:textId="77777777" w:rsidR="00D80693" w:rsidRPr="00FF0802" w:rsidRDefault="00D80693" w:rsidP="00BD3B47">
      <w:pPr>
        <w:spacing w:before="120"/>
        <w:jc w:val="both"/>
        <w:rPr>
          <w:sz w:val="24"/>
          <w:szCs w:val="24"/>
          <w:lang w:eastAsia="fr-FR"/>
        </w:rPr>
      </w:pPr>
      <w:r w:rsidRPr="00FF0802">
        <w:rPr>
          <w:sz w:val="24"/>
          <w:szCs w:val="24"/>
          <w:lang w:eastAsia="fr-FR"/>
        </w:rPr>
        <w:t>La diversité religieuse constitue aujourd’hui un élément structurant des sociétés africaines contemporaines, caractérisée par la cohabitation de croyances traditionnelles, de religions chrétiennes variées et d’autres courants spirituels (</w:t>
      </w:r>
      <w:proofErr w:type="spellStart"/>
      <w:r w:rsidRPr="00FF0802">
        <w:rPr>
          <w:sz w:val="24"/>
          <w:szCs w:val="24"/>
          <w:lang w:eastAsia="fr-FR"/>
        </w:rPr>
        <w:t>Mbiti</w:t>
      </w:r>
      <w:proofErr w:type="spellEnd"/>
      <w:r w:rsidRPr="00FF0802">
        <w:rPr>
          <w:sz w:val="24"/>
          <w:szCs w:val="24"/>
          <w:lang w:eastAsia="fr-FR"/>
        </w:rPr>
        <w:t>, 1991 ; Sanneh, 2003 ; Houtman, Meyer, 2012). Ce pluralisme religieux participe à la construction identitaire et sociale des individus.</w:t>
      </w:r>
    </w:p>
    <w:p w14:paraId="2A6EF0E2" w14:textId="77777777" w:rsidR="00D80693" w:rsidRPr="00FF0802" w:rsidRDefault="00D80693" w:rsidP="00BD3B47">
      <w:pPr>
        <w:spacing w:before="120"/>
        <w:jc w:val="both"/>
        <w:rPr>
          <w:sz w:val="24"/>
          <w:szCs w:val="24"/>
          <w:lang w:eastAsia="fr-FR"/>
        </w:rPr>
      </w:pPr>
      <w:r w:rsidRPr="00FF0802">
        <w:rPr>
          <w:sz w:val="24"/>
          <w:szCs w:val="24"/>
          <w:lang w:eastAsia="fr-FR"/>
        </w:rPr>
        <w:t>La République du Congo n’y fait pas exception</w:t>
      </w:r>
      <w:r>
        <w:rPr>
          <w:sz w:val="24"/>
          <w:szCs w:val="24"/>
          <w:lang w:eastAsia="fr-FR"/>
        </w:rPr>
        <w:t xml:space="preserve">. En effet, </w:t>
      </w:r>
      <w:r w:rsidRPr="00FF0802">
        <w:rPr>
          <w:sz w:val="24"/>
          <w:szCs w:val="24"/>
          <w:lang w:eastAsia="fr-FR"/>
        </w:rPr>
        <w:t xml:space="preserve">son paysage religieux national se caractérise par la coexistence de multiples confessions, dont un large éventail de mouvements charismatiques et pentecôtistes, souvent désignés comme </w:t>
      </w:r>
      <w:r w:rsidRPr="00FF0802">
        <w:rPr>
          <w:b/>
          <w:bCs/>
          <w:sz w:val="24"/>
          <w:szCs w:val="24"/>
          <w:lang w:eastAsia="fr-FR"/>
        </w:rPr>
        <w:t xml:space="preserve">« </w:t>
      </w:r>
      <w:r w:rsidRPr="00FF0802">
        <w:rPr>
          <w:sz w:val="24"/>
          <w:szCs w:val="24"/>
          <w:lang w:eastAsia="fr-FR"/>
        </w:rPr>
        <w:t>Églises de Réveil</w:t>
      </w:r>
      <w:r w:rsidRPr="00FF0802">
        <w:rPr>
          <w:b/>
          <w:bCs/>
          <w:sz w:val="24"/>
          <w:szCs w:val="24"/>
          <w:lang w:eastAsia="fr-FR"/>
        </w:rPr>
        <w:t xml:space="preserve"> »</w:t>
      </w:r>
      <w:r w:rsidRPr="00FF0802">
        <w:rPr>
          <w:sz w:val="24"/>
          <w:szCs w:val="24"/>
          <w:lang w:eastAsia="fr-FR"/>
        </w:rPr>
        <w:t xml:space="preserve"> (</w:t>
      </w:r>
      <w:proofErr w:type="spellStart"/>
      <w:r w:rsidRPr="00FF0802">
        <w:rPr>
          <w:sz w:val="24"/>
          <w:szCs w:val="24"/>
          <w:lang w:eastAsia="fr-FR"/>
        </w:rPr>
        <w:t>Ngondi</w:t>
      </w:r>
      <w:proofErr w:type="spellEnd"/>
      <w:r w:rsidRPr="00FF0802">
        <w:rPr>
          <w:sz w:val="24"/>
          <w:szCs w:val="24"/>
          <w:lang w:eastAsia="fr-FR"/>
        </w:rPr>
        <w:t>, 2005 ; Sanneh, 2003 ; Kalu, 2008). Cette pluralité influence profondément les pratiques sociales et culturelles et façonne les rapports entre les individus et les institutions, notamment dans le domaine de l’éducation (</w:t>
      </w:r>
      <w:r>
        <w:rPr>
          <w:sz w:val="24"/>
          <w:szCs w:val="24"/>
          <w:lang w:eastAsia="fr-FR"/>
        </w:rPr>
        <w:t>Lwanga</w:t>
      </w:r>
      <w:r w:rsidRPr="00FF0802">
        <w:rPr>
          <w:sz w:val="24"/>
          <w:szCs w:val="24"/>
          <w:lang w:eastAsia="fr-FR"/>
        </w:rPr>
        <w:t>, 20</w:t>
      </w:r>
      <w:r>
        <w:rPr>
          <w:sz w:val="24"/>
          <w:szCs w:val="24"/>
          <w:lang w:eastAsia="fr-FR"/>
        </w:rPr>
        <w:t>22</w:t>
      </w:r>
      <w:r w:rsidRPr="00FF0802">
        <w:rPr>
          <w:sz w:val="24"/>
          <w:szCs w:val="24"/>
          <w:lang w:eastAsia="fr-FR"/>
        </w:rPr>
        <w:t xml:space="preserve"> ; </w:t>
      </w:r>
      <w:proofErr w:type="spellStart"/>
      <w:r w:rsidRPr="00FF0802">
        <w:rPr>
          <w:sz w:val="24"/>
          <w:szCs w:val="24"/>
          <w:lang w:eastAsia="fr-FR"/>
        </w:rPr>
        <w:t>Matangila</w:t>
      </w:r>
      <w:proofErr w:type="spellEnd"/>
      <w:r w:rsidRPr="00FF0802">
        <w:rPr>
          <w:sz w:val="24"/>
          <w:szCs w:val="24"/>
          <w:lang w:eastAsia="fr-FR"/>
        </w:rPr>
        <w:t>, 2006 ; Anderson, 2000 ; Kalu, 2008).</w:t>
      </w:r>
    </w:p>
    <w:p w14:paraId="7D1BE1DE" w14:textId="77777777" w:rsidR="00D80693" w:rsidRPr="00FF0802" w:rsidRDefault="00D80693" w:rsidP="00BD3B47">
      <w:pPr>
        <w:spacing w:before="120"/>
        <w:jc w:val="both"/>
        <w:rPr>
          <w:sz w:val="24"/>
          <w:szCs w:val="24"/>
          <w:lang w:eastAsia="fr-FR"/>
        </w:rPr>
      </w:pPr>
      <w:r w:rsidRPr="00FF0802">
        <w:rPr>
          <w:sz w:val="24"/>
          <w:szCs w:val="24"/>
          <w:lang w:eastAsia="fr-FR"/>
        </w:rPr>
        <w:t>Les églises de réveil, en plein essor depuis les années 1990 (</w:t>
      </w:r>
      <w:proofErr w:type="spellStart"/>
      <w:r w:rsidRPr="00FF0802">
        <w:rPr>
          <w:sz w:val="24"/>
          <w:szCs w:val="24"/>
          <w:lang w:eastAsia="fr-FR"/>
        </w:rPr>
        <w:t>Ngondi</w:t>
      </w:r>
      <w:proofErr w:type="spellEnd"/>
      <w:r w:rsidRPr="00FF0802">
        <w:rPr>
          <w:sz w:val="24"/>
          <w:szCs w:val="24"/>
          <w:lang w:eastAsia="fr-FR"/>
        </w:rPr>
        <w:t xml:space="preserve">, 2005), attirent particulièrement les jeunes et les classes populaires urbaines, prônant un mode de vie rigoureux fondé sur la foi, la prière, la délivrance spirituelle et une lecture littérale des </w:t>
      </w:r>
      <w:r>
        <w:rPr>
          <w:sz w:val="24"/>
          <w:szCs w:val="24"/>
          <w:lang w:eastAsia="fr-FR"/>
        </w:rPr>
        <w:t>« </w:t>
      </w:r>
      <w:r w:rsidRPr="00FF0802">
        <w:rPr>
          <w:sz w:val="24"/>
          <w:szCs w:val="24"/>
          <w:lang w:eastAsia="fr-FR"/>
        </w:rPr>
        <w:t>Écritures</w:t>
      </w:r>
      <w:r>
        <w:rPr>
          <w:sz w:val="24"/>
          <w:szCs w:val="24"/>
          <w:lang w:eastAsia="fr-FR"/>
        </w:rPr>
        <w:t xml:space="preserve"> Saintes »</w:t>
      </w:r>
      <w:r w:rsidRPr="00FF0802">
        <w:rPr>
          <w:sz w:val="24"/>
          <w:szCs w:val="24"/>
          <w:lang w:eastAsia="fr-FR"/>
        </w:rPr>
        <w:t>. Au sein de certaines églises, le discours religieux impose un encadrement strict des comportements, condamnant diverses pratiques considérées comme « mondaines » (danse, styles vestimentaires, activités corporelles). Les fidèles de ces communautés religieuses aspirent à la sanctification, cherchant à se séparer du monde profane pour préserver leur pureté morale et spirituelle (</w:t>
      </w:r>
      <w:proofErr w:type="spellStart"/>
      <w:r w:rsidRPr="00FF0802">
        <w:rPr>
          <w:sz w:val="24"/>
          <w:szCs w:val="24"/>
          <w:lang w:eastAsia="fr-FR"/>
        </w:rPr>
        <w:t>Matangila</w:t>
      </w:r>
      <w:proofErr w:type="spellEnd"/>
      <w:r w:rsidRPr="00FF0802">
        <w:rPr>
          <w:sz w:val="24"/>
          <w:szCs w:val="24"/>
          <w:lang w:eastAsia="fr-FR"/>
        </w:rPr>
        <w:t>, 2006). Ces normes influencent de nombreux aspects de la vie sociale, y compris le fonctionnement scolaire.</w:t>
      </w:r>
    </w:p>
    <w:p w14:paraId="31B504B3" w14:textId="77777777" w:rsidR="00D80693" w:rsidRPr="00FF0802" w:rsidRDefault="00D80693" w:rsidP="00BD3B47">
      <w:pPr>
        <w:spacing w:before="120"/>
        <w:jc w:val="both"/>
        <w:rPr>
          <w:sz w:val="24"/>
          <w:szCs w:val="24"/>
          <w:lang w:eastAsia="fr-FR"/>
        </w:rPr>
      </w:pPr>
      <w:r w:rsidRPr="00FF0802">
        <w:rPr>
          <w:sz w:val="24"/>
          <w:szCs w:val="24"/>
          <w:lang w:eastAsia="fr-FR"/>
        </w:rPr>
        <w:t>L’école, en tant qu’espace de socialisation et de transmission de savoirs universels, doit gérer cette diversité sans renier ses principes fondateurs. La présence de diverses sensibilités religieuses en milieu scolaire crée des tensions lorsque les exigences pédagogiques entrent en conflit avec les convictions personnelles des élèves. Ce phénomène illustre le choc entre les normes institutionnelles et les systèmes de valeurs individuels (Bourdieu, 1996 ; Durkheim, 2004). Il s’agit alors de trouver un équilibre entre le respect de la liberté de conscience et les impératifs d’une éducation républicaine, laïque ou neutre, garante de l’égalité et de la cohésion sociale (Jullien, 2010 ; Baubérot, 2005).</w:t>
      </w:r>
    </w:p>
    <w:p w14:paraId="08821508" w14:textId="77777777" w:rsidR="00D80693" w:rsidRPr="00FF0802" w:rsidRDefault="00D80693" w:rsidP="00BD3B47">
      <w:pPr>
        <w:spacing w:before="120"/>
        <w:jc w:val="both"/>
        <w:rPr>
          <w:sz w:val="24"/>
          <w:szCs w:val="24"/>
          <w:lang w:eastAsia="fr-FR"/>
        </w:rPr>
      </w:pPr>
      <w:r w:rsidRPr="00FF0802">
        <w:rPr>
          <w:sz w:val="24"/>
          <w:szCs w:val="24"/>
          <w:lang w:eastAsia="fr-FR"/>
        </w:rPr>
        <w:t>Ces tensions sont particulièrement visibles en Éducation Physique et Sportive (EPS), où le corps, objet d’apprentissage et vecteur d’expérience, revêt une dimension morale et spirituelle dans certaines confessions. Ainsi, des pratiques physiques jugées incompatibles avec la sanctification du corps peuvent susciter refus ou résistance (</w:t>
      </w:r>
      <w:proofErr w:type="spellStart"/>
      <w:r w:rsidRPr="00FF0802">
        <w:rPr>
          <w:sz w:val="24"/>
          <w:szCs w:val="24"/>
          <w:lang w:eastAsia="fr-FR"/>
        </w:rPr>
        <w:t>Ngondi</w:t>
      </w:r>
      <w:proofErr w:type="spellEnd"/>
      <w:r w:rsidRPr="00FF0802">
        <w:rPr>
          <w:sz w:val="24"/>
          <w:szCs w:val="24"/>
          <w:lang w:eastAsia="fr-FR"/>
        </w:rPr>
        <w:t>, 2005). L’enseignant d’EPS se trouve alors confronté à un dilemme entre objectifs éducatifs et respect des convictions religieuses.</w:t>
      </w:r>
    </w:p>
    <w:p w14:paraId="016D8AC2" w14:textId="77777777" w:rsidR="00D80693" w:rsidRPr="00FF0802" w:rsidRDefault="00D80693" w:rsidP="00BD3B47">
      <w:pPr>
        <w:spacing w:before="120"/>
        <w:jc w:val="both"/>
        <w:rPr>
          <w:sz w:val="24"/>
          <w:szCs w:val="24"/>
          <w:lang w:eastAsia="fr-FR"/>
        </w:rPr>
      </w:pPr>
      <w:r w:rsidRPr="00FF0802">
        <w:rPr>
          <w:sz w:val="24"/>
          <w:szCs w:val="24"/>
          <w:lang w:eastAsia="fr-FR"/>
        </w:rPr>
        <w:t>Ce dilemme soulève une double problématique : la mission éducative de transmission d’un savoir universel émancipateur et le respect des convictions religieuses, garantis par les droits humains fondamentaux. Les enseignants doivent concilier exigences pédagogiques (performance physique, mixité, discipline corporelle) et contraintes spirituelles revendiquées par certains élèves.</w:t>
      </w:r>
    </w:p>
    <w:p w14:paraId="6270E674" w14:textId="77777777" w:rsidR="00D80693" w:rsidRDefault="00D80693" w:rsidP="00BD3B47">
      <w:pPr>
        <w:spacing w:before="120"/>
        <w:jc w:val="both"/>
        <w:rPr>
          <w:sz w:val="24"/>
          <w:szCs w:val="24"/>
          <w:lang w:eastAsia="fr-FR"/>
        </w:rPr>
      </w:pPr>
      <w:r w:rsidRPr="00FF0802">
        <w:rPr>
          <w:sz w:val="24"/>
          <w:szCs w:val="24"/>
          <w:lang w:eastAsia="fr-FR"/>
        </w:rPr>
        <w:t>Plusieurs auteurs ont abordé ce questionnement. Boumaza (2014) souligne le conflit vécu par les enseignants entre respect des convictions religieuses et exigence d’égalité de traitement. Puren (2005) met en avant la nécessité de développer des compétences interculturelles pour gérer ces tensions. Meuret (2015) insiste sur des adaptations pédagogiques concrètes en EPS pour éviter la marginalisation des filles issues de</w:t>
      </w:r>
      <w:r>
        <w:rPr>
          <w:sz w:val="24"/>
          <w:szCs w:val="24"/>
          <w:lang w:eastAsia="fr-FR"/>
        </w:rPr>
        <w:t>s</w:t>
      </w:r>
      <w:r w:rsidRPr="00FF0802">
        <w:rPr>
          <w:sz w:val="24"/>
          <w:szCs w:val="24"/>
          <w:lang w:eastAsia="fr-FR"/>
        </w:rPr>
        <w:t xml:space="preserve"> milieux religieux. </w:t>
      </w:r>
    </w:p>
    <w:p w14:paraId="2045CFE7" w14:textId="77777777" w:rsidR="00D80693" w:rsidRDefault="00D80693" w:rsidP="00BD3B47">
      <w:pPr>
        <w:spacing w:before="120"/>
        <w:jc w:val="both"/>
        <w:rPr>
          <w:sz w:val="24"/>
          <w:szCs w:val="24"/>
          <w:lang w:eastAsia="fr-FR"/>
        </w:rPr>
      </w:pPr>
      <w:r w:rsidRPr="00FF0802">
        <w:rPr>
          <w:sz w:val="24"/>
          <w:szCs w:val="24"/>
          <w:lang w:eastAsia="fr-FR"/>
        </w:rPr>
        <w:t xml:space="preserve">Cependant, les recherches spécifiques à l’articulation entre pratiques religieuses et </w:t>
      </w:r>
      <w:r w:rsidRPr="00D8061F">
        <w:rPr>
          <w:sz w:val="24"/>
          <w:szCs w:val="24"/>
          <w:lang w:eastAsia="fr-FR"/>
        </w:rPr>
        <w:t>enseignement de l’EPS restent rares, notamment en République du Congo. Au vu de la diversification croissante des affiliations religieuses et de l'expansion significative des Églises de Réveil, il est essentiel d'approfondir l'analyse de cette thématique pour en saisir les enjeux éducatifs et sociaux.</w:t>
      </w:r>
    </w:p>
    <w:p w14:paraId="3145951B" w14:textId="77777777" w:rsidR="00D80693" w:rsidRPr="00FF0802" w:rsidRDefault="00D80693" w:rsidP="00BD3B47">
      <w:pPr>
        <w:spacing w:before="120"/>
        <w:jc w:val="both"/>
        <w:rPr>
          <w:sz w:val="24"/>
          <w:szCs w:val="24"/>
          <w:lang w:eastAsia="fr-FR"/>
        </w:rPr>
      </w:pPr>
      <w:r w:rsidRPr="00FF0802">
        <w:rPr>
          <w:sz w:val="24"/>
          <w:szCs w:val="24"/>
          <w:lang w:eastAsia="fr-FR"/>
        </w:rPr>
        <w:t>Cette étude a pour but de combler cette lacune en analysant les postures, difficultés et stratégies des enseignants d'EPS dans le système éducatif congolais. Elle fournit des outils d'analyse pour les acteurs éducatifs et ouvre des perspectives pour des politiques éducatives inclusives.</w:t>
      </w:r>
    </w:p>
    <w:p w14:paraId="5575EB86" w14:textId="77777777" w:rsidR="00D80693" w:rsidRPr="00FF0802" w:rsidRDefault="00D80693" w:rsidP="00BD3B47">
      <w:pPr>
        <w:spacing w:before="120"/>
        <w:jc w:val="both"/>
        <w:rPr>
          <w:sz w:val="24"/>
          <w:szCs w:val="24"/>
          <w:lang w:eastAsia="fr-FR"/>
        </w:rPr>
      </w:pPr>
      <w:r w:rsidRPr="00FF0802">
        <w:rPr>
          <w:sz w:val="24"/>
          <w:szCs w:val="24"/>
          <w:lang w:eastAsia="fr-FR"/>
        </w:rPr>
        <w:t>En effet, un nombre important d’élèves affiliées aux Églises de réveil choisissent de s’</w:t>
      </w:r>
      <w:proofErr w:type="spellStart"/>
      <w:r w:rsidRPr="00FF0802">
        <w:rPr>
          <w:sz w:val="24"/>
          <w:szCs w:val="24"/>
          <w:lang w:eastAsia="fr-FR"/>
        </w:rPr>
        <w:t>auto-exclure</w:t>
      </w:r>
      <w:proofErr w:type="spellEnd"/>
      <w:r w:rsidRPr="00FF0802">
        <w:rPr>
          <w:sz w:val="24"/>
          <w:szCs w:val="24"/>
          <w:lang w:eastAsia="fr-FR"/>
        </w:rPr>
        <w:t xml:space="preserve"> des cours d’Éducation Physique et Sportive, motivées par des convictions religieuses strictes. </w:t>
      </w:r>
      <w:r>
        <w:rPr>
          <w:sz w:val="24"/>
          <w:szCs w:val="24"/>
          <w:lang w:eastAsia="fr-FR"/>
        </w:rPr>
        <w:t xml:space="preserve">Cette auto-exclusion découle de leur </w:t>
      </w:r>
      <w:r w:rsidRPr="00D8061F">
        <w:rPr>
          <w:sz w:val="24"/>
          <w:szCs w:val="24"/>
          <w:lang w:eastAsia="fr-FR"/>
        </w:rPr>
        <w:t>volonté de préserver leur engagement spirituel et de respecter les prescriptions morales de leur communauté. Ces convictions interdisent ou restreignent la pratique d'activités physiques jugées incompatibles avec leurs croyances</w:t>
      </w:r>
      <w:r>
        <w:rPr>
          <w:sz w:val="24"/>
          <w:szCs w:val="24"/>
          <w:lang w:eastAsia="fr-FR"/>
        </w:rPr>
        <w:t xml:space="preserve">. </w:t>
      </w:r>
      <w:r w:rsidRPr="00FF0802">
        <w:rPr>
          <w:sz w:val="24"/>
          <w:szCs w:val="24"/>
          <w:lang w:eastAsia="fr-FR"/>
        </w:rPr>
        <w:t>Ce phénomène soulève des enjeux cruciaux relatifs à l’intégration scolaire, à la participation aux activités éducatives, ainsi qu’à la promotion de l’égalité des sexes.</w:t>
      </w:r>
    </w:p>
    <w:p w14:paraId="27D94ECB" w14:textId="77777777" w:rsidR="00D80693" w:rsidRPr="00FF0802" w:rsidRDefault="00D80693" w:rsidP="00BD3B47">
      <w:pPr>
        <w:spacing w:before="120"/>
        <w:jc w:val="both"/>
        <w:rPr>
          <w:sz w:val="24"/>
          <w:szCs w:val="24"/>
          <w:lang w:eastAsia="fr-FR"/>
        </w:rPr>
      </w:pPr>
      <w:r w:rsidRPr="00FF0802">
        <w:rPr>
          <w:sz w:val="24"/>
          <w:szCs w:val="24"/>
          <w:lang w:eastAsia="fr-FR"/>
        </w:rPr>
        <w:t>Face à ce phénomène d’auto-exclusion, une question centrale se pose :</w:t>
      </w:r>
    </w:p>
    <w:p w14:paraId="56B096CA" w14:textId="77777777" w:rsidR="00D80693" w:rsidRPr="00FF0802" w:rsidRDefault="00D80693" w:rsidP="00BD3B47">
      <w:pPr>
        <w:widowControl/>
        <w:numPr>
          <w:ilvl w:val="0"/>
          <w:numId w:val="151"/>
        </w:numPr>
        <w:autoSpaceDE/>
        <w:autoSpaceDN/>
        <w:spacing w:before="120"/>
        <w:jc w:val="both"/>
        <w:rPr>
          <w:sz w:val="24"/>
          <w:szCs w:val="24"/>
          <w:lang w:eastAsia="fr-FR"/>
        </w:rPr>
      </w:pPr>
      <w:r w:rsidRPr="00FF0802">
        <w:rPr>
          <w:sz w:val="24"/>
          <w:szCs w:val="24"/>
          <w:lang w:eastAsia="fr-FR"/>
        </w:rPr>
        <w:t>De quelle manière les enseignants d'EPS abordent-ils et régulent-ils cette réalité dans le cadre de leurs cours ?</w:t>
      </w:r>
    </w:p>
    <w:p w14:paraId="4F95A371" w14:textId="77777777" w:rsidR="00D80693" w:rsidRPr="00FF0802" w:rsidRDefault="00D80693" w:rsidP="00BD3B47">
      <w:pPr>
        <w:spacing w:before="120"/>
        <w:jc w:val="both"/>
        <w:rPr>
          <w:sz w:val="24"/>
          <w:szCs w:val="24"/>
          <w:lang w:eastAsia="fr-FR"/>
        </w:rPr>
      </w:pPr>
      <w:r w:rsidRPr="00FF0802">
        <w:rPr>
          <w:sz w:val="24"/>
          <w:szCs w:val="24"/>
          <w:lang w:eastAsia="fr-FR"/>
        </w:rPr>
        <w:t>Cette problématique se décline en trois questions secondaires :</w:t>
      </w:r>
    </w:p>
    <w:p w14:paraId="3AABFAA5" w14:textId="77777777" w:rsidR="00D80693" w:rsidRDefault="00D80693" w:rsidP="00BD3B47">
      <w:pPr>
        <w:widowControl/>
        <w:numPr>
          <w:ilvl w:val="0"/>
          <w:numId w:val="151"/>
        </w:numPr>
        <w:autoSpaceDE/>
        <w:autoSpaceDN/>
        <w:spacing w:before="120"/>
        <w:jc w:val="both"/>
        <w:rPr>
          <w:sz w:val="24"/>
          <w:szCs w:val="24"/>
          <w:lang w:eastAsia="fr-FR"/>
        </w:rPr>
      </w:pPr>
      <w:r w:rsidRPr="00FF0802">
        <w:rPr>
          <w:sz w:val="24"/>
          <w:szCs w:val="24"/>
          <w:lang w:eastAsia="fr-FR"/>
        </w:rPr>
        <w:t>Quelles attitudes les enseignants adoptent-ils à l’égard des élèves ?</w:t>
      </w:r>
    </w:p>
    <w:p w14:paraId="72BB688D" w14:textId="77777777" w:rsidR="00D80693" w:rsidRDefault="00D80693" w:rsidP="00BD3B47">
      <w:pPr>
        <w:widowControl/>
        <w:numPr>
          <w:ilvl w:val="0"/>
          <w:numId w:val="151"/>
        </w:numPr>
        <w:autoSpaceDE/>
        <w:autoSpaceDN/>
        <w:spacing w:before="120"/>
        <w:jc w:val="both"/>
        <w:rPr>
          <w:sz w:val="24"/>
          <w:szCs w:val="24"/>
          <w:lang w:eastAsia="fr-FR"/>
        </w:rPr>
      </w:pPr>
      <w:r w:rsidRPr="00FF0802">
        <w:rPr>
          <w:sz w:val="24"/>
          <w:szCs w:val="24"/>
          <w:lang w:eastAsia="fr-FR"/>
        </w:rPr>
        <w:t>Quels obstacles rencontrent-ils dans la gestion de cette catégorie d’élèves ?</w:t>
      </w:r>
    </w:p>
    <w:p w14:paraId="1AA6D68C" w14:textId="77777777" w:rsidR="00D80693" w:rsidRPr="00FF0802" w:rsidRDefault="00D80693" w:rsidP="00BD3B47">
      <w:pPr>
        <w:widowControl/>
        <w:numPr>
          <w:ilvl w:val="0"/>
          <w:numId w:val="151"/>
        </w:numPr>
        <w:autoSpaceDE/>
        <w:autoSpaceDN/>
        <w:spacing w:before="120"/>
        <w:jc w:val="both"/>
        <w:rPr>
          <w:sz w:val="24"/>
          <w:szCs w:val="24"/>
          <w:lang w:eastAsia="fr-FR"/>
        </w:rPr>
      </w:pPr>
      <w:r w:rsidRPr="00FF0802">
        <w:rPr>
          <w:sz w:val="24"/>
          <w:szCs w:val="24"/>
          <w:lang w:eastAsia="fr-FR"/>
        </w:rPr>
        <w:t>Quelles stratégies peuvent favoriser la conciliation entre exigences pédagogiques et convictions religieuses ?</w:t>
      </w:r>
    </w:p>
    <w:p w14:paraId="0D816CF0" w14:textId="77777777" w:rsidR="00D80693" w:rsidRDefault="00D80693" w:rsidP="00BD3B47">
      <w:pPr>
        <w:spacing w:before="120"/>
        <w:jc w:val="both"/>
        <w:rPr>
          <w:sz w:val="24"/>
          <w:szCs w:val="24"/>
          <w:lang w:eastAsia="fr-FR"/>
        </w:rPr>
      </w:pPr>
      <w:r w:rsidRPr="00FF0802">
        <w:rPr>
          <w:sz w:val="24"/>
          <w:szCs w:val="24"/>
          <w:lang w:eastAsia="fr-FR"/>
        </w:rPr>
        <w:t>L’objectif principal de la présente étude est d’analyser les attitudes des enseignants face au refus de participation. Il s’agit précisément :</w:t>
      </w:r>
    </w:p>
    <w:p w14:paraId="393CEFE1" w14:textId="77777777" w:rsidR="00D80693" w:rsidRPr="00FF0802" w:rsidRDefault="00D80693" w:rsidP="00BD3B47">
      <w:pPr>
        <w:widowControl/>
        <w:numPr>
          <w:ilvl w:val="0"/>
          <w:numId w:val="151"/>
        </w:numPr>
        <w:autoSpaceDE/>
        <w:autoSpaceDN/>
        <w:spacing w:before="120"/>
        <w:jc w:val="both"/>
        <w:rPr>
          <w:sz w:val="24"/>
          <w:szCs w:val="24"/>
          <w:lang w:eastAsia="fr-FR"/>
        </w:rPr>
      </w:pPr>
      <w:proofErr w:type="gramStart"/>
      <w:r>
        <w:rPr>
          <w:sz w:val="24"/>
          <w:szCs w:val="24"/>
          <w:lang w:eastAsia="fr-FR"/>
        </w:rPr>
        <w:t>de</w:t>
      </w:r>
      <w:proofErr w:type="gramEnd"/>
      <w:r>
        <w:rPr>
          <w:sz w:val="24"/>
          <w:szCs w:val="24"/>
          <w:lang w:eastAsia="fr-FR"/>
        </w:rPr>
        <w:t xml:space="preserve"> décrire les attitudes et postures adoptées par les enseignants d'Éducation Physique et Sportive (EPS) face à l'auto-exclusion des élèves pour motifs religieux ;</w:t>
      </w:r>
    </w:p>
    <w:p w14:paraId="71CB6985" w14:textId="77777777" w:rsidR="00D80693" w:rsidRDefault="00D80693" w:rsidP="00BD3B47">
      <w:pPr>
        <w:widowControl/>
        <w:numPr>
          <w:ilvl w:val="0"/>
          <w:numId w:val="151"/>
        </w:numPr>
        <w:autoSpaceDE/>
        <w:autoSpaceDN/>
        <w:spacing w:before="120"/>
        <w:jc w:val="both"/>
        <w:rPr>
          <w:sz w:val="24"/>
          <w:szCs w:val="24"/>
          <w:lang w:eastAsia="fr-FR"/>
        </w:rPr>
      </w:pPr>
      <w:proofErr w:type="gramStart"/>
      <w:r>
        <w:rPr>
          <w:sz w:val="24"/>
          <w:szCs w:val="24"/>
          <w:lang w:eastAsia="fr-FR"/>
        </w:rPr>
        <w:t>d</w:t>
      </w:r>
      <w:r w:rsidRPr="00FF0802">
        <w:rPr>
          <w:sz w:val="24"/>
          <w:szCs w:val="24"/>
          <w:lang w:eastAsia="fr-FR"/>
        </w:rPr>
        <w:t>'identifier</w:t>
      </w:r>
      <w:proofErr w:type="gramEnd"/>
      <w:r w:rsidRPr="00FF0802">
        <w:rPr>
          <w:sz w:val="24"/>
          <w:szCs w:val="24"/>
          <w:lang w:eastAsia="fr-FR"/>
        </w:rPr>
        <w:t xml:space="preserve"> les obstacles rencontrés dans la conciliation entre exigences pédagogiques et convictions religieuses</w:t>
      </w:r>
      <w:r>
        <w:rPr>
          <w:sz w:val="24"/>
          <w:szCs w:val="24"/>
          <w:lang w:eastAsia="fr-FR"/>
        </w:rPr>
        <w:t> ;</w:t>
      </w:r>
    </w:p>
    <w:p w14:paraId="239C0AE7" w14:textId="77777777" w:rsidR="00D80693" w:rsidRPr="00FF0802" w:rsidRDefault="00D80693" w:rsidP="00BD3B47">
      <w:pPr>
        <w:widowControl/>
        <w:numPr>
          <w:ilvl w:val="0"/>
          <w:numId w:val="151"/>
        </w:numPr>
        <w:autoSpaceDE/>
        <w:autoSpaceDN/>
        <w:spacing w:before="120"/>
        <w:jc w:val="both"/>
        <w:rPr>
          <w:sz w:val="24"/>
          <w:szCs w:val="24"/>
          <w:lang w:eastAsia="fr-FR"/>
        </w:rPr>
      </w:pPr>
      <w:proofErr w:type="gramStart"/>
      <w:r>
        <w:rPr>
          <w:sz w:val="24"/>
          <w:szCs w:val="24"/>
          <w:lang w:eastAsia="fr-FR"/>
        </w:rPr>
        <w:t>de</w:t>
      </w:r>
      <w:proofErr w:type="gramEnd"/>
      <w:r w:rsidRPr="00FF0802">
        <w:rPr>
          <w:sz w:val="24"/>
          <w:szCs w:val="24"/>
          <w:lang w:eastAsia="fr-FR"/>
        </w:rPr>
        <w:t xml:space="preserve"> proposer des approches favorisant une meilleure intégration des élèves.</w:t>
      </w:r>
    </w:p>
    <w:p w14:paraId="25627FE0" w14:textId="085DA214" w:rsidR="00D80693" w:rsidRPr="00FF0802" w:rsidRDefault="00D80693" w:rsidP="00BD3B47">
      <w:pPr>
        <w:spacing w:before="120"/>
        <w:jc w:val="both"/>
        <w:rPr>
          <w:sz w:val="24"/>
          <w:szCs w:val="24"/>
          <w:lang w:eastAsia="fr-FR"/>
        </w:rPr>
      </w:pPr>
      <w:r w:rsidRPr="00FF0802">
        <w:rPr>
          <w:sz w:val="24"/>
          <w:szCs w:val="24"/>
          <w:lang w:eastAsia="fr-FR"/>
        </w:rPr>
        <w:t>En congruence avec la question principale de l’étude, nous formulons l'hypothèse principale suivante :</w:t>
      </w:r>
      <w:r w:rsidR="00BD3B47">
        <w:rPr>
          <w:sz w:val="24"/>
          <w:szCs w:val="24"/>
          <w:lang w:eastAsia="fr-FR"/>
        </w:rPr>
        <w:t xml:space="preserve"> </w:t>
      </w:r>
      <w:r>
        <w:rPr>
          <w:sz w:val="24"/>
          <w:szCs w:val="24"/>
          <w:lang w:eastAsia="fr-FR"/>
        </w:rPr>
        <w:t>f</w:t>
      </w:r>
      <w:r w:rsidRPr="00FF0802">
        <w:rPr>
          <w:sz w:val="24"/>
          <w:szCs w:val="24"/>
          <w:lang w:eastAsia="fr-FR"/>
        </w:rPr>
        <w:t>ace à cette réalité, les enseignants d'EPS manifestent une inertie professionnelle caractérisée par l'adoption de stratégies de gestion passive ou de complaisance envers les élèves concernés.</w:t>
      </w:r>
    </w:p>
    <w:p w14:paraId="4ED07DE1" w14:textId="77777777" w:rsidR="00D80693" w:rsidRDefault="00D80693" w:rsidP="00BD3B47">
      <w:pPr>
        <w:spacing w:before="120"/>
        <w:jc w:val="both"/>
        <w:rPr>
          <w:sz w:val="24"/>
          <w:szCs w:val="24"/>
          <w:lang w:eastAsia="fr-FR"/>
        </w:rPr>
      </w:pPr>
      <w:r w:rsidRPr="00FF0802">
        <w:rPr>
          <w:sz w:val="24"/>
          <w:szCs w:val="24"/>
          <w:lang w:eastAsia="fr-FR"/>
        </w:rPr>
        <w:t>Les hypothèses secondaires afférentes sont les suivantes :</w:t>
      </w:r>
    </w:p>
    <w:p w14:paraId="2F7A01D9" w14:textId="77777777" w:rsidR="00D80693" w:rsidRPr="00FF0802" w:rsidRDefault="00D80693" w:rsidP="00BD3B47">
      <w:pPr>
        <w:widowControl/>
        <w:numPr>
          <w:ilvl w:val="0"/>
          <w:numId w:val="151"/>
        </w:numPr>
        <w:autoSpaceDE/>
        <w:autoSpaceDN/>
        <w:spacing w:before="120"/>
        <w:jc w:val="both"/>
        <w:rPr>
          <w:sz w:val="24"/>
          <w:szCs w:val="24"/>
          <w:lang w:eastAsia="fr-FR"/>
        </w:rPr>
      </w:pPr>
      <w:proofErr w:type="gramStart"/>
      <w:r>
        <w:rPr>
          <w:sz w:val="24"/>
          <w:szCs w:val="24"/>
          <w:lang w:eastAsia="fr-FR"/>
        </w:rPr>
        <w:t>face</w:t>
      </w:r>
      <w:proofErr w:type="gramEnd"/>
      <w:r>
        <w:rPr>
          <w:sz w:val="24"/>
          <w:szCs w:val="24"/>
          <w:lang w:eastAsia="fr-FR"/>
        </w:rPr>
        <w:t xml:space="preserve"> à l'auto-exclusion religieuse des élèves, les enseignants d'Éducation Physique et Sportive (EPS) </w:t>
      </w:r>
      <w:r w:rsidRPr="008521B8">
        <w:rPr>
          <w:sz w:val="24"/>
          <w:szCs w:val="24"/>
          <w:lang w:eastAsia="fr-FR"/>
        </w:rPr>
        <w:t>adoptent majoritairement une posture de complaisance et de laxisme relatif, privilégiant la tolérance passive et l'évitement du conflit au détriment d'une approche proactive de négoci</w:t>
      </w:r>
      <w:r>
        <w:rPr>
          <w:sz w:val="24"/>
          <w:szCs w:val="24"/>
          <w:lang w:eastAsia="fr-FR"/>
        </w:rPr>
        <w:t>ation ou d'adaptation pédagogique formalisée.</w:t>
      </w:r>
    </w:p>
    <w:p w14:paraId="76A5A4E4" w14:textId="77777777" w:rsidR="00D80693" w:rsidRDefault="00D80693" w:rsidP="00BD3B47">
      <w:pPr>
        <w:widowControl/>
        <w:numPr>
          <w:ilvl w:val="0"/>
          <w:numId w:val="151"/>
        </w:numPr>
        <w:autoSpaceDE/>
        <w:autoSpaceDN/>
        <w:spacing w:before="120"/>
        <w:jc w:val="both"/>
        <w:rPr>
          <w:sz w:val="24"/>
          <w:szCs w:val="24"/>
          <w:lang w:eastAsia="fr-FR"/>
        </w:rPr>
      </w:pPr>
      <w:proofErr w:type="gramStart"/>
      <w:r>
        <w:rPr>
          <w:sz w:val="24"/>
          <w:szCs w:val="24"/>
          <w:lang w:eastAsia="fr-FR"/>
        </w:rPr>
        <w:t>i</w:t>
      </w:r>
      <w:r w:rsidRPr="00FF0802">
        <w:rPr>
          <w:sz w:val="24"/>
          <w:szCs w:val="24"/>
          <w:lang w:eastAsia="fr-FR"/>
        </w:rPr>
        <w:t>ls</w:t>
      </w:r>
      <w:proofErr w:type="gramEnd"/>
      <w:r w:rsidRPr="00FF0802">
        <w:rPr>
          <w:sz w:val="24"/>
          <w:szCs w:val="24"/>
          <w:lang w:eastAsia="fr-FR"/>
        </w:rPr>
        <w:t xml:space="preserve"> rencontrent des difficultés à concilier exigences institutionnelles et contraintes religieuses</w:t>
      </w:r>
      <w:r>
        <w:rPr>
          <w:sz w:val="24"/>
          <w:szCs w:val="24"/>
          <w:lang w:eastAsia="fr-FR"/>
        </w:rPr>
        <w:t> ;</w:t>
      </w:r>
    </w:p>
    <w:p w14:paraId="4BB3AE79" w14:textId="77777777" w:rsidR="00D80693" w:rsidRPr="00FF0802" w:rsidRDefault="00D80693" w:rsidP="00BD3B47">
      <w:pPr>
        <w:widowControl/>
        <w:numPr>
          <w:ilvl w:val="0"/>
          <w:numId w:val="151"/>
        </w:numPr>
        <w:autoSpaceDE/>
        <w:autoSpaceDN/>
        <w:spacing w:before="120"/>
        <w:jc w:val="both"/>
        <w:rPr>
          <w:sz w:val="24"/>
          <w:szCs w:val="24"/>
          <w:lang w:eastAsia="fr-FR"/>
        </w:rPr>
      </w:pPr>
      <w:proofErr w:type="gramStart"/>
      <w:r>
        <w:rPr>
          <w:sz w:val="24"/>
          <w:szCs w:val="24"/>
          <w:lang w:eastAsia="fr-FR"/>
        </w:rPr>
        <w:t>d</w:t>
      </w:r>
      <w:r w:rsidRPr="00FF0802">
        <w:rPr>
          <w:sz w:val="24"/>
          <w:szCs w:val="24"/>
          <w:lang w:eastAsia="fr-FR"/>
        </w:rPr>
        <w:t>es</w:t>
      </w:r>
      <w:proofErr w:type="gramEnd"/>
      <w:r w:rsidRPr="00FF0802">
        <w:rPr>
          <w:sz w:val="24"/>
          <w:szCs w:val="24"/>
          <w:lang w:eastAsia="fr-FR"/>
        </w:rPr>
        <w:t xml:space="preserve"> stratégies adaptées, telles que le dialogue avec les élèves et la promotion du respect mutuel, pourraient améliorer la conciliation.</w:t>
      </w:r>
    </w:p>
    <w:p w14:paraId="4739244F" w14:textId="77777777" w:rsidR="00D80693" w:rsidRPr="008B553F" w:rsidRDefault="00D80693" w:rsidP="00BD3B47">
      <w:pPr>
        <w:spacing w:before="120"/>
        <w:rPr>
          <w:sz w:val="28"/>
          <w:szCs w:val="28"/>
          <w:lang w:eastAsia="fr-FR"/>
        </w:rPr>
      </w:pPr>
      <w:r w:rsidRPr="008B553F">
        <w:rPr>
          <w:b/>
          <w:bCs/>
          <w:sz w:val="28"/>
          <w:szCs w:val="28"/>
          <w:lang w:eastAsia="fr-FR"/>
        </w:rPr>
        <w:t>1.Cadre théorique</w:t>
      </w:r>
    </w:p>
    <w:p w14:paraId="7632C80F" w14:textId="77777777" w:rsidR="00D80693" w:rsidRPr="00FF0802" w:rsidRDefault="00D80693" w:rsidP="00BD3B47">
      <w:pPr>
        <w:spacing w:before="120"/>
        <w:jc w:val="both"/>
        <w:rPr>
          <w:sz w:val="24"/>
          <w:szCs w:val="24"/>
          <w:lang w:eastAsia="fr-FR"/>
        </w:rPr>
      </w:pPr>
      <w:r w:rsidRPr="00FF0802">
        <w:rPr>
          <w:sz w:val="24"/>
          <w:szCs w:val="24"/>
          <w:lang w:eastAsia="fr-FR"/>
        </w:rPr>
        <w:t>L'étude des dynamiques d'exclusion en milieu éducatif exige une clarté conceptuelle rigoureuse. Le concept d'auto-exclusion est défini comme le retrait volontaire ou perçu de l'élève des activités ou des interactions scolaires, souvent par anticipation d'un rejet social ou d'un échec. Ce phénomène est rendu opérationnel par des indicateurs mesurables tels que le taux d'absentéisme non justifié, le niveau de participation orale, ou encore le score de l'élève sur une échelle de sentiment d'appartenance.</w:t>
      </w:r>
    </w:p>
    <w:p w14:paraId="1531CDBB" w14:textId="77777777" w:rsidR="00D80693" w:rsidRDefault="00D80693" w:rsidP="00BD3B47">
      <w:pPr>
        <w:spacing w:before="120"/>
        <w:jc w:val="both"/>
        <w:rPr>
          <w:sz w:val="24"/>
          <w:szCs w:val="24"/>
          <w:lang w:eastAsia="fr-FR"/>
        </w:rPr>
      </w:pPr>
      <w:r>
        <w:rPr>
          <w:sz w:val="24"/>
          <w:szCs w:val="24"/>
          <w:lang w:eastAsia="fr-FR"/>
        </w:rPr>
        <w:t xml:space="preserve">Ce retrait n'est pas un acte isolé, mais l'aboutissement d'une </w:t>
      </w:r>
      <w:r w:rsidRPr="00ED7679">
        <w:rPr>
          <w:sz w:val="24"/>
          <w:szCs w:val="24"/>
          <w:lang w:eastAsia="fr-FR"/>
        </w:rPr>
        <w:t xml:space="preserve">dynamique d'interaction entre l'individu et son environnement. </w:t>
      </w:r>
      <w:r>
        <w:rPr>
          <w:sz w:val="24"/>
          <w:szCs w:val="24"/>
          <w:lang w:eastAsia="fr-FR"/>
        </w:rPr>
        <w:t xml:space="preserve">Cette dynamique s'articule autour de la </w:t>
      </w:r>
      <w:r w:rsidRPr="009A7BFB">
        <w:rPr>
          <w:sz w:val="24"/>
          <w:szCs w:val="24"/>
          <w:lang w:eastAsia="fr-FR"/>
        </w:rPr>
        <w:t>religion</w:t>
      </w:r>
      <w:r>
        <w:rPr>
          <w:sz w:val="24"/>
          <w:szCs w:val="24"/>
          <w:lang w:eastAsia="fr-FR"/>
        </w:rPr>
        <w:t xml:space="preserve">, conceptualisée comme l'ensemble des croyances et des valeurs structurantes qui façonnent l'identité de l'élève (Berger, 1967 ; Taylor, 1992 ; </w:t>
      </w:r>
      <w:r w:rsidRPr="009A7BFB">
        <w:rPr>
          <w:sz w:val="24"/>
          <w:szCs w:val="24"/>
          <w:lang w:eastAsia="fr-FR"/>
        </w:rPr>
        <w:t>Hervieu-Léger, 2021).</w:t>
      </w:r>
      <w:r>
        <w:rPr>
          <w:sz w:val="24"/>
          <w:szCs w:val="24"/>
          <w:lang w:eastAsia="fr-FR"/>
        </w:rPr>
        <w:t xml:space="preserve"> Elle est opérationnalisée par le degré de religiosité déclarée de l'élève ainsi que par la fréquence de ses pratiques. </w:t>
      </w:r>
      <w:r w:rsidRPr="00ED7679">
        <w:rPr>
          <w:sz w:val="24"/>
          <w:szCs w:val="24"/>
          <w:lang w:eastAsia="fr-FR"/>
        </w:rPr>
        <w:t xml:space="preserve">Cette variable religieuse est supposée exercer une influence sur l'auto-exclusion, via un mécanisme psychologique clé : l'attitude </w:t>
      </w:r>
      <w:r w:rsidRPr="00C10C37">
        <w:rPr>
          <w:sz w:val="24"/>
          <w:szCs w:val="24"/>
          <w:lang w:eastAsia="fr-FR"/>
        </w:rPr>
        <w:t xml:space="preserve">(Fishbein </w:t>
      </w:r>
      <w:r>
        <w:rPr>
          <w:sz w:val="24"/>
          <w:szCs w:val="24"/>
          <w:lang w:eastAsia="fr-FR"/>
        </w:rPr>
        <w:t>et</w:t>
      </w:r>
      <w:r w:rsidRPr="00C10C37">
        <w:rPr>
          <w:sz w:val="24"/>
          <w:szCs w:val="24"/>
          <w:lang w:eastAsia="fr-FR"/>
        </w:rPr>
        <w:t xml:space="preserve"> Ajzen, 2010) ou le conflit identitaire qui découle de la tension entre les normes scolaires et les convictions personnelles (Tajfel et</w:t>
      </w:r>
      <w:r>
        <w:rPr>
          <w:sz w:val="24"/>
          <w:szCs w:val="24"/>
          <w:lang w:eastAsia="fr-FR"/>
        </w:rPr>
        <w:t xml:space="preserve"> </w:t>
      </w:r>
      <w:r w:rsidRPr="00C10C37">
        <w:rPr>
          <w:sz w:val="24"/>
          <w:szCs w:val="24"/>
          <w:lang w:eastAsia="fr-FR"/>
        </w:rPr>
        <w:t>Turner, 1970 ; Portier, 2012).</w:t>
      </w:r>
    </w:p>
    <w:p w14:paraId="32AE302A" w14:textId="77777777" w:rsidR="00D80693" w:rsidRDefault="00D80693" w:rsidP="00BD3B47">
      <w:pPr>
        <w:spacing w:before="120"/>
        <w:jc w:val="both"/>
        <w:rPr>
          <w:sz w:val="24"/>
          <w:szCs w:val="24"/>
          <w:lang w:eastAsia="fr-FR"/>
        </w:rPr>
      </w:pPr>
      <w:r>
        <w:rPr>
          <w:sz w:val="24"/>
          <w:szCs w:val="24"/>
          <w:lang w:eastAsia="fr-FR"/>
        </w:rPr>
        <w:t xml:space="preserve">Cependant, l'impact de cette dynamique est significativement conditionné par l'attitude de l'enseignant. Agissant comme </w:t>
      </w:r>
      <w:r w:rsidRPr="00ED7679">
        <w:rPr>
          <w:sz w:val="24"/>
          <w:szCs w:val="24"/>
          <w:lang w:eastAsia="fr-FR"/>
        </w:rPr>
        <w:t>variable modératrice, l'attitude de l'enseignant, notamment son degré d'inclusivité, de tolérance à la diversité et son style de gestion de classe (</w:t>
      </w:r>
      <w:proofErr w:type="spellStart"/>
      <w:r w:rsidRPr="00ED7679">
        <w:rPr>
          <w:sz w:val="24"/>
          <w:szCs w:val="24"/>
          <w:lang w:eastAsia="fr-FR"/>
        </w:rPr>
        <w:t>Deci</w:t>
      </w:r>
      <w:proofErr w:type="spellEnd"/>
      <w:r w:rsidRPr="00ED7679">
        <w:rPr>
          <w:sz w:val="24"/>
          <w:szCs w:val="24"/>
          <w:lang w:eastAsia="fr-FR"/>
        </w:rPr>
        <w:t xml:space="preserve"> et Ryan, </w:t>
      </w:r>
      <w:proofErr w:type="gramStart"/>
      <w:r w:rsidRPr="00ED7679">
        <w:rPr>
          <w:sz w:val="24"/>
          <w:szCs w:val="24"/>
          <w:lang w:eastAsia="fr-FR"/>
        </w:rPr>
        <w:t>2000;</w:t>
      </w:r>
      <w:proofErr w:type="gramEnd"/>
      <w:r w:rsidRPr="00ED7679">
        <w:rPr>
          <w:sz w:val="24"/>
          <w:szCs w:val="24"/>
          <w:lang w:eastAsia="fr-FR"/>
        </w:rPr>
        <w:t xml:space="preserve"> Gay, 2010 ; </w:t>
      </w:r>
      <w:proofErr w:type="spellStart"/>
      <w:r w:rsidRPr="00ED7679">
        <w:rPr>
          <w:sz w:val="24"/>
          <w:szCs w:val="24"/>
          <w:lang w:eastAsia="fr-FR"/>
        </w:rPr>
        <w:t>Okonofua</w:t>
      </w:r>
      <w:proofErr w:type="spellEnd"/>
      <w:r w:rsidRPr="00ED7679">
        <w:rPr>
          <w:sz w:val="24"/>
          <w:szCs w:val="24"/>
          <w:lang w:eastAsia="fr-FR"/>
        </w:rPr>
        <w:t xml:space="preserve"> et Kim, 2016), peut soit neutraliser, soit au contraire exacerber, le conflit de valeurs ressenti par l'élève.</w:t>
      </w:r>
    </w:p>
    <w:p w14:paraId="5F7A7BB2" w14:textId="77777777" w:rsidR="00D80693" w:rsidRPr="00FF0802" w:rsidRDefault="00D80693" w:rsidP="00BD3B47">
      <w:pPr>
        <w:spacing w:before="120"/>
        <w:jc w:val="both"/>
        <w:rPr>
          <w:sz w:val="24"/>
          <w:szCs w:val="24"/>
          <w:lang w:eastAsia="fr-FR"/>
        </w:rPr>
      </w:pPr>
      <w:r w:rsidRPr="00FF0802">
        <w:rPr>
          <w:sz w:val="24"/>
          <w:szCs w:val="24"/>
          <w:lang w:eastAsia="fr-FR"/>
        </w:rPr>
        <w:t xml:space="preserve">L'attitude de l'enseignant joue un rôle de modérateur crucial dans les dynamiques d'auto-exclusion. Elle conditionne la force ou la direction de la relation entre la conviction religieuse de l'élève et l'auto-exclusion. Son rôle est essentiel : lorsqu'elle est perçue comme ouverte et empathique, elle renforce le sentiment d'appartenance de l'élève, </w:t>
      </w:r>
      <w:r>
        <w:rPr>
          <w:sz w:val="24"/>
          <w:szCs w:val="24"/>
          <w:lang w:eastAsia="fr-FR"/>
        </w:rPr>
        <w:t xml:space="preserve">le </w:t>
      </w:r>
      <w:r w:rsidRPr="00FF0802">
        <w:rPr>
          <w:sz w:val="24"/>
          <w:szCs w:val="24"/>
          <w:lang w:eastAsia="fr-FR"/>
        </w:rPr>
        <w:t xml:space="preserve">besoin psychologique fondamental selon la </w:t>
      </w:r>
      <w:r w:rsidRPr="00570208">
        <w:rPr>
          <w:sz w:val="24"/>
          <w:szCs w:val="24"/>
          <w:lang w:eastAsia="fr-FR"/>
        </w:rPr>
        <w:t>Théorie de l'Auto-Détermination (</w:t>
      </w:r>
      <w:proofErr w:type="spellStart"/>
      <w:r w:rsidRPr="00570208">
        <w:rPr>
          <w:sz w:val="24"/>
          <w:szCs w:val="24"/>
          <w:lang w:eastAsia="fr-FR"/>
        </w:rPr>
        <w:t>Deci</w:t>
      </w:r>
      <w:proofErr w:type="spellEnd"/>
      <w:r w:rsidRPr="00570208">
        <w:rPr>
          <w:sz w:val="24"/>
          <w:szCs w:val="24"/>
          <w:lang w:eastAsia="fr-FR"/>
        </w:rPr>
        <w:t xml:space="preserve"> et Ryan, 2000). Ce soutien d'autonomie (Reeve, 2018), une pratique souvent mobilisée par l'enseignant, agit comme un mécanisme amortisseur face à la dissonance cognitive</w:t>
      </w:r>
      <w:r>
        <w:rPr>
          <w:sz w:val="24"/>
          <w:szCs w:val="24"/>
          <w:lang w:eastAsia="fr-FR"/>
        </w:rPr>
        <w:t xml:space="preserve"> (Festinger, 1957) engendrée par le conflit de valeurs. Ce support psychologique réduit ainsi la probabilité que l'attitude négative de l'élève conduise à un retrait effectif ou à l'auto-exclusion</w:t>
      </w:r>
      <w:r w:rsidRPr="00FF0802">
        <w:rPr>
          <w:sz w:val="24"/>
          <w:szCs w:val="24"/>
          <w:lang w:eastAsia="fr-FR"/>
        </w:rPr>
        <w:t>.</w:t>
      </w:r>
    </w:p>
    <w:p w14:paraId="78E83D98" w14:textId="77777777" w:rsidR="00D80693" w:rsidRPr="00FF0802" w:rsidRDefault="00D80693" w:rsidP="00BD3B47">
      <w:pPr>
        <w:spacing w:before="120"/>
        <w:jc w:val="both"/>
        <w:rPr>
          <w:sz w:val="24"/>
          <w:szCs w:val="24"/>
          <w:lang w:eastAsia="fr-FR"/>
        </w:rPr>
      </w:pPr>
      <w:r w:rsidRPr="00FF0802">
        <w:rPr>
          <w:sz w:val="24"/>
          <w:szCs w:val="24"/>
          <w:lang w:eastAsia="fr-FR"/>
        </w:rPr>
        <w:t>Inversement, une attitude de l'enseignant perçue comme rigide ou stigmatisante exacerbe l'attitude négative de l'élève. Ce manque de soutien ou de justice perçue est un facteur de risque psychosocial majeur (</w:t>
      </w:r>
      <w:proofErr w:type="spellStart"/>
      <w:r w:rsidRPr="00FF0802">
        <w:rPr>
          <w:sz w:val="24"/>
          <w:szCs w:val="24"/>
          <w:lang w:eastAsia="fr-FR"/>
        </w:rPr>
        <w:t>Okonofua</w:t>
      </w:r>
      <w:proofErr w:type="spellEnd"/>
      <w:r w:rsidRPr="00FF0802">
        <w:rPr>
          <w:sz w:val="24"/>
          <w:szCs w:val="24"/>
          <w:lang w:eastAsia="fr-FR"/>
        </w:rPr>
        <w:t xml:space="preserve"> et Kim, 2016) qui accélère le processus de retrait. L'auto-exclusion devient alors une stratégie de protection identitaire confirmée (Théorie de l'Identité Sociale de Tajfel et Turner, années 1970), le retrait étant interprété par l'élève comme une défense légitime contre un environnement hostile ou dévalorisant.</w:t>
      </w:r>
    </w:p>
    <w:p w14:paraId="008FD992" w14:textId="77777777" w:rsidR="00D80693" w:rsidRPr="00FF0802" w:rsidRDefault="00D80693" w:rsidP="00BD3B47">
      <w:pPr>
        <w:spacing w:before="120"/>
        <w:jc w:val="both"/>
        <w:rPr>
          <w:sz w:val="24"/>
          <w:szCs w:val="24"/>
          <w:lang w:eastAsia="fr-FR"/>
        </w:rPr>
      </w:pPr>
      <w:r w:rsidRPr="00FF0802">
        <w:rPr>
          <w:sz w:val="24"/>
          <w:szCs w:val="24"/>
          <w:lang w:eastAsia="fr-FR"/>
        </w:rPr>
        <w:t xml:space="preserve">Pour décrypter les attitudes des enseignants d'EPS face à l'auto-exclusion des élèves issues des Églises de </w:t>
      </w:r>
      <w:r>
        <w:rPr>
          <w:sz w:val="24"/>
          <w:szCs w:val="24"/>
          <w:lang w:eastAsia="fr-FR"/>
        </w:rPr>
        <w:t>R</w:t>
      </w:r>
      <w:r w:rsidRPr="00FF0802">
        <w:rPr>
          <w:sz w:val="24"/>
          <w:szCs w:val="24"/>
          <w:lang w:eastAsia="fr-FR"/>
        </w:rPr>
        <w:t>éveil, notre cadre théorique repose sur la combinaison de deux approches complémentaires. Cette démarche vise à analyser conjointement les facteurs psychologiques et identitaires qui mènent au retrait et la réponse pédagogique en milieu scolaire.</w:t>
      </w:r>
    </w:p>
    <w:p w14:paraId="299A7881" w14:textId="77777777" w:rsidR="00D80693" w:rsidRPr="0065773E" w:rsidRDefault="00D80693" w:rsidP="00BD3B47">
      <w:pPr>
        <w:spacing w:before="120"/>
        <w:rPr>
          <w:b/>
          <w:bCs/>
          <w:sz w:val="24"/>
          <w:szCs w:val="24"/>
          <w:lang w:eastAsia="fr-FR"/>
        </w:rPr>
      </w:pPr>
      <w:r w:rsidRPr="0065773E">
        <w:rPr>
          <w:b/>
          <w:bCs/>
          <w:sz w:val="24"/>
          <w:szCs w:val="24"/>
          <w:lang w:eastAsia="fr-FR"/>
        </w:rPr>
        <w:t>1.1. Théorie des postures pédagogiques (Perrenoud, 1999)</w:t>
      </w:r>
    </w:p>
    <w:p w14:paraId="260DA4C3" w14:textId="77777777" w:rsidR="00D80693" w:rsidRPr="00FF0802" w:rsidRDefault="00D80693" w:rsidP="00BD3B47">
      <w:pPr>
        <w:spacing w:before="120"/>
        <w:jc w:val="both"/>
        <w:rPr>
          <w:sz w:val="24"/>
          <w:szCs w:val="24"/>
          <w:lang w:eastAsia="fr-FR"/>
        </w:rPr>
      </w:pPr>
      <w:r w:rsidRPr="00FF0802">
        <w:rPr>
          <w:sz w:val="24"/>
          <w:szCs w:val="24"/>
          <w:lang w:eastAsia="fr-FR"/>
        </w:rPr>
        <w:t xml:space="preserve">Cette théorie analyse les attitudes des enseignants face aux contraintes du terrain. Une posture pédagogique regroupe les stratégies mobilisées pour gérer la relation avec les élèves, les contenus, l’institution et les exigences sociales et culturelles. Ces postures, non figées, résultent d’une négociation entre exigences parfois contradictoires, oscillant entre complaisance, rigidité ou adaptation. Elles illustrent l’équilibre entre autorité et flexibilité, révélant comment les enseignants construisent leur identité professionnelle face aux tensions socioculturelles. Ce cadre permet d’examiner comment les enseignants d’EPS ajustent leurs postures face à l’auto-exclusion des filles des Églises de </w:t>
      </w:r>
      <w:r>
        <w:rPr>
          <w:sz w:val="24"/>
          <w:szCs w:val="24"/>
          <w:lang w:eastAsia="fr-FR"/>
        </w:rPr>
        <w:t>R</w:t>
      </w:r>
      <w:r w:rsidRPr="00FF0802">
        <w:rPr>
          <w:sz w:val="24"/>
          <w:szCs w:val="24"/>
          <w:lang w:eastAsia="fr-FR"/>
        </w:rPr>
        <w:t>éveil, entre fermeté et adaptation, tout en assurant la cohérence pédagogique.</w:t>
      </w:r>
    </w:p>
    <w:p w14:paraId="74769F25" w14:textId="77777777" w:rsidR="00D80693" w:rsidRPr="0065773E" w:rsidRDefault="00D80693" w:rsidP="00BD3B47">
      <w:pPr>
        <w:spacing w:before="120"/>
        <w:rPr>
          <w:b/>
          <w:bCs/>
          <w:sz w:val="24"/>
          <w:szCs w:val="24"/>
          <w:lang w:eastAsia="fr-FR"/>
        </w:rPr>
      </w:pPr>
      <w:r w:rsidRPr="0065773E">
        <w:rPr>
          <w:b/>
          <w:bCs/>
          <w:sz w:val="24"/>
          <w:szCs w:val="24"/>
          <w:lang w:eastAsia="fr-FR"/>
        </w:rPr>
        <w:t>1.2. Gestion de la diversité religieuse en milieu scolaire</w:t>
      </w:r>
    </w:p>
    <w:p w14:paraId="05C44FE2" w14:textId="77777777" w:rsidR="00D80693" w:rsidRPr="00FF0802" w:rsidRDefault="00D80693" w:rsidP="00BD3B47">
      <w:pPr>
        <w:spacing w:before="120"/>
        <w:jc w:val="both"/>
        <w:rPr>
          <w:sz w:val="24"/>
          <w:szCs w:val="24"/>
          <w:lang w:eastAsia="fr-FR"/>
        </w:rPr>
      </w:pPr>
      <w:r w:rsidRPr="00FF0802">
        <w:rPr>
          <w:sz w:val="24"/>
          <w:szCs w:val="24"/>
          <w:lang w:eastAsia="fr-FR"/>
        </w:rPr>
        <w:t xml:space="preserve">L’école, en tant que lieu de socialisation et transmission des valeurs collectives (Durkheim, 1912), doit intégrer la pluralité des croyances tout en respectant la liberté religieuse individuelle (Taylor, 1992). Ce double objectif crée une tension entre respect des convictions personnelles et maintien des normes collectives garantissant égalité et cohésion sociale (Berger, 1967). La gestion de cette diversité dépasse la simple application de règles : elle nécessite une négociation continue entre reconnaissance des différences culturelles et maintien des principes fondateurs. Cette gestion repose sur des compétences organisationnelles et pédagogiques pour favoriser un climat scolaire inclusif. Cette théorie éclaire les défis rencontrés par les enseignants d’EPS face à l’auto-exclusion des élèves issues des Églises de </w:t>
      </w:r>
      <w:r>
        <w:rPr>
          <w:sz w:val="24"/>
          <w:szCs w:val="24"/>
          <w:lang w:eastAsia="fr-FR"/>
        </w:rPr>
        <w:t>R</w:t>
      </w:r>
      <w:r w:rsidRPr="00FF0802">
        <w:rPr>
          <w:sz w:val="24"/>
          <w:szCs w:val="24"/>
          <w:lang w:eastAsia="fr-FR"/>
        </w:rPr>
        <w:t>éveil, soulignant la complexité de concilier exigences scolaires et convictions individuelles dans un contexte socioculturel sensible.</w:t>
      </w:r>
    </w:p>
    <w:p w14:paraId="57394F84" w14:textId="77777777" w:rsidR="00D80693" w:rsidRPr="00FF0802" w:rsidRDefault="00D80693" w:rsidP="00BD3B47">
      <w:pPr>
        <w:spacing w:before="120"/>
        <w:jc w:val="both"/>
        <w:rPr>
          <w:sz w:val="24"/>
          <w:szCs w:val="24"/>
          <w:lang w:eastAsia="fr-FR"/>
        </w:rPr>
      </w:pPr>
      <w:r w:rsidRPr="00FF0802">
        <w:rPr>
          <w:sz w:val="24"/>
          <w:szCs w:val="24"/>
          <w:lang w:eastAsia="fr-FR"/>
        </w:rPr>
        <w:t xml:space="preserve">Fort de ce cadre théorique, il apparaît indispensable d’analyser de manière concrète la manière dont les enseignants congolais assurent l’accompagnement des élèves issus des Églises de </w:t>
      </w:r>
      <w:r>
        <w:rPr>
          <w:sz w:val="24"/>
          <w:szCs w:val="24"/>
          <w:lang w:eastAsia="fr-FR"/>
        </w:rPr>
        <w:t>R</w:t>
      </w:r>
      <w:r w:rsidRPr="00FF0802">
        <w:rPr>
          <w:sz w:val="24"/>
          <w:szCs w:val="24"/>
          <w:lang w:eastAsia="fr-FR"/>
        </w:rPr>
        <w:t xml:space="preserve">éveil. La section suivante présente la démarche méthodologique adoptée, en précisant les procédures de collecte et d’analyse des données, utilisées pour étudier de manière rigoureuse et approfondie les pratiques et attitudes des enseignants à l’égard des élèves membres des Églises de </w:t>
      </w:r>
      <w:r>
        <w:rPr>
          <w:sz w:val="24"/>
          <w:szCs w:val="24"/>
          <w:lang w:eastAsia="fr-FR"/>
        </w:rPr>
        <w:t>R</w:t>
      </w:r>
      <w:r w:rsidRPr="00FF0802">
        <w:rPr>
          <w:sz w:val="24"/>
          <w:szCs w:val="24"/>
          <w:lang w:eastAsia="fr-FR"/>
        </w:rPr>
        <w:t>éveil dans le contexte de l’enseignement de l’EPS.</w:t>
      </w:r>
    </w:p>
    <w:p w14:paraId="4CAC608E" w14:textId="77777777" w:rsidR="00D80693" w:rsidRPr="008B553F" w:rsidRDefault="00D80693" w:rsidP="00BD3B47">
      <w:pPr>
        <w:spacing w:before="120"/>
        <w:jc w:val="both"/>
        <w:rPr>
          <w:sz w:val="28"/>
          <w:szCs w:val="28"/>
          <w:lang w:eastAsia="fr-FR"/>
        </w:rPr>
      </w:pPr>
      <w:r w:rsidRPr="008B553F">
        <w:rPr>
          <w:b/>
          <w:bCs/>
          <w:sz w:val="28"/>
          <w:szCs w:val="28"/>
          <w:lang w:eastAsia="fr-FR"/>
        </w:rPr>
        <w:t>2. Méthodologie de la recherche</w:t>
      </w:r>
    </w:p>
    <w:p w14:paraId="0C010D1E" w14:textId="77777777" w:rsidR="00D80693" w:rsidRPr="00FF0802" w:rsidRDefault="00D80693" w:rsidP="00BD3B47">
      <w:pPr>
        <w:spacing w:before="120"/>
        <w:jc w:val="both"/>
        <w:rPr>
          <w:sz w:val="24"/>
          <w:szCs w:val="24"/>
          <w:lang w:eastAsia="fr-FR"/>
        </w:rPr>
      </w:pPr>
      <w:r w:rsidRPr="00FF0802">
        <w:rPr>
          <w:sz w:val="24"/>
          <w:szCs w:val="24"/>
          <w:lang w:eastAsia="fr-FR"/>
        </w:rPr>
        <w:t>Cette étude s'est engagée dans une démarche qualitative, exploratoire et descriptive afin d’analyser les stratégies des enseignants d'EPS de Brazzaville face au phénomène de l'auto-exclusion des élèves pour motifs religieux. La recherche a été menée sur une période de deux mois, de mars à avril 2025, couvrant la préparation des outils, la collecte de données, et leur transcription initiale.</w:t>
      </w:r>
    </w:p>
    <w:p w14:paraId="1F60F019" w14:textId="77777777" w:rsidR="00D80693" w:rsidRPr="008B553F" w:rsidRDefault="00D80693" w:rsidP="00BD3B47">
      <w:pPr>
        <w:spacing w:before="120"/>
        <w:rPr>
          <w:b/>
          <w:bCs/>
          <w:sz w:val="24"/>
          <w:szCs w:val="24"/>
          <w:lang w:eastAsia="fr-FR"/>
        </w:rPr>
      </w:pPr>
      <w:r w:rsidRPr="0065773E">
        <w:rPr>
          <w:b/>
          <w:bCs/>
          <w:sz w:val="24"/>
          <w:szCs w:val="24"/>
          <w:lang w:eastAsia="fr-FR"/>
        </w:rPr>
        <w:t>2.1. Outil et protocole de collecte</w:t>
      </w:r>
    </w:p>
    <w:p w14:paraId="64E7AB66" w14:textId="77777777" w:rsidR="00D80693" w:rsidRPr="00FF0802" w:rsidRDefault="00D80693" w:rsidP="00BD3B47">
      <w:pPr>
        <w:spacing w:before="120"/>
        <w:jc w:val="both"/>
        <w:rPr>
          <w:sz w:val="24"/>
          <w:szCs w:val="24"/>
          <w:lang w:eastAsia="fr-FR"/>
        </w:rPr>
      </w:pPr>
      <w:r w:rsidRPr="00FF0802">
        <w:rPr>
          <w:sz w:val="24"/>
          <w:szCs w:val="24"/>
          <w:lang w:eastAsia="fr-FR"/>
        </w:rPr>
        <w:t>Pour recueillir les informations riches et contextualisées, la méthode de l'entretien semi-directif a été privilégiée. Un guide d'entretien a été élaboré à partir d'une revue de littérature sur l'auto-exclusion scolaire, les enjeux de la laïcité et les spécificités didactiques de l'EPS. Afin de garantir une collecte d'informations à la fois complète et contextualisée, la structure de ce support a été scindée en deux parties. La première partie visait à contextualiser les données en identifiant les participants (ancienneté, formation, expérience spécifique dans les collèges publics de Brazzaville). La seconde partie abordait les thématiques centrales de l'étude, structurées en trois sections successives : le phénomène de l'auto-exclusion et des contraintes religieuses, les stratégies pédagogiques et attitudes adoptées et enfin, les propositions d'amélioration. Ce guide d'entretien a été validé pour sa pertinence grâce à un test pilote mené auprès de quatre enseignants exclus de l'échantillon final.</w:t>
      </w:r>
    </w:p>
    <w:p w14:paraId="26A74A5D" w14:textId="77777777" w:rsidR="00D80693" w:rsidRPr="0065773E" w:rsidRDefault="00D80693" w:rsidP="00BD3B47">
      <w:pPr>
        <w:spacing w:before="120"/>
        <w:rPr>
          <w:b/>
          <w:bCs/>
          <w:sz w:val="24"/>
          <w:szCs w:val="24"/>
          <w:lang w:eastAsia="fr-FR"/>
        </w:rPr>
      </w:pPr>
      <w:r w:rsidRPr="0065773E">
        <w:rPr>
          <w:b/>
          <w:bCs/>
          <w:sz w:val="24"/>
          <w:szCs w:val="24"/>
          <w:lang w:eastAsia="fr-FR"/>
        </w:rPr>
        <w:t>2.2. Terrain et échantillon</w:t>
      </w:r>
    </w:p>
    <w:p w14:paraId="435AD423" w14:textId="062E1232" w:rsidR="00D80693" w:rsidRPr="00FF0802" w:rsidRDefault="00D80693" w:rsidP="00BD3B47">
      <w:pPr>
        <w:spacing w:before="120"/>
        <w:jc w:val="both"/>
        <w:rPr>
          <w:sz w:val="24"/>
          <w:szCs w:val="24"/>
          <w:lang w:eastAsia="fr-FR"/>
        </w:rPr>
      </w:pPr>
      <w:r w:rsidRPr="00FF0802">
        <w:rPr>
          <w:sz w:val="24"/>
          <w:szCs w:val="24"/>
          <w:lang w:eastAsia="fr-FR"/>
        </w:rPr>
        <w:t xml:space="preserve">L'enquête a été réalisée dans les collèges publics d'enseignement général de Brazzaville. Le choix de cette localisation se justifie par la forte concentration </w:t>
      </w:r>
      <w:r>
        <w:rPr>
          <w:sz w:val="24"/>
          <w:szCs w:val="24"/>
          <w:lang w:eastAsia="fr-FR"/>
        </w:rPr>
        <w:t>d’</w:t>
      </w:r>
      <w:r w:rsidRPr="00FF0802">
        <w:rPr>
          <w:sz w:val="24"/>
          <w:szCs w:val="24"/>
          <w:lang w:eastAsia="fr-FR"/>
        </w:rPr>
        <w:t xml:space="preserve">Églises de </w:t>
      </w:r>
      <w:r>
        <w:rPr>
          <w:sz w:val="24"/>
          <w:szCs w:val="24"/>
          <w:lang w:eastAsia="fr-FR"/>
        </w:rPr>
        <w:t>R</w:t>
      </w:r>
      <w:r w:rsidRPr="00FF0802">
        <w:rPr>
          <w:sz w:val="24"/>
          <w:szCs w:val="24"/>
          <w:lang w:eastAsia="fr-FR"/>
        </w:rPr>
        <w:t>éveil dans la capitale, ce qui y rend le phénomène de l'abstention en EPS particulièrement prégnant.</w:t>
      </w:r>
      <w:r w:rsidR="00BD3B47">
        <w:rPr>
          <w:sz w:val="24"/>
          <w:szCs w:val="24"/>
          <w:lang w:eastAsia="fr-FR"/>
        </w:rPr>
        <w:t xml:space="preserve"> </w:t>
      </w:r>
      <w:r>
        <w:rPr>
          <w:sz w:val="24"/>
          <w:szCs w:val="24"/>
          <w:lang w:eastAsia="fr-FR"/>
        </w:rPr>
        <w:t xml:space="preserve">L’étude a ciblé les enseignants d’EPS des collèges. </w:t>
      </w:r>
      <w:r w:rsidRPr="00FF0802">
        <w:rPr>
          <w:sz w:val="24"/>
          <w:szCs w:val="24"/>
          <w:lang w:eastAsia="fr-FR"/>
        </w:rPr>
        <w:t xml:space="preserve"> </w:t>
      </w:r>
      <w:r>
        <w:rPr>
          <w:sz w:val="24"/>
          <w:szCs w:val="24"/>
          <w:lang w:eastAsia="fr-FR"/>
        </w:rPr>
        <w:t>Pour constituer l’échantillon, l</w:t>
      </w:r>
      <w:r w:rsidRPr="00FF0802">
        <w:rPr>
          <w:sz w:val="24"/>
          <w:szCs w:val="24"/>
          <w:lang w:eastAsia="fr-FR"/>
        </w:rPr>
        <w:t xml:space="preserve">'approche retenue </w:t>
      </w:r>
      <w:r>
        <w:rPr>
          <w:sz w:val="24"/>
          <w:szCs w:val="24"/>
          <w:lang w:eastAsia="fr-FR"/>
        </w:rPr>
        <w:t xml:space="preserve">a été </w:t>
      </w:r>
      <w:r w:rsidRPr="00FF0802">
        <w:rPr>
          <w:sz w:val="24"/>
          <w:szCs w:val="24"/>
          <w:lang w:eastAsia="fr-FR"/>
        </w:rPr>
        <w:t>celle de l'échantillonnage par choix raisonné, une méthode essentielle en recherche qualitative qui privilégie la profondeur de l'information plutôt que la généralisation statistique. Pour garantir la richesse et la pertinence des témoignages, les critères de sélection étaient stricts : seuls ont été ciblés les enseignants volontaires justifiant d'une expérience directe et avérée de l'auto-exclusion d'élèves affiliés aux églises de réveil au cours des quatre dernières années scolaires. La taille finale de l'échantillon (n=25) s'est avérée suffisante pour atteindre la saturation théorique, c'est-à-dire le point où l'ajout de nouveaux entretiens ne générait plus de thèmes ou de catégories d'analyse nouvelles sur le dilemme professionnel et les stratégies adoptées.</w:t>
      </w:r>
      <w:r w:rsidR="00BD3B47">
        <w:rPr>
          <w:sz w:val="24"/>
          <w:szCs w:val="24"/>
          <w:lang w:eastAsia="fr-FR"/>
        </w:rPr>
        <w:t xml:space="preserve"> </w:t>
      </w:r>
      <w:r w:rsidRPr="00FF0802">
        <w:rPr>
          <w:sz w:val="24"/>
          <w:szCs w:val="24"/>
          <w:lang w:eastAsia="fr-FR"/>
        </w:rPr>
        <w:t xml:space="preserve">Le déroulement de l'enquête a commencé par l'obtention des autorisations institutionnelles. La prise de contact avec les participants s'est ensuite faite par l'intermédiaire des Chefs d'établissement. Les entretiens individuels </w:t>
      </w:r>
      <w:r>
        <w:rPr>
          <w:sz w:val="24"/>
          <w:szCs w:val="24"/>
          <w:lang w:eastAsia="fr-FR"/>
        </w:rPr>
        <w:t xml:space="preserve">d’une durée moyenne de 45 minutes </w:t>
      </w:r>
      <w:r w:rsidRPr="00FF0802">
        <w:rPr>
          <w:sz w:val="24"/>
          <w:szCs w:val="24"/>
          <w:lang w:eastAsia="fr-FR"/>
        </w:rPr>
        <w:t>ont été menés dans un lieu calme au sein des écoles afin d'instaurer un climat de confianc</w:t>
      </w:r>
      <w:r>
        <w:rPr>
          <w:sz w:val="24"/>
          <w:szCs w:val="24"/>
          <w:lang w:eastAsia="fr-FR"/>
        </w:rPr>
        <w:t>e.</w:t>
      </w:r>
    </w:p>
    <w:p w14:paraId="0E890E2C" w14:textId="77777777" w:rsidR="00D80693" w:rsidRPr="0065773E" w:rsidRDefault="00D80693" w:rsidP="00BD3B47">
      <w:pPr>
        <w:spacing w:before="120"/>
        <w:rPr>
          <w:b/>
          <w:bCs/>
          <w:sz w:val="24"/>
          <w:szCs w:val="24"/>
          <w:lang w:eastAsia="fr-FR"/>
        </w:rPr>
      </w:pPr>
      <w:r w:rsidRPr="0065773E">
        <w:rPr>
          <w:b/>
          <w:bCs/>
          <w:sz w:val="24"/>
          <w:szCs w:val="24"/>
          <w:lang w:eastAsia="fr-FR"/>
        </w:rPr>
        <w:t>2.3. Traitement et analyse des données</w:t>
      </w:r>
    </w:p>
    <w:p w14:paraId="3AF15E17" w14:textId="77777777" w:rsidR="00D80693" w:rsidRPr="00D73053" w:rsidRDefault="00D80693" w:rsidP="00BD3B47">
      <w:pPr>
        <w:spacing w:before="120"/>
        <w:jc w:val="both"/>
        <w:rPr>
          <w:sz w:val="24"/>
          <w:szCs w:val="24"/>
          <w:lang w:eastAsia="fr-FR"/>
        </w:rPr>
      </w:pPr>
      <w:r w:rsidRPr="00FF0802">
        <w:rPr>
          <w:sz w:val="24"/>
          <w:szCs w:val="24"/>
          <w:lang w:eastAsia="fr-FR"/>
        </w:rPr>
        <w:t>Pour garantir la fidélité et l'intégralité des propos, les entretiens ont été enregistrés à l'aide d'un dictaphone numérique. La confidentialité des participants a été assurée par l'attribution d'un code d'identification unique (« E » suivi d'un numéro « n »), permettant la traçabilité sans révéler l'identité.</w:t>
      </w:r>
    </w:p>
    <w:p w14:paraId="74F79371" w14:textId="0A09A8FA" w:rsidR="00D80693" w:rsidRDefault="00D80693" w:rsidP="00BD3B47">
      <w:pPr>
        <w:spacing w:before="120"/>
        <w:jc w:val="both"/>
        <w:rPr>
          <w:sz w:val="24"/>
          <w:szCs w:val="24"/>
          <w:lang w:eastAsia="fr-FR"/>
        </w:rPr>
      </w:pPr>
      <w:r w:rsidRPr="00D73053">
        <w:rPr>
          <w:sz w:val="24"/>
          <w:szCs w:val="24"/>
          <w:lang w:eastAsia="fr-FR"/>
        </w:rPr>
        <w:t>Le traitement des données a été réalisé en utilisant la méthode de l'analyse thématique en six phases, conformément aux étapes définies par Braun et Clarke (2006).</w:t>
      </w:r>
      <w:r>
        <w:rPr>
          <w:sz w:val="24"/>
          <w:szCs w:val="24"/>
          <w:lang w:eastAsia="fr-FR"/>
        </w:rPr>
        <w:t xml:space="preserve"> </w:t>
      </w:r>
      <w:r w:rsidRPr="00FF0802">
        <w:rPr>
          <w:sz w:val="24"/>
          <w:szCs w:val="24"/>
          <w:lang w:eastAsia="fr-FR"/>
        </w:rPr>
        <w:t xml:space="preserve">Pour cette analyse, les enregistrements audios ont d'abord fait l'objet d'une transcription intégrale. Le processus de transcription a inclus la notation des éléments paralinguistiques (hésitations, émotions) pour conserver la richesse contextuelle du discours des enseignants. Le codage thématique a été réalisé selon une approche principalement inductive : les thèmes et sous-thèmes majeurs sont directement émergés des données brutes, permettant une fidélité maximale aux représentations des enseignants de Brazzaville. Ce codage a permis d'identifier, d'organiser et d'interpréter les thèmes récurrents, offrant une compréhension fine des postures et pratiques mobilisées par les enseignants face à la diversité religieuse en </w:t>
      </w:r>
      <w:proofErr w:type="spellStart"/>
      <w:r w:rsidRPr="00FF0802">
        <w:rPr>
          <w:sz w:val="24"/>
          <w:szCs w:val="24"/>
          <w:lang w:eastAsia="fr-FR"/>
        </w:rPr>
        <w:t>EPS.</w:t>
      </w:r>
      <w:r>
        <w:rPr>
          <w:sz w:val="24"/>
          <w:szCs w:val="24"/>
          <w:lang w:eastAsia="fr-FR"/>
        </w:rPr>
        <w:t>Pour</w:t>
      </w:r>
      <w:proofErr w:type="spellEnd"/>
      <w:r>
        <w:rPr>
          <w:sz w:val="24"/>
          <w:szCs w:val="24"/>
          <w:lang w:eastAsia="fr-FR"/>
        </w:rPr>
        <w:t xml:space="preserve"> garantir </w:t>
      </w:r>
      <w:r w:rsidRPr="001E2EB9">
        <w:rPr>
          <w:sz w:val="24"/>
          <w:szCs w:val="24"/>
          <w:lang w:eastAsia="fr-FR"/>
        </w:rPr>
        <w:t>la fiabilité et la validité</w:t>
      </w:r>
      <w:r>
        <w:rPr>
          <w:sz w:val="24"/>
          <w:szCs w:val="24"/>
          <w:lang w:eastAsia="fr-FR"/>
        </w:rPr>
        <w:t xml:space="preserve"> des résultats, deux mesures de contrôle de la qualité ont été appliquées à l'analyse. Premièrement, une </w:t>
      </w:r>
      <w:r w:rsidRPr="001E2EB9">
        <w:rPr>
          <w:sz w:val="24"/>
          <w:szCs w:val="24"/>
          <w:lang w:eastAsia="fr-FR"/>
        </w:rPr>
        <w:t>triangulation méthodologique</w:t>
      </w:r>
      <w:r>
        <w:rPr>
          <w:sz w:val="24"/>
          <w:szCs w:val="24"/>
          <w:lang w:eastAsia="fr-FR"/>
        </w:rPr>
        <w:t xml:space="preserve"> a été mise en œuvre en croisant les données qualitatives issues des entretiens avec les cadres théoriques du conflit normatif et de l'inclusion. Deuxièmement, le codage initial a été vérifié par un pair-chercheur, permettant d'établir un contrôle rigoureux de la </w:t>
      </w:r>
      <w:r w:rsidRPr="001E2EB9">
        <w:rPr>
          <w:sz w:val="24"/>
          <w:szCs w:val="24"/>
          <w:lang w:eastAsia="fr-FR"/>
        </w:rPr>
        <w:t>fiabilité inter-juges</w:t>
      </w:r>
      <w:r>
        <w:rPr>
          <w:sz w:val="24"/>
          <w:szCs w:val="24"/>
          <w:lang w:eastAsia="fr-FR"/>
        </w:rPr>
        <w:t xml:space="preserve"> sur la catégorisation des thèmes principaux.</w:t>
      </w:r>
    </w:p>
    <w:p w14:paraId="58E039C7" w14:textId="77777777" w:rsidR="00D80693" w:rsidRPr="008B553F" w:rsidRDefault="00D80693" w:rsidP="00BD3B47">
      <w:pPr>
        <w:spacing w:before="120"/>
        <w:jc w:val="both"/>
        <w:rPr>
          <w:b/>
          <w:bCs/>
          <w:sz w:val="28"/>
          <w:szCs w:val="28"/>
          <w:lang w:eastAsia="fr-FR"/>
        </w:rPr>
      </w:pPr>
      <w:r w:rsidRPr="008B553F">
        <w:rPr>
          <w:b/>
          <w:bCs/>
          <w:sz w:val="28"/>
          <w:szCs w:val="28"/>
          <w:lang w:eastAsia="fr-FR"/>
        </w:rPr>
        <w:t>3. Résultats</w:t>
      </w:r>
    </w:p>
    <w:p w14:paraId="2D157E81" w14:textId="77777777" w:rsidR="00D80693" w:rsidRPr="00FF0802" w:rsidRDefault="00D80693" w:rsidP="00BD3B47">
      <w:pPr>
        <w:spacing w:before="120"/>
        <w:jc w:val="both"/>
        <w:rPr>
          <w:b/>
          <w:bCs/>
          <w:sz w:val="24"/>
          <w:szCs w:val="24"/>
        </w:rPr>
      </w:pPr>
      <w:r w:rsidRPr="00FF0802">
        <w:rPr>
          <w:rFonts w:eastAsiaTheme="majorEastAsia"/>
          <w:sz w:val="24"/>
          <w:szCs w:val="24"/>
        </w:rPr>
        <w:t>Les résultats de cette étude s'articulent autour de trois axes majeurs qui cernent la problématique : l'identification des facteurs entravant la participation des élèves, la mise en lumière du dilemme professionnel et du manque de protocole institutionnel chez les enseignants et enfin, l'exploration de la nécessité de solutions et d'adaptations pratiques et évaluatives.</w:t>
      </w:r>
    </w:p>
    <w:p w14:paraId="2CA2F454" w14:textId="77777777" w:rsidR="00D80693" w:rsidRPr="0065773E" w:rsidRDefault="00D80693" w:rsidP="00BD3B47">
      <w:pPr>
        <w:spacing w:before="120"/>
        <w:rPr>
          <w:b/>
          <w:bCs/>
          <w:sz w:val="24"/>
          <w:szCs w:val="24"/>
        </w:rPr>
      </w:pPr>
      <w:r w:rsidRPr="0065773E">
        <w:rPr>
          <w:rFonts w:eastAsiaTheme="majorEastAsia"/>
          <w:b/>
          <w:bCs/>
          <w:sz w:val="24"/>
          <w:szCs w:val="24"/>
        </w:rPr>
        <w:t>Thème 1 : Les facteurs entravant la participation</w:t>
      </w:r>
    </w:p>
    <w:p w14:paraId="02840FB7" w14:textId="77777777" w:rsidR="00D80693" w:rsidRPr="00D72641" w:rsidRDefault="00D80693" w:rsidP="00BD3B47">
      <w:pPr>
        <w:spacing w:before="120"/>
        <w:jc w:val="center"/>
        <w:rPr>
          <w:rFonts w:eastAsia="Calibri"/>
          <w:b/>
          <w:bCs/>
          <w:i/>
          <w:iCs/>
        </w:rPr>
      </w:pPr>
      <w:r w:rsidRPr="00D72641">
        <w:rPr>
          <w:b/>
          <w:bCs/>
          <w:i/>
          <w:iCs/>
        </w:rPr>
        <w:t>Tableau 1 : Les fondements de l'auto-exclusion en EPS : Contraintes liées au corps (pudeur) et à la mixité sociale</w:t>
      </w:r>
    </w:p>
    <w:tbl>
      <w:tblPr>
        <w:tblStyle w:val="TableGrid00"/>
        <w:tblW w:w="9351" w:type="dxa"/>
        <w:tblLook w:val="04A0" w:firstRow="1" w:lastRow="0" w:firstColumn="1" w:lastColumn="0" w:noHBand="0" w:noVBand="1"/>
      </w:tblPr>
      <w:tblGrid>
        <w:gridCol w:w="2263"/>
        <w:gridCol w:w="7088"/>
      </w:tblGrid>
      <w:tr w:rsidR="00D80693" w14:paraId="512E63CF" w14:textId="77777777" w:rsidTr="00BD3B47">
        <w:tc>
          <w:tcPr>
            <w:tcW w:w="2263" w:type="dxa"/>
          </w:tcPr>
          <w:p w14:paraId="1F5B80C0" w14:textId="77777777" w:rsidR="00D80693" w:rsidRPr="00FF0802" w:rsidRDefault="00D80693" w:rsidP="00BD3B47">
            <w:pPr>
              <w:spacing w:before="120"/>
              <w:jc w:val="both"/>
              <w:rPr>
                <w:b/>
                <w:bCs/>
                <w:sz w:val="24"/>
                <w:szCs w:val="24"/>
              </w:rPr>
            </w:pPr>
            <w:r w:rsidRPr="00FF0802">
              <w:rPr>
                <w:rFonts w:eastAsiaTheme="minorHAnsi"/>
                <w:b/>
                <w:bCs/>
                <w:sz w:val="24"/>
                <w:szCs w:val="24"/>
              </w:rPr>
              <w:t>Sous- thème</w:t>
            </w:r>
          </w:p>
        </w:tc>
        <w:tc>
          <w:tcPr>
            <w:tcW w:w="7088" w:type="dxa"/>
          </w:tcPr>
          <w:p w14:paraId="1467121B" w14:textId="77777777" w:rsidR="00D80693" w:rsidRPr="00FF0802" w:rsidRDefault="00D80693" w:rsidP="00BD3B47">
            <w:pPr>
              <w:spacing w:before="120"/>
              <w:jc w:val="both"/>
              <w:rPr>
                <w:b/>
                <w:bCs/>
                <w:sz w:val="24"/>
                <w:szCs w:val="24"/>
              </w:rPr>
            </w:pPr>
            <w:r w:rsidRPr="00FF0802">
              <w:rPr>
                <w:rFonts w:eastAsiaTheme="minorHAnsi"/>
                <w:b/>
                <w:bCs/>
                <w:sz w:val="24"/>
                <w:szCs w:val="24"/>
              </w:rPr>
              <w:t>Extrait de verbatim</w:t>
            </w:r>
          </w:p>
        </w:tc>
      </w:tr>
      <w:tr w:rsidR="00D80693" w14:paraId="780799E1" w14:textId="77777777" w:rsidTr="00BD3B47">
        <w:tc>
          <w:tcPr>
            <w:tcW w:w="2263" w:type="dxa"/>
          </w:tcPr>
          <w:p w14:paraId="7BB7D968" w14:textId="77777777" w:rsidR="00D80693" w:rsidRPr="00FF0802" w:rsidRDefault="00D80693" w:rsidP="00BD3B47">
            <w:pPr>
              <w:spacing w:before="120"/>
              <w:jc w:val="both"/>
              <w:rPr>
                <w:sz w:val="24"/>
                <w:szCs w:val="24"/>
              </w:rPr>
            </w:pPr>
            <w:r w:rsidRPr="00FF0802">
              <w:rPr>
                <w:rFonts w:eastAsiaTheme="minorHAnsi"/>
                <w:sz w:val="24"/>
                <w:szCs w:val="24"/>
              </w:rPr>
              <w:t>Entrave théologique et corporelle</w:t>
            </w:r>
          </w:p>
        </w:tc>
        <w:tc>
          <w:tcPr>
            <w:tcW w:w="7088" w:type="dxa"/>
          </w:tcPr>
          <w:p w14:paraId="571C697C" w14:textId="77777777" w:rsidR="00D80693" w:rsidRPr="00FF0802" w:rsidRDefault="00D80693" w:rsidP="00BD3B47">
            <w:pPr>
              <w:spacing w:before="120"/>
              <w:jc w:val="both"/>
              <w:rPr>
                <w:sz w:val="24"/>
                <w:szCs w:val="24"/>
              </w:rPr>
            </w:pPr>
            <w:r w:rsidRPr="00FF0802">
              <w:rPr>
                <w:rFonts w:eastAsiaTheme="minorHAnsi"/>
                <w:b/>
                <w:bCs/>
                <w:sz w:val="24"/>
                <w:szCs w:val="24"/>
              </w:rPr>
              <w:t>En14 :</w:t>
            </w:r>
            <w:r w:rsidRPr="00FF0802">
              <w:rPr>
                <w:rFonts w:eastAsiaTheme="minorHAnsi"/>
                <w:sz w:val="24"/>
                <w:szCs w:val="24"/>
              </w:rPr>
              <w:t xml:space="preserve"> « </w:t>
            </w:r>
            <w:r w:rsidRPr="00FF0802">
              <w:rPr>
                <w:rFonts w:eastAsiaTheme="minorHAnsi"/>
                <w:i/>
                <w:iCs/>
                <w:sz w:val="24"/>
                <w:szCs w:val="24"/>
              </w:rPr>
              <w:t xml:space="preserve">Pour elles, le corps est sacré, on ne doit pas le montrer. Le problème, c'est la </w:t>
            </w:r>
            <w:r w:rsidRPr="001E2EB9">
              <w:rPr>
                <w:rFonts w:eastAsiaTheme="minorHAnsi"/>
                <w:i/>
                <w:iCs/>
                <w:sz w:val="24"/>
                <w:szCs w:val="24"/>
              </w:rPr>
              <w:t>tenue, le short... et l'accès au vestiaire, c'est l'intimité, elles refu</w:t>
            </w:r>
            <w:r w:rsidRPr="00FF0802">
              <w:rPr>
                <w:rFonts w:eastAsiaTheme="minorHAnsi"/>
                <w:i/>
                <w:iCs/>
                <w:sz w:val="24"/>
                <w:szCs w:val="24"/>
              </w:rPr>
              <w:t>sent de se déshabiller devant les autres.</w:t>
            </w:r>
            <w:r w:rsidRPr="00FF0802">
              <w:rPr>
                <w:rFonts w:eastAsiaTheme="minorHAnsi"/>
                <w:sz w:val="24"/>
                <w:szCs w:val="24"/>
              </w:rPr>
              <w:t xml:space="preserve"> »</w:t>
            </w:r>
          </w:p>
        </w:tc>
      </w:tr>
      <w:tr w:rsidR="00D80693" w14:paraId="29D44700" w14:textId="77777777" w:rsidTr="00BD3B47">
        <w:tc>
          <w:tcPr>
            <w:tcW w:w="2263" w:type="dxa"/>
          </w:tcPr>
          <w:p w14:paraId="56A732CA" w14:textId="77777777" w:rsidR="00D80693" w:rsidRPr="00FF0802" w:rsidRDefault="00D80693" w:rsidP="00BD3B47">
            <w:pPr>
              <w:spacing w:before="120"/>
              <w:jc w:val="both"/>
              <w:rPr>
                <w:sz w:val="24"/>
                <w:szCs w:val="24"/>
              </w:rPr>
            </w:pPr>
            <w:r w:rsidRPr="00FF0802">
              <w:rPr>
                <w:rFonts w:eastAsiaTheme="minorHAnsi"/>
                <w:sz w:val="24"/>
                <w:szCs w:val="24"/>
              </w:rPr>
              <w:t>Entrave sociale :  Mixité et contact physique</w:t>
            </w:r>
          </w:p>
        </w:tc>
        <w:tc>
          <w:tcPr>
            <w:tcW w:w="7088" w:type="dxa"/>
          </w:tcPr>
          <w:p w14:paraId="67545881" w14:textId="77777777" w:rsidR="00D80693" w:rsidRPr="00FF0802" w:rsidRDefault="00D80693" w:rsidP="00BD3B47">
            <w:pPr>
              <w:spacing w:before="120"/>
              <w:jc w:val="both"/>
              <w:rPr>
                <w:sz w:val="24"/>
                <w:szCs w:val="24"/>
              </w:rPr>
            </w:pPr>
            <w:r w:rsidRPr="00FF0802">
              <w:rPr>
                <w:rFonts w:eastAsiaTheme="minorHAnsi"/>
                <w:b/>
                <w:bCs/>
                <w:sz w:val="24"/>
                <w:szCs w:val="24"/>
              </w:rPr>
              <w:t>En8 :</w:t>
            </w:r>
            <w:r w:rsidRPr="00FF0802">
              <w:rPr>
                <w:rFonts w:eastAsiaTheme="minorHAnsi"/>
                <w:sz w:val="24"/>
                <w:szCs w:val="24"/>
              </w:rPr>
              <w:t xml:space="preserve"> « </w:t>
            </w:r>
            <w:r w:rsidRPr="00FF0802">
              <w:rPr>
                <w:rFonts w:eastAsiaTheme="minorHAnsi"/>
                <w:i/>
                <w:iCs/>
                <w:sz w:val="24"/>
                <w:szCs w:val="24"/>
              </w:rPr>
              <w:t>Dès qu'il y a un sport collectif comme le handball où il faut se toucher, les filles affiliées aux Églises de Réveil s'isolent. La mixité est leur ligne rouge, ça complique toute activité d’équipe</w:t>
            </w:r>
            <w:r w:rsidRPr="00FF0802">
              <w:rPr>
                <w:rFonts w:eastAsiaTheme="minorHAnsi"/>
                <w:sz w:val="24"/>
                <w:szCs w:val="24"/>
              </w:rPr>
              <w:t>. »</w:t>
            </w:r>
          </w:p>
        </w:tc>
      </w:tr>
    </w:tbl>
    <w:p w14:paraId="4FB48153" w14:textId="77777777" w:rsidR="00D80693" w:rsidRPr="00FF0802" w:rsidRDefault="00D80693" w:rsidP="00BD3B47">
      <w:pPr>
        <w:spacing w:before="120"/>
        <w:jc w:val="both"/>
        <w:rPr>
          <w:rFonts w:eastAsia="Calibri"/>
          <w:sz w:val="24"/>
          <w:szCs w:val="24"/>
        </w:rPr>
      </w:pPr>
      <w:r w:rsidRPr="00D72641">
        <w:rPr>
          <w:sz w:val="24"/>
          <w:szCs w:val="24"/>
        </w:rPr>
        <w:t>Source :</w:t>
      </w:r>
      <w:r w:rsidRPr="00FF0802">
        <w:rPr>
          <w:sz w:val="24"/>
          <w:szCs w:val="24"/>
        </w:rPr>
        <w:t xml:space="preserve">  Enquête </w:t>
      </w:r>
      <w:proofErr w:type="spellStart"/>
      <w:r w:rsidRPr="00FF0802">
        <w:rPr>
          <w:sz w:val="24"/>
          <w:szCs w:val="24"/>
        </w:rPr>
        <w:t>Bakingu</w:t>
      </w:r>
      <w:proofErr w:type="spellEnd"/>
      <w:r w:rsidRPr="00FF0802">
        <w:rPr>
          <w:sz w:val="24"/>
          <w:szCs w:val="24"/>
        </w:rPr>
        <w:t xml:space="preserve"> 2025</w:t>
      </w:r>
    </w:p>
    <w:p w14:paraId="5AD21B14" w14:textId="77777777" w:rsidR="00D80693" w:rsidRPr="00FF0802" w:rsidRDefault="00D80693" w:rsidP="00BD3B47">
      <w:pPr>
        <w:spacing w:before="120"/>
        <w:jc w:val="both"/>
        <w:rPr>
          <w:sz w:val="24"/>
          <w:szCs w:val="24"/>
          <w:lang w:eastAsia="fr-FR"/>
        </w:rPr>
      </w:pPr>
      <w:r w:rsidRPr="00FF0802">
        <w:rPr>
          <w:sz w:val="24"/>
          <w:szCs w:val="24"/>
          <w:lang w:eastAsia="fr-FR"/>
        </w:rPr>
        <w:t xml:space="preserve">La première thématique identifie les sources fondamentales de l'auto-exclusion en EPS. Elles   s'articulent autour de deux pôles critiques de la pratique physique : le corps et l'interaction sociale.  </w:t>
      </w:r>
    </w:p>
    <w:p w14:paraId="4965A482" w14:textId="77777777" w:rsidR="00D80693" w:rsidRPr="00FF0802" w:rsidRDefault="00D80693" w:rsidP="00BD3B47">
      <w:pPr>
        <w:spacing w:before="120"/>
        <w:jc w:val="both"/>
        <w:rPr>
          <w:sz w:val="24"/>
          <w:szCs w:val="24"/>
          <w:lang w:eastAsia="fr-FR"/>
        </w:rPr>
      </w:pPr>
      <w:r w:rsidRPr="00FF0802">
        <w:rPr>
          <w:sz w:val="24"/>
          <w:szCs w:val="24"/>
          <w:lang w:eastAsia="fr-FR"/>
        </w:rPr>
        <w:t>L'auto-exclusion résulte d'une conception religieuse du corps comme sacré, imposant un strict impératif de pudeur. Cette contrainte crée une tension majeure autour des exigences vestimentaires (tenues légères) et de l'intimité des vestiaires, jugé</w:t>
      </w:r>
      <w:r>
        <w:rPr>
          <w:sz w:val="24"/>
          <w:szCs w:val="24"/>
          <w:lang w:eastAsia="fr-FR"/>
        </w:rPr>
        <w:t>e</w:t>
      </w:r>
      <w:r w:rsidRPr="00FF0802">
        <w:rPr>
          <w:sz w:val="24"/>
          <w:szCs w:val="24"/>
          <w:lang w:eastAsia="fr-FR"/>
        </w:rPr>
        <w:t xml:space="preserve">s incompatibles avec les préceptes des élèves. En outre, elle </w:t>
      </w:r>
      <w:r>
        <w:rPr>
          <w:sz w:val="24"/>
          <w:szCs w:val="24"/>
          <w:lang w:eastAsia="fr-FR"/>
        </w:rPr>
        <w:t>révèle</w:t>
      </w:r>
      <w:r w:rsidRPr="00FF0802">
        <w:rPr>
          <w:sz w:val="24"/>
          <w:szCs w:val="24"/>
          <w:lang w:eastAsia="fr-FR"/>
        </w:rPr>
        <w:t xml:space="preserve"> l'interdiction de la mixité et du contact physique avec le sexe opposé. Ces contraintes identitaires se heurtent à la nature collective et interactive des activités physiques, conduisant </w:t>
      </w:r>
      <w:r w:rsidRPr="00FF0802">
        <w:rPr>
          <w:i/>
          <w:iCs/>
          <w:sz w:val="24"/>
          <w:szCs w:val="24"/>
          <w:lang w:eastAsia="fr-FR"/>
        </w:rPr>
        <w:t>de facto</w:t>
      </w:r>
      <w:r w:rsidRPr="00FF0802">
        <w:rPr>
          <w:sz w:val="24"/>
          <w:szCs w:val="24"/>
          <w:lang w:eastAsia="fr-FR"/>
        </w:rPr>
        <w:t xml:space="preserve"> à l'isolement et à l'auto-exclusion de l'élève.</w:t>
      </w:r>
    </w:p>
    <w:p w14:paraId="64709265" w14:textId="253C778E" w:rsidR="00D80693" w:rsidRPr="00FF0802" w:rsidRDefault="00D80693" w:rsidP="00BD3B47">
      <w:pPr>
        <w:spacing w:before="120"/>
        <w:jc w:val="both"/>
        <w:rPr>
          <w:sz w:val="24"/>
          <w:szCs w:val="24"/>
          <w:lang w:eastAsia="fr-FR"/>
        </w:rPr>
      </w:pPr>
      <w:r w:rsidRPr="00FF0802">
        <w:rPr>
          <w:sz w:val="24"/>
          <w:szCs w:val="24"/>
          <w:lang w:eastAsia="fr-FR"/>
        </w:rPr>
        <w:t>En conclusion, l'étude établit que ce problème ne relève pas d'un refus d'effort, mais d'une incompatibilité profonde perçue par l'élève entre ses convictions religieuses et les exigences normatives et sociales du cours d'EPS.</w:t>
      </w:r>
    </w:p>
    <w:p w14:paraId="4DAD0807" w14:textId="77777777" w:rsidR="00D80693" w:rsidRPr="0065773E" w:rsidRDefault="00D80693" w:rsidP="00BD3B47">
      <w:pPr>
        <w:spacing w:before="120"/>
        <w:rPr>
          <w:rFonts w:eastAsiaTheme="majorEastAsia"/>
          <w:b/>
          <w:bCs/>
          <w:sz w:val="24"/>
          <w:szCs w:val="24"/>
        </w:rPr>
      </w:pPr>
      <w:r w:rsidRPr="0065773E">
        <w:rPr>
          <w:rFonts w:eastAsiaTheme="majorEastAsia"/>
          <w:b/>
          <w:bCs/>
          <w:sz w:val="24"/>
          <w:szCs w:val="24"/>
        </w:rPr>
        <w:t>Thème 2 : Le dilemme professionnel et manque de protocole</w:t>
      </w:r>
    </w:p>
    <w:p w14:paraId="0219DE7F" w14:textId="77777777" w:rsidR="00D80693" w:rsidRPr="00D72641" w:rsidRDefault="00D80693" w:rsidP="00BD3B47">
      <w:pPr>
        <w:spacing w:before="120"/>
        <w:jc w:val="center"/>
        <w:rPr>
          <w:rFonts w:eastAsia="Calibri"/>
          <w:b/>
          <w:bCs/>
          <w:i/>
          <w:iCs/>
          <w:sz w:val="24"/>
          <w:szCs w:val="24"/>
        </w:rPr>
      </w:pPr>
      <w:r w:rsidRPr="00D72641">
        <w:rPr>
          <w:b/>
          <w:bCs/>
          <w:i/>
          <w:iCs/>
          <w:sz w:val="24"/>
          <w:szCs w:val="24"/>
        </w:rPr>
        <w:t>Tableau </w:t>
      </w:r>
      <w:r>
        <w:rPr>
          <w:b/>
          <w:bCs/>
          <w:i/>
          <w:iCs/>
          <w:sz w:val="24"/>
          <w:szCs w:val="24"/>
        </w:rPr>
        <w:t xml:space="preserve">2 </w:t>
      </w:r>
      <w:r w:rsidRPr="00D72641">
        <w:rPr>
          <w:b/>
          <w:bCs/>
          <w:i/>
          <w:iCs/>
          <w:sz w:val="24"/>
          <w:szCs w:val="24"/>
        </w:rPr>
        <w:t>: Synthèse sur le dilemme professionnel des enseignants d'EPS face à la diversité : Pression institutionnelle et absence de protocole clair</w:t>
      </w:r>
    </w:p>
    <w:tbl>
      <w:tblPr>
        <w:tblStyle w:val="TableGrid00"/>
        <w:tblW w:w="0" w:type="auto"/>
        <w:tblLook w:val="04A0" w:firstRow="1" w:lastRow="0" w:firstColumn="1" w:lastColumn="0" w:noHBand="0" w:noVBand="1"/>
      </w:tblPr>
      <w:tblGrid>
        <w:gridCol w:w="2122"/>
        <w:gridCol w:w="6940"/>
      </w:tblGrid>
      <w:tr w:rsidR="00D80693" w14:paraId="01C8461E" w14:textId="77777777" w:rsidTr="00BD3B47">
        <w:tc>
          <w:tcPr>
            <w:tcW w:w="2122" w:type="dxa"/>
          </w:tcPr>
          <w:p w14:paraId="35795B78" w14:textId="77777777" w:rsidR="00D80693" w:rsidRPr="00FF0802" w:rsidRDefault="00D80693" w:rsidP="00BD3B47">
            <w:pPr>
              <w:spacing w:before="120"/>
              <w:jc w:val="both"/>
              <w:rPr>
                <w:sz w:val="24"/>
                <w:szCs w:val="24"/>
              </w:rPr>
            </w:pPr>
            <w:r w:rsidRPr="00FF0802">
              <w:rPr>
                <w:rFonts w:eastAsiaTheme="minorHAnsi"/>
                <w:b/>
                <w:bCs/>
                <w:sz w:val="24"/>
                <w:szCs w:val="24"/>
              </w:rPr>
              <w:t>Sous- thème</w:t>
            </w:r>
          </w:p>
        </w:tc>
        <w:tc>
          <w:tcPr>
            <w:tcW w:w="6940" w:type="dxa"/>
          </w:tcPr>
          <w:p w14:paraId="0BB6E051" w14:textId="77777777" w:rsidR="00D80693" w:rsidRPr="00FF0802" w:rsidRDefault="00D80693" w:rsidP="00BD3B47">
            <w:pPr>
              <w:spacing w:before="120"/>
              <w:jc w:val="both"/>
              <w:rPr>
                <w:sz w:val="24"/>
                <w:szCs w:val="24"/>
              </w:rPr>
            </w:pPr>
            <w:r w:rsidRPr="00FF0802">
              <w:rPr>
                <w:rFonts w:eastAsiaTheme="minorHAnsi"/>
                <w:b/>
                <w:bCs/>
                <w:sz w:val="24"/>
                <w:szCs w:val="24"/>
              </w:rPr>
              <w:t>Extrait de verbatim</w:t>
            </w:r>
          </w:p>
        </w:tc>
      </w:tr>
      <w:tr w:rsidR="00D80693" w14:paraId="7BE37659" w14:textId="77777777" w:rsidTr="00BD3B47">
        <w:tc>
          <w:tcPr>
            <w:tcW w:w="2122" w:type="dxa"/>
          </w:tcPr>
          <w:p w14:paraId="7B369355" w14:textId="77777777" w:rsidR="00D80693" w:rsidRPr="00FF0802" w:rsidRDefault="00D80693" w:rsidP="00BD3B47">
            <w:pPr>
              <w:spacing w:before="120"/>
              <w:jc w:val="both"/>
              <w:rPr>
                <w:sz w:val="24"/>
                <w:szCs w:val="24"/>
              </w:rPr>
            </w:pPr>
            <w:r w:rsidRPr="00FF0802">
              <w:rPr>
                <w:rFonts w:eastAsiaTheme="minorHAnsi"/>
                <w:sz w:val="24"/>
                <w:szCs w:val="24"/>
              </w:rPr>
              <w:t>Dilemme professionnel (Pression double)</w:t>
            </w:r>
          </w:p>
        </w:tc>
        <w:tc>
          <w:tcPr>
            <w:tcW w:w="6940" w:type="dxa"/>
          </w:tcPr>
          <w:p w14:paraId="77BF2B0C" w14:textId="77777777" w:rsidR="00D80693" w:rsidRPr="00FF0802" w:rsidRDefault="00D80693" w:rsidP="00BD3B47">
            <w:pPr>
              <w:spacing w:before="120"/>
              <w:jc w:val="both"/>
              <w:rPr>
                <w:sz w:val="24"/>
                <w:szCs w:val="24"/>
              </w:rPr>
            </w:pPr>
            <w:r w:rsidRPr="00FF0802">
              <w:rPr>
                <w:rFonts w:eastAsiaTheme="minorHAnsi"/>
                <w:b/>
                <w:bCs/>
                <w:sz w:val="24"/>
                <w:szCs w:val="24"/>
              </w:rPr>
              <w:t>En19 :</w:t>
            </w:r>
            <w:r w:rsidRPr="00FF0802">
              <w:rPr>
                <w:rFonts w:eastAsiaTheme="minorHAnsi"/>
                <w:sz w:val="24"/>
                <w:szCs w:val="24"/>
              </w:rPr>
              <w:t xml:space="preserve"> « </w:t>
            </w:r>
            <w:r w:rsidRPr="00FF0802">
              <w:rPr>
                <w:rFonts w:eastAsiaTheme="minorHAnsi"/>
                <w:i/>
                <w:iCs/>
                <w:sz w:val="24"/>
                <w:szCs w:val="24"/>
              </w:rPr>
              <w:t>On est coincé entre la règle de l'école qui dit 'il faut participer' et leur conviction. On essaie de négocier, mais on se sent impuissant. On devient juge, pédagogue et médiateur, tout seul.</w:t>
            </w:r>
            <w:r w:rsidRPr="00FF0802">
              <w:rPr>
                <w:rFonts w:eastAsiaTheme="minorHAnsi"/>
                <w:sz w:val="24"/>
                <w:szCs w:val="24"/>
              </w:rPr>
              <w:t xml:space="preserve"> »</w:t>
            </w:r>
          </w:p>
        </w:tc>
      </w:tr>
      <w:tr w:rsidR="00D80693" w14:paraId="1E8D3C60" w14:textId="77777777" w:rsidTr="00BD3B47">
        <w:tc>
          <w:tcPr>
            <w:tcW w:w="2122" w:type="dxa"/>
          </w:tcPr>
          <w:p w14:paraId="6040326F" w14:textId="77777777" w:rsidR="00D80693" w:rsidRPr="00FF0802" w:rsidRDefault="00D80693" w:rsidP="00BD3B47">
            <w:pPr>
              <w:spacing w:before="120"/>
              <w:jc w:val="both"/>
              <w:rPr>
                <w:sz w:val="24"/>
                <w:szCs w:val="24"/>
              </w:rPr>
            </w:pPr>
            <w:r w:rsidRPr="00FF0802">
              <w:rPr>
                <w:rFonts w:eastAsiaTheme="minorHAnsi"/>
                <w:sz w:val="24"/>
                <w:szCs w:val="24"/>
              </w:rPr>
              <w:t xml:space="preserve">Manque de protocoles clairs  </w:t>
            </w:r>
          </w:p>
        </w:tc>
        <w:tc>
          <w:tcPr>
            <w:tcW w:w="6940" w:type="dxa"/>
          </w:tcPr>
          <w:p w14:paraId="19DBC124" w14:textId="77777777" w:rsidR="00D80693" w:rsidRPr="00FF0802" w:rsidRDefault="00D80693" w:rsidP="00BD3B47">
            <w:pPr>
              <w:spacing w:before="120"/>
              <w:jc w:val="both"/>
              <w:rPr>
                <w:sz w:val="24"/>
                <w:szCs w:val="24"/>
              </w:rPr>
            </w:pPr>
            <w:r w:rsidRPr="00FF0802">
              <w:rPr>
                <w:rFonts w:eastAsiaTheme="minorHAnsi"/>
                <w:b/>
                <w:bCs/>
                <w:sz w:val="24"/>
                <w:szCs w:val="24"/>
              </w:rPr>
              <w:t>En3 :</w:t>
            </w:r>
            <w:r w:rsidRPr="00FF0802">
              <w:rPr>
                <w:rFonts w:eastAsiaTheme="minorHAnsi"/>
                <w:sz w:val="24"/>
                <w:szCs w:val="24"/>
              </w:rPr>
              <w:t xml:space="preserve"> « </w:t>
            </w:r>
            <w:r w:rsidRPr="00FF0802">
              <w:rPr>
                <w:rFonts w:eastAsiaTheme="minorHAnsi"/>
                <w:i/>
                <w:iCs/>
                <w:sz w:val="24"/>
                <w:szCs w:val="24"/>
              </w:rPr>
              <w:t>Le problème, c'est l'absence de protocole clair. On improvise. Chaque enseignant invente sa solution, souvent une note à la sauvette pour ne pas pénaliser l'élève. C'est l'enseignant qui porte le fardeau.</w:t>
            </w:r>
            <w:r w:rsidRPr="00FF0802">
              <w:rPr>
                <w:rFonts w:eastAsiaTheme="minorHAnsi"/>
                <w:sz w:val="24"/>
                <w:szCs w:val="24"/>
              </w:rPr>
              <w:t xml:space="preserve"> »</w:t>
            </w:r>
          </w:p>
        </w:tc>
      </w:tr>
    </w:tbl>
    <w:p w14:paraId="2B51EE7E" w14:textId="77777777" w:rsidR="00D80693" w:rsidRPr="00FF0802" w:rsidRDefault="00D80693" w:rsidP="00BD3B47">
      <w:pPr>
        <w:spacing w:before="120"/>
        <w:jc w:val="both"/>
        <w:rPr>
          <w:rFonts w:eastAsia="Calibri"/>
          <w:sz w:val="24"/>
          <w:szCs w:val="24"/>
        </w:rPr>
      </w:pPr>
      <w:r w:rsidRPr="00FF0802">
        <w:rPr>
          <w:sz w:val="24"/>
          <w:szCs w:val="24"/>
        </w:rPr>
        <w:t xml:space="preserve"> </w:t>
      </w:r>
      <w:r w:rsidRPr="00FF0802">
        <w:rPr>
          <w:b/>
          <w:bCs/>
          <w:sz w:val="24"/>
          <w:szCs w:val="24"/>
        </w:rPr>
        <w:t>Source :</w:t>
      </w:r>
      <w:r w:rsidRPr="00FF0802">
        <w:rPr>
          <w:sz w:val="24"/>
          <w:szCs w:val="24"/>
        </w:rPr>
        <w:t xml:space="preserve">  Enquête </w:t>
      </w:r>
      <w:proofErr w:type="spellStart"/>
      <w:r w:rsidRPr="00FF0802">
        <w:rPr>
          <w:sz w:val="24"/>
          <w:szCs w:val="24"/>
        </w:rPr>
        <w:t>Bakingu</w:t>
      </w:r>
      <w:proofErr w:type="spellEnd"/>
      <w:r w:rsidRPr="00FF0802">
        <w:rPr>
          <w:sz w:val="24"/>
          <w:szCs w:val="24"/>
        </w:rPr>
        <w:t xml:space="preserve"> 2025</w:t>
      </w:r>
    </w:p>
    <w:p w14:paraId="0137136C" w14:textId="77777777" w:rsidR="00D80693" w:rsidRPr="00FF0802" w:rsidRDefault="00D80693" w:rsidP="00BD3B47">
      <w:pPr>
        <w:spacing w:before="120"/>
        <w:jc w:val="both"/>
        <w:rPr>
          <w:sz w:val="24"/>
          <w:szCs w:val="24"/>
          <w:lang w:eastAsia="fr-FR"/>
        </w:rPr>
      </w:pPr>
      <w:r w:rsidRPr="00FF0802">
        <w:rPr>
          <w:sz w:val="24"/>
          <w:szCs w:val="24"/>
          <w:lang w:eastAsia="fr-FR"/>
        </w:rPr>
        <w:t>Ce thème révèle la détresse professionnelle des enseignants d'EPS, pris au cœur d'un véritable dilemme professionnel : concilier l'obligation institutionnelle d'appliquer les règles de l'école (participation) et le respect des convictions religieuses des élèves. Les entretiens font état d'un sentiment d'impuissance et d'un rôle non désiré de médiateur.</w:t>
      </w:r>
    </w:p>
    <w:p w14:paraId="38F0B9D3" w14:textId="77777777" w:rsidR="00D80693" w:rsidRPr="00FF0802" w:rsidRDefault="00D80693" w:rsidP="00BD3B47">
      <w:pPr>
        <w:spacing w:before="120"/>
        <w:jc w:val="both"/>
        <w:rPr>
          <w:sz w:val="24"/>
          <w:szCs w:val="24"/>
          <w:lang w:eastAsia="fr-FR"/>
        </w:rPr>
      </w:pPr>
      <w:r w:rsidRPr="00FF0802">
        <w:rPr>
          <w:sz w:val="24"/>
          <w:szCs w:val="24"/>
          <w:lang w:eastAsia="fr-FR"/>
        </w:rPr>
        <w:t>Le problème est aggravé par le manque de protocoles clairs. L'absence de directives institutionnelles formelles transfère la charge entière de la gestion et de la négociation sur l'enseignant. Face à cette lacune, la gestion est individualisée et improvisée, compromettant l'équité et la sécurité légale de l'enseignant. Ceci met en lumière une faiblesse systémique où la gestion de la diversité repose uniquement sur l'acteur de terrain.</w:t>
      </w:r>
    </w:p>
    <w:p w14:paraId="0615B836" w14:textId="77777777" w:rsidR="00D80693" w:rsidRPr="0065773E" w:rsidRDefault="00D80693" w:rsidP="00BD3B47">
      <w:pPr>
        <w:spacing w:before="120"/>
        <w:rPr>
          <w:rFonts w:eastAsiaTheme="majorEastAsia"/>
          <w:b/>
          <w:bCs/>
          <w:sz w:val="24"/>
          <w:szCs w:val="24"/>
        </w:rPr>
      </w:pPr>
      <w:r w:rsidRPr="0065773E">
        <w:rPr>
          <w:rFonts w:eastAsiaTheme="majorEastAsia"/>
          <w:b/>
          <w:bCs/>
          <w:sz w:val="24"/>
          <w:szCs w:val="24"/>
        </w:rPr>
        <w:t>Thème 3 : La nécessité de solutions et d'adaptations</w:t>
      </w:r>
    </w:p>
    <w:p w14:paraId="0A48A56B" w14:textId="77777777" w:rsidR="00D80693" w:rsidRPr="00D72641" w:rsidRDefault="00D80693" w:rsidP="00BD3B47">
      <w:pPr>
        <w:spacing w:before="120"/>
        <w:jc w:val="center"/>
        <w:rPr>
          <w:rFonts w:eastAsia="Calibri"/>
          <w:b/>
          <w:bCs/>
        </w:rPr>
      </w:pPr>
      <w:r w:rsidRPr="00D72641">
        <w:rPr>
          <w:b/>
          <w:bCs/>
        </w:rPr>
        <w:t>Tableau 3 : Synthèse des Recommandations Issues de l'Étude</w:t>
      </w:r>
    </w:p>
    <w:tbl>
      <w:tblPr>
        <w:tblStyle w:val="TableGrid00"/>
        <w:tblW w:w="0" w:type="auto"/>
        <w:tblLook w:val="04A0" w:firstRow="1" w:lastRow="0" w:firstColumn="1" w:lastColumn="0" w:noHBand="0" w:noVBand="1"/>
      </w:tblPr>
      <w:tblGrid>
        <w:gridCol w:w="2405"/>
        <w:gridCol w:w="6657"/>
      </w:tblGrid>
      <w:tr w:rsidR="00D80693" w14:paraId="3C08E15B" w14:textId="77777777" w:rsidTr="00BD3B47">
        <w:tc>
          <w:tcPr>
            <w:tcW w:w="2405" w:type="dxa"/>
          </w:tcPr>
          <w:p w14:paraId="1FFEBD62" w14:textId="77777777" w:rsidR="00D80693" w:rsidRPr="00FF0802" w:rsidRDefault="00D80693" w:rsidP="00BD3B47">
            <w:pPr>
              <w:spacing w:before="120"/>
              <w:jc w:val="both"/>
              <w:rPr>
                <w:sz w:val="24"/>
                <w:szCs w:val="24"/>
              </w:rPr>
            </w:pPr>
            <w:r w:rsidRPr="00FF0802">
              <w:rPr>
                <w:rFonts w:eastAsiaTheme="minorHAnsi"/>
                <w:b/>
                <w:bCs/>
                <w:sz w:val="24"/>
                <w:szCs w:val="24"/>
              </w:rPr>
              <w:t>Sous- thème</w:t>
            </w:r>
          </w:p>
        </w:tc>
        <w:tc>
          <w:tcPr>
            <w:tcW w:w="6657" w:type="dxa"/>
          </w:tcPr>
          <w:p w14:paraId="0AB42555" w14:textId="77777777" w:rsidR="00D80693" w:rsidRPr="00FF0802" w:rsidRDefault="00D80693" w:rsidP="00BD3B47">
            <w:pPr>
              <w:spacing w:before="120"/>
              <w:jc w:val="both"/>
              <w:rPr>
                <w:sz w:val="24"/>
                <w:szCs w:val="24"/>
              </w:rPr>
            </w:pPr>
            <w:r w:rsidRPr="00FF0802">
              <w:rPr>
                <w:rFonts w:eastAsiaTheme="minorHAnsi"/>
                <w:b/>
                <w:bCs/>
                <w:sz w:val="24"/>
                <w:szCs w:val="24"/>
              </w:rPr>
              <w:t>Extrait de verbatim</w:t>
            </w:r>
          </w:p>
        </w:tc>
      </w:tr>
      <w:tr w:rsidR="00D80693" w14:paraId="7469BA60" w14:textId="77777777" w:rsidTr="00BD3B47">
        <w:tc>
          <w:tcPr>
            <w:tcW w:w="2405" w:type="dxa"/>
          </w:tcPr>
          <w:p w14:paraId="3BBA31BB" w14:textId="77777777" w:rsidR="00D80693" w:rsidRPr="00FF0802" w:rsidRDefault="00D80693" w:rsidP="00BD3B47">
            <w:pPr>
              <w:spacing w:before="120"/>
              <w:jc w:val="both"/>
              <w:rPr>
                <w:sz w:val="24"/>
                <w:szCs w:val="24"/>
              </w:rPr>
            </w:pPr>
            <w:r w:rsidRPr="00FF0802">
              <w:rPr>
                <w:rFonts w:eastAsiaTheme="minorHAnsi"/>
                <w:sz w:val="24"/>
                <w:szCs w:val="24"/>
              </w:rPr>
              <w:t>Formalisation des Évaluations Alternatives</w:t>
            </w:r>
          </w:p>
        </w:tc>
        <w:tc>
          <w:tcPr>
            <w:tcW w:w="6657" w:type="dxa"/>
          </w:tcPr>
          <w:p w14:paraId="7112AC52" w14:textId="77777777" w:rsidR="00D80693" w:rsidRPr="00FF0802" w:rsidRDefault="00D80693" w:rsidP="00BD3B47">
            <w:pPr>
              <w:spacing w:before="120"/>
              <w:jc w:val="both"/>
              <w:rPr>
                <w:sz w:val="24"/>
                <w:szCs w:val="24"/>
              </w:rPr>
            </w:pPr>
            <w:r w:rsidRPr="00FF0802">
              <w:rPr>
                <w:rFonts w:eastAsiaTheme="minorHAnsi"/>
                <w:b/>
                <w:bCs/>
                <w:sz w:val="24"/>
                <w:szCs w:val="24"/>
              </w:rPr>
              <w:t>En11 :</w:t>
            </w:r>
            <w:r w:rsidRPr="00FF0802">
              <w:rPr>
                <w:rFonts w:eastAsiaTheme="minorHAnsi"/>
                <w:sz w:val="24"/>
                <w:szCs w:val="24"/>
              </w:rPr>
              <w:t xml:space="preserve"> </w:t>
            </w:r>
            <w:r w:rsidRPr="00FF0802">
              <w:rPr>
                <w:rFonts w:eastAsiaTheme="minorHAnsi"/>
                <w:i/>
                <w:iCs/>
                <w:sz w:val="24"/>
                <w:szCs w:val="24"/>
              </w:rPr>
              <w:t>« Si elles refusent de participer, je ne peux pas leur mettre zéro. Il faut trouver une évaluation orale ou théorique formalisée pour ne pas pénaliser leur parcours scolaire, sinon on encourage l'auto-exclusion</w:t>
            </w:r>
            <w:r w:rsidRPr="00FF0802">
              <w:rPr>
                <w:rFonts w:eastAsiaTheme="minorHAnsi"/>
                <w:sz w:val="24"/>
                <w:szCs w:val="24"/>
              </w:rPr>
              <w:t>. »</w:t>
            </w:r>
          </w:p>
        </w:tc>
      </w:tr>
      <w:tr w:rsidR="00D80693" w14:paraId="5814DA00" w14:textId="77777777" w:rsidTr="00BD3B47">
        <w:tc>
          <w:tcPr>
            <w:tcW w:w="2405" w:type="dxa"/>
          </w:tcPr>
          <w:p w14:paraId="171FE6FE" w14:textId="77777777" w:rsidR="00D80693" w:rsidRPr="00FF0802" w:rsidRDefault="00D80693" w:rsidP="00BD3B47">
            <w:pPr>
              <w:spacing w:before="120"/>
              <w:jc w:val="both"/>
              <w:rPr>
                <w:sz w:val="24"/>
                <w:szCs w:val="24"/>
              </w:rPr>
            </w:pPr>
            <w:r w:rsidRPr="00FF0802">
              <w:rPr>
                <w:rFonts w:eastAsiaTheme="minorHAnsi"/>
                <w:sz w:val="24"/>
                <w:szCs w:val="24"/>
              </w:rPr>
              <w:t>Dialogue, médiation et implication familiale</w:t>
            </w:r>
          </w:p>
        </w:tc>
        <w:tc>
          <w:tcPr>
            <w:tcW w:w="6657" w:type="dxa"/>
          </w:tcPr>
          <w:p w14:paraId="3DED6A53" w14:textId="77777777" w:rsidR="00D80693" w:rsidRPr="00FF0802" w:rsidRDefault="00D80693" w:rsidP="00BD3B47">
            <w:pPr>
              <w:spacing w:before="120"/>
              <w:jc w:val="both"/>
              <w:rPr>
                <w:b/>
                <w:bCs/>
                <w:sz w:val="24"/>
                <w:szCs w:val="24"/>
              </w:rPr>
            </w:pPr>
            <w:r w:rsidRPr="00FF0802">
              <w:rPr>
                <w:rFonts w:eastAsiaTheme="minorHAnsi"/>
                <w:b/>
                <w:bCs/>
                <w:sz w:val="24"/>
                <w:szCs w:val="24"/>
              </w:rPr>
              <w:t>En21 :</w:t>
            </w:r>
            <w:r w:rsidRPr="00FF0802">
              <w:rPr>
                <w:rFonts w:eastAsiaTheme="minorHAnsi"/>
                <w:sz w:val="24"/>
                <w:szCs w:val="24"/>
              </w:rPr>
              <w:t xml:space="preserve"> « </w:t>
            </w:r>
            <w:r w:rsidRPr="001E2EB9">
              <w:rPr>
                <w:rFonts w:eastAsiaTheme="minorHAnsi"/>
                <w:i/>
                <w:iCs/>
                <w:sz w:val="24"/>
                <w:szCs w:val="24"/>
              </w:rPr>
              <w:t xml:space="preserve">Il faut impliquer les parents dès le début. Si on établit une </w:t>
            </w:r>
            <w:r>
              <w:rPr>
                <w:rFonts w:eastAsiaTheme="minorHAnsi"/>
                <w:i/>
                <w:iCs/>
                <w:sz w:val="24"/>
                <w:szCs w:val="24"/>
              </w:rPr>
              <w:t>règle</w:t>
            </w:r>
            <w:r w:rsidRPr="001E2EB9">
              <w:rPr>
                <w:rFonts w:eastAsiaTheme="minorHAnsi"/>
                <w:i/>
                <w:iCs/>
                <w:sz w:val="24"/>
                <w:szCs w:val="24"/>
              </w:rPr>
              <w:t xml:space="preserve"> de dialogue avec la famille, on peut négocier les limites et l'élève se sent moins jugé par la communauté. C'est un travail de médiation familiale.</w:t>
            </w:r>
            <w:r w:rsidRPr="00FF0802">
              <w:rPr>
                <w:rFonts w:eastAsiaTheme="minorHAnsi"/>
                <w:sz w:val="24"/>
                <w:szCs w:val="24"/>
              </w:rPr>
              <w:t xml:space="preserve"> »</w:t>
            </w:r>
          </w:p>
        </w:tc>
      </w:tr>
      <w:tr w:rsidR="00D80693" w14:paraId="410C3D7B" w14:textId="77777777" w:rsidTr="00BD3B47">
        <w:tc>
          <w:tcPr>
            <w:tcW w:w="2405" w:type="dxa"/>
          </w:tcPr>
          <w:p w14:paraId="32FC28C3" w14:textId="77777777" w:rsidR="00D80693" w:rsidRPr="00FF0802" w:rsidRDefault="00D80693" w:rsidP="00BD3B47">
            <w:pPr>
              <w:spacing w:before="120"/>
              <w:jc w:val="both"/>
              <w:rPr>
                <w:sz w:val="24"/>
                <w:szCs w:val="24"/>
              </w:rPr>
            </w:pPr>
            <w:r w:rsidRPr="00FF0802">
              <w:rPr>
                <w:rFonts w:eastAsiaTheme="minorHAnsi"/>
                <w:sz w:val="24"/>
                <w:szCs w:val="24"/>
              </w:rPr>
              <w:t>Formation et mutualisation des pratiques</w:t>
            </w:r>
          </w:p>
        </w:tc>
        <w:tc>
          <w:tcPr>
            <w:tcW w:w="6657" w:type="dxa"/>
          </w:tcPr>
          <w:p w14:paraId="0EB496DC" w14:textId="77777777" w:rsidR="00D80693" w:rsidRPr="00FF0802" w:rsidRDefault="00D80693" w:rsidP="00BD3B47">
            <w:pPr>
              <w:spacing w:before="120"/>
              <w:jc w:val="both"/>
              <w:rPr>
                <w:sz w:val="24"/>
                <w:szCs w:val="24"/>
              </w:rPr>
            </w:pPr>
            <w:r w:rsidRPr="00FF0802">
              <w:rPr>
                <w:rFonts w:eastAsiaTheme="minorHAnsi"/>
                <w:b/>
                <w:bCs/>
                <w:sz w:val="24"/>
                <w:szCs w:val="24"/>
              </w:rPr>
              <w:t>En17 :</w:t>
            </w:r>
            <w:r w:rsidRPr="00FF0802">
              <w:rPr>
                <w:rFonts w:eastAsiaTheme="minorHAnsi"/>
                <w:sz w:val="24"/>
                <w:szCs w:val="24"/>
              </w:rPr>
              <w:t xml:space="preserve"> « </w:t>
            </w:r>
            <w:r w:rsidRPr="00FF0802">
              <w:rPr>
                <w:rFonts w:eastAsiaTheme="minorHAnsi"/>
                <w:i/>
                <w:iCs/>
                <w:sz w:val="24"/>
                <w:szCs w:val="24"/>
              </w:rPr>
              <w:t>J'aimerais qu'on nous donne une formation sur la gestion de la diversité et surtout, qu'on mutualise. Je veux savoir ce que mes collègues font pour adapter leurs exercices sans contact. On ne veut plus improviser.</w:t>
            </w:r>
            <w:r w:rsidRPr="00FF0802">
              <w:rPr>
                <w:rFonts w:eastAsiaTheme="minorHAnsi"/>
                <w:sz w:val="24"/>
                <w:szCs w:val="24"/>
              </w:rPr>
              <w:t xml:space="preserve"> »</w:t>
            </w:r>
          </w:p>
        </w:tc>
      </w:tr>
    </w:tbl>
    <w:p w14:paraId="0D9F5D12" w14:textId="77777777" w:rsidR="00D80693" w:rsidRPr="00FF0802" w:rsidRDefault="00D80693" w:rsidP="00BD3B47">
      <w:pPr>
        <w:spacing w:before="120"/>
        <w:jc w:val="both"/>
        <w:rPr>
          <w:sz w:val="24"/>
          <w:szCs w:val="24"/>
          <w:lang w:eastAsia="fr-FR"/>
        </w:rPr>
      </w:pPr>
      <w:r w:rsidRPr="00FF0802">
        <w:rPr>
          <w:b/>
          <w:bCs/>
          <w:sz w:val="24"/>
          <w:szCs w:val="24"/>
          <w:lang w:eastAsia="fr-FR"/>
        </w:rPr>
        <w:t>Source :</w:t>
      </w:r>
      <w:r w:rsidRPr="00FF0802">
        <w:rPr>
          <w:sz w:val="24"/>
          <w:szCs w:val="24"/>
          <w:lang w:eastAsia="fr-FR"/>
        </w:rPr>
        <w:t xml:space="preserve">  Enquête </w:t>
      </w:r>
      <w:proofErr w:type="spellStart"/>
      <w:r w:rsidRPr="00FF0802">
        <w:rPr>
          <w:sz w:val="24"/>
          <w:szCs w:val="24"/>
          <w:lang w:eastAsia="fr-FR"/>
        </w:rPr>
        <w:t>Bakingu</w:t>
      </w:r>
      <w:proofErr w:type="spellEnd"/>
      <w:r w:rsidRPr="00FF0802">
        <w:rPr>
          <w:sz w:val="24"/>
          <w:szCs w:val="24"/>
          <w:lang w:eastAsia="fr-FR"/>
        </w:rPr>
        <w:t xml:space="preserve"> 2025 </w:t>
      </w:r>
    </w:p>
    <w:p w14:paraId="35C236A9" w14:textId="77777777" w:rsidR="00D80693" w:rsidRPr="00FF0802" w:rsidRDefault="00D80693" w:rsidP="00BD3B47">
      <w:pPr>
        <w:spacing w:before="120"/>
        <w:jc w:val="both"/>
        <w:rPr>
          <w:sz w:val="24"/>
          <w:szCs w:val="24"/>
          <w:lang w:eastAsia="fr-FR"/>
        </w:rPr>
      </w:pPr>
      <w:r w:rsidRPr="00FF0802">
        <w:rPr>
          <w:sz w:val="24"/>
          <w:szCs w:val="24"/>
          <w:lang w:eastAsia="fr-FR"/>
        </w:rPr>
        <w:t>Les enseignants d'EPS proposent de remplacer l'improvisation individuelle par une approche systémique et partagée en trois points :</w:t>
      </w:r>
    </w:p>
    <w:p w14:paraId="76B7B0EE" w14:textId="77777777" w:rsidR="00D80693" w:rsidRPr="00FF0802" w:rsidRDefault="00D80693" w:rsidP="00BD3B47">
      <w:pPr>
        <w:widowControl/>
        <w:numPr>
          <w:ilvl w:val="0"/>
          <w:numId w:val="152"/>
        </w:numPr>
        <w:autoSpaceDE/>
        <w:autoSpaceDN/>
        <w:spacing w:before="120"/>
        <w:jc w:val="both"/>
        <w:rPr>
          <w:sz w:val="24"/>
          <w:szCs w:val="24"/>
          <w:lang w:eastAsia="fr-FR"/>
        </w:rPr>
      </w:pPr>
      <w:proofErr w:type="gramStart"/>
      <w:r>
        <w:rPr>
          <w:sz w:val="24"/>
          <w:szCs w:val="24"/>
          <w:lang w:eastAsia="fr-FR"/>
        </w:rPr>
        <w:t>m</w:t>
      </w:r>
      <w:r w:rsidRPr="00FF0802">
        <w:rPr>
          <w:sz w:val="24"/>
          <w:szCs w:val="24"/>
          <w:lang w:eastAsia="fr-FR"/>
        </w:rPr>
        <w:t>ettre</w:t>
      </w:r>
      <w:proofErr w:type="gramEnd"/>
      <w:r w:rsidRPr="00FF0802">
        <w:rPr>
          <w:sz w:val="24"/>
          <w:szCs w:val="24"/>
          <w:lang w:eastAsia="fr-FR"/>
        </w:rPr>
        <w:t xml:space="preserve"> en place et formaliser des évaluations alternatives (orales/théoriques) pour garantir l'équité et éviter que l'auto-exclusion ne mène à l'échec scolaire.</w:t>
      </w:r>
    </w:p>
    <w:p w14:paraId="000B9BDE" w14:textId="77777777" w:rsidR="00D80693" w:rsidRPr="00FF0802" w:rsidRDefault="00D80693" w:rsidP="00BD3B47">
      <w:pPr>
        <w:widowControl/>
        <w:numPr>
          <w:ilvl w:val="0"/>
          <w:numId w:val="152"/>
        </w:numPr>
        <w:autoSpaceDE/>
        <w:autoSpaceDN/>
        <w:spacing w:before="120"/>
        <w:jc w:val="both"/>
        <w:rPr>
          <w:sz w:val="24"/>
          <w:szCs w:val="24"/>
          <w:lang w:eastAsia="fr-FR"/>
        </w:rPr>
      </w:pPr>
      <w:proofErr w:type="gramStart"/>
      <w:r>
        <w:rPr>
          <w:sz w:val="24"/>
          <w:szCs w:val="24"/>
          <w:lang w:eastAsia="fr-FR"/>
        </w:rPr>
        <w:t>d</w:t>
      </w:r>
      <w:r w:rsidRPr="00FF0802">
        <w:rPr>
          <w:sz w:val="24"/>
          <w:szCs w:val="24"/>
          <w:lang w:eastAsia="fr-FR"/>
        </w:rPr>
        <w:t>épasser</w:t>
      </w:r>
      <w:proofErr w:type="gramEnd"/>
      <w:r w:rsidRPr="00FF0802">
        <w:rPr>
          <w:sz w:val="24"/>
          <w:szCs w:val="24"/>
          <w:lang w:eastAsia="fr-FR"/>
        </w:rPr>
        <w:t xml:space="preserve"> le rôle d'unique arbitre en instaurant un dialogue officiel impliquant la famille et l'élève, transformant le conflit en négociation mutuelle.</w:t>
      </w:r>
    </w:p>
    <w:p w14:paraId="58673B6F" w14:textId="77777777" w:rsidR="00D80693" w:rsidRPr="00FF0802" w:rsidRDefault="00D80693" w:rsidP="00BD3B47">
      <w:pPr>
        <w:widowControl/>
        <w:numPr>
          <w:ilvl w:val="0"/>
          <w:numId w:val="152"/>
        </w:numPr>
        <w:autoSpaceDE/>
        <w:autoSpaceDN/>
        <w:spacing w:before="120"/>
        <w:jc w:val="both"/>
        <w:rPr>
          <w:sz w:val="24"/>
          <w:szCs w:val="24"/>
          <w:lang w:eastAsia="fr-FR"/>
        </w:rPr>
      </w:pPr>
      <w:proofErr w:type="gramStart"/>
      <w:r>
        <w:rPr>
          <w:sz w:val="24"/>
          <w:szCs w:val="24"/>
          <w:lang w:eastAsia="fr-FR"/>
        </w:rPr>
        <w:t>d</w:t>
      </w:r>
      <w:r w:rsidRPr="00FF0802">
        <w:rPr>
          <w:sz w:val="24"/>
          <w:szCs w:val="24"/>
          <w:lang w:eastAsia="fr-FR"/>
        </w:rPr>
        <w:t>oter</w:t>
      </w:r>
      <w:proofErr w:type="gramEnd"/>
      <w:r w:rsidRPr="00FF0802">
        <w:rPr>
          <w:sz w:val="24"/>
          <w:szCs w:val="24"/>
          <w:lang w:eastAsia="fr-FR"/>
        </w:rPr>
        <w:t xml:space="preserve"> les enseignants d'outils par la formation sur la diversité et l'organisation de la mutualisation des bonnes pratiques pour créer une expertise collective.</w:t>
      </w:r>
    </w:p>
    <w:p w14:paraId="0B5FFC7A" w14:textId="77777777" w:rsidR="00D80693" w:rsidRPr="00FF0802" w:rsidRDefault="00D80693" w:rsidP="00BD3B47">
      <w:pPr>
        <w:spacing w:before="120"/>
        <w:jc w:val="both"/>
        <w:rPr>
          <w:sz w:val="24"/>
          <w:szCs w:val="24"/>
          <w:lang w:eastAsia="fr-FR"/>
        </w:rPr>
      </w:pPr>
      <w:r w:rsidRPr="00FF0802">
        <w:rPr>
          <w:sz w:val="24"/>
          <w:szCs w:val="24"/>
          <w:lang w:eastAsia="fr-FR"/>
        </w:rPr>
        <w:t>En résumé, l'appel principal est à la création d'un cadre institutionnel, formatif et collaboratif pour une meilleure gestion inclusive de la diversité.</w:t>
      </w:r>
    </w:p>
    <w:p w14:paraId="7C658BB0" w14:textId="77777777" w:rsidR="00D80693" w:rsidRPr="008B553F" w:rsidRDefault="00D80693" w:rsidP="00BD3B47">
      <w:pPr>
        <w:spacing w:before="120"/>
        <w:jc w:val="both"/>
        <w:rPr>
          <w:sz w:val="28"/>
          <w:szCs w:val="28"/>
          <w:lang w:eastAsia="fr-FR"/>
        </w:rPr>
      </w:pPr>
      <w:r w:rsidRPr="008B553F">
        <w:rPr>
          <w:b/>
          <w:bCs/>
          <w:sz w:val="28"/>
          <w:szCs w:val="28"/>
          <w:lang w:eastAsia="fr-FR"/>
        </w:rPr>
        <w:t>3.</w:t>
      </w:r>
      <w:r>
        <w:rPr>
          <w:b/>
          <w:bCs/>
          <w:sz w:val="28"/>
          <w:szCs w:val="28"/>
          <w:lang w:eastAsia="fr-FR"/>
        </w:rPr>
        <w:t xml:space="preserve"> </w:t>
      </w:r>
      <w:r w:rsidRPr="008B553F">
        <w:rPr>
          <w:b/>
          <w:bCs/>
          <w:sz w:val="28"/>
          <w:szCs w:val="28"/>
          <w:lang w:eastAsia="fr-FR"/>
        </w:rPr>
        <w:t xml:space="preserve">Discussion </w:t>
      </w:r>
    </w:p>
    <w:p w14:paraId="5EACE80E" w14:textId="77777777" w:rsidR="00D80693" w:rsidRPr="00FF0802" w:rsidRDefault="00D80693" w:rsidP="00BD3B47">
      <w:pPr>
        <w:spacing w:before="120"/>
        <w:jc w:val="both"/>
        <w:rPr>
          <w:sz w:val="24"/>
          <w:szCs w:val="24"/>
          <w:lang w:eastAsia="fr-FR"/>
        </w:rPr>
      </w:pPr>
      <w:r w:rsidRPr="00FF0802">
        <w:rPr>
          <w:sz w:val="24"/>
          <w:szCs w:val="24"/>
          <w:lang w:eastAsia="fr-FR"/>
        </w:rPr>
        <w:t xml:space="preserve">L'objectif principal de cette étude a été d'analyser et de décrypter les attitudes et les stratégies </w:t>
      </w:r>
      <w:r>
        <w:rPr>
          <w:sz w:val="24"/>
          <w:szCs w:val="24"/>
          <w:lang w:eastAsia="fr-FR"/>
        </w:rPr>
        <w:t xml:space="preserve">  </w:t>
      </w:r>
      <w:r w:rsidRPr="00FF0802">
        <w:rPr>
          <w:sz w:val="24"/>
          <w:szCs w:val="24"/>
          <w:lang w:eastAsia="fr-FR"/>
        </w:rPr>
        <w:t xml:space="preserve"> adoptées par les enseignants d'Éducation Physique et Sportive (EPS) face à l'auto-exclusion des élèves, notamment les filles issues des Églises de Réveil.</w:t>
      </w:r>
    </w:p>
    <w:p w14:paraId="2A4F4A83" w14:textId="77777777" w:rsidR="00D80693" w:rsidRPr="00FF0802" w:rsidRDefault="00D80693" w:rsidP="00BD3B47">
      <w:pPr>
        <w:spacing w:before="120"/>
        <w:jc w:val="both"/>
        <w:rPr>
          <w:sz w:val="24"/>
          <w:szCs w:val="24"/>
          <w:lang w:eastAsia="fr-FR"/>
        </w:rPr>
      </w:pPr>
      <w:r w:rsidRPr="00FF0802">
        <w:rPr>
          <w:sz w:val="24"/>
          <w:szCs w:val="24"/>
          <w:lang w:eastAsia="fr-FR"/>
        </w:rPr>
        <w:t>L'étude a établi que l'auto-exclusion des élèves en EPS ne résulte pas d'un refus d'effort, mais d'une incompatibilité profonde perçue entre leurs convictions personnelles et les exigences de la discipline. Face à cette situation, les enseignants d'EPS se trouvent pris au cœur d'un dilemme professionnel non résolu par l'institution. Pour pallier cette lacune et mettre fin à l'improvisation, les professionnels appellent à l'adoption urgente d'une approche systémique et collaborative émanant d'un cadre institutionnel clair.</w:t>
      </w:r>
    </w:p>
    <w:p w14:paraId="3EEA4CDF" w14:textId="77777777" w:rsidR="00D80693" w:rsidRPr="00FF0802" w:rsidRDefault="00D80693" w:rsidP="00BD3B47">
      <w:pPr>
        <w:spacing w:before="120"/>
        <w:jc w:val="both"/>
        <w:rPr>
          <w:sz w:val="24"/>
          <w:szCs w:val="24"/>
          <w:lang w:eastAsia="fr-FR"/>
        </w:rPr>
      </w:pPr>
      <w:r w:rsidRPr="00FF0802">
        <w:rPr>
          <w:sz w:val="24"/>
          <w:szCs w:val="24"/>
          <w:lang w:eastAsia="fr-FR"/>
        </w:rPr>
        <w:t xml:space="preserve">L'interprétation de ces résultats s'articule autour de deux enjeux fondamentaux : la gestion de la tension entre fermeté pédagogique </w:t>
      </w:r>
      <w:r w:rsidRPr="00FF0802">
        <w:rPr>
          <w:i/>
          <w:iCs/>
          <w:sz w:val="24"/>
          <w:szCs w:val="24"/>
          <w:lang w:eastAsia="fr-FR"/>
        </w:rPr>
        <w:t xml:space="preserve">vs </w:t>
      </w:r>
      <w:r w:rsidRPr="00FF0802">
        <w:rPr>
          <w:sz w:val="24"/>
          <w:szCs w:val="24"/>
          <w:lang w:eastAsia="fr-FR"/>
        </w:rPr>
        <w:t xml:space="preserve">convictions religieuses et l'établissement d'un dialogue renforcé entre les parties prenantes. </w:t>
      </w:r>
    </w:p>
    <w:p w14:paraId="3D93D337" w14:textId="77777777" w:rsidR="00D80693" w:rsidRPr="00FF0802" w:rsidRDefault="00D80693" w:rsidP="00BD3B47">
      <w:pPr>
        <w:spacing w:before="120"/>
        <w:jc w:val="both"/>
        <w:rPr>
          <w:b/>
          <w:bCs/>
          <w:sz w:val="24"/>
          <w:szCs w:val="24"/>
          <w:lang w:eastAsia="fr-FR"/>
        </w:rPr>
      </w:pPr>
      <w:r>
        <w:rPr>
          <w:b/>
          <w:bCs/>
          <w:sz w:val="24"/>
          <w:szCs w:val="24"/>
          <w:lang w:eastAsia="fr-FR"/>
        </w:rPr>
        <w:t>3</w:t>
      </w:r>
      <w:r w:rsidRPr="00FF0802">
        <w:rPr>
          <w:b/>
          <w:bCs/>
          <w:sz w:val="24"/>
          <w:szCs w:val="24"/>
          <w:lang w:eastAsia="fr-FR"/>
        </w:rPr>
        <w:t>.1. Tension entre fermeté pédagogique et respect des convictions religieuses</w:t>
      </w:r>
    </w:p>
    <w:p w14:paraId="6B1AB467" w14:textId="77777777" w:rsidR="00D80693" w:rsidRPr="00FF0802" w:rsidRDefault="00D80693" w:rsidP="00BD3B47">
      <w:pPr>
        <w:spacing w:before="120"/>
        <w:jc w:val="both"/>
        <w:rPr>
          <w:sz w:val="24"/>
          <w:szCs w:val="24"/>
          <w:lang w:eastAsia="fr-FR"/>
        </w:rPr>
      </w:pPr>
      <w:r w:rsidRPr="00FF0802">
        <w:rPr>
          <w:sz w:val="24"/>
          <w:szCs w:val="24"/>
          <w:lang w:eastAsia="fr-FR"/>
        </w:rPr>
        <w:t>L'analyse des entretiens met en lumière l'existence d'un conflit de légitimité structurel découlant de l'opposition entre deux systèmes normatifs fondamentaux. D'un côté, l'institution scolaire qui est régie par les principes républicains et humanistes de laïcité, mixité et coéducation, de l'autre, les prescriptions religieuses imposent un cadre normatif fondé sur l'impératif de pudeur, la séparation des genres et la sanctuarisation du corps.</w:t>
      </w:r>
    </w:p>
    <w:p w14:paraId="7A87C1EF" w14:textId="77777777" w:rsidR="00D80693" w:rsidRPr="00FF0802" w:rsidRDefault="00D80693" w:rsidP="00BD3B47">
      <w:pPr>
        <w:spacing w:before="120"/>
        <w:jc w:val="both"/>
        <w:rPr>
          <w:sz w:val="24"/>
          <w:szCs w:val="24"/>
          <w:lang w:eastAsia="fr-FR"/>
        </w:rPr>
      </w:pPr>
      <w:r w:rsidRPr="00FF0802">
        <w:rPr>
          <w:sz w:val="24"/>
          <w:szCs w:val="24"/>
          <w:lang w:eastAsia="fr-FR"/>
        </w:rPr>
        <w:t>Dans ce contexte, les enseignants d'EPS adoptent souvent des postures de complaisance ou de laxisme relatif, préférant la tolérance des convictions religieuses aux exigences institutionnelles d'égalité et d'inclusivité. Cette attitude révèle une difficulté à concilier la fermeté pédagogique nécessaire avec le respect des croyances, ce qui peut compromettre une participation équilibrée des élèves.</w:t>
      </w:r>
    </w:p>
    <w:p w14:paraId="4527EB08" w14:textId="77777777" w:rsidR="00D80693" w:rsidRPr="00FF0802" w:rsidRDefault="00D80693" w:rsidP="00BD3B47">
      <w:pPr>
        <w:spacing w:before="120"/>
        <w:jc w:val="both"/>
        <w:rPr>
          <w:sz w:val="24"/>
          <w:szCs w:val="24"/>
          <w:lang w:eastAsia="fr-FR"/>
        </w:rPr>
      </w:pPr>
      <w:r w:rsidRPr="00FF0802">
        <w:rPr>
          <w:sz w:val="24"/>
          <w:szCs w:val="24"/>
          <w:lang w:eastAsia="fr-FR"/>
        </w:rPr>
        <w:t>La littérature, notamment les études de Boumaza (2014) et Meuret (2015), corrobore ce constat en décrivant le conflit entre l'impératif d'égalité et le respect des convictions. Selon la théorie des postures pédagogiques de</w:t>
      </w:r>
      <w:r>
        <w:rPr>
          <w:sz w:val="24"/>
          <w:szCs w:val="24"/>
          <w:lang w:eastAsia="fr-FR"/>
        </w:rPr>
        <w:t xml:space="preserve"> </w:t>
      </w:r>
      <w:r w:rsidRPr="00FF0802">
        <w:rPr>
          <w:sz w:val="24"/>
          <w:szCs w:val="24"/>
          <w:lang w:eastAsia="fr-FR"/>
        </w:rPr>
        <w:t>Perrenoud (1999), cette oscillation s'explique par la négociation constante opérée par l'enseignant entre deux objectifs antagonistes : la fermeté visant la cohérence institutionnelle, et la complaisance dictée par les contraintes socioculturelles et la prévention du conflit.</w:t>
      </w:r>
    </w:p>
    <w:p w14:paraId="27705977" w14:textId="77777777" w:rsidR="00D80693" w:rsidRPr="00FF0802" w:rsidRDefault="00D80693" w:rsidP="00BD3B47">
      <w:pPr>
        <w:spacing w:before="120"/>
        <w:jc w:val="both"/>
        <w:rPr>
          <w:sz w:val="24"/>
          <w:szCs w:val="24"/>
          <w:lang w:eastAsia="fr-FR"/>
        </w:rPr>
      </w:pPr>
      <w:r w:rsidRPr="00FF0802">
        <w:rPr>
          <w:sz w:val="24"/>
          <w:szCs w:val="24"/>
        </w:rPr>
        <w:t>Ce mécanisme d'oscillation et de négociation constante de l'enseignant reflète, sur un plan structurel, le dilemme fondamental de la gestion de la diversité religieuse. L'école se trouve en effet sommée de concilier deux impératifs sociétaux : celui de garantir la cohésion sociale (Durkheim, 1912) et celui d'assurer le respect de la liberté religieuse et des identités (Taylor, 1992). Dans ce contexte, la complaisance observée n'est plus interprétée comme un manque d'autorité ou de rigueur, mais comme une stratégie de médiation complexe. Elle vise à préserver la liberté de conscience de l'élève, même si cette démarche implique une moindre rigueur dans l'application uniforme des règles pédagogiques de l'EPS.</w:t>
      </w:r>
      <w:r w:rsidRPr="00FF0802">
        <w:rPr>
          <w:sz w:val="24"/>
          <w:szCs w:val="24"/>
          <w:lang w:eastAsia="fr-FR"/>
        </w:rPr>
        <w:t xml:space="preserve"> </w:t>
      </w:r>
    </w:p>
    <w:p w14:paraId="1C24EF9E" w14:textId="77777777" w:rsidR="00D80693" w:rsidRPr="00FF0802" w:rsidRDefault="00D80693" w:rsidP="00BD3B47">
      <w:pPr>
        <w:spacing w:before="120"/>
        <w:jc w:val="both"/>
        <w:rPr>
          <w:rFonts w:eastAsia="Calibri"/>
          <w:sz w:val="24"/>
          <w:szCs w:val="24"/>
        </w:rPr>
      </w:pPr>
      <w:r w:rsidRPr="00FF0802">
        <w:rPr>
          <w:sz w:val="24"/>
          <w:szCs w:val="24"/>
          <w:lang w:eastAsia="fr-FR"/>
        </w:rPr>
        <w:t>A notre avis</w:t>
      </w:r>
      <w:r w:rsidRPr="00FF0802">
        <w:rPr>
          <w:sz w:val="24"/>
          <w:szCs w:val="24"/>
        </w:rPr>
        <w:t>, le défi de l'école n'est pas de combattre la conviction religieuse, mais de séparer la conviction de la pratique sportive. Il est impératif de distinguer la pudeur (qui relève du domaine privé et peut être accommodée par une tenue couvrante adaptée) de l'activité physique. Lorsque l'institution refuse toute adaptation de tenue, elle place l'élève dans l'impossibilité de participer, transformant un impératif religieux en exclusion scolaire.</w:t>
      </w:r>
    </w:p>
    <w:p w14:paraId="50093B84" w14:textId="77777777" w:rsidR="00D80693" w:rsidRPr="00FF0802" w:rsidRDefault="00D80693" w:rsidP="00BD3B47">
      <w:pPr>
        <w:spacing w:before="120"/>
        <w:jc w:val="both"/>
        <w:rPr>
          <w:sz w:val="24"/>
          <w:szCs w:val="24"/>
          <w:lang w:eastAsia="fr-FR"/>
        </w:rPr>
      </w:pPr>
      <w:r w:rsidRPr="00FF0802">
        <w:rPr>
          <w:sz w:val="24"/>
          <w:szCs w:val="24"/>
          <w:lang w:eastAsia="fr-FR"/>
        </w:rPr>
        <w:t xml:space="preserve">Par ailleurs, la gestion de l’auto-exclusion met en lumière deux obstacles fondamentaux, auxquels l’enseignant se heurte. Premièrement, le refus du port de la tenue standard et de l'intimité du vestiaire. Ces attitudes des élèves sont éclairées par la théorie du « corps prescrit » </w:t>
      </w:r>
      <w:proofErr w:type="gramStart"/>
      <w:r w:rsidRPr="00FF0802">
        <w:rPr>
          <w:sz w:val="24"/>
          <w:szCs w:val="24"/>
          <w:lang w:eastAsia="fr-FR"/>
        </w:rPr>
        <w:t>( Le</w:t>
      </w:r>
      <w:proofErr w:type="gramEnd"/>
      <w:r w:rsidRPr="00FF0802">
        <w:rPr>
          <w:sz w:val="24"/>
          <w:szCs w:val="24"/>
          <w:lang w:eastAsia="fr-FR"/>
        </w:rPr>
        <w:t xml:space="preserve"> Breton ; Queiroz) :  le corps étant perçu comme un territoire idéologique et moral (</w:t>
      </w:r>
      <w:r w:rsidRPr="00FF0802">
        <w:rPr>
          <w:i/>
          <w:iCs/>
          <w:sz w:val="24"/>
          <w:szCs w:val="24"/>
          <w:lang w:eastAsia="fr-FR"/>
        </w:rPr>
        <w:t>corps sacré</w:t>
      </w:r>
      <w:r w:rsidRPr="00FF0802">
        <w:rPr>
          <w:sz w:val="24"/>
          <w:szCs w:val="24"/>
          <w:lang w:eastAsia="fr-FR"/>
        </w:rPr>
        <w:t xml:space="preserve">), en opposition frontale au </w:t>
      </w:r>
      <w:r w:rsidRPr="00FF0802">
        <w:rPr>
          <w:i/>
          <w:iCs/>
          <w:sz w:val="24"/>
          <w:szCs w:val="24"/>
          <w:lang w:eastAsia="fr-FR"/>
        </w:rPr>
        <w:t>corps sportif</w:t>
      </w:r>
      <w:r w:rsidRPr="00FF0802">
        <w:rPr>
          <w:sz w:val="24"/>
          <w:szCs w:val="24"/>
          <w:lang w:eastAsia="fr-FR"/>
        </w:rPr>
        <w:t xml:space="preserve"> de l'EPS ; le vestiaire collectif devient ainsi un espace de non-droit où la norme privée s'impose à la norme publique, soulevant la question d'un aménagement spatial raisonnable.</w:t>
      </w:r>
    </w:p>
    <w:p w14:paraId="0D3D1CDC" w14:textId="77777777" w:rsidR="00D80693" w:rsidRPr="00FF0802" w:rsidRDefault="00D80693" w:rsidP="00BD3B47">
      <w:pPr>
        <w:spacing w:before="120"/>
        <w:jc w:val="both"/>
        <w:rPr>
          <w:sz w:val="24"/>
          <w:szCs w:val="24"/>
          <w:lang w:eastAsia="fr-FR"/>
        </w:rPr>
      </w:pPr>
      <w:r w:rsidRPr="00FF0802">
        <w:rPr>
          <w:sz w:val="24"/>
          <w:szCs w:val="24"/>
          <w:lang w:eastAsia="fr-FR"/>
        </w:rPr>
        <w:t>Deuxièmement, l'obstacle social : il se traduit par le refus de la mixité et du contact physique. Celui-ci touche directement aux objectifs de coéducation et de citoyenneté. Ce rejet de la mixité est perçu comme une résistance structurelle aux principes républicains de l'école (Baubérot). Le refus du contact dans les sports d'opposition paralyse l'atteinte des objectifs didactiques propres aux Activités Physiques, Sportives et Artistiques (APSA) concernées.</w:t>
      </w:r>
    </w:p>
    <w:p w14:paraId="7C88D898" w14:textId="77777777" w:rsidR="00D80693" w:rsidRPr="00110D2A" w:rsidRDefault="00D80693" w:rsidP="00BD3B47">
      <w:pPr>
        <w:spacing w:before="120"/>
        <w:jc w:val="both"/>
        <w:rPr>
          <w:sz w:val="24"/>
          <w:szCs w:val="24"/>
          <w:lang w:eastAsia="fr-FR"/>
        </w:rPr>
      </w:pPr>
      <w:r w:rsidRPr="00FF0802">
        <w:rPr>
          <w:sz w:val="24"/>
          <w:szCs w:val="24"/>
          <w:lang w:eastAsia="fr-FR"/>
        </w:rPr>
        <w:t xml:space="preserve">Cette analyse met en évidence une hiérarchisation des obstacles à l'inclusion. Le refus lié à la tenue et à la pudeur relève d'une contrainte matérielle et individuelle, qui, comme nous l'avons soulevé, appelle </w:t>
      </w:r>
      <w:r>
        <w:rPr>
          <w:sz w:val="24"/>
          <w:szCs w:val="24"/>
          <w:lang w:eastAsia="fr-FR"/>
        </w:rPr>
        <w:t xml:space="preserve">à </w:t>
      </w:r>
      <w:r w:rsidRPr="00FF0802">
        <w:rPr>
          <w:sz w:val="24"/>
          <w:szCs w:val="24"/>
          <w:lang w:eastAsia="fr-FR"/>
        </w:rPr>
        <w:t xml:space="preserve">une solution d'aménagement raisonnable afin de séparer conviction </w:t>
      </w:r>
      <w:r>
        <w:rPr>
          <w:sz w:val="24"/>
          <w:szCs w:val="24"/>
          <w:lang w:eastAsia="fr-FR"/>
        </w:rPr>
        <w:t>et</w:t>
      </w:r>
      <w:r w:rsidRPr="00FF0802">
        <w:rPr>
          <w:sz w:val="24"/>
          <w:szCs w:val="24"/>
          <w:lang w:eastAsia="fr-FR"/>
        </w:rPr>
        <w:t xml:space="preserve"> pratique sportive. En revanche, le refus de la mixité et du contact physique est un obstacle de nature intrinsèquement didactique et normative, car il conteste les principes mêmes de coéducation et les objectifs d'apprentissage social des APSA d'opposition</w:t>
      </w:r>
      <w:r>
        <w:rPr>
          <w:sz w:val="24"/>
          <w:szCs w:val="24"/>
          <w:lang w:eastAsia="fr-FR"/>
        </w:rPr>
        <w:t>.</w:t>
      </w:r>
    </w:p>
    <w:p w14:paraId="28EA33A9" w14:textId="77777777" w:rsidR="00D80693" w:rsidRPr="00110D2A" w:rsidRDefault="00D80693" w:rsidP="00BD3B47">
      <w:pPr>
        <w:spacing w:before="120"/>
        <w:jc w:val="both"/>
        <w:rPr>
          <w:rFonts w:eastAsia="Calibri"/>
          <w:sz w:val="24"/>
          <w:szCs w:val="24"/>
        </w:rPr>
      </w:pPr>
      <w:r w:rsidRPr="00110D2A">
        <w:rPr>
          <w:sz w:val="24"/>
          <w:szCs w:val="24"/>
        </w:rPr>
        <w:t>Nous considérons que le second obstacle (la mixité/le contact) est le plus difficile à gérer. Contrairement à l'adaptation de la tenue vestimentaire, l'aménagement de l'essence même du jeu est structurellement complexe ; un recours excessif à la non-mixité ou à la modification des règles risque de fragmenter le groupe-classe et d'appauvrir l'objet d'enseignement.</w:t>
      </w:r>
    </w:p>
    <w:p w14:paraId="3BCC985C" w14:textId="77777777" w:rsidR="00D80693" w:rsidRPr="00AC10E7" w:rsidRDefault="00D80693" w:rsidP="00BD3B47">
      <w:pPr>
        <w:spacing w:before="120"/>
        <w:jc w:val="both"/>
        <w:rPr>
          <w:sz w:val="24"/>
          <w:szCs w:val="24"/>
          <w:lang w:eastAsia="fr-FR"/>
        </w:rPr>
      </w:pPr>
      <w:r w:rsidRPr="00AC10E7">
        <w:rPr>
          <w:sz w:val="24"/>
          <w:szCs w:val="24"/>
          <w:lang w:eastAsia="fr-FR"/>
        </w:rPr>
        <w:t>La solution consistant à privilégier les APSA alternatives (non-conflictuelles ou à contact indirect/symbolique) pour garantir l'inclusion sans dénaturer l'objet d'enseignement peut être associée à la littérature sur la différenciation pédagogique et les pratiques inclusives en EPS.</w:t>
      </w:r>
    </w:p>
    <w:p w14:paraId="32FDE394" w14:textId="77777777" w:rsidR="00D80693" w:rsidRPr="00AC10E7" w:rsidRDefault="00D80693" w:rsidP="00BD3B47">
      <w:pPr>
        <w:spacing w:before="120"/>
        <w:jc w:val="both"/>
        <w:rPr>
          <w:sz w:val="24"/>
          <w:szCs w:val="24"/>
          <w:lang w:eastAsia="fr-FR"/>
        </w:rPr>
      </w:pPr>
      <w:r w:rsidRPr="00AC10E7">
        <w:rPr>
          <w:sz w:val="24"/>
          <w:szCs w:val="24"/>
          <w:lang w:eastAsia="fr-FR"/>
        </w:rPr>
        <w:t>Cette approche, qui vise à valider les compétences requises (coopération, effort physique) par des moyens variés sans exiger la transgression des convictions, s'inscrit directement dans le cadre théorique de la pédagogie différenciée.</w:t>
      </w:r>
    </w:p>
    <w:p w14:paraId="51107CA8" w14:textId="77777777" w:rsidR="00D80693" w:rsidRPr="00AC10E7" w:rsidRDefault="00D80693" w:rsidP="00BD3B47">
      <w:pPr>
        <w:spacing w:before="120"/>
        <w:jc w:val="both"/>
        <w:rPr>
          <w:sz w:val="24"/>
          <w:szCs w:val="24"/>
          <w:lang w:eastAsia="fr-FR"/>
        </w:rPr>
      </w:pPr>
      <w:r w:rsidRPr="00AC10E7">
        <w:rPr>
          <w:sz w:val="24"/>
          <w:szCs w:val="24"/>
          <w:lang w:eastAsia="fr-FR"/>
        </w:rPr>
        <w:t>Bien que le contexte spécifique de la religion soit particulier, l'idée de fournir des itinéraires d'apprentissage variés pour répondre aux besoins et aux contraintes individuelles est centrale chez des auteurs majeurs :</w:t>
      </w:r>
    </w:p>
    <w:p w14:paraId="008B1559" w14:textId="77777777" w:rsidR="00D80693" w:rsidRPr="00FF0802" w:rsidRDefault="00D80693" w:rsidP="00BD3B47">
      <w:pPr>
        <w:pStyle w:val="Paragraphedeliste"/>
        <w:widowControl/>
        <w:numPr>
          <w:ilvl w:val="0"/>
          <w:numId w:val="153"/>
        </w:numPr>
        <w:autoSpaceDE/>
        <w:autoSpaceDN/>
        <w:rPr>
          <w:sz w:val="24"/>
          <w:szCs w:val="24"/>
          <w:lang w:eastAsia="fr-FR"/>
        </w:rPr>
      </w:pPr>
      <w:r w:rsidRPr="00FF0802">
        <w:rPr>
          <w:sz w:val="24"/>
          <w:szCs w:val="24"/>
          <w:lang w:eastAsia="fr-FR"/>
        </w:rPr>
        <w:t>Perrenoud (1998, 1999)</w:t>
      </w:r>
      <w:r>
        <w:rPr>
          <w:sz w:val="24"/>
          <w:szCs w:val="24"/>
          <w:lang w:eastAsia="fr-FR"/>
        </w:rPr>
        <w:t>, b</w:t>
      </w:r>
      <w:r w:rsidRPr="00FF0802">
        <w:rPr>
          <w:sz w:val="24"/>
          <w:szCs w:val="24"/>
          <w:lang w:eastAsia="fr-FR"/>
        </w:rPr>
        <w:t>ien connu pour sa théorie des postures pédagogiques et de la différenciation, souligne la nécessité pour l'enseignant de créer des dispositifs qui s'ajustent à l'hétérogénéité des élèves. Dans le cas présent, l'utilisation d'APSA alternatives est une forme d'adaptation et de différenciation des contenus et des tâches afin de permettre à tous d'atteindre les objectifs généraux</w:t>
      </w:r>
      <w:r>
        <w:rPr>
          <w:sz w:val="24"/>
          <w:szCs w:val="24"/>
          <w:lang w:eastAsia="fr-FR"/>
        </w:rPr>
        <w:t>.</w:t>
      </w:r>
    </w:p>
    <w:p w14:paraId="72BEA26A" w14:textId="77777777" w:rsidR="00D80693" w:rsidRPr="00572552" w:rsidRDefault="00D80693" w:rsidP="00BD3B47">
      <w:pPr>
        <w:pStyle w:val="Paragraphedeliste"/>
        <w:widowControl/>
        <w:numPr>
          <w:ilvl w:val="0"/>
          <w:numId w:val="153"/>
        </w:numPr>
        <w:autoSpaceDE/>
        <w:autoSpaceDN/>
        <w:rPr>
          <w:sz w:val="24"/>
          <w:szCs w:val="24"/>
          <w:lang w:eastAsia="fr-FR"/>
        </w:rPr>
      </w:pPr>
      <w:r w:rsidRPr="00572552">
        <w:rPr>
          <w:sz w:val="24"/>
          <w:szCs w:val="24"/>
        </w:rPr>
        <w:t>Les travaux d'Ebersold et Plaisance (2016) sur l'éducation inclusive et le handicap fournissent le cadre conceptuel de l'aménagement raisonnable et de l'adaptation des pratiques, principes que nous transposons à la gestion de la diversité religieuse en milieu scolaire.</w:t>
      </w:r>
      <w:r w:rsidRPr="00572552">
        <w:rPr>
          <w:sz w:val="24"/>
          <w:szCs w:val="24"/>
          <w:lang w:eastAsia="fr-FR"/>
        </w:rPr>
        <w:t xml:space="preserve"> </w:t>
      </w:r>
      <w:r w:rsidRPr="00572552">
        <w:rPr>
          <w:sz w:val="24"/>
          <w:szCs w:val="24"/>
        </w:rPr>
        <w:t>Cet argument étend logiquement le principe d'aménagement raisonnable de l'éducation inclusive à d'autres formes de diversité, notamment culturelle et religieuse. L'enseignant doit se tourner vers des APSA alternatives pour pouvoir valider les compétences requises par le programme sans exiger une participation qui compromettrait les convictions de l'élève.</w:t>
      </w:r>
    </w:p>
    <w:p w14:paraId="1669A75C" w14:textId="77777777" w:rsidR="00D80693" w:rsidRPr="00572552" w:rsidRDefault="00D80693" w:rsidP="00BD3B47">
      <w:pPr>
        <w:spacing w:before="120"/>
        <w:jc w:val="both"/>
        <w:rPr>
          <w:sz w:val="24"/>
          <w:szCs w:val="24"/>
          <w:lang w:eastAsia="fr-FR"/>
        </w:rPr>
      </w:pPr>
      <w:r w:rsidRPr="00572552">
        <w:rPr>
          <w:sz w:val="24"/>
          <w:szCs w:val="24"/>
          <w:lang w:eastAsia="fr-FR"/>
        </w:rPr>
        <w:t>En insistant sur l'impératif de valider les compétences par des moyens alternatifs et non sur la stricte conformité à la pratique standard, votre analyse rejoint l'idée que l'inclusion ne signifie pas uniformisation, mais ajustement pédagogique en profondeur.</w:t>
      </w:r>
    </w:p>
    <w:p w14:paraId="6E46342F" w14:textId="77777777" w:rsidR="00D80693" w:rsidRPr="00FF0802" w:rsidRDefault="00D80693" w:rsidP="00BD3B47">
      <w:pPr>
        <w:widowControl/>
        <w:numPr>
          <w:ilvl w:val="1"/>
          <w:numId w:val="154"/>
        </w:numPr>
        <w:autoSpaceDE/>
        <w:autoSpaceDN/>
        <w:spacing w:before="120"/>
        <w:jc w:val="both"/>
        <w:rPr>
          <w:b/>
          <w:bCs/>
          <w:sz w:val="24"/>
          <w:szCs w:val="24"/>
          <w:lang w:eastAsia="fr-FR"/>
        </w:rPr>
      </w:pPr>
      <w:r>
        <w:rPr>
          <w:b/>
          <w:bCs/>
          <w:sz w:val="24"/>
          <w:szCs w:val="24"/>
          <w:lang w:eastAsia="fr-FR"/>
        </w:rPr>
        <w:t xml:space="preserve"> </w:t>
      </w:r>
      <w:r w:rsidRPr="00FF0802">
        <w:rPr>
          <w:b/>
          <w:bCs/>
          <w:sz w:val="24"/>
          <w:szCs w:val="24"/>
          <w:lang w:eastAsia="fr-FR"/>
        </w:rPr>
        <w:t xml:space="preserve">Dialogue structuré et impératif d’inclusion en EPS </w:t>
      </w:r>
    </w:p>
    <w:p w14:paraId="164CDF05" w14:textId="77777777" w:rsidR="00D80693" w:rsidRPr="00FF0802" w:rsidRDefault="00D80693" w:rsidP="00BD3B47">
      <w:pPr>
        <w:spacing w:before="120"/>
        <w:jc w:val="both"/>
        <w:rPr>
          <w:sz w:val="24"/>
          <w:szCs w:val="24"/>
          <w:lang w:eastAsia="fr-FR"/>
        </w:rPr>
      </w:pPr>
      <w:r w:rsidRPr="00FF0802">
        <w:rPr>
          <w:sz w:val="24"/>
          <w:szCs w:val="24"/>
          <w:lang w:eastAsia="fr-FR"/>
        </w:rPr>
        <w:t>Les enseignants insistent sur l'impératif d'instaurer des temps d'échange réguliers et structurés avec les familles afin de cultiver une compréhension mutuelle et d'élaborer des stratégies pédagogiques concertées. Cet appel au dialogue trouve une justification théorique solide</w:t>
      </w:r>
      <w:r>
        <w:rPr>
          <w:sz w:val="24"/>
          <w:szCs w:val="24"/>
          <w:lang w:eastAsia="fr-FR"/>
        </w:rPr>
        <w:t xml:space="preserve"> dans les travaux de </w:t>
      </w:r>
      <w:r w:rsidRPr="00FF0802">
        <w:rPr>
          <w:sz w:val="24"/>
          <w:szCs w:val="24"/>
          <w:lang w:eastAsia="fr-FR"/>
        </w:rPr>
        <w:t>Banks (2008)</w:t>
      </w:r>
      <w:r>
        <w:rPr>
          <w:sz w:val="24"/>
          <w:szCs w:val="24"/>
          <w:lang w:eastAsia="fr-FR"/>
        </w:rPr>
        <w:t xml:space="preserve"> qui</w:t>
      </w:r>
      <w:r w:rsidRPr="00FF0802">
        <w:rPr>
          <w:sz w:val="24"/>
          <w:szCs w:val="24"/>
          <w:lang w:eastAsia="fr-FR"/>
        </w:rPr>
        <w:t xml:space="preserve"> soutient que l'inclusion véritable exige une transformation institutionnelle qui respecte la diversité.</w:t>
      </w:r>
      <w:r>
        <w:rPr>
          <w:sz w:val="24"/>
          <w:szCs w:val="24"/>
          <w:lang w:eastAsia="fr-FR"/>
        </w:rPr>
        <w:t xml:space="preserve"> Dans la même perspective,</w:t>
      </w:r>
      <w:r w:rsidRPr="00FF0802">
        <w:rPr>
          <w:sz w:val="24"/>
          <w:szCs w:val="24"/>
          <w:lang w:eastAsia="fr-FR"/>
        </w:rPr>
        <w:t xml:space="preserve"> Delors (1996) considère la coopération École-Famille comme l'application essentielle du pilier « Apprendre à vivre ensemble ».</w:t>
      </w:r>
    </w:p>
    <w:p w14:paraId="1E1484AE" w14:textId="77777777" w:rsidR="00D80693" w:rsidRPr="00FF0802" w:rsidRDefault="00D80693" w:rsidP="00BD3B47">
      <w:pPr>
        <w:spacing w:before="120"/>
        <w:jc w:val="both"/>
        <w:rPr>
          <w:sz w:val="24"/>
          <w:szCs w:val="24"/>
          <w:lang w:eastAsia="fr-FR"/>
        </w:rPr>
      </w:pPr>
      <w:r w:rsidRPr="00FF0802">
        <w:rPr>
          <w:sz w:val="24"/>
          <w:szCs w:val="24"/>
          <w:lang w:eastAsia="fr-FR"/>
        </w:rPr>
        <w:t>Face aux conflits identitaires en EPS, le dialogue devient un outil stratégique qui permet à l'école de partager sa légitimité éducative pour établir une co-responsabilité. Ce processus de concertation est indispensable pour transformer les contraintes initiales en conditions négociées de participation visant le plein épanouissement de l'élève.</w:t>
      </w:r>
    </w:p>
    <w:p w14:paraId="1432D417" w14:textId="77777777" w:rsidR="00D80693" w:rsidRPr="00FF0802" w:rsidRDefault="00D80693" w:rsidP="00BD3B47">
      <w:pPr>
        <w:spacing w:before="120"/>
        <w:jc w:val="both"/>
        <w:rPr>
          <w:sz w:val="24"/>
          <w:szCs w:val="24"/>
          <w:lang w:eastAsia="fr-FR"/>
        </w:rPr>
      </w:pPr>
      <w:r w:rsidRPr="00FF0802">
        <w:rPr>
          <w:sz w:val="24"/>
          <w:szCs w:val="24"/>
          <w:lang w:eastAsia="fr-FR"/>
        </w:rPr>
        <w:t>L'instauration de ce dialogue structurel est un pilier essentiel pour la construction d'un climat scolaire inclusif qui concilie respect de la diversité religieuse et exigences pédagogiques. Cette approche repose sur trois leviers majeurs, ancrés dans la littérature académique :</w:t>
      </w:r>
    </w:p>
    <w:p w14:paraId="7CFF37C4" w14:textId="77777777" w:rsidR="00D80693" w:rsidRPr="00FF0802" w:rsidRDefault="00D80693" w:rsidP="00BD3B47">
      <w:pPr>
        <w:widowControl/>
        <w:numPr>
          <w:ilvl w:val="0"/>
          <w:numId w:val="153"/>
        </w:numPr>
        <w:autoSpaceDE/>
        <w:autoSpaceDN/>
        <w:spacing w:before="120"/>
        <w:jc w:val="both"/>
        <w:rPr>
          <w:sz w:val="24"/>
          <w:szCs w:val="24"/>
          <w:lang w:eastAsia="fr-FR"/>
        </w:rPr>
      </w:pPr>
      <w:proofErr w:type="gramStart"/>
      <w:r w:rsidRPr="00FF0802">
        <w:rPr>
          <w:sz w:val="24"/>
          <w:szCs w:val="24"/>
          <w:lang w:eastAsia="fr-FR"/>
        </w:rPr>
        <w:t>nécessité</w:t>
      </w:r>
      <w:proofErr w:type="gramEnd"/>
      <w:r w:rsidRPr="00FF0802">
        <w:rPr>
          <w:sz w:val="24"/>
          <w:szCs w:val="24"/>
          <w:lang w:eastAsia="fr-FR"/>
        </w:rPr>
        <w:t xml:space="preserve"> d'ajuster les pratiques et les contenus de cours pour l'intégration, illustrant la posture pédagogique négociée de Perrenoud (1999) ;</w:t>
      </w:r>
    </w:p>
    <w:p w14:paraId="660B49FE" w14:textId="77777777" w:rsidR="00D80693" w:rsidRPr="00FF0802" w:rsidRDefault="00D80693" w:rsidP="00BD3B47">
      <w:pPr>
        <w:widowControl/>
        <w:numPr>
          <w:ilvl w:val="0"/>
          <w:numId w:val="153"/>
        </w:numPr>
        <w:autoSpaceDE/>
        <w:autoSpaceDN/>
        <w:spacing w:before="120"/>
        <w:jc w:val="both"/>
        <w:rPr>
          <w:sz w:val="24"/>
          <w:szCs w:val="24"/>
          <w:lang w:eastAsia="fr-FR"/>
        </w:rPr>
      </w:pPr>
      <w:proofErr w:type="gramStart"/>
      <w:r w:rsidRPr="00FF0802">
        <w:rPr>
          <w:sz w:val="24"/>
          <w:szCs w:val="24"/>
          <w:lang w:eastAsia="fr-FR"/>
        </w:rPr>
        <w:t>l'échange</w:t>
      </w:r>
      <w:proofErr w:type="gramEnd"/>
      <w:r w:rsidRPr="00FF0802">
        <w:rPr>
          <w:sz w:val="24"/>
          <w:szCs w:val="24"/>
          <w:lang w:eastAsia="fr-FR"/>
        </w:rPr>
        <w:t xml:space="preserve"> structuré est le levier fondamental pour gérer la tension entre la transmission des valeurs collectives (Durkheim, 1912) et le respect des libertés individuelles (Taylor, 1992) ;</w:t>
      </w:r>
    </w:p>
    <w:p w14:paraId="5A2295C6" w14:textId="77777777" w:rsidR="00D80693" w:rsidRPr="00FF0802" w:rsidRDefault="00D80693" w:rsidP="00BD3B47">
      <w:pPr>
        <w:widowControl/>
        <w:numPr>
          <w:ilvl w:val="0"/>
          <w:numId w:val="153"/>
        </w:numPr>
        <w:autoSpaceDE/>
        <w:autoSpaceDN/>
        <w:spacing w:before="120"/>
        <w:jc w:val="both"/>
        <w:rPr>
          <w:sz w:val="24"/>
          <w:szCs w:val="24"/>
          <w:lang w:eastAsia="fr-FR"/>
        </w:rPr>
      </w:pPr>
      <w:proofErr w:type="gramStart"/>
      <w:r w:rsidRPr="00FF0802">
        <w:rPr>
          <w:sz w:val="24"/>
          <w:szCs w:val="24"/>
          <w:lang w:eastAsia="fr-FR"/>
        </w:rPr>
        <w:t>les</w:t>
      </w:r>
      <w:proofErr w:type="gramEnd"/>
      <w:r w:rsidRPr="00FF0802">
        <w:rPr>
          <w:sz w:val="24"/>
          <w:szCs w:val="24"/>
          <w:lang w:eastAsia="fr-FR"/>
        </w:rPr>
        <w:t xml:space="preserve"> enseignants réclament des formations spécifiques et des ressources pour développer les compétences culturelles requises pour une gestion harmonieuse de cette diversité (Banks, 2008 ; Gay, 2010 ; Nieto, 2013).</w:t>
      </w:r>
    </w:p>
    <w:p w14:paraId="7BD8BA79" w14:textId="77777777" w:rsidR="00D80693" w:rsidRPr="0065773E" w:rsidRDefault="00D80693" w:rsidP="00BD3B47">
      <w:pPr>
        <w:spacing w:before="120"/>
        <w:rPr>
          <w:rFonts w:eastAsiaTheme="majorEastAsia"/>
          <w:b/>
          <w:bCs/>
          <w:sz w:val="24"/>
          <w:szCs w:val="24"/>
        </w:rPr>
      </w:pPr>
      <w:r w:rsidRPr="0065773E">
        <w:rPr>
          <w:rFonts w:eastAsiaTheme="majorEastAsia"/>
          <w:b/>
          <w:bCs/>
          <w:sz w:val="24"/>
          <w:szCs w:val="24"/>
        </w:rPr>
        <w:t>3.3 Limites de l’étude et perspectives de recherche</w:t>
      </w:r>
    </w:p>
    <w:p w14:paraId="4476A33A" w14:textId="77777777" w:rsidR="00D80693" w:rsidRPr="00FF0802" w:rsidRDefault="00D80693" w:rsidP="00BD3B47">
      <w:pPr>
        <w:spacing w:before="120"/>
        <w:jc w:val="both"/>
        <w:rPr>
          <w:sz w:val="24"/>
          <w:szCs w:val="24"/>
          <w:lang w:eastAsia="fr-FR"/>
        </w:rPr>
      </w:pPr>
      <w:r w:rsidRPr="00FF0802">
        <w:rPr>
          <w:sz w:val="24"/>
          <w:szCs w:val="24"/>
          <w:lang w:eastAsia="fr-FR"/>
        </w:rPr>
        <w:t>Cette étude comporte certaines limites liées à sa portée et sa méthodologie. Le champ d'analyse est circonscrit aux élèves des Églises de Réveil, laissant de côté d'autres dimensions importantes de la diversité religieuse et sociale. De plus, l'échantillon d'enseignants et d'établissements scolaires retenu étant restreint, la généralisation des conclusions à l'ensemble des pratiques en République du Congo est limitée.</w:t>
      </w:r>
    </w:p>
    <w:p w14:paraId="1660B7DF" w14:textId="77777777" w:rsidR="00D80693" w:rsidRPr="00FF0802" w:rsidRDefault="00D80693" w:rsidP="00BD3B47">
      <w:pPr>
        <w:spacing w:before="120"/>
        <w:jc w:val="both"/>
        <w:rPr>
          <w:sz w:val="24"/>
          <w:szCs w:val="24"/>
          <w:lang w:eastAsia="fr-FR"/>
        </w:rPr>
      </w:pPr>
      <w:r w:rsidRPr="00FF0802">
        <w:rPr>
          <w:sz w:val="24"/>
          <w:szCs w:val="24"/>
          <w:lang w:eastAsia="fr-FR"/>
        </w:rPr>
        <w:t>En outre, l'approche qualitative, reposant principalement sur des entretiens, expose les résultats à des biais subjectifs, notamment la tendance des participants à valoriser leurs pratiques. Par ailleurs, des contraintes de temps et d'organisation ont empêché une observation de terrain approfondie, ce qui aurait enrichi la compréhension des interactions quotidiennes.</w:t>
      </w:r>
    </w:p>
    <w:p w14:paraId="177AAAA6" w14:textId="77777777" w:rsidR="00D80693" w:rsidRDefault="00D80693" w:rsidP="00BD3B47">
      <w:pPr>
        <w:spacing w:before="120"/>
        <w:jc w:val="both"/>
        <w:rPr>
          <w:sz w:val="24"/>
          <w:szCs w:val="24"/>
          <w:lang w:eastAsia="fr-FR"/>
        </w:rPr>
      </w:pPr>
      <w:r w:rsidRPr="00FF0802">
        <w:rPr>
          <w:sz w:val="24"/>
          <w:szCs w:val="24"/>
          <w:lang w:eastAsia="fr-FR"/>
        </w:rPr>
        <w:t>Malgré ces limites méthodologiques, cette recherche offre néanmoins des pistes pertinentes pour saisir les enjeux de la gestion de la diversité religieuse dans les écoles congolaises. Ces limites ouvrent directement des perspectives de recherche futures :</w:t>
      </w:r>
    </w:p>
    <w:p w14:paraId="57F16477" w14:textId="77777777" w:rsidR="00D80693" w:rsidRDefault="00D80693" w:rsidP="00BD3B47">
      <w:pPr>
        <w:widowControl/>
        <w:numPr>
          <w:ilvl w:val="0"/>
          <w:numId w:val="153"/>
        </w:numPr>
        <w:autoSpaceDE/>
        <w:autoSpaceDN/>
        <w:spacing w:before="120"/>
        <w:jc w:val="both"/>
        <w:rPr>
          <w:sz w:val="24"/>
          <w:szCs w:val="24"/>
          <w:lang w:eastAsia="fr-FR"/>
        </w:rPr>
      </w:pPr>
      <w:proofErr w:type="gramStart"/>
      <w:r>
        <w:rPr>
          <w:sz w:val="24"/>
          <w:szCs w:val="24"/>
          <w:lang w:eastAsia="fr-FR"/>
        </w:rPr>
        <w:t>u</w:t>
      </w:r>
      <w:r w:rsidRPr="00FF0802">
        <w:rPr>
          <w:sz w:val="24"/>
          <w:szCs w:val="24"/>
          <w:lang w:eastAsia="fr-FR"/>
        </w:rPr>
        <w:t>ne</w:t>
      </w:r>
      <w:proofErr w:type="gramEnd"/>
      <w:r w:rsidRPr="00FF0802">
        <w:rPr>
          <w:sz w:val="24"/>
          <w:szCs w:val="24"/>
          <w:lang w:eastAsia="fr-FR"/>
        </w:rPr>
        <w:t xml:space="preserve"> future approche méthodologique mixte, combinant une étude quantitative</w:t>
      </w:r>
      <w:r>
        <w:rPr>
          <w:sz w:val="24"/>
          <w:szCs w:val="24"/>
          <w:lang w:eastAsia="fr-FR"/>
        </w:rPr>
        <w:t xml:space="preserve"> </w:t>
      </w:r>
      <w:r w:rsidRPr="00FF0802">
        <w:rPr>
          <w:sz w:val="24"/>
          <w:szCs w:val="24"/>
          <w:lang w:eastAsia="fr-FR"/>
        </w:rPr>
        <w:t>et des observations de terrain détaillées, permettrait de valider empiriquement les stratégies identifiées (APSA alternatives, dialogue structuré)</w:t>
      </w:r>
      <w:r>
        <w:rPr>
          <w:sz w:val="24"/>
          <w:szCs w:val="24"/>
          <w:lang w:eastAsia="fr-FR"/>
        </w:rPr>
        <w:t> ;</w:t>
      </w:r>
    </w:p>
    <w:p w14:paraId="62A811FA" w14:textId="77777777" w:rsidR="00D80693" w:rsidRPr="00FF0802" w:rsidRDefault="00D80693" w:rsidP="00BD3B47">
      <w:pPr>
        <w:widowControl/>
        <w:numPr>
          <w:ilvl w:val="0"/>
          <w:numId w:val="153"/>
        </w:numPr>
        <w:autoSpaceDE/>
        <w:autoSpaceDN/>
        <w:spacing w:before="120"/>
        <w:jc w:val="both"/>
        <w:rPr>
          <w:sz w:val="24"/>
          <w:szCs w:val="24"/>
          <w:lang w:eastAsia="fr-FR"/>
        </w:rPr>
      </w:pPr>
      <w:proofErr w:type="gramStart"/>
      <w:r>
        <w:rPr>
          <w:sz w:val="24"/>
          <w:szCs w:val="24"/>
          <w:lang w:eastAsia="fr-FR"/>
        </w:rPr>
        <w:t>i</w:t>
      </w:r>
      <w:r w:rsidRPr="00FF0802">
        <w:rPr>
          <w:sz w:val="24"/>
          <w:szCs w:val="24"/>
          <w:lang w:eastAsia="fr-FR"/>
        </w:rPr>
        <w:t>l</w:t>
      </w:r>
      <w:proofErr w:type="gramEnd"/>
      <w:r w:rsidRPr="00FF0802">
        <w:rPr>
          <w:sz w:val="24"/>
          <w:szCs w:val="24"/>
          <w:lang w:eastAsia="fr-FR"/>
        </w:rPr>
        <w:t xml:space="preserve"> serait également pertinent d'élargir le champ d'analyse à d'autres confessions religieuses ou à d'autres contextes géographiques congolais, afin d'assurer une compréhension exhaustive de l'impact de la diversité sur l'EPS et de consolider l'agenda de recherche en éducation inclusive en Afrique subsaharienne.</w:t>
      </w:r>
    </w:p>
    <w:p w14:paraId="64C6A179" w14:textId="77777777" w:rsidR="00D80693" w:rsidRPr="0065773E" w:rsidRDefault="00D80693" w:rsidP="00BD3B47">
      <w:pPr>
        <w:spacing w:before="120"/>
        <w:rPr>
          <w:b/>
          <w:bCs/>
          <w:sz w:val="28"/>
          <w:szCs w:val="28"/>
        </w:rPr>
      </w:pPr>
      <w:r w:rsidRPr="0065773E">
        <w:rPr>
          <w:rFonts w:eastAsiaTheme="majorEastAsia"/>
          <w:b/>
          <w:bCs/>
          <w:sz w:val="28"/>
          <w:szCs w:val="28"/>
        </w:rPr>
        <w:t>Conclusion et recommandations stratégiques</w:t>
      </w:r>
    </w:p>
    <w:p w14:paraId="070278D4" w14:textId="333DD7F9" w:rsidR="00D80693" w:rsidRPr="006F23A4" w:rsidRDefault="00D80693" w:rsidP="00BD3B47">
      <w:pPr>
        <w:spacing w:before="120"/>
        <w:jc w:val="both"/>
        <w:rPr>
          <w:sz w:val="24"/>
          <w:szCs w:val="24"/>
          <w:lang w:eastAsia="fr-FR"/>
        </w:rPr>
      </w:pPr>
      <w:r w:rsidRPr="00FF0802">
        <w:rPr>
          <w:sz w:val="24"/>
          <w:szCs w:val="24"/>
          <w:lang w:eastAsia="fr-FR"/>
        </w:rPr>
        <w:t>Cette analyse des stratégies des enseignants d'Éducation Physique et Sportive (EPS) face à l'auto-exclusion des élèves des Églises de Réveil révèle l'ampleur et la complexité du conflit entre les normes scolaires et les convictions religieuses dans le contexte éducatif congolais.</w:t>
      </w:r>
      <w:r w:rsidR="00BD3B47">
        <w:rPr>
          <w:sz w:val="24"/>
          <w:szCs w:val="24"/>
          <w:lang w:eastAsia="fr-FR"/>
        </w:rPr>
        <w:t xml:space="preserve"> </w:t>
      </w:r>
      <w:r w:rsidRPr="00FF0802">
        <w:rPr>
          <w:sz w:val="24"/>
          <w:szCs w:val="24"/>
          <w:lang w:eastAsia="fr-FR"/>
        </w:rPr>
        <w:t>Face à cette diversité culturelle, les enseignants adoptent souvent des postures de complaisance et de laxisme relatif. Ils privilégient la tolérance envers les convictions religieuses des élèves, même si cela se fait au détriment des exigences institutionnelles d'un enseignement véritablement inclusif et égalitaire. Cette approche, visant à éviter le conflit, limite la fermeté nécessaire pour garantir une participation équilibrée, illustrant le dilemme structurel bien documenté (Durkheim, Taylor). De ce fait, la gestion de cette diversité religieuse en milieu scolaire constitue un défi majeur, qui nécessite des compétences spécifiques sur les plans organisationnel et pédagogique.</w:t>
      </w:r>
      <w:r w:rsidR="00BD3B47">
        <w:rPr>
          <w:sz w:val="24"/>
          <w:szCs w:val="24"/>
          <w:lang w:eastAsia="fr-FR"/>
        </w:rPr>
        <w:t xml:space="preserve"> </w:t>
      </w:r>
      <w:r w:rsidRPr="006F23A4">
        <w:rPr>
          <w:sz w:val="24"/>
          <w:szCs w:val="24"/>
          <w:lang w:eastAsia="fr-FR"/>
        </w:rPr>
        <w:t>Cette recherche apporte un éclairage nouveau et précis sur les stratégies d'inclusion, formalisant deux constats fondamentaux pour dépasser le dilemme de la complaisance :</w:t>
      </w:r>
    </w:p>
    <w:p w14:paraId="04E20734" w14:textId="77777777" w:rsidR="00D80693" w:rsidRPr="006F23A4" w:rsidRDefault="00D80693" w:rsidP="00BD3B47">
      <w:pPr>
        <w:pStyle w:val="Paragraphedeliste"/>
        <w:widowControl/>
        <w:numPr>
          <w:ilvl w:val="0"/>
          <w:numId w:val="155"/>
        </w:numPr>
        <w:autoSpaceDE/>
        <w:autoSpaceDN/>
        <w:rPr>
          <w:sz w:val="24"/>
          <w:szCs w:val="24"/>
          <w:lang w:eastAsia="fr-FR"/>
        </w:rPr>
      </w:pPr>
      <w:proofErr w:type="gramStart"/>
      <w:r w:rsidRPr="006F23A4">
        <w:rPr>
          <w:sz w:val="24"/>
          <w:szCs w:val="24"/>
          <w:lang w:eastAsia="fr-FR"/>
        </w:rPr>
        <w:t>l</w:t>
      </w:r>
      <w:proofErr w:type="gramEnd"/>
      <w:r w:rsidRPr="006F23A4">
        <w:rPr>
          <w:sz w:val="24"/>
          <w:szCs w:val="24"/>
          <w:lang w:eastAsia="fr-FR"/>
        </w:rPr>
        <w:t>’'étude confirme la nécessité de privilégier les APSA alternatives (non-conflictuelles ou à contact indirect/symbolique) comme levier pour valider les compétences de l'EPS sans exiger la transgression des convictions religieuses. Cette approche s'inscrit directement dans le cadre de la pédagogie différenciée (Perrenoud, 1999) ;</w:t>
      </w:r>
    </w:p>
    <w:p w14:paraId="6E3B137B" w14:textId="77777777" w:rsidR="00D80693" w:rsidRPr="006F23A4" w:rsidRDefault="00D80693" w:rsidP="00BD3B47">
      <w:pPr>
        <w:pStyle w:val="Paragraphedeliste"/>
        <w:widowControl/>
        <w:numPr>
          <w:ilvl w:val="0"/>
          <w:numId w:val="155"/>
        </w:numPr>
        <w:autoSpaceDE/>
        <w:autoSpaceDN/>
        <w:rPr>
          <w:sz w:val="24"/>
          <w:szCs w:val="24"/>
          <w:lang w:eastAsia="fr-FR"/>
        </w:rPr>
      </w:pPr>
      <w:proofErr w:type="gramStart"/>
      <w:r w:rsidRPr="006F23A4">
        <w:rPr>
          <w:sz w:val="24"/>
          <w:szCs w:val="24"/>
          <w:lang w:eastAsia="fr-FR"/>
        </w:rPr>
        <w:t>elle</w:t>
      </w:r>
      <w:proofErr w:type="gramEnd"/>
      <w:r w:rsidRPr="006F23A4">
        <w:rPr>
          <w:sz w:val="24"/>
          <w:szCs w:val="24"/>
          <w:lang w:eastAsia="fr-FR"/>
        </w:rPr>
        <w:t xml:space="preserve"> établit que l'instauration de temps d'échange réguliers et structurés avec les familles est la condition </w:t>
      </w:r>
      <w:r w:rsidRPr="006F23A4">
        <w:rPr>
          <w:i/>
          <w:iCs/>
          <w:sz w:val="24"/>
          <w:szCs w:val="24"/>
          <w:lang w:eastAsia="fr-FR"/>
        </w:rPr>
        <w:t>sine qua non</w:t>
      </w:r>
      <w:r w:rsidRPr="006F23A4">
        <w:rPr>
          <w:sz w:val="24"/>
          <w:szCs w:val="24"/>
          <w:lang w:eastAsia="fr-FR"/>
        </w:rPr>
        <w:t xml:space="preserve"> pour établir une co-responsabilité éducative et transformer les contraintes en conditions négociées de participation (Delors, 1996 ; Banks, 2008).</w:t>
      </w:r>
    </w:p>
    <w:p w14:paraId="6B673B5C" w14:textId="77777777" w:rsidR="00D80693" w:rsidRPr="006F23A4" w:rsidRDefault="00D80693" w:rsidP="00BD3B47">
      <w:pPr>
        <w:spacing w:before="120"/>
        <w:jc w:val="both"/>
        <w:rPr>
          <w:sz w:val="24"/>
          <w:szCs w:val="24"/>
          <w:lang w:eastAsia="fr-FR"/>
        </w:rPr>
      </w:pPr>
      <w:r w:rsidRPr="006F23A4">
        <w:rPr>
          <w:sz w:val="24"/>
          <w:szCs w:val="24"/>
          <w:lang w:eastAsia="fr-FR"/>
        </w:rPr>
        <w:t>En conclusion, la résolution du dilemme ne réside pas dans la seule tolérance, mais dans une professionnalisation systémique de la gestion de la diversité.</w:t>
      </w:r>
    </w:p>
    <w:p w14:paraId="725D24FD" w14:textId="77777777" w:rsidR="00D80693" w:rsidRPr="006F23A4" w:rsidRDefault="00D80693" w:rsidP="00BD3B47">
      <w:pPr>
        <w:spacing w:before="120"/>
        <w:jc w:val="both"/>
        <w:rPr>
          <w:sz w:val="24"/>
          <w:szCs w:val="24"/>
          <w:lang w:eastAsia="fr-FR"/>
        </w:rPr>
      </w:pPr>
      <w:r w:rsidRPr="006F23A4">
        <w:rPr>
          <w:sz w:val="24"/>
          <w:szCs w:val="24"/>
          <w:lang w:eastAsia="fr-FR"/>
        </w:rPr>
        <w:t>Face à ces constats, cette recherche invite donc les autorités éducatives congolaises à :</w:t>
      </w:r>
    </w:p>
    <w:p w14:paraId="7A6105C0" w14:textId="77777777" w:rsidR="00D80693" w:rsidRPr="006F23A4" w:rsidRDefault="00D80693" w:rsidP="00BD3B47">
      <w:pPr>
        <w:pStyle w:val="Paragraphedeliste"/>
        <w:widowControl/>
        <w:numPr>
          <w:ilvl w:val="0"/>
          <w:numId w:val="156"/>
        </w:numPr>
        <w:autoSpaceDE/>
        <w:autoSpaceDN/>
        <w:rPr>
          <w:sz w:val="24"/>
          <w:szCs w:val="24"/>
          <w:lang w:eastAsia="fr-FR"/>
        </w:rPr>
      </w:pPr>
      <w:proofErr w:type="gramStart"/>
      <w:r w:rsidRPr="006F23A4">
        <w:rPr>
          <w:sz w:val="24"/>
          <w:szCs w:val="24"/>
          <w:lang w:eastAsia="fr-FR"/>
        </w:rPr>
        <w:t>engager</w:t>
      </w:r>
      <w:proofErr w:type="gramEnd"/>
      <w:r w:rsidRPr="006F23A4">
        <w:rPr>
          <w:sz w:val="24"/>
          <w:szCs w:val="24"/>
          <w:lang w:eastAsia="fr-FR"/>
        </w:rPr>
        <w:t xml:space="preserve"> formellement une concertation constructive entre acteurs éducatifs, familles et communautés religieuses pour </w:t>
      </w:r>
      <w:proofErr w:type="spellStart"/>
      <w:r w:rsidRPr="006F23A4">
        <w:rPr>
          <w:sz w:val="24"/>
          <w:szCs w:val="24"/>
          <w:lang w:eastAsia="fr-FR"/>
        </w:rPr>
        <w:t>co-construire</w:t>
      </w:r>
      <w:proofErr w:type="spellEnd"/>
      <w:r w:rsidRPr="006F23A4">
        <w:rPr>
          <w:sz w:val="24"/>
          <w:szCs w:val="24"/>
          <w:lang w:eastAsia="fr-FR"/>
        </w:rPr>
        <w:t xml:space="preserve"> des approches adaptées et formaliser les conditions de participation (en s'appuyant sur l'impératif de dialogue identifié) ;</w:t>
      </w:r>
    </w:p>
    <w:p w14:paraId="7726A316" w14:textId="77777777" w:rsidR="00D80693" w:rsidRPr="006F23A4" w:rsidRDefault="00D80693" w:rsidP="00BD3B47">
      <w:pPr>
        <w:pStyle w:val="Paragraphedeliste"/>
        <w:widowControl/>
        <w:numPr>
          <w:ilvl w:val="0"/>
          <w:numId w:val="156"/>
        </w:numPr>
        <w:autoSpaceDE/>
        <w:autoSpaceDN/>
        <w:rPr>
          <w:sz w:val="24"/>
          <w:szCs w:val="24"/>
          <w:lang w:eastAsia="fr-FR"/>
        </w:rPr>
      </w:pPr>
      <w:proofErr w:type="gramStart"/>
      <w:r w:rsidRPr="006F23A4">
        <w:rPr>
          <w:sz w:val="24"/>
          <w:szCs w:val="24"/>
          <w:lang w:eastAsia="fr-FR"/>
        </w:rPr>
        <w:t>mettre</w:t>
      </w:r>
      <w:proofErr w:type="gramEnd"/>
      <w:r w:rsidRPr="006F23A4">
        <w:rPr>
          <w:sz w:val="24"/>
          <w:szCs w:val="24"/>
          <w:lang w:eastAsia="fr-FR"/>
        </w:rPr>
        <w:t xml:space="preserve"> en Place un Cadre de Formation Ciblé : Développer un cadre de formation pour les enseignants d'EPS, visant à leur fournir les outils pour développer des stratégies adaptées et des compétences culturelles ciblées (notamment la mise en œuvre de la pédagogie différenciée et l'usage des APSA alternatives).</w:t>
      </w:r>
    </w:p>
    <w:p w14:paraId="204B8B70" w14:textId="77777777" w:rsidR="00D80693" w:rsidRPr="00BD3B47" w:rsidRDefault="00D80693" w:rsidP="00BD3B47">
      <w:pPr>
        <w:spacing w:before="120"/>
        <w:rPr>
          <w:b/>
          <w:bCs/>
          <w:sz w:val="28"/>
          <w:szCs w:val="28"/>
          <w:lang w:val="en-US" w:eastAsia="fr-FR"/>
        </w:rPr>
      </w:pPr>
      <w:proofErr w:type="spellStart"/>
      <w:r w:rsidRPr="00BD3B47">
        <w:rPr>
          <w:b/>
          <w:bCs/>
          <w:sz w:val="28"/>
          <w:szCs w:val="28"/>
          <w:lang w:val="en-US" w:eastAsia="fr-FR"/>
        </w:rPr>
        <w:t>Références</w:t>
      </w:r>
      <w:proofErr w:type="spellEnd"/>
      <w:r w:rsidRPr="00BD3B47">
        <w:rPr>
          <w:b/>
          <w:bCs/>
          <w:sz w:val="28"/>
          <w:szCs w:val="28"/>
          <w:lang w:val="en-US" w:eastAsia="fr-FR"/>
        </w:rPr>
        <w:t xml:space="preserve"> </w:t>
      </w:r>
      <w:proofErr w:type="spellStart"/>
      <w:r w:rsidRPr="00BD3B47">
        <w:rPr>
          <w:b/>
          <w:bCs/>
          <w:sz w:val="28"/>
          <w:szCs w:val="28"/>
          <w:lang w:val="en-US" w:eastAsia="fr-FR"/>
        </w:rPr>
        <w:t>bibliographiques</w:t>
      </w:r>
      <w:proofErr w:type="spellEnd"/>
    </w:p>
    <w:p w14:paraId="0D3118B0" w14:textId="77777777" w:rsidR="00D80693" w:rsidRPr="00742026" w:rsidRDefault="00D80693" w:rsidP="00BD3B47">
      <w:pPr>
        <w:spacing w:before="120"/>
        <w:ind w:left="567" w:hanging="567"/>
        <w:jc w:val="both"/>
        <w:rPr>
          <w:sz w:val="24"/>
          <w:szCs w:val="24"/>
          <w:lang w:val="fr-SN" w:eastAsia="fr-FR"/>
        </w:rPr>
      </w:pPr>
      <w:r w:rsidRPr="00FF0802">
        <w:rPr>
          <w:sz w:val="24"/>
          <w:szCs w:val="24"/>
          <w:lang w:val="en-US" w:eastAsia="fr-FR"/>
        </w:rPr>
        <w:t xml:space="preserve">Anderson, A. (2000). </w:t>
      </w:r>
      <w:r w:rsidRPr="00FF0802">
        <w:rPr>
          <w:i/>
          <w:iCs/>
          <w:sz w:val="24"/>
          <w:szCs w:val="24"/>
          <w:lang w:val="en-US" w:eastAsia="fr-FR"/>
        </w:rPr>
        <w:t>African Reformation: African Initiated Christianity in the 20th Century</w:t>
      </w:r>
      <w:r w:rsidRPr="00FF0802">
        <w:rPr>
          <w:sz w:val="24"/>
          <w:szCs w:val="24"/>
          <w:lang w:val="en-US" w:eastAsia="fr-FR"/>
        </w:rPr>
        <w:t xml:space="preserve">. </w:t>
      </w:r>
      <w:r w:rsidRPr="00742026">
        <w:rPr>
          <w:sz w:val="24"/>
          <w:szCs w:val="24"/>
          <w:lang w:val="fr-SN" w:eastAsia="fr-FR"/>
        </w:rPr>
        <w:t xml:space="preserve">Africa World Press. </w:t>
      </w:r>
      <w:proofErr w:type="gramStart"/>
      <w:r>
        <w:rPr>
          <w:sz w:val="24"/>
          <w:szCs w:val="24"/>
          <w:lang w:eastAsia="fr-FR"/>
        </w:rPr>
        <w:t>DOI:</w:t>
      </w:r>
      <w:proofErr w:type="gramEnd"/>
      <w:r>
        <w:fldChar w:fldCharType="begin"/>
      </w:r>
      <w:r>
        <w:instrText>HYPERLINK "https://doi.org/10.1017/S0021853703248672" \t "_blank"</w:instrText>
      </w:r>
      <w:r>
        <w:fldChar w:fldCharType="separate"/>
      </w:r>
      <w:r>
        <w:rPr>
          <w:color w:val="0000FF"/>
          <w:sz w:val="24"/>
          <w:szCs w:val="24"/>
          <w:u w:val="single"/>
          <w:lang w:eastAsia="fr-FR"/>
        </w:rPr>
        <w:t>10.1017/S0021853703248672</w:t>
      </w:r>
      <w:r>
        <w:fldChar w:fldCharType="end"/>
      </w:r>
      <w:r>
        <w:rPr>
          <w:sz w:val="24"/>
          <w:szCs w:val="24"/>
          <w:lang w:eastAsia="fr-FR"/>
        </w:rPr>
        <w:t>.</w:t>
      </w:r>
    </w:p>
    <w:p w14:paraId="2F8CD8FA" w14:textId="77777777" w:rsidR="00D80693" w:rsidRPr="00742026" w:rsidRDefault="00D80693" w:rsidP="00BD3B47">
      <w:pPr>
        <w:spacing w:before="120"/>
        <w:ind w:left="567" w:hanging="567"/>
        <w:jc w:val="both"/>
        <w:rPr>
          <w:sz w:val="24"/>
          <w:szCs w:val="24"/>
          <w:lang w:val="fr-SN" w:eastAsia="fr-FR"/>
        </w:rPr>
      </w:pPr>
      <w:r w:rsidRPr="00742026">
        <w:rPr>
          <w:sz w:val="24"/>
          <w:szCs w:val="24"/>
          <w:lang w:val="fr-SN" w:eastAsia="fr-FR"/>
        </w:rPr>
        <w:t xml:space="preserve">Baubérot, J. (2005). </w:t>
      </w:r>
      <w:r w:rsidRPr="00FF0802">
        <w:rPr>
          <w:i/>
          <w:iCs/>
          <w:sz w:val="24"/>
          <w:szCs w:val="24"/>
          <w:lang w:eastAsia="fr-FR"/>
        </w:rPr>
        <w:t>Laïcité 1905-2005, entre passion et raison</w:t>
      </w:r>
      <w:r w:rsidRPr="00FF0802">
        <w:rPr>
          <w:sz w:val="24"/>
          <w:szCs w:val="24"/>
          <w:lang w:eastAsia="fr-FR"/>
        </w:rPr>
        <w:t>, Paris, Seuil.</w:t>
      </w:r>
      <w:r w:rsidRPr="00432203">
        <w:rPr>
          <w:sz w:val="24"/>
          <w:szCs w:val="24"/>
          <w:lang w:eastAsia="fr-FR"/>
        </w:rPr>
        <w:t xml:space="preserve"> www.seuil.com</w:t>
      </w:r>
      <w:r>
        <w:rPr>
          <w:sz w:val="24"/>
          <w:szCs w:val="24"/>
          <w:lang w:eastAsia="fr-FR"/>
        </w:rPr>
        <w:t xml:space="preserve">. </w:t>
      </w:r>
    </w:p>
    <w:p w14:paraId="496CBBC5" w14:textId="77777777" w:rsidR="00D80693" w:rsidRPr="00742026" w:rsidRDefault="00D80693" w:rsidP="00BD3B47">
      <w:pPr>
        <w:spacing w:before="120"/>
        <w:ind w:left="567" w:hanging="567"/>
        <w:rPr>
          <w:color w:val="0000FF"/>
          <w:sz w:val="24"/>
          <w:szCs w:val="24"/>
          <w:u w:val="single"/>
          <w:lang w:val="en-US" w:eastAsia="fr-FR"/>
        </w:rPr>
      </w:pPr>
      <w:r w:rsidRPr="00742026">
        <w:rPr>
          <w:sz w:val="24"/>
          <w:szCs w:val="24"/>
          <w:lang w:val="en-US"/>
        </w:rPr>
        <w:t xml:space="preserve">Banks, J. A. (2008). </w:t>
      </w:r>
      <w:r w:rsidRPr="00EC3AC4">
        <w:rPr>
          <w:i/>
          <w:iCs/>
          <w:sz w:val="24"/>
          <w:szCs w:val="24"/>
          <w:lang w:val="en-US"/>
        </w:rPr>
        <w:t>An Introduction to Multicultural Education</w:t>
      </w:r>
      <w:r w:rsidRPr="00EC3AC4">
        <w:rPr>
          <w:sz w:val="24"/>
          <w:szCs w:val="24"/>
          <w:lang w:val="en-US"/>
        </w:rPr>
        <w:t xml:space="preserve"> (4th edition). Pearson Education. </w:t>
      </w:r>
      <w:r w:rsidRPr="00EC3AC4">
        <w:rPr>
          <w:sz w:val="24"/>
          <w:szCs w:val="24"/>
          <w:lang w:eastAsia="fr-FR"/>
        </w:rPr>
        <w:fldChar w:fldCharType="begin"/>
      </w:r>
      <w:r w:rsidRPr="00742026">
        <w:rPr>
          <w:sz w:val="24"/>
          <w:szCs w:val="24"/>
          <w:lang w:val="en-US" w:eastAsia="fr-FR"/>
        </w:rPr>
        <w:instrText>HYPERLINK "https://ucarecdn.com/d82827b2-9e39-40fe-a717-a1aca81ce4a9/"</w:instrText>
      </w:r>
      <w:r w:rsidRPr="00EC3AC4">
        <w:rPr>
          <w:sz w:val="24"/>
          <w:szCs w:val="24"/>
          <w:lang w:eastAsia="fr-FR"/>
        </w:rPr>
      </w:r>
      <w:r w:rsidRPr="00EC3AC4">
        <w:rPr>
          <w:sz w:val="24"/>
          <w:szCs w:val="24"/>
          <w:lang w:eastAsia="fr-FR"/>
        </w:rPr>
        <w:fldChar w:fldCharType="separate"/>
      </w:r>
      <w:r w:rsidRPr="00742026">
        <w:rPr>
          <w:color w:val="0000FF"/>
          <w:sz w:val="24"/>
          <w:szCs w:val="24"/>
          <w:u w:val="single"/>
          <w:lang w:val="en-US" w:eastAsia="fr-FR"/>
        </w:rPr>
        <w:t>ucarecdn.com</w:t>
      </w:r>
      <w:r w:rsidRPr="00742026">
        <w:rPr>
          <w:sz w:val="24"/>
          <w:szCs w:val="24"/>
          <w:lang w:val="en-US" w:eastAsia="fr-FR"/>
        </w:rPr>
        <w:t xml:space="preserve">/ </w:t>
      </w:r>
      <w:r w:rsidRPr="00742026">
        <w:rPr>
          <w:i/>
          <w:iCs/>
          <w:color w:val="0000FF"/>
          <w:sz w:val="24"/>
          <w:szCs w:val="24"/>
          <w:u w:val="single"/>
          <w:lang w:val="en-US" w:eastAsia="fr-FR"/>
        </w:rPr>
        <w:t xml:space="preserve">https://ucarecdn.com. </w:t>
      </w:r>
    </w:p>
    <w:p w14:paraId="6B6C634F" w14:textId="77777777" w:rsidR="00D80693" w:rsidRPr="00FF0802" w:rsidRDefault="00D80693" w:rsidP="00BD3B47">
      <w:pPr>
        <w:spacing w:before="120"/>
        <w:ind w:left="567" w:hanging="567"/>
        <w:jc w:val="both"/>
        <w:rPr>
          <w:sz w:val="24"/>
          <w:szCs w:val="24"/>
          <w:lang w:val="en-US" w:eastAsia="fr-FR"/>
        </w:rPr>
      </w:pPr>
      <w:r w:rsidRPr="00EC3AC4">
        <w:rPr>
          <w:sz w:val="24"/>
          <w:szCs w:val="24"/>
          <w:lang w:eastAsia="fr-FR"/>
        </w:rPr>
        <w:fldChar w:fldCharType="end"/>
      </w:r>
    </w:p>
    <w:p w14:paraId="382AB95F" w14:textId="77777777" w:rsidR="00D80693" w:rsidRPr="00FF0802" w:rsidRDefault="00D80693" w:rsidP="00BD3B47">
      <w:pPr>
        <w:spacing w:before="120"/>
        <w:ind w:left="567" w:hanging="567"/>
        <w:jc w:val="both"/>
        <w:rPr>
          <w:sz w:val="24"/>
          <w:szCs w:val="24"/>
          <w:lang w:eastAsia="fr-FR"/>
        </w:rPr>
      </w:pPr>
      <w:r w:rsidRPr="00FF0802">
        <w:rPr>
          <w:sz w:val="24"/>
          <w:szCs w:val="24"/>
          <w:lang w:val="en-US" w:eastAsia="fr-FR"/>
        </w:rPr>
        <w:t xml:space="preserve">Berger, P. L. (1967). </w:t>
      </w:r>
      <w:r w:rsidRPr="00FF0802">
        <w:rPr>
          <w:i/>
          <w:iCs/>
          <w:sz w:val="24"/>
          <w:szCs w:val="24"/>
          <w:lang w:val="en-US" w:eastAsia="fr-FR"/>
        </w:rPr>
        <w:t>The Sacred Canopy: Elements of a Sociological Theory of Religion</w:t>
      </w:r>
      <w:r w:rsidRPr="00FF0802">
        <w:rPr>
          <w:sz w:val="24"/>
          <w:szCs w:val="24"/>
          <w:lang w:val="en-US" w:eastAsia="fr-FR"/>
        </w:rPr>
        <w:t xml:space="preserve">. </w:t>
      </w:r>
      <w:r w:rsidRPr="00FF0802">
        <w:rPr>
          <w:sz w:val="24"/>
          <w:szCs w:val="24"/>
          <w:lang w:eastAsia="fr-FR"/>
        </w:rPr>
        <w:t xml:space="preserve">New </w:t>
      </w:r>
      <w:proofErr w:type="gramStart"/>
      <w:r w:rsidRPr="00FF0802">
        <w:rPr>
          <w:sz w:val="24"/>
          <w:szCs w:val="24"/>
          <w:lang w:eastAsia="fr-FR"/>
        </w:rPr>
        <w:t>York:</w:t>
      </w:r>
      <w:proofErr w:type="gramEnd"/>
      <w:r w:rsidRPr="00FF0802">
        <w:rPr>
          <w:sz w:val="24"/>
          <w:szCs w:val="24"/>
          <w:lang w:eastAsia="fr-FR"/>
        </w:rPr>
        <w:t xml:space="preserve"> Doubleday.</w:t>
      </w:r>
    </w:p>
    <w:p w14:paraId="5A164C19" w14:textId="77777777" w:rsidR="00D80693" w:rsidRPr="00FF0802" w:rsidRDefault="00D80693" w:rsidP="00BD3B47">
      <w:pPr>
        <w:spacing w:before="120"/>
        <w:ind w:left="567" w:hanging="567"/>
        <w:jc w:val="both"/>
        <w:rPr>
          <w:sz w:val="24"/>
          <w:szCs w:val="24"/>
          <w:lang w:eastAsia="fr-FR"/>
        </w:rPr>
      </w:pPr>
      <w:r w:rsidRPr="00FF0802">
        <w:rPr>
          <w:sz w:val="24"/>
          <w:szCs w:val="24"/>
          <w:lang w:eastAsia="fr-FR"/>
        </w:rPr>
        <w:t xml:space="preserve">Boumaza, H. (2014). </w:t>
      </w:r>
      <w:r w:rsidRPr="00FF0802">
        <w:rPr>
          <w:i/>
          <w:iCs/>
          <w:sz w:val="24"/>
          <w:szCs w:val="24"/>
          <w:lang w:eastAsia="fr-FR"/>
        </w:rPr>
        <w:t>L'enseignement face aux convictions religieuses : enjeux et pratiques pédagogiques</w:t>
      </w:r>
      <w:r w:rsidRPr="00FF0802">
        <w:rPr>
          <w:sz w:val="24"/>
          <w:szCs w:val="24"/>
          <w:lang w:eastAsia="fr-FR"/>
        </w:rPr>
        <w:t>. Revue des Sciences de l'Éducation, 40(2), 85-102.</w:t>
      </w:r>
    </w:p>
    <w:p w14:paraId="24724C13" w14:textId="77777777" w:rsidR="00D80693" w:rsidRPr="00FF0802" w:rsidRDefault="00D80693" w:rsidP="00BD3B47">
      <w:pPr>
        <w:spacing w:before="120"/>
        <w:ind w:left="567" w:hanging="567"/>
        <w:jc w:val="both"/>
        <w:rPr>
          <w:sz w:val="24"/>
          <w:szCs w:val="24"/>
          <w:lang w:eastAsia="fr-FR"/>
        </w:rPr>
      </w:pPr>
      <w:r w:rsidRPr="00FF0802">
        <w:rPr>
          <w:sz w:val="24"/>
          <w:szCs w:val="24"/>
          <w:lang w:eastAsia="fr-FR"/>
        </w:rPr>
        <w:t xml:space="preserve">Bourdieu, P. (1996). </w:t>
      </w:r>
      <w:r w:rsidRPr="00FF0802">
        <w:rPr>
          <w:i/>
          <w:iCs/>
          <w:sz w:val="24"/>
          <w:szCs w:val="24"/>
          <w:lang w:eastAsia="fr-FR"/>
        </w:rPr>
        <w:t>Sur l’État. Cours au Collège de France (1989-1992)</w:t>
      </w:r>
      <w:r w:rsidRPr="00FF0802">
        <w:rPr>
          <w:sz w:val="24"/>
          <w:szCs w:val="24"/>
          <w:lang w:eastAsia="fr-FR"/>
        </w:rPr>
        <w:t>, Paris, Seuil.</w:t>
      </w:r>
    </w:p>
    <w:p w14:paraId="4FDD4B72" w14:textId="77777777" w:rsidR="00D80693" w:rsidRPr="00742026" w:rsidRDefault="00D80693" w:rsidP="00BD3B47">
      <w:pPr>
        <w:spacing w:before="120"/>
        <w:ind w:left="567" w:hanging="567"/>
        <w:jc w:val="both"/>
        <w:rPr>
          <w:sz w:val="24"/>
          <w:szCs w:val="24"/>
          <w:lang w:val="fr-SN" w:eastAsia="fr-FR"/>
        </w:rPr>
      </w:pPr>
      <w:r w:rsidRPr="00742026">
        <w:rPr>
          <w:sz w:val="24"/>
          <w:szCs w:val="24"/>
          <w:lang w:val="fr-SN" w:eastAsia="fr-FR"/>
        </w:rPr>
        <w:t xml:space="preserve">Braun, V. et Clarke, V. (2006). </w:t>
      </w:r>
      <w:r w:rsidRPr="00FF0802">
        <w:rPr>
          <w:sz w:val="24"/>
          <w:szCs w:val="24"/>
          <w:lang w:val="en-US" w:eastAsia="fr-FR"/>
        </w:rPr>
        <w:t xml:space="preserve">Using thematic analysis in psychology. </w:t>
      </w:r>
      <w:r w:rsidRPr="00742026">
        <w:rPr>
          <w:i/>
          <w:iCs/>
          <w:sz w:val="24"/>
          <w:szCs w:val="24"/>
          <w:lang w:val="fr-SN" w:eastAsia="fr-FR"/>
        </w:rPr>
        <w:t xml:space="preserve">Qualitative </w:t>
      </w:r>
      <w:proofErr w:type="spellStart"/>
      <w:r w:rsidRPr="00742026">
        <w:rPr>
          <w:i/>
          <w:iCs/>
          <w:sz w:val="24"/>
          <w:szCs w:val="24"/>
          <w:lang w:val="fr-SN" w:eastAsia="fr-FR"/>
        </w:rPr>
        <w:t>Research</w:t>
      </w:r>
      <w:proofErr w:type="spellEnd"/>
      <w:r w:rsidRPr="00742026">
        <w:rPr>
          <w:i/>
          <w:iCs/>
          <w:sz w:val="24"/>
          <w:szCs w:val="24"/>
          <w:lang w:val="fr-SN" w:eastAsia="fr-FR"/>
        </w:rPr>
        <w:t xml:space="preserve"> in Psychology</w:t>
      </w:r>
      <w:r w:rsidRPr="00742026">
        <w:rPr>
          <w:sz w:val="24"/>
          <w:szCs w:val="24"/>
          <w:lang w:val="fr-SN" w:eastAsia="fr-FR"/>
        </w:rPr>
        <w:t xml:space="preserve">, 3(2), 77–101. https://doi.org/10.1191/1478088706qp063oa.Lu, le 22 septembre 2025. </w:t>
      </w:r>
    </w:p>
    <w:p w14:paraId="77A42662" w14:textId="77777777" w:rsidR="00D80693" w:rsidRPr="00742026" w:rsidRDefault="00D80693" w:rsidP="00BD3B47">
      <w:pPr>
        <w:spacing w:before="120"/>
        <w:ind w:left="567" w:hanging="567"/>
        <w:rPr>
          <w:b/>
          <w:bCs/>
          <w:i/>
          <w:iCs/>
          <w:sz w:val="24"/>
          <w:szCs w:val="24"/>
          <w:lang w:val="en-US"/>
        </w:rPr>
      </w:pPr>
      <w:r w:rsidRPr="00232227">
        <w:rPr>
          <w:rFonts w:eastAsiaTheme="majorEastAsia"/>
          <w:sz w:val="24"/>
          <w:szCs w:val="24"/>
        </w:rPr>
        <w:t xml:space="preserve"> De Queiroz, J-M. (1997). </w:t>
      </w:r>
      <w:r w:rsidRPr="00232227">
        <w:rPr>
          <w:rFonts w:eastAsiaTheme="majorEastAsia"/>
          <w:i/>
          <w:iCs/>
          <w:sz w:val="24"/>
          <w:szCs w:val="24"/>
        </w:rPr>
        <w:t xml:space="preserve"> L'école et ses sociologies, </w:t>
      </w:r>
      <w:hyperlink r:id="rId77" w:history="1">
        <w:r w:rsidRPr="00232227">
          <w:rPr>
            <w:rFonts w:eastAsiaTheme="majorEastAsia"/>
            <w:i/>
            <w:iCs/>
            <w:sz w:val="24"/>
            <w:szCs w:val="24"/>
          </w:rPr>
          <w:t>Revue française de pédagogie</w:t>
        </w:r>
      </w:hyperlink>
      <w:r w:rsidRPr="00232227">
        <w:rPr>
          <w:rFonts w:eastAsiaTheme="majorEastAsia"/>
          <w:i/>
          <w:iCs/>
          <w:sz w:val="24"/>
          <w:szCs w:val="24"/>
        </w:rPr>
        <w:t xml:space="preserve">. </w:t>
      </w:r>
      <w:hyperlink r:id="rId78" w:history="1">
        <w:r w:rsidRPr="00742026">
          <w:rPr>
            <w:rFonts w:eastAsiaTheme="majorEastAsia"/>
            <w:i/>
            <w:iCs/>
            <w:sz w:val="24"/>
            <w:szCs w:val="24"/>
            <w:lang w:val="en-US"/>
          </w:rPr>
          <w:t>121</w:t>
        </w:r>
      </w:hyperlink>
      <w:r w:rsidRPr="00742026">
        <w:rPr>
          <w:rFonts w:eastAsiaTheme="majorEastAsia"/>
          <w:i/>
          <w:iCs/>
          <w:sz w:val="24"/>
          <w:szCs w:val="24"/>
          <w:lang w:val="en-US"/>
        </w:rPr>
        <w:t xml:space="preserve"> pp. 181-182.</w:t>
      </w:r>
    </w:p>
    <w:p w14:paraId="6F6172DD" w14:textId="77777777" w:rsidR="00D80693" w:rsidRPr="00FF0802" w:rsidRDefault="00D80693" w:rsidP="00BD3B47">
      <w:pPr>
        <w:spacing w:before="120"/>
        <w:ind w:left="567" w:hanging="567"/>
        <w:jc w:val="both"/>
        <w:rPr>
          <w:sz w:val="24"/>
          <w:szCs w:val="24"/>
          <w:lang w:eastAsia="fr-FR"/>
        </w:rPr>
      </w:pPr>
      <w:r w:rsidRPr="00742026">
        <w:rPr>
          <w:sz w:val="24"/>
          <w:szCs w:val="24"/>
          <w:lang w:val="en-US" w:eastAsia="fr-FR"/>
        </w:rPr>
        <w:t xml:space="preserve">Deci, E. L. et Ryan, R. M. (2000). « The “what” and “why” of goal pursuits: Human needs and the self-determination of behavior ». </w:t>
      </w:r>
      <w:proofErr w:type="spellStart"/>
      <w:r w:rsidRPr="00E56A3C">
        <w:rPr>
          <w:i/>
          <w:iCs/>
          <w:sz w:val="24"/>
          <w:szCs w:val="24"/>
          <w:lang w:eastAsia="fr-FR"/>
        </w:rPr>
        <w:t>Psychological</w:t>
      </w:r>
      <w:proofErr w:type="spellEnd"/>
      <w:r w:rsidRPr="00E56A3C">
        <w:rPr>
          <w:i/>
          <w:iCs/>
          <w:sz w:val="24"/>
          <w:szCs w:val="24"/>
          <w:lang w:eastAsia="fr-FR"/>
        </w:rPr>
        <w:t xml:space="preserve"> </w:t>
      </w:r>
      <w:proofErr w:type="spellStart"/>
      <w:r w:rsidRPr="00E56A3C">
        <w:rPr>
          <w:i/>
          <w:iCs/>
          <w:sz w:val="24"/>
          <w:szCs w:val="24"/>
          <w:lang w:eastAsia="fr-FR"/>
        </w:rPr>
        <w:t>Inquiry</w:t>
      </w:r>
      <w:proofErr w:type="spellEnd"/>
      <w:r w:rsidRPr="00E56A3C">
        <w:rPr>
          <w:sz w:val="24"/>
          <w:szCs w:val="24"/>
          <w:lang w:eastAsia="fr-FR"/>
        </w:rPr>
        <w:t>, vol. 11, n</w:t>
      </w:r>
      <w:r w:rsidRPr="00E56A3C">
        <w:rPr>
          <w:sz w:val="24"/>
          <w:szCs w:val="24"/>
          <w:vertAlign w:val="superscript"/>
          <w:lang w:eastAsia="fr-FR"/>
        </w:rPr>
        <w:t>o</w:t>
      </w:r>
      <w:r w:rsidRPr="00E56A3C">
        <w:rPr>
          <w:sz w:val="24"/>
          <w:szCs w:val="24"/>
          <w:lang w:eastAsia="fr-FR"/>
        </w:rPr>
        <w:t> 4, p. 227-268.</w:t>
      </w:r>
    </w:p>
    <w:p w14:paraId="08806C78" w14:textId="77777777" w:rsidR="00D80693" w:rsidRPr="00FF0802" w:rsidRDefault="00D80693" w:rsidP="00BD3B47">
      <w:pPr>
        <w:spacing w:before="120"/>
        <w:ind w:left="567" w:hanging="567"/>
        <w:jc w:val="both"/>
        <w:rPr>
          <w:sz w:val="24"/>
          <w:szCs w:val="24"/>
          <w:lang w:eastAsia="fr-FR"/>
        </w:rPr>
      </w:pPr>
      <w:r w:rsidRPr="00FF0802">
        <w:rPr>
          <w:sz w:val="24"/>
          <w:szCs w:val="24"/>
          <w:lang w:eastAsia="fr-FR"/>
        </w:rPr>
        <w:t xml:space="preserve">Delors, J. (1996). </w:t>
      </w:r>
      <w:r w:rsidRPr="00FF0802">
        <w:rPr>
          <w:i/>
          <w:iCs/>
          <w:sz w:val="24"/>
          <w:szCs w:val="24"/>
          <w:lang w:eastAsia="fr-FR"/>
        </w:rPr>
        <w:t>L’éducation, un trésor est caché dedans</w:t>
      </w:r>
      <w:r w:rsidRPr="00FF0802">
        <w:rPr>
          <w:sz w:val="24"/>
          <w:szCs w:val="24"/>
          <w:lang w:eastAsia="fr-FR"/>
        </w:rPr>
        <w:t>. Rapport à l’UNESCO, Paris</w:t>
      </w:r>
      <w:r>
        <w:rPr>
          <w:sz w:val="24"/>
          <w:szCs w:val="24"/>
          <w:lang w:eastAsia="fr-FR"/>
        </w:rPr>
        <w:t xml:space="preserve"> </w:t>
      </w:r>
      <w:r w:rsidRPr="00FF0802">
        <w:rPr>
          <w:sz w:val="24"/>
          <w:szCs w:val="24"/>
          <w:lang w:eastAsia="fr-FR"/>
        </w:rPr>
        <w:t xml:space="preserve">: UNESCO </w:t>
      </w:r>
      <w:proofErr w:type="spellStart"/>
      <w:r w:rsidRPr="00FF0802">
        <w:rPr>
          <w:sz w:val="24"/>
          <w:szCs w:val="24"/>
          <w:lang w:eastAsia="fr-FR"/>
        </w:rPr>
        <w:t>Publishing</w:t>
      </w:r>
      <w:proofErr w:type="spellEnd"/>
      <w:r w:rsidRPr="00FF0802">
        <w:rPr>
          <w:sz w:val="24"/>
          <w:szCs w:val="24"/>
          <w:lang w:eastAsia="fr-FR"/>
        </w:rPr>
        <w:t>.</w:t>
      </w:r>
    </w:p>
    <w:p w14:paraId="41CDE586" w14:textId="77777777" w:rsidR="00D80693" w:rsidRPr="00FF0802" w:rsidRDefault="00D80693" w:rsidP="00BD3B47">
      <w:pPr>
        <w:spacing w:before="120"/>
        <w:ind w:left="567" w:hanging="567"/>
        <w:jc w:val="both"/>
        <w:rPr>
          <w:sz w:val="24"/>
          <w:szCs w:val="24"/>
          <w:lang w:eastAsia="fr-FR"/>
        </w:rPr>
      </w:pPr>
      <w:r w:rsidRPr="00FF0802">
        <w:rPr>
          <w:sz w:val="24"/>
          <w:szCs w:val="24"/>
          <w:lang w:eastAsia="fr-FR"/>
        </w:rPr>
        <w:t xml:space="preserve">Durkheim, É. (2004). </w:t>
      </w:r>
      <w:r w:rsidRPr="00FF0802">
        <w:rPr>
          <w:i/>
          <w:iCs/>
          <w:sz w:val="24"/>
          <w:szCs w:val="24"/>
          <w:lang w:eastAsia="fr-FR"/>
        </w:rPr>
        <w:t>L’Éducation morale</w:t>
      </w:r>
      <w:r w:rsidRPr="00FF0802">
        <w:rPr>
          <w:sz w:val="24"/>
          <w:szCs w:val="24"/>
          <w:lang w:eastAsia="fr-FR"/>
        </w:rPr>
        <w:t>. Presses universitaires de France (PUF), Paris.</w:t>
      </w:r>
    </w:p>
    <w:p w14:paraId="12EB2CC9" w14:textId="77777777" w:rsidR="00D80693" w:rsidRDefault="00D80693" w:rsidP="00BD3B47">
      <w:pPr>
        <w:spacing w:before="120"/>
        <w:ind w:left="567" w:hanging="567"/>
        <w:jc w:val="both"/>
        <w:rPr>
          <w:sz w:val="24"/>
          <w:szCs w:val="24"/>
          <w:lang w:eastAsia="fr-FR"/>
        </w:rPr>
      </w:pPr>
      <w:r w:rsidRPr="00110D2A">
        <w:rPr>
          <w:sz w:val="24"/>
          <w:szCs w:val="24"/>
          <w:lang w:eastAsia="fr-FR"/>
        </w:rPr>
        <w:t xml:space="preserve">Ebersold, S., </w:t>
      </w:r>
      <w:r>
        <w:rPr>
          <w:sz w:val="24"/>
          <w:szCs w:val="24"/>
          <w:lang w:eastAsia="fr-FR"/>
        </w:rPr>
        <w:t>et</w:t>
      </w:r>
      <w:r w:rsidRPr="00110D2A">
        <w:rPr>
          <w:sz w:val="24"/>
          <w:szCs w:val="24"/>
          <w:lang w:eastAsia="fr-FR"/>
        </w:rPr>
        <w:t xml:space="preserve"> Plaisance, É. (2016).</w:t>
      </w:r>
      <w:r>
        <w:rPr>
          <w:sz w:val="24"/>
          <w:szCs w:val="24"/>
          <w:lang w:eastAsia="fr-FR"/>
        </w:rPr>
        <w:t xml:space="preserve"> De l'éducation spéciale à l'éducation inclusive : enjeux, difficultés et perspectives. </w:t>
      </w:r>
      <w:r>
        <w:rPr>
          <w:i/>
          <w:iCs/>
          <w:sz w:val="24"/>
          <w:szCs w:val="24"/>
          <w:lang w:eastAsia="fr-FR"/>
        </w:rPr>
        <w:t>Revue française de pédagogie, 194</w:t>
      </w:r>
      <w:r>
        <w:rPr>
          <w:sz w:val="24"/>
          <w:szCs w:val="24"/>
          <w:lang w:eastAsia="fr-FR"/>
        </w:rPr>
        <w:t>(1), 5–15.</w:t>
      </w:r>
    </w:p>
    <w:p w14:paraId="6321CC19" w14:textId="77777777" w:rsidR="00D80693" w:rsidRPr="00742026" w:rsidRDefault="00D80693" w:rsidP="00BD3B47">
      <w:pPr>
        <w:spacing w:before="120"/>
        <w:ind w:left="567" w:hanging="567"/>
        <w:jc w:val="both"/>
        <w:rPr>
          <w:sz w:val="24"/>
          <w:szCs w:val="24"/>
          <w:lang w:val="en-US" w:eastAsia="fr-FR"/>
        </w:rPr>
      </w:pPr>
      <w:r>
        <w:rPr>
          <w:sz w:val="24"/>
          <w:szCs w:val="24"/>
          <w:lang w:eastAsia="fr-FR"/>
        </w:rPr>
        <w:t xml:space="preserve"> </w:t>
      </w:r>
      <w:r w:rsidRPr="00674618">
        <w:rPr>
          <w:sz w:val="24"/>
          <w:szCs w:val="24"/>
          <w:lang w:eastAsia="fr-FR"/>
        </w:rPr>
        <w:t xml:space="preserve">Festinger, L. (1957). </w:t>
      </w:r>
      <w:r w:rsidRPr="00674618">
        <w:rPr>
          <w:i/>
          <w:iCs/>
          <w:sz w:val="24"/>
          <w:szCs w:val="24"/>
          <w:lang w:eastAsia="fr-FR"/>
        </w:rPr>
        <w:t xml:space="preserve">A </w:t>
      </w:r>
      <w:proofErr w:type="spellStart"/>
      <w:r w:rsidRPr="00674618">
        <w:rPr>
          <w:i/>
          <w:iCs/>
          <w:sz w:val="24"/>
          <w:szCs w:val="24"/>
          <w:lang w:eastAsia="fr-FR"/>
        </w:rPr>
        <w:t>theory</w:t>
      </w:r>
      <w:proofErr w:type="spellEnd"/>
      <w:r w:rsidRPr="00674618">
        <w:rPr>
          <w:i/>
          <w:iCs/>
          <w:sz w:val="24"/>
          <w:szCs w:val="24"/>
          <w:lang w:eastAsia="fr-FR"/>
        </w:rPr>
        <w:t xml:space="preserve"> of cognitive dissonance.</w:t>
      </w:r>
      <w:r w:rsidRPr="00674618">
        <w:rPr>
          <w:sz w:val="24"/>
          <w:szCs w:val="24"/>
          <w:lang w:eastAsia="fr-FR"/>
        </w:rPr>
        <w:t xml:space="preserve"> </w:t>
      </w:r>
      <w:r w:rsidRPr="00742026">
        <w:rPr>
          <w:sz w:val="24"/>
          <w:szCs w:val="24"/>
          <w:lang w:val="en-US" w:eastAsia="fr-FR"/>
        </w:rPr>
        <w:t>Stanford University Press. 304 pages.</w:t>
      </w:r>
    </w:p>
    <w:p w14:paraId="229FB3F3" w14:textId="77777777" w:rsidR="00D80693" w:rsidRPr="00E56A3C" w:rsidRDefault="00D80693" w:rsidP="00BD3B47">
      <w:pPr>
        <w:spacing w:before="120"/>
        <w:ind w:left="567" w:hanging="567"/>
        <w:jc w:val="both"/>
        <w:rPr>
          <w:sz w:val="20"/>
          <w:szCs w:val="20"/>
          <w:lang w:val="en-US" w:eastAsia="fr-FR"/>
        </w:rPr>
      </w:pPr>
      <w:r w:rsidRPr="00742026">
        <w:rPr>
          <w:sz w:val="24"/>
          <w:szCs w:val="24"/>
          <w:lang w:val="en-US" w:eastAsia="fr-FR"/>
        </w:rPr>
        <w:t xml:space="preserve">Fishbein, M., et Ajzen, I. (2010). </w:t>
      </w:r>
      <w:r w:rsidRPr="00742026">
        <w:rPr>
          <w:i/>
          <w:iCs/>
          <w:sz w:val="24"/>
          <w:szCs w:val="24"/>
          <w:lang w:val="en-US" w:eastAsia="fr-FR"/>
        </w:rPr>
        <w:t>Predicting and changing behavior: The reasoned action approach.</w:t>
      </w:r>
      <w:r w:rsidRPr="00742026">
        <w:rPr>
          <w:sz w:val="24"/>
          <w:szCs w:val="24"/>
          <w:lang w:val="en-US" w:eastAsia="fr-FR"/>
        </w:rPr>
        <w:t xml:space="preserve"> Psychology Press.</w:t>
      </w:r>
    </w:p>
    <w:p w14:paraId="63C73516" w14:textId="77777777" w:rsidR="00D80693" w:rsidRPr="00742026" w:rsidRDefault="00D80693" w:rsidP="00BD3B47">
      <w:pPr>
        <w:spacing w:before="120"/>
        <w:ind w:left="567" w:hanging="567"/>
        <w:jc w:val="both"/>
        <w:rPr>
          <w:sz w:val="24"/>
          <w:szCs w:val="24"/>
          <w:lang w:val="fr-SN" w:eastAsia="fr-FR"/>
        </w:rPr>
      </w:pPr>
      <w:r w:rsidRPr="00FF0802">
        <w:rPr>
          <w:sz w:val="24"/>
          <w:szCs w:val="24"/>
          <w:lang w:val="en-US" w:eastAsia="fr-FR"/>
        </w:rPr>
        <w:t xml:space="preserve">Gay, G. (2010). </w:t>
      </w:r>
      <w:r w:rsidRPr="00FF0802">
        <w:rPr>
          <w:i/>
          <w:iCs/>
          <w:sz w:val="24"/>
          <w:szCs w:val="24"/>
          <w:lang w:val="en-US" w:eastAsia="fr-FR"/>
        </w:rPr>
        <w:t>Culturally Responsive Teaching: Theory, Research, and Practice</w:t>
      </w:r>
      <w:r w:rsidRPr="00FF0802">
        <w:rPr>
          <w:sz w:val="24"/>
          <w:szCs w:val="24"/>
          <w:lang w:val="en-US" w:eastAsia="fr-FR"/>
        </w:rPr>
        <w:t xml:space="preserve"> (2nd Edition). </w:t>
      </w:r>
      <w:proofErr w:type="spellStart"/>
      <w:r w:rsidRPr="00742026">
        <w:rPr>
          <w:sz w:val="24"/>
          <w:szCs w:val="24"/>
          <w:lang w:val="fr-SN" w:eastAsia="fr-FR"/>
        </w:rPr>
        <w:t>Teachers</w:t>
      </w:r>
      <w:proofErr w:type="spellEnd"/>
      <w:r w:rsidRPr="00742026">
        <w:rPr>
          <w:sz w:val="24"/>
          <w:szCs w:val="24"/>
          <w:lang w:val="fr-SN" w:eastAsia="fr-FR"/>
        </w:rPr>
        <w:t xml:space="preserve"> College Press, New York.</w:t>
      </w:r>
    </w:p>
    <w:p w14:paraId="6C4C7597" w14:textId="77777777" w:rsidR="00D80693" w:rsidRPr="00FF0802" w:rsidRDefault="00D80693" w:rsidP="00BD3B47">
      <w:pPr>
        <w:spacing w:before="120"/>
        <w:ind w:left="567" w:hanging="567"/>
        <w:jc w:val="both"/>
        <w:rPr>
          <w:sz w:val="24"/>
          <w:szCs w:val="24"/>
          <w:lang w:val="en-US" w:eastAsia="fr-FR"/>
        </w:rPr>
      </w:pPr>
      <w:r w:rsidRPr="00742026">
        <w:rPr>
          <w:sz w:val="24"/>
          <w:szCs w:val="24"/>
          <w:lang w:val="fr-SN" w:eastAsia="fr-FR"/>
        </w:rPr>
        <w:t xml:space="preserve">Hervieu-Léger, D. (2021). </w:t>
      </w:r>
      <w:r w:rsidRPr="00742026">
        <w:rPr>
          <w:i/>
          <w:iCs/>
          <w:sz w:val="24"/>
          <w:szCs w:val="24"/>
          <w:lang w:val="fr-SN" w:eastAsia="fr-FR"/>
        </w:rPr>
        <w:t>Religion, utopie et mémoire</w:t>
      </w:r>
      <w:r w:rsidRPr="00742026">
        <w:rPr>
          <w:sz w:val="24"/>
          <w:szCs w:val="24"/>
          <w:lang w:val="fr-SN" w:eastAsia="fr-FR"/>
        </w:rPr>
        <w:t xml:space="preserve">. Paris, Éditions de l’EHESS, coll. </w:t>
      </w:r>
      <w:r w:rsidRPr="009A7BFB">
        <w:rPr>
          <w:sz w:val="24"/>
          <w:szCs w:val="24"/>
          <w:lang w:val="en-US" w:eastAsia="fr-FR"/>
        </w:rPr>
        <w:t xml:space="preserve">« </w:t>
      </w:r>
      <w:proofErr w:type="spellStart"/>
      <w:r w:rsidRPr="009A7BFB">
        <w:rPr>
          <w:sz w:val="24"/>
          <w:szCs w:val="24"/>
          <w:lang w:val="en-US" w:eastAsia="fr-FR"/>
        </w:rPr>
        <w:t>Audiographie</w:t>
      </w:r>
      <w:proofErr w:type="spellEnd"/>
      <w:r w:rsidRPr="009A7BFB">
        <w:rPr>
          <w:sz w:val="24"/>
          <w:szCs w:val="24"/>
          <w:lang w:val="en-US" w:eastAsia="fr-FR"/>
        </w:rPr>
        <w:t xml:space="preserve"> »</w:t>
      </w:r>
    </w:p>
    <w:p w14:paraId="4C481193" w14:textId="77777777" w:rsidR="00D80693" w:rsidRPr="00FF0802" w:rsidRDefault="00D80693" w:rsidP="00BD3B47">
      <w:pPr>
        <w:spacing w:before="120"/>
        <w:ind w:left="567" w:hanging="567"/>
        <w:jc w:val="both"/>
        <w:rPr>
          <w:sz w:val="24"/>
          <w:szCs w:val="24"/>
          <w:lang w:eastAsia="fr-FR"/>
        </w:rPr>
      </w:pPr>
      <w:r w:rsidRPr="00FF0802">
        <w:rPr>
          <w:sz w:val="24"/>
          <w:szCs w:val="24"/>
          <w:lang w:val="en-US" w:eastAsia="fr-FR"/>
        </w:rPr>
        <w:t xml:space="preserve">Houtman, D. </w:t>
      </w:r>
      <w:r>
        <w:rPr>
          <w:sz w:val="24"/>
          <w:szCs w:val="24"/>
          <w:lang w:val="en-US" w:eastAsia="fr-FR"/>
        </w:rPr>
        <w:t>et</w:t>
      </w:r>
      <w:r w:rsidRPr="00FF0802">
        <w:rPr>
          <w:sz w:val="24"/>
          <w:szCs w:val="24"/>
          <w:lang w:val="en-US" w:eastAsia="fr-FR"/>
        </w:rPr>
        <w:t xml:space="preserve"> Meyer</w:t>
      </w:r>
      <w:r>
        <w:rPr>
          <w:sz w:val="24"/>
          <w:szCs w:val="24"/>
          <w:lang w:val="en-US" w:eastAsia="fr-FR"/>
        </w:rPr>
        <w:t xml:space="preserve">, </w:t>
      </w:r>
      <w:r w:rsidRPr="00FF0802">
        <w:rPr>
          <w:sz w:val="24"/>
          <w:szCs w:val="24"/>
          <w:lang w:val="en-US" w:eastAsia="fr-FR"/>
        </w:rPr>
        <w:t xml:space="preserve">B.  (eds). (2012). </w:t>
      </w:r>
      <w:r w:rsidRPr="00FF0802">
        <w:rPr>
          <w:i/>
          <w:iCs/>
          <w:sz w:val="24"/>
          <w:szCs w:val="24"/>
          <w:lang w:val="en-US" w:eastAsia="fr-FR"/>
        </w:rPr>
        <w:t>African Religions: A Very Short Introduction</w:t>
      </w:r>
      <w:r w:rsidRPr="00FF0802">
        <w:rPr>
          <w:sz w:val="24"/>
          <w:szCs w:val="24"/>
          <w:lang w:val="en-US" w:eastAsia="fr-FR"/>
        </w:rPr>
        <w:t xml:space="preserve">. </w:t>
      </w:r>
      <w:r w:rsidRPr="00FF0802">
        <w:rPr>
          <w:sz w:val="24"/>
          <w:szCs w:val="24"/>
          <w:lang w:eastAsia="fr-FR"/>
        </w:rPr>
        <w:t xml:space="preserve">Oxford </w:t>
      </w:r>
      <w:proofErr w:type="spellStart"/>
      <w:r w:rsidRPr="00FF0802">
        <w:rPr>
          <w:sz w:val="24"/>
          <w:szCs w:val="24"/>
          <w:lang w:eastAsia="fr-FR"/>
        </w:rPr>
        <w:t>University</w:t>
      </w:r>
      <w:proofErr w:type="spellEnd"/>
      <w:r w:rsidRPr="00FF0802">
        <w:rPr>
          <w:sz w:val="24"/>
          <w:szCs w:val="24"/>
          <w:lang w:eastAsia="fr-FR"/>
        </w:rPr>
        <w:t xml:space="preserve"> Press.</w:t>
      </w:r>
    </w:p>
    <w:p w14:paraId="03D707A7" w14:textId="77777777" w:rsidR="00D80693" w:rsidRPr="00FF0802" w:rsidRDefault="00D80693" w:rsidP="00BD3B47">
      <w:pPr>
        <w:spacing w:before="120"/>
        <w:ind w:left="567" w:hanging="567"/>
        <w:jc w:val="both"/>
        <w:rPr>
          <w:sz w:val="24"/>
          <w:szCs w:val="24"/>
          <w:lang w:eastAsia="fr-FR"/>
        </w:rPr>
      </w:pPr>
      <w:r w:rsidRPr="00FF0802">
        <w:rPr>
          <w:sz w:val="24"/>
          <w:szCs w:val="24"/>
          <w:lang w:eastAsia="fr-FR"/>
        </w:rPr>
        <w:t xml:space="preserve">Jullien, J.-P. (2010). </w:t>
      </w:r>
      <w:r w:rsidRPr="00FF0802">
        <w:rPr>
          <w:i/>
          <w:iCs/>
          <w:sz w:val="24"/>
          <w:szCs w:val="24"/>
          <w:lang w:eastAsia="fr-FR"/>
        </w:rPr>
        <w:t>La laïcité, histoire d’une singularité française</w:t>
      </w:r>
      <w:r w:rsidRPr="00FF0802">
        <w:rPr>
          <w:sz w:val="24"/>
          <w:szCs w:val="24"/>
          <w:lang w:eastAsia="fr-FR"/>
        </w:rPr>
        <w:t>, Paris, Presses universitaires de France.</w:t>
      </w:r>
    </w:p>
    <w:p w14:paraId="6B4D3D93" w14:textId="77777777" w:rsidR="00D80693" w:rsidRPr="00FF0802" w:rsidRDefault="00D80693" w:rsidP="00BD3B47">
      <w:pPr>
        <w:spacing w:before="120"/>
        <w:ind w:left="567" w:hanging="567"/>
        <w:jc w:val="both"/>
        <w:rPr>
          <w:sz w:val="24"/>
          <w:szCs w:val="24"/>
          <w:lang w:val="en-US" w:eastAsia="fr-FR"/>
        </w:rPr>
      </w:pPr>
      <w:r w:rsidRPr="00FF0802">
        <w:rPr>
          <w:sz w:val="24"/>
          <w:szCs w:val="24"/>
          <w:lang w:val="en-US" w:eastAsia="fr-FR"/>
        </w:rPr>
        <w:t xml:space="preserve">Kalu Ogbu, U. (2008). </w:t>
      </w:r>
      <w:r w:rsidRPr="00FF0802">
        <w:rPr>
          <w:i/>
          <w:iCs/>
          <w:sz w:val="24"/>
          <w:szCs w:val="24"/>
          <w:lang w:val="en-US" w:eastAsia="fr-FR"/>
        </w:rPr>
        <w:t>African Pentecostalism: An Introduction</w:t>
      </w:r>
      <w:r w:rsidRPr="00FF0802">
        <w:rPr>
          <w:sz w:val="24"/>
          <w:szCs w:val="24"/>
          <w:lang w:val="en-US" w:eastAsia="fr-FR"/>
        </w:rPr>
        <w:t xml:space="preserve">. Oxford University Press. </w:t>
      </w:r>
    </w:p>
    <w:p w14:paraId="0D401B2E" w14:textId="77777777" w:rsidR="00D80693" w:rsidRDefault="00D80693" w:rsidP="00BD3B47">
      <w:pPr>
        <w:spacing w:before="120"/>
        <w:ind w:left="567" w:hanging="567"/>
        <w:jc w:val="both"/>
        <w:rPr>
          <w:sz w:val="24"/>
          <w:szCs w:val="24"/>
          <w:lang w:eastAsia="fr-FR"/>
        </w:rPr>
      </w:pPr>
      <w:r w:rsidRPr="00A331FA">
        <w:rPr>
          <w:sz w:val="24"/>
          <w:szCs w:val="24"/>
          <w:lang w:eastAsia="fr-FR"/>
        </w:rPr>
        <w:t xml:space="preserve">Le Breton, D. </w:t>
      </w:r>
      <w:r w:rsidRPr="00A331FA">
        <w:rPr>
          <w:b/>
          <w:bCs/>
          <w:sz w:val="24"/>
          <w:szCs w:val="24"/>
          <w:lang w:eastAsia="fr-FR"/>
        </w:rPr>
        <w:t>(</w:t>
      </w:r>
      <w:r w:rsidRPr="00A331FA">
        <w:rPr>
          <w:sz w:val="24"/>
          <w:szCs w:val="24"/>
          <w:lang w:eastAsia="fr-FR"/>
        </w:rPr>
        <w:t>2008).</w:t>
      </w:r>
      <w:r w:rsidRPr="00A331FA">
        <w:rPr>
          <w:b/>
          <w:bCs/>
          <w:sz w:val="24"/>
          <w:szCs w:val="24"/>
          <w:lang w:eastAsia="fr-FR"/>
        </w:rPr>
        <w:t xml:space="preserve">  </w:t>
      </w:r>
      <w:r w:rsidRPr="00A331FA">
        <w:rPr>
          <w:rFonts w:eastAsiaTheme="majorEastAsia"/>
          <w:i/>
          <w:iCs/>
          <w:sz w:val="24"/>
          <w:szCs w:val="24"/>
          <w:lang w:eastAsia="fr-FR"/>
        </w:rPr>
        <w:t>Anthropologie du corps et modernité</w:t>
      </w:r>
      <w:r w:rsidRPr="00A331FA">
        <w:rPr>
          <w:sz w:val="24"/>
          <w:szCs w:val="24"/>
          <w:lang w:eastAsia="fr-FR"/>
        </w:rPr>
        <w:t>, PUF, coll. « Quadrige Essais Débats », 2008, 330 p</w:t>
      </w:r>
      <w:r>
        <w:rPr>
          <w:sz w:val="24"/>
          <w:szCs w:val="24"/>
          <w:lang w:eastAsia="fr-FR"/>
        </w:rPr>
        <w:t>ages.</w:t>
      </w:r>
    </w:p>
    <w:p w14:paraId="6F5F610A" w14:textId="77777777" w:rsidR="00D80693" w:rsidRPr="00A331FA" w:rsidRDefault="00D80693" w:rsidP="00BD3B47">
      <w:pPr>
        <w:spacing w:before="120"/>
        <w:ind w:left="567" w:hanging="567"/>
        <w:jc w:val="both"/>
        <w:rPr>
          <w:sz w:val="24"/>
          <w:szCs w:val="24"/>
          <w:lang w:eastAsia="fr-FR"/>
        </w:rPr>
      </w:pPr>
      <w:r>
        <w:rPr>
          <w:sz w:val="24"/>
          <w:szCs w:val="24"/>
          <w:lang w:eastAsia="fr-FR"/>
        </w:rPr>
        <w:t xml:space="preserve">Lwanga, L. F. (2022). </w:t>
      </w:r>
      <w:r w:rsidRPr="001E2EB9">
        <w:rPr>
          <w:i/>
          <w:iCs/>
          <w:sz w:val="24"/>
          <w:szCs w:val="24"/>
          <w:lang w:eastAsia="fr-FR"/>
        </w:rPr>
        <w:t>Histoire de l’éducation en Afrique subsaharienne : cas de la RDC</w:t>
      </w:r>
      <w:r>
        <w:rPr>
          <w:sz w:val="24"/>
          <w:szCs w:val="24"/>
          <w:lang w:eastAsia="fr-FR"/>
        </w:rPr>
        <w:t xml:space="preserve">. </w:t>
      </w:r>
      <w:r w:rsidRPr="00FF0802">
        <w:rPr>
          <w:sz w:val="24"/>
          <w:szCs w:val="24"/>
          <w:lang w:eastAsia="fr-FR"/>
        </w:rPr>
        <w:t xml:space="preserve">Éditions </w:t>
      </w:r>
      <w:proofErr w:type="spellStart"/>
      <w:r w:rsidRPr="00FF0802">
        <w:rPr>
          <w:sz w:val="24"/>
          <w:szCs w:val="24"/>
          <w:lang w:eastAsia="fr-FR"/>
        </w:rPr>
        <w:t>L’Harmattan</w:t>
      </w:r>
      <w:proofErr w:type="spellEnd"/>
      <w:r>
        <w:rPr>
          <w:sz w:val="24"/>
          <w:szCs w:val="24"/>
          <w:lang w:eastAsia="fr-FR"/>
        </w:rPr>
        <w:t xml:space="preserve">. </w:t>
      </w:r>
    </w:p>
    <w:p w14:paraId="391AB8B7" w14:textId="77777777" w:rsidR="00D80693" w:rsidRPr="00FF0802" w:rsidRDefault="00D80693" w:rsidP="00BD3B47">
      <w:pPr>
        <w:spacing w:before="120"/>
        <w:ind w:left="567" w:hanging="567"/>
        <w:jc w:val="both"/>
        <w:rPr>
          <w:rFonts w:eastAsia="Calibri"/>
          <w:sz w:val="24"/>
          <w:szCs w:val="24"/>
        </w:rPr>
      </w:pPr>
      <w:proofErr w:type="spellStart"/>
      <w:r w:rsidRPr="00FF0802">
        <w:rPr>
          <w:sz w:val="24"/>
          <w:szCs w:val="24"/>
        </w:rPr>
        <w:t>Matangila</w:t>
      </w:r>
      <w:proofErr w:type="spellEnd"/>
      <w:r w:rsidRPr="00FF0802">
        <w:rPr>
          <w:sz w:val="24"/>
          <w:szCs w:val="24"/>
        </w:rPr>
        <w:t xml:space="preserve">, A. (2006). </w:t>
      </w:r>
      <w:r w:rsidRPr="00FF0802">
        <w:rPr>
          <w:i/>
          <w:iCs/>
          <w:sz w:val="24"/>
          <w:szCs w:val="24"/>
        </w:rPr>
        <w:t>Le corps sanctifié : pratiques religieuses et normes morales dans les Églises de réveil en République démocratique du Congo</w:t>
      </w:r>
      <w:r w:rsidRPr="00FF0802">
        <w:rPr>
          <w:sz w:val="24"/>
          <w:szCs w:val="24"/>
        </w:rPr>
        <w:t xml:space="preserve">. Kinshasa : Éditions </w:t>
      </w:r>
      <w:proofErr w:type="spellStart"/>
      <w:r w:rsidRPr="00FF0802">
        <w:rPr>
          <w:sz w:val="24"/>
          <w:szCs w:val="24"/>
        </w:rPr>
        <w:t>L’Harmattan</w:t>
      </w:r>
      <w:proofErr w:type="spellEnd"/>
      <w:r w:rsidRPr="00FF0802">
        <w:rPr>
          <w:sz w:val="24"/>
          <w:szCs w:val="24"/>
        </w:rPr>
        <w:t>.</w:t>
      </w:r>
    </w:p>
    <w:p w14:paraId="512D1687" w14:textId="77777777" w:rsidR="00D80693" w:rsidRPr="00FF0802" w:rsidRDefault="00D80693" w:rsidP="00BD3B47">
      <w:pPr>
        <w:spacing w:before="120"/>
        <w:ind w:left="567" w:hanging="567"/>
        <w:jc w:val="both"/>
        <w:rPr>
          <w:sz w:val="24"/>
          <w:szCs w:val="24"/>
          <w:lang w:eastAsia="fr-FR"/>
        </w:rPr>
      </w:pPr>
      <w:proofErr w:type="spellStart"/>
      <w:r w:rsidRPr="00FF0802">
        <w:rPr>
          <w:sz w:val="24"/>
          <w:szCs w:val="24"/>
          <w:lang w:eastAsia="fr-FR"/>
        </w:rPr>
        <w:t>Mbiti</w:t>
      </w:r>
      <w:proofErr w:type="spellEnd"/>
      <w:r w:rsidRPr="00FF0802">
        <w:rPr>
          <w:sz w:val="24"/>
          <w:szCs w:val="24"/>
          <w:lang w:eastAsia="fr-FR"/>
        </w:rPr>
        <w:t xml:space="preserve">, J. S. (1991). </w:t>
      </w:r>
      <w:proofErr w:type="spellStart"/>
      <w:r w:rsidRPr="00FF0802">
        <w:rPr>
          <w:i/>
          <w:iCs/>
          <w:sz w:val="24"/>
          <w:szCs w:val="24"/>
          <w:lang w:eastAsia="fr-FR"/>
        </w:rPr>
        <w:t>African</w:t>
      </w:r>
      <w:proofErr w:type="spellEnd"/>
      <w:r w:rsidRPr="00FF0802">
        <w:rPr>
          <w:i/>
          <w:iCs/>
          <w:sz w:val="24"/>
          <w:szCs w:val="24"/>
          <w:lang w:eastAsia="fr-FR"/>
        </w:rPr>
        <w:t xml:space="preserve"> Religions and </w:t>
      </w:r>
      <w:proofErr w:type="spellStart"/>
      <w:r w:rsidRPr="00FF0802">
        <w:rPr>
          <w:i/>
          <w:iCs/>
          <w:sz w:val="24"/>
          <w:szCs w:val="24"/>
          <w:lang w:eastAsia="fr-FR"/>
        </w:rPr>
        <w:t>Philosophy</w:t>
      </w:r>
      <w:proofErr w:type="spellEnd"/>
      <w:r w:rsidRPr="00FF0802">
        <w:rPr>
          <w:sz w:val="24"/>
          <w:szCs w:val="24"/>
          <w:lang w:eastAsia="fr-FR"/>
        </w:rPr>
        <w:t>. Heinemann, London.</w:t>
      </w:r>
    </w:p>
    <w:p w14:paraId="49C60EE9" w14:textId="77777777" w:rsidR="00D80693" w:rsidRPr="00FF0802" w:rsidRDefault="00D80693" w:rsidP="00BD3B47">
      <w:pPr>
        <w:spacing w:before="120"/>
        <w:ind w:left="567" w:hanging="567"/>
        <w:jc w:val="both"/>
        <w:rPr>
          <w:sz w:val="24"/>
          <w:szCs w:val="24"/>
          <w:lang w:eastAsia="fr-FR"/>
        </w:rPr>
      </w:pPr>
      <w:r w:rsidRPr="00FF0802">
        <w:rPr>
          <w:sz w:val="24"/>
          <w:szCs w:val="24"/>
          <w:lang w:eastAsia="fr-FR"/>
        </w:rPr>
        <w:t xml:space="preserve">Meuret, D. (2015). </w:t>
      </w:r>
      <w:r w:rsidRPr="00FF0802">
        <w:rPr>
          <w:i/>
          <w:iCs/>
          <w:sz w:val="24"/>
          <w:szCs w:val="24"/>
          <w:lang w:eastAsia="fr-FR"/>
        </w:rPr>
        <w:t>Adaptations pédagogiques en Éducation Physique et Sportive : intégrer la diversité culturelle et religieuse</w:t>
      </w:r>
      <w:r w:rsidRPr="00FF0802">
        <w:rPr>
          <w:sz w:val="24"/>
          <w:szCs w:val="24"/>
          <w:lang w:eastAsia="fr-FR"/>
        </w:rPr>
        <w:t>. Revue Française de Pédagogie, 191, 35-48.</w:t>
      </w:r>
    </w:p>
    <w:p w14:paraId="4E36E0A1" w14:textId="77777777" w:rsidR="00D80693" w:rsidRPr="00FF0802" w:rsidRDefault="00D80693" w:rsidP="00BD3B47">
      <w:pPr>
        <w:spacing w:before="120"/>
        <w:ind w:left="567" w:hanging="567"/>
        <w:jc w:val="both"/>
        <w:rPr>
          <w:sz w:val="24"/>
          <w:szCs w:val="24"/>
          <w:lang w:val="en-US" w:eastAsia="fr-FR"/>
        </w:rPr>
      </w:pPr>
      <w:proofErr w:type="spellStart"/>
      <w:r w:rsidRPr="00FF0802">
        <w:rPr>
          <w:sz w:val="24"/>
          <w:szCs w:val="24"/>
          <w:lang w:eastAsia="fr-FR"/>
        </w:rPr>
        <w:t>Ngondi</w:t>
      </w:r>
      <w:proofErr w:type="spellEnd"/>
      <w:r w:rsidRPr="00FF0802">
        <w:rPr>
          <w:sz w:val="24"/>
          <w:szCs w:val="24"/>
          <w:lang w:eastAsia="fr-FR"/>
        </w:rPr>
        <w:t xml:space="preserve">, M. (2005). </w:t>
      </w:r>
      <w:r w:rsidRPr="00FF0802">
        <w:rPr>
          <w:i/>
          <w:iCs/>
          <w:sz w:val="24"/>
          <w:szCs w:val="24"/>
          <w:lang w:eastAsia="fr-FR"/>
        </w:rPr>
        <w:t xml:space="preserve">Les Églises de réveil en Afrique centrale : dynamismes et enjeux </w:t>
      </w:r>
      <w:proofErr w:type="spellStart"/>
      <w:r w:rsidRPr="00FF0802">
        <w:rPr>
          <w:i/>
          <w:iCs/>
          <w:sz w:val="24"/>
          <w:szCs w:val="24"/>
          <w:lang w:eastAsia="fr-FR"/>
        </w:rPr>
        <w:t>socio-religieux</w:t>
      </w:r>
      <w:proofErr w:type="spellEnd"/>
      <w:r w:rsidRPr="00FF0802">
        <w:rPr>
          <w:sz w:val="24"/>
          <w:szCs w:val="24"/>
          <w:lang w:eastAsia="fr-FR"/>
        </w:rPr>
        <w:t xml:space="preserve">. </w:t>
      </w:r>
      <w:proofErr w:type="gramStart"/>
      <w:r w:rsidRPr="00FF0802">
        <w:rPr>
          <w:sz w:val="24"/>
          <w:szCs w:val="24"/>
          <w:lang w:val="en-US" w:eastAsia="fr-FR"/>
        </w:rPr>
        <w:t>Yaoundé :</w:t>
      </w:r>
      <w:proofErr w:type="gramEnd"/>
      <w:r w:rsidRPr="00FF0802">
        <w:rPr>
          <w:sz w:val="24"/>
          <w:szCs w:val="24"/>
          <w:lang w:val="en-US" w:eastAsia="fr-FR"/>
        </w:rPr>
        <w:t xml:space="preserve"> Presses </w:t>
      </w:r>
      <w:proofErr w:type="spellStart"/>
      <w:r w:rsidRPr="00FF0802">
        <w:rPr>
          <w:sz w:val="24"/>
          <w:szCs w:val="24"/>
          <w:lang w:val="en-US" w:eastAsia="fr-FR"/>
        </w:rPr>
        <w:t>Universitaires</w:t>
      </w:r>
      <w:proofErr w:type="spellEnd"/>
      <w:r w:rsidRPr="00FF0802">
        <w:rPr>
          <w:sz w:val="24"/>
          <w:szCs w:val="24"/>
          <w:lang w:val="en-US" w:eastAsia="fr-FR"/>
        </w:rPr>
        <w:t xml:space="preserve"> </w:t>
      </w:r>
      <w:proofErr w:type="spellStart"/>
      <w:r w:rsidRPr="00FF0802">
        <w:rPr>
          <w:sz w:val="24"/>
          <w:szCs w:val="24"/>
          <w:lang w:val="en-US" w:eastAsia="fr-FR"/>
        </w:rPr>
        <w:t>d'Afrique</w:t>
      </w:r>
      <w:proofErr w:type="spellEnd"/>
      <w:r w:rsidRPr="00FF0802">
        <w:rPr>
          <w:sz w:val="24"/>
          <w:szCs w:val="24"/>
          <w:lang w:val="en-US" w:eastAsia="fr-FR"/>
        </w:rPr>
        <w:t xml:space="preserve"> Centrale.</w:t>
      </w:r>
    </w:p>
    <w:p w14:paraId="2A544E1E" w14:textId="77777777" w:rsidR="00D80693" w:rsidRPr="00742026" w:rsidRDefault="00D80693" w:rsidP="00BD3B47">
      <w:pPr>
        <w:spacing w:before="120"/>
        <w:ind w:left="567" w:hanging="567"/>
        <w:jc w:val="both"/>
        <w:rPr>
          <w:sz w:val="24"/>
          <w:szCs w:val="24"/>
          <w:lang w:val="en-US" w:eastAsia="fr-FR"/>
        </w:rPr>
      </w:pPr>
      <w:r w:rsidRPr="00FF0802">
        <w:rPr>
          <w:sz w:val="24"/>
          <w:szCs w:val="24"/>
          <w:lang w:val="en-US" w:eastAsia="fr-FR"/>
        </w:rPr>
        <w:t xml:space="preserve">Nieto, S. (2013). </w:t>
      </w:r>
      <w:r w:rsidRPr="00FF0802">
        <w:rPr>
          <w:i/>
          <w:iCs/>
          <w:sz w:val="24"/>
          <w:szCs w:val="24"/>
          <w:lang w:val="en-US" w:eastAsia="fr-FR"/>
        </w:rPr>
        <w:t>Finding Joy in Teaching Students of Diverse Backgrounds: Culturally Responsive and Socially Just Practices in U.S. Classrooms</w:t>
      </w:r>
      <w:r w:rsidRPr="00FF0802">
        <w:rPr>
          <w:sz w:val="24"/>
          <w:szCs w:val="24"/>
          <w:lang w:val="en-US" w:eastAsia="fr-FR"/>
        </w:rPr>
        <w:t xml:space="preserve">. </w:t>
      </w:r>
      <w:r w:rsidRPr="00742026">
        <w:rPr>
          <w:sz w:val="24"/>
          <w:szCs w:val="24"/>
          <w:lang w:val="en-US" w:eastAsia="fr-FR"/>
        </w:rPr>
        <w:t>Heinemann, Portsmouth, NH.</w:t>
      </w:r>
    </w:p>
    <w:p w14:paraId="7F458F44" w14:textId="77777777" w:rsidR="00D80693" w:rsidRPr="00110D2A" w:rsidRDefault="00D80693" w:rsidP="00BD3B47">
      <w:pPr>
        <w:spacing w:before="120"/>
        <w:ind w:left="567" w:hanging="567"/>
        <w:jc w:val="both"/>
        <w:rPr>
          <w:b/>
          <w:bCs/>
          <w:sz w:val="20"/>
          <w:szCs w:val="20"/>
          <w:lang w:eastAsia="fr-FR"/>
        </w:rPr>
      </w:pPr>
      <w:proofErr w:type="spellStart"/>
      <w:r w:rsidRPr="00742026">
        <w:rPr>
          <w:sz w:val="24"/>
          <w:szCs w:val="24"/>
          <w:lang w:val="en-US" w:eastAsia="fr-FR"/>
        </w:rPr>
        <w:t>Okonofua</w:t>
      </w:r>
      <w:proofErr w:type="spellEnd"/>
      <w:r w:rsidRPr="00742026">
        <w:rPr>
          <w:sz w:val="24"/>
          <w:szCs w:val="24"/>
          <w:lang w:val="en-US" w:eastAsia="fr-FR"/>
        </w:rPr>
        <w:t xml:space="preserve">, J. A., et Kim, </w:t>
      </w:r>
      <w:proofErr w:type="gramStart"/>
      <w:r w:rsidRPr="00742026">
        <w:rPr>
          <w:sz w:val="24"/>
          <w:szCs w:val="24"/>
          <w:lang w:val="en-US" w:eastAsia="fr-FR"/>
        </w:rPr>
        <w:t>J.</w:t>
      </w:r>
      <w:proofErr w:type="gramEnd"/>
      <w:r w:rsidRPr="00742026">
        <w:rPr>
          <w:sz w:val="24"/>
          <w:szCs w:val="24"/>
          <w:lang w:val="en-US" w:eastAsia="fr-FR"/>
        </w:rPr>
        <w:t xml:space="preserve"> J. (2016). The role of race in the perception of teachers' behavioral response to student misconduct. </w:t>
      </w:r>
      <w:r w:rsidRPr="00E56A3C">
        <w:rPr>
          <w:i/>
          <w:iCs/>
          <w:sz w:val="24"/>
          <w:szCs w:val="24"/>
          <w:lang w:eastAsia="fr-FR"/>
        </w:rPr>
        <w:t xml:space="preserve">Social </w:t>
      </w:r>
      <w:proofErr w:type="spellStart"/>
      <w:r w:rsidRPr="00E56A3C">
        <w:rPr>
          <w:i/>
          <w:iCs/>
          <w:sz w:val="24"/>
          <w:szCs w:val="24"/>
          <w:lang w:eastAsia="fr-FR"/>
        </w:rPr>
        <w:t>Psychological</w:t>
      </w:r>
      <w:proofErr w:type="spellEnd"/>
      <w:r w:rsidRPr="00E56A3C">
        <w:rPr>
          <w:i/>
          <w:iCs/>
          <w:sz w:val="24"/>
          <w:szCs w:val="24"/>
          <w:lang w:eastAsia="fr-FR"/>
        </w:rPr>
        <w:t xml:space="preserve"> and </w:t>
      </w:r>
      <w:proofErr w:type="spellStart"/>
      <w:r w:rsidRPr="00E56A3C">
        <w:rPr>
          <w:i/>
          <w:iCs/>
          <w:sz w:val="24"/>
          <w:szCs w:val="24"/>
          <w:lang w:eastAsia="fr-FR"/>
        </w:rPr>
        <w:t>Personality</w:t>
      </w:r>
      <w:proofErr w:type="spellEnd"/>
      <w:r w:rsidRPr="00E56A3C">
        <w:rPr>
          <w:i/>
          <w:iCs/>
          <w:sz w:val="24"/>
          <w:szCs w:val="24"/>
          <w:lang w:eastAsia="fr-FR"/>
        </w:rPr>
        <w:t xml:space="preserve"> Science, 7</w:t>
      </w:r>
      <w:r w:rsidRPr="00E56A3C">
        <w:rPr>
          <w:sz w:val="24"/>
          <w:szCs w:val="24"/>
          <w:lang w:eastAsia="fr-FR"/>
        </w:rPr>
        <w:t>(2), 173–180.</w:t>
      </w:r>
    </w:p>
    <w:p w14:paraId="2A9610A7" w14:textId="77777777" w:rsidR="00D80693" w:rsidRDefault="00D80693" w:rsidP="00BD3B47">
      <w:pPr>
        <w:spacing w:before="120"/>
        <w:ind w:left="567" w:hanging="567"/>
        <w:jc w:val="both"/>
        <w:rPr>
          <w:sz w:val="24"/>
          <w:szCs w:val="24"/>
          <w:lang w:eastAsia="fr-FR"/>
        </w:rPr>
      </w:pPr>
      <w:r w:rsidRPr="00110D2A">
        <w:rPr>
          <w:sz w:val="24"/>
          <w:szCs w:val="24"/>
          <w:lang w:eastAsia="fr-FR"/>
        </w:rPr>
        <w:t>Perrenoud, P. (1998)</w:t>
      </w:r>
      <w:r>
        <w:rPr>
          <w:sz w:val="24"/>
          <w:szCs w:val="24"/>
          <w:lang w:eastAsia="fr-FR"/>
        </w:rPr>
        <w:t xml:space="preserve">. </w:t>
      </w:r>
      <w:r w:rsidRPr="00110D2A">
        <w:rPr>
          <w:i/>
          <w:iCs/>
          <w:sz w:val="24"/>
          <w:szCs w:val="24"/>
          <w:lang w:eastAsia="fr-FR"/>
        </w:rPr>
        <w:t>L'évaluation des élèves. De la fabrication de l'excellence</w:t>
      </w:r>
      <w:r w:rsidRPr="00110D2A">
        <w:rPr>
          <w:i/>
          <w:iCs/>
          <w:sz w:val="24"/>
          <w:szCs w:val="24"/>
          <w:lang w:eastAsia="fr-FR"/>
        </w:rPr>
        <w:br/>
        <w:t>à la régulation des apprentissages</w:t>
      </w:r>
      <w:r>
        <w:rPr>
          <w:i/>
          <w:iCs/>
          <w:sz w:val="24"/>
          <w:szCs w:val="24"/>
          <w:lang w:eastAsia="fr-FR"/>
        </w:rPr>
        <w:t xml:space="preserve">, </w:t>
      </w:r>
      <w:r w:rsidRPr="00110D2A">
        <w:rPr>
          <w:sz w:val="24"/>
          <w:szCs w:val="24"/>
          <w:lang w:eastAsia="fr-FR"/>
        </w:rPr>
        <w:t>Bruxelles</w:t>
      </w:r>
      <w:r w:rsidRPr="00110D2A">
        <w:rPr>
          <w:b/>
          <w:bCs/>
          <w:sz w:val="36"/>
          <w:szCs w:val="36"/>
          <w:lang w:eastAsia="fr-FR"/>
        </w:rPr>
        <w:t xml:space="preserve"> </w:t>
      </w:r>
      <w:r w:rsidRPr="00110D2A">
        <w:rPr>
          <w:sz w:val="24"/>
          <w:szCs w:val="24"/>
          <w:lang w:eastAsia="fr-FR"/>
        </w:rPr>
        <w:t>: De Boeck</w:t>
      </w:r>
      <w:r>
        <w:rPr>
          <w:sz w:val="24"/>
          <w:szCs w:val="24"/>
          <w:lang w:eastAsia="fr-FR"/>
        </w:rPr>
        <w:t>.</w:t>
      </w:r>
    </w:p>
    <w:p w14:paraId="5A098E57" w14:textId="77777777" w:rsidR="00D80693" w:rsidRDefault="00D80693" w:rsidP="00BD3B47">
      <w:pPr>
        <w:spacing w:before="120"/>
        <w:ind w:left="567" w:hanging="567"/>
        <w:jc w:val="both"/>
        <w:rPr>
          <w:sz w:val="24"/>
          <w:szCs w:val="24"/>
          <w:lang w:eastAsia="fr-FR"/>
        </w:rPr>
      </w:pPr>
      <w:r w:rsidRPr="00A331FA">
        <w:rPr>
          <w:sz w:val="24"/>
          <w:szCs w:val="24"/>
          <w:lang w:eastAsia="fr-FR"/>
        </w:rPr>
        <w:t xml:space="preserve">Perrenoud, P. (1999). </w:t>
      </w:r>
      <w:r w:rsidRPr="00A331FA">
        <w:rPr>
          <w:i/>
          <w:iCs/>
          <w:sz w:val="24"/>
          <w:szCs w:val="24"/>
          <w:lang w:eastAsia="fr-FR"/>
        </w:rPr>
        <w:t>La pédagogie, quelles compétences ?</w:t>
      </w:r>
      <w:r w:rsidRPr="00A331FA">
        <w:rPr>
          <w:sz w:val="24"/>
          <w:szCs w:val="24"/>
          <w:lang w:eastAsia="fr-FR"/>
        </w:rPr>
        <w:t xml:space="preserve"> Paris : ESF Éditeur.</w:t>
      </w:r>
    </w:p>
    <w:p w14:paraId="3BA677DF" w14:textId="77777777" w:rsidR="00D80693" w:rsidRPr="00110D2A" w:rsidRDefault="00D80693" w:rsidP="00BD3B47">
      <w:pPr>
        <w:spacing w:before="120"/>
        <w:ind w:left="567" w:hanging="567"/>
        <w:jc w:val="both"/>
        <w:rPr>
          <w:b/>
          <w:bCs/>
          <w:sz w:val="24"/>
          <w:szCs w:val="24"/>
          <w:lang w:eastAsia="fr-FR"/>
        </w:rPr>
      </w:pPr>
      <w:r w:rsidRPr="009A7BFB">
        <w:rPr>
          <w:sz w:val="24"/>
          <w:szCs w:val="24"/>
          <w:lang w:eastAsia="fr-FR"/>
        </w:rPr>
        <w:t>Portier, P. (2012).</w:t>
      </w:r>
      <w:r>
        <w:rPr>
          <w:sz w:val="24"/>
          <w:szCs w:val="24"/>
          <w:lang w:eastAsia="fr-FR"/>
        </w:rPr>
        <w:t xml:space="preserve"> </w:t>
      </w:r>
      <w:r>
        <w:rPr>
          <w:i/>
          <w:iCs/>
          <w:sz w:val="24"/>
          <w:szCs w:val="24"/>
          <w:lang w:eastAsia="fr-FR"/>
        </w:rPr>
        <w:t>L'État et les religions en France : Une sociologie historique de la laïcité.</w:t>
      </w:r>
      <w:r>
        <w:rPr>
          <w:sz w:val="24"/>
          <w:szCs w:val="24"/>
          <w:lang w:eastAsia="fr-FR"/>
        </w:rPr>
        <w:t xml:space="preserve"> Presses universitaires de Rennes.</w:t>
      </w:r>
    </w:p>
    <w:p w14:paraId="7C517ECC" w14:textId="77777777" w:rsidR="00D80693" w:rsidRPr="00A331FA" w:rsidRDefault="00D80693" w:rsidP="00BD3B47">
      <w:pPr>
        <w:spacing w:before="120"/>
        <w:ind w:left="567" w:hanging="567"/>
        <w:jc w:val="both"/>
        <w:rPr>
          <w:sz w:val="24"/>
          <w:szCs w:val="24"/>
          <w:lang w:val="en-US" w:eastAsia="fr-FR"/>
        </w:rPr>
      </w:pPr>
      <w:r w:rsidRPr="00A331FA">
        <w:rPr>
          <w:sz w:val="24"/>
          <w:szCs w:val="24"/>
          <w:lang w:eastAsia="fr-FR"/>
        </w:rPr>
        <w:t xml:space="preserve">Puren, C. (2005). </w:t>
      </w:r>
      <w:r w:rsidRPr="00A331FA">
        <w:rPr>
          <w:i/>
          <w:iCs/>
          <w:sz w:val="24"/>
          <w:szCs w:val="24"/>
          <w:lang w:eastAsia="fr-FR"/>
        </w:rPr>
        <w:t>La laïcité en contexte multiculturel : défis et compétences interculturelles</w:t>
      </w:r>
      <w:r w:rsidRPr="00A331FA">
        <w:rPr>
          <w:sz w:val="24"/>
          <w:szCs w:val="24"/>
          <w:lang w:eastAsia="fr-FR"/>
        </w:rPr>
        <w:t xml:space="preserve">. In Actes du colloque sur la gestion de la diversité religieuse à l’école (pp. 45-63). </w:t>
      </w:r>
      <w:proofErr w:type="gramStart"/>
      <w:r w:rsidRPr="00A331FA">
        <w:rPr>
          <w:sz w:val="24"/>
          <w:szCs w:val="24"/>
          <w:lang w:val="en-US" w:eastAsia="fr-FR"/>
        </w:rPr>
        <w:t>Paris</w:t>
      </w:r>
      <w:r>
        <w:rPr>
          <w:sz w:val="24"/>
          <w:szCs w:val="24"/>
          <w:lang w:val="en-US" w:eastAsia="fr-FR"/>
        </w:rPr>
        <w:t xml:space="preserve"> </w:t>
      </w:r>
      <w:r w:rsidRPr="00A331FA">
        <w:rPr>
          <w:sz w:val="24"/>
          <w:szCs w:val="24"/>
          <w:lang w:val="en-US" w:eastAsia="fr-FR"/>
        </w:rPr>
        <w:t>:</w:t>
      </w:r>
      <w:proofErr w:type="gramEnd"/>
      <w:r w:rsidRPr="00A331FA">
        <w:rPr>
          <w:sz w:val="24"/>
          <w:szCs w:val="24"/>
          <w:lang w:val="en-US" w:eastAsia="fr-FR"/>
        </w:rPr>
        <w:t xml:space="preserve"> Éditions </w:t>
      </w:r>
      <w:proofErr w:type="spellStart"/>
      <w:r w:rsidRPr="00A331FA">
        <w:rPr>
          <w:sz w:val="24"/>
          <w:szCs w:val="24"/>
          <w:lang w:val="en-US" w:eastAsia="fr-FR"/>
        </w:rPr>
        <w:t>Universitaires</w:t>
      </w:r>
      <w:proofErr w:type="spellEnd"/>
      <w:r w:rsidRPr="00A331FA">
        <w:rPr>
          <w:sz w:val="24"/>
          <w:szCs w:val="24"/>
          <w:lang w:val="en-US" w:eastAsia="fr-FR"/>
        </w:rPr>
        <w:t>.</w:t>
      </w:r>
    </w:p>
    <w:p w14:paraId="5D7A61AD" w14:textId="77777777" w:rsidR="00D80693" w:rsidRPr="00FF0802" w:rsidRDefault="00D80693" w:rsidP="00BD3B47">
      <w:pPr>
        <w:spacing w:before="120"/>
        <w:ind w:left="567" w:hanging="567"/>
        <w:jc w:val="both"/>
        <w:rPr>
          <w:sz w:val="24"/>
          <w:szCs w:val="24"/>
          <w:lang w:val="en-US" w:eastAsia="fr-FR"/>
        </w:rPr>
      </w:pPr>
      <w:r w:rsidRPr="00A331FA">
        <w:rPr>
          <w:sz w:val="24"/>
          <w:szCs w:val="24"/>
          <w:lang w:val="en-US" w:eastAsia="fr-FR"/>
        </w:rPr>
        <w:t xml:space="preserve">Putnam, R. D. (2000). </w:t>
      </w:r>
      <w:r w:rsidRPr="00A331FA">
        <w:rPr>
          <w:i/>
          <w:iCs/>
          <w:sz w:val="24"/>
          <w:szCs w:val="24"/>
          <w:lang w:val="en-US" w:eastAsia="fr-FR"/>
        </w:rPr>
        <w:t>Bowling Alone: The Collapse and Revival of American Community</w:t>
      </w:r>
      <w:r w:rsidRPr="00A331FA">
        <w:rPr>
          <w:sz w:val="24"/>
          <w:szCs w:val="24"/>
          <w:lang w:val="en-US" w:eastAsia="fr-FR"/>
        </w:rPr>
        <w:t>.</w:t>
      </w:r>
      <w:r w:rsidRPr="00FF0802">
        <w:rPr>
          <w:sz w:val="24"/>
          <w:szCs w:val="24"/>
          <w:lang w:val="en-US" w:eastAsia="fr-FR"/>
        </w:rPr>
        <w:t xml:space="preserve"> Simon &amp; Schuster, New York.</w:t>
      </w:r>
    </w:p>
    <w:p w14:paraId="3B021692" w14:textId="77777777" w:rsidR="00D80693" w:rsidRPr="00742026" w:rsidRDefault="00D80693" w:rsidP="00BD3B47">
      <w:pPr>
        <w:spacing w:before="120"/>
        <w:ind w:left="567" w:hanging="567"/>
        <w:jc w:val="both"/>
        <w:rPr>
          <w:sz w:val="24"/>
          <w:szCs w:val="24"/>
          <w:lang w:val="en-US" w:eastAsia="fr-FR"/>
        </w:rPr>
      </w:pPr>
      <w:r w:rsidRPr="00742026">
        <w:rPr>
          <w:sz w:val="24"/>
          <w:szCs w:val="24"/>
          <w:lang w:val="en-US" w:eastAsia="fr-FR"/>
        </w:rPr>
        <w:t xml:space="preserve">Reeve, J. (2018). </w:t>
      </w:r>
      <w:r w:rsidRPr="00742026">
        <w:rPr>
          <w:i/>
          <w:iCs/>
          <w:sz w:val="24"/>
          <w:szCs w:val="24"/>
          <w:lang w:val="en-US" w:eastAsia="fr-FR"/>
        </w:rPr>
        <w:t>Understanding Motivation and Emotion</w:t>
      </w:r>
      <w:r w:rsidRPr="00742026">
        <w:rPr>
          <w:sz w:val="24"/>
          <w:szCs w:val="24"/>
          <w:lang w:val="en-US" w:eastAsia="fr-FR"/>
        </w:rPr>
        <w:t xml:space="preserve"> (6e </w:t>
      </w:r>
      <w:proofErr w:type="spellStart"/>
      <w:r w:rsidRPr="00742026">
        <w:rPr>
          <w:sz w:val="24"/>
          <w:szCs w:val="24"/>
          <w:lang w:val="en-US" w:eastAsia="fr-FR"/>
        </w:rPr>
        <w:t>éd</w:t>
      </w:r>
      <w:proofErr w:type="spellEnd"/>
      <w:r w:rsidRPr="00742026">
        <w:rPr>
          <w:sz w:val="24"/>
          <w:szCs w:val="24"/>
          <w:lang w:val="en-US" w:eastAsia="fr-FR"/>
        </w:rPr>
        <w:t xml:space="preserve">.), </w:t>
      </w:r>
      <w:proofErr w:type="spellStart"/>
      <w:r w:rsidRPr="00742026">
        <w:rPr>
          <w:sz w:val="24"/>
          <w:szCs w:val="24"/>
          <w:lang w:val="en-US" w:eastAsia="fr-FR"/>
        </w:rPr>
        <w:t>publiée</w:t>
      </w:r>
      <w:proofErr w:type="spellEnd"/>
      <w:r w:rsidRPr="00742026">
        <w:rPr>
          <w:sz w:val="24"/>
          <w:szCs w:val="24"/>
          <w:lang w:val="en-US" w:eastAsia="fr-FR"/>
        </w:rPr>
        <w:t xml:space="preserve"> par Wiley, </w:t>
      </w:r>
      <w:proofErr w:type="spellStart"/>
      <w:r w:rsidRPr="00742026">
        <w:rPr>
          <w:sz w:val="24"/>
          <w:szCs w:val="24"/>
          <w:lang w:val="en-US" w:eastAsia="fr-FR"/>
        </w:rPr>
        <w:t>comporte</w:t>
      </w:r>
      <w:proofErr w:type="spellEnd"/>
      <w:r w:rsidRPr="00742026">
        <w:rPr>
          <w:sz w:val="24"/>
          <w:szCs w:val="24"/>
          <w:lang w:val="en-US" w:eastAsia="fr-FR"/>
        </w:rPr>
        <w:t xml:space="preserve"> </w:t>
      </w:r>
      <w:proofErr w:type="spellStart"/>
      <w:r w:rsidRPr="00742026">
        <w:rPr>
          <w:sz w:val="24"/>
          <w:szCs w:val="24"/>
          <w:lang w:val="en-US" w:eastAsia="fr-FR"/>
        </w:rPr>
        <w:t>généralement</w:t>
      </w:r>
      <w:proofErr w:type="spellEnd"/>
      <w:r w:rsidRPr="00742026">
        <w:rPr>
          <w:sz w:val="24"/>
          <w:szCs w:val="24"/>
          <w:lang w:val="en-US" w:eastAsia="fr-FR"/>
        </w:rPr>
        <w:t xml:space="preserve"> 560 pages.</w:t>
      </w:r>
    </w:p>
    <w:p w14:paraId="5A28A805" w14:textId="77777777" w:rsidR="00D80693" w:rsidRPr="00FF0802" w:rsidRDefault="00D80693" w:rsidP="00BD3B47">
      <w:pPr>
        <w:spacing w:before="120"/>
        <w:ind w:left="567" w:hanging="567"/>
        <w:jc w:val="both"/>
        <w:rPr>
          <w:sz w:val="24"/>
          <w:szCs w:val="24"/>
          <w:lang w:val="en-US" w:eastAsia="fr-FR"/>
        </w:rPr>
      </w:pPr>
      <w:r w:rsidRPr="00FF0802">
        <w:rPr>
          <w:sz w:val="24"/>
          <w:szCs w:val="24"/>
          <w:lang w:val="en-US" w:eastAsia="fr-FR"/>
        </w:rPr>
        <w:t xml:space="preserve">Sanneh, L. (2003). </w:t>
      </w:r>
      <w:r w:rsidRPr="00FF0802">
        <w:rPr>
          <w:i/>
          <w:iCs/>
          <w:sz w:val="24"/>
          <w:szCs w:val="24"/>
          <w:lang w:val="en-US" w:eastAsia="fr-FR"/>
        </w:rPr>
        <w:t>Whose Religion is Christianity? The Gospel beyond the West</w:t>
      </w:r>
      <w:r w:rsidRPr="00FF0802">
        <w:rPr>
          <w:sz w:val="24"/>
          <w:szCs w:val="24"/>
          <w:lang w:val="en-US" w:eastAsia="fr-FR"/>
        </w:rPr>
        <w:t>. Eerdmans Publishing.</w:t>
      </w:r>
    </w:p>
    <w:p w14:paraId="64C29E82" w14:textId="77777777" w:rsidR="00D80693" w:rsidRPr="00742026" w:rsidRDefault="00D80693" w:rsidP="00BD3B47">
      <w:pPr>
        <w:spacing w:before="120"/>
        <w:ind w:left="567" w:hanging="567"/>
        <w:jc w:val="both"/>
        <w:rPr>
          <w:sz w:val="24"/>
          <w:szCs w:val="24"/>
          <w:lang w:val="en-US" w:eastAsia="fr-FR"/>
        </w:rPr>
      </w:pPr>
      <w:r w:rsidRPr="00742026">
        <w:rPr>
          <w:sz w:val="24"/>
          <w:szCs w:val="24"/>
          <w:lang w:val="en-US" w:eastAsia="fr-FR"/>
        </w:rPr>
        <w:t xml:space="preserve">Tajfel, H., et Turner, J. C. (1979). An integrative theory of intergroup conflict. </w:t>
      </w:r>
      <w:r w:rsidRPr="00742026">
        <w:rPr>
          <w:i/>
          <w:iCs/>
          <w:sz w:val="24"/>
          <w:szCs w:val="24"/>
          <w:lang w:val="en-US" w:eastAsia="fr-FR"/>
        </w:rPr>
        <w:t>Organizational identity: A reader</w:t>
      </w:r>
      <w:r w:rsidRPr="00742026">
        <w:rPr>
          <w:sz w:val="24"/>
          <w:szCs w:val="24"/>
          <w:lang w:val="en-US" w:eastAsia="fr-FR"/>
        </w:rPr>
        <w:t xml:space="preserve"> (p. 276-288). Psychology Press.</w:t>
      </w:r>
    </w:p>
    <w:p w14:paraId="1947C123" w14:textId="77777777" w:rsidR="00D80693" w:rsidRPr="00A331FA" w:rsidRDefault="00D80693" w:rsidP="00BD3B47">
      <w:pPr>
        <w:spacing w:before="120"/>
        <w:ind w:left="567" w:hanging="567"/>
        <w:jc w:val="both"/>
        <w:rPr>
          <w:sz w:val="24"/>
          <w:szCs w:val="24"/>
          <w:lang w:eastAsia="fr-FR"/>
        </w:rPr>
      </w:pPr>
      <w:r w:rsidRPr="00FF0802">
        <w:rPr>
          <w:sz w:val="24"/>
          <w:szCs w:val="24"/>
          <w:lang w:val="en-US" w:eastAsia="fr-FR"/>
        </w:rPr>
        <w:t xml:space="preserve">Taylor, C. (1992). </w:t>
      </w:r>
      <w:r w:rsidRPr="00FF0802">
        <w:rPr>
          <w:i/>
          <w:iCs/>
          <w:sz w:val="24"/>
          <w:szCs w:val="24"/>
          <w:lang w:val="en-US" w:eastAsia="fr-FR"/>
        </w:rPr>
        <w:t xml:space="preserve">Sources of the Self: The Making of </w:t>
      </w:r>
      <w:proofErr w:type="gramStart"/>
      <w:r w:rsidRPr="00FF0802">
        <w:rPr>
          <w:i/>
          <w:iCs/>
          <w:sz w:val="24"/>
          <w:szCs w:val="24"/>
          <w:lang w:val="en-US" w:eastAsia="fr-FR"/>
        </w:rPr>
        <w:t>the Modern</w:t>
      </w:r>
      <w:proofErr w:type="gramEnd"/>
      <w:r w:rsidRPr="00FF0802">
        <w:rPr>
          <w:i/>
          <w:iCs/>
          <w:sz w:val="24"/>
          <w:szCs w:val="24"/>
          <w:lang w:val="en-US" w:eastAsia="fr-FR"/>
        </w:rPr>
        <w:t xml:space="preserve"> Identity</w:t>
      </w:r>
      <w:r w:rsidRPr="00FF0802">
        <w:rPr>
          <w:sz w:val="24"/>
          <w:szCs w:val="24"/>
          <w:lang w:val="en-US" w:eastAsia="fr-FR"/>
        </w:rPr>
        <w:t xml:space="preserve">. </w:t>
      </w:r>
      <w:r w:rsidRPr="00FF0802">
        <w:rPr>
          <w:sz w:val="24"/>
          <w:szCs w:val="24"/>
          <w:lang w:eastAsia="fr-FR"/>
        </w:rPr>
        <w:t xml:space="preserve">Cambridge, </w:t>
      </w:r>
      <w:proofErr w:type="gramStart"/>
      <w:r w:rsidRPr="00FF0802">
        <w:rPr>
          <w:sz w:val="24"/>
          <w:szCs w:val="24"/>
          <w:lang w:eastAsia="fr-FR"/>
        </w:rPr>
        <w:t>MA:</w:t>
      </w:r>
      <w:proofErr w:type="gramEnd"/>
      <w:r w:rsidRPr="00FF0802">
        <w:rPr>
          <w:sz w:val="24"/>
          <w:szCs w:val="24"/>
          <w:lang w:eastAsia="fr-FR"/>
        </w:rPr>
        <w:t xml:space="preserve"> Harvard </w:t>
      </w:r>
      <w:proofErr w:type="spellStart"/>
      <w:r w:rsidRPr="00FF0802">
        <w:rPr>
          <w:sz w:val="24"/>
          <w:szCs w:val="24"/>
          <w:lang w:eastAsia="fr-FR"/>
        </w:rPr>
        <w:t>University</w:t>
      </w:r>
      <w:proofErr w:type="spellEnd"/>
      <w:r w:rsidRPr="00FF0802">
        <w:rPr>
          <w:sz w:val="24"/>
          <w:szCs w:val="24"/>
          <w:lang w:eastAsia="fr-FR"/>
        </w:rPr>
        <w:t xml:space="preserve"> Press.</w:t>
      </w:r>
      <w:bookmarkStart w:id="53" w:name="_Hlk215898415"/>
      <w:bookmarkEnd w:id="53"/>
    </w:p>
    <w:p w14:paraId="70C9225F" w14:textId="77777777" w:rsidR="00D80693" w:rsidRDefault="00D80693" w:rsidP="00BD3B47">
      <w:pPr>
        <w:spacing w:before="120"/>
        <w:ind w:left="567" w:hanging="567"/>
        <w:rPr>
          <w:sz w:val="0"/>
          <w:szCs w:val="0"/>
        </w:rPr>
        <w:sectPr w:rsidR="00D80693" w:rsidSect="007944D2">
          <w:headerReference w:type="default" r:id="rId79"/>
          <w:footerReference w:type="default" r:id="rId80"/>
          <w:pgSz w:w="11906" w:h="16838"/>
          <w:pgMar w:top="1417" w:right="1417" w:bottom="1417" w:left="1417" w:header="0" w:footer="837" w:gutter="0"/>
          <w:cols w:space="708"/>
          <w:docGrid w:linePitch="360"/>
        </w:sectPr>
      </w:pPr>
    </w:p>
    <w:p w14:paraId="6F387B5D" w14:textId="77777777" w:rsidR="00D80693" w:rsidRDefault="00D80693" w:rsidP="00D80693">
      <w:pPr>
        <w:jc w:val="both"/>
        <w:rPr>
          <w:b/>
          <w:bCs/>
          <w:kern w:val="2"/>
          <w:sz w:val="36"/>
          <w:szCs w:val="28"/>
          <w14:ligatures w14:val="standardContextual"/>
        </w:rPr>
      </w:pPr>
    </w:p>
    <w:p w14:paraId="64E18B81" w14:textId="77777777" w:rsidR="00D80693" w:rsidRDefault="00D80693" w:rsidP="00D80693">
      <w:pPr>
        <w:jc w:val="both"/>
        <w:rPr>
          <w:b/>
          <w:bCs/>
          <w:kern w:val="2"/>
          <w:sz w:val="36"/>
          <w:szCs w:val="28"/>
          <w14:ligatures w14:val="standardContextual"/>
        </w:rPr>
      </w:pPr>
    </w:p>
    <w:p w14:paraId="3BB1C348" w14:textId="77777777" w:rsidR="00D80693" w:rsidRDefault="00D80693" w:rsidP="00D80693">
      <w:pPr>
        <w:jc w:val="both"/>
        <w:rPr>
          <w:b/>
          <w:bCs/>
          <w:kern w:val="2"/>
          <w:sz w:val="36"/>
          <w:szCs w:val="28"/>
          <w14:ligatures w14:val="standardContextual"/>
        </w:rPr>
      </w:pPr>
    </w:p>
    <w:p w14:paraId="42AC9140" w14:textId="77777777" w:rsidR="00894828" w:rsidRDefault="00894828" w:rsidP="00D80693">
      <w:pPr>
        <w:jc w:val="both"/>
        <w:rPr>
          <w:b/>
          <w:bCs/>
          <w:kern w:val="2"/>
          <w:sz w:val="36"/>
          <w:szCs w:val="28"/>
          <w14:ligatures w14:val="standardContextual"/>
        </w:rPr>
      </w:pPr>
    </w:p>
    <w:p w14:paraId="375720B7" w14:textId="77777777" w:rsidR="00894828" w:rsidRDefault="00894828" w:rsidP="00D80693">
      <w:pPr>
        <w:jc w:val="both"/>
        <w:rPr>
          <w:b/>
          <w:bCs/>
          <w:kern w:val="2"/>
          <w:sz w:val="36"/>
          <w:szCs w:val="28"/>
          <w14:ligatures w14:val="standardContextual"/>
        </w:rPr>
      </w:pPr>
    </w:p>
    <w:p w14:paraId="1AA21864" w14:textId="77777777" w:rsidR="00894828" w:rsidRDefault="00894828" w:rsidP="00D80693">
      <w:pPr>
        <w:jc w:val="both"/>
        <w:rPr>
          <w:b/>
          <w:bCs/>
          <w:kern w:val="2"/>
          <w:sz w:val="36"/>
          <w:szCs w:val="28"/>
          <w14:ligatures w14:val="standardContextual"/>
        </w:rPr>
      </w:pPr>
    </w:p>
    <w:p w14:paraId="11D725F8" w14:textId="77777777" w:rsidR="00894828" w:rsidRDefault="00894828" w:rsidP="00D80693">
      <w:pPr>
        <w:jc w:val="both"/>
        <w:rPr>
          <w:b/>
          <w:bCs/>
          <w:kern w:val="2"/>
          <w:sz w:val="36"/>
          <w:szCs w:val="28"/>
          <w14:ligatures w14:val="standardContextual"/>
        </w:rPr>
      </w:pPr>
    </w:p>
    <w:p w14:paraId="5941E691" w14:textId="77777777" w:rsidR="00894828" w:rsidRDefault="00894828" w:rsidP="00D80693">
      <w:pPr>
        <w:jc w:val="both"/>
        <w:rPr>
          <w:b/>
          <w:bCs/>
          <w:kern w:val="2"/>
          <w:sz w:val="36"/>
          <w:szCs w:val="28"/>
          <w14:ligatures w14:val="standardContextual"/>
        </w:rPr>
      </w:pPr>
    </w:p>
    <w:p w14:paraId="2D9D7ED1" w14:textId="77777777" w:rsidR="00D80693" w:rsidRDefault="00D80693" w:rsidP="00D80693">
      <w:pPr>
        <w:jc w:val="both"/>
        <w:rPr>
          <w:b/>
          <w:bCs/>
          <w:kern w:val="2"/>
          <w:sz w:val="36"/>
          <w:szCs w:val="28"/>
          <w14:ligatures w14:val="standardContextual"/>
        </w:rPr>
      </w:pPr>
    </w:p>
    <w:p w14:paraId="0E16F3B7" w14:textId="77777777" w:rsidR="00D80693" w:rsidRDefault="00D80693" w:rsidP="00D80693">
      <w:pPr>
        <w:jc w:val="both"/>
        <w:rPr>
          <w:b/>
          <w:bCs/>
          <w:kern w:val="2"/>
          <w:sz w:val="36"/>
          <w:szCs w:val="28"/>
          <w14:ligatures w14:val="standardContextual"/>
        </w:rPr>
      </w:pPr>
    </w:p>
    <w:p w14:paraId="21907A84" w14:textId="77777777" w:rsidR="00D80693" w:rsidRDefault="00D80693" w:rsidP="00D80693">
      <w:pPr>
        <w:jc w:val="both"/>
        <w:rPr>
          <w:b/>
          <w:bCs/>
          <w:kern w:val="2"/>
          <w:sz w:val="36"/>
          <w:szCs w:val="28"/>
          <w14:ligatures w14:val="standardContextual"/>
        </w:rPr>
      </w:pPr>
    </w:p>
    <w:p w14:paraId="3EB8D4EC" w14:textId="77777777" w:rsidR="00D80693" w:rsidRDefault="00D80693" w:rsidP="00D80693">
      <w:pPr>
        <w:jc w:val="both"/>
        <w:rPr>
          <w:b/>
          <w:bCs/>
          <w:kern w:val="2"/>
          <w:sz w:val="36"/>
          <w:szCs w:val="28"/>
          <w14:ligatures w14:val="standardContextual"/>
        </w:rPr>
      </w:pPr>
    </w:p>
    <w:p w14:paraId="53CD39B3" w14:textId="77777777" w:rsidR="00D80693" w:rsidRDefault="00D80693" w:rsidP="00D80693">
      <w:pPr>
        <w:jc w:val="both"/>
        <w:rPr>
          <w:b/>
          <w:bCs/>
          <w:kern w:val="2"/>
          <w:sz w:val="36"/>
          <w:szCs w:val="28"/>
          <w14:ligatures w14:val="standardContextual"/>
        </w:rPr>
      </w:pPr>
    </w:p>
    <w:p w14:paraId="032B6B50" w14:textId="0B3ACB70" w:rsidR="00D80693" w:rsidRPr="0028601D" w:rsidRDefault="00BD3B47" w:rsidP="0028601D">
      <w:pPr>
        <w:pStyle w:val="Titre1"/>
        <w:shd w:val="clear" w:color="auto" w:fill="B8CCE4" w:themeFill="accent1" w:themeFillTint="66"/>
        <w:rPr>
          <w:rFonts w:eastAsia="Calibri"/>
          <w:bCs w:val="0"/>
          <w:sz w:val="44"/>
          <w:szCs w:val="44"/>
        </w:rPr>
      </w:pPr>
      <w:bookmarkStart w:id="54" w:name="_Toc219272564"/>
      <w:r w:rsidRPr="0028601D">
        <w:rPr>
          <w:rFonts w:eastAsia="Calibri"/>
          <w:bCs w:val="0"/>
          <w:sz w:val="44"/>
          <w:szCs w:val="44"/>
        </w:rPr>
        <w:t>Partie 2 :</w:t>
      </w:r>
      <w:r w:rsidR="007944D2" w:rsidRPr="0028601D">
        <w:rPr>
          <w:rFonts w:eastAsia="Calibri"/>
          <w:bCs w:val="0"/>
          <w:sz w:val="44"/>
          <w:szCs w:val="44"/>
        </w:rPr>
        <w:t xml:space="preserve"> </w:t>
      </w:r>
      <w:r w:rsidR="00D80693" w:rsidRPr="0028601D">
        <w:rPr>
          <w:rFonts w:eastAsia="Calibri"/>
          <w:bCs w:val="0"/>
          <w:sz w:val="44"/>
          <w:szCs w:val="44"/>
        </w:rPr>
        <w:t>Former, enseigner autrement</w:t>
      </w:r>
      <w:bookmarkEnd w:id="54"/>
    </w:p>
    <w:p w14:paraId="33C08307" w14:textId="77777777" w:rsidR="00D80693" w:rsidRDefault="00D80693" w:rsidP="00D80693">
      <w:pPr>
        <w:jc w:val="both"/>
        <w:rPr>
          <w:b/>
          <w:bCs/>
          <w:kern w:val="2"/>
          <w:sz w:val="28"/>
          <w:szCs w:val="28"/>
          <w14:ligatures w14:val="standardContextual"/>
        </w:rPr>
      </w:pPr>
    </w:p>
    <w:p w14:paraId="7B6F6867" w14:textId="77777777" w:rsidR="00D80693" w:rsidRDefault="00D80693" w:rsidP="00D80693">
      <w:pPr>
        <w:jc w:val="both"/>
        <w:rPr>
          <w:b/>
          <w:bCs/>
          <w:kern w:val="2"/>
          <w:sz w:val="28"/>
          <w:szCs w:val="28"/>
          <w14:ligatures w14:val="standardContextual"/>
        </w:rPr>
      </w:pPr>
    </w:p>
    <w:p w14:paraId="7C05257C" w14:textId="77777777" w:rsidR="00D80693" w:rsidRDefault="00D80693" w:rsidP="00D80693">
      <w:pPr>
        <w:jc w:val="both"/>
        <w:rPr>
          <w:b/>
          <w:bCs/>
          <w:kern w:val="2"/>
          <w:sz w:val="28"/>
          <w:szCs w:val="28"/>
          <w14:ligatures w14:val="standardContextual"/>
        </w:rPr>
      </w:pPr>
    </w:p>
    <w:p w14:paraId="6C7BFFCE" w14:textId="77777777" w:rsidR="00D80693" w:rsidRDefault="00D80693" w:rsidP="00D80693">
      <w:pPr>
        <w:jc w:val="both"/>
        <w:rPr>
          <w:b/>
          <w:bCs/>
          <w:kern w:val="2"/>
          <w:sz w:val="28"/>
          <w:szCs w:val="28"/>
          <w14:ligatures w14:val="standardContextual"/>
        </w:rPr>
      </w:pPr>
    </w:p>
    <w:p w14:paraId="6C11621E" w14:textId="77777777" w:rsidR="00D80693" w:rsidRDefault="00D80693" w:rsidP="00D80693">
      <w:pPr>
        <w:jc w:val="both"/>
        <w:rPr>
          <w:b/>
          <w:bCs/>
          <w:kern w:val="2"/>
          <w:sz w:val="28"/>
          <w:szCs w:val="28"/>
          <w14:ligatures w14:val="standardContextual"/>
        </w:rPr>
      </w:pPr>
    </w:p>
    <w:p w14:paraId="71EE0278" w14:textId="77777777" w:rsidR="00D80693" w:rsidRDefault="00D80693" w:rsidP="00D80693">
      <w:pPr>
        <w:jc w:val="both"/>
        <w:rPr>
          <w:b/>
          <w:bCs/>
          <w:kern w:val="2"/>
          <w:sz w:val="28"/>
          <w:szCs w:val="28"/>
          <w14:ligatures w14:val="standardContextual"/>
        </w:rPr>
      </w:pPr>
    </w:p>
    <w:p w14:paraId="52E1B33F" w14:textId="77777777" w:rsidR="00D80693" w:rsidRDefault="00D80693" w:rsidP="00D80693">
      <w:pPr>
        <w:jc w:val="both"/>
        <w:rPr>
          <w:b/>
          <w:bCs/>
          <w:kern w:val="2"/>
          <w:sz w:val="28"/>
          <w:szCs w:val="28"/>
          <w14:ligatures w14:val="standardContextual"/>
        </w:rPr>
      </w:pPr>
    </w:p>
    <w:p w14:paraId="37A66941" w14:textId="77777777" w:rsidR="00D80693" w:rsidRDefault="00D80693" w:rsidP="00D80693">
      <w:pPr>
        <w:jc w:val="both"/>
        <w:rPr>
          <w:b/>
          <w:bCs/>
          <w:kern w:val="2"/>
          <w:sz w:val="28"/>
          <w:szCs w:val="28"/>
          <w14:ligatures w14:val="standardContextual"/>
        </w:rPr>
      </w:pPr>
    </w:p>
    <w:p w14:paraId="0620B5A3" w14:textId="77777777" w:rsidR="00D80693" w:rsidRDefault="00D80693" w:rsidP="00D80693">
      <w:pPr>
        <w:jc w:val="both"/>
        <w:rPr>
          <w:b/>
          <w:bCs/>
          <w:kern w:val="2"/>
          <w:sz w:val="28"/>
          <w:szCs w:val="28"/>
          <w14:ligatures w14:val="standardContextual"/>
        </w:rPr>
      </w:pPr>
    </w:p>
    <w:p w14:paraId="2FE4EB95" w14:textId="77777777" w:rsidR="00D80693" w:rsidRDefault="00D80693" w:rsidP="00D80693">
      <w:pPr>
        <w:jc w:val="both"/>
        <w:rPr>
          <w:b/>
          <w:bCs/>
          <w:kern w:val="2"/>
          <w:sz w:val="28"/>
          <w:szCs w:val="28"/>
          <w14:ligatures w14:val="standardContextual"/>
        </w:rPr>
      </w:pPr>
    </w:p>
    <w:p w14:paraId="7C2E83E6" w14:textId="77777777" w:rsidR="00D80693" w:rsidRDefault="00D80693" w:rsidP="00D80693">
      <w:pPr>
        <w:jc w:val="both"/>
        <w:rPr>
          <w:b/>
          <w:bCs/>
          <w:kern w:val="2"/>
          <w:sz w:val="28"/>
          <w:szCs w:val="28"/>
          <w14:ligatures w14:val="standardContextual"/>
        </w:rPr>
      </w:pPr>
    </w:p>
    <w:p w14:paraId="1F87076B" w14:textId="77777777" w:rsidR="00D80693" w:rsidRDefault="00D80693" w:rsidP="00D80693">
      <w:pPr>
        <w:jc w:val="both"/>
        <w:rPr>
          <w:b/>
          <w:bCs/>
          <w:kern w:val="2"/>
          <w:sz w:val="28"/>
          <w:szCs w:val="28"/>
          <w14:ligatures w14:val="standardContextual"/>
        </w:rPr>
      </w:pPr>
    </w:p>
    <w:p w14:paraId="1A3446E6" w14:textId="77777777" w:rsidR="00D80693" w:rsidRDefault="00D80693" w:rsidP="00D80693">
      <w:pPr>
        <w:jc w:val="both"/>
        <w:rPr>
          <w:b/>
          <w:bCs/>
          <w:kern w:val="2"/>
          <w:sz w:val="28"/>
          <w:szCs w:val="28"/>
          <w14:ligatures w14:val="standardContextual"/>
        </w:rPr>
      </w:pPr>
    </w:p>
    <w:p w14:paraId="6290B3C7" w14:textId="77777777" w:rsidR="00D80693" w:rsidRDefault="00D80693" w:rsidP="00D80693">
      <w:pPr>
        <w:jc w:val="both"/>
        <w:rPr>
          <w:b/>
          <w:bCs/>
          <w:kern w:val="2"/>
          <w:sz w:val="28"/>
          <w:szCs w:val="28"/>
          <w14:ligatures w14:val="standardContextual"/>
        </w:rPr>
      </w:pPr>
    </w:p>
    <w:p w14:paraId="644DCB68" w14:textId="77777777" w:rsidR="00D80693" w:rsidRDefault="00D80693" w:rsidP="00D80693">
      <w:pPr>
        <w:jc w:val="both"/>
        <w:rPr>
          <w:b/>
          <w:bCs/>
          <w:kern w:val="2"/>
          <w:sz w:val="28"/>
          <w:szCs w:val="28"/>
          <w14:ligatures w14:val="standardContextual"/>
        </w:rPr>
      </w:pPr>
    </w:p>
    <w:p w14:paraId="17814720" w14:textId="77777777" w:rsidR="00D80693" w:rsidRDefault="00D80693" w:rsidP="00D80693">
      <w:pPr>
        <w:jc w:val="both"/>
        <w:rPr>
          <w:b/>
          <w:bCs/>
          <w:kern w:val="2"/>
          <w:sz w:val="28"/>
          <w:szCs w:val="28"/>
          <w14:ligatures w14:val="standardContextual"/>
        </w:rPr>
      </w:pPr>
    </w:p>
    <w:p w14:paraId="55925125" w14:textId="77777777" w:rsidR="00D80693" w:rsidRDefault="00D80693" w:rsidP="00D80693">
      <w:pPr>
        <w:jc w:val="both"/>
        <w:rPr>
          <w:b/>
          <w:bCs/>
          <w:kern w:val="2"/>
          <w:sz w:val="28"/>
          <w:szCs w:val="28"/>
          <w14:ligatures w14:val="standardContextual"/>
        </w:rPr>
      </w:pPr>
    </w:p>
    <w:p w14:paraId="693FCCF5" w14:textId="77777777" w:rsidR="00D80693" w:rsidRPr="00166475" w:rsidRDefault="00D80693" w:rsidP="00D80693">
      <w:pPr>
        <w:jc w:val="both"/>
        <w:rPr>
          <w:b/>
          <w:bCs/>
          <w:kern w:val="2"/>
          <w:sz w:val="28"/>
          <w:szCs w:val="28"/>
          <w14:ligatures w14:val="standardContextual"/>
        </w:rPr>
      </w:pPr>
    </w:p>
    <w:p w14:paraId="699B5071" w14:textId="77777777" w:rsidR="007944D2" w:rsidRDefault="007944D2" w:rsidP="00D80693">
      <w:pPr>
        <w:jc w:val="both"/>
        <w:rPr>
          <w:b/>
          <w:bCs/>
          <w:kern w:val="2"/>
          <w:sz w:val="28"/>
          <w:szCs w:val="28"/>
          <w14:ligatures w14:val="standardContextual"/>
        </w:rPr>
        <w:sectPr w:rsidR="007944D2" w:rsidSect="007B22B9">
          <w:footerReference w:type="default" r:id="rId81"/>
          <w:footerReference w:type="first" r:id="rId82"/>
          <w:pgSz w:w="11906" w:h="16838"/>
          <w:pgMar w:top="1417" w:right="1417" w:bottom="1417" w:left="1417" w:header="708" w:footer="597" w:gutter="0"/>
          <w:cols w:space="708"/>
          <w:titlePg/>
          <w:docGrid w:linePitch="360"/>
        </w:sectPr>
      </w:pPr>
    </w:p>
    <w:p w14:paraId="4FA6CF02" w14:textId="77777777" w:rsidR="00D80693" w:rsidRPr="007B22B9" w:rsidRDefault="00D80693" w:rsidP="007B22B9">
      <w:pPr>
        <w:pStyle w:val="Titre1"/>
        <w:spacing w:before="120"/>
        <w:ind w:left="-142"/>
        <w:rPr>
          <w:rFonts w:eastAsia="Calibri"/>
          <w:i/>
          <w:iCs/>
          <w:color w:val="000000"/>
        </w:rPr>
      </w:pPr>
      <w:bookmarkStart w:id="55" w:name="_Toc219272565"/>
      <w:r w:rsidRPr="007B22B9">
        <w:rPr>
          <w:rFonts w:eastAsia="Calibri"/>
          <w:i/>
          <w:iCs/>
          <w:color w:val="000000"/>
        </w:rPr>
        <w:t>Trente (30) jours d’enseignement-apprentissage en Didactique des disciplines pour former des enseignants : Quel impact sur les pratiques pédagogiques ?</w:t>
      </w:r>
      <w:bookmarkEnd w:id="55"/>
    </w:p>
    <w:p w14:paraId="07E2589D" w14:textId="77777777" w:rsidR="00D80693" w:rsidRPr="007B22B9" w:rsidRDefault="00D80693" w:rsidP="007B22B9">
      <w:pPr>
        <w:pStyle w:val="Titre1"/>
        <w:spacing w:before="120"/>
        <w:ind w:left="-142"/>
        <w:rPr>
          <w:rFonts w:eastAsia="Calibri"/>
          <w:color w:val="000000"/>
        </w:rPr>
      </w:pPr>
      <w:bookmarkStart w:id="56" w:name="_Toc219272566"/>
      <w:proofErr w:type="spellStart"/>
      <w:r w:rsidRPr="007B22B9">
        <w:rPr>
          <w:rFonts w:eastAsia="Calibri"/>
          <w:color w:val="000000"/>
        </w:rPr>
        <w:t>Natié</w:t>
      </w:r>
      <w:proofErr w:type="spellEnd"/>
      <w:r w:rsidRPr="007B22B9">
        <w:rPr>
          <w:rFonts w:eastAsia="Calibri"/>
          <w:color w:val="000000"/>
        </w:rPr>
        <w:t xml:space="preserve"> COULIBALY, Ibrahima TRAORÉ, Yacouba LOUGUÉ</w:t>
      </w:r>
      <w:bookmarkEnd w:id="56"/>
    </w:p>
    <w:p w14:paraId="116E3849" w14:textId="77777777" w:rsidR="00D80693" w:rsidRPr="00631C64" w:rsidRDefault="00D80693" w:rsidP="00D80693">
      <w:pPr>
        <w:spacing w:after="120"/>
        <w:rPr>
          <w:bCs/>
          <w:kern w:val="2"/>
          <w14:ligatures w14:val="standardContextual"/>
        </w:rPr>
      </w:pPr>
    </w:p>
    <w:p w14:paraId="4C71F34E" w14:textId="77777777" w:rsidR="00D80693" w:rsidRDefault="00D80693" w:rsidP="00D80693">
      <w:pPr>
        <w:tabs>
          <w:tab w:val="left" w:pos="1290"/>
        </w:tabs>
        <w:rPr>
          <w:b/>
          <w:bCs/>
          <w:kern w:val="2"/>
          <w:sz w:val="24"/>
          <w:szCs w:val="24"/>
          <w14:ligatures w14:val="standardContextual"/>
        </w:rPr>
      </w:pPr>
      <w:r>
        <w:rPr>
          <w:b/>
          <w:bCs/>
          <w:kern w:val="2"/>
          <w:sz w:val="24"/>
          <w:szCs w:val="24"/>
          <w14:ligatures w14:val="standardContextual"/>
        </w:rPr>
        <w:t>Résumé</w:t>
      </w:r>
    </w:p>
    <w:p w14:paraId="4A8FC64F" w14:textId="77777777" w:rsidR="00D80693" w:rsidRPr="00E96E25" w:rsidRDefault="00D80693" w:rsidP="00D80693">
      <w:pPr>
        <w:tabs>
          <w:tab w:val="left" w:pos="1290"/>
        </w:tabs>
        <w:spacing w:after="120"/>
        <w:jc w:val="both"/>
        <w:rPr>
          <w:kern w:val="2"/>
          <w:sz w:val="24"/>
          <w:szCs w:val="24"/>
          <w14:ligatures w14:val="standardContextual"/>
        </w:rPr>
      </w:pPr>
      <w:r w:rsidRPr="00E96E25">
        <w:rPr>
          <w:kern w:val="2"/>
          <w:sz w:val="24"/>
          <w:szCs w:val="24"/>
          <w14:ligatures w14:val="standardContextual"/>
        </w:rPr>
        <w:t xml:space="preserve">Face au déficit d’enseignants qualifiés au Mali, cette étude évalue l’impact d’une formation courte de 30 jours en </w:t>
      </w:r>
      <w:r w:rsidRPr="00775656">
        <w:rPr>
          <w:kern w:val="2"/>
          <w:sz w:val="24"/>
          <w:szCs w:val="24"/>
          <w14:ligatures w14:val="standardContextual"/>
        </w:rPr>
        <w:t>D</w:t>
      </w:r>
      <w:r w:rsidRPr="00E96E25">
        <w:rPr>
          <w:kern w:val="2"/>
          <w:sz w:val="24"/>
          <w:szCs w:val="24"/>
          <w14:ligatures w14:val="standardContextual"/>
        </w:rPr>
        <w:t>idactique</w:t>
      </w:r>
      <w:r>
        <w:rPr>
          <w:kern w:val="2"/>
          <w:sz w:val="24"/>
          <w:szCs w:val="24"/>
          <w14:ligatures w14:val="standardContextual"/>
        </w:rPr>
        <w:t xml:space="preserve"> des disciplines </w:t>
      </w:r>
      <w:r w:rsidRPr="00E96E25">
        <w:rPr>
          <w:kern w:val="2"/>
          <w:sz w:val="24"/>
          <w:szCs w:val="24"/>
          <w14:ligatures w14:val="standardContextual"/>
        </w:rPr>
        <w:t>sur les pratiques pédagogiques</w:t>
      </w:r>
      <w:r w:rsidRPr="00775656">
        <w:rPr>
          <w:kern w:val="2"/>
          <w:sz w:val="24"/>
          <w:szCs w:val="24"/>
          <w14:ligatures w14:val="standardContextual"/>
        </w:rPr>
        <w:t>. L’o</w:t>
      </w:r>
      <w:r w:rsidRPr="00E96E25">
        <w:rPr>
          <w:kern w:val="2"/>
          <w:sz w:val="24"/>
          <w:szCs w:val="24"/>
          <w14:ligatures w14:val="standardContextual"/>
        </w:rPr>
        <w:t>bjectif général</w:t>
      </w:r>
      <w:r w:rsidRPr="00775656">
        <w:rPr>
          <w:kern w:val="2"/>
          <w:sz w:val="24"/>
          <w:szCs w:val="24"/>
          <w14:ligatures w14:val="standardContextual"/>
        </w:rPr>
        <w:t xml:space="preserve"> est de</w:t>
      </w:r>
      <w:r>
        <w:rPr>
          <w:kern w:val="2"/>
          <w:sz w:val="24"/>
          <w:szCs w:val="24"/>
          <w14:ligatures w14:val="standardContextual"/>
        </w:rPr>
        <w:t xml:space="preserve"> m</w:t>
      </w:r>
      <w:r w:rsidRPr="00E96E25">
        <w:rPr>
          <w:kern w:val="2"/>
          <w:sz w:val="24"/>
          <w:szCs w:val="24"/>
          <w14:ligatures w14:val="standardContextual"/>
        </w:rPr>
        <w:t>esurer l’effet de cette formation sur les compétences et pratiques de classe des enseignants formés.</w:t>
      </w:r>
      <w:r>
        <w:rPr>
          <w:kern w:val="2"/>
          <w:sz w:val="24"/>
          <w:szCs w:val="24"/>
          <w14:ligatures w14:val="standardContextual"/>
        </w:rPr>
        <w:t xml:space="preserve"> L’é</w:t>
      </w:r>
      <w:r w:rsidRPr="00E96E25">
        <w:rPr>
          <w:kern w:val="2"/>
          <w:sz w:val="24"/>
          <w:szCs w:val="24"/>
          <w14:ligatures w14:val="standardContextual"/>
        </w:rPr>
        <w:t>tude</w:t>
      </w:r>
      <w:r>
        <w:rPr>
          <w:kern w:val="2"/>
          <w:sz w:val="24"/>
          <w:szCs w:val="24"/>
          <w14:ligatures w14:val="standardContextual"/>
        </w:rPr>
        <w:t xml:space="preserve">, de type </w:t>
      </w:r>
      <w:r w:rsidRPr="00E96E25">
        <w:rPr>
          <w:kern w:val="2"/>
          <w:sz w:val="24"/>
          <w:szCs w:val="24"/>
          <w14:ligatures w14:val="standardContextual"/>
        </w:rPr>
        <w:t>qualitat</w:t>
      </w:r>
      <w:r>
        <w:rPr>
          <w:kern w:val="2"/>
          <w:sz w:val="24"/>
          <w:szCs w:val="24"/>
          <w14:ligatures w14:val="standardContextual"/>
        </w:rPr>
        <w:t xml:space="preserve">if, est </w:t>
      </w:r>
      <w:r w:rsidRPr="00E96E25">
        <w:rPr>
          <w:kern w:val="2"/>
          <w:sz w:val="24"/>
          <w:szCs w:val="24"/>
          <w14:ligatures w14:val="standardContextual"/>
        </w:rPr>
        <w:t>basée sur des entretiens semi-directifs avec 27 acteurs (enseignants, formateurs, conseillers pédagogiques), analysés par triangulation thématique.</w:t>
      </w:r>
      <w:r>
        <w:rPr>
          <w:kern w:val="2"/>
          <w:sz w:val="24"/>
          <w:szCs w:val="24"/>
          <w14:ligatures w14:val="standardContextual"/>
        </w:rPr>
        <w:t xml:space="preserve"> Les </w:t>
      </w:r>
      <w:r w:rsidRPr="00775656">
        <w:rPr>
          <w:kern w:val="2"/>
          <w:sz w:val="24"/>
          <w:szCs w:val="24"/>
          <w14:ligatures w14:val="standardContextual"/>
        </w:rPr>
        <w:t>r</w:t>
      </w:r>
      <w:r w:rsidRPr="00E96E25">
        <w:rPr>
          <w:kern w:val="2"/>
          <w:sz w:val="24"/>
          <w:szCs w:val="24"/>
          <w14:ligatures w14:val="standardContextual"/>
        </w:rPr>
        <w:t>ésultats</w:t>
      </w:r>
      <w:r w:rsidRPr="00775656">
        <w:rPr>
          <w:kern w:val="2"/>
          <w:sz w:val="24"/>
          <w:szCs w:val="24"/>
          <w14:ligatures w14:val="standardContextual"/>
        </w:rPr>
        <w:t xml:space="preserve"> montrent que l</w:t>
      </w:r>
      <w:r w:rsidRPr="00E96E25">
        <w:rPr>
          <w:kern w:val="2"/>
          <w:sz w:val="24"/>
          <w:szCs w:val="24"/>
          <w14:ligatures w14:val="standardContextual"/>
        </w:rPr>
        <w:t>a formation a permis l’acquisition de compétences pédagogiques, une adoption de méthodes actives et une amélioration de l’engagement des élèves. Cependant, son impact est limité par la courte durée, le manque de ressources et l’absence de suivi.</w:t>
      </w:r>
      <w:r>
        <w:rPr>
          <w:kern w:val="2"/>
          <w:sz w:val="24"/>
          <w:szCs w:val="24"/>
          <w14:ligatures w14:val="standardContextual"/>
        </w:rPr>
        <w:t xml:space="preserve"> </w:t>
      </w:r>
      <w:r w:rsidRPr="00E96E25">
        <w:rPr>
          <w:kern w:val="2"/>
          <w:sz w:val="24"/>
          <w:szCs w:val="24"/>
          <w14:ligatures w14:val="standardContextual"/>
        </w:rPr>
        <w:t>Bien que bénéfique, la formation nécessite d’être prolongée, renforcée par des pratiques de terrain et intégrée dans un dispositif de suivi pour un impact durable.</w:t>
      </w:r>
    </w:p>
    <w:p w14:paraId="08B7AFC7" w14:textId="77777777" w:rsidR="00D80693" w:rsidRDefault="00D80693" w:rsidP="00D80693">
      <w:pPr>
        <w:tabs>
          <w:tab w:val="left" w:pos="1290"/>
        </w:tabs>
        <w:jc w:val="both"/>
        <w:rPr>
          <w:kern w:val="2"/>
          <w:sz w:val="24"/>
          <w:szCs w:val="24"/>
          <w14:ligatures w14:val="standardContextual"/>
        </w:rPr>
      </w:pPr>
      <w:r w:rsidRPr="00E96E25">
        <w:rPr>
          <w:b/>
          <w:bCs/>
          <w:kern w:val="2"/>
          <w:sz w:val="24"/>
          <w:szCs w:val="24"/>
          <w14:ligatures w14:val="standardContextual"/>
        </w:rPr>
        <w:t>Mots-clés</w:t>
      </w:r>
      <w:r w:rsidRPr="00E96E25">
        <w:rPr>
          <w:kern w:val="2"/>
          <w:sz w:val="24"/>
          <w:szCs w:val="24"/>
          <w14:ligatures w14:val="standardContextual"/>
        </w:rPr>
        <w:t> :</w:t>
      </w:r>
      <w:r>
        <w:rPr>
          <w:kern w:val="2"/>
          <w:sz w:val="24"/>
          <w:szCs w:val="24"/>
          <w14:ligatures w14:val="standardContextual"/>
        </w:rPr>
        <w:t xml:space="preserve"> </w:t>
      </w:r>
      <w:r w:rsidRPr="00E96E25">
        <w:rPr>
          <w:kern w:val="2"/>
          <w:sz w:val="24"/>
          <w:szCs w:val="24"/>
          <w14:ligatures w14:val="standardContextual"/>
        </w:rPr>
        <w:t>Didactique</w:t>
      </w:r>
      <w:r>
        <w:rPr>
          <w:kern w:val="2"/>
          <w:sz w:val="24"/>
          <w:szCs w:val="24"/>
          <w14:ligatures w14:val="standardContextual"/>
        </w:rPr>
        <w:t xml:space="preserve"> des disciplines, E</w:t>
      </w:r>
      <w:r w:rsidRPr="00E96E25">
        <w:rPr>
          <w:kern w:val="2"/>
          <w:sz w:val="24"/>
          <w:szCs w:val="24"/>
          <w14:ligatures w14:val="standardContextual"/>
        </w:rPr>
        <w:t>nseignants, Formation</w:t>
      </w:r>
      <w:r>
        <w:rPr>
          <w:kern w:val="2"/>
          <w:sz w:val="24"/>
          <w:szCs w:val="24"/>
          <w14:ligatures w14:val="standardContextual"/>
        </w:rPr>
        <w:t xml:space="preserve"> continue, </w:t>
      </w:r>
      <w:r w:rsidRPr="00E96E25">
        <w:rPr>
          <w:kern w:val="2"/>
          <w:sz w:val="24"/>
          <w:szCs w:val="24"/>
          <w14:ligatures w14:val="standardContextual"/>
        </w:rPr>
        <w:t>Mali</w:t>
      </w:r>
      <w:r>
        <w:rPr>
          <w:kern w:val="2"/>
          <w:sz w:val="24"/>
          <w:szCs w:val="24"/>
          <w14:ligatures w14:val="standardContextual"/>
        </w:rPr>
        <w:t xml:space="preserve">, </w:t>
      </w:r>
      <w:r w:rsidRPr="00E96E25">
        <w:rPr>
          <w:kern w:val="2"/>
          <w:sz w:val="24"/>
          <w:szCs w:val="24"/>
          <w14:ligatures w14:val="standardContextual"/>
        </w:rPr>
        <w:t>Pratiques</w:t>
      </w:r>
      <w:r>
        <w:rPr>
          <w:kern w:val="2"/>
          <w:sz w:val="24"/>
          <w:szCs w:val="24"/>
          <w14:ligatures w14:val="standardContextual"/>
        </w:rPr>
        <w:t xml:space="preserve"> </w:t>
      </w:r>
      <w:r w:rsidRPr="00E96E25">
        <w:rPr>
          <w:kern w:val="2"/>
          <w:sz w:val="24"/>
          <w:szCs w:val="24"/>
          <w14:ligatures w14:val="standardContextual"/>
        </w:rPr>
        <w:t>pédagogiques</w:t>
      </w:r>
      <w:r>
        <w:rPr>
          <w:kern w:val="2"/>
          <w:sz w:val="24"/>
          <w:szCs w:val="24"/>
          <w14:ligatures w14:val="standardContextual"/>
        </w:rPr>
        <w:t xml:space="preserve">. </w:t>
      </w:r>
    </w:p>
    <w:p w14:paraId="7B65F1AD" w14:textId="77777777" w:rsidR="007944D2" w:rsidRPr="00E96E25" w:rsidRDefault="007944D2" w:rsidP="00D80693">
      <w:pPr>
        <w:tabs>
          <w:tab w:val="left" w:pos="1290"/>
        </w:tabs>
        <w:jc w:val="both"/>
        <w:rPr>
          <w:kern w:val="2"/>
          <w:sz w:val="24"/>
          <w:szCs w:val="24"/>
          <w14:ligatures w14:val="standardContextual"/>
        </w:rPr>
      </w:pPr>
    </w:p>
    <w:p w14:paraId="09DF0810" w14:textId="77777777" w:rsidR="00D80693" w:rsidRPr="00631C64" w:rsidRDefault="00D80693" w:rsidP="00D80693">
      <w:pPr>
        <w:tabs>
          <w:tab w:val="left" w:pos="1290"/>
        </w:tabs>
        <w:rPr>
          <w:kern w:val="2"/>
          <w:sz w:val="24"/>
          <w:szCs w:val="24"/>
          <w:lang w:val="en-US"/>
          <w14:ligatures w14:val="standardContextual"/>
        </w:rPr>
      </w:pPr>
      <w:r w:rsidRPr="00631C64">
        <w:rPr>
          <w:b/>
          <w:bCs/>
          <w:kern w:val="2"/>
          <w:sz w:val="24"/>
          <w:szCs w:val="24"/>
          <w:lang w:val="en-US"/>
          <w14:ligatures w14:val="standardContextual"/>
        </w:rPr>
        <w:t>Abstract</w:t>
      </w:r>
    </w:p>
    <w:p w14:paraId="4C450C14" w14:textId="77777777" w:rsidR="00D80693" w:rsidRPr="00677B3E" w:rsidRDefault="00D80693" w:rsidP="00D80693">
      <w:pPr>
        <w:tabs>
          <w:tab w:val="left" w:pos="1290"/>
        </w:tabs>
        <w:spacing w:after="120"/>
        <w:jc w:val="both"/>
        <w:rPr>
          <w:kern w:val="2"/>
          <w:sz w:val="24"/>
          <w:szCs w:val="24"/>
          <w:lang w:val="en-US"/>
          <w14:ligatures w14:val="standardContextual"/>
        </w:rPr>
      </w:pPr>
      <w:r w:rsidRPr="00677B3E">
        <w:rPr>
          <w:kern w:val="2"/>
          <w:sz w:val="24"/>
          <w:szCs w:val="24"/>
          <w:lang w:val="en-US"/>
          <w14:ligatures w14:val="standardContextual"/>
        </w:rPr>
        <w:t>Faced with the shortage of qualified teachers in Mali, this study assesses the impact of a short 30-day training program in subject didactics on teaching practices. The general objective is to measure the effect of this training on the skills and classroom practices of the trained teachers. The study, qualitative in nature, is based on semi-structured interviews with 27 stakeholders (teachers, trainers, pedagogical advisors), analyzed through thematic triangulation. The results show that the training led to the acquisition of pedagogical skills, the adoption of active methods, and an improvement in student engagement. However, its impact is limited by the short duration, lack of resources, and absence of follow-up. Although beneficial, the training needs to be extended, strengthened through practical field experience, and integrated into a follow-up mechanism for sustainable impact.</w:t>
      </w:r>
    </w:p>
    <w:p w14:paraId="0FED32EF" w14:textId="77777777" w:rsidR="00D80693" w:rsidRPr="00677B3E" w:rsidRDefault="00D80693" w:rsidP="00D80693">
      <w:pPr>
        <w:tabs>
          <w:tab w:val="left" w:pos="1290"/>
        </w:tabs>
        <w:jc w:val="both"/>
        <w:rPr>
          <w:kern w:val="2"/>
          <w:sz w:val="24"/>
          <w:szCs w:val="24"/>
          <w:lang w:val="en-US"/>
          <w14:ligatures w14:val="standardContextual"/>
        </w:rPr>
      </w:pPr>
      <w:proofErr w:type="gramStart"/>
      <w:r w:rsidRPr="00677B3E">
        <w:rPr>
          <w:b/>
          <w:bCs/>
          <w:kern w:val="2"/>
          <w:sz w:val="24"/>
          <w:szCs w:val="24"/>
          <w:lang w:val="en-US"/>
          <w14:ligatures w14:val="standardContextual"/>
        </w:rPr>
        <w:t xml:space="preserve">Keywords </w:t>
      </w:r>
      <w:r w:rsidRPr="00677B3E">
        <w:rPr>
          <w:kern w:val="2"/>
          <w:sz w:val="24"/>
          <w:szCs w:val="24"/>
          <w:lang w:val="en-US"/>
          <w14:ligatures w14:val="standardContextual"/>
        </w:rPr>
        <w:t>:</w:t>
      </w:r>
      <w:proofErr w:type="gramEnd"/>
      <w:r w:rsidRPr="00677B3E">
        <w:rPr>
          <w:kern w:val="2"/>
          <w:sz w:val="24"/>
          <w:szCs w:val="24"/>
          <w:lang w:val="en-US"/>
          <w14:ligatures w14:val="standardContextual"/>
        </w:rPr>
        <w:t xml:space="preserve"> Subject didactics, Teachers, Professional development, Mali, Teaching practices.</w:t>
      </w:r>
    </w:p>
    <w:p w14:paraId="19C7C23C" w14:textId="77777777" w:rsidR="00D80693" w:rsidRPr="00677B3E" w:rsidRDefault="00D80693" w:rsidP="00D80693">
      <w:pPr>
        <w:tabs>
          <w:tab w:val="left" w:pos="1290"/>
        </w:tabs>
        <w:jc w:val="both"/>
        <w:rPr>
          <w:kern w:val="2"/>
          <w:sz w:val="24"/>
          <w:szCs w:val="24"/>
          <w:lang w:val="en-US"/>
          <w14:ligatures w14:val="standardContextual"/>
        </w:rPr>
      </w:pPr>
    </w:p>
    <w:p w14:paraId="1F732F3F" w14:textId="77777777" w:rsidR="00D80693" w:rsidRPr="00677B3E" w:rsidRDefault="00D80693" w:rsidP="00D80693">
      <w:pPr>
        <w:tabs>
          <w:tab w:val="left" w:pos="1290"/>
        </w:tabs>
        <w:rPr>
          <w:b/>
          <w:bCs/>
          <w:kern w:val="2"/>
          <w:sz w:val="28"/>
          <w:szCs w:val="28"/>
          <w:lang w:val="en-US"/>
          <w14:ligatures w14:val="standardContextual"/>
        </w:rPr>
      </w:pPr>
    </w:p>
    <w:p w14:paraId="32ABC9D1" w14:textId="77777777" w:rsidR="007944D2" w:rsidRPr="001928FA" w:rsidRDefault="007944D2">
      <w:pPr>
        <w:rPr>
          <w:b/>
          <w:bCs/>
          <w:kern w:val="2"/>
          <w:sz w:val="28"/>
          <w:szCs w:val="28"/>
          <w:lang w:val="en-US"/>
          <w14:ligatures w14:val="standardContextual"/>
        </w:rPr>
      </w:pPr>
      <w:r w:rsidRPr="001928FA">
        <w:rPr>
          <w:b/>
          <w:bCs/>
          <w:kern w:val="2"/>
          <w:sz w:val="28"/>
          <w:szCs w:val="28"/>
          <w:lang w:val="en-US"/>
          <w14:ligatures w14:val="standardContextual"/>
        </w:rPr>
        <w:br w:type="page"/>
      </w:r>
    </w:p>
    <w:p w14:paraId="20E84740" w14:textId="10F56EE4" w:rsidR="00D80693" w:rsidRPr="005175EF" w:rsidRDefault="00D80693" w:rsidP="00D80693">
      <w:pPr>
        <w:tabs>
          <w:tab w:val="left" w:pos="1290"/>
        </w:tabs>
        <w:rPr>
          <w:b/>
          <w:bCs/>
          <w:kern w:val="2"/>
          <w:sz w:val="28"/>
          <w:szCs w:val="28"/>
          <w14:ligatures w14:val="standardContextual"/>
        </w:rPr>
      </w:pPr>
      <w:r w:rsidRPr="005175EF">
        <w:rPr>
          <w:b/>
          <w:bCs/>
          <w:kern w:val="2"/>
          <w:sz w:val="28"/>
          <w:szCs w:val="28"/>
          <w14:ligatures w14:val="standardContextual"/>
        </w:rPr>
        <w:t xml:space="preserve">Introduction </w:t>
      </w:r>
    </w:p>
    <w:p w14:paraId="0A02210B" w14:textId="77777777" w:rsidR="00D80693" w:rsidRDefault="00D80693" w:rsidP="007944D2">
      <w:pPr>
        <w:tabs>
          <w:tab w:val="left" w:pos="1290"/>
        </w:tabs>
        <w:spacing w:before="120"/>
        <w:jc w:val="both"/>
        <w:rPr>
          <w:kern w:val="2"/>
          <w:sz w:val="24"/>
          <w:szCs w:val="24"/>
          <w14:ligatures w14:val="standardContextual"/>
        </w:rPr>
      </w:pPr>
      <w:r w:rsidRPr="009309AA">
        <w:rPr>
          <w:kern w:val="2"/>
          <w:sz w:val="24"/>
          <w:szCs w:val="24"/>
          <w14:ligatures w14:val="standardContextual"/>
        </w:rPr>
        <w:t>Cette recherche est motivée par le souci d’évaluer l’efficacité d’une formation courte pour pallier le déficit d’enseignants qualifiés au Mali. En mesurant son impact sur les pratiques pédagogiques, elle vise à guider les politiques éducatives vers des solutions réalistes, améliorant ainsi la qualité des apprentissages dans un contexte de ressources limitées.</w:t>
      </w:r>
    </w:p>
    <w:p w14:paraId="0EBA5EB8" w14:textId="77777777" w:rsidR="00D80693" w:rsidRPr="00395F78"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 xml:space="preserve">Nous devons préciser que cette formation de trente (30) jours en Didactique des disciplines, ne s’inscrit pas dans un programme officiel du gouvernement malien. Elle est une initiative d’un groupement de promoteurs d’écoles privées qui, après avoir constaté des lacunes chez de nombreux enseignants </w:t>
      </w:r>
      <w:r w:rsidRPr="00395F78">
        <w:rPr>
          <w:kern w:val="2"/>
          <w:sz w:val="24"/>
          <w:szCs w:val="24"/>
          <w14:ligatures w14:val="standardContextual"/>
        </w:rPr>
        <w:t xml:space="preserve">intervenant </w:t>
      </w:r>
      <w:r>
        <w:rPr>
          <w:kern w:val="2"/>
          <w:sz w:val="24"/>
          <w:szCs w:val="24"/>
          <w14:ligatures w14:val="standardContextual"/>
        </w:rPr>
        <w:t xml:space="preserve">dans leurs écoles respectives, ont jugé nécessaire d’initier cette formation. Elle se tient chaque année depuis 2004 </w:t>
      </w:r>
      <w:r w:rsidRPr="00395F78">
        <w:rPr>
          <w:kern w:val="2"/>
          <w:sz w:val="24"/>
          <w:szCs w:val="24"/>
          <w14:ligatures w14:val="standardContextual"/>
        </w:rPr>
        <w:t>dans le même mois d’août, puisque ce mois correspond à la période des vacances scolaires.</w:t>
      </w:r>
    </w:p>
    <w:p w14:paraId="1ED06368"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 xml:space="preserve">Les cours de Didactique des disciplines sont dispensés par des enseignants expérimentés à l’endroit de ceux qui souhaitent embrasser une carrière dans le métier, à condition qu’ils aient un diplôme de base et qu’ils s’acquittent des frais de participation fixés à 10 000 FCFA/personne. Il faut noter que c’est le niveau Diplôme d’Études Fondamentales (DEF) qui est exigé. Le DEF étant le diplôme qui sanctionne le cycle fondamental et prépare </w:t>
      </w:r>
      <w:r w:rsidRPr="00395F78">
        <w:rPr>
          <w:kern w:val="2"/>
          <w:sz w:val="24"/>
          <w:szCs w:val="24"/>
          <w14:ligatures w14:val="standardContextual"/>
        </w:rPr>
        <w:t>l’accès</w:t>
      </w:r>
      <w:r>
        <w:rPr>
          <w:kern w:val="2"/>
          <w:sz w:val="24"/>
          <w:szCs w:val="24"/>
          <w14:ligatures w14:val="standardContextual"/>
        </w:rPr>
        <w:t xml:space="preserve"> au lycée au Mali, c’est autrement dit le certificat de fin du collège.</w:t>
      </w:r>
    </w:p>
    <w:p w14:paraId="3B8246DA"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Les cours se déroulent durant trente (30) jours pendant lesquels, les encadreurs expliquent en théorie et en pratique, les différentes méthodologies d’enseignement de toutes les disciplines enseignées au fondamental (les fiches de préparation, les leçons modèles, la manière de tenir les outils pédagogiques, la gestion du temps, les modes d’évaluation, etc.). A la fin de la formation, une attestation de participation est délivrée à chaque auditeur, souvent en présence des autorités éducatives, notamment le directeur du Centre d’Animation Pédagogique (CAP</w:t>
      </w:r>
      <w:r>
        <w:rPr>
          <w:kern w:val="2"/>
          <w:sz w:val="24"/>
          <w:szCs w:val="24"/>
          <w:vertAlign w:val="superscript"/>
          <w14:ligatures w14:val="standardContextual"/>
        </w:rPr>
        <w:footnoteReference w:id="18"/>
      </w:r>
      <w:r>
        <w:rPr>
          <w:kern w:val="2"/>
          <w:sz w:val="24"/>
          <w:szCs w:val="24"/>
          <w14:ligatures w14:val="standardContextual"/>
        </w:rPr>
        <w:t>).</w:t>
      </w:r>
    </w:p>
    <w:p w14:paraId="0FE4EA45" w14:textId="77777777" w:rsidR="00D80693" w:rsidRPr="00332DF6"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Si de nos jours, la pratique est élargie à plusieurs localités, dans le cadre de cette étude, nous nous intéressons spécifiquement à celle qui se tient à l’école fondamentale « </w:t>
      </w:r>
      <w:r w:rsidRPr="00D20B82">
        <w:rPr>
          <w:i/>
          <w:iCs/>
          <w:kern w:val="2"/>
          <w:sz w:val="24"/>
          <w:szCs w:val="24"/>
          <w14:ligatures w14:val="standardContextual"/>
        </w:rPr>
        <w:t>Mamadou Kounta</w:t>
      </w:r>
      <w:r>
        <w:rPr>
          <w:kern w:val="2"/>
          <w:sz w:val="24"/>
          <w:szCs w:val="24"/>
          <w14:ligatures w14:val="standardContextual"/>
        </w:rPr>
        <w:t xml:space="preserve"> » de </w:t>
      </w:r>
      <w:proofErr w:type="spellStart"/>
      <w:r>
        <w:rPr>
          <w:kern w:val="2"/>
          <w:sz w:val="24"/>
          <w:szCs w:val="24"/>
          <w14:ligatures w14:val="standardContextual"/>
        </w:rPr>
        <w:t>Kalaban-coro</w:t>
      </w:r>
      <w:proofErr w:type="spellEnd"/>
      <w:r>
        <w:rPr>
          <w:kern w:val="2"/>
          <w:sz w:val="24"/>
          <w:szCs w:val="24"/>
          <w14:ligatures w14:val="standardContextual"/>
        </w:rPr>
        <w:t>/Bamako, d’où l’</w:t>
      </w:r>
      <w:r w:rsidRPr="009309AA">
        <w:rPr>
          <w:kern w:val="2"/>
          <w:sz w:val="24"/>
          <w:szCs w:val="24"/>
          <w14:ligatures w14:val="standardContextual"/>
        </w:rPr>
        <w:t>objectif général d’évaluer l’impact spécifique d’une formation de 30 jours</w:t>
      </w:r>
      <w:r>
        <w:rPr>
          <w:kern w:val="2"/>
          <w:sz w:val="24"/>
          <w:szCs w:val="24"/>
          <w14:ligatures w14:val="standardContextual"/>
        </w:rPr>
        <w:t xml:space="preserve"> </w:t>
      </w:r>
      <w:r w:rsidRPr="009309AA">
        <w:rPr>
          <w:kern w:val="2"/>
          <w:sz w:val="24"/>
          <w:szCs w:val="24"/>
          <w14:ligatures w14:val="standardContextual"/>
        </w:rPr>
        <w:t>sur</w:t>
      </w:r>
      <w:r>
        <w:rPr>
          <w:kern w:val="2"/>
          <w:sz w:val="24"/>
          <w:szCs w:val="24"/>
          <w14:ligatures w14:val="standardContextual"/>
        </w:rPr>
        <w:t xml:space="preserve"> les pratiques de classe (des enseignants formés).</w:t>
      </w:r>
    </w:p>
    <w:p w14:paraId="5BFC2112" w14:textId="77777777" w:rsidR="00D80693" w:rsidRPr="00332DF6"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C</w:t>
      </w:r>
      <w:r w:rsidRPr="00332DF6">
        <w:rPr>
          <w:kern w:val="2"/>
          <w:sz w:val="24"/>
          <w:szCs w:val="24"/>
          <w14:ligatures w14:val="standardContextual"/>
        </w:rPr>
        <w:t xml:space="preserve">omme de nombreux pays d’Afrique subsaharienne, </w:t>
      </w:r>
      <w:r w:rsidRPr="00395F78">
        <w:rPr>
          <w:kern w:val="2"/>
          <w:sz w:val="24"/>
          <w:szCs w:val="24"/>
          <w14:ligatures w14:val="standardContextual"/>
        </w:rPr>
        <w:t>le Mali</w:t>
      </w:r>
      <w:r>
        <w:rPr>
          <w:kern w:val="2"/>
          <w:sz w:val="24"/>
          <w:szCs w:val="24"/>
          <w14:ligatures w14:val="standardContextual"/>
        </w:rPr>
        <w:t xml:space="preserve"> </w:t>
      </w:r>
      <w:r w:rsidRPr="00332DF6">
        <w:rPr>
          <w:kern w:val="2"/>
          <w:sz w:val="24"/>
          <w:szCs w:val="24"/>
          <w14:ligatures w14:val="standardContextual"/>
        </w:rPr>
        <w:t>fait face à une pénurie critique d’enseignants qualifiés, exacerbée par des facteurs tels que le recrutement massif d’enseignants contractuels non formés, les crises politiques et la faible attractivité du métier (Konaté &amp; Diarra, 2020 ; Sissoko &amp; Ba, 2021). Selon les études, plus de 40 % des enseignants maliens n’ont pas bénéficié d’une formation initiale adéquate, ce qui compromet la qualité des apprentissages (Diakité, 2022 ; Diallo, 2020). Face à ce défi, des formations qualifiantes de courte durée (20 à 30 jours) ont été mises en œuvre pour renforcer leurs compétences pédagogiques. Toutefois, leur efficacité reste un sujet de débat.</w:t>
      </w:r>
    </w:p>
    <w:p w14:paraId="728D9EBB" w14:textId="77777777" w:rsidR="00D80693" w:rsidRPr="00332DF6" w:rsidRDefault="00D80693" w:rsidP="007944D2">
      <w:pPr>
        <w:tabs>
          <w:tab w:val="left" w:pos="1290"/>
        </w:tabs>
        <w:spacing w:before="120"/>
        <w:jc w:val="both"/>
        <w:rPr>
          <w:kern w:val="2"/>
          <w:sz w:val="24"/>
          <w:szCs w:val="24"/>
          <w14:ligatures w14:val="standardContextual"/>
        </w:rPr>
      </w:pPr>
      <w:r w:rsidRPr="009309AA">
        <w:rPr>
          <w:kern w:val="2"/>
          <w:sz w:val="24"/>
          <w:szCs w:val="24"/>
          <w14:ligatures w14:val="standardContextual"/>
        </w:rPr>
        <w:t>Selon l</w:t>
      </w:r>
      <w:r w:rsidRPr="00332DF6">
        <w:rPr>
          <w:kern w:val="2"/>
          <w:sz w:val="24"/>
          <w:szCs w:val="24"/>
          <w14:ligatures w14:val="standardContextual"/>
        </w:rPr>
        <w:t>a littérature sur le déficit d’enseignants qualifiés et l’impact des formations courtes au Mali</w:t>
      </w:r>
      <w:r w:rsidRPr="009309AA">
        <w:rPr>
          <w:kern w:val="2"/>
          <w:sz w:val="24"/>
          <w:szCs w:val="24"/>
          <w14:ligatures w14:val="standardContextual"/>
        </w:rPr>
        <w:t>, notamment l’i</w:t>
      </w:r>
      <w:r w:rsidRPr="00332DF6">
        <w:rPr>
          <w:kern w:val="2"/>
          <w:sz w:val="24"/>
          <w:szCs w:val="24"/>
          <w14:ligatures w14:val="standardContextual"/>
        </w:rPr>
        <w:t>mpact des formations courtes en didactique</w:t>
      </w:r>
      <w:r w:rsidRPr="009309AA">
        <w:rPr>
          <w:kern w:val="2"/>
          <w:sz w:val="24"/>
          <w:szCs w:val="24"/>
          <w14:ligatures w14:val="standardContextual"/>
        </w:rPr>
        <w:t>, p</w:t>
      </w:r>
      <w:r w:rsidRPr="00332DF6">
        <w:rPr>
          <w:kern w:val="2"/>
          <w:sz w:val="24"/>
          <w:szCs w:val="24"/>
          <w14:ligatures w14:val="standardContextual"/>
        </w:rPr>
        <w:t xml:space="preserve">lusieurs recherches soulignent que ces formations intensives ont des effets positifs, bien que limités. Elles améliorent </w:t>
      </w:r>
      <w:r w:rsidRPr="009309AA">
        <w:rPr>
          <w:kern w:val="2"/>
          <w:sz w:val="24"/>
          <w:szCs w:val="24"/>
          <w14:ligatures w14:val="standardContextual"/>
        </w:rPr>
        <w:t>plus précisément d’abord, l</w:t>
      </w:r>
      <w:r w:rsidRPr="00332DF6">
        <w:rPr>
          <w:kern w:val="2"/>
          <w:sz w:val="24"/>
          <w:szCs w:val="24"/>
          <w14:ligatures w14:val="standardContextual"/>
        </w:rPr>
        <w:t>a gestion de classe et l’utilisation de méthodes actives (Coulibaly et al., 2017 ; Touré &amp; Keïta, 2018)</w:t>
      </w:r>
      <w:r w:rsidRPr="009309AA">
        <w:rPr>
          <w:kern w:val="2"/>
          <w:sz w:val="24"/>
          <w:szCs w:val="24"/>
          <w14:ligatures w14:val="standardContextual"/>
        </w:rPr>
        <w:t>, ensuite l</w:t>
      </w:r>
      <w:r w:rsidRPr="00332DF6">
        <w:rPr>
          <w:kern w:val="2"/>
          <w:sz w:val="24"/>
          <w:szCs w:val="24"/>
          <w14:ligatures w14:val="standardContextual"/>
        </w:rPr>
        <w:t>a motivation des enseignants, perçues comme une forme de reconnaissance professionnelle (</w:t>
      </w:r>
      <w:proofErr w:type="spellStart"/>
      <w:r w:rsidRPr="00332DF6">
        <w:rPr>
          <w:kern w:val="2"/>
          <w:sz w:val="24"/>
          <w:szCs w:val="24"/>
          <w14:ligatures w14:val="standardContextual"/>
        </w:rPr>
        <w:t>Maïga</w:t>
      </w:r>
      <w:proofErr w:type="spellEnd"/>
      <w:r w:rsidRPr="00332DF6">
        <w:rPr>
          <w:kern w:val="2"/>
          <w:sz w:val="24"/>
          <w:szCs w:val="24"/>
          <w14:ligatures w14:val="standardContextual"/>
        </w:rPr>
        <w:t>, 2019)</w:t>
      </w:r>
      <w:r w:rsidRPr="009309AA">
        <w:rPr>
          <w:kern w:val="2"/>
          <w:sz w:val="24"/>
          <w:szCs w:val="24"/>
          <w14:ligatures w14:val="standardContextual"/>
        </w:rPr>
        <w:t xml:space="preserve"> et l</w:t>
      </w:r>
      <w:r w:rsidRPr="00332DF6">
        <w:rPr>
          <w:kern w:val="2"/>
          <w:sz w:val="24"/>
          <w:szCs w:val="24"/>
          <w14:ligatures w14:val="standardContextual"/>
        </w:rPr>
        <w:t>a confiance en soi des enseignants, même si les compétences techniques restent fragiles (Doumbia, 2021).</w:t>
      </w:r>
    </w:p>
    <w:p w14:paraId="3E0F5B0D" w14:textId="77777777" w:rsidR="00D80693" w:rsidRPr="00332DF6" w:rsidRDefault="00D80693" w:rsidP="007944D2">
      <w:pPr>
        <w:tabs>
          <w:tab w:val="left" w:pos="1290"/>
        </w:tabs>
        <w:spacing w:before="120"/>
        <w:jc w:val="both"/>
        <w:rPr>
          <w:kern w:val="2"/>
          <w:sz w:val="24"/>
          <w:szCs w:val="24"/>
          <w14:ligatures w14:val="standardContextual"/>
        </w:rPr>
      </w:pPr>
      <w:r w:rsidRPr="00332DF6">
        <w:rPr>
          <w:kern w:val="2"/>
          <w:sz w:val="24"/>
          <w:szCs w:val="24"/>
          <w14:ligatures w14:val="standardContextual"/>
        </w:rPr>
        <w:t>Cependant, leur impact est atténué par plusieurs obstacles</w:t>
      </w:r>
      <w:r w:rsidRPr="009309AA">
        <w:rPr>
          <w:kern w:val="2"/>
          <w:sz w:val="24"/>
          <w:szCs w:val="24"/>
          <w14:ligatures w14:val="standardContextual"/>
        </w:rPr>
        <w:t xml:space="preserve"> parmi lesquels,</w:t>
      </w:r>
      <w:r>
        <w:rPr>
          <w:kern w:val="2"/>
          <w:sz w:val="24"/>
          <w:szCs w:val="24"/>
          <w14:ligatures w14:val="standardContextual"/>
        </w:rPr>
        <w:t xml:space="preserve"> </w:t>
      </w:r>
      <w:r w:rsidRPr="009309AA">
        <w:rPr>
          <w:kern w:val="2"/>
          <w:sz w:val="24"/>
          <w:szCs w:val="24"/>
          <w14:ligatures w14:val="standardContextual"/>
        </w:rPr>
        <w:t>l</w:t>
      </w:r>
      <w:r w:rsidRPr="00332DF6">
        <w:rPr>
          <w:kern w:val="2"/>
          <w:sz w:val="24"/>
          <w:szCs w:val="24"/>
          <w14:ligatures w14:val="standardContextual"/>
        </w:rPr>
        <w:t>e manque de suivi post-formation, conduisant à une érosion des compétences acquises (Traoré et al., 2019)</w:t>
      </w:r>
      <w:r w:rsidRPr="009309AA">
        <w:rPr>
          <w:kern w:val="2"/>
          <w:sz w:val="24"/>
          <w:szCs w:val="24"/>
          <w14:ligatures w14:val="standardContextual"/>
        </w:rPr>
        <w:t>, l</w:t>
      </w:r>
      <w:r w:rsidRPr="00332DF6">
        <w:rPr>
          <w:kern w:val="2"/>
          <w:sz w:val="24"/>
          <w:szCs w:val="24"/>
          <w14:ligatures w14:val="standardContextual"/>
        </w:rPr>
        <w:t>es conditions matérielles difficiles (salles surchargées, manque de manuels) qui limitent la mise en pratique (</w:t>
      </w:r>
      <w:proofErr w:type="spellStart"/>
      <w:r w:rsidRPr="00332DF6">
        <w:rPr>
          <w:kern w:val="2"/>
          <w:sz w:val="24"/>
          <w:szCs w:val="24"/>
          <w14:ligatures w14:val="standardContextual"/>
        </w:rPr>
        <w:t>N’Diaye</w:t>
      </w:r>
      <w:proofErr w:type="spellEnd"/>
      <w:r w:rsidRPr="00332DF6">
        <w:rPr>
          <w:kern w:val="2"/>
          <w:sz w:val="24"/>
          <w:szCs w:val="24"/>
          <w14:ligatures w14:val="standardContextual"/>
        </w:rPr>
        <w:t xml:space="preserve"> &amp; Traoré, 2023)</w:t>
      </w:r>
      <w:r w:rsidRPr="009309AA">
        <w:rPr>
          <w:kern w:val="2"/>
          <w:sz w:val="24"/>
          <w:szCs w:val="24"/>
          <w14:ligatures w14:val="standardContextual"/>
        </w:rPr>
        <w:t>. Il faut également noter l</w:t>
      </w:r>
      <w:r w:rsidRPr="00332DF6">
        <w:rPr>
          <w:kern w:val="2"/>
          <w:sz w:val="24"/>
          <w:szCs w:val="24"/>
          <w14:ligatures w14:val="standardContextual"/>
        </w:rPr>
        <w:t xml:space="preserve">’hétérogénéité des besoins, </w:t>
      </w:r>
      <w:r w:rsidRPr="009309AA">
        <w:rPr>
          <w:kern w:val="2"/>
          <w:sz w:val="24"/>
          <w:szCs w:val="24"/>
          <w14:ligatures w14:val="standardContextual"/>
        </w:rPr>
        <w:t xml:space="preserve">puisque </w:t>
      </w:r>
      <w:r w:rsidRPr="00332DF6">
        <w:rPr>
          <w:kern w:val="2"/>
          <w:sz w:val="24"/>
          <w:szCs w:val="24"/>
          <w14:ligatures w14:val="standardContextual"/>
        </w:rPr>
        <w:t xml:space="preserve">certaines disciplines (comme les mathématiques) </w:t>
      </w:r>
      <w:r w:rsidRPr="00395F78">
        <w:rPr>
          <w:kern w:val="2"/>
          <w:sz w:val="24"/>
          <w:szCs w:val="24"/>
          <w14:ligatures w14:val="standardContextual"/>
        </w:rPr>
        <w:t>nécessitent</w:t>
      </w:r>
      <w:r w:rsidRPr="003E48BB">
        <w:rPr>
          <w:kern w:val="2"/>
          <w:sz w:val="24"/>
          <w:szCs w:val="24"/>
          <w14:ligatures w14:val="standardContextual"/>
        </w:rPr>
        <w:t xml:space="preserve"> </w:t>
      </w:r>
      <w:r w:rsidRPr="00332DF6">
        <w:rPr>
          <w:kern w:val="2"/>
          <w:sz w:val="24"/>
          <w:szCs w:val="24"/>
          <w14:ligatures w14:val="standardContextual"/>
        </w:rPr>
        <w:t>des approches plus approfondies (Coulibaly et al., 2017).</w:t>
      </w:r>
    </w:p>
    <w:p w14:paraId="6E24E9F2" w14:textId="77777777" w:rsidR="00D80693" w:rsidRPr="00332DF6" w:rsidRDefault="00D80693" w:rsidP="007944D2">
      <w:pPr>
        <w:tabs>
          <w:tab w:val="left" w:pos="1290"/>
        </w:tabs>
        <w:spacing w:before="120"/>
        <w:jc w:val="both"/>
        <w:rPr>
          <w:kern w:val="2"/>
          <w:sz w:val="24"/>
          <w:szCs w:val="24"/>
          <w14:ligatures w14:val="standardContextual"/>
        </w:rPr>
      </w:pPr>
      <w:r w:rsidRPr="00332DF6">
        <w:rPr>
          <w:kern w:val="2"/>
          <w:sz w:val="24"/>
          <w:szCs w:val="24"/>
          <w14:ligatures w14:val="standardContextual"/>
        </w:rPr>
        <w:t>Si les formations de 30 jours constituent une réponse pragmatique à l’urgence éducative, elles ne sauraient remplacer une réforme structurelle de la formation initiale (Diallo, 2020).</w:t>
      </w:r>
      <w:r w:rsidRPr="009309AA">
        <w:rPr>
          <w:kern w:val="2"/>
          <w:sz w:val="24"/>
          <w:szCs w:val="24"/>
          <w14:ligatures w14:val="standardContextual"/>
        </w:rPr>
        <w:t xml:space="preserve"> C’est pourquoi, </w:t>
      </w:r>
      <w:r w:rsidRPr="00332DF6">
        <w:rPr>
          <w:kern w:val="2"/>
          <w:sz w:val="24"/>
          <w:szCs w:val="24"/>
          <w14:ligatures w14:val="standardContextual"/>
        </w:rPr>
        <w:t>Sissoko &amp; Ba</w:t>
      </w:r>
      <w:r w:rsidRPr="009309AA">
        <w:rPr>
          <w:kern w:val="2"/>
          <w:sz w:val="24"/>
          <w:szCs w:val="24"/>
          <w14:ligatures w14:val="standardContextual"/>
        </w:rPr>
        <w:t xml:space="preserve"> (</w:t>
      </w:r>
      <w:r w:rsidRPr="00332DF6">
        <w:rPr>
          <w:kern w:val="2"/>
          <w:sz w:val="24"/>
          <w:szCs w:val="24"/>
          <w14:ligatures w14:val="standardContextual"/>
        </w:rPr>
        <w:t xml:space="preserve">2021) recommandent </w:t>
      </w:r>
      <w:r w:rsidRPr="009309AA">
        <w:rPr>
          <w:kern w:val="2"/>
          <w:sz w:val="24"/>
          <w:szCs w:val="24"/>
          <w14:ligatures w14:val="standardContextual"/>
        </w:rPr>
        <w:t xml:space="preserve">d’une part, </w:t>
      </w:r>
      <w:r w:rsidRPr="00332DF6">
        <w:rPr>
          <w:kern w:val="2"/>
          <w:sz w:val="24"/>
          <w:szCs w:val="24"/>
          <w14:ligatures w14:val="standardContextual"/>
        </w:rPr>
        <w:t>de</w:t>
      </w:r>
      <w:r w:rsidRPr="009309AA">
        <w:rPr>
          <w:kern w:val="2"/>
          <w:sz w:val="24"/>
          <w:szCs w:val="24"/>
          <w14:ligatures w14:val="standardContextual"/>
        </w:rPr>
        <w:t xml:space="preserve"> c</w:t>
      </w:r>
      <w:r w:rsidRPr="00332DF6">
        <w:rPr>
          <w:kern w:val="2"/>
          <w:sz w:val="24"/>
          <w:szCs w:val="24"/>
          <w14:ligatures w14:val="standardContextual"/>
        </w:rPr>
        <w:t>ombiner formations courtes et mentorat pour un accompagnement durable</w:t>
      </w:r>
      <w:r w:rsidRPr="009309AA">
        <w:rPr>
          <w:kern w:val="2"/>
          <w:sz w:val="24"/>
          <w:szCs w:val="24"/>
          <w14:ligatures w14:val="standardContextual"/>
        </w:rPr>
        <w:t>, d’autre part, d’a</w:t>
      </w:r>
      <w:r w:rsidRPr="00332DF6">
        <w:rPr>
          <w:kern w:val="2"/>
          <w:sz w:val="24"/>
          <w:szCs w:val="24"/>
          <w14:ligatures w14:val="standardContextual"/>
        </w:rPr>
        <w:t>dapter les contenus aux réalités locales (classes multigrades, ressources limitées)</w:t>
      </w:r>
      <w:r w:rsidRPr="009309AA">
        <w:rPr>
          <w:kern w:val="2"/>
          <w:sz w:val="24"/>
          <w:szCs w:val="24"/>
          <w14:ligatures w14:val="standardContextual"/>
        </w:rPr>
        <w:t xml:space="preserve">. Quant à </w:t>
      </w:r>
      <w:proofErr w:type="spellStart"/>
      <w:r w:rsidRPr="00332DF6">
        <w:rPr>
          <w:kern w:val="2"/>
          <w:sz w:val="24"/>
          <w:szCs w:val="24"/>
          <w14:ligatures w14:val="standardContextual"/>
        </w:rPr>
        <w:t>N’Diaye</w:t>
      </w:r>
      <w:proofErr w:type="spellEnd"/>
      <w:r w:rsidRPr="00332DF6">
        <w:rPr>
          <w:kern w:val="2"/>
          <w:sz w:val="24"/>
          <w:szCs w:val="24"/>
          <w14:ligatures w14:val="standardContextual"/>
        </w:rPr>
        <w:t xml:space="preserve"> &amp; Traoré</w:t>
      </w:r>
      <w:r w:rsidRPr="009309AA">
        <w:rPr>
          <w:kern w:val="2"/>
          <w:sz w:val="24"/>
          <w:szCs w:val="24"/>
          <w14:ligatures w14:val="standardContextual"/>
        </w:rPr>
        <w:t xml:space="preserve"> (</w:t>
      </w:r>
      <w:r w:rsidRPr="00332DF6">
        <w:rPr>
          <w:kern w:val="2"/>
          <w:sz w:val="24"/>
          <w:szCs w:val="24"/>
          <w14:ligatures w14:val="standardContextual"/>
        </w:rPr>
        <w:t>2023)</w:t>
      </w:r>
      <w:r w:rsidRPr="009309AA">
        <w:rPr>
          <w:kern w:val="2"/>
          <w:sz w:val="24"/>
          <w:szCs w:val="24"/>
          <w14:ligatures w14:val="standardContextual"/>
        </w:rPr>
        <w:t>, ils préconisent de c</w:t>
      </w:r>
      <w:r w:rsidRPr="00332DF6">
        <w:rPr>
          <w:kern w:val="2"/>
          <w:sz w:val="24"/>
          <w:szCs w:val="24"/>
          <w14:ligatures w14:val="standardContextual"/>
        </w:rPr>
        <w:t>ibler des compétences précises (évaluation, pédagogie différenciée) plutôt que des approches trop généralistes</w:t>
      </w:r>
      <w:r w:rsidRPr="009309AA">
        <w:rPr>
          <w:kern w:val="2"/>
          <w:sz w:val="24"/>
          <w:szCs w:val="24"/>
          <w14:ligatures w14:val="standardContextual"/>
        </w:rPr>
        <w:t>.</w:t>
      </w:r>
    </w:p>
    <w:p w14:paraId="192FDC28" w14:textId="77777777" w:rsidR="00D80693" w:rsidRDefault="00D80693" w:rsidP="007944D2">
      <w:pPr>
        <w:tabs>
          <w:tab w:val="left" w:pos="1290"/>
        </w:tabs>
        <w:spacing w:before="120"/>
        <w:jc w:val="both"/>
        <w:rPr>
          <w:kern w:val="2"/>
          <w:sz w:val="24"/>
          <w:szCs w:val="24"/>
          <w14:ligatures w14:val="standardContextual"/>
        </w:rPr>
      </w:pPr>
      <w:r w:rsidRPr="00332DF6">
        <w:rPr>
          <w:kern w:val="2"/>
          <w:sz w:val="24"/>
          <w:szCs w:val="24"/>
          <w14:ligatures w14:val="standardContextual"/>
        </w:rPr>
        <w:t>Les formations qualifiantes de courte durée représentent une solution transitoire pertinente dans un contexte de pénurie d’enseignants qualifiés.</w:t>
      </w:r>
      <w:r w:rsidRPr="009309AA">
        <w:rPr>
          <w:kern w:val="2"/>
          <w:sz w:val="24"/>
          <w:szCs w:val="24"/>
          <w14:ligatures w14:val="standardContextual"/>
        </w:rPr>
        <w:t xml:space="preserve"> Nous estimons que l</w:t>
      </w:r>
      <w:r w:rsidRPr="00332DF6">
        <w:rPr>
          <w:kern w:val="2"/>
          <w:sz w:val="24"/>
          <w:szCs w:val="24"/>
          <w14:ligatures w14:val="standardContextual"/>
        </w:rPr>
        <w:t>eur efficacité dépend toutefois de leur articulation avec des dispositifs de suivi et d’un renforcement simultané des politiques éducatives. Des recherches supplémentaires sont nécessaires pour évaluer leur impact à moyen terme, notamment sur les résultats des élèves.</w:t>
      </w:r>
    </w:p>
    <w:p w14:paraId="5C1DAC18" w14:textId="77777777" w:rsidR="00D80693" w:rsidRPr="00521ACC" w:rsidRDefault="00D80693" w:rsidP="007944D2">
      <w:pPr>
        <w:pStyle w:val="Paragraphedeliste"/>
        <w:widowControl/>
        <w:numPr>
          <w:ilvl w:val="0"/>
          <w:numId w:val="158"/>
        </w:numPr>
        <w:tabs>
          <w:tab w:val="left" w:pos="1290"/>
        </w:tabs>
        <w:autoSpaceDE/>
        <w:autoSpaceDN/>
        <w:spacing w:after="160"/>
        <w:contextualSpacing/>
        <w:rPr>
          <w:b/>
          <w:bCs/>
          <w:kern w:val="2"/>
          <w:sz w:val="28"/>
          <w:szCs w:val="28"/>
          <w14:ligatures w14:val="standardContextual"/>
        </w:rPr>
      </w:pPr>
      <w:r w:rsidRPr="00521ACC">
        <w:rPr>
          <w:b/>
          <w:bCs/>
          <w:kern w:val="2"/>
          <w:sz w:val="28"/>
          <w:szCs w:val="28"/>
          <w14:ligatures w14:val="standardContextual"/>
        </w:rPr>
        <w:t>Cadre théorique</w:t>
      </w:r>
    </w:p>
    <w:p w14:paraId="795FEC15" w14:textId="77777777" w:rsidR="00D80693" w:rsidRDefault="00D80693" w:rsidP="007944D2">
      <w:pPr>
        <w:tabs>
          <w:tab w:val="left" w:pos="1290"/>
        </w:tabs>
        <w:spacing w:before="120"/>
        <w:jc w:val="both"/>
        <w:rPr>
          <w:kern w:val="2"/>
          <w:sz w:val="24"/>
          <w:szCs w:val="24"/>
          <w14:ligatures w14:val="standardContextual"/>
        </w:rPr>
      </w:pPr>
      <w:r w:rsidRPr="009C4DC6">
        <w:rPr>
          <w:kern w:val="2"/>
          <w:sz w:val="24"/>
          <w:szCs w:val="24"/>
          <w14:ligatures w14:val="standardContextual"/>
        </w:rPr>
        <w:t>Cette étude s’appuie sur cinq théories complémentaires pour analyser l’impact des formations courtes en didactique</w:t>
      </w:r>
      <w:r>
        <w:rPr>
          <w:kern w:val="2"/>
          <w:sz w:val="24"/>
          <w:szCs w:val="24"/>
          <w14:ligatures w14:val="standardContextual"/>
        </w:rPr>
        <w:t> :</w:t>
      </w:r>
    </w:p>
    <w:p w14:paraId="6FF0D9E3" w14:textId="77777777" w:rsidR="00D80693" w:rsidRPr="00AB5D05" w:rsidRDefault="00D80693" w:rsidP="007944D2">
      <w:pPr>
        <w:pStyle w:val="Paragraphedeliste"/>
        <w:widowControl/>
        <w:numPr>
          <w:ilvl w:val="0"/>
          <w:numId w:val="159"/>
        </w:numPr>
        <w:tabs>
          <w:tab w:val="left" w:pos="1290"/>
        </w:tabs>
        <w:autoSpaceDE/>
        <w:autoSpaceDN/>
        <w:spacing w:after="160"/>
        <w:contextualSpacing/>
        <w:rPr>
          <w:kern w:val="2"/>
          <w:sz w:val="24"/>
          <w:szCs w:val="24"/>
          <w14:ligatures w14:val="standardContextual"/>
        </w:rPr>
      </w:pPr>
      <w:r w:rsidRPr="00AB5D05">
        <w:rPr>
          <w:b/>
          <w:bCs/>
          <w:kern w:val="2"/>
          <w:sz w:val="24"/>
          <w:szCs w:val="24"/>
          <w14:ligatures w14:val="standardContextual"/>
        </w:rPr>
        <w:t>Théorie de l'apprentissage transformateur (</w:t>
      </w:r>
      <w:proofErr w:type="spellStart"/>
      <w:r w:rsidRPr="00AB5D05">
        <w:rPr>
          <w:b/>
          <w:bCs/>
          <w:kern w:val="2"/>
          <w:sz w:val="24"/>
          <w:szCs w:val="24"/>
          <w14:ligatures w14:val="standardContextual"/>
        </w:rPr>
        <w:t>Mezirow</w:t>
      </w:r>
      <w:proofErr w:type="spellEnd"/>
      <w:r w:rsidRPr="00AB5D05">
        <w:rPr>
          <w:b/>
          <w:bCs/>
          <w:kern w:val="2"/>
          <w:sz w:val="24"/>
          <w:szCs w:val="24"/>
          <w14:ligatures w14:val="standardContextual"/>
        </w:rPr>
        <w:t>, 1991)</w:t>
      </w:r>
    </w:p>
    <w:p w14:paraId="05E3C7D7" w14:textId="77777777" w:rsidR="00D80693" w:rsidRPr="00AB5D05" w:rsidRDefault="00D80693" w:rsidP="007944D2">
      <w:pPr>
        <w:tabs>
          <w:tab w:val="left" w:pos="1290"/>
        </w:tabs>
        <w:spacing w:before="120"/>
        <w:jc w:val="both"/>
        <w:rPr>
          <w:kern w:val="2"/>
          <w:sz w:val="24"/>
          <w:szCs w:val="24"/>
          <w14:ligatures w14:val="standardContextual"/>
        </w:rPr>
      </w:pPr>
      <w:r w:rsidRPr="00985FF8">
        <w:rPr>
          <w:kern w:val="2"/>
          <w:sz w:val="24"/>
          <w:szCs w:val="24"/>
          <w14:ligatures w14:val="standardContextual"/>
        </w:rPr>
        <w:t>Proposée par Jack Mezirow</w:t>
      </w:r>
      <w:r w:rsidRPr="00AB5D05">
        <w:rPr>
          <w:kern w:val="2"/>
          <w:sz w:val="24"/>
          <w:szCs w:val="24"/>
          <w14:ligatures w14:val="standardContextual"/>
        </w:rPr>
        <w:t xml:space="preserve"> (</w:t>
      </w:r>
      <w:r w:rsidRPr="009C4DC6">
        <w:rPr>
          <w:kern w:val="2"/>
          <w:sz w:val="24"/>
          <w:szCs w:val="24"/>
          <w14:ligatures w14:val="standardContextual"/>
        </w:rPr>
        <w:t>1991</w:t>
      </w:r>
      <w:r w:rsidRPr="00AB5D05">
        <w:rPr>
          <w:kern w:val="2"/>
          <w:sz w:val="24"/>
          <w:szCs w:val="24"/>
          <w14:ligatures w14:val="standardContextual"/>
        </w:rPr>
        <w:t>)</w:t>
      </w:r>
      <w:r w:rsidRPr="00985FF8">
        <w:rPr>
          <w:kern w:val="2"/>
          <w:sz w:val="24"/>
          <w:szCs w:val="24"/>
          <w14:ligatures w14:val="standardContextual"/>
        </w:rPr>
        <w:t>, cette théorie postule que l'apprentissage adulte passe par une remise en question des schémas de pensée existants (cadres de référence) pour aboutir à une transformation profonde. Elle distingue</w:t>
      </w:r>
      <w:r w:rsidRPr="00AB5D05">
        <w:rPr>
          <w:kern w:val="2"/>
          <w:sz w:val="24"/>
          <w:szCs w:val="24"/>
          <w14:ligatures w14:val="standardContextual"/>
        </w:rPr>
        <w:t xml:space="preserve"> l’a</w:t>
      </w:r>
      <w:r w:rsidRPr="00985FF8">
        <w:rPr>
          <w:kern w:val="2"/>
          <w:sz w:val="24"/>
          <w:szCs w:val="24"/>
          <w14:ligatures w14:val="standardContextual"/>
        </w:rPr>
        <w:t>pprentissage instrumental (acquisition de compétences techniques)</w:t>
      </w:r>
      <w:r w:rsidRPr="00AB5D05">
        <w:rPr>
          <w:kern w:val="2"/>
          <w:sz w:val="24"/>
          <w:szCs w:val="24"/>
          <w14:ligatures w14:val="standardContextual"/>
        </w:rPr>
        <w:t xml:space="preserve"> et l’a</w:t>
      </w:r>
      <w:r w:rsidRPr="00985FF8">
        <w:rPr>
          <w:kern w:val="2"/>
          <w:sz w:val="24"/>
          <w:szCs w:val="24"/>
          <w14:ligatures w14:val="standardContextual"/>
        </w:rPr>
        <w:t>pprentissage transformateur (changement des perspectives et croyances)</w:t>
      </w:r>
      <w:r w:rsidRPr="00AB5D05">
        <w:rPr>
          <w:kern w:val="2"/>
          <w:sz w:val="24"/>
          <w:szCs w:val="24"/>
          <w14:ligatures w14:val="standardContextual"/>
        </w:rPr>
        <w:t>.</w:t>
      </w:r>
    </w:p>
    <w:p w14:paraId="0E7625A7" w14:textId="77777777" w:rsidR="00D80693" w:rsidRPr="00AB5D05" w:rsidRDefault="00D80693" w:rsidP="007944D2">
      <w:pPr>
        <w:tabs>
          <w:tab w:val="left" w:pos="1290"/>
        </w:tabs>
        <w:spacing w:before="120"/>
        <w:jc w:val="both"/>
        <w:rPr>
          <w:kern w:val="2"/>
          <w:sz w:val="24"/>
          <w:szCs w:val="24"/>
          <w14:ligatures w14:val="standardContextual"/>
        </w:rPr>
      </w:pPr>
      <w:r w:rsidRPr="009C4DC6">
        <w:rPr>
          <w:kern w:val="2"/>
          <w:sz w:val="24"/>
          <w:szCs w:val="24"/>
          <w14:ligatures w14:val="standardContextual"/>
        </w:rPr>
        <w:t>La théorie de l’apprentissage transformateur (</w:t>
      </w:r>
      <w:proofErr w:type="spellStart"/>
      <w:r w:rsidRPr="009C4DC6">
        <w:rPr>
          <w:kern w:val="2"/>
          <w:sz w:val="24"/>
          <w:szCs w:val="24"/>
          <w14:ligatures w14:val="standardContextual"/>
        </w:rPr>
        <w:t>Mezirow</w:t>
      </w:r>
      <w:proofErr w:type="spellEnd"/>
      <w:r w:rsidRPr="009C4DC6">
        <w:rPr>
          <w:kern w:val="2"/>
          <w:sz w:val="24"/>
          <w:szCs w:val="24"/>
          <w14:ligatures w14:val="standardContextual"/>
        </w:rPr>
        <w:t xml:space="preserve">, 1991) éclaire le processus de changement des pratiques </w:t>
      </w:r>
      <w:r w:rsidRPr="0016004F">
        <w:rPr>
          <w:kern w:val="2"/>
          <w:sz w:val="24"/>
          <w:szCs w:val="24"/>
          <w14:ligatures w14:val="standardContextual"/>
        </w:rPr>
        <w:t>à travers</w:t>
      </w:r>
      <w:r>
        <w:rPr>
          <w:kern w:val="2"/>
          <w:sz w:val="24"/>
          <w:szCs w:val="24"/>
          <w14:ligatures w14:val="standardContextual"/>
        </w:rPr>
        <w:t xml:space="preserve"> </w:t>
      </w:r>
      <w:r w:rsidRPr="009C4DC6">
        <w:rPr>
          <w:kern w:val="2"/>
          <w:sz w:val="24"/>
          <w:szCs w:val="24"/>
          <w14:ligatures w14:val="standardContextual"/>
        </w:rPr>
        <w:t>une remise en question des schémas pédagogiques existants</w:t>
      </w:r>
      <w:r w:rsidRPr="00AB5D05">
        <w:rPr>
          <w:kern w:val="2"/>
          <w:sz w:val="24"/>
          <w:szCs w:val="24"/>
          <w14:ligatures w14:val="standardContextual"/>
        </w:rPr>
        <w:t>. Elle explique comment une formation intensive peut provoquer un changement de perspective chez les enseignants en remettant en cause leurs croyances pédagogiques. Nous estimons que cette théorie est u</w:t>
      </w:r>
      <w:r w:rsidRPr="009C4DC6">
        <w:rPr>
          <w:kern w:val="2"/>
          <w:sz w:val="24"/>
          <w:szCs w:val="24"/>
          <w14:ligatures w14:val="standardContextual"/>
        </w:rPr>
        <w:t>tile pour analyser l’évolution de leurs pratiques</w:t>
      </w:r>
      <w:r w:rsidRPr="00AB5D05">
        <w:rPr>
          <w:kern w:val="2"/>
          <w:sz w:val="24"/>
          <w:szCs w:val="24"/>
          <w14:ligatures w14:val="standardContextual"/>
        </w:rPr>
        <w:t xml:space="preserve"> pédagogiques (notamment en classe) </w:t>
      </w:r>
      <w:r w:rsidRPr="009C4DC6">
        <w:rPr>
          <w:kern w:val="2"/>
          <w:sz w:val="24"/>
          <w:szCs w:val="24"/>
          <w14:ligatures w14:val="standardContextual"/>
        </w:rPr>
        <w:t>post-formation.</w:t>
      </w:r>
    </w:p>
    <w:p w14:paraId="658F2107" w14:textId="77777777" w:rsidR="00D80693" w:rsidRPr="003E48BB"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 xml:space="preserve">Elle s’applique </w:t>
      </w:r>
      <w:r w:rsidRPr="00985FF8">
        <w:rPr>
          <w:kern w:val="2"/>
          <w:sz w:val="24"/>
          <w:szCs w:val="24"/>
          <w14:ligatures w14:val="standardContextual"/>
        </w:rPr>
        <w:t>à</w:t>
      </w:r>
      <w:r w:rsidRPr="00AB5D05">
        <w:rPr>
          <w:kern w:val="2"/>
          <w:sz w:val="24"/>
          <w:szCs w:val="24"/>
          <w14:ligatures w14:val="standardContextual"/>
        </w:rPr>
        <w:t xml:space="preserve"> notre </w:t>
      </w:r>
      <w:r w:rsidRPr="00985FF8">
        <w:rPr>
          <w:kern w:val="2"/>
          <w:sz w:val="24"/>
          <w:szCs w:val="24"/>
          <w14:ligatures w14:val="standardContextual"/>
        </w:rPr>
        <w:t>étude</w:t>
      </w:r>
      <w:r w:rsidRPr="00AB5D05">
        <w:rPr>
          <w:kern w:val="2"/>
          <w:sz w:val="24"/>
          <w:szCs w:val="24"/>
          <w14:ligatures w14:val="standardContextual"/>
        </w:rPr>
        <w:t xml:space="preserve"> en ce sens qu’a</w:t>
      </w:r>
      <w:r w:rsidRPr="00985FF8">
        <w:rPr>
          <w:kern w:val="2"/>
          <w:sz w:val="24"/>
          <w:szCs w:val="24"/>
          <w14:ligatures w14:val="standardContextual"/>
        </w:rPr>
        <w:t>vant la formation</w:t>
      </w:r>
      <w:r w:rsidRPr="00AB5D05">
        <w:rPr>
          <w:kern w:val="2"/>
          <w:sz w:val="24"/>
          <w:szCs w:val="24"/>
          <w14:ligatures w14:val="standardContextual"/>
        </w:rPr>
        <w:t>, l</w:t>
      </w:r>
      <w:r w:rsidRPr="00985FF8">
        <w:rPr>
          <w:kern w:val="2"/>
          <w:sz w:val="24"/>
          <w:szCs w:val="24"/>
          <w14:ligatures w14:val="standardContextual"/>
        </w:rPr>
        <w:t>es enseignants ont des pratiques ancrées par l'habitude ou des formations initiales lacunaires.</w:t>
      </w:r>
      <w:r w:rsidRPr="00AB5D05">
        <w:rPr>
          <w:kern w:val="2"/>
          <w:sz w:val="24"/>
          <w:szCs w:val="24"/>
          <w14:ligatures w14:val="standardContextual"/>
        </w:rPr>
        <w:t xml:space="preserve"> </w:t>
      </w:r>
      <w:r w:rsidRPr="00985FF8">
        <w:rPr>
          <w:kern w:val="2"/>
          <w:sz w:val="24"/>
          <w:szCs w:val="24"/>
          <w14:ligatures w14:val="standardContextual"/>
        </w:rPr>
        <w:t>La formation de 30 jours</w:t>
      </w:r>
      <w:r w:rsidRPr="00AB5D05">
        <w:rPr>
          <w:kern w:val="2"/>
          <w:sz w:val="24"/>
          <w:szCs w:val="24"/>
          <w14:ligatures w14:val="standardContextual"/>
        </w:rPr>
        <w:t>, considéré</w:t>
      </w:r>
      <w:r w:rsidRPr="0016004F">
        <w:rPr>
          <w:kern w:val="2"/>
          <w:sz w:val="24"/>
          <w:szCs w:val="24"/>
          <w14:ligatures w14:val="standardContextual"/>
        </w:rPr>
        <w:t>e</w:t>
      </w:r>
      <w:r w:rsidRPr="00AB5D05">
        <w:rPr>
          <w:kern w:val="2"/>
          <w:sz w:val="24"/>
          <w:szCs w:val="24"/>
          <w14:ligatures w14:val="standardContextual"/>
        </w:rPr>
        <w:t xml:space="preserve"> comme un p</w:t>
      </w:r>
      <w:r w:rsidRPr="00985FF8">
        <w:rPr>
          <w:kern w:val="2"/>
          <w:sz w:val="24"/>
          <w:szCs w:val="24"/>
          <w14:ligatures w14:val="standardContextual"/>
        </w:rPr>
        <w:t>rocessus déclencheur</w:t>
      </w:r>
      <w:r w:rsidRPr="00AB5D05">
        <w:rPr>
          <w:kern w:val="2"/>
          <w:sz w:val="24"/>
          <w:szCs w:val="24"/>
          <w14:ligatures w14:val="standardContextual"/>
        </w:rPr>
        <w:t xml:space="preserve">, </w:t>
      </w:r>
      <w:r w:rsidRPr="00985FF8">
        <w:rPr>
          <w:kern w:val="2"/>
          <w:sz w:val="24"/>
          <w:szCs w:val="24"/>
          <w14:ligatures w14:val="standardContextual"/>
        </w:rPr>
        <w:t>agit comme un "déséquilibre" (concept piagétien) en exposant à de nouvelles méthodes.</w:t>
      </w:r>
      <w:r w:rsidRPr="00AB5D05">
        <w:rPr>
          <w:kern w:val="2"/>
          <w:sz w:val="24"/>
          <w:szCs w:val="24"/>
          <w14:ligatures w14:val="standardContextual"/>
        </w:rPr>
        <w:t xml:space="preserve"> Et le r</w:t>
      </w:r>
      <w:r w:rsidRPr="00985FF8">
        <w:rPr>
          <w:kern w:val="2"/>
          <w:sz w:val="24"/>
          <w:szCs w:val="24"/>
          <w14:ligatures w14:val="standardContextual"/>
        </w:rPr>
        <w:t>ésultat attendu</w:t>
      </w:r>
      <w:r w:rsidRPr="00AB5D05">
        <w:rPr>
          <w:kern w:val="2"/>
          <w:sz w:val="24"/>
          <w:szCs w:val="24"/>
          <w14:ligatures w14:val="standardContextual"/>
        </w:rPr>
        <w:t>, bien évidemment reste la t</w:t>
      </w:r>
      <w:r w:rsidRPr="00985FF8">
        <w:rPr>
          <w:kern w:val="2"/>
          <w:sz w:val="24"/>
          <w:szCs w:val="24"/>
          <w14:ligatures w14:val="standardContextual"/>
        </w:rPr>
        <w:t>ransformation des pratiques</w:t>
      </w:r>
      <w:r>
        <w:rPr>
          <w:kern w:val="2"/>
          <w:sz w:val="24"/>
          <w:szCs w:val="24"/>
          <w14:ligatures w14:val="standardContextual"/>
        </w:rPr>
        <w:t xml:space="preserve"> </w:t>
      </w:r>
      <w:r w:rsidRPr="00AB5D05">
        <w:rPr>
          <w:kern w:val="2"/>
          <w:sz w:val="24"/>
          <w:szCs w:val="24"/>
          <w14:ligatures w14:val="standardContextual"/>
        </w:rPr>
        <w:t>si les enseignants nouvellement formés r</w:t>
      </w:r>
      <w:r w:rsidRPr="00985FF8">
        <w:rPr>
          <w:kern w:val="2"/>
          <w:sz w:val="24"/>
          <w:szCs w:val="24"/>
          <w14:ligatures w14:val="standardContextual"/>
        </w:rPr>
        <w:t>éfléchissent de manière critique sur leurs anciennes méthodes</w:t>
      </w:r>
      <w:r w:rsidRPr="00AB5D05">
        <w:rPr>
          <w:kern w:val="2"/>
          <w:sz w:val="24"/>
          <w:szCs w:val="24"/>
          <w14:ligatures w14:val="standardContextual"/>
        </w:rPr>
        <w:t>, s’ils e</w:t>
      </w:r>
      <w:r w:rsidRPr="00985FF8">
        <w:rPr>
          <w:kern w:val="2"/>
          <w:sz w:val="24"/>
          <w:szCs w:val="24"/>
          <w14:ligatures w14:val="standardContextual"/>
        </w:rPr>
        <w:t>xpérimentent activement les nouvelles approches</w:t>
      </w:r>
      <w:r w:rsidRPr="00AB5D05">
        <w:rPr>
          <w:kern w:val="2"/>
          <w:sz w:val="24"/>
          <w:szCs w:val="24"/>
          <w14:ligatures w14:val="standardContextual"/>
        </w:rPr>
        <w:t xml:space="preserve"> et enfin, s’ils s</w:t>
      </w:r>
      <w:r w:rsidRPr="00985FF8">
        <w:rPr>
          <w:kern w:val="2"/>
          <w:sz w:val="24"/>
          <w:szCs w:val="24"/>
          <w14:ligatures w14:val="standardContextual"/>
        </w:rPr>
        <w:t xml:space="preserve">'approprient les changements </w:t>
      </w:r>
      <w:r w:rsidRPr="00AB5D05">
        <w:rPr>
          <w:kern w:val="2"/>
          <w:sz w:val="24"/>
          <w:szCs w:val="24"/>
          <w14:ligatures w14:val="standardContextual"/>
        </w:rPr>
        <w:t xml:space="preserve">réels </w:t>
      </w:r>
      <w:r w:rsidRPr="00985FF8">
        <w:rPr>
          <w:kern w:val="2"/>
          <w:sz w:val="24"/>
          <w:szCs w:val="24"/>
          <w14:ligatures w14:val="standardContextual"/>
        </w:rPr>
        <w:t>(pas seulement</w:t>
      </w:r>
      <w:r w:rsidRPr="00AB5D05">
        <w:rPr>
          <w:kern w:val="2"/>
          <w:sz w:val="24"/>
          <w:szCs w:val="24"/>
          <w14:ligatures w14:val="standardContextual"/>
        </w:rPr>
        <w:t xml:space="preserve"> l’</w:t>
      </w:r>
      <w:r w:rsidRPr="00985FF8">
        <w:rPr>
          <w:kern w:val="2"/>
          <w:sz w:val="24"/>
          <w:szCs w:val="24"/>
          <w14:ligatures w14:val="standardContextual"/>
        </w:rPr>
        <w:t>imitation)</w:t>
      </w:r>
      <w:r w:rsidRPr="00AB5D05">
        <w:rPr>
          <w:kern w:val="2"/>
          <w:sz w:val="24"/>
          <w:szCs w:val="24"/>
          <w14:ligatures w14:val="standardContextual"/>
        </w:rPr>
        <w:t>.</w:t>
      </w:r>
      <w:r>
        <w:rPr>
          <w:kern w:val="2"/>
          <w:sz w:val="24"/>
          <w:szCs w:val="24"/>
          <w14:ligatures w14:val="standardContextual"/>
        </w:rPr>
        <w:t xml:space="preserve"> C’est le cas, par exemple,</w:t>
      </w:r>
      <w:r w:rsidRPr="003E48BB">
        <w:rPr>
          <w:color w:val="FF0000"/>
          <w:kern w:val="2"/>
          <w:sz w:val="24"/>
          <w:szCs w:val="24"/>
          <w14:ligatures w14:val="standardContextual"/>
        </w:rPr>
        <w:t xml:space="preserve"> </w:t>
      </w:r>
      <w:r w:rsidRPr="0016004F">
        <w:rPr>
          <w:kern w:val="2"/>
          <w:sz w:val="24"/>
          <w:szCs w:val="24"/>
          <w14:ligatures w14:val="standardContextual"/>
        </w:rPr>
        <w:t>de l’enseignant qui abandonne le cours magistral pour des pédagogies actives après avoir pris conscience de leur impact prouvé, lors de la formation de 30 jours.</w:t>
      </w:r>
      <w:r w:rsidRPr="003E48BB">
        <w:rPr>
          <w:kern w:val="2"/>
          <w:sz w:val="24"/>
          <w:szCs w:val="24"/>
          <w14:ligatures w14:val="standardContextual"/>
        </w:rPr>
        <w:t xml:space="preserve"> </w:t>
      </w:r>
    </w:p>
    <w:p w14:paraId="3EF2ED93" w14:textId="77777777" w:rsidR="00D80693" w:rsidRPr="00AB5D05" w:rsidRDefault="00D80693" w:rsidP="007944D2">
      <w:pPr>
        <w:pStyle w:val="Paragraphedeliste"/>
        <w:widowControl/>
        <w:numPr>
          <w:ilvl w:val="0"/>
          <w:numId w:val="159"/>
        </w:numPr>
        <w:tabs>
          <w:tab w:val="left" w:pos="1290"/>
        </w:tabs>
        <w:autoSpaceDE/>
        <w:autoSpaceDN/>
        <w:spacing w:after="160"/>
        <w:contextualSpacing/>
        <w:rPr>
          <w:kern w:val="2"/>
          <w:sz w:val="24"/>
          <w:szCs w:val="24"/>
          <w14:ligatures w14:val="standardContextual"/>
        </w:rPr>
      </w:pPr>
      <w:r w:rsidRPr="00AB5D05">
        <w:rPr>
          <w:b/>
          <w:bCs/>
          <w:kern w:val="2"/>
          <w:sz w:val="24"/>
          <w:szCs w:val="24"/>
          <w14:ligatures w14:val="standardContextual"/>
        </w:rPr>
        <w:t>Théorie de la charge cognitive (</w:t>
      </w:r>
      <w:proofErr w:type="spellStart"/>
      <w:r w:rsidRPr="00AB5D05">
        <w:rPr>
          <w:b/>
          <w:bCs/>
          <w:kern w:val="2"/>
          <w:sz w:val="24"/>
          <w:szCs w:val="24"/>
          <w14:ligatures w14:val="standardContextual"/>
        </w:rPr>
        <w:t>Sweller</w:t>
      </w:r>
      <w:proofErr w:type="spellEnd"/>
      <w:r w:rsidRPr="00AB5D05">
        <w:rPr>
          <w:b/>
          <w:bCs/>
          <w:kern w:val="2"/>
          <w:sz w:val="24"/>
          <w:szCs w:val="24"/>
          <w14:ligatures w14:val="standardContextual"/>
        </w:rPr>
        <w:t>, 1988)</w:t>
      </w:r>
    </w:p>
    <w:p w14:paraId="0890E6B0" w14:textId="77777777" w:rsidR="00D80693" w:rsidRPr="00AB5D05"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 xml:space="preserve">Issue des recherches en psychologie cognitive, cette théorie </w:t>
      </w:r>
      <w:r w:rsidRPr="009C4DC6">
        <w:rPr>
          <w:kern w:val="2"/>
          <w:sz w:val="24"/>
          <w:szCs w:val="24"/>
          <w14:ligatures w14:val="standardContextual"/>
        </w:rPr>
        <w:t>(</w:t>
      </w:r>
      <w:proofErr w:type="spellStart"/>
      <w:r w:rsidRPr="009C4DC6">
        <w:rPr>
          <w:kern w:val="2"/>
          <w:sz w:val="24"/>
          <w:szCs w:val="24"/>
          <w14:ligatures w14:val="standardContextual"/>
        </w:rPr>
        <w:t>Sweller</w:t>
      </w:r>
      <w:proofErr w:type="spellEnd"/>
      <w:r w:rsidRPr="009C4DC6">
        <w:rPr>
          <w:kern w:val="2"/>
          <w:sz w:val="24"/>
          <w:szCs w:val="24"/>
          <w14:ligatures w14:val="standardContextual"/>
        </w:rPr>
        <w:t>, 1988)</w:t>
      </w:r>
      <w:r w:rsidRPr="00AB5D05">
        <w:rPr>
          <w:kern w:val="2"/>
          <w:sz w:val="24"/>
          <w:szCs w:val="24"/>
          <w14:ligatures w14:val="standardContextual"/>
        </w:rPr>
        <w:t xml:space="preserve"> explique que la mémoire de travail a une capacité limitée (environ 4±1 éléments simultanés). L'apprentissage est optimal quand la charge cognitive est bien gérée. L</w:t>
      </w:r>
      <w:r w:rsidRPr="009C4DC6">
        <w:rPr>
          <w:kern w:val="2"/>
          <w:sz w:val="24"/>
          <w:szCs w:val="24"/>
          <w14:ligatures w14:val="standardContextual"/>
        </w:rPr>
        <w:t>a théorie de la charge cognitive justifie</w:t>
      </w:r>
      <w:r w:rsidRPr="00AB5D05">
        <w:rPr>
          <w:kern w:val="2"/>
          <w:sz w:val="24"/>
          <w:szCs w:val="24"/>
          <w14:ligatures w14:val="standardContextual"/>
        </w:rPr>
        <w:t xml:space="preserve"> </w:t>
      </w:r>
      <w:r w:rsidRPr="009C4DC6">
        <w:rPr>
          <w:kern w:val="2"/>
          <w:sz w:val="24"/>
          <w:szCs w:val="24"/>
          <w14:ligatures w14:val="standardContextual"/>
        </w:rPr>
        <w:t>la structuration des modules en séquences digestes pour optimiser l’assimilation.</w:t>
      </w:r>
    </w:p>
    <w:p w14:paraId="39EEAFF3" w14:textId="77777777" w:rsidR="00D80693" w:rsidRPr="00AB5D05"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Les différents t</w:t>
      </w:r>
      <w:r w:rsidRPr="00505158">
        <w:rPr>
          <w:kern w:val="2"/>
          <w:sz w:val="24"/>
          <w:szCs w:val="24"/>
          <w14:ligatures w14:val="standardContextual"/>
        </w:rPr>
        <w:t>ypes de charge</w:t>
      </w:r>
      <w:r w:rsidRPr="00AB5D05">
        <w:rPr>
          <w:kern w:val="2"/>
          <w:sz w:val="24"/>
          <w:szCs w:val="24"/>
          <w14:ligatures w14:val="standardContextual"/>
        </w:rPr>
        <w:t xml:space="preserve"> sont i</w:t>
      </w:r>
      <w:r w:rsidRPr="00505158">
        <w:rPr>
          <w:kern w:val="2"/>
          <w:sz w:val="24"/>
          <w:szCs w:val="24"/>
          <w14:ligatures w14:val="standardContextual"/>
        </w:rPr>
        <w:t>ntrinsèque (complexité naturelle du contenu)</w:t>
      </w:r>
      <w:r w:rsidRPr="00AB5D05">
        <w:rPr>
          <w:kern w:val="2"/>
          <w:sz w:val="24"/>
          <w:szCs w:val="24"/>
          <w14:ligatures w14:val="standardContextual"/>
        </w:rPr>
        <w:t>, e</w:t>
      </w:r>
      <w:r w:rsidRPr="00505158">
        <w:rPr>
          <w:kern w:val="2"/>
          <w:sz w:val="24"/>
          <w:szCs w:val="24"/>
          <w14:ligatures w14:val="standardContextual"/>
        </w:rPr>
        <w:t>xtrinsèque (liée à la mauvaise présentation des informations)</w:t>
      </w:r>
      <w:r w:rsidRPr="00AB5D05">
        <w:rPr>
          <w:kern w:val="2"/>
          <w:sz w:val="24"/>
          <w:szCs w:val="24"/>
          <w14:ligatures w14:val="standardContextual"/>
        </w:rPr>
        <w:t xml:space="preserve"> et </w:t>
      </w:r>
      <w:proofErr w:type="spellStart"/>
      <w:r w:rsidRPr="00AB5D05">
        <w:rPr>
          <w:kern w:val="2"/>
          <w:sz w:val="24"/>
          <w:szCs w:val="24"/>
          <w14:ligatures w14:val="standardContextual"/>
        </w:rPr>
        <w:t>g</w:t>
      </w:r>
      <w:r w:rsidRPr="00505158">
        <w:rPr>
          <w:kern w:val="2"/>
          <w:sz w:val="24"/>
          <w:szCs w:val="24"/>
          <w14:ligatures w14:val="standardContextual"/>
        </w:rPr>
        <w:t>ermane</w:t>
      </w:r>
      <w:proofErr w:type="spellEnd"/>
      <w:r w:rsidRPr="00AB5D05">
        <w:rPr>
          <w:kern w:val="2"/>
          <w:sz w:val="24"/>
          <w:szCs w:val="24"/>
          <w14:ligatures w14:val="standardContextual"/>
        </w:rPr>
        <w:t xml:space="preserve"> </w:t>
      </w:r>
      <w:r w:rsidRPr="00505158">
        <w:rPr>
          <w:kern w:val="2"/>
          <w:sz w:val="24"/>
          <w:szCs w:val="24"/>
          <w14:ligatures w14:val="standardContextual"/>
        </w:rPr>
        <w:t>(effort dédié à la construction du savoir)</w:t>
      </w:r>
      <w:r w:rsidRPr="00AB5D05">
        <w:rPr>
          <w:kern w:val="2"/>
          <w:sz w:val="24"/>
          <w:szCs w:val="24"/>
          <w14:ligatures w14:val="standardContextual"/>
        </w:rPr>
        <w:t>.</w:t>
      </w:r>
    </w:p>
    <w:p w14:paraId="14E0D818" w14:textId="77777777" w:rsidR="00D80693" w:rsidRPr="00505158"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Rapporté</w:t>
      </w:r>
      <w:r>
        <w:rPr>
          <w:kern w:val="2"/>
          <w:sz w:val="24"/>
          <w:szCs w:val="24"/>
          <w14:ligatures w14:val="standardContextual"/>
        </w:rPr>
        <w:t xml:space="preserve"> </w:t>
      </w:r>
      <w:r w:rsidRPr="00AB5D05">
        <w:rPr>
          <w:kern w:val="2"/>
          <w:sz w:val="24"/>
          <w:szCs w:val="24"/>
          <w14:ligatures w14:val="standardContextual"/>
        </w:rPr>
        <w:t>à notre étude, ce</w:t>
      </w:r>
      <w:r>
        <w:rPr>
          <w:kern w:val="2"/>
          <w:sz w:val="24"/>
          <w:szCs w:val="24"/>
          <w14:ligatures w14:val="standardContextual"/>
        </w:rPr>
        <w:t xml:space="preserve"> modèle </w:t>
      </w:r>
      <w:r w:rsidRPr="00AB5D05">
        <w:rPr>
          <w:kern w:val="2"/>
          <w:sz w:val="24"/>
          <w:szCs w:val="24"/>
          <w14:ligatures w14:val="standardContextual"/>
        </w:rPr>
        <w:t>théori</w:t>
      </w:r>
      <w:r>
        <w:rPr>
          <w:kern w:val="2"/>
          <w:sz w:val="24"/>
          <w:szCs w:val="24"/>
          <w14:ligatures w14:val="standardContextual"/>
        </w:rPr>
        <w:t xml:space="preserve">que </w:t>
      </w:r>
      <w:r w:rsidRPr="00AB5D05">
        <w:rPr>
          <w:kern w:val="2"/>
          <w:sz w:val="24"/>
          <w:szCs w:val="24"/>
          <w14:ligatures w14:val="standardContextual"/>
        </w:rPr>
        <w:t>stipule que p</w:t>
      </w:r>
      <w:r w:rsidRPr="00505158">
        <w:rPr>
          <w:kern w:val="2"/>
          <w:sz w:val="24"/>
          <w:szCs w:val="24"/>
          <w14:ligatures w14:val="standardContextual"/>
        </w:rPr>
        <w:t>our la formation de 30 jours</w:t>
      </w:r>
      <w:r w:rsidRPr="00AB5D05">
        <w:rPr>
          <w:kern w:val="2"/>
          <w:sz w:val="24"/>
          <w:szCs w:val="24"/>
          <w14:ligatures w14:val="standardContextual"/>
        </w:rPr>
        <w:t>, la c</w:t>
      </w:r>
      <w:r w:rsidRPr="00505158">
        <w:rPr>
          <w:kern w:val="2"/>
          <w:sz w:val="24"/>
          <w:szCs w:val="24"/>
          <w14:ligatures w14:val="standardContextual"/>
        </w:rPr>
        <w:t>once</w:t>
      </w:r>
      <w:r w:rsidRPr="00AB5D05">
        <w:rPr>
          <w:kern w:val="2"/>
          <w:sz w:val="24"/>
          <w:szCs w:val="24"/>
          <w14:ligatures w14:val="standardContextual"/>
        </w:rPr>
        <w:t xml:space="preserve">ption </w:t>
      </w:r>
      <w:r w:rsidRPr="00505158">
        <w:rPr>
          <w:kern w:val="2"/>
          <w:sz w:val="24"/>
          <w:szCs w:val="24"/>
          <w14:ligatures w14:val="standardContextual"/>
        </w:rPr>
        <w:t>des modules</w:t>
      </w:r>
      <w:r w:rsidRPr="00AB5D05">
        <w:rPr>
          <w:kern w:val="2"/>
          <w:sz w:val="24"/>
          <w:szCs w:val="24"/>
          <w14:ligatures w14:val="standardContextual"/>
        </w:rPr>
        <w:t xml:space="preserve"> doit respecter trois (3) étapes qui sont : m</w:t>
      </w:r>
      <w:r w:rsidRPr="00505158">
        <w:rPr>
          <w:kern w:val="2"/>
          <w:sz w:val="24"/>
          <w:szCs w:val="24"/>
          <w14:ligatures w14:val="standardContextual"/>
        </w:rPr>
        <w:t>orceler les contenus complexes en étapes</w:t>
      </w:r>
      <w:r w:rsidRPr="00AB5D05">
        <w:rPr>
          <w:kern w:val="2"/>
          <w:sz w:val="24"/>
          <w:szCs w:val="24"/>
          <w14:ligatures w14:val="standardContextual"/>
        </w:rPr>
        <w:t>, a</w:t>
      </w:r>
      <w:r w:rsidRPr="00505158">
        <w:rPr>
          <w:kern w:val="2"/>
          <w:sz w:val="24"/>
          <w:szCs w:val="24"/>
          <w14:ligatures w14:val="standardContextual"/>
        </w:rPr>
        <w:t>lterner théorie et pratique immédiate</w:t>
      </w:r>
      <w:r w:rsidRPr="00AB5D05">
        <w:rPr>
          <w:kern w:val="2"/>
          <w:sz w:val="24"/>
          <w:szCs w:val="24"/>
          <w14:ligatures w14:val="standardContextual"/>
        </w:rPr>
        <w:t xml:space="preserve"> et é</w:t>
      </w:r>
      <w:r w:rsidRPr="00505158">
        <w:rPr>
          <w:kern w:val="2"/>
          <w:sz w:val="24"/>
          <w:szCs w:val="24"/>
          <w14:ligatures w14:val="standardContextual"/>
        </w:rPr>
        <w:t>viter les supports surchargés (ex : PowerPoint textuels)</w:t>
      </w:r>
      <w:r w:rsidRPr="00AB5D05">
        <w:rPr>
          <w:kern w:val="2"/>
          <w:sz w:val="24"/>
          <w:szCs w:val="24"/>
          <w14:ligatures w14:val="standardContextual"/>
        </w:rPr>
        <w:t>.</w:t>
      </w:r>
    </w:p>
    <w:p w14:paraId="10CEC9E4" w14:textId="77777777" w:rsidR="00D80693" w:rsidRPr="00AB5D05"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 xml:space="preserve">En gros, il faut retenir que les </w:t>
      </w:r>
      <w:r w:rsidRPr="00505158">
        <w:rPr>
          <w:kern w:val="2"/>
          <w:sz w:val="24"/>
          <w:szCs w:val="24"/>
          <w14:ligatures w14:val="standardContextual"/>
        </w:rPr>
        <w:t>formations courtes</w:t>
      </w:r>
      <w:r w:rsidRPr="00AB5D05">
        <w:rPr>
          <w:kern w:val="2"/>
          <w:sz w:val="24"/>
          <w:szCs w:val="24"/>
          <w14:ligatures w14:val="standardContextual"/>
        </w:rPr>
        <w:t xml:space="preserve"> (notamment celle de 30 jours) </w:t>
      </w:r>
      <w:r w:rsidRPr="00505158">
        <w:rPr>
          <w:kern w:val="2"/>
          <w:sz w:val="24"/>
          <w:szCs w:val="24"/>
          <w14:ligatures w14:val="standardContextual"/>
        </w:rPr>
        <w:t>s</w:t>
      </w:r>
      <w:r w:rsidRPr="00AB5D05">
        <w:rPr>
          <w:kern w:val="2"/>
          <w:sz w:val="24"/>
          <w:szCs w:val="24"/>
          <w14:ligatures w14:val="standardContextual"/>
        </w:rPr>
        <w:t xml:space="preserve">eront </w:t>
      </w:r>
      <w:r w:rsidRPr="00505158">
        <w:rPr>
          <w:kern w:val="2"/>
          <w:sz w:val="24"/>
          <w:szCs w:val="24"/>
          <w14:ligatures w14:val="standardContextual"/>
        </w:rPr>
        <w:t>efficaces si elles réduisent la charge extrinsèque (ex : instructions claires, modélisation des bonnes pratiques).</w:t>
      </w:r>
    </w:p>
    <w:p w14:paraId="6823FA01" w14:textId="77777777" w:rsidR="00D80693" w:rsidRPr="00AB5D05" w:rsidRDefault="00D80693" w:rsidP="007944D2">
      <w:pPr>
        <w:pStyle w:val="Paragraphedeliste"/>
        <w:widowControl/>
        <w:numPr>
          <w:ilvl w:val="0"/>
          <w:numId w:val="159"/>
        </w:numPr>
        <w:tabs>
          <w:tab w:val="left" w:pos="1290"/>
        </w:tabs>
        <w:autoSpaceDE/>
        <w:autoSpaceDN/>
        <w:spacing w:after="160"/>
        <w:contextualSpacing/>
        <w:rPr>
          <w:kern w:val="2"/>
          <w:sz w:val="24"/>
          <w:szCs w:val="24"/>
          <w14:ligatures w14:val="standardContextual"/>
        </w:rPr>
      </w:pPr>
      <w:r w:rsidRPr="00AB5D05">
        <w:rPr>
          <w:b/>
          <w:bCs/>
          <w:kern w:val="2"/>
          <w:sz w:val="24"/>
          <w:szCs w:val="24"/>
          <w14:ligatures w14:val="standardContextual"/>
        </w:rPr>
        <w:t>Modèle TPACK (Mishra &amp; Koehler, 2006)</w:t>
      </w:r>
    </w:p>
    <w:p w14:paraId="473AF1D2" w14:textId="77777777" w:rsidR="00D80693" w:rsidRPr="00AB5D05" w:rsidRDefault="00D80693" w:rsidP="007944D2">
      <w:pPr>
        <w:tabs>
          <w:tab w:val="left" w:pos="1290"/>
        </w:tabs>
        <w:spacing w:before="120"/>
        <w:jc w:val="both"/>
        <w:rPr>
          <w:kern w:val="2"/>
          <w:sz w:val="24"/>
          <w:szCs w:val="24"/>
          <w14:ligatures w14:val="standardContextual"/>
        </w:rPr>
      </w:pPr>
      <w:r w:rsidRPr="009C4DC6">
        <w:rPr>
          <w:kern w:val="2"/>
          <w:sz w:val="24"/>
          <w:szCs w:val="24"/>
          <w14:ligatures w14:val="standardContextual"/>
        </w:rPr>
        <w:t>Le modèle TPACK (Mishra &amp; Koehler, 2006) permet d’évaluer l’intégration des savoirs disciplinaires, pédagogiques et technologiques, essentielle pour des enseignements adaptés.</w:t>
      </w:r>
      <w:r w:rsidRPr="00AB5D05">
        <w:rPr>
          <w:kern w:val="2"/>
          <w:sz w:val="24"/>
          <w:szCs w:val="24"/>
          <w14:ligatures w14:val="standardContextual"/>
        </w:rPr>
        <w:t xml:space="preserve"> La s</w:t>
      </w:r>
      <w:r w:rsidRPr="00707F87">
        <w:rPr>
          <w:kern w:val="2"/>
          <w:sz w:val="24"/>
          <w:szCs w:val="24"/>
          <w14:ligatures w14:val="standardContextual"/>
        </w:rPr>
        <w:t>tructure du modèle</w:t>
      </w:r>
      <w:r w:rsidRPr="00AB5D05">
        <w:rPr>
          <w:kern w:val="2"/>
          <w:sz w:val="24"/>
          <w:szCs w:val="24"/>
          <w14:ligatures w14:val="standardContextual"/>
        </w:rPr>
        <w:t xml:space="preserve"> nous permet d’identifier trois (</w:t>
      </w:r>
      <w:r w:rsidRPr="00707F87">
        <w:rPr>
          <w:kern w:val="2"/>
          <w:sz w:val="24"/>
          <w:szCs w:val="24"/>
          <w14:ligatures w14:val="standardContextual"/>
        </w:rPr>
        <w:t>3</w:t>
      </w:r>
      <w:r w:rsidRPr="00AB5D05">
        <w:rPr>
          <w:kern w:val="2"/>
          <w:sz w:val="24"/>
          <w:szCs w:val="24"/>
          <w14:ligatures w14:val="standardContextual"/>
        </w:rPr>
        <w:t xml:space="preserve">) </w:t>
      </w:r>
      <w:r w:rsidRPr="00707F87">
        <w:rPr>
          <w:kern w:val="2"/>
          <w:sz w:val="24"/>
          <w:szCs w:val="24"/>
          <w14:ligatures w14:val="standardContextual"/>
        </w:rPr>
        <w:t>connaissances fondamentales pour un enseignement efficace :</w:t>
      </w:r>
      <w:r w:rsidRPr="00AB5D05">
        <w:rPr>
          <w:kern w:val="2"/>
          <w:sz w:val="24"/>
          <w:szCs w:val="24"/>
          <w14:ligatures w14:val="standardContextual"/>
        </w:rPr>
        <w:t xml:space="preserve"> les c</w:t>
      </w:r>
      <w:r>
        <w:rPr>
          <w:kern w:val="2"/>
          <w:sz w:val="24"/>
          <w:szCs w:val="24"/>
          <w14:ligatures w14:val="standardContextual"/>
        </w:rPr>
        <w:t xml:space="preserve">ontenus disciplinaires (CK) : </w:t>
      </w:r>
      <w:r w:rsidRPr="00AB5D05">
        <w:rPr>
          <w:kern w:val="2"/>
          <w:sz w:val="24"/>
          <w:szCs w:val="24"/>
          <w14:ligatures w14:val="standardContextual"/>
        </w:rPr>
        <w:t>m</w:t>
      </w:r>
      <w:r w:rsidRPr="00707F87">
        <w:rPr>
          <w:kern w:val="2"/>
          <w:sz w:val="24"/>
          <w:szCs w:val="24"/>
          <w14:ligatures w14:val="standardContextual"/>
        </w:rPr>
        <w:t>aîtrise de la matière</w:t>
      </w:r>
      <w:r w:rsidRPr="00AB5D05">
        <w:rPr>
          <w:kern w:val="2"/>
          <w:sz w:val="24"/>
          <w:szCs w:val="24"/>
          <w14:ligatures w14:val="standardContextual"/>
        </w:rPr>
        <w:t>, les contenus p</w:t>
      </w:r>
      <w:r w:rsidRPr="00707F87">
        <w:rPr>
          <w:kern w:val="2"/>
          <w:sz w:val="24"/>
          <w:szCs w:val="24"/>
          <w14:ligatures w14:val="standardContextual"/>
        </w:rPr>
        <w:t xml:space="preserve">édagogiques (PK) : </w:t>
      </w:r>
      <w:r w:rsidRPr="00AB5D05">
        <w:rPr>
          <w:kern w:val="2"/>
          <w:sz w:val="24"/>
          <w:szCs w:val="24"/>
          <w14:ligatures w14:val="standardContextual"/>
        </w:rPr>
        <w:t>m</w:t>
      </w:r>
      <w:r w:rsidRPr="00707F87">
        <w:rPr>
          <w:kern w:val="2"/>
          <w:sz w:val="24"/>
          <w:szCs w:val="24"/>
          <w14:ligatures w14:val="standardContextual"/>
        </w:rPr>
        <w:t>éthodes d'enseignement</w:t>
      </w:r>
      <w:r w:rsidRPr="00AB5D05">
        <w:rPr>
          <w:kern w:val="2"/>
          <w:sz w:val="24"/>
          <w:szCs w:val="24"/>
          <w14:ligatures w14:val="standardContextual"/>
        </w:rPr>
        <w:t xml:space="preserve"> et les contenus t</w:t>
      </w:r>
      <w:r w:rsidRPr="00707F87">
        <w:rPr>
          <w:kern w:val="2"/>
          <w:sz w:val="24"/>
          <w:szCs w:val="24"/>
          <w14:ligatures w14:val="standardContextual"/>
        </w:rPr>
        <w:t xml:space="preserve">echnologiques (TK) : </w:t>
      </w:r>
      <w:r w:rsidRPr="00AB5D05">
        <w:rPr>
          <w:kern w:val="2"/>
          <w:sz w:val="24"/>
          <w:szCs w:val="24"/>
          <w14:ligatures w14:val="standardContextual"/>
        </w:rPr>
        <w:t>u</w:t>
      </w:r>
      <w:r w:rsidRPr="00707F87">
        <w:rPr>
          <w:kern w:val="2"/>
          <w:sz w:val="24"/>
          <w:szCs w:val="24"/>
          <w14:ligatures w14:val="standardContextual"/>
        </w:rPr>
        <w:t>sage des outils numériques</w:t>
      </w:r>
      <w:r w:rsidRPr="00AB5D05">
        <w:rPr>
          <w:kern w:val="2"/>
          <w:sz w:val="24"/>
          <w:szCs w:val="24"/>
          <w14:ligatures w14:val="standardContextual"/>
        </w:rPr>
        <w:t>.</w:t>
      </w:r>
    </w:p>
    <w:p w14:paraId="3B5BEFFD" w14:textId="77777777" w:rsidR="00D80693" w:rsidRPr="00AB5D05" w:rsidRDefault="00D80693" w:rsidP="007944D2">
      <w:pPr>
        <w:tabs>
          <w:tab w:val="left" w:pos="1290"/>
        </w:tabs>
        <w:spacing w:before="120"/>
        <w:jc w:val="both"/>
        <w:rPr>
          <w:kern w:val="2"/>
          <w:sz w:val="24"/>
          <w:szCs w:val="24"/>
          <w14:ligatures w14:val="standardContextual"/>
        </w:rPr>
      </w:pPr>
      <w:r w:rsidRPr="00707F87">
        <w:rPr>
          <w:kern w:val="2"/>
          <w:sz w:val="24"/>
          <w:szCs w:val="24"/>
          <w14:ligatures w14:val="standardContextual"/>
        </w:rPr>
        <w:t>L'intersection de ces connaissances crée</w:t>
      </w:r>
      <w:r w:rsidRPr="00AB5D05">
        <w:rPr>
          <w:kern w:val="2"/>
          <w:sz w:val="24"/>
          <w:szCs w:val="24"/>
          <w14:ligatures w14:val="standardContextual"/>
        </w:rPr>
        <w:t xml:space="preserve"> le </w:t>
      </w:r>
      <w:r w:rsidRPr="00707F87">
        <w:rPr>
          <w:kern w:val="2"/>
          <w:sz w:val="24"/>
          <w:szCs w:val="24"/>
          <w14:ligatures w14:val="standardContextual"/>
        </w:rPr>
        <w:t>PCK (</w:t>
      </w:r>
      <w:proofErr w:type="spellStart"/>
      <w:r w:rsidRPr="00707F87">
        <w:rPr>
          <w:kern w:val="2"/>
          <w:sz w:val="24"/>
          <w:szCs w:val="24"/>
          <w14:ligatures w14:val="standardContextual"/>
        </w:rPr>
        <w:t>Pedagogical</w:t>
      </w:r>
      <w:proofErr w:type="spellEnd"/>
      <w:r w:rsidRPr="00707F87">
        <w:rPr>
          <w:kern w:val="2"/>
          <w:sz w:val="24"/>
          <w:szCs w:val="24"/>
          <w14:ligatures w14:val="standardContextual"/>
        </w:rPr>
        <w:t xml:space="preserve"> Content Knowledge) : </w:t>
      </w:r>
      <w:r w:rsidRPr="00AB5D05">
        <w:rPr>
          <w:kern w:val="2"/>
          <w:sz w:val="24"/>
          <w:szCs w:val="24"/>
          <w14:ligatures w14:val="standardContextual"/>
        </w:rPr>
        <w:t>s</w:t>
      </w:r>
      <w:r w:rsidRPr="00707F87">
        <w:rPr>
          <w:kern w:val="2"/>
          <w:sz w:val="24"/>
          <w:szCs w:val="24"/>
          <w14:ligatures w14:val="standardContextual"/>
        </w:rPr>
        <w:t>avoir expliquer un concept difficile</w:t>
      </w:r>
      <w:r w:rsidRPr="00AB5D05">
        <w:rPr>
          <w:kern w:val="2"/>
          <w:sz w:val="24"/>
          <w:szCs w:val="24"/>
          <w14:ligatures w14:val="standardContextual"/>
        </w:rPr>
        <w:t xml:space="preserve">, le </w:t>
      </w:r>
      <w:r w:rsidRPr="00707F87">
        <w:rPr>
          <w:kern w:val="2"/>
          <w:sz w:val="24"/>
          <w:szCs w:val="24"/>
          <w14:ligatures w14:val="standardContextual"/>
        </w:rPr>
        <w:t>TPK (</w:t>
      </w:r>
      <w:proofErr w:type="spellStart"/>
      <w:r w:rsidRPr="00707F87">
        <w:rPr>
          <w:kern w:val="2"/>
          <w:sz w:val="24"/>
          <w:szCs w:val="24"/>
          <w14:ligatures w14:val="standardContextual"/>
        </w:rPr>
        <w:t>Technological</w:t>
      </w:r>
      <w:proofErr w:type="spellEnd"/>
      <w:r w:rsidRPr="00707F87">
        <w:rPr>
          <w:kern w:val="2"/>
          <w:sz w:val="24"/>
          <w:szCs w:val="24"/>
          <w14:ligatures w14:val="standardContextual"/>
        </w:rPr>
        <w:t xml:space="preserve"> </w:t>
      </w:r>
      <w:proofErr w:type="spellStart"/>
      <w:r w:rsidRPr="00707F87">
        <w:rPr>
          <w:kern w:val="2"/>
          <w:sz w:val="24"/>
          <w:szCs w:val="24"/>
          <w14:ligatures w14:val="standardContextual"/>
        </w:rPr>
        <w:t>Pedagogical</w:t>
      </w:r>
      <w:proofErr w:type="spellEnd"/>
      <w:r w:rsidRPr="00707F87">
        <w:rPr>
          <w:kern w:val="2"/>
          <w:sz w:val="24"/>
          <w:szCs w:val="24"/>
          <w14:ligatures w14:val="standardContextual"/>
        </w:rPr>
        <w:t xml:space="preserve"> Knowledge)</w:t>
      </w:r>
      <w:r w:rsidRPr="00AB5D05">
        <w:rPr>
          <w:kern w:val="2"/>
          <w:sz w:val="24"/>
          <w:szCs w:val="24"/>
          <w14:ligatures w14:val="standardContextual"/>
        </w:rPr>
        <w:t> : c</w:t>
      </w:r>
      <w:r w:rsidRPr="00707F87">
        <w:rPr>
          <w:kern w:val="2"/>
          <w:sz w:val="24"/>
          <w:szCs w:val="24"/>
          <w14:ligatures w14:val="standardContextual"/>
        </w:rPr>
        <w:t>hoisir un outil adapté à une méthode</w:t>
      </w:r>
      <w:r w:rsidRPr="00AB5D05">
        <w:rPr>
          <w:kern w:val="2"/>
          <w:sz w:val="24"/>
          <w:szCs w:val="24"/>
          <w14:ligatures w14:val="standardContextual"/>
        </w:rPr>
        <w:t xml:space="preserve">, le </w:t>
      </w:r>
      <w:r w:rsidRPr="00707F87">
        <w:rPr>
          <w:kern w:val="2"/>
          <w:sz w:val="24"/>
          <w:szCs w:val="24"/>
          <w14:ligatures w14:val="standardContextual"/>
        </w:rPr>
        <w:t>TCK (</w:t>
      </w:r>
      <w:proofErr w:type="spellStart"/>
      <w:r w:rsidRPr="00707F87">
        <w:rPr>
          <w:kern w:val="2"/>
          <w:sz w:val="24"/>
          <w:szCs w:val="24"/>
          <w14:ligatures w14:val="standardContextual"/>
        </w:rPr>
        <w:t>Technological</w:t>
      </w:r>
      <w:proofErr w:type="spellEnd"/>
      <w:r w:rsidRPr="00707F87">
        <w:rPr>
          <w:kern w:val="2"/>
          <w:sz w:val="24"/>
          <w:szCs w:val="24"/>
          <w14:ligatures w14:val="standardContextual"/>
        </w:rPr>
        <w:t xml:space="preserve"> Content Knowledge) : </w:t>
      </w:r>
      <w:r w:rsidRPr="00AB5D05">
        <w:rPr>
          <w:kern w:val="2"/>
          <w:sz w:val="24"/>
          <w:szCs w:val="24"/>
          <w14:ligatures w14:val="standardContextual"/>
        </w:rPr>
        <w:t>u</w:t>
      </w:r>
      <w:r w:rsidRPr="00707F87">
        <w:rPr>
          <w:kern w:val="2"/>
          <w:sz w:val="24"/>
          <w:szCs w:val="24"/>
          <w14:ligatures w14:val="standardContextual"/>
        </w:rPr>
        <w:t>tiliser des simulations en sciences</w:t>
      </w:r>
      <w:r w:rsidRPr="00AB5D05">
        <w:rPr>
          <w:kern w:val="2"/>
          <w:sz w:val="24"/>
          <w:szCs w:val="24"/>
          <w14:ligatures w14:val="standardContextual"/>
        </w:rPr>
        <w:t xml:space="preserve"> et le </w:t>
      </w:r>
      <w:r w:rsidRPr="00707F87">
        <w:rPr>
          <w:kern w:val="2"/>
          <w:sz w:val="24"/>
          <w:szCs w:val="24"/>
          <w14:ligatures w14:val="standardContextual"/>
        </w:rPr>
        <w:t xml:space="preserve">TPACK : </w:t>
      </w:r>
      <w:r w:rsidRPr="00AB5D05">
        <w:rPr>
          <w:kern w:val="2"/>
          <w:sz w:val="24"/>
          <w:szCs w:val="24"/>
          <w14:ligatures w14:val="standardContextual"/>
        </w:rPr>
        <w:t>i</w:t>
      </w:r>
      <w:r w:rsidRPr="00707F87">
        <w:rPr>
          <w:kern w:val="2"/>
          <w:sz w:val="24"/>
          <w:szCs w:val="24"/>
          <w14:ligatures w14:val="standardContextual"/>
        </w:rPr>
        <w:t>ntégration optimale des 3 dimensions</w:t>
      </w:r>
      <w:r w:rsidRPr="00AB5D05">
        <w:rPr>
          <w:kern w:val="2"/>
          <w:sz w:val="24"/>
          <w:szCs w:val="24"/>
          <w14:ligatures w14:val="standardContextual"/>
        </w:rPr>
        <w:t>.</w:t>
      </w:r>
    </w:p>
    <w:p w14:paraId="51128990" w14:textId="77777777" w:rsidR="00D80693" w:rsidRPr="00707F87"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En somme, le modèle TPACK renvoie à la maîtrise et l’intégration des contenus pédagogiques et technologiques, puisqu’il cible les compétences spécifiques à évaluer.</w:t>
      </w:r>
    </w:p>
    <w:p w14:paraId="4F342C2F" w14:textId="77777777" w:rsidR="00D80693" w:rsidRPr="00AB5D05" w:rsidRDefault="00D80693" w:rsidP="007944D2">
      <w:pPr>
        <w:pStyle w:val="Paragraphedeliste"/>
        <w:widowControl/>
        <w:numPr>
          <w:ilvl w:val="0"/>
          <w:numId w:val="159"/>
        </w:numPr>
        <w:tabs>
          <w:tab w:val="left" w:pos="1290"/>
        </w:tabs>
        <w:autoSpaceDE/>
        <w:autoSpaceDN/>
        <w:spacing w:after="160"/>
        <w:contextualSpacing/>
        <w:rPr>
          <w:kern w:val="2"/>
          <w:sz w:val="24"/>
          <w:szCs w:val="24"/>
          <w14:ligatures w14:val="standardContextual"/>
        </w:rPr>
      </w:pPr>
      <w:r w:rsidRPr="00AB5D05">
        <w:rPr>
          <w:b/>
          <w:bCs/>
          <w:kern w:val="2"/>
          <w:sz w:val="24"/>
          <w:szCs w:val="24"/>
          <w14:ligatures w14:val="standardContextual"/>
        </w:rPr>
        <w:t>Théorie de l’auto-efficacité (Bandura, 1977)</w:t>
      </w:r>
    </w:p>
    <w:p w14:paraId="1F8FDCDF" w14:textId="77777777" w:rsidR="00D80693" w:rsidRPr="008127B8" w:rsidRDefault="00D80693" w:rsidP="007944D2">
      <w:pPr>
        <w:tabs>
          <w:tab w:val="left" w:pos="1290"/>
        </w:tabs>
        <w:spacing w:before="120"/>
        <w:jc w:val="both"/>
        <w:rPr>
          <w:kern w:val="2"/>
          <w:sz w:val="24"/>
          <w:szCs w:val="24"/>
          <w14:ligatures w14:val="standardContextual"/>
        </w:rPr>
      </w:pPr>
      <w:r w:rsidRPr="009C4DC6">
        <w:rPr>
          <w:kern w:val="2"/>
          <w:sz w:val="24"/>
          <w:szCs w:val="24"/>
          <w14:ligatures w14:val="standardContextual"/>
        </w:rPr>
        <w:t>La théorie de l’auto-efficacité (Bandura, 1977)</w:t>
      </w:r>
      <w:r w:rsidRPr="00AB5D05">
        <w:rPr>
          <w:kern w:val="2"/>
          <w:sz w:val="24"/>
          <w:szCs w:val="24"/>
          <w14:ligatures w14:val="standardContextual"/>
        </w:rPr>
        <w:t xml:space="preserve"> est axée sur la croyance d'un individu en sa capacité à accomplir une tâche spécifique. Quatre sources la renforcent : les e</w:t>
      </w:r>
      <w:r w:rsidRPr="008127B8">
        <w:rPr>
          <w:kern w:val="2"/>
          <w:sz w:val="24"/>
          <w:szCs w:val="24"/>
          <w14:ligatures w14:val="standardContextual"/>
        </w:rPr>
        <w:t>xpériences actives (réussites passées)</w:t>
      </w:r>
      <w:r w:rsidRPr="00AB5D05">
        <w:rPr>
          <w:kern w:val="2"/>
          <w:sz w:val="24"/>
          <w:szCs w:val="24"/>
          <w14:ligatures w14:val="standardContextual"/>
        </w:rPr>
        <w:t>, les e</w:t>
      </w:r>
      <w:r w:rsidRPr="008127B8">
        <w:rPr>
          <w:kern w:val="2"/>
          <w:sz w:val="24"/>
          <w:szCs w:val="24"/>
          <w14:ligatures w14:val="standardContextual"/>
        </w:rPr>
        <w:t>xpériences vicariantes (observation des pairs)</w:t>
      </w:r>
      <w:r w:rsidRPr="00AB5D05">
        <w:rPr>
          <w:kern w:val="2"/>
          <w:sz w:val="24"/>
          <w:szCs w:val="24"/>
          <w14:ligatures w14:val="standardContextual"/>
        </w:rPr>
        <w:t>, la p</w:t>
      </w:r>
      <w:r w:rsidRPr="008127B8">
        <w:rPr>
          <w:kern w:val="2"/>
          <w:sz w:val="24"/>
          <w:szCs w:val="24"/>
          <w14:ligatures w14:val="standardContextual"/>
        </w:rPr>
        <w:t>ersuasion verbale (feedback positif)</w:t>
      </w:r>
      <w:r w:rsidRPr="00AB5D05">
        <w:rPr>
          <w:kern w:val="2"/>
          <w:sz w:val="24"/>
          <w:szCs w:val="24"/>
          <w14:ligatures w14:val="standardContextual"/>
        </w:rPr>
        <w:t xml:space="preserve"> et l’é</w:t>
      </w:r>
      <w:r w:rsidRPr="008127B8">
        <w:rPr>
          <w:kern w:val="2"/>
          <w:sz w:val="24"/>
          <w:szCs w:val="24"/>
          <w14:ligatures w14:val="standardContextual"/>
        </w:rPr>
        <w:t>tat physiologique (stress/gestion des émotions)</w:t>
      </w:r>
      <w:r w:rsidRPr="00AB5D05">
        <w:rPr>
          <w:kern w:val="2"/>
          <w:sz w:val="24"/>
          <w:szCs w:val="24"/>
          <w14:ligatures w14:val="standardContextual"/>
        </w:rPr>
        <w:t xml:space="preserve">. Cette théorie </w:t>
      </w:r>
      <w:r w:rsidRPr="009C4DC6">
        <w:rPr>
          <w:kern w:val="2"/>
          <w:sz w:val="24"/>
          <w:szCs w:val="24"/>
          <w14:ligatures w14:val="standardContextual"/>
        </w:rPr>
        <w:t xml:space="preserve">souligne le rôle de la confiance acquise en formation dans la persévérance face aux défis </w:t>
      </w:r>
      <w:r w:rsidRPr="00AB5D05">
        <w:rPr>
          <w:kern w:val="2"/>
          <w:sz w:val="24"/>
          <w:szCs w:val="24"/>
          <w14:ligatures w14:val="standardContextual"/>
        </w:rPr>
        <w:t xml:space="preserve">du </w:t>
      </w:r>
      <w:r w:rsidRPr="009C4DC6">
        <w:rPr>
          <w:kern w:val="2"/>
          <w:sz w:val="24"/>
          <w:szCs w:val="24"/>
          <w14:ligatures w14:val="standardContextual"/>
        </w:rPr>
        <w:t>terrain.</w:t>
      </w:r>
      <w:r w:rsidRPr="00AB5D05">
        <w:rPr>
          <w:rFonts w:ascii="Segoe UI" w:hAnsi="Segoe UI" w:cs="Segoe UI"/>
          <w:color w:val="404040"/>
          <w:sz w:val="24"/>
          <w:szCs w:val="24"/>
          <w:lang w:eastAsia="fr-FR"/>
        </w:rPr>
        <w:t xml:space="preserve"> </w:t>
      </w:r>
      <w:r w:rsidRPr="00AB5D05">
        <w:rPr>
          <w:kern w:val="2"/>
          <w:sz w:val="24"/>
          <w:szCs w:val="24"/>
          <w14:ligatures w14:val="standardContextual"/>
        </w:rPr>
        <w:t>Elle explique comment la formation renforce la confiance des enseignants dans leurs capacités à appliquer de nouvelles méthodes et elle est l</w:t>
      </w:r>
      <w:r w:rsidRPr="008127B8">
        <w:rPr>
          <w:kern w:val="2"/>
          <w:sz w:val="24"/>
          <w:szCs w:val="24"/>
          <w14:ligatures w14:val="standardContextual"/>
        </w:rPr>
        <w:t xml:space="preserve">iée à leur motivation et persévérance face aux défis </w:t>
      </w:r>
      <w:r w:rsidRPr="00AB5D05">
        <w:rPr>
          <w:kern w:val="2"/>
          <w:sz w:val="24"/>
          <w:szCs w:val="24"/>
          <w14:ligatures w14:val="standardContextual"/>
        </w:rPr>
        <w:t xml:space="preserve">du </w:t>
      </w:r>
      <w:r w:rsidRPr="008127B8">
        <w:rPr>
          <w:kern w:val="2"/>
          <w:sz w:val="24"/>
          <w:szCs w:val="24"/>
          <w14:ligatures w14:val="standardContextual"/>
        </w:rPr>
        <w:t>terrain.</w:t>
      </w:r>
      <w:r>
        <w:rPr>
          <w:kern w:val="2"/>
          <w:sz w:val="24"/>
          <w:szCs w:val="24"/>
          <w14:ligatures w14:val="standardContextual"/>
        </w:rPr>
        <w:t xml:space="preserve"> </w:t>
      </w:r>
      <w:r w:rsidRPr="00AB5D05">
        <w:rPr>
          <w:kern w:val="2"/>
          <w:sz w:val="24"/>
          <w:szCs w:val="24"/>
          <w14:ligatures w14:val="standardContextual"/>
        </w:rPr>
        <w:t>Par exemple : Un enseignant avec une forte auto-efficacité persiste davantage face aux défis (classes surchargées, manque de matériel, etc.).</w:t>
      </w:r>
    </w:p>
    <w:p w14:paraId="6D1909A9" w14:textId="77777777" w:rsidR="00D80693" w:rsidRPr="00AB5D05" w:rsidRDefault="00D80693" w:rsidP="007944D2">
      <w:pPr>
        <w:pStyle w:val="Paragraphedeliste"/>
        <w:widowControl/>
        <w:numPr>
          <w:ilvl w:val="0"/>
          <w:numId w:val="159"/>
        </w:numPr>
        <w:tabs>
          <w:tab w:val="left" w:pos="1290"/>
        </w:tabs>
        <w:autoSpaceDE/>
        <w:autoSpaceDN/>
        <w:spacing w:after="160"/>
        <w:contextualSpacing/>
        <w:rPr>
          <w:kern w:val="2"/>
          <w:sz w:val="24"/>
          <w:szCs w:val="24"/>
          <w14:ligatures w14:val="standardContextual"/>
        </w:rPr>
      </w:pPr>
      <w:r w:rsidRPr="00AB5D05">
        <w:rPr>
          <w:b/>
          <w:bCs/>
          <w:kern w:val="2"/>
          <w:sz w:val="24"/>
          <w:szCs w:val="24"/>
          <w14:ligatures w14:val="standardContextual"/>
        </w:rPr>
        <w:t>Modèle Kirkpatrick (1959) – Évaluation de la formation</w:t>
      </w:r>
    </w:p>
    <w:p w14:paraId="74949080" w14:textId="77777777" w:rsidR="00D80693" w:rsidRPr="00AB5D05" w:rsidRDefault="00D80693" w:rsidP="007944D2">
      <w:pPr>
        <w:tabs>
          <w:tab w:val="left" w:pos="1290"/>
        </w:tabs>
        <w:spacing w:before="120"/>
        <w:jc w:val="both"/>
        <w:rPr>
          <w:kern w:val="2"/>
          <w:sz w:val="24"/>
          <w:szCs w:val="24"/>
          <w14:ligatures w14:val="standardContextual"/>
        </w:rPr>
      </w:pPr>
      <w:r w:rsidRPr="009C4DC6">
        <w:rPr>
          <w:kern w:val="2"/>
          <w:sz w:val="24"/>
          <w:szCs w:val="24"/>
          <w14:ligatures w14:val="standardContextual"/>
        </w:rPr>
        <w:t>Enfin, le modèle Kirkpatrick (1959) fournit une grille d’évaluation systématique, articulant satisfaction des enseignants, acquis cognitifs, application en classe et effets sur les apprentissages. Ensemble, ces cadres théoriques permettent une analyse multidimensionnelle des mécanismes d’appropriation et de transfert des compétences, tout en guidant la conception de formations réalistes dans des contextes aux ressources limitées, comme le Mali.</w:t>
      </w:r>
    </w:p>
    <w:p w14:paraId="0278854D" w14:textId="1DE35120" w:rsidR="007944D2" w:rsidRDefault="00D80693" w:rsidP="007944D2">
      <w:pPr>
        <w:tabs>
          <w:tab w:val="left" w:pos="1290"/>
        </w:tabs>
        <w:spacing w:before="120"/>
        <w:jc w:val="both"/>
        <w:rPr>
          <w:kern w:val="2"/>
          <w:sz w:val="24"/>
          <w:szCs w:val="24"/>
          <w14:ligatures w14:val="standardContextual"/>
        </w:rPr>
      </w:pPr>
      <w:r w:rsidRPr="00AB5D05">
        <w:rPr>
          <w:kern w:val="2"/>
          <w:sz w:val="24"/>
          <w:szCs w:val="24"/>
          <w14:ligatures w14:val="standardContextual"/>
        </w:rPr>
        <w:t xml:space="preserve">Le modèle permet de </w:t>
      </w:r>
      <w:r w:rsidRPr="00185A8A">
        <w:rPr>
          <w:kern w:val="2"/>
          <w:sz w:val="24"/>
          <w:szCs w:val="24"/>
          <w14:ligatures w14:val="standardContextual"/>
        </w:rPr>
        <w:t>mesurer l’impact à 4 niveaux :</w:t>
      </w:r>
      <w:r w:rsidRPr="00AB5D05">
        <w:rPr>
          <w:kern w:val="2"/>
          <w:sz w:val="24"/>
          <w:szCs w:val="24"/>
          <w14:ligatures w14:val="standardContextual"/>
        </w:rPr>
        <w:t xml:space="preserve"> la r</w:t>
      </w:r>
      <w:r w:rsidRPr="00185A8A">
        <w:rPr>
          <w:kern w:val="2"/>
          <w:sz w:val="24"/>
          <w:szCs w:val="24"/>
          <w14:ligatures w14:val="standardContextual"/>
        </w:rPr>
        <w:t>éaction (satisfaction des enseignants)</w:t>
      </w:r>
      <w:r w:rsidRPr="00AB5D05">
        <w:rPr>
          <w:kern w:val="2"/>
          <w:sz w:val="24"/>
          <w:szCs w:val="24"/>
          <w14:ligatures w14:val="standardContextual"/>
        </w:rPr>
        <w:t>, l’a</w:t>
      </w:r>
      <w:r w:rsidRPr="00185A8A">
        <w:rPr>
          <w:kern w:val="2"/>
          <w:sz w:val="24"/>
          <w:szCs w:val="24"/>
          <w14:ligatures w14:val="standardContextual"/>
        </w:rPr>
        <w:t>pprentissage (acquisition de compétences)</w:t>
      </w:r>
      <w:r w:rsidRPr="00AB5D05">
        <w:rPr>
          <w:kern w:val="2"/>
          <w:sz w:val="24"/>
          <w:szCs w:val="24"/>
          <w14:ligatures w14:val="standardContextual"/>
        </w:rPr>
        <w:t>, le c</w:t>
      </w:r>
      <w:r w:rsidRPr="00185A8A">
        <w:rPr>
          <w:kern w:val="2"/>
          <w:sz w:val="24"/>
          <w:szCs w:val="24"/>
          <w14:ligatures w14:val="standardContextual"/>
        </w:rPr>
        <w:t>omportement (changement des pratiques en classe)</w:t>
      </w:r>
      <w:r w:rsidRPr="00AB5D05">
        <w:rPr>
          <w:kern w:val="2"/>
          <w:sz w:val="24"/>
          <w:szCs w:val="24"/>
          <w14:ligatures w14:val="standardContextual"/>
        </w:rPr>
        <w:t xml:space="preserve"> et les r</w:t>
      </w:r>
      <w:r w:rsidRPr="00185A8A">
        <w:rPr>
          <w:kern w:val="2"/>
          <w:sz w:val="24"/>
          <w:szCs w:val="24"/>
          <w14:ligatures w14:val="standardContextual"/>
        </w:rPr>
        <w:t>ésultats (effets sur les élèves).</w:t>
      </w:r>
    </w:p>
    <w:p w14:paraId="34AC04C1" w14:textId="77777777" w:rsidR="007944D2" w:rsidRDefault="007944D2">
      <w:pPr>
        <w:rPr>
          <w:kern w:val="2"/>
          <w:sz w:val="24"/>
          <w:szCs w:val="24"/>
          <w14:ligatures w14:val="standardContextual"/>
        </w:rPr>
      </w:pPr>
      <w:r>
        <w:rPr>
          <w:kern w:val="2"/>
          <w:sz w:val="24"/>
          <w:szCs w:val="24"/>
          <w14:ligatures w14:val="standardContextual"/>
        </w:rPr>
        <w:br w:type="page"/>
      </w:r>
    </w:p>
    <w:p w14:paraId="344388C9" w14:textId="77777777" w:rsidR="00D80693" w:rsidRPr="00AB5D05" w:rsidRDefault="00D80693" w:rsidP="007944D2">
      <w:pPr>
        <w:tabs>
          <w:tab w:val="left" w:pos="1290"/>
        </w:tabs>
        <w:spacing w:before="120"/>
        <w:jc w:val="both"/>
        <w:rPr>
          <w:kern w:val="2"/>
          <w:sz w:val="24"/>
          <w:szCs w:val="24"/>
          <w14:ligatures w14:val="standardContextual"/>
        </w:rPr>
      </w:pPr>
    </w:p>
    <w:p w14:paraId="649E85C1" w14:textId="77777777" w:rsidR="00D80693" w:rsidRPr="00C554F3" w:rsidRDefault="00D80693" w:rsidP="007944D2">
      <w:pPr>
        <w:tabs>
          <w:tab w:val="left" w:pos="1290"/>
        </w:tabs>
        <w:spacing w:before="120"/>
        <w:jc w:val="center"/>
        <w:rPr>
          <w:i/>
          <w:iCs/>
          <w:kern w:val="2"/>
          <w14:ligatures w14:val="standardContextual"/>
        </w:rPr>
      </w:pPr>
      <w:r w:rsidRPr="00C554F3">
        <w:rPr>
          <w:b/>
          <w:bCs/>
          <w:i/>
          <w:iCs/>
          <w:kern w:val="2"/>
          <w14:ligatures w14:val="standardContextual"/>
        </w:rPr>
        <w:t>Tableau n°1</w:t>
      </w:r>
      <w:r w:rsidRPr="00C554F3">
        <w:rPr>
          <w:i/>
          <w:iCs/>
          <w:kern w:val="2"/>
          <w14:ligatures w14:val="standardContextual"/>
        </w:rPr>
        <w:t> : Les niveaux d'évaluation du modèle</w:t>
      </w:r>
    </w:p>
    <w:tbl>
      <w:tblPr>
        <w:tblStyle w:val="Tableausimp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3857"/>
        <w:gridCol w:w="3255"/>
      </w:tblGrid>
      <w:tr w:rsidR="00D80693" w14:paraId="1E86454B" w14:textId="77777777" w:rsidTr="00D72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7E3274" w14:textId="77777777" w:rsidR="00D80693" w:rsidRPr="002F7B72" w:rsidRDefault="00D80693" w:rsidP="007944D2">
            <w:pPr>
              <w:tabs>
                <w:tab w:val="left" w:pos="1290"/>
              </w:tabs>
              <w:spacing w:before="120"/>
              <w:jc w:val="both"/>
              <w:rPr>
                <w:sz w:val="24"/>
                <w:szCs w:val="24"/>
              </w:rPr>
            </w:pPr>
            <w:r w:rsidRPr="002F7B72">
              <w:rPr>
                <w:sz w:val="24"/>
                <w:szCs w:val="24"/>
              </w:rPr>
              <w:t>Niveau</w:t>
            </w:r>
          </w:p>
        </w:tc>
        <w:tc>
          <w:tcPr>
            <w:tcW w:w="3857" w:type="dxa"/>
            <w:hideMark/>
          </w:tcPr>
          <w:p w14:paraId="746267DA" w14:textId="77777777" w:rsidR="00D80693" w:rsidRPr="002F7B72" w:rsidRDefault="00D80693" w:rsidP="007944D2">
            <w:pPr>
              <w:tabs>
                <w:tab w:val="left" w:pos="1290"/>
              </w:tabs>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2F7B72">
              <w:rPr>
                <w:sz w:val="24"/>
                <w:szCs w:val="24"/>
              </w:rPr>
              <w:t>Question</w:t>
            </w:r>
          </w:p>
        </w:tc>
        <w:tc>
          <w:tcPr>
            <w:tcW w:w="3255" w:type="dxa"/>
            <w:hideMark/>
          </w:tcPr>
          <w:p w14:paraId="7E36FC9E" w14:textId="77777777" w:rsidR="00D80693" w:rsidRPr="002F7B72" w:rsidRDefault="00D80693" w:rsidP="007944D2">
            <w:pPr>
              <w:tabs>
                <w:tab w:val="left" w:pos="1290"/>
              </w:tabs>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2F7B72">
              <w:rPr>
                <w:sz w:val="24"/>
                <w:szCs w:val="24"/>
              </w:rPr>
              <w:t>Méthode d'évaluation</w:t>
            </w:r>
          </w:p>
        </w:tc>
      </w:tr>
      <w:tr w:rsidR="00D80693" w14:paraId="0AA5D932"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1D0685" w14:textId="77777777" w:rsidR="00D80693" w:rsidRPr="002F7B72" w:rsidRDefault="00D80693" w:rsidP="007944D2">
            <w:pPr>
              <w:tabs>
                <w:tab w:val="left" w:pos="1290"/>
              </w:tabs>
              <w:spacing w:before="120"/>
              <w:jc w:val="both"/>
              <w:rPr>
                <w:sz w:val="24"/>
                <w:szCs w:val="24"/>
              </w:rPr>
            </w:pPr>
            <w:r w:rsidRPr="002F7B72">
              <w:rPr>
                <w:b w:val="0"/>
                <w:bCs w:val="0"/>
                <w:sz w:val="24"/>
                <w:szCs w:val="24"/>
              </w:rPr>
              <w:t>1. Réaction</w:t>
            </w:r>
          </w:p>
        </w:tc>
        <w:tc>
          <w:tcPr>
            <w:tcW w:w="3857" w:type="dxa"/>
            <w:hideMark/>
          </w:tcPr>
          <w:p w14:paraId="148FDF9B"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Les enseignants ont-ils apprécié la formation ?</w:t>
            </w:r>
          </w:p>
        </w:tc>
        <w:tc>
          <w:tcPr>
            <w:tcW w:w="3255" w:type="dxa"/>
            <w:hideMark/>
          </w:tcPr>
          <w:p w14:paraId="6E81F521"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Questionnaires de satisfaction</w:t>
            </w:r>
          </w:p>
        </w:tc>
      </w:tr>
      <w:tr w:rsidR="00D80693" w14:paraId="3144A3A9" w14:textId="77777777" w:rsidTr="00D72320">
        <w:tc>
          <w:tcPr>
            <w:cnfStyle w:val="001000000000" w:firstRow="0" w:lastRow="0" w:firstColumn="1" w:lastColumn="0" w:oddVBand="0" w:evenVBand="0" w:oddHBand="0" w:evenHBand="0" w:firstRowFirstColumn="0" w:firstRowLastColumn="0" w:lastRowFirstColumn="0" w:lastRowLastColumn="0"/>
            <w:tcW w:w="0" w:type="auto"/>
            <w:hideMark/>
          </w:tcPr>
          <w:p w14:paraId="1789FD5A" w14:textId="77777777" w:rsidR="00D80693" w:rsidRPr="002F7B72" w:rsidRDefault="00D80693" w:rsidP="007944D2">
            <w:pPr>
              <w:tabs>
                <w:tab w:val="left" w:pos="1290"/>
              </w:tabs>
              <w:spacing w:before="120"/>
              <w:jc w:val="both"/>
              <w:rPr>
                <w:sz w:val="24"/>
                <w:szCs w:val="24"/>
              </w:rPr>
            </w:pPr>
            <w:r w:rsidRPr="002F7B72">
              <w:rPr>
                <w:b w:val="0"/>
                <w:bCs w:val="0"/>
                <w:sz w:val="24"/>
                <w:szCs w:val="24"/>
              </w:rPr>
              <w:t>2. Apprentissage</w:t>
            </w:r>
          </w:p>
        </w:tc>
        <w:tc>
          <w:tcPr>
            <w:tcW w:w="3857" w:type="dxa"/>
            <w:hideMark/>
          </w:tcPr>
          <w:p w14:paraId="23C9234A"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Ont-ils acquis des connaissances ?</w:t>
            </w:r>
          </w:p>
        </w:tc>
        <w:tc>
          <w:tcPr>
            <w:tcW w:w="3255" w:type="dxa"/>
            <w:hideMark/>
          </w:tcPr>
          <w:p w14:paraId="765B8D32"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Tests avant/après</w:t>
            </w:r>
          </w:p>
        </w:tc>
      </w:tr>
      <w:tr w:rsidR="00D80693" w14:paraId="1AB79266"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764D6" w14:textId="77777777" w:rsidR="00D80693" w:rsidRPr="002F7B72" w:rsidRDefault="00D80693" w:rsidP="007944D2">
            <w:pPr>
              <w:tabs>
                <w:tab w:val="left" w:pos="1290"/>
              </w:tabs>
              <w:spacing w:before="120"/>
              <w:jc w:val="both"/>
              <w:rPr>
                <w:sz w:val="24"/>
                <w:szCs w:val="24"/>
              </w:rPr>
            </w:pPr>
            <w:r w:rsidRPr="002F7B72">
              <w:rPr>
                <w:b w:val="0"/>
                <w:bCs w:val="0"/>
                <w:sz w:val="24"/>
                <w:szCs w:val="24"/>
              </w:rPr>
              <w:t>3. Comportement</w:t>
            </w:r>
          </w:p>
        </w:tc>
        <w:tc>
          <w:tcPr>
            <w:tcW w:w="3857" w:type="dxa"/>
            <w:hideMark/>
          </w:tcPr>
          <w:p w14:paraId="1AF42270"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Appliquent-ils les compétences ?</w:t>
            </w:r>
          </w:p>
        </w:tc>
        <w:tc>
          <w:tcPr>
            <w:tcW w:w="3255" w:type="dxa"/>
            <w:hideMark/>
          </w:tcPr>
          <w:p w14:paraId="22D9DB1C"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Observations de classe</w:t>
            </w:r>
          </w:p>
        </w:tc>
      </w:tr>
      <w:tr w:rsidR="00D80693" w14:paraId="7F3751B6" w14:textId="77777777" w:rsidTr="00D72320">
        <w:tc>
          <w:tcPr>
            <w:cnfStyle w:val="001000000000" w:firstRow="0" w:lastRow="0" w:firstColumn="1" w:lastColumn="0" w:oddVBand="0" w:evenVBand="0" w:oddHBand="0" w:evenHBand="0" w:firstRowFirstColumn="0" w:firstRowLastColumn="0" w:lastRowFirstColumn="0" w:lastRowLastColumn="0"/>
            <w:tcW w:w="0" w:type="auto"/>
            <w:hideMark/>
          </w:tcPr>
          <w:p w14:paraId="0F7802A3" w14:textId="77777777" w:rsidR="00D80693" w:rsidRPr="002F7B72" w:rsidRDefault="00D80693" w:rsidP="007944D2">
            <w:pPr>
              <w:tabs>
                <w:tab w:val="left" w:pos="1290"/>
              </w:tabs>
              <w:spacing w:before="120"/>
              <w:jc w:val="both"/>
              <w:rPr>
                <w:sz w:val="24"/>
                <w:szCs w:val="24"/>
              </w:rPr>
            </w:pPr>
            <w:r w:rsidRPr="002F7B72">
              <w:rPr>
                <w:b w:val="0"/>
                <w:bCs w:val="0"/>
                <w:sz w:val="24"/>
                <w:szCs w:val="24"/>
              </w:rPr>
              <w:t>4. Résultats</w:t>
            </w:r>
          </w:p>
        </w:tc>
        <w:tc>
          <w:tcPr>
            <w:tcW w:w="3857" w:type="dxa"/>
            <w:hideMark/>
          </w:tcPr>
          <w:p w14:paraId="0A09E7CF"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Impact sur les élèves ?</w:t>
            </w:r>
          </w:p>
        </w:tc>
        <w:tc>
          <w:tcPr>
            <w:tcW w:w="3255" w:type="dxa"/>
            <w:hideMark/>
          </w:tcPr>
          <w:p w14:paraId="390E9357"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Notes, taux de participation</w:t>
            </w:r>
          </w:p>
        </w:tc>
      </w:tr>
    </w:tbl>
    <w:p w14:paraId="08469C8C" w14:textId="77777777" w:rsidR="00D80693" w:rsidRPr="00C554F3" w:rsidRDefault="00D80693" w:rsidP="007944D2">
      <w:pPr>
        <w:tabs>
          <w:tab w:val="left" w:pos="1290"/>
        </w:tabs>
        <w:spacing w:before="120"/>
        <w:jc w:val="both"/>
        <w:rPr>
          <w:i/>
          <w:iCs/>
          <w:kern w:val="2"/>
          <w14:ligatures w14:val="standardContextual"/>
        </w:rPr>
      </w:pPr>
      <w:r w:rsidRPr="00C554F3">
        <w:rPr>
          <w:i/>
          <w:iCs/>
          <w:kern w:val="2"/>
          <w14:ligatures w14:val="standardContextual"/>
        </w:rPr>
        <w:t>Source : Recherche documentaire, juillet 2025</w:t>
      </w:r>
    </w:p>
    <w:p w14:paraId="17F049DB" w14:textId="77777777" w:rsidR="00D80693" w:rsidRPr="00C554F3" w:rsidRDefault="00D80693" w:rsidP="007944D2">
      <w:pPr>
        <w:tabs>
          <w:tab w:val="left" w:pos="1290"/>
        </w:tabs>
        <w:spacing w:before="120"/>
        <w:jc w:val="center"/>
        <w:rPr>
          <w:i/>
          <w:iCs/>
          <w:kern w:val="2"/>
          <w14:ligatures w14:val="standardContextual"/>
        </w:rPr>
      </w:pPr>
      <w:r w:rsidRPr="00C554F3">
        <w:rPr>
          <w:b/>
          <w:bCs/>
          <w:i/>
          <w:iCs/>
          <w:kern w:val="2"/>
          <w14:ligatures w14:val="standardContextual"/>
        </w:rPr>
        <w:t>Tableau n°2</w:t>
      </w:r>
      <w:r w:rsidRPr="00C554F3">
        <w:rPr>
          <w:i/>
          <w:iCs/>
          <w:kern w:val="2"/>
          <w14:ligatures w14:val="standardContextual"/>
        </w:rPr>
        <w:t> : La synthèse des apports théoriques</w:t>
      </w:r>
    </w:p>
    <w:tbl>
      <w:tblPr>
        <w:tblStyle w:val="Tableausimp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3203"/>
        <w:gridCol w:w="4403"/>
      </w:tblGrid>
      <w:tr w:rsidR="00D80693" w14:paraId="3370739A" w14:textId="77777777" w:rsidTr="00D72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4E035D" w14:textId="77777777" w:rsidR="00D80693" w:rsidRPr="002F7B72" w:rsidRDefault="00D80693" w:rsidP="007944D2">
            <w:pPr>
              <w:tabs>
                <w:tab w:val="left" w:pos="1290"/>
              </w:tabs>
              <w:spacing w:before="120"/>
              <w:jc w:val="both"/>
              <w:rPr>
                <w:sz w:val="24"/>
                <w:szCs w:val="24"/>
              </w:rPr>
            </w:pPr>
            <w:r w:rsidRPr="002F7B72">
              <w:rPr>
                <w:sz w:val="24"/>
                <w:szCs w:val="24"/>
              </w:rPr>
              <w:t>Théorie</w:t>
            </w:r>
          </w:p>
        </w:tc>
        <w:tc>
          <w:tcPr>
            <w:tcW w:w="0" w:type="auto"/>
            <w:hideMark/>
          </w:tcPr>
          <w:p w14:paraId="63E3F873" w14:textId="77777777" w:rsidR="00D80693" w:rsidRPr="002F7B72" w:rsidRDefault="00D80693" w:rsidP="007944D2">
            <w:pPr>
              <w:tabs>
                <w:tab w:val="left" w:pos="1290"/>
              </w:tabs>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2F7B72">
              <w:rPr>
                <w:sz w:val="24"/>
                <w:szCs w:val="24"/>
              </w:rPr>
              <w:t>Ce qu'elle explique</w:t>
            </w:r>
          </w:p>
        </w:tc>
        <w:tc>
          <w:tcPr>
            <w:tcW w:w="0" w:type="auto"/>
            <w:hideMark/>
          </w:tcPr>
          <w:p w14:paraId="3BBF42BF" w14:textId="77777777" w:rsidR="00D80693" w:rsidRPr="002F7B72" w:rsidRDefault="00D80693" w:rsidP="007944D2">
            <w:pPr>
              <w:tabs>
                <w:tab w:val="left" w:pos="1290"/>
              </w:tabs>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2F7B72">
              <w:rPr>
                <w:sz w:val="24"/>
                <w:szCs w:val="24"/>
              </w:rPr>
              <w:t>Comment l'utiliser ?</w:t>
            </w:r>
          </w:p>
        </w:tc>
      </w:tr>
      <w:tr w:rsidR="00D80693" w14:paraId="72E8ABB5"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FA918" w14:textId="77777777" w:rsidR="00D80693" w:rsidRPr="00185A8A" w:rsidRDefault="00D80693" w:rsidP="007944D2">
            <w:pPr>
              <w:tabs>
                <w:tab w:val="left" w:pos="1290"/>
              </w:tabs>
              <w:spacing w:before="120"/>
              <w:jc w:val="both"/>
              <w:rPr>
                <w:sz w:val="24"/>
                <w:szCs w:val="24"/>
              </w:rPr>
            </w:pPr>
            <w:proofErr w:type="spellStart"/>
            <w:r w:rsidRPr="00185A8A">
              <w:rPr>
                <w:sz w:val="24"/>
                <w:szCs w:val="24"/>
              </w:rPr>
              <w:t>Mezirow</w:t>
            </w:r>
            <w:proofErr w:type="spellEnd"/>
          </w:p>
        </w:tc>
        <w:tc>
          <w:tcPr>
            <w:tcW w:w="0" w:type="auto"/>
            <w:hideMark/>
          </w:tcPr>
          <w:p w14:paraId="7FD6E8DD"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Transformation des pratiques</w:t>
            </w:r>
          </w:p>
        </w:tc>
        <w:tc>
          <w:tcPr>
            <w:tcW w:w="0" w:type="auto"/>
            <w:hideMark/>
          </w:tcPr>
          <w:p w14:paraId="72B05CE5"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Analyser les réflexions critiques des enseignants</w:t>
            </w:r>
          </w:p>
        </w:tc>
      </w:tr>
      <w:tr w:rsidR="00D80693" w14:paraId="40F6C02B" w14:textId="77777777" w:rsidTr="00D72320">
        <w:tc>
          <w:tcPr>
            <w:cnfStyle w:val="001000000000" w:firstRow="0" w:lastRow="0" w:firstColumn="1" w:lastColumn="0" w:oddVBand="0" w:evenVBand="0" w:oddHBand="0" w:evenHBand="0" w:firstRowFirstColumn="0" w:firstRowLastColumn="0" w:lastRowFirstColumn="0" w:lastRowLastColumn="0"/>
            <w:tcW w:w="0" w:type="auto"/>
            <w:hideMark/>
          </w:tcPr>
          <w:p w14:paraId="63103BF5" w14:textId="77777777" w:rsidR="00D80693" w:rsidRPr="00185A8A" w:rsidRDefault="00D80693" w:rsidP="007944D2">
            <w:pPr>
              <w:tabs>
                <w:tab w:val="left" w:pos="1290"/>
              </w:tabs>
              <w:spacing w:before="120"/>
              <w:jc w:val="both"/>
              <w:rPr>
                <w:sz w:val="24"/>
                <w:szCs w:val="24"/>
              </w:rPr>
            </w:pPr>
            <w:proofErr w:type="spellStart"/>
            <w:r w:rsidRPr="00185A8A">
              <w:rPr>
                <w:sz w:val="24"/>
                <w:szCs w:val="24"/>
              </w:rPr>
              <w:t>Sweller</w:t>
            </w:r>
            <w:proofErr w:type="spellEnd"/>
          </w:p>
        </w:tc>
        <w:tc>
          <w:tcPr>
            <w:tcW w:w="0" w:type="auto"/>
            <w:hideMark/>
          </w:tcPr>
          <w:p w14:paraId="00D913EE"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Optimisation du format formation</w:t>
            </w:r>
          </w:p>
        </w:tc>
        <w:tc>
          <w:tcPr>
            <w:tcW w:w="0" w:type="auto"/>
            <w:hideMark/>
          </w:tcPr>
          <w:p w14:paraId="22DE307C"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Concevoir des modules "digestes"</w:t>
            </w:r>
          </w:p>
        </w:tc>
      </w:tr>
      <w:tr w:rsidR="00D80693" w14:paraId="78F38FE9"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36FCA9" w14:textId="77777777" w:rsidR="00D80693" w:rsidRPr="00185A8A" w:rsidRDefault="00D80693" w:rsidP="007944D2">
            <w:pPr>
              <w:tabs>
                <w:tab w:val="left" w:pos="1290"/>
              </w:tabs>
              <w:spacing w:before="120"/>
              <w:jc w:val="both"/>
              <w:rPr>
                <w:sz w:val="24"/>
                <w:szCs w:val="24"/>
              </w:rPr>
            </w:pPr>
            <w:r w:rsidRPr="00185A8A">
              <w:rPr>
                <w:sz w:val="24"/>
                <w:szCs w:val="24"/>
              </w:rPr>
              <w:t>TPACK</w:t>
            </w:r>
          </w:p>
        </w:tc>
        <w:tc>
          <w:tcPr>
            <w:tcW w:w="0" w:type="auto"/>
            <w:hideMark/>
          </w:tcPr>
          <w:p w14:paraId="3987C90B"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Intégration des compétences</w:t>
            </w:r>
          </w:p>
        </w:tc>
        <w:tc>
          <w:tcPr>
            <w:tcW w:w="0" w:type="auto"/>
            <w:hideMark/>
          </w:tcPr>
          <w:p w14:paraId="2938892F"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Cartographier les forces/faiblesses</w:t>
            </w:r>
          </w:p>
        </w:tc>
      </w:tr>
      <w:tr w:rsidR="00D80693" w14:paraId="7D21A995" w14:textId="77777777" w:rsidTr="00D72320">
        <w:tc>
          <w:tcPr>
            <w:cnfStyle w:val="001000000000" w:firstRow="0" w:lastRow="0" w:firstColumn="1" w:lastColumn="0" w:oddVBand="0" w:evenVBand="0" w:oddHBand="0" w:evenHBand="0" w:firstRowFirstColumn="0" w:firstRowLastColumn="0" w:lastRowFirstColumn="0" w:lastRowLastColumn="0"/>
            <w:tcW w:w="0" w:type="auto"/>
            <w:hideMark/>
          </w:tcPr>
          <w:p w14:paraId="32E4D48F" w14:textId="77777777" w:rsidR="00D80693" w:rsidRPr="00185A8A" w:rsidRDefault="00D80693" w:rsidP="007944D2">
            <w:pPr>
              <w:tabs>
                <w:tab w:val="left" w:pos="1290"/>
              </w:tabs>
              <w:spacing w:before="120"/>
              <w:jc w:val="both"/>
              <w:rPr>
                <w:sz w:val="24"/>
                <w:szCs w:val="24"/>
              </w:rPr>
            </w:pPr>
            <w:r w:rsidRPr="00185A8A">
              <w:rPr>
                <w:sz w:val="24"/>
                <w:szCs w:val="24"/>
              </w:rPr>
              <w:t>Bandura</w:t>
            </w:r>
          </w:p>
        </w:tc>
        <w:tc>
          <w:tcPr>
            <w:tcW w:w="0" w:type="auto"/>
            <w:hideMark/>
          </w:tcPr>
          <w:p w14:paraId="0FBB2F9E"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Motivation à changer</w:t>
            </w:r>
          </w:p>
        </w:tc>
        <w:tc>
          <w:tcPr>
            <w:tcW w:w="0" w:type="auto"/>
            <w:hideMark/>
          </w:tcPr>
          <w:p w14:paraId="1B1E86AF" w14:textId="77777777" w:rsidR="00D80693" w:rsidRPr="00185A8A" w:rsidRDefault="00D80693" w:rsidP="007944D2">
            <w:pPr>
              <w:tabs>
                <w:tab w:val="left" w:pos="1290"/>
              </w:tabs>
              <w:spacing w:before="120"/>
              <w:jc w:val="both"/>
              <w:cnfStyle w:val="000000000000" w:firstRow="0" w:lastRow="0" w:firstColumn="0" w:lastColumn="0" w:oddVBand="0" w:evenVBand="0" w:oddHBand="0" w:evenHBand="0" w:firstRowFirstColumn="0" w:firstRowLastColumn="0" w:lastRowFirstColumn="0" w:lastRowLastColumn="0"/>
              <w:rPr>
                <w:sz w:val="24"/>
                <w:szCs w:val="24"/>
              </w:rPr>
            </w:pPr>
            <w:r w:rsidRPr="00185A8A">
              <w:rPr>
                <w:sz w:val="24"/>
                <w:szCs w:val="24"/>
              </w:rPr>
              <w:t>Mesurer la confiance post-formation</w:t>
            </w:r>
          </w:p>
        </w:tc>
      </w:tr>
      <w:tr w:rsidR="00D80693" w14:paraId="742954E5"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73BA4F" w14:textId="77777777" w:rsidR="00D80693" w:rsidRPr="00185A8A" w:rsidRDefault="00D80693" w:rsidP="007944D2">
            <w:pPr>
              <w:tabs>
                <w:tab w:val="left" w:pos="1290"/>
              </w:tabs>
              <w:spacing w:before="120"/>
              <w:jc w:val="both"/>
              <w:rPr>
                <w:sz w:val="24"/>
                <w:szCs w:val="24"/>
              </w:rPr>
            </w:pPr>
            <w:r w:rsidRPr="00185A8A">
              <w:rPr>
                <w:sz w:val="24"/>
                <w:szCs w:val="24"/>
              </w:rPr>
              <w:t>Kirkpatrick</w:t>
            </w:r>
          </w:p>
        </w:tc>
        <w:tc>
          <w:tcPr>
            <w:tcW w:w="0" w:type="auto"/>
            <w:hideMark/>
          </w:tcPr>
          <w:p w14:paraId="65BF21DE"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Évaluation systématique</w:t>
            </w:r>
          </w:p>
        </w:tc>
        <w:tc>
          <w:tcPr>
            <w:tcW w:w="0" w:type="auto"/>
            <w:hideMark/>
          </w:tcPr>
          <w:p w14:paraId="70833230" w14:textId="77777777" w:rsidR="00D80693" w:rsidRPr="00185A8A" w:rsidRDefault="00D80693" w:rsidP="007944D2">
            <w:pPr>
              <w:tabs>
                <w:tab w:val="left" w:pos="1290"/>
              </w:tabs>
              <w:spacing w:before="120"/>
              <w:jc w:val="both"/>
              <w:cnfStyle w:val="000000100000" w:firstRow="0" w:lastRow="0" w:firstColumn="0" w:lastColumn="0" w:oddVBand="0" w:evenVBand="0" w:oddHBand="1" w:evenHBand="0" w:firstRowFirstColumn="0" w:firstRowLastColumn="0" w:lastRowFirstColumn="0" w:lastRowLastColumn="0"/>
              <w:rPr>
                <w:sz w:val="24"/>
                <w:szCs w:val="24"/>
              </w:rPr>
            </w:pPr>
            <w:r w:rsidRPr="00185A8A">
              <w:rPr>
                <w:sz w:val="24"/>
                <w:szCs w:val="24"/>
              </w:rPr>
              <w:t>Structurer le protocole de recherche</w:t>
            </w:r>
          </w:p>
        </w:tc>
      </w:tr>
    </w:tbl>
    <w:p w14:paraId="70AABFF6" w14:textId="77777777" w:rsidR="00D80693" w:rsidRPr="00C554F3" w:rsidRDefault="00D80693" w:rsidP="007944D2">
      <w:pPr>
        <w:tabs>
          <w:tab w:val="left" w:pos="1290"/>
        </w:tabs>
        <w:spacing w:before="120"/>
        <w:jc w:val="both"/>
        <w:rPr>
          <w:i/>
          <w:iCs/>
          <w:kern w:val="2"/>
          <w14:ligatures w14:val="standardContextual"/>
        </w:rPr>
      </w:pPr>
      <w:r w:rsidRPr="00C554F3">
        <w:rPr>
          <w:i/>
          <w:iCs/>
          <w:kern w:val="2"/>
          <w14:ligatures w14:val="standardContextual"/>
        </w:rPr>
        <w:t>Source : Recherche documentaire, juillet 2025</w:t>
      </w:r>
    </w:p>
    <w:p w14:paraId="61933A6C" w14:textId="77777777" w:rsidR="00D80693" w:rsidRDefault="00D80693" w:rsidP="007944D2">
      <w:pPr>
        <w:tabs>
          <w:tab w:val="left" w:pos="1290"/>
        </w:tabs>
        <w:spacing w:before="120"/>
        <w:jc w:val="both"/>
        <w:rPr>
          <w:kern w:val="2"/>
          <w:sz w:val="24"/>
          <w:szCs w:val="24"/>
          <w14:ligatures w14:val="standardContextual"/>
        </w:rPr>
      </w:pPr>
      <w:r w:rsidRPr="00185A8A">
        <w:rPr>
          <w:kern w:val="2"/>
          <w:sz w:val="24"/>
          <w:szCs w:val="24"/>
          <w14:ligatures w14:val="standardContextual"/>
        </w:rPr>
        <w:t>Les cinq théories sélectionnées présentent une complémentarité systémique pour analyser l'impact des formations courtes en didactique, en couvrant l'ensemble de la chaine formative, depuis la conception jusqu'à l'impact en classe</w:t>
      </w:r>
      <w:r>
        <w:rPr>
          <w:kern w:val="2"/>
          <w:sz w:val="24"/>
          <w:szCs w:val="24"/>
          <w14:ligatures w14:val="standardContextual"/>
        </w:rPr>
        <w:t xml:space="preserve">. Le modèle </w:t>
      </w:r>
      <w:r w:rsidRPr="00185A8A">
        <w:rPr>
          <w:kern w:val="2"/>
          <w:sz w:val="24"/>
          <w:szCs w:val="24"/>
          <w14:ligatures w14:val="standardContextual"/>
        </w:rPr>
        <w:t>Kirkpatrick</w:t>
      </w:r>
      <w:r>
        <w:rPr>
          <w:kern w:val="2"/>
          <w:sz w:val="24"/>
          <w:szCs w:val="24"/>
          <w14:ligatures w14:val="standardContextual"/>
        </w:rPr>
        <w:t xml:space="preserve"> (1959)</w:t>
      </w:r>
      <w:r w:rsidRPr="00185A8A">
        <w:rPr>
          <w:kern w:val="2"/>
          <w:sz w:val="24"/>
          <w:szCs w:val="24"/>
          <w14:ligatures w14:val="standardContextual"/>
        </w:rPr>
        <w:t> fournit la structure d'évaluation globale</w:t>
      </w:r>
      <w:r>
        <w:rPr>
          <w:kern w:val="2"/>
          <w:sz w:val="24"/>
          <w:szCs w:val="24"/>
          <w14:ligatures w14:val="standardContextual"/>
        </w:rPr>
        <w:t xml:space="preserve">, </w:t>
      </w:r>
      <w:proofErr w:type="spellStart"/>
      <w:r w:rsidRPr="00185A8A">
        <w:rPr>
          <w:kern w:val="2"/>
          <w:sz w:val="24"/>
          <w:szCs w:val="24"/>
          <w14:ligatures w14:val="standardContextual"/>
        </w:rPr>
        <w:t>Mezirow</w:t>
      </w:r>
      <w:proofErr w:type="spellEnd"/>
      <w:r>
        <w:rPr>
          <w:kern w:val="2"/>
          <w:sz w:val="24"/>
          <w:szCs w:val="24"/>
          <w14:ligatures w14:val="standardContextual"/>
        </w:rPr>
        <w:t xml:space="preserve"> (1991) </w:t>
      </w:r>
      <w:r w:rsidRPr="00185A8A">
        <w:rPr>
          <w:kern w:val="2"/>
          <w:sz w:val="24"/>
          <w:szCs w:val="24"/>
          <w14:ligatures w14:val="standardContextual"/>
        </w:rPr>
        <w:t>explique les mécanismes psychosociaux du changement</w:t>
      </w:r>
      <w:r>
        <w:rPr>
          <w:kern w:val="2"/>
          <w:sz w:val="24"/>
          <w:szCs w:val="24"/>
          <w14:ligatures w14:val="standardContextual"/>
        </w:rPr>
        <w:t xml:space="preserve">, </w:t>
      </w:r>
      <w:r w:rsidRPr="00185A8A">
        <w:rPr>
          <w:kern w:val="2"/>
          <w:sz w:val="24"/>
          <w:szCs w:val="24"/>
          <w14:ligatures w14:val="standardContextual"/>
        </w:rPr>
        <w:t>Bandura</w:t>
      </w:r>
      <w:r>
        <w:rPr>
          <w:kern w:val="2"/>
          <w:sz w:val="24"/>
          <w:szCs w:val="24"/>
          <w14:ligatures w14:val="standardContextual"/>
        </w:rPr>
        <w:t xml:space="preserve"> (1977)</w:t>
      </w:r>
      <w:r w:rsidRPr="00185A8A">
        <w:rPr>
          <w:kern w:val="2"/>
          <w:sz w:val="24"/>
          <w:szCs w:val="24"/>
          <w14:ligatures w14:val="standardContextual"/>
        </w:rPr>
        <w:t> complète en expliquant l'engagement dans le changement</w:t>
      </w:r>
      <w:r>
        <w:rPr>
          <w:kern w:val="2"/>
          <w:sz w:val="24"/>
          <w:szCs w:val="24"/>
          <w14:ligatures w14:val="standardContextual"/>
        </w:rPr>
        <w:t xml:space="preserve">, </w:t>
      </w:r>
      <w:proofErr w:type="spellStart"/>
      <w:r w:rsidRPr="00185A8A">
        <w:rPr>
          <w:kern w:val="2"/>
          <w:sz w:val="24"/>
          <w:szCs w:val="24"/>
          <w14:ligatures w14:val="standardContextual"/>
        </w:rPr>
        <w:t>Sweller</w:t>
      </w:r>
      <w:proofErr w:type="spellEnd"/>
      <w:r>
        <w:rPr>
          <w:kern w:val="2"/>
          <w:sz w:val="24"/>
          <w:szCs w:val="24"/>
          <w14:ligatures w14:val="standardContextual"/>
        </w:rPr>
        <w:t xml:space="preserve"> (1988) </w:t>
      </w:r>
      <w:r w:rsidRPr="00185A8A">
        <w:rPr>
          <w:kern w:val="2"/>
          <w:sz w:val="24"/>
          <w:szCs w:val="24"/>
          <w14:ligatures w14:val="standardContextual"/>
        </w:rPr>
        <w:t>optimise la conception</w:t>
      </w:r>
      <w:r>
        <w:rPr>
          <w:kern w:val="2"/>
          <w:sz w:val="24"/>
          <w:szCs w:val="24"/>
          <w14:ligatures w14:val="standardContextual"/>
        </w:rPr>
        <w:t xml:space="preserve"> et le modèle </w:t>
      </w:r>
      <w:r w:rsidRPr="00185A8A">
        <w:rPr>
          <w:kern w:val="2"/>
          <w:sz w:val="24"/>
          <w:szCs w:val="24"/>
          <w14:ligatures w14:val="standardContextual"/>
        </w:rPr>
        <w:t>TPACK </w:t>
      </w:r>
      <w:r>
        <w:rPr>
          <w:kern w:val="2"/>
          <w:sz w:val="24"/>
          <w:szCs w:val="24"/>
          <w14:ligatures w14:val="standardContextual"/>
        </w:rPr>
        <w:t xml:space="preserve">(Mishra &amp; Koehler, 2006) </w:t>
      </w:r>
      <w:r w:rsidRPr="00185A8A">
        <w:rPr>
          <w:kern w:val="2"/>
          <w:sz w:val="24"/>
          <w:szCs w:val="24"/>
          <w14:ligatures w14:val="standardContextual"/>
        </w:rPr>
        <w:t>cible les compétences spécifiques à évaluer</w:t>
      </w:r>
      <w:r>
        <w:rPr>
          <w:kern w:val="2"/>
          <w:sz w:val="24"/>
          <w:szCs w:val="24"/>
          <w14:ligatures w14:val="standardContextual"/>
        </w:rPr>
        <w:t>.</w:t>
      </w:r>
    </w:p>
    <w:p w14:paraId="68353D63" w14:textId="77777777" w:rsidR="00D80693" w:rsidRDefault="00D80693" w:rsidP="007944D2">
      <w:pPr>
        <w:tabs>
          <w:tab w:val="left" w:pos="1290"/>
        </w:tabs>
        <w:spacing w:before="120"/>
        <w:jc w:val="both"/>
        <w:rPr>
          <w:kern w:val="2"/>
          <w:sz w:val="24"/>
          <w:szCs w:val="24"/>
          <w14:ligatures w14:val="standardContextual"/>
        </w:rPr>
      </w:pPr>
      <w:r w:rsidRPr="00D7018B">
        <w:rPr>
          <w:kern w:val="2"/>
          <w:sz w:val="24"/>
          <w:szCs w:val="24"/>
          <w14:ligatures w14:val="standardContextual"/>
        </w:rPr>
        <w:t>La preuve de cohérence réside dans le fait que toutes ces théories convergent vers la même</w:t>
      </w:r>
      <w:r w:rsidRPr="00764444">
        <w:rPr>
          <w:kern w:val="2"/>
          <w:sz w:val="24"/>
          <w:szCs w:val="24"/>
          <w14:ligatures w14:val="standardContextual"/>
        </w:rPr>
        <w:t xml:space="preserve"> problématique centrale</w:t>
      </w:r>
      <w:r>
        <w:rPr>
          <w:kern w:val="2"/>
          <w:sz w:val="24"/>
          <w:szCs w:val="24"/>
          <w14:ligatures w14:val="standardContextual"/>
        </w:rPr>
        <w:t xml:space="preserve"> (</w:t>
      </w:r>
      <w:r w:rsidRPr="00764444">
        <w:rPr>
          <w:kern w:val="2"/>
          <w:sz w:val="24"/>
          <w:szCs w:val="24"/>
          <w14:ligatures w14:val="standardContextual"/>
        </w:rPr>
        <w:t>comment des formations courtes peuvent-elles générer des changements durables dans des contextes contraignants</w:t>
      </w:r>
      <w:r>
        <w:rPr>
          <w:kern w:val="2"/>
          <w:sz w:val="24"/>
          <w:szCs w:val="24"/>
          <w14:ligatures w14:val="standardContextual"/>
        </w:rPr>
        <w:t xml:space="preserve">) </w:t>
      </w:r>
      <w:r w:rsidRPr="00764444">
        <w:rPr>
          <w:kern w:val="2"/>
          <w:sz w:val="24"/>
          <w:szCs w:val="24"/>
          <w14:ligatures w14:val="standardContextual"/>
        </w:rPr>
        <w:t>en l'éclairant par des angles complémentaires mais non redondants.</w:t>
      </w:r>
    </w:p>
    <w:p w14:paraId="5D80FE57"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A la lumière de tout ce qui précède, nous formulons la question suivante : Quel est l’impact de la formation de 30 jours en Didactique des disciplines sur les pratiques pédagogiques ?</w:t>
      </w:r>
    </w:p>
    <w:p w14:paraId="38AA47B7" w14:textId="77777777" w:rsidR="00D80693" w:rsidRDefault="00D80693" w:rsidP="007944D2">
      <w:pPr>
        <w:spacing w:before="120" w:after="120"/>
        <w:jc w:val="both"/>
        <w:rPr>
          <w:kern w:val="2"/>
          <w:sz w:val="24"/>
          <w:szCs w:val="24"/>
          <w14:ligatures w14:val="standardContextual"/>
        </w:rPr>
      </w:pPr>
      <w:bookmarkStart w:id="57" w:name="_Hlk208071237"/>
      <w:r w:rsidRPr="00B14595">
        <w:rPr>
          <w:kern w:val="2"/>
          <w:sz w:val="24"/>
          <w:szCs w:val="24"/>
          <w14:ligatures w14:val="standardContextual"/>
        </w:rPr>
        <w:t>Notre article est structuré conformément au plan IMRAD qui est une</w:t>
      </w:r>
      <w:r>
        <w:rPr>
          <w:kern w:val="2"/>
          <w:sz w:val="24"/>
          <w:szCs w:val="24"/>
          <w14:ligatures w14:val="standardContextual"/>
        </w:rPr>
        <w:t xml:space="preserve"> </w:t>
      </w:r>
      <w:r w:rsidRPr="00B14595">
        <w:rPr>
          <w:kern w:val="2"/>
          <w:sz w:val="24"/>
          <w:szCs w:val="24"/>
          <w14:ligatures w14:val="standardContextual"/>
        </w:rPr>
        <w:t>structure standard utilisée dans la rédaction des articles scientifiques.</w:t>
      </w:r>
      <w:r>
        <w:rPr>
          <w:kern w:val="2"/>
          <w:sz w:val="24"/>
          <w:szCs w:val="24"/>
          <w14:ligatures w14:val="standardContextual"/>
        </w:rPr>
        <w:t xml:space="preserve"> Cela </w:t>
      </w:r>
      <w:r w:rsidRPr="00B14595">
        <w:rPr>
          <w:kern w:val="2"/>
          <w:sz w:val="24"/>
          <w:szCs w:val="24"/>
          <w14:ligatures w14:val="standardContextual"/>
        </w:rPr>
        <w:t>permet de présenter les</w:t>
      </w:r>
      <w:r>
        <w:rPr>
          <w:kern w:val="2"/>
          <w:sz w:val="24"/>
          <w:szCs w:val="24"/>
          <w14:ligatures w14:val="standardContextual"/>
        </w:rPr>
        <w:t xml:space="preserve"> contenus </w:t>
      </w:r>
      <w:r w:rsidRPr="00B14595">
        <w:rPr>
          <w:kern w:val="2"/>
          <w:sz w:val="24"/>
          <w:szCs w:val="24"/>
          <w14:ligatures w14:val="standardContextual"/>
        </w:rPr>
        <w:t>de manière</w:t>
      </w:r>
      <w:r>
        <w:rPr>
          <w:kern w:val="2"/>
          <w:sz w:val="24"/>
          <w:szCs w:val="24"/>
          <w14:ligatures w14:val="standardContextual"/>
        </w:rPr>
        <w:t xml:space="preserve"> </w:t>
      </w:r>
      <w:r w:rsidRPr="00B14595">
        <w:rPr>
          <w:kern w:val="2"/>
          <w:sz w:val="24"/>
          <w:szCs w:val="24"/>
          <w14:ligatures w14:val="standardContextual"/>
        </w:rPr>
        <w:t>logique</w:t>
      </w:r>
      <w:r>
        <w:rPr>
          <w:kern w:val="2"/>
          <w:sz w:val="24"/>
          <w:szCs w:val="24"/>
          <w14:ligatures w14:val="standardContextual"/>
        </w:rPr>
        <w:t xml:space="preserve"> et </w:t>
      </w:r>
      <w:r w:rsidRPr="00B14595">
        <w:rPr>
          <w:kern w:val="2"/>
          <w:sz w:val="24"/>
          <w:szCs w:val="24"/>
          <w14:ligatures w14:val="standardContextual"/>
        </w:rPr>
        <w:t>claire</w:t>
      </w:r>
      <w:r>
        <w:rPr>
          <w:kern w:val="2"/>
          <w:sz w:val="24"/>
          <w:szCs w:val="24"/>
          <w14:ligatures w14:val="standardContextual"/>
        </w:rPr>
        <w:t xml:space="preserve"> </w:t>
      </w:r>
      <w:r w:rsidRPr="00B14595">
        <w:rPr>
          <w:kern w:val="2"/>
          <w:sz w:val="24"/>
          <w:szCs w:val="24"/>
          <w14:ligatures w14:val="standardContextual"/>
        </w:rPr>
        <w:t>(Introduction, Méthodologie, Résultats et Discussion,</w:t>
      </w:r>
      <w:r>
        <w:rPr>
          <w:kern w:val="2"/>
          <w:sz w:val="24"/>
          <w:szCs w:val="24"/>
          <w14:ligatures w14:val="standardContextual"/>
        </w:rPr>
        <w:t xml:space="preserve"> </w:t>
      </w:r>
      <w:r w:rsidRPr="00B14595">
        <w:rPr>
          <w:kern w:val="2"/>
          <w:sz w:val="24"/>
          <w:szCs w:val="24"/>
          <w14:ligatures w14:val="standardContextual"/>
        </w:rPr>
        <w:t>conclusion), suivi des références bibliographiques.</w:t>
      </w:r>
    </w:p>
    <w:bookmarkEnd w:id="57"/>
    <w:p w14:paraId="21355D36" w14:textId="77777777" w:rsidR="00D80693" w:rsidRPr="00521ACC" w:rsidRDefault="00D80693" w:rsidP="007944D2">
      <w:pPr>
        <w:pStyle w:val="Paragraphedeliste"/>
        <w:widowControl/>
        <w:numPr>
          <w:ilvl w:val="0"/>
          <w:numId w:val="158"/>
        </w:numPr>
        <w:tabs>
          <w:tab w:val="left" w:pos="1290"/>
        </w:tabs>
        <w:autoSpaceDE/>
        <w:autoSpaceDN/>
        <w:spacing w:after="160"/>
        <w:contextualSpacing/>
        <w:rPr>
          <w:kern w:val="2"/>
          <w:sz w:val="28"/>
          <w:szCs w:val="28"/>
          <w14:ligatures w14:val="standardContextual"/>
        </w:rPr>
      </w:pPr>
      <w:r w:rsidRPr="00521ACC">
        <w:rPr>
          <w:b/>
          <w:bCs/>
          <w:kern w:val="2"/>
          <w:sz w:val="28"/>
          <w:szCs w:val="28"/>
          <w14:ligatures w14:val="standardContextual"/>
        </w:rPr>
        <w:t>Cadre méthodologique</w:t>
      </w:r>
    </w:p>
    <w:p w14:paraId="1745ACD2" w14:textId="77777777" w:rsidR="00D80693" w:rsidRDefault="00D80693" w:rsidP="007944D2">
      <w:pPr>
        <w:tabs>
          <w:tab w:val="left" w:pos="1290"/>
        </w:tabs>
        <w:spacing w:before="120"/>
        <w:jc w:val="both"/>
        <w:rPr>
          <w:kern w:val="2"/>
          <w:sz w:val="24"/>
          <w:szCs w:val="24"/>
          <w14:ligatures w14:val="standardContextual"/>
        </w:rPr>
      </w:pPr>
      <w:bookmarkStart w:id="58" w:name="_Hlk208070791"/>
      <w:r w:rsidRPr="00BF77A6">
        <w:rPr>
          <w:kern w:val="2"/>
          <w:sz w:val="24"/>
          <w:szCs w:val="24"/>
          <w14:ligatures w14:val="standardContextual"/>
        </w:rPr>
        <w:t>Notre étude est de type qualitatif, autrement dit, elle est basée sur des entretiens</w:t>
      </w:r>
      <w:r>
        <w:rPr>
          <w:kern w:val="2"/>
          <w:sz w:val="24"/>
          <w:szCs w:val="24"/>
          <w14:ligatures w14:val="standardContextual"/>
        </w:rPr>
        <w:t xml:space="preserve"> menés </w:t>
      </w:r>
      <w:r w:rsidRPr="00BF77A6">
        <w:rPr>
          <w:kern w:val="2"/>
          <w:sz w:val="24"/>
          <w:szCs w:val="24"/>
          <w14:ligatures w14:val="standardContextual"/>
        </w:rPr>
        <w:t>auprès de</w:t>
      </w:r>
      <w:r>
        <w:rPr>
          <w:kern w:val="2"/>
          <w:sz w:val="24"/>
          <w:szCs w:val="24"/>
          <w14:ligatures w14:val="standardContextual"/>
        </w:rPr>
        <w:t xml:space="preserve"> vingt-sept (27) </w:t>
      </w:r>
      <w:r w:rsidRPr="00BF77A6">
        <w:rPr>
          <w:kern w:val="2"/>
          <w:sz w:val="24"/>
          <w:szCs w:val="24"/>
          <w14:ligatures w14:val="standardContextual"/>
        </w:rPr>
        <w:t>acteurs de cette formation (les bénéficiaires ou participants, les formateurs ou encadrants et les conseillers pédagogiques, chargés du suivi des enseignants sur le terrain). Ces différents acteurs constituent, de facto, notre population cible. Quant à l’é</w:t>
      </w:r>
      <w:r w:rsidRPr="005134D9">
        <w:rPr>
          <w:kern w:val="2"/>
          <w:sz w:val="24"/>
          <w:szCs w:val="24"/>
          <w14:ligatures w14:val="standardContextual"/>
        </w:rPr>
        <w:t>chantillon</w:t>
      </w:r>
      <w:r w:rsidRPr="00BF77A6">
        <w:rPr>
          <w:kern w:val="2"/>
          <w:sz w:val="24"/>
          <w:szCs w:val="24"/>
          <w14:ligatures w14:val="standardContextual"/>
        </w:rPr>
        <w:t xml:space="preserve">, il est composé de </w:t>
      </w:r>
      <w:r w:rsidRPr="00912EC6">
        <w:rPr>
          <w:kern w:val="2"/>
          <w:sz w:val="24"/>
          <w:szCs w:val="24"/>
          <w14:ligatures w14:val="standardContextual"/>
        </w:rPr>
        <w:t>15 enseignants</w:t>
      </w:r>
      <w:r w:rsidRPr="005134D9">
        <w:rPr>
          <w:kern w:val="2"/>
          <w:sz w:val="24"/>
          <w:szCs w:val="24"/>
          <w14:ligatures w14:val="standardContextual"/>
        </w:rPr>
        <w:t xml:space="preserve"> formés</w:t>
      </w:r>
      <w:r w:rsidRPr="00BF77A6">
        <w:rPr>
          <w:kern w:val="2"/>
          <w:sz w:val="24"/>
          <w:szCs w:val="24"/>
          <w14:ligatures w14:val="standardContextual"/>
        </w:rPr>
        <w:t xml:space="preserve"> et en exercice </w:t>
      </w:r>
      <w:r w:rsidRPr="005134D9">
        <w:rPr>
          <w:kern w:val="2"/>
          <w:sz w:val="24"/>
          <w:szCs w:val="24"/>
          <w14:ligatures w14:val="standardContextual"/>
        </w:rPr>
        <w:t>(sélection aléatoire ou volontaire, avec stratification par discipline)</w:t>
      </w:r>
      <w:r>
        <w:rPr>
          <w:kern w:val="2"/>
          <w:sz w:val="24"/>
          <w:szCs w:val="24"/>
          <w14:ligatures w14:val="standardContextual"/>
        </w:rPr>
        <w:t>, 6 formateurs et 6 conseillers pédagogiques.</w:t>
      </w:r>
    </w:p>
    <w:p w14:paraId="6703C3B6"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Les données ont été collectées à l’aide des entretiens semi-directifs dont les questions sont centrées sur les objectifs pédagogiques prioritaires de la formation, les incidences pédagogiques sur les pratiques de classe, les difficultés liées à la mise en œuvre des acquis ainsi que les suggestions pour améliorer les prochaines séances de formation.</w:t>
      </w:r>
    </w:p>
    <w:p w14:paraId="16780BA4"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Les variables indépendantes sont la participation à la formation, la discipline enseignée tandis que les variables dépendantes oscillent autour du changement des pratiques (ex : utilisation des méthodes actives, diversification des outils d’évaluation, application de la pédagogie différenciée, etc.), l’amélioration perçue de l’engagement des élèves.</w:t>
      </w:r>
    </w:p>
    <w:p w14:paraId="166342FC"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Nous avons procédé à l’analyse thématique qualitative des entretiens, suivie de la triangulation des données (verbatims issus des trois (3) couches interrogées).</w:t>
      </w:r>
    </w:p>
    <w:p w14:paraId="790D7E0F" w14:textId="77777777" w:rsidR="00D80693" w:rsidRDefault="00D80693" w:rsidP="007944D2">
      <w:pPr>
        <w:tabs>
          <w:tab w:val="left" w:pos="1290"/>
        </w:tabs>
        <w:spacing w:before="120"/>
        <w:jc w:val="both"/>
        <w:rPr>
          <w:kern w:val="2"/>
          <w:sz w:val="24"/>
          <w:szCs w:val="24"/>
          <w14:ligatures w14:val="standardContextual"/>
        </w:rPr>
      </w:pPr>
      <w:r>
        <w:rPr>
          <w:kern w:val="2"/>
          <w:sz w:val="24"/>
          <w:szCs w:val="24"/>
          <w14:ligatures w14:val="standardContextual"/>
        </w:rPr>
        <w:t>Sur le plan des considérations éthiques, nous avons eu en amont, le consentement éclairé des participants, avant de procéder à l’anonymisation des données (noms remplacés par des codes).</w:t>
      </w:r>
    </w:p>
    <w:bookmarkEnd w:id="58"/>
    <w:p w14:paraId="15A9EE5A" w14:textId="77777777" w:rsidR="00D80693" w:rsidRPr="00521ACC" w:rsidRDefault="00D80693" w:rsidP="007944D2">
      <w:pPr>
        <w:pStyle w:val="Paragraphedeliste"/>
        <w:widowControl/>
        <w:numPr>
          <w:ilvl w:val="0"/>
          <w:numId w:val="158"/>
        </w:numPr>
        <w:tabs>
          <w:tab w:val="left" w:pos="1290"/>
        </w:tabs>
        <w:autoSpaceDE/>
        <w:autoSpaceDN/>
        <w:spacing w:after="160"/>
        <w:contextualSpacing/>
        <w:rPr>
          <w:b/>
          <w:bCs/>
          <w:kern w:val="2"/>
          <w:sz w:val="28"/>
          <w:szCs w:val="28"/>
          <w14:ligatures w14:val="standardContextual"/>
        </w:rPr>
      </w:pPr>
      <w:r w:rsidRPr="00521ACC">
        <w:rPr>
          <w:b/>
          <w:bCs/>
          <w:kern w:val="2"/>
          <w:sz w:val="28"/>
          <w:szCs w:val="28"/>
          <w14:ligatures w14:val="standardContextual"/>
        </w:rPr>
        <w:t>Résultats</w:t>
      </w:r>
    </w:p>
    <w:p w14:paraId="3329B190" w14:textId="77777777" w:rsidR="00D80693" w:rsidRPr="00521ACC" w:rsidRDefault="00D80693" w:rsidP="007944D2">
      <w:pPr>
        <w:pStyle w:val="Paragraphedeliste"/>
        <w:widowControl/>
        <w:numPr>
          <w:ilvl w:val="1"/>
          <w:numId w:val="158"/>
        </w:numPr>
        <w:autoSpaceDE/>
        <w:autoSpaceDN/>
        <w:spacing w:after="160"/>
        <w:contextualSpacing/>
        <w:rPr>
          <w:b/>
          <w:bCs/>
          <w:kern w:val="2"/>
          <w:sz w:val="24"/>
          <w:szCs w:val="24"/>
          <w14:ligatures w14:val="standardContextual"/>
        </w:rPr>
      </w:pPr>
      <w:r>
        <w:rPr>
          <w:b/>
          <w:bCs/>
          <w:kern w:val="2"/>
          <w:sz w:val="24"/>
          <w:szCs w:val="24"/>
          <w14:ligatures w14:val="standardContextual"/>
        </w:rPr>
        <w:t xml:space="preserve"> </w:t>
      </w:r>
      <w:r w:rsidRPr="00521ACC">
        <w:rPr>
          <w:b/>
          <w:bCs/>
          <w:kern w:val="2"/>
          <w:sz w:val="24"/>
          <w:szCs w:val="24"/>
          <w14:ligatures w14:val="standardContextual"/>
        </w:rPr>
        <w:t>Analyse des discours des bénéficiaires de la formation en Didactique des disciplines</w:t>
      </w:r>
    </w:p>
    <w:p w14:paraId="618DA3FF"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Acquisition de nouvelles compétences</w:t>
      </w:r>
    </w:p>
    <w:p w14:paraId="11D960CE"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Les participants ont identifié plusieurs compétences clés acquises durant la formation, démontrant une évolution significative de leurs capacités pédagogiques. Nous avons les compétences relationnelles et managériales. Tout d'abord, en matière de compétences relationnelles, un participant souligne avoir développé « </w:t>
      </w:r>
      <w:r w:rsidRPr="003E3D25">
        <w:rPr>
          <w:i/>
          <w:iCs/>
          <w:kern w:val="2"/>
          <w:sz w:val="24"/>
          <w:szCs w:val="24"/>
          <w14:ligatures w14:val="standardContextual"/>
        </w:rPr>
        <w:t xml:space="preserve">l'éloquence, la </w:t>
      </w:r>
      <w:proofErr w:type="gramStart"/>
      <w:r w:rsidRPr="003E3D25">
        <w:rPr>
          <w:i/>
          <w:iCs/>
          <w:kern w:val="2"/>
          <w:sz w:val="24"/>
          <w:szCs w:val="24"/>
          <w14:ligatures w14:val="standardContextual"/>
        </w:rPr>
        <w:t>non complaisance</w:t>
      </w:r>
      <w:proofErr w:type="gramEnd"/>
      <w:r w:rsidRPr="003E3D25">
        <w:rPr>
          <w:i/>
          <w:iCs/>
          <w:kern w:val="2"/>
          <w:sz w:val="24"/>
          <w:szCs w:val="24"/>
          <w14:ligatures w14:val="standardContextual"/>
        </w:rPr>
        <w:t xml:space="preserve"> à me prononcer devant la masse, la gestion de la classe</w:t>
      </w:r>
      <w:r w:rsidRPr="003E3D25">
        <w:rPr>
          <w:kern w:val="2"/>
          <w:sz w:val="24"/>
          <w:szCs w:val="24"/>
          <w14:ligatures w14:val="standardContextual"/>
        </w:rPr>
        <w:t> ». De même, un autre bénéficiaire ajoute que la formation a porté sur </w:t>
      </w:r>
      <w:r w:rsidRPr="003E3D25">
        <w:rPr>
          <w:i/>
          <w:iCs/>
          <w:kern w:val="2"/>
          <w:sz w:val="24"/>
          <w:szCs w:val="24"/>
          <w14:ligatures w14:val="standardContextual"/>
        </w:rPr>
        <w:t>« les qualités d'un bon enseignant, le rôle du directeur d'école, la législation scolaire »</w:t>
      </w:r>
      <w:r w:rsidRPr="003E3D25">
        <w:rPr>
          <w:kern w:val="2"/>
          <w:sz w:val="24"/>
          <w:szCs w:val="24"/>
          <w14:ligatures w14:val="standardContextual"/>
        </w:rPr>
        <w:t>, ce qui montre l'élargissement des compétences au-delà de la seule salle de classe.</w:t>
      </w:r>
    </w:p>
    <w:p w14:paraId="5B637947"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En ce qui concerne les compétences purement pédagogiques, les acquis sont également nombreux. Par exemple, le premier répondant mentionne </w:t>
      </w:r>
      <w:r w:rsidRPr="003E3D25">
        <w:rPr>
          <w:i/>
          <w:iCs/>
          <w:kern w:val="2"/>
          <w:sz w:val="24"/>
          <w:szCs w:val="24"/>
          <w14:ligatures w14:val="standardContextual"/>
        </w:rPr>
        <w:t>« l'art de dispenser les cours »</w:t>
      </w:r>
      <w:r w:rsidRPr="003E3D25">
        <w:rPr>
          <w:kern w:val="2"/>
          <w:sz w:val="24"/>
          <w:szCs w:val="24"/>
          <w14:ligatures w14:val="standardContextual"/>
        </w:rPr>
        <w:t xml:space="preserve">, tandis qu'un autre insiste sur l'importance </w:t>
      </w:r>
      <w:proofErr w:type="gramStart"/>
      <w:r w:rsidRPr="003E3D25">
        <w:rPr>
          <w:kern w:val="2"/>
          <w:sz w:val="24"/>
          <w:szCs w:val="24"/>
          <w14:ligatures w14:val="standardContextual"/>
        </w:rPr>
        <w:t>d'</w:t>
      </w:r>
      <w:r w:rsidRPr="003E3D25">
        <w:rPr>
          <w:i/>
          <w:iCs/>
          <w:kern w:val="2"/>
          <w:sz w:val="24"/>
          <w:szCs w:val="24"/>
          <w14:ligatures w14:val="standardContextual"/>
        </w:rPr>
        <w:t> «</w:t>
      </w:r>
      <w:proofErr w:type="gramEnd"/>
      <w:r w:rsidRPr="003E3D25">
        <w:rPr>
          <w:i/>
          <w:iCs/>
          <w:kern w:val="2"/>
          <w:sz w:val="24"/>
          <w:szCs w:val="24"/>
          <w14:ligatures w14:val="standardContextual"/>
        </w:rPr>
        <w:t> une bonne préparation et l'exécution des leçons »</w:t>
      </w:r>
      <w:r w:rsidRPr="003E3D25">
        <w:rPr>
          <w:kern w:val="2"/>
          <w:sz w:val="24"/>
          <w:szCs w:val="24"/>
          <w14:ligatures w14:val="standardContextual"/>
        </w:rPr>
        <w:t>. Dans la même veine, un quatrième résume son apprentissage par </w:t>
      </w:r>
      <w:r w:rsidRPr="003E3D25">
        <w:rPr>
          <w:i/>
          <w:iCs/>
          <w:kern w:val="2"/>
          <w:sz w:val="24"/>
          <w:szCs w:val="24"/>
          <w14:ligatures w14:val="standardContextual"/>
        </w:rPr>
        <w:t>« apprendre à s'organiser pour bien enseigner »</w:t>
      </w:r>
      <w:r w:rsidRPr="003E3D25">
        <w:rPr>
          <w:kern w:val="2"/>
          <w:sz w:val="24"/>
          <w:szCs w:val="24"/>
          <w14:ligatures w14:val="standardContextual"/>
        </w:rPr>
        <w:t xml:space="preserve">, et </w:t>
      </w:r>
      <w:proofErr w:type="gramStart"/>
      <w:r w:rsidRPr="003E3D25">
        <w:rPr>
          <w:kern w:val="2"/>
          <w:sz w:val="24"/>
          <w:szCs w:val="24"/>
          <w14:ligatures w14:val="standardContextual"/>
        </w:rPr>
        <w:t>un cinquième complète</w:t>
      </w:r>
      <w:proofErr w:type="gramEnd"/>
      <w:r w:rsidRPr="003E3D25">
        <w:rPr>
          <w:kern w:val="2"/>
          <w:sz w:val="24"/>
          <w:szCs w:val="24"/>
          <w14:ligatures w14:val="standardContextual"/>
        </w:rPr>
        <w:t xml:space="preserve"> en citant </w:t>
      </w:r>
      <w:r w:rsidRPr="003E3D25">
        <w:rPr>
          <w:i/>
          <w:iCs/>
          <w:kern w:val="2"/>
          <w:sz w:val="24"/>
          <w:szCs w:val="24"/>
          <w14:ligatures w14:val="standardContextual"/>
        </w:rPr>
        <w:t>« l'apprentissage et la maîtrise de notions de pédagogie et de psychologie »</w:t>
      </w:r>
      <w:r w:rsidRPr="003E3D25">
        <w:rPr>
          <w:kern w:val="2"/>
          <w:sz w:val="24"/>
          <w:szCs w:val="24"/>
          <w14:ligatures w14:val="standardContextual"/>
        </w:rPr>
        <w:t>.</w:t>
      </w:r>
    </w:p>
    <w:p w14:paraId="12308CB6"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Par rapport à l’impact global de la formation courte sur l’enseignement, un participant conclut que la formation </w:t>
      </w:r>
      <w:r w:rsidRPr="003E3D25">
        <w:rPr>
          <w:i/>
          <w:iCs/>
          <w:kern w:val="2"/>
          <w:sz w:val="24"/>
          <w:szCs w:val="24"/>
          <w14:ligatures w14:val="standardContextual"/>
        </w:rPr>
        <w:t>« permet d'acquérir de nouvelles compétences, précisément l'amélioration de ma façon d'enseigner »</w:t>
      </w:r>
      <w:r w:rsidRPr="003E3D25">
        <w:rPr>
          <w:kern w:val="2"/>
          <w:sz w:val="24"/>
          <w:szCs w:val="24"/>
          <w14:ligatures w14:val="standardContextual"/>
        </w:rPr>
        <w:t>, ce qui indique une perception très positive de son impact global.</w:t>
      </w:r>
    </w:p>
    <w:p w14:paraId="6B92D584"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Méthodes et techniques appliquées en classe</w:t>
      </w:r>
    </w:p>
    <w:p w14:paraId="7B161A04"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L'appropriation des méthodes enseignées est manifeste, car les bénéficiaires citent des techniques précises</w:t>
      </w:r>
      <w:r>
        <w:rPr>
          <w:kern w:val="2"/>
          <w:sz w:val="24"/>
          <w:szCs w:val="24"/>
          <w14:ligatures w14:val="standardContextual"/>
        </w:rPr>
        <w:t xml:space="preserve"> </w:t>
      </w:r>
      <w:r w:rsidRPr="003E3D25">
        <w:rPr>
          <w:kern w:val="2"/>
          <w:sz w:val="24"/>
          <w:szCs w:val="24"/>
          <w14:ligatures w14:val="standardContextual"/>
        </w:rPr>
        <w:t>mises en œuvre. Il s’agit de la Pédagogie active et centrée sur l’élève. Ainsi, une approche fréquemment citée consiste à </w:t>
      </w:r>
      <w:r w:rsidRPr="003E3D25">
        <w:rPr>
          <w:i/>
          <w:iCs/>
          <w:kern w:val="2"/>
          <w:sz w:val="24"/>
          <w:szCs w:val="24"/>
          <w14:ligatures w14:val="standardContextual"/>
        </w:rPr>
        <w:t>« mettre l'enfant au centre de sa formation »</w:t>
      </w:r>
      <w:r w:rsidRPr="003E3D25">
        <w:rPr>
          <w:kern w:val="2"/>
          <w:sz w:val="24"/>
          <w:szCs w:val="24"/>
          <w14:ligatures w14:val="standardContextual"/>
        </w:rPr>
        <w:t>. Concrètement, cela se traduit par le fait que </w:t>
      </w:r>
      <w:r w:rsidRPr="003E3D25">
        <w:rPr>
          <w:i/>
          <w:iCs/>
          <w:kern w:val="2"/>
          <w:sz w:val="24"/>
          <w:szCs w:val="24"/>
          <w14:ligatures w14:val="standardContextual"/>
        </w:rPr>
        <w:t>« l'élève doit travailler plus que le maître »</w:t>
      </w:r>
      <w:r w:rsidRPr="003E3D25">
        <w:rPr>
          <w:kern w:val="2"/>
          <w:sz w:val="24"/>
          <w:szCs w:val="24"/>
          <w14:ligatures w14:val="standardContextual"/>
        </w:rPr>
        <w:t>, rapporte un autre bénéficiaire. Par conséquent, un autre formé affirme qu'il </w:t>
      </w:r>
      <w:r w:rsidRPr="003E3D25">
        <w:rPr>
          <w:i/>
          <w:iCs/>
          <w:kern w:val="2"/>
          <w:sz w:val="24"/>
          <w:szCs w:val="24"/>
          <w14:ligatures w14:val="standardContextual"/>
        </w:rPr>
        <w:t xml:space="preserve">« favoriserait la participation des élèves » </w:t>
      </w:r>
      <w:r w:rsidRPr="003E3D25">
        <w:rPr>
          <w:kern w:val="2"/>
          <w:sz w:val="24"/>
          <w:szCs w:val="24"/>
          <w14:ligatures w14:val="standardContextual"/>
        </w:rPr>
        <w:t>dans ses cours, confirmant ainsi l'adoption d'une pédagogie active.</w:t>
      </w:r>
    </w:p>
    <w:p w14:paraId="19F10F68"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Par ailleurs, la dimension méthodologique de la préparation est également mise en avant. En effet, un bénéficiaire énumère des compétences techniques telles que </w:t>
      </w:r>
      <w:r w:rsidRPr="003E3D25">
        <w:rPr>
          <w:i/>
          <w:iCs/>
          <w:kern w:val="2"/>
          <w:sz w:val="24"/>
          <w:szCs w:val="24"/>
          <w14:ligatures w14:val="standardContextual"/>
        </w:rPr>
        <w:t>« le traçage du canevas d'une fiche de préparation, le suivi des éléments contenus dans la fiche »</w:t>
      </w:r>
      <w:r w:rsidRPr="003E3D25">
        <w:rPr>
          <w:kern w:val="2"/>
          <w:sz w:val="24"/>
          <w:szCs w:val="24"/>
          <w14:ligatures w14:val="standardContextual"/>
        </w:rPr>
        <w:t>, avant d'ajouter la mise en pratique de </w:t>
      </w:r>
      <w:r w:rsidRPr="003E3D25">
        <w:rPr>
          <w:i/>
          <w:iCs/>
          <w:kern w:val="2"/>
          <w:sz w:val="24"/>
          <w:szCs w:val="24"/>
          <w14:ligatures w14:val="standardContextual"/>
        </w:rPr>
        <w:t>« l'application de la méthode active »</w:t>
      </w:r>
      <w:r w:rsidRPr="003E3D25">
        <w:rPr>
          <w:kern w:val="2"/>
          <w:sz w:val="24"/>
          <w:szCs w:val="24"/>
          <w14:ligatures w14:val="standardContextual"/>
        </w:rPr>
        <w:t>.</w:t>
      </w:r>
    </w:p>
    <w:p w14:paraId="4FE8B750"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Changements dans la pratique enseignante</w:t>
      </w:r>
    </w:p>
    <w:p w14:paraId="2DCD4A2F"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La formation a induit des modifications profondes dans les pratiques, puisque les réponses décrivent une transformation à plusieurs niveaux. D'une part, la préparation des cours est souvent mentionnée comme un domaine transformé. Non seulement un formé évoque le changement dans </w:t>
      </w:r>
      <w:r w:rsidRPr="003E3D25">
        <w:rPr>
          <w:i/>
          <w:iCs/>
          <w:kern w:val="2"/>
          <w:sz w:val="24"/>
          <w:szCs w:val="24"/>
          <w14:ligatures w14:val="standardContextual"/>
        </w:rPr>
        <w:t>« mes préparations pédagogiques des leçons »</w:t>
      </w:r>
      <w:r w:rsidRPr="003E3D25">
        <w:rPr>
          <w:kern w:val="2"/>
          <w:sz w:val="24"/>
          <w:szCs w:val="24"/>
          <w14:ligatures w14:val="standardContextual"/>
        </w:rPr>
        <w:t>, mais aussi un autre précise avoir appris </w:t>
      </w:r>
      <w:r w:rsidRPr="003E3D25">
        <w:rPr>
          <w:i/>
          <w:iCs/>
          <w:kern w:val="2"/>
          <w:sz w:val="24"/>
          <w:szCs w:val="24"/>
          <w14:ligatures w14:val="standardContextual"/>
        </w:rPr>
        <w:t>« la stratégie, la démarche méthodologique de la leçon »</w:t>
      </w:r>
      <w:r w:rsidRPr="003E3D25">
        <w:rPr>
          <w:kern w:val="2"/>
          <w:sz w:val="24"/>
          <w:szCs w:val="24"/>
          <w14:ligatures w14:val="standardContextual"/>
        </w:rPr>
        <w:t>. De surcroît, un quatrième insiste sur l'impact </w:t>
      </w:r>
      <w:r w:rsidRPr="003E3D25">
        <w:rPr>
          <w:i/>
          <w:iCs/>
          <w:kern w:val="2"/>
          <w:sz w:val="24"/>
          <w:szCs w:val="24"/>
          <w14:ligatures w14:val="standardContextual"/>
        </w:rPr>
        <w:t>« surtout [sur] la partie préparation des cours »</w:t>
      </w:r>
      <w:r w:rsidRPr="003E3D25">
        <w:rPr>
          <w:kern w:val="2"/>
          <w:sz w:val="24"/>
          <w:szCs w:val="24"/>
          <w14:ligatures w14:val="standardContextual"/>
        </w:rPr>
        <w:t xml:space="preserve">, alors qu'un cinquième a appris à </w:t>
      </w:r>
      <w:r w:rsidRPr="003E3D25">
        <w:rPr>
          <w:i/>
          <w:iCs/>
          <w:kern w:val="2"/>
          <w:sz w:val="24"/>
          <w:szCs w:val="24"/>
          <w14:ligatures w14:val="standardContextual"/>
        </w:rPr>
        <w:t>« savoir</w:t>
      </w:r>
      <w:r>
        <w:rPr>
          <w:i/>
          <w:iCs/>
          <w:kern w:val="2"/>
          <w:sz w:val="24"/>
          <w:szCs w:val="24"/>
          <w14:ligatures w14:val="standardContextual"/>
        </w:rPr>
        <w:t xml:space="preserve"> </w:t>
      </w:r>
      <w:r w:rsidRPr="003E3D25">
        <w:rPr>
          <w:i/>
          <w:iCs/>
          <w:kern w:val="2"/>
          <w:sz w:val="24"/>
          <w:szCs w:val="24"/>
          <w14:ligatures w14:val="standardContextual"/>
        </w:rPr>
        <w:t>comment préparer des leçons de mathématiques, d'opération, de dictée préparée »</w:t>
      </w:r>
      <w:r w:rsidRPr="003E3D25">
        <w:rPr>
          <w:kern w:val="2"/>
          <w:sz w:val="24"/>
          <w:szCs w:val="24"/>
          <w14:ligatures w14:val="standardContextual"/>
        </w:rPr>
        <w:t>.</w:t>
      </w:r>
    </w:p>
    <w:p w14:paraId="37A3C9E9"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D'autre part, la gestion de la classe et la posture de l'enseignant ont également évolué. En premier lieu, la </w:t>
      </w:r>
      <w:r w:rsidRPr="003E3D25">
        <w:rPr>
          <w:i/>
          <w:iCs/>
          <w:kern w:val="2"/>
          <w:sz w:val="24"/>
          <w:szCs w:val="24"/>
          <w14:ligatures w14:val="standardContextual"/>
        </w:rPr>
        <w:t xml:space="preserve">« disposition de ma classe » </w:t>
      </w:r>
      <w:r w:rsidRPr="003E3D25">
        <w:rPr>
          <w:kern w:val="2"/>
          <w:sz w:val="24"/>
          <w:szCs w:val="24"/>
          <w14:ligatures w14:val="standardContextual"/>
        </w:rPr>
        <w:t>a été repensée. Ensuite, des concepts comme </w:t>
      </w:r>
      <w:r w:rsidRPr="003E3D25">
        <w:rPr>
          <w:i/>
          <w:iCs/>
          <w:kern w:val="2"/>
          <w:sz w:val="24"/>
          <w:szCs w:val="24"/>
          <w14:ligatures w14:val="standardContextual"/>
        </w:rPr>
        <w:t xml:space="preserve">« la maîtrise de la classe, l'égalité de traitement des élèves » </w:t>
      </w:r>
      <w:r w:rsidRPr="003E3D25">
        <w:rPr>
          <w:kern w:val="2"/>
          <w:sz w:val="24"/>
          <w:szCs w:val="24"/>
          <w14:ligatures w14:val="standardContextual"/>
        </w:rPr>
        <w:t>sont appliqués. En outre, la formation en Didactique a modifié </w:t>
      </w:r>
      <w:r w:rsidRPr="003E3D25">
        <w:rPr>
          <w:i/>
          <w:iCs/>
          <w:kern w:val="2"/>
          <w:sz w:val="24"/>
          <w:szCs w:val="24"/>
          <w14:ligatures w14:val="standardContextual"/>
        </w:rPr>
        <w:t>« comment parler devant les élèves »</w:t>
      </w:r>
      <w:r w:rsidRPr="003E3D25">
        <w:rPr>
          <w:kern w:val="2"/>
          <w:sz w:val="24"/>
          <w:szCs w:val="24"/>
          <w14:ligatures w14:val="standardContextual"/>
        </w:rPr>
        <w:t>. Enfin, une réflexion fondamentale sur le rôle de l'enseignant a émergé, puisqu’un participant a </w:t>
      </w:r>
      <w:r w:rsidRPr="003E3D25">
        <w:rPr>
          <w:i/>
          <w:iCs/>
          <w:kern w:val="2"/>
          <w:sz w:val="24"/>
          <w:szCs w:val="24"/>
          <w14:ligatures w14:val="standardContextual"/>
        </w:rPr>
        <w:t>« appris que l'enseignant occupe un rôle plus passif que l'apprenant »</w:t>
      </w:r>
      <w:r w:rsidRPr="003E3D25">
        <w:rPr>
          <w:kern w:val="2"/>
          <w:sz w:val="24"/>
          <w:szCs w:val="24"/>
          <w14:ligatures w14:val="standardContextual"/>
        </w:rPr>
        <w:t>.</w:t>
      </w:r>
    </w:p>
    <w:p w14:paraId="2185CB82"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Impact sur les élèves</w:t>
      </w:r>
    </w:p>
    <w:p w14:paraId="24DD083B"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Étant donné que les méthodes ont changé, des effets positifs sur les élèves ont été observés, plus précisément, l’engagement et motivation. De toute évidence, les élèves sont perçus comme plus investis. En effet, </w:t>
      </w:r>
      <w:r w:rsidRPr="003E3D25">
        <w:rPr>
          <w:i/>
          <w:iCs/>
          <w:kern w:val="2"/>
          <w:sz w:val="24"/>
          <w:szCs w:val="24"/>
          <w14:ligatures w14:val="standardContextual"/>
        </w:rPr>
        <w:t>« Les élèves sont motivés puis s'épanouissent dans leurs apprentissages »</w:t>
      </w:r>
      <w:r w:rsidRPr="003E3D25">
        <w:rPr>
          <w:kern w:val="2"/>
          <w:sz w:val="24"/>
          <w:szCs w:val="24"/>
          <w14:ligatures w14:val="standardContextual"/>
        </w:rPr>
        <w:t>, laisse entendre un bénéficiaire. De même, </w:t>
      </w:r>
      <w:r w:rsidRPr="003E3D25">
        <w:rPr>
          <w:i/>
          <w:iCs/>
          <w:kern w:val="2"/>
          <w:sz w:val="24"/>
          <w:szCs w:val="24"/>
          <w14:ligatures w14:val="standardContextual"/>
        </w:rPr>
        <w:t>« Mes élèves sont devenus beaucoup plus actifs en classe »</w:t>
      </w:r>
      <w:r w:rsidRPr="003E3D25">
        <w:rPr>
          <w:kern w:val="2"/>
          <w:sz w:val="24"/>
          <w:szCs w:val="24"/>
          <w14:ligatures w14:val="standardContextual"/>
        </w:rPr>
        <w:t>, grâce aux techniques apprises, selon un autre. En conséquence, la formation « </w:t>
      </w:r>
      <w:r w:rsidRPr="003E3D25">
        <w:rPr>
          <w:i/>
          <w:iCs/>
          <w:kern w:val="2"/>
          <w:sz w:val="24"/>
          <w:szCs w:val="24"/>
          <w14:ligatures w14:val="standardContextual"/>
        </w:rPr>
        <w:t>leur a permis d'être éveillés, motivés »</w:t>
      </w:r>
      <w:r w:rsidRPr="003E3D25">
        <w:rPr>
          <w:kern w:val="2"/>
          <w:sz w:val="24"/>
          <w:szCs w:val="24"/>
          <w14:ligatures w14:val="standardContextual"/>
        </w:rPr>
        <w:t>. Finalement, le constat est simple : « </w:t>
      </w:r>
      <w:r w:rsidRPr="003E3D25">
        <w:rPr>
          <w:i/>
          <w:iCs/>
          <w:kern w:val="2"/>
          <w:sz w:val="24"/>
          <w:szCs w:val="24"/>
          <w14:ligatures w14:val="standardContextual"/>
        </w:rPr>
        <w:t>Mes élèves participent bien au cours maintenant »</w:t>
      </w:r>
      <w:r w:rsidRPr="003E3D25">
        <w:rPr>
          <w:kern w:val="2"/>
          <w:sz w:val="24"/>
          <w:szCs w:val="24"/>
          <w14:ligatures w14:val="standardContextual"/>
        </w:rPr>
        <w:t>.</w:t>
      </w:r>
    </w:p>
    <w:p w14:paraId="4E917648"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Parallèlement, cet engagement se traduit par de meilleurs résultats. D'abord, un enseignant observe des </w:t>
      </w:r>
      <w:r w:rsidRPr="003E3D25">
        <w:rPr>
          <w:i/>
          <w:iCs/>
          <w:kern w:val="2"/>
          <w:sz w:val="24"/>
          <w:szCs w:val="24"/>
          <w14:ligatures w14:val="standardContextual"/>
        </w:rPr>
        <w:t>« changements de résultats de mes élèves »</w:t>
      </w:r>
      <w:r w:rsidRPr="003E3D25">
        <w:rPr>
          <w:kern w:val="2"/>
          <w:sz w:val="24"/>
          <w:szCs w:val="24"/>
          <w14:ligatures w14:val="standardContextual"/>
        </w:rPr>
        <w:t>. Ensuite, un autre note un changement d'attitude </w:t>
      </w:r>
      <w:r w:rsidRPr="003E3D25">
        <w:rPr>
          <w:i/>
          <w:iCs/>
          <w:kern w:val="2"/>
          <w:sz w:val="24"/>
          <w:szCs w:val="24"/>
          <w14:ligatures w14:val="standardContextual"/>
        </w:rPr>
        <w:t>« rigoureuse en classe »</w:t>
      </w:r>
      <w:r w:rsidRPr="003E3D25">
        <w:rPr>
          <w:kern w:val="2"/>
          <w:sz w:val="24"/>
          <w:szCs w:val="24"/>
          <w14:ligatures w14:val="standardContextual"/>
        </w:rPr>
        <w:t>. Enfin, malgré des débuts difficiles, un formé a </w:t>
      </w:r>
      <w:r w:rsidRPr="003E3D25">
        <w:rPr>
          <w:i/>
          <w:iCs/>
          <w:kern w:val="2"/>
          <w:sz w:val="24"/>
          <w:szCs w:val="24"/>
          <w14:ligatures w14:val="standardContextual"/>
        </w:rPr>
        <w:t>« observé des résultats positifs de mes élèves »</w:t>
      </w:r>
      <w:r w:rsidRPr="003E3D25">
        <w:rPr>
          <w:kern w:val="2"/>
          <w:sz w:val="24"/>
          <w:szCs w:val="24"/>
          <w14:ligatures w14:val="standardContextual"/>
        </w:rPr>
        <w:t>.</w:t>
      </w:r>
    </w:p>
    <w:p w14:paraId="3D73807F"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Difficultés rencontrées</w:t>
      </w:r>
    </w:p>
    <w:p w14:paraId="131567E6"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Les bénéfices de la formation sont certes palpables, mais l'application de ces nouvelles compétences n'a pas été sans obstacles. La première difficulté relevée concerne l'adaptation des élèves eux-mêmes. Notamment, il y a eu une </w:t>
      </w:r>
      <w:r w:rsidRPr="003E3D25">
        <w:rPr>
          <w:i/>
          <w:iCs/>
          <w:kern w:val="2"/>
          <w:sz w:val="24"/>
          <w:szCs w:val="24"/>
          <w14:ligatures w14:val="standardContextual"/>
        </w:rPr>
        <w:t>« difficulté d'adoption du système par les élèves »</w:t>
      </w:r>
      <w:r w:rsidRPr="003E3D25">
        <w:rPr>
          <w:kern w:val="2"/>
          <w:sz w:val="24"/>
          <w:szCs w:val="24"/>
          <w14:ligatures w14:val="standardContextual"/>
        </w:rPr>
        <w:t>, selon les témoignages d’un formé. De la même manière, un autre formé confirme : « </w:t>
      </w:r>
      <w:r w:rsidRPr="003E3D25">
        <w:rPr>
          <w:i/>
          <w:iCs/>
          <w:kern w:val="2"/>
          <w:sz w:val="24"/>
          <w:szCs w:val="24"/>
          <w14:ligatures w14:val="standardContextual"/>
        </w:rPr>
        <w:t>Au début, ç'a été difficile parce que les élèves n'étaient pas habitués »</w:t>
      </w:r>
      <w:r w:rsidRPr="003E3D25">
        <w:rPr>
          <w:kern w:val="2"/>
          <w:sz w:val="24"/>
          <w:szCs w:val="24"/>
          <w14:ligatures w14:val="standardContextual"/>
        </w:rPr>
        <w:t>.</w:t>
      </w:r>
    </w:p>
    <w:p w14:paraId="373F9B47"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Deuxièmement, des contraintes matérielles et logistiques ont été soulignées. Ainsi, le manque de moyens est un frein important. D'une part, il y a le </w:t>
      </w:r>
      <w:r w:rsidRPr="003E3D25">
        <w:rPr>
          <w:i/>
          <w:iCs/>
          <w:kern w:val="2"/>
          <w:sz w:val="24"/>
          <w:szCs w:val="24"/>
          <w14:ligatures w14:val="standardContextual"/>
        </w:rPr>
        <w:t>« manque d'outils d'écoliers de certains élèves »</w:t>
      </w:r>
      <w:r w:rsidRPr="003E3D25">
        <w:rPr>
          <w:kern w:val="2"/>
          <w:sz w:val="24"/>
          <w:szCs w:val="24"/>
          <w14:ligatures w14:val="standardContextual"/>
        </w:rPr>
        <w:t>. D'autre part, les difficultés sont aussi liées au </w:t>
      </w:r>
      <w:r w:rsidRPr="003E3D25">
        <w:rPr>
          <w:i/>
          <w:iCs/>
          <w:kern w:val="2"/>
          <w:sz w:val="24"/>
          <w:szCs w:val="24"/>
          <w14:ligatures w14:val="standardContextual"/>
        </w:rPr>
        <w:t>« manque de documents et manque d'outils chez certains élèves »</w:t>
      </w:r>
      <w:r w:rsidRPr="003E3D25">
        <w:rPr>
          <w:kern w:val="2"/>
          <w:sz w:val="24"/>
          <w:szCs w:val="24"/>
          <w14:ligatures w14:val="standardContextual"/>
        </w:rPr>
        <w:t>.</w:t>
      </w:r>
    </w:p>
    <w:p w14:paraId="1E34B987"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Troisièmement, la gestion du temps</w:t>
      </w:r>
      <w:r>
        <w:rPr>
          <w:kern w:val="2"/>
          <w:sz w:val="24"/>
          <w:szCs w:val="24"/>
          <w14:ligatures w14:val="standardContextual"/>
        </w:rPr>
        <w:t xml:space="preserve"> ainsi que </w:t>
      </w:r>
      <w:r w:rsidRPr="0016004F">
        <w:rPr>
          <w:kern w:val="2"/>
          <w:sz w:val="24"/>
          <w:szCs w:val="24"/>
          <w14:ligatures w14:val="standardContextual"/>
        </w:rPr>
        <w:t>l’</w:t>
      </w:r>
      <w:r w:rsidRPr="003E3D25">
        <w:rPr>
          <w:kern w:val="2"/>
          <w:sz w:val="24"/>
          <w:szCs w:val="24"/>
          <w14:ligatures w14:val="standardContextual"/>
        </w:rPr>
        <w:t>évaluation représentent un défi. D'un côté, la </w:t>
      </w:r>
      <w:r w:rsidRPr="003E3D25">
        <w:rPr>
          <w:i/>
          <w:iCs/>
          <w:kern w:val="2"/>
          <w:sz w:val="24"/>
          <w:szCs w:val="24"/>
          <w14:ligatures w14:val="standardContextual"/>
        </w:rPr>
        <w:t xml:space="preserve">« gestion du temps, l'intervalle restreint entre différentes disciplines » </w:t>
      </w:r>
      <w:r w:rsidRPr="003E3D25">
        <w:rPr>
          <w:kern w:val="2"/>
          <w:sz w:val="24"/>
          <w:szCs w:val="24"/>
          <w14:ligatures w14:val="standardContextual"/>
        </w:rPr>
        <w:t>est problématique. D'un autre côté, </w:t>
      </w:r>
      <w:r w:rsidRPr="003E3D25">
        <w:rPr>
          <w:i/>
          <w:iCs/>
          <w:kern w:val="2"/>
          <w:sz w:val="24"/>
          <w:szCs w:val="24"/>
          <w14:ligatures w14:val="standardContextual"/>
        </w:rPr>
        <w:t>« </w:t>
      </w:r>
      <w:r>
        <w:rPr>
          <w:i/>
          <w:iCs/>
          <w:kern w:val="2"/>
          <w:sz w:val="24"/>
          <w:szCs w:val="24"/>
          <w14:ligatures w14:val="standardContextual"/>
        </w:rPr>
        <w:t>la pré-</w:t>
      </w:r>
      <w:r w:rsidRPr="003E3D25">
        <w:rPr>
          <w:i/>
          <w:iCs/>
          <w:kern w:val="2"/>
          <w:sz w:val="24"/>
          <w:szCs w:val="24"/>
          <w14:ligatures w14:val="standardContextual"/>
        </w:rPr>
        <w:t xml:space="preserve">évaluation et le contrôle des acquis » </w:t>
      </w:r>
      <w:r w:rsidRPr="003E3D25">
        <w:rPr>
          <w:kern w:val="2"/>
          <w:sz w:val="24"/>
          <w:szCs w:val="24"/>
          <w14:ligatures w14:val="standardContextual"/>
        </w:rPr>
        <w:t>s'avèrent complexes pour certains bénéficiaires.</w:t>
      </w:r>
    </w:p>
    <w:p w14:paraId="67BE3580"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Enfin, la rigueur et la discipline s’avèrent contraignantes car, l'application d'un nouveau cadre plus strict a été difficile, notamment le </w:t>
      </w:r>
      <w:r w:rsidRPr="003E3D25">
        <w:rPr>
          <w:i/>
          <w:iCs/>
          <w:kern w:val="2"/>
          <w:sz w:val="24"/>
          <w:szCs w:val="24"/>
          <w14:ligatures w14:val="standardContextual"/>
        </w:rPr>
        <w:t>« contrôle des apprenants, l'augmentation du niveau de rigueur »</w:t>
      </w:r>
      <w:r w:rsidRPr="003E3D25">
        <w:rPr>
          <w:kern w:val="2"/>
          <w:sz w:val="24"/>
          <w:szCs w:val="24"/>
          <w14:ligatures w14:val="standardContextual"/>
        </w:rPr>
        <w:t>, confie un formé.</w:t>
      </w:r>
    </w:p>
    <w:p w14:paraId="071757F4"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Suggestions d’amélioration</w:t>
      </w:r>
    </w:p>
    <w:p w14:paraId="2595E710"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Afin de renforcer l'efficacité de la formation, les participants ont émis plusieurs suggestions principales dont la principale est l’allongement de la durée. La proposition la plus fréquente est sans conteste l'allongement de la formation. Premièrement, il serait </w:t>
      </w:r>
      <w:r w:rsidRPr="003E3D25">
        <w:rPr>
          <w:i/>
          <w:iCs/>
          <w:kern w:val="2"/>
          <w:sz w:val="24"/>
          <w:szCs w:val="24"/>
          <w14:ligatures w14:val="standardContextual"/>
        </w:rPr>
        <w:t>« judicieux de prolonger la session »</w:t>
      </w:r>
      <w:r w:rsidRPr="003E3D25">
        <w:rPr>
          <w:kern w:val="2"/>
          <w:sz w:val="24"/>
          <w:szCs w:val="24"/>
          <w14:ligatures w14:val="standardContextual"/>
        </w:rPr>
        <w:t>. Deuxièmement, le constat est partagé : </w:t>
      </w:r>
      <w:r w:rsidRPr="003E3D25">
        <w:rPr>
          <w:i/>
          <w:iCs/>
          <w:kern w:val="2"/>
          <w:sz w:val="24"/>
          <w:szCs w:val="24"/>
          <w14:ligatures w14:val="standardContextual"/>
        </w:rPr>
        <w:t xml:space="preserve">« Le un (1) mois-là est un peu court » </w:t>
      </w:r>
      <w:r w:rsidRPr="003E3D25">
        <w:rPr>
          <w:kern w:val="2"/>
          <w:sz w:val="24"/>
          <w:szCs w:val="24"/>
          <w14:ligatures w14:val="standardContextual"/>
        </w:rPr>
        <w:t>; </w:t>
      </w:r>
      <w:r w:rsidRPr="003E3D25">
        <w:rPr>
          <w:i/>
          <w:iCs/>
          <w:kern w:val="2"/>
          <w:sz w:val="24"/>
          <w:szCs w:val="24"/>
          <w14:ligatures w14:val="standardContextual"/>
        </w:rPr>
        <w:t>« la durée qui est un peu courte »</w:t>
      </w:r>
      <w:r w:rsidRPr="003E3D25">
        <w:rPr>
          <w:kern w:val="2"/>
          <w:sz w:val="24"/>
          <w:szCs w:val="24"/>
          <w14:ligatures w14:val="standardContextual"/>
        </w:rPr>
        <w:t xml:space="preserve"> ; et enfin, </w:t>
      </w:r>
      <w:r w:rsidRPr="003E3D25">
        <w:rPr>
          <w:i/>
          <w:iCs/>
          <w:kern w:val="2"/>
          <w:sz w:val="24"/>
          <w:szCs w:val="24"/>
          <w14:ligatures w14:val="standardContextual"/>
        </w:rPr>
        <w:t>« La durée d'un (1) mois est courte. Avec deux (2) mois, ça sera plus bénéfique »</w:t>
      </w:r>
      <w:r w:rsidRPr="003E3D25">
        <w:rPr>
          <w:kern w:val="2"/>
          <w:sz w:val="24"/>
          <w:szCs w:val="24"/>
          <w14:ligatures w14:val="standardContextual"/>
        </w:rPr>
        <w:t>.</w:t>
      </w:r>
    </w:p>
    <w:p w14:paraId="02CE05DE"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En plus de la durée, l'articulation théorie-pratique est pointée. Il serait ainsi bénéfique de </w:t>
      </w:r>
      <w:r w:rsidRPr="003E3D25">
        <w:rPr>
          <w:i/>
          <w:iCs/>
          <w:kern w:val="2"/>
          <w:sz w:val="24"/>
          <w:szCs w:val="24"/>
          <w14:ligatures w14:val="standardContextual"/>
        </w:rPr>
        <w:t>« joindre la formation pratique à la théorie »</w:t>
      </w:r>
      <w:r w:rsidRPr="003E3D25">
        <w:rPr>
          <w:kern w:val="2"/>
          <w:sz w:val="24"/>
          <w:szCs w:val="24"/>
          <w14:ligatures w14:val="standardContextual"/>
        </w:rPr>
        <w:t>.</w:t>
      </w:r>
    </w:p>
    <w:p w14:paraId="34C3B9D7"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Par ailleurs, des aspects logistiques et de cadre sont soulevés. Il faudrait </w:t>
      </w:r>
      <w:r w:rsidRPr="003E3D25">
        <w:rPr>
          <w:i/>
          <w:iCs/>
          <w:kern w:val="2"/>
          <w:sz w:val="24"/>
          <w:szCs w:val="24"/>
          <w14:ligatures w14:val="standardContextual"/>
        </w:rPr>
        <w:t xml:space="preserve">« mettre fin aux ventes pendant la formation, les bavardages inutiles, les retards exagérés » </w:t>
      </w:r>
      <w:r w:rsidRPr="003E3D25">
        <w:rPr>
          <w:kern w:val="2"/>
          <w:sz w:val="24"/>
          <w:szCs w:val="24"/>
          <w14:ligatures w14:val="standardContextual"/>
        </w:rPr>
        <w:t>et instaurer plus de </w:t>
      </w:r>
      <w:r w:rsidRPr="003E3D25">
        <w:rPr>
          <w:i/>
          <w:iCs/>
          <w:kern w:val="2"/>
          <w:sz w:val="24"/>
          <w:szCs w:val="24"/>
          <w14:ligatures w14:val="standardContextual"/>
        </w:rPr>
        <w:t>« rigueur au niveau du test »</w:t>
      </w:r>
      <w:r w:rsidRPr="003E3D25">
        <w:rPr>
          <w:kern w:val="2"/>
          <w:sz w:val="24"/>
          <w:szCs w:val="24"/>
          <w14:ligatures w14:val="standardContextual"/>
        </w:rPr>
        <w:t>.</w:t>
      </w:r>
    </w:p>
    <w:p w14:paraId="53BD3CAE"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Du point de vue de la satisfaction globale, il est important de noter que ces suggestions s'accompagnent d'une reconnaissance du travail accompli, puisqu’un participant souligne : </w:t>
      </w:r>
      <w:r w:rsidRPr="003E3D25">
        <w:rPr>
          <w:i/>
          <w:iCs/>
          <w:kern w:val="2"/>
          <w:sz w:val="24"/>
          <w:szCs w:val="24"/>
          <w14:ligatures w14:val="standardContextual"/>
        </w:rPr>
        <w:t>« Je constate que les formateurs font du mieux pour la formation »</w:t>
      </w:r>
      <w:r w:rsidRPr="003E3D25">
        <w:rPr>
          <w:kern w:val="2"/>
          <w:sz w:val="24"/>
          <w:szCs w:val="24"/>
          <w14:ligatures w14:val="standardContextual"/>
        </w:rPr>
        <w:t>.</w:t>
      </w:r>
    </w:p>
    <w:p w14:paraId="1DCDCC4F"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En conclusion, la formation a été globalement perçue comme bénéfique, avec une acquisition de compétences pédagogiques, relationnelles et managériales substantielles. Grâce à cela, les méthodes actives et centrées sur l’élève sont plébiscitées et ont conduit à une amélioration observable de l’engagement et des résultats des élèves. Cependant, des difficultés matérielles, d’adaptation et de gestion du temps persistent. C'est pourquoi les principaux axes d’amélioration suggérés sont l’allongement de la durée de la formation et un renforcement de la composante pratique.</w:t>
      </w:r>
    </w:p>
    <w:p w14:paraId="7B23B828" w14:textId="77777777" w:rsidR="00D80693" w:rsidRPr="003E3D25" w:rsidRDefault="00D80693" w:rsidP="007944D2">
      <w:pPr>
        <w:spacing w:before="120"/>
        <w:jc w:val="both"/>
        <w:rPr>
          <w:kern w:val="2"/>
          <w:sz w:val="24"/>
          <w:szCs w:val="24"/>
          <w14:ligatures w14:val="standardContextual"/>
        </w:rPr>
      </w:pPr>
      <w:r w:rsidRPr="003E3D25">
        <w:rPr>
          <w:kern w:val="2"/>
          <w:sz w:val="24"/>
          <w:szCs w:val="24"/>
          <w14:ligatures w14:val="standardContextual"/>
        </w:rPr>
        <w:t>Pour finir, nous pouvons retenir que cette formation en Didactique des disciplines a eu un impact positif significatif. Néanmoins, une prolongation et une meilleure intégration pratique permettraient d'en accroître l’efficacité de manière décisive.</w:t>
      </w:r>
    </w:p>
    <w:p w14:paraId="245CBEFC" w14:textId="77777777" w:rsidR="00D80693" w:rsidRPr="00521ACC" w:rsidRDefault="00D80693" w:rsidP="007944D2">
      <w:pPr>
        <w:pStyle w:val="Paragraphedeliste"/>
        <w:widowControl/>
        <w:numPr>
          <w:ilvl w:val="1"/>
          <w:numId w:val="158"/>
        </w:numPr>
        <w:autoSpaceDE/>
        <w:autoSpaceDN/>
        <w:spacing w:after="160"/>
        <w:contextualSpacing/>
        <w:rPr>
          <w:b/>
          <w:bCs/>
          <w:kern w:val="2"/>
          <w:sz w:val="24"/>
          <w:szCs w:val="24"/>
          <w14:ligatures w14:val="standardContextual"/>
        </w:rPr>
      </w:pPr>
      <w:r>
        <w:rPr>
          <w:b/>
          <w:bCs/>
          <w:kern w:val="2"/>
          <w:sz w:val="24"/>
          <w:szCs w:val="24"/>
          <w14:ligatures w14:val="standardContextual"/>
        </w:rPr>
        <w:t xml:space="preserve"> </w:t>
      </w:r>
      <w:r w:rsidRPr="00521ACC">
        <w:rPr>
          <w:b/>
          <w:bCs/>
          <w:kern w:val="2"/>
          <w:sz w:val="24"/>
          <w:szCs w:val="24"/>
          <w14:ligatures w14:val="standardContextual"/>
        </w:rPr>
        <w:t>Analyse des discours des formateurs de la formation en Didactique des disciplines</w:t>
      </w:r>
    </w:p>
    <w:p w14:paraId="1517851E"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Objectifs pédagogiques prioritaires</w:t>
      </w:r>
    </w:p>
    <w:p w14:paraId="425A92E2" w14:textId="77777777" w:rsidR="00D80693" w:rsidRPr="005A5B5A" w:rsidRDefault="00D80693" w:rsidP="007944D2">
      <w:pPr>
        <w:spacing w:before="120"/>
        <w:jc w:val="both"/>
        <w:rPr>
          <w:kern w:val="2"/>
          <w:sz w:val="24"/>
          <w:szCs w:val="24"/>
          <w14:ligatures w14:val="standardContextual"/>
        </w:rPr>
      </w:pPr>
      <w:r w:rsidRPr="005A5B5A">
        <w:rPr>
          <w:kern w:val="2"/>
          <w:sz w:val="24"/>
          <w:szCs w:val="24"/>
          <w14:ligatures w14:val="standardContextual"/>
        </w:rPr>
        <w:t>Les formateurs interrogés s'accordent sur la finalité principale du programme : le renforcement des compétences pédagogiques et didactiques des enseignants du secteur privé. Cette formation vise explicitement à modifier les pratiques enseignantes par l'acquisition de fondements théoriques et méthodologiques</w:t>
      </w:r>
      <w:r>
        <w:rPr>
          <w:kern w:val="2"/>
          <w:sz w:val="24"/>
          <w:szCs w:val="24"/>
          <w14:ligatures w14:val="standardContextual"/>
        </w:rPr>
        <w:t xml:space="preserve"> : </w:t>
      </w:r>
      <w:r w:rsidRPr="005A5B5A">
        <w:rPr>
          <w:i/>
          <w:iCs/>
          <w:kern w:val="2"/>
          <w:sz w:val="24"/>
          <w:szCs w:val="24"/>
          <w14:ligatures w14:val="standardContextual"/>
        </w:rPr>
        <w:t>« Les objectifs prioritaires de cette formation, c'est de former les enseignants des écoles privées en Pédagogie de façon générale et aussi en Didactique des disciplines. »</w:t>
      </w:r>
      <w:r>
        <w:rPr>
          <w:kern w:val="2"/>
          <w:sz w:val="24"/>
          <w:szCs w:val="24"/>
          <w14:ligatures w14:val="standardContextual"/>
        </w:rPr>
        <w:t xml:space="preserve">. Un autre formateur ajoute ceci : </w:t>
      </w:r>
      <w:r w:rsidRPr="005A5B5A">
        <w:rPr>
          <w:i/>
          <w:iCs/>
          <w:kern w:val="2"/>
          <w:sz w:val="24"/>
          <w:szCs w:val="24"/>
          <w14:ligatures w14:val="standardContextual"/>
        </w:rPr>
        <w:t>« Il s'agit de former les enseignants du privé en leur donnant suffisamment de notions sur la pédagogie et la Didactique des disciplines, afin de changer leur façon de faire. »</w:t>
      </w:r>
    </w:p>
    <w:p w14:paraId="27C1D0C7"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 xml:space="preserve">Impact sur les pratiques de classe </w:t>
      </w:r>
    </w:p>
    <w:p w14:paraId="798BD42A" w14:textId="77777777" w:rsidR="007944D2" w:rsidRDefault="00D80693" w:rsidP="007944D2">
      <w:pPr>
        <w:spacing w:before="120"/>
        <w:jc w:val="both"/>
        <w:rPr>
          <w:kern w:val="2"/>
          <w:sz w:val="24"/>
          <w:szCs w:val="24"/>
          <w14:ligatures w14:val="standardContextual"/>
        </w:rPr>
      </w:pPr>
      <w:r w:rsidRPr="005A5B5A">
        <w:rPr>
          <w:kern w:val="2"/>
          <w:sz w:val="24"/>
          <w:szCs w:val="24"/>
          <w14:ligatures w14:val="standardContextual"/>
        </w:rPr>
        <w:t>La formation est perçue comme un levier d'amélioration des pratiques professionnelles, notamment par une meilleure gestion de la classe, une planification didactique plus rigoureuse et une articulation entre théorie et pratique.</w:t>
      </w:r>
    </w:p>
    <w:p w14:paraId="5173329E" w14:textId="4F573BFC" w:rsidR="00D80693" w:rsidRPr="005A5B5A" w:rsidRDefault="00D80693" w:rsidP="007944D2">
      <w:pPr>
        <w:spacing w:before="120"/>
        <w:jc w:val="both"/>
        <w:rPr>
          <w:kern w:val="2"/>
          <w:sz w:val="24"/>
          <w:szCs w:val="24"/>
          <w14:ligatures w14:val="standardContextual"/>
        </w:rPr>
      </w:pPr>
      <w:r>
        <w:rPr>
          <w:kern w:val="2"/>
          <w:sz w:val="24"/>
          <w:szCs w:val="24"/>
          <w14:ligatures w14:val="standardContextual"/>
        </w:rPr>
        <w:t xml:space="preserve"> Un </w:t>
      </w:r>
      <w:r w:rsidR="007B22B9">
        <w:rPr>
          <w:kern w:val="2"/>
          <w:sz w:val="24"/>
          <w:szCs w:val="24"/>
          <w14:ligatures w14:val="standardContextual"/>
        </w:rPr>
        <w:t xml:space="preserve">des </w:t>
      </w:r>
      <w:r>
        <w:rPr>
          <w:kern w:val="2"/>
          <w:sz w:val="24"/>
          <w:szCs w:val="24"/>
          <w14:ligatures w14:val="standardContextual"/>
        </w:rPr>
        <w:t>formateur</w:t>
      </w:r>
      <w:r w:rsidR="007B22B9">
        <w:rPr>
          <w:kern w:val="2"/>
          <w:sz w:val="24"/>
          <w:szCs w:val="24"/>
          <w14:ligatures w14:val="standardContextual"/>
        </w:rPr>
        <w:t>s</w:t>
      </w:r>
      <w:r>
        <w:rPr>
          <w:kern w:val="2"/>
          <w:sz w:val="24"/>
          <w:szCs w:val="24"/>
          <w14:ligatures w14:val="standardContextual"/>
        </w:rPr>
        <w:t xml:space="preserve"> précise que </w:t>
      </w:r>
      <w:r w:rsidRPr="005A5B5A">
        <w:rPr>
          <w:i/>
          <w:iCs/>
          <w:kern w:val="2"/>
          <w:sz w:val="24"/>
          <w:szCs w:val="24"/>
          <w14:ligatures w14:val="standardContextual"/>
        </w:rPr>
        <w:t>« Cette formation leur permettra de surmonter</w:t>
      </w:r>
      <w:r>
        <w:rPr>
          <w:i/>
          <w:iCs/>
          <w:kern w:val="2"/>
          <w:sz w:val="24"/>
          <w:szCs w:val="24"/>
          <w14:ligatures w14:val="standardContextual"/>
        </w:rPr>
        <w:t xml:space="preserve"> </w:t>
      </w:r>
      <w:r w:rsidRPr="005A5B5A">
        <w:rPr>
          <w:i/>
          <w:iCs/>
          <w:kern w:val="2"/>
          <w:sz w:val="24"/>
          <w:szCs w:val="24"/>
          <w14:ligatures w14:val="standardContextual"/>
        </w:rPr>
        <w:t>différentes difficultés rencontrées lors des exécutions des leçons, la maîtrise de la classe, la maîtrise de la procédure de préparation des leçons. »</w:t>
      </w:r>
      <w:r>
        <w:rPr>
          <w:kern w:val="2"/>
          <w:sz w:val="24"/>
          <w:szCs w:val="24"/>
          <w14:ligatures w14:val="standardContextual"/>
        </w:rPr>
        <w:t xml:space="preserve"> Un autre va plus loin : </w:t>
      </w:r>
      <w:r w:rsidRPr="005A5B5A">
        <w:rPr>
          <w:i/>
          <w:iCs/>
          <w:kern w:val="2"/>
          <w:sz w:val="24"/>
          <w:szCs w:val="24"/>
          <w14:ligatures w14:val="standardContextual"/>
        </w:rPr>
        <w:t>« C'est de changer leur façon de faire, de lier la théorie à la pratique, et cela les aidera à mieux maîtriser la démarche méthodologique de certaines disciplines. »</w:t>
      </w:r>
    </w:p>
    <w:p w14:paraId="4B69A673"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Obstacles à la transmission des compétences</w:t>
      </w:r>
    </w:p>
    <w:p w14:paraId="2F235575" w14:textId="77777777" w:rsidR="00D80693" w:rsidRPr="005A5B5A" w:rsidRDefault="00D80693" w:rsidP="007944D2">
      <w:pPr>
        <w:spacing w:before="120"/>
        <w:jc w:val="both"/>
        <w:rPr>
          <w:kern w:val="2"/>
          <w:sz w:val="24"/>
          <w:szCs w:val="24"/>
          <w14:ligatures w14:val="standardContextual"/>
        </w:rPr>
      </w:pPr>
      <w:r w:rsidRPr="005A5B5A">
        <w:rPr>
          <w:kern w:val="2"/>
          <w:sz w:val="24"/>
          <w:szCs w:val="24"/>
          <w14:ligatures w14:val="standardContextual"/>
        </w:rPr>
        <w:t>Plusieurs freins ont été identifiés, relatifs à l’hétérogénéité du public, au manque de matériel pédagogique et à des difficultés d’engagement cognitif de la part de certains participants.</w:t>
      </w:r>
      <w:r>
        <w:rPr>
          <w:kern w:val="2"/>
          <w:sz w:val="24"/>
          <w:szCs w:val="24"/>
          <w14:ligatures w14:val="standardContextual"/>
        </w:rPr>
        <w:t xml:space="preserve"> Dans un premier temps, nous avons </w:t>
      </w:r>
      <w:r w:rsidRPr="005A5B5A">
        <w:rPr>
          <w:i/>
          <w:iCs/>
          <w:kern w:val="2"/>
          <w:sz w:val="24"/>
          <w:szCs w:val="24"/>
          <w14:ligatures w14:val="standardContextual"/>
        </w:rPr>
        <w:t>« Les obstacles rencontrés sont : sur le plan de l'effectif, le niveau de certains participants qui est très bas, l'insuffisance aussi des matériels didactiques. »</w:t>
      </w:r>
      <w:r>
        <w:rPr>
          <w:kern w:val="2"/>
          <w:sz w:val="24"/>
          <w:szCs w:val="24"/>
          <w14:ligatures w14:val="standardContextual"/>
        </w:rPr>
        <w:t xml:space="preserve"> Mais aussi : </w:t>
      </w:r>
      <w:r w:rsidRPr="005A5B5A">
        <w:rPr>
          <w:i/>
          <w:iCs/>
          <w:kern w:val="2"/>
          <w:sz w:val="24"/>
          <w:szCs w:val="24"/>
          <w14:ligatures w14:val="standardContextual"/>
        </w:rPr>
        <w:t>« Les obstacles sont entre autres : le manque de concentration de certains participants, le manque de matériels didactiques pour la simulation de certaines disciplines. »</w:t>
      </w:r>
    </w:p>
    <w:p w14:paraId="79922E82" w14:textId="77777777" w:rsidR="00D80693" w:rsidRPr="00521ACC"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521ACC">
        <w:rPr>
          <w:b/>
          <w:bCs/>
          <w:kern w:val="2"/>
          <w:sz w:val="24"/>
          <w:szCs w:val="24"/>
          <w14:ligatures w14:val="standardContextual"/>
        </w:rPr>
        <w:t>Préconisations pour les futures sessions</w:t>
      </w:r>
    </w:p>
    <w:p w14:paraId="780F3C97" w14:textId="77777777" w:rsidR="00D80693" w:rsidRDefault="00D80693" w:rsidP="007944D2">
      <w:pPr>
        <w:spacing w:before="120"/>
        <w:jc w:val="both"/>
        <w:rPr>
          <w:i/>
          <w:iCs/>
          <w:kern w:val="2"/>
          <w:sz w:val="24"/>
          <w:szCs w:val="24"/>
          <w14:ligatures w14:val="standardContextual"/>
        </w:rPr>
      </w:pPr>
      <w:r w:rsidRPr="005A5B5A">
        <w:rPr>
          <w:kern w:val="2"/>
          <w:sz w:val="24"/>
          <w:szCs w:val="24"/>
          <w14:ligatures w14:val="standardContextual"/>
        </w:rPr>
        <w:t>Les formateurs recommandent une extension de la durée de la formation, une révision des contenus modulaires et la mise en place d’un dispositif d’accompagnement post-formation afin d’en garantir l’effectivité</w:t>
      </w:r>
      <w:r>
        <w:rPr>
          <w:kern w:val="2"/>
          <w:sz w:val="24"/>
          <w:szCs w:val="24"/>
          <w14:ligatures w14:val="standardContextual"/>
        </w:rPr>
        <w:t xml:space="preserve"> : </w:t>
      </w:r>
      <w:r w:rsidRPr="005A5B5A">
        <w:rPr>
          <w:i/>
          <w:iCs/>
          <w:kern w:val="2"/>
          <w:sz w:val="24"/>
          <w:szCs w:val="24"/>
          <w14:ligatures w14:val="standardContextual"/>
        </w:rPr>
        <w:t>« Dans le futur, je souhaite qu'on augmente la durée de la formation, insérer certains contenus du module et d'effectuer les suivis de ces enseignants dans les écoles. »</w:t>
      </w:r>
      <w:r>
        <w:rPr>
          <w:kern w:val="2"/>
          <w:sz w:val="24"/>
          <w:szCs w:val="24"/>
          <w14:ligatures w14:val="standardContextual"/>
        </w:rPr>
        <w:t xml:space="preserve"> Nous avons une autre proposition : </w:t>
      </w:r>
      <w:r w:rsidRPr="005A5B5A">
        <w:rPr>
          <w:i/>
          <w:iCs/>
          <w:kern w:val="2"/>
          <w:sz w:val="24"/>
          <w:szCs w:val="24"/>
          <w14:ligatures w14:val="standardContextual"/>
        </w:rPr>
        <w:t>« Je propose : la modification de certaines parties du module, ensuite d'étendre la durée de la formation. Il faut également accompagner les apprenants après la formation. »</w:t>
      </w:r>
    </w:p>
    <w:p w14:paraId="7B94675C" w14:textId="77777777" w:rsidR="00D80693" w:rsidRPr="005A5B5A" w:rsidRDefault="00D80693" w:rsidP="007944D2">
      <w:pPr>
        <w:spacing w:before="120"/>
        <w:jc w:val="both"/>
        <w:rPr>
          <w:kern w:val="2"/>
          <w:sz w:val="24"/>
          <w:szCs w:val="24"/>
          <w14:ligatures w14:val="standardContextual"/>
        </w:rPr>
      </w:pPr>
      <w:r>
        <w:rPr>
          <w:kern w:val="2"/>
          <w:sz w:val="24"/>
          <w:szCs w:val="24"/>
          <w14:ligatures w14:val="standardContextual"/>
        </w:rPr>
        <w:t xml:space="preserve">La </w:t>
      </w:r>
      <w:r w:rsidRPr="005A5B5A">
        <w:rPr>
          <w:kern w:val="2"/>
          <w:sz w:val="24"/>
          <w:szCs w:val="24"/>
          <w14:ligatures w14:val="standardContextual"/>
        </w:rPr>
        <w:t xml:space="preserve">synthèse </w:t>
      </w:r>
      <w:r>
        <w:rPr>
          <w:kern w:val="2"/>
          <w:sz w:val="24"/>
          <w:szCs w:val="24"/>
          <w14:ligatures w14:val="standardContextual"/>
        </w:rPr>
        <w:t xml:space="preserve">des verbatims (issus des formateurs) </w:t>
      </w:r>
      <w:r w:rsidRPr="005A5B5A">
        <w:rPr>
          <w:kern w:val="2"/>
          <w:sz w:val="24"/>
          <w:szCs w:val="24"/>
          <w14:ligatures w14:val="standardContextual"/>
        </w:rPr>
        <w:t>révèle une cohérence notable entre les objectifs initiaux de la formation</w:t>
      </w:r>
      <w:r>
        <w:rPr>
          <w:kern w:val="2"/>
          <w:sz w:val="24"/>
          <w:szCs w:val="24"/>
          <w14:ligatures w14:val="standardContextual"/>
        </w:rPr>
        <w:t xml:space="preserve"> courte </w:t>
      </w:r>
      <w:r w:rsidRPr="005A5B5A">
        <w:rPr>
          <w:kern w:val="2"/>
          <w:sz w:val="24"/>
          <w:szCs w:val="24"/>
          <w14:ligatures w14:val="standardContextual"/>
        </w:rPr>
        <w:t>et le retour des formateurs, tout en mettant en lumière des défis structurels et pédagogiques significatifs.</w:t>
      </w:r>
    </w:p>
    <w:p w14:paraId="074E3407" w14:textId="77777777" w:rsidR="00D80693" w:rsidRPr="005A5B5A" w:rsidRDefault="00D80693" w:rsidP="007944D2">
      <w:pPr>
        <w:spacing w:before="120"/>
        <w:jc w:val="both"/>
        <w:rPr>
          <w:kern w:val="2"/>
          <w:sz w:val="24"/>
          <w:szCs w:val="24"/>
          <w14:ligatures w14:val="standardContextual"/>
        </w:rPr>
      </w:pPr>
      <w:r w:rsidRPr="005A5B5A">
        <w:rPr>
          <w:kern w:val="2"/>
          <w:sz w:val="24"/>
          <w:szCs w:val="24"/>
          <w14:ligatures w14:val="standardContextual"/>
        </w:rPr>
        <w:t>Les verbatims confirment que la formation répond à un besoin essentiel de renforcement des compétences didactiques et pédagogiques des enseignants du privé. L'accent mis sur le lien entre théorie et pratique apparaît comme un levier central pour transformer les pratiques de classe.</w:t>
      </w:r>
    </w:p>
    <w:p w14:paraId="5E2EB0E8" w14:textId="77777777" w:rsidR="00D80693" w:rsidRPr="005A5B5A" w:rsidRDefault="00D80693" w:rsidP="007944D2">
      <w:pPr>
        <w:spacing w:before="120"/>
        <w:jc w:val="both"/>
        <w:rPr>
          <w:kern w:val="2"/>
          <w:sz w:val="24"/>
          <w:szCs w:val="24"/>
          <w14:ligatures w14:val="standardContextual"/>
        </w:rPr>
      </w:pPr>
      <w:r>
        <w:rPr>
          <w:kern w:val="2"/>
          <w:sz w:val="24"/>
          <w:szCs w:val="24"/>
          <w14:ligatures w14:val="standardContextual"/>
        </w:rPr>
        <w:t>Toutefois</w:t>
      </w:r>
      <w:r w:rsidRPr="005A5B5A">
        <w:rPr>
          <w:kern w:val="2"/>
          <w:sz w:val="24"/>
          <w:szCs w:val="24"/>
          <w14:ligatures w14:val="standardContextual"/>
        </w:rPr>
        <w:t xml:space="preserve">, les obstacles identifiés </w:t>
      </w:r>
      <w:r>
        <w:rPr>
          <w:kern w:val="2"/>
          <w:sz w:val="24"/>
          <w:szCs w:val="24"/>
          <w14:ligatures w14:val="standardContextual"/>
        </w:rPr>
        <w:t>(</w:t>
      </w:r>
      <w:r w:rsidRPr="005A5B5A">
        <w:rPr>
          <w:kern w:val="2"/>
          <w:sz w:val="24"/>
          <w:szCs w:val="24"/>
          <w14:ligatures w14:val="standardContextual"/>
        </w:rPr>
        <w:t>hétérogénéité des niveaux, manque de matériel et défauts de concentration</w:t>
      </w:r>
      <w:r>
        <w:rPr>
          <w:kern w:val="2"/>
          <w:sz w:val="24"/>
          <w:szCs w:val="24"/>
          <w14:ligatures w14:val="standardContextual"/>
        </w:rPr>
        <w:t xml:space="preserve">) </w:t>
      </w:r>
      <w:r w:rsidRPr="005A5B5A">
        <w:rPr>
          <w:kern w:val="2"/>
          <w:sz w:val="24"/>
          <w:szCs w:val="24"/>
          <w14:ligatures w14:val="standardContextual"/>
        </w:rPr>
        <w:t>soulignent l'importance d'adapter les dispositifs de formation aux réalités du terrain. Les propositions d'amélioration, notamment l'allongement de la durée et la mise en place d'un suivi post-formation, suggèrent une volonté d'ancrer durablement les acquis et d'inscrire la formation dans une logique de développement professionnel continu.</w:t>
      </w:r>
    </w:p>
    <w:p w14:paraId="40458F3F" w14:textId="77777777" w:rsidR="00D80693" w:rsidRDefault="00D80693" w:rsidP="007944D2">
      <w:pPr>
        <w:spacing w:before="120"/>
        <w:jc w:val="both"/>
        <w:rPr>
          <w:kern w:val="2"/>
          <w:sz w:val="24"/>
          <w:szCs w:val="24"/>
          <w14:ligatures w14:val="standardContextual"/>
        </w:rPr>
      </w:pPr>
      <w:r w:rsidRPr="005A5B5A">
        <w:rPr>
          <w:kern w:val="2"/>
          <w:sz w:val="24"/>
          <w:szCs w:val="24"/>
          <w14:ligatures w14:val="standardContextual"/>
        </w:rPr>
        <w:t xml:space="preserve">Ainsi, pour optimiser l’efficacité des futures sessions, une réflexion approfondie sur la différenciation pédagogique, la dotation en ressources et les mécanismes d’accompagnement à long terme s’avère </w:t>
      </w:r>
      <w:r>
        <w:rPr>
          <w:kern w:val="2"/>
          <w:sz w:val="24"/>
          <w:szCs w:val="24"/>
          <w14:ligatures w14:val="standardContextual"/>
        </w:rPr>
        <w:t>nécessaire</w:t>
      </w:r>
      <w:r w:rsidRPr="005A5B5A">
        <w:rPr>
          <w:kern w:val="2"/>
          <w:sz w:val="24"/>
          <w:szCs w:val="24"/>
          <w14:ligatures w14:val="standardContextual"/>
        </w:rPr>
        <w:t>.</w:t>
      </w:r>
      <w:r>
        <w:rPr>
          <w:kern w:val="2"/>
          <w:sz w:val="24"/>
          <w:szCs w:val="24"/>
          <w14:ligatures w14:val="standardContextual"/>
        </w:rPr>
        <w:t xml:space="preserve"> </w:t>
      </w:r>
    </w:p>
    <w:p w14:paraId="47952AFE" w14:textId="77777777" w:rsidR="00D80693" w:rsidRPr="00521ACC" w:rsidRDefault="00D80693" w:rsidP="007944D2">
      <w:pPr>
        <w:pStyle w:val="Paragraphedeliste"/>
        <w:widowControl/>
        <w:numPr>
          <w:ilvl w:val="1"/>
          <w:numId w:val="158"/>
        </w:numPr>
        <w:autoSpaceDE/>
        <w:autoSpaceDN/>
        <w:spacing w:after="160"/>
        <w:contextualSpacing/>
        <w:rPr>
          <w:b/>
          <w:bCs/>
          <w:kern w:val="2"/>
          <w:sz w:val="24"/>
          <w:szCs w:val="24"/>
          <w14:ligatures w14:val="standardContextual"/>
        </w:rPr>
      </w:pPr>
      <w:r>
        <w:rPr>
          <w:b/>
          <w:bCs/>
          <w:kern w:val="2"/>
          <w:sz w:val="24"/>
          <w:szCs w:val="24"/>
          <w14:ligatures w14:val="standardContextual"/>
        </w:rPr>
        <w:t xml:space="preserve"> </w:t>
      </w:r>
      <w:r w:rsidRPr="00521ACC">
        <w:rPr>
          <w:b/>
          <w:bCs/>
          <w:kern w:val="2"/>
          <w:sz w:val="24"/>
          <w:szCs w:val="24"/>
          <w14:ligatures w14:val="standardContextual"/>
        </w:rPr>
        <w:t>Analyse des discours des conseillers pédagogiques concernant la formation en Didactique</w:t>
      </w:r>
    </w:p>
    <w:p w14:paraId="409F3A93" w14:textId="77777777" w:rsidR="00D80693" w:rsidRPr="004D6B4D" w:rsidRDefault="00D80693" w:rsidP="007944D2">
      <w:pPr>
        <w:pStyle w:val="Paragraphedeliste"/>
        <w:widowControl/>
        <w:numPr>
          <w:ilvl w:val="0"/>
          <w:numId w:val="160"/>
        </w:numPr>
        <w:autoSpaceDE/>
        <w:autoSpaceDN/>
        <w:spacing w:after="160"/>
        <w:contextualSpacing/>
        <w:rPr>
          <w:b/>
          <w:bCs/>
          <w:kern w:val="2"/>
          <w:sz w:val="24"/>
          <w:szCs w:val="24"/>
          <w14:ligatures w14:val="standardContextual"/>
        </w:rPr>
      </w:pPr>
      <w:r w:rsidRPr="004D6B4D">
        <w:rPr>
          <w:b/>
          <w:bCs/>
          <w:kern w:val="2"/>
          <w:sz w:val="24"/>
          <w:szCs w:val="24"/>
          <w14:ligatures w14:val="standardContextual"/>
        </w:rPr>
        <w:t>Différences observées avant et après la formation</w:t>
      </w:r>
    </w:p>
    <w:p w14:paraId="3796ED3F" w14:textId="77777777" w:rsidR="00D80693" w:rsidRDefault="00D80693" w:rsidP="007944D2">
      <w:pPr>
        <w:pStyle w:val="Paragraphedeliste"/>
        <w:spacing w:after="240"/>
        <w:ind w:left="0" w:firstLine="0"/>
        <w:rPr>
          <w:kern w:val="2"/>
          <w:sz w:val="24"/>
          <w:szCs w:val="24"/>
          <w14:ligatures w14:val="standardContextual"/>
        </w:rPr>
      </w:pPr>
      <w:r w:rsidRPr="004D6B4D">
        <w:rPr>
          <w:kern w:val="2"/>
          <w:sz w:val="24"/>
          <w:szCs w:val="24"/>
          <w14:ligatures w14:val="standardContextual"/>
        </w:rPr>
        <w:t xml:space="preserve">Les conseillers pédagogiques notent un changement significatif dans les pratiques des enseignants. Selon eux, </w:t>
      </w:r>
      <w:r w:rsidRPr="004D6B4D">
        <w:rPr>
          <w:i/>
          <w:iCs/>
          <w:kern w:val="2"/>
          <w:sz w:val="24"/>
          <w:szCs w:val="24"/>
          <w14:ligatures w14:val="standardContextual"/>
        </w:rPr>
        <w:t>« l’enseignant n’est pas le même après avoir suivi cette formation, il s’améliore nettement »</w:t>
      </w:r>
      <w:r w:rsidRPr="004D6B4D">
        <w:rPr>
          <w:kern w:val="2"/>
          <w:sz w:val="24"/>
          <w:szCs w:val="24"/>
          <w14:ligatures w14:val="standardContextual"/>
        </w:rPr>
        <w:t xml:space="preserve">. La formation </w:t>
      </w:r>
      <w:r w:rsidRPr="004D6B4D">
        <w:rPr>
          <w:i/>
          <w:iCs/>
          <w:kern w:val="2"/>
          <w:sz w:val="24"/>
          <w:szCs w:val="24"/>
          <w14:ligatures w14:val="standardContextual"/>
        </w:rPr>
        <w:t>« permet d’appuyer des connaissances à savoir, comment tenir une classe, afin de maîtriser les techniques pédagogiques »</w:t>
      </w:r>
      <w:r w:rsidRPr="004D6B4D">
        <w:rPr>
          <w:kern w:val="2"/>
          <w:sz w:val="24"/>
          <w:szCs w:val="24"/>
          <w14:ligatures w14:val="standardContextual"/>
        </w:rPr>
        <w:t xml:space="preserve">. Plusieurs soulignent </w:t>
      </w:r>
      <w:r w:rsidRPr="004D6B4D">
        <w:rPr>
          <w:i/>
          <w:iCs/>
          <w:kern w:val="2"/>
          <w:sz w:val="24"/>
          <w:szCs w:val="24"/>
          <w14:ligatures w14:val="standardContextual"/>
        </w:rPr>
        <w:t>« une amélioration dans l’exécution de certaines disciplines »</w:t>
      </w:r>
      <w:r w:rsidRPr="004D6B4D">
        <w:rPr>
          <w:kern w:val="2"/>
          <w:sz w:val="24"/>
          <w:szCs w:val="24"/>
          <w14:ligatures w14:val="standardContextual"/>
        </w:rPr>
        <w:t xml:space="preserve">, </w:t>
      </w:r>
      <w:r w:rsidRPr="004D6B4D">
        <w:rPr>
          <w:i/>
          <w:iCs/>
          <w:kern w:val="2"/>
          <w:sz w:val="24"/>
          <w:szCs w:val="24"/>
          <w14:ligatures w14:val="standardContextual"/>
        </w:rPr>
        <w:t>« un rehaussement de leur niveau, une meilleure acquisition des disciplines, une bonne préparation des fiches techniques, une meilleure connaissance des apprenants »</w:t>
      </w:r>
      <w:r w:rsidRPr="004D6B4D">
        <w:rPr>
          <w:kern w:val="2"/>
          <w:sz w:val="24"/>
          <w:szCs w:val="24"/>
          <w14:ligatures w14:val="standardContextual"/>
        </w:rPr>
        <w:t xml:space="preserve">. De manière générale, </w:t>
      </w:r>
      <w:r w:rsidRPr="004D6B4D">
        <w:rPr>
          <w:i/>
          <w:iCs/>
          <w:kern w:val="2"/>
          <w:sz w:val="24"/>
          <w:szCs w:val="24"/>
          <w14:ligatures w14:val="standardContextual"/>
        </w:rPr>
        <w:t>« la différence est d’ordre pédagogique »</w:t>
      </w:r>
      <w:r w:rsidRPr="004D6B4D">
        <w:rPr>
          <w:kern w:val="2"/>
          <w:sz w:val="24"/>
          <w:szCs w:val="24"/>
          <w14:ligatures w14:val="standardContextual"/>
        </w:rPr>
        <w:t xml:space="preserve">, notamment dans </w:t>
      </w:r>
      <w:r w:rsidRPr="004D6B4D">
        <w:rPr>
          <w:i/>
          <w:iCs/>
          <w:kern w:val="2"/>
          <w:sz w:val="24"/>
          <w:szCs w:val="24"/>
          <w14:ligatures w14:val="standardContextual"/>
        </w:rPr>
        <w:t>« la capacité à formuler les consignes »</w:t>
      </w:r>
      <w:r w:rsidRPr="004D6B4D">
        <w:rPr>
          <w:kern w:val="2"/>
          <w:sz w:val="24"/>
          <w:szCs w:val="24"/>
          <w14:ligatures w14:val="standardContextual"/>
        </w:rPr>
        <w:t>.</w:t>
      </w:r>
    </w:p>
    <w:p w14:paraId="282F374D" w14:textId="77777777" w:rsidR="00D80693" w:rsidRPr="002056BD" w:rsidRDefault="00D80693" w:rsidP="007944D2">
      <w:pPr>
        <w:pStyle w:val="Paragraphedeliste"/>
        <w:widowControl/>
        <w:numPr>
          <w:ilvl w:val="0"/>
          <w:numId w:val="160"/>
        </w:numPr>
        <w:autoSpaceDE/>
        <w:autoSpaceDN/>
        <w:spacing w:after="160"/>
        <w:ind w:firstLine="0"/>
        <w:contextualSpacing/>
        <w:rPr>
          <w:kern w:val="2"/>
          <w:sz w:val="24"/>
          <w:szCs w:val="24"/>
          <w14:ligatures w14:val="standardContextual"/>
        </w:rPr>
      </w:pPr>
      <w:r w:rsidRPr="004D6B4D">
        <w:rPr>
          <w:b/>
          <w:bCs/>
          <w:kern w:val="2"/>
          <w:sz w:val="24"/>
          <w:szCs w:val="24"/>
          <w14:ligatures w14:val="standardContextual"/>
        </w:rPr>
        <w:t>Techniques pédagogiques les mieux intégrées</w:t>
      </w:r>
    </w:p>
    <w:p w14:paraId="36695B97" w14:textId="77777777" w:rsidR="00D80693"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 xml:space="preserve">Les verbatims convergent sur la prédominance des méthodes actives. Les conseillers affirment que </w:t>
      </w:r>
      <w:r w:rsidRPr="004D6B4D">
        <w:rPr>
          <w:i/>
          <w:iCs/>
          <w:kern w:val="2"/>
          <w:sz w:val="24"/>
          <w:szCs w:val="24"/>
          <w14:ligatures w14:val="standardContextual"/>
        </w:rPr>
        <w:t>« ce sont les méthodes actives qui sont les plus pratiquées »</w:t>
      </w:r>
      <w:r w:rsidRPr="004D6B4D">
        <w:rPr>
          <w:kern w:val="2"/>
          <w:sz w:val="24"/>
          <w:szCs w:val="24"/>
          <w14:ligatures w14:val="standardContextual"/>
        </w:rPr>
        <w:t>, qu</w:t>
      </w:r>
      <w:proofErr w:type="gramStart"/>
      <w:r w:rsidRPr="004D6B4D">
        <w:rPr>
          <w:kern w:val="2"/>
          <w:sz w:val="24"/>
          <w:szCs w:val="24"/>
          <w14:ligatures w14:val="standardContextual"/>
        </w:rPr>
        <w:t>’</w:t>
      </w:r>
      <w:r w:rsidRPr="004D6B4D">
        <w:rPr>
          <w:i/>
          <w:iCs/>
          <w:kern w:val="2"/>
          <w:sz w:val="24"/>
          <w:szCs w:val="24"/>
          <w14:ligatures w14:val="standardContextual"/>
        </w:rPr>
        <w:t>«</w:t>
      </w:r>
      <w:proofErr w:type="gramEnd"/>
      <w:r w:rsidRPr="004D6B4D">
        <w:rPr>
          <w:i/>
          <w:iCs/>
          <w:kern w:val="2"/>
          <w:sz w:val="24"/>
          <w:szCs w:val="24"/>
          <w14:ligatures w14:val="standardContextual"/>
        </w:rPr>
        <w:t xml:space="preserve"> elles s’avèrent les plus maîtrisées par les enseignants en classe »</w:t>
      </w:r>
      <w:r w:rsidRPr="004D6B4D">
        <w:rPr>
          <w:kern w:val="2"/>
          <w:sz w:val="24"/>
          <w:szCs w:val="24"/>
          <w14:ligatures w14:val="standardContextual"/>
        </w:rPr>
        <w:t xml:space="preserve"> et qu</w:t>
      </w:r>
      <w:proofErr w:type="gramStart"/>
      <w:r w:rsidRPr="004D6B4D">
        <w:rPr>
          <w:kern w:val="2"/>
          <w:sz w:val="24"/>
          <w:szCs w:val="24"/>
          <w14:ligatures w14:val="standardContextual"/>
        </w:rPr>
        <w:t>’</w:t>
      </w:r>
      <w:r w:rsidRPr="004D6B4D">
        <w:rPr>
          <w:i/>
          <w:iCs/>
          <w:kern w:val="2"/>
          <w:sz w:val="24"/>
          <w:szCs w:val="24"/>
          <w14:ligatures w14:val="standardContextual"/>
        </w:rPr>
        <w:t>«</w:t>
      </w:r>
      <w:proofErr w:type="gramEnd"/>
      <w:r w:rsidRPr="004D6B4D">
        <w:rPr>
          <w:i/>
          <w:iCs/>
          <w:kern w:val="2"/>
          <w:sz w:val="24"/>
          <w:szCs w:val="24"/>
          <w14:ligatures w14:val="standardContextual"/>
        </w:rPr>
        <w:t xml:space="preserve"> elles permettent aux élèves de participer pleinement au cours »</w:t>
      </w:r>
      <w:r w:rsidRPr="004D6B4D">
        <w:rPr>
          <w:kern w:val="2"/>
          <w:sz w:val="24"/>
          <w:szCs w:val="24"/>
          <w14:ligatures w14:val="standardContextual"/>
        </w:rPr>
        <w:t xml:space="preserve">. Certains ajoutent </w:t>
      </w:r>
      <w:r w:rsidRPr="004D6B4D">
        <w:rPr>
          <w:i/>
          <w:iCs/>
          <w:kern w:val="2"/>
          <w:sz w:val="24"/>
          <w:szCs w:val="24"/>
          <w14:ligatures w14:val="standardContextual"/>
        </w:rPr>
        <w:t>« les méthodes actives et l’évaluation »</w:t>
      </w:r>
      <w:r w:rsidRPr="004D6B4D">
        <w:rPr>
          <w:kern w:val="2"/>
          <w:sz w:val="24"/>
          <w:szCs w:val="24"/>
          <w14:ligatures w14:val="standardContextual"/>
        </w:rPr>
        <w:t xml:space="preserve">, tandis qu’un autre </w:t>
      </w:r>
      <w:r>
        <w:rPr>
          <w:kern w:val="2"/>
          <w:sz w:val="24"/>
          <w:szCs w:val="24"/>
          <w14:ligatures w14:val="standardContextual"/>
        </w:rPr>
        <w:t xml:space="preserve">adopte une position plus </w:t>
      </w:r>
      <w:r w:rsidRPr="0016004F">
        <w:rPr>
          <w:kern w:val="2"/>
          <w:sz w:val="24"/>
          <w:szCs w:val="24"/>
          <w14:ligatures w14:val="standardContextual"/>
        </w:rPr>
        <w:t>nuanc</w:t>
      </w:r>
      <w:r>
        <w:rPr>
          <w:kern w:val="2"/>
          <w:sz w:val="24"/>
          <w:szCs w:val="24"/>
          <w14:ligatures w14:val="standardContextual"/>
        </w:rPr>
        <w:t>é</w:t>
      </w:r>
      <w:r w:rsidRPr="0016004F">
        <w:rPr>
          <w:kern w:val="2"/>
          <w:sz w:val="24"/>
          <w:szCs w:val="24"/>
          <w14:ligatures w14:val="standardContextual"/>
        </w:rPr>
        <w:t>e</w:t>
      </w:r>
      <w:r w:rsidRPr="004D6B4D">
        <w:rPr>
          <w:kern w:val="2"/>
          <w:sz w:val="24"/>
          <w:szCs w:val="24"/>
          <w14:ligatures w14:val="standardContextual"/>
        </w:rPr>
        <w:t xml:space="preserve"> en estimant que </w:t>
      </w:r>
      <w:r w:rsidRPr="004D6B4D">
        <w:rPr>
          <w:i/>
          <w:iCs/>
          <w:kern w:val="2"/>
          <w:sz w:val="24"/>
          <w:szCs w:val="24"/>
          <w14:ligatures w14:val="standardContextual"/>
        </w:rPr>
        <w:t>« les enseignants gagnent un peu dans tout »</w:t>
      </w:r>
      <w:r w:rsidRPr="004D6B4D">
        <w:rPr>
          <w:kern w:val="2"/>
          <w:sz w:val="24"/>
          <w:szCs w:val="24"/>
          <w14:ligatures w14:val="standardContextual"/>
        </w:rPr>
        <w:t>.</w:t>
      </w:r>
    </w:p>
    <w:p w14:paraId="20EBC4E4" w14:textId="77777777" w:rsidR="00D80693" w:rsidRPr="004D6B4D" w:rsidRDefault="00D80693" w:rsidP="007944D2">
      <w:pPr>
        <w:pStyle w:val="Paragraphedeliste"/>
        <w:widowControl/>
        <w:numPr>
          <w:ilvl w:val="0"/>
          <w:numId w:val="160"/>
        </w:numPr>
        <w:autoSpaceDE/>
        <w:autoSpaceDN/>
        <w:spacing w:after="160"/>
        <w:ind w:firstLine="0"/>
        <w:contextualSpacing/>
        <w:rPr>
          <w:b/>
          <w:bCs/>
          <w:kern w:val="2"/>
          <w:sz w:val="24"/>
          <w:szCs w:val="24"/>
          <w14:ligatures w14:val="standardContextual"/>
        </w:rPr>
      </w:pPr>
      <w:r w:rsidRPr="004D6B4D">
        <w:rPr>
          <w:b/>
          <w:bCs/>
          <w:kern w:val="2"/>
          <w:sz w:val="24"/>
          <w:szCs w:val="24"/>
          <w14:ligatures w14:val="standardContextual"/>
        </w:rPr>
        <w:t>Lacunes et difficultés persistantes</w:t>
      </w:r>
    </w:p>
    <w:p w14:paraId="0FED1CF3" w14:textId="77777777" w:rsidR="00D80693"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 xml:space="preserve">Malgré la formation, plusieurs limites subsistent. Certains évoquent </w:t>
      </w:r>
      <w:r w:rsidRPr="004D6B4D">
        <w:rPr>
          <w:i/>
          <w:iCs/>
          <w:kern w:val="2"/>
          <w:sz w:val="24"/>
          <w:szCs w:val="24"/>
          <w14:ligatures w14:val="standardContextual"/>
        </w:rPr>
        <w:t>« le manque de pédagogie à transférer le message »</w:t>
      </w:r>
      <w:r w:rsidRPr="004D6B4D">
        <w:rPr>
          <w:kern w:val="2"/>
          <w:sz w:val="24"/>
          <w:szCs w:val="24"/>
          <w14:ligatures w14:val="standardContextual"/>
        </w:rPr>
        <w:t xml:space="preserve"> et le fait que </w:t>
      </w:r>
      <w:r w:rsidRPr="004D6B4D">
        <w:rPr>
          <w:i/>
          <w:iCs/>
          <w:kern w:val="2"/>
          <w:sz w:val="24"/>
          <w:szCs w:val="24"/>
          <w14:ligatures w14:val="standardContextual"/>
        </w:rPr>
        <w:t>« certains enseignants ont des lacunes pour la pratique »</w:t>
      </w:r>
      <w:r w:rsidRPr="004D6B4D">
        <w:rPr>
          <w:kern w:val="2"/>
          <w:sz w:val="24"/>
          <w:szCs w:val="24"/>
          <w14:ligatures w14:val="standardContextual"/>
        </w:rPr>
        <w:t xml:space="preserve"> ou </w:t>
      </w:r>
      <w:r w:rsidRPr="004D6B4D">
        <w:rPr>
          <w:i/>
          <w:iCs/>
          <w:kern w:val="2"/>
          <w:sz w:val="24"/>
          <w:szCs w:val="24"/>
          <w14:ligatures w14:val="standardContextual"/>
        </w:rPr>
        <w:t>« ne maîtrisent pas la méthodologie pour bien passer le message »</w:t>
      </w:r>
      <w:r w:rsidRPr="004D6B4D">
        <w:rPr>
          <w:kern w:val="2"/>
          <w:sz w:val="24"/>
          <w:szCs w:val="24"/>
          <w14:ligatures w14:val="standardContextual"/>
        </w:rPr>
        <w:t xml:space="preserve">. D’autres insistent sur les </w:t>
      </w:r>
      <w:r w:rsidRPr="004D6B4D">
        <w:rPr>
          <w:i/>
          <w:iCs/>
          <w:kern w:val="2"/>
          <w:sz w:val="24"/>
          <w:szCs w:val="24"/>
          <w14:ligatures w14:val="standardContextual"/>
        </w:rPr>
        <w:t>« difficultés d’enseigner les Mathématiques, difficultés de préparer certaines disciplines, le bas niveau de certains enseignants en français »</w:t>
      </w:r>
      <w:r w:rsidRPr="004D6B4D">
        <w:rPr>
          <w:kern w:val="2"/>
          <w:sz w:val="24"/>
          <w:szCs w:val="24"/>
          <w14:ligatures w14:val="standardContextual"/>
        </w:rPr>
        <w:t xml:space="preserve">. Pour certains, </w:t>
      </w:r>
      <w:r w:rsidRPr="004D6B4D">
        <w:rPr>
          <w:i/>
          <w:iCs/>
          <w:kern w:val="2"/>
          <w:sz w:val="24"/>
          <w:szCs w:val="24"/>
          <w14:ligatures w14:val="standardContextual"/>
        </w:rPr>
        <w:t>« les lacunes se situent au niveau de la formation académique de base »</w:t>
      </w:r>
      <w:r w:rsidRPr="004D6B4D">
        <w:rPr>
          <w:kern w:val="2"/>
          <w:sz w:val="24"/>
          <w:szCs w:val="24"/>
          <w14:ligatures w14:val="standardContextual"/>
        </w:rPr>
        <w:t xml:space="preserve">, et persistent aussi dans </w:t>
      </w:r>
      <w:r w:rsidRPr="004D6B4D">
        <w:rPr>
          <w:i/>
          <w:iCs/>
          <w:kern w:val="2"/>
          <w:sz w:val="24"/>
          <w:szCs w:val="24"/>
          <w14:ligatures w14:val="standardContextual"/>
        </w:rPr>
        <w:t>« la formulation des consignes »</w:t>
      </w:r>
      <w:r w:rsidRPr="004D6B4D">
        <w:rPr>
          <w:kern w:val="2"/>
          <w:sz w:val="24"/>
          <w:szCs w:val="24"/>
          <w14:ligatures w14:val="standardContextual"/>
        </w:rPr>
        <w:t>.</w:t>
      </w:r>
    </w:p>
    <w:p w14:paraId="3A2EB6E3" w14:textId="77777777" w:rsidR="00D80693" w:rsidRPr="004D6B4D" w:rsidRDefault="00D80693" w:rsidP="007944D2">
      <w:pPr>
        <w:pStyle w:val="Paragraphedeliste"/>
        <w:widowControl/>
        <w:numPr>
          <w:ilvl w:val="0"/>
          <w:numId w:val="160"/>
        </w:numPr>
        <w:autoSpaceDE/>
        <w:autoSpaceDN/>
        <w:spacing w:after="160"/>
        <w:ind w:firstLine="0"/>
        <w:contextualSpacing/>
        <w:rPr>
          <w:b/>
          <w:bCs/>
          <w:kern w:val="2"/>
          <w:sz w:val="24"/>
          <w:szCs w:val="24"/>
          <w14:ligatures w14:val="standardContextual"/>
        </w:rPr>
      </w:pPr>
      <w:r w:rsidRPr="004D6B4D">
        <w:rPr>
          <w:b/>
          <w:bCs/>
          <w:kern w:val="2"/>
          <w:sz w:val="24"/>
          <w:szCs w:val="24"/>
          <w14:ligatures w14:val="standardContextual"/>
        </w:rPr>
        <w:t>Changements observés chez les élèves</w:t>
      </w:r>
    </w:p>
    <w:p w14:paraId="2D2B005A" w14:textId="77777777" w:rsidR="00D80693"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 xml:space="preserve">Les effets sur les élèves apparaissent globalement positifs. On observe </w:t>
      </w:r>
      <w:r w:rsidRPr="004D6B4D">
        <w:rPr>
          <w:i/>
          <w:iCs/>
          <w:kern w:val="2"/>
          <w:sz w:val="24"/>
          <w:szCs w:val="24"/>
          <w14:ligatures w14:val="standardContextual"/>
        </w:rPr>
        <w:t>« les échanges qui s’effectuent entre le maître et l’élève, les recherches personnelles de l’enfant … comme des atouts de ces méthodes »</w:t>
      </w:r>
      <w:r w:rsidRPr="004D6B4D">
        <w:rPr>
          <w:kern w:val="2"/>
          <w:sz w:val="24"/>
          <w:szCs w:val="24"/>
          <w14:ligatures w14:val="standardContextual"/>
        </w:rPr>
        <w:t xml:space="preserve">. De plus, </w:t>
      </w:r>
      <w:r w:rsidRPr="004D6B4D">
        <w:rPr>
          <w:i/>
          <w:iCs/>
          <w:kern w:val="2"/>
          <w:sz w:val="24"/>
          <w:szCs w:val="24"/>
          <w14:ligatures w14:val="standardContextual"/>
        </w:rPr>
        <w:t>« dans cette méthode (méthode active), les apprenants se sentent mieux et ils sont acteurs de leur propre formation »</w:t>
      </w:r>
      <w:r w:rsidRPr="004D6B4D">
        <w:rPr>
          <w:kern w:val="2"/>
          <w:sz w:val="24"/>
          <w:szCs w:val="24"/>
          <w14:ligatures w14:val="standardContextual"/>
        </w:rPr>
        <w:t xml:space="preserve">. Certains relèvent que </w:t>
      </w:r>
      <w:r w:rsidRPr="004D6B4D">
        <w:rPr>
          <w:i/>
          <w:iCs/>
          <w:kern w:val="2"/>
          <w:sz w:val="24"/>
          <w:szCs w:val="24"/>
          <w14:ligatures w14:val="standardContextual"/>
        </w:rPr>
        <w:t>« les élèves sont au centre de leurs apprentissages, donnent leurs avis et participent pleinement aux cours »</w:t>
      </w:r>
      <w:r w:rsidRPr="004D6B4D">
        <w:rPr>
          <w:kern w:val="2"/>
          <w:sz w:val="24"/>
          <w:szCs w:val="24"/>
          <w14:ligatures w14:val="standardContextual"/>
        </w:rPr>
        <w:t xml:space="preserve">. Les changements se traduisent par </w:t>
      </w:r>
      <w:r w:rsidRPr="004D6B4D">
        <w:rPr>
          <w:i/>
          <w:iCs/>
          <w:kern w:val="2"/>
          <w:sz w:val="24"/>
          <w:szCs w:val="24"/>
          <w14:ligatures w14:val="standardContextual"/>
        </w:rPr>
        <w:t>« un rehaussement du niveau des apprenants, une amélioration des résultats scolaires, une participation active aux cours »</w:t>
      </w:r>
      <w:r w:rsidRPr="004D6B4D">
        <w:rPr>
          <w:kern w:val="2"/>
          <w:sz w:val="24"/>
          <w:szCs w:val="24"/>
          <w14:ligatures w14:val="standardContextual"/>
        </w:rPr>
        <w:t xml:space="preserve">, ainsi que par </w:t>
      </w:r>
      <w:r w:rsidRPr="004D6B4D">
        <w:rPr>
          <w:i/>
          <w:iCs/>
          <w:kern w:val="2"/>
          <w:sz w:val="24"/>
          <w:szCs w:val="24"/>
          <w14:ligatures w14:val="standardContextual"/>
        </w:rPr>
        <w:t>« des taux de réussite élevés »</w:t>
      </w:r>
      <w:r w:rsidRPr="004D6B4D">
        <w:rPr>
          <w:kern w:val="2"/>
          <w:sz w:val="24"/>
          <w:szCs w:val="24"/>
          <w14:ligatures w14:val="standardContextual"/>
        </w:rPr>
        <w:t>.</w:t>
      </w:r>
    </w:p>
    <w:p w14:paraId="0FE69237" w14:textId="77777777" w:rsidR="00D80693" w:rsidRPr="004D6B4D" w:rsidRDefault="00D80693" w:rsidP="007944D2">
      <w:pPr>
        <w:pStyle w:val="Paragraphedeliste"/>
        <w:widowControl/>
        <w:numPr>
          <w:ilvl w:val="0"/>
          <w:numId w:val="160"/>
        </w:numPr>
        <w:autoSpaceDE/>
        <w:autoSpaceDN/>
        <w:spacing w:after="160"/>
        <w:ind w:firstLine="0"/>
        <w:contextualSpacing/>
        <w:rPr>
          <w:b/>
          <w:bCs/>
          <w:kern w:val="2"/>
          <w:sz w:val="24"/>
          <w:szCs w:val="24"/>
          <w14:ligatures w14:val="standardContextual"/>
        </w:rPr>
      </w:pPr>
      <w:r w:rsidRPr="004D6B4D">
        <w:rPr>
          <w:b/>
          <w:bCs/>
          <w:kern w:val="2"/>
          <w:sz w:val="24"/>
          <w:szCs w:val="24"/>
          <w14:ligatures w14:val="standardContextual"/>
        </w:rPr>
        <w:t>Ajustements et recommandations</w:t>
      </w:r>
    </w:p>
    <w:p w14:paraId="1B840413" w14:textId="77777777" w:rsidR="00D80693"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 xml:space="preserve">Enfin, des pistes d’amélioration sont proposées. Les conseillers recommandent de </w:t>
      </w:r>
      <w:r w:rsidRPr="004D6B4D">
        <w:rPr>
          <w:i/>
          <w:iCs/>
          <w:kern w:val="2"/>
          <w:sz w:val="24"/>
          <w:szCs w:val="24"/>
          <w14:ligatures w14:val="standardContextual"/>
        </w:rPr>
        <w:t>« multiplier ces formations »</w:t>
      </w:r>
      <w:r w:rsidRPr="004D6B4D">
        <w:rPr>
          <w:kern w:val="2"/>
          <w:sz w:val="24"/>
          <w:szCs w:val="24"/>
          <w14:ligatures w14:val="standardContextual"/>
        </w:rPr>
        <w:t xml:space="preserve"> et </w:t>
      </w:r>
      <w:r w:rsidRPr="004D6B4D">
        <w:rPr>
          <w:i/>
          <w:iCs/>
          <w:kern w:val="2"/>
          <w:sz w:val="24"/>
          <w:szCs w:val="24"/>
          <w14:ligatures w14:val="standardContextual"/>
        </w:rPr>
        <w:t>« encourager les enseignants à l’autoformation »</w:t>
      </w:r>
      <w:r w:rsidRPr="004D6B4D">
        <w:rPr>
          <w:kern w:val="2"/>
          <w:sz w:val="24"/>
          <w:szCs w:val="24"/>
          <w14:ligatures w14:val="standardContextual"/>
        </w:rPr>
        <w:t>. Plusieurs insistent sur la nécessité d</w:t>
      </w:r>
      <w:proofErr w:type="gramStart"/>
      <w:r w:rsidRPr="004D6B4D">
        <w:rPr>
          <w:kern w:val="2"/>
          <w:sz w:val="24"/>
          <w:szCs w:val="24"/>
          <w14:ligatures w14:val="standardContextual"/>
        </w:rPr>
        <w:t>’</w:t>
      </w:r>
      <w:r w:rsidRPr="004D6B4D">
        <w:rPr>
          <w:i/>
          <w:iCs/>
          <w:kern w:val="2"/>
          <w:sz w:val="24"/>
          <w:szCs w:val="24"/>
          <w14:ligatures w14:val="standardContextual"/>
        </w:rPr>
        <w:t>«</w:t>
      </w:r>
      <w:proofErr w:type="gramEnd"/>
      <w:r w:rsidRPr="004D6B4D">
        <w:rPr>
          <w:i/>
          <w:iCs/>
          <w:kern w:val="2"/>
          <w:sz w:val="24"/>
          <w:szCs w:val="24"/>
          <w14:ligatures w14:val="standardContextual"/>
        </w:rPr>
        <w:t xml:space="preserve"> augmenter la durée de la formation »</w:t>
      </w:r>
      <w:r w:rsidRPr="004D6B4D">
        <w:rPr>
          <w:kern w:val="2"/>
          <w:sz w:val="24"/>
          <w:szCs w:val="24"/>
          <w14:ligatures w14:val="standardContextual"/>
        </w:rPr>
        <w:t xml:space="preserve">, de </w:t>
      </w:r>
      <w:r w:rsidRPr="004D6B4D">
        <w:rPr>
          <w:i/>
          <w:iCs/>
          <w:kern w:val="2"/>
          <w:sz w:val="24"/>
          <w:szCs w:val="24"/>
          <w14:ligatures w14:val="standardContextual"/>
        </w:rPr>
        <w:t>« pérenniser ladite formation »</w:t>
      </w:r>
      <w:r w:rsidRPr="004D6B4D">
        <w:rPr>
          <w:kern w:val="2"/>
          <w:sz w:val="24"/>
          <w:szCs w:val="24"/>
          <w14:ligatures w14:val="standardContextual"/>
        </w:rPr>
        <w:t xml:space="preserve">, voire de </w:t>
      </w:r>
      <w:r w:rsidRPr="004D6B4D">
        <w:rPr>
          <w:i/>
          <w:iCs/>
          <w:kern w:val="2"/>
          <w:sz w:val="24"/>
          <w:szCs w:val="24"/>
          <w14:ligatures w14:val="standardContextual"/>
        </w:rPr>
        <w:t>« prolonger sa durée »</w:t>
      </w:r>
      <w:r w:rsidRPr="004D6B4D">
        <w:rPr>
          <w:kern w:val="2"/>
          <w:sz w:val="24"/>
          <w:szCs w:val="24"/>
          <w14:ligatures w14:val="standardContextual"/>
        </w:rPr>
        <w:t xml:space="preserve">. Un autre point soulevé concerne la pertinence que </w:t>
      </w:r>
      <w:r w:rsidRPr="004D6B4D">
        <w:rPr>
          <w:i/>
          <w:iCs/>
          <w:kern w:val="2"/>
          <w:sz w:val="24"/>
          <w:szCs w:val="24"/>
          <w14:ligatures w14:val="standardContextual"/>
        </w:rPr>
        <w:t>« les conseillers généralistes forment les enseignants généralistes et les spécialistes forment les enseignants spécialistes »</w:t>
      </w:r>
      <w:r w:rsidRPr="004D6B4D">
        <w:rPr>
          <w:kern w:val="2"/>
          <w:sz w:val="24"/>
          <w:szCs w:val="24"/>
          <w14:ligatures w14:val="standardContextual"/>
        </w:rPr>
        <w:t>.</w:t>
      </w:r>
    </w:p>
    <w:p w14:paraId="5006EE2A" w14:textId="77777777" w:rsidR="00D80693" w:rsidRPr="004D6B4D"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En somme, les verbatims des conseillers pédagogiques mettent en évidence l’impact positif de la formation d’un mois en Didactique des disciplines sur l’amélioration des pratiques enseignantes et sur l’engagement des élèves. Si les méthodes actives apparaissent comme l’acquis le mieux intégré et porteur de résultats probants, des limites subsistent, notamment liées aux lacunes académiques de base et à la maîtrise inégale des techniques pédagogiques. Les recommandations formulées insistent sur la nécessité de prolonger et de multiplier ces sessions, d’adapter les formateurs aux profils des enseignants et de renforcer l’autoformation. Ces ajustements constituent des leviers essentiels pour pérenniser et amplifier les acquis de la formation, dans une perspective d’amélioration durable de la qualité des apprentissages.</w:t>
      </w:r>
    </w:p>
    <w:p w14:paraId="4CA16BA7" w14:textId="77777777" w:rsidR="00D80693" w:rsidRPr="004D6B4D" w:rsidRDefault="00D80693" w:rsidP="007944D2">
      <w:pPr>
        <w:pStyle w:val="Paragraphedeliste"/>
        <w:widowControl/>
        <w:numPr>
          <w:ilvl w:val="1"/>
          <w:numId w:val="158"/>
        </w:numPr>
        <w:autoSpaceDE/>
        <w:autoSpaceDN/>
        <w:spacing w:after="160"/>
        <w:ind w:firstLine="0"/>
        <w:contextualSpacing/>
        <w:jc w:val="left"/>
        <w:rPr>
          <w:b/>
          <w:bCs/>
          <w:kern w:val="2"/>
          <w:sz w:val="24"/>
          <w:szCs w:val="24"/>
          <w14:ligatures w14:val="standardContextual"/>
        </w:rPr>
      </w:pPr>
      <w:r>
        <w:rPr>
          <w:b/>
          <w:bCs/>
          <w:kern w:val="2"/>
          <w:sz w:val="24"/>
          <w:szCs w:val="24"/>
          <w14:ligatures w14:val="standardContextual"/>
        </w:rPr>
        <w:t xml:space="preserve"> </w:t>
      </w:r>
      <w:r w:rsidRPr="004D6B4D">
        <w:rPr>
          <w:b/>
          <w:bCs/>
          <w:kern w:val="2"/>
          <w:sz w:val="24"/>
          <w:szCs w:val="24"/>
          <w14:ligatures w14:val="standardContextual"/>
        </w:rPr>
        <w:t>Synthèse générale</w:t>
      </w:r>
      <w:r>
        <w:rPr>
          <w:b/>
          <w:bCs/>
          <w:kern w:val="2"/>
          <w:sz w:val="24"/>
          <w:szCs w:val="24"/>
          <w14:ligatures w14:val="standardContextual"/>
        </w:rPr>
        <w:t xml:space="preserve"> des discours </w:t>
      </w:r>
    </w:p>
    <w:p w14:paraId="67ABBA8F" w14:textId="77777777" w:rsidR="00D80693"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Il ressort des différents discours, les points de vue et les retours d'expérience de trois (3) groupes d'acteurs clés. D’abord les bénéficiaires (enseignants), ensuite les formateurs (encadreurs) et conseillers pédagogiques, concernant la formation courte en Didactique des disciplines destinée aux enseignants du secteur privé.</w:t>
      </w:r>
    </w:p>
    <w:p w14:paraId="05E7972A" w14:textId="77777777" w:rsidR="00D80693" w:rsidRPr="002056BD" w:rsidRDefault="00D80693" w:rsidP="007944D2">
      <w:pPr>
        <w:pStyle w:val="Paragraphedeliste"/>
        <w:widowControl/>
        <w:numPr>
          <w:ilvl w:val="0"/>
          <w:numId w:val="161"/>
        </w:numPr>
        <w:autoSpaceDE/>
        <w:autoSpaceDN/>
        <w:spacing w:after="160"/>
        <w:contextualSpacing/>
        <w:rPr>
          <w:b/>
          <w:bCs/>
          <w:kern w:val="2"/>
          <w:sz w:val="24"/>
          <w:szCs w:val="24"/>
          <w14:ligatures w14:val="standardContextual"/>
        </w:rPr>
      </w:pPr>
      <w:r w:rsidRPr="002056BD">
        <w:rPr>
          <w:b/>
          <w:bCs/>
          <w:kern w:val="2"/>
          <w:sz w:val="24"/>
          <w:szCs w:val="24"/>
          <w14:ligatures w14:val="standardContextual"/>
        </w:rPr>
        <w:t>Points de convergence et impacts positifs :</w:t>
      </w:r>
    </w:p>
    <w:p w14:paraId="209EDBC2" w14:textId="77777777" w:rsidR="00D80693" w:rsidRPr="004D6B4D" w:rsidRDefault="00D80693" w:rsidP="007944D2">
      <w:pPr>
        <w:pStyle w:val="Paragraphedeliste"/>
        <w:widowControl/>
        <w:numPr>
          <w:ilvl w:val="0"/>
          <w:numId w:val="162"/>
        </w:numPr>
        <w:autoSpaceDE/>
        <w:autoSpaceDN/>
        <w:spacing w:after="160"/>
        <w:contextualSpacing/>
        <w:rPr>
          <w:kern w:val="2"/>
          <w:sz w:val="24"/>
          <w:szCs w:val="24"/>
          <w14:ligatures w14:val="standardContextual"/>
        </w:rPr>
      </w:pPr>
      <w:r w:rsidRPr="004D6B4D">
        <w:rPr>
          <w:kern w:val="2"/>
          <w:sz w:val="24"/>
          <w:szCs w:val="24"/>
          <w14:ligatures w14:val="standardContextual"/>
        </w:rPr>
        <w:t>Acquisition de compétences significatives : Les enseignants ont développé des compétences pédagogiques, méthodologiques et relationnelles, notamment en gestion de classe, préparation de cours, et mise en œuvre de méthodes actives centrées sur l’élève ;</w:t>
      </w:r>
    </w:p>
    <w:p w14:paraId="09616F7B" w14:textId="77777777" w:rsidR="00D80693" w:rsidRPr="004D6B4D" w:rsidRDefault="00D80693" w:rsidP="007944D2">
      <w:pPr>
        <w:pStyle w:val="Paragraphedeliste"/>
        <w:widowControl/>
        <w:numPr>
          <w:ilvl w:val="0"/>
          <w:numId w:val="162"/>
        </w:numPr>
        <w:autoSpaceDE/>
        <w:autoSpaceDN/>
        <w:spacing w:after="160"/>
        <w:contextualSpacing/>
        <w:rPr>
          <w:kern w:val="2"/>
          <w:sz w:val="24"/>
          <w:szCs w:val="24"/>
          <w14:ligatures w14:val="standardContextual"/>
        </w:rPr>
      </w:pPr>
      <w:r w:rsidRPr="004D6B4D">
        <w:rPr>
          <w:kern w:val="2"/>
          <w:sz w:val="24"/>
          <w:szCs w:val="24"/>
          <w14:ligatures w14:val="standardContextual"/>
        </w:rPr>
        <w:t>Transformation des pratiques : La formation a modifié la posture des enseignants (d’un rôle central à un rôle</w:t>
      </w:r>
      <w:r>
        <w:rPr>
          <w:kern w:val="2"/>
          <w:sz w:val="24"/>
          <w:szCs w:val="24"/>
          <w14:ligatures w14:val="standardContextual"/>
        </w:rPr>
        <w:t xml:space="preserve"> </w:t>
      </w:r>
      <w:r w:rsidRPr="004D6B4D">
        <w:rPr>
          <w:kern w:val="2"/>
          <w:sz w:val="24"/>
          <w:szCs w:val="24"/>
          <w14:ligatures w14:val="standardContextual"/>
        </w:rPr>
        <w:t>facilitateur) et amélioré la structuration des séances (fiches de préparation, démarches méthodologiques) ;</w:t>
      </w:r>
    </w:p>
    <w:p w14:paraId="79FE7887" w14:textId="77777777" w:rsidR="00D80693" w:rsidRPr="004D6B4D" w:rsidRDefault="00D80693" w:rsidP="007944D2">
      <w:pPr>
        <w:pStyle w:val="Paragraphedeliste"/>
        <w:widowControl/>
        <w:numPr>
          <w:ilvl w:val="0"/>
          <w:numId w:val="162"/>
        </w:numPr>
        <w:autoSpaceDE/>
        <w:autoSpaceDN/>
        <w:spacing w:after="160"/>
        <w:contextualSpacing/>
        <w:rPr>
          <w:kern w:val="2"/>
          <w:sz w:val="24"/>
          <w:szCs w:val="24"/>
          <w14:ligatures w14:val="standardContextual"/>
        </w:rPr>
      </w:pPr>
      <w:r w:rsidRPr="004D6B4D">
        <w:rPr>
          <w:kern w:val="2"/>
          <w:sz w:val="24"/>
          <w:szCs w:val="24"/>
          <w14:ligatures w14:val="standardContextual"/>
        </w:rPr>
        <w:t>Effets positifs sur les élèves : Une augmentation de la participation, de la motivation et des résultats des élèves a été observée grâce à des méthodes plus interactives et engageantes ;</w:t>
      </w:r>
    </w:p>
    <w:p w14:paraId="3262D1BF" w14:textId="77777777" w:rsidR="00D80693" w:rsidRDefault="00D80693" w:rsidP="007944D2">
      <w:pPr>
        <w:pStyle w:val="Paragraphedeliste"/>
        <w:widowControl/>
        <w:numPr>
          <w:ilvl w:val="0"/>
          <w:numId w:val="162"/>
        </w:numPr>
        <w:autoSpaceDE/>
        <w:autoSpaceDN/>
        <w:spacing w:after="160"/>
        <w:contextualSpacing/>
        <w:rPr>
          <w:kern w:val="2"/>
          <w:sz w:val="24"/>
          <w:szCs w:val="24"/>
          <w14:ligatures w14:val="standardContextual"/>
        </w:rPr>
      </w:pPr>
      <w:r w:rsidRPr="004D6B4D">
        <w:rPr>
          <w:kern w:val="2"/>
          <w:sz w:val="24"/>
          <w:szCs w:val="24"/>
          <w14:ligatures w14:val="standardContextual"/>
        </w:rPr>
        <w:t>Reconnaissance de la pertinence de la formation : Tous les groupes s’accordent sur l’utilité de la formation et son adéquation avec les besoins du terrain.</w:t>
      </w:r>
    </w:p>
    <w:p w14:paraId="14E58666" w14:textId="77777777" w:rsidR="00D80693" w:rsidRPr="002056BD" w:rsidRDefault="00D80693" w:rsidP="007944D2">
      <w:pPr>
        <w:pStyle w:val="Paragraphedeliste"/>
        <w:widowControl/>
        <w:numPr>
          <w:ilvl w:val="0"/>
          <w:numId w:val="161"/>
        </w:numPr>
        <w:autoSpaceDE/>
        <w:autoSpaceDN/>
        <w:spacing w:after="160"/>
        <w:contextualSpacing/>
        <w:rPr>
          <w:b/>
          <w:bCs/>
          <w:kern w:val="2"/>
          <w:sz w:val="24"/>
          <w:szCs w:val="24"/>
          <w14:ligatures w14:val="standardContextual"/>
        </w:rPr>
      </w:pPr>
      <w:r w:rsidRPr="002056BD">
        <w:rPr>
          <w:b/>
          <w:bCs/>
          <w:kern w:val="2"/>
          <w:sz w:val="24"/>
          <w:szCs w:val="24"/>
          <w14:ligatures w14:val="standardContextual"/>
        </w:rPr>
        <w:t>Difficultés et limites identifiées :</w:t>
      </w:r>
    </w:p>
    <w:p w14:paraId="4461B9AA" w14:textId="77777777" w:rsidR="00D80693" w:rsidRPr="004D6B4D" w:rsidRDefault="00D80693" w:rsidP="007944D2">
      <w:pPr>
        <w:pStyle w:val="Paragraphedeliste"/>
        <w:widowControl/>
        <w:numPr>
          <w:ilvl w:val="0"/>
          <w:numId w:val="163"/>
        </w:numPr>
        <w:autoSpaceDE/>
        <w:autoSpaceDN/>
        <w:spacing w:after="160"/>
        <w:contextualSpacing/>
        <w:rPr>
          <w:kern w:val="2"/>
          <w:sz w:val="24"/>
          <w:szCs w:val="24"/>
          <w14:ligatures w14:val="standardContextual"/>
        </w:rPr>
      </w:pPr>
      <w:r w:rsidRPr="004D6B4D">
        <w:rPr>
          <w:kern w:val="2"/>
          <w:sz w:val="24"/>
          <w:szCs w:val="24"/>
          <w14:ligatures w14:val="standardContextual"/>
        </w:rPr>
        <w:t>Contraintes matérielles et logistiques : Manque d’outils pédagogiques, de documents, et problèmes d’équipement des élèves ;</w:t>
      </w:r>
    </w:p>
    <w:p w14:paraId="741C9AF4" w14:textId="77777777" w:rsidR="00D80693" w:rsidRPr="004D6B4D" w:rsidRDefault="00D80693" w:rsidP="007944D2">
      <w:pPr>
        <w:pStyle w:val="Paragraphedeliste"/>
        <w:widowControl/>
        <w:numPr>
          <w:ilvl w:val="0"/>
          <w:numId w:val="163"/>
        </w:numPr>
        <w:autoSpaceDE/>
        <w:autoSpaceDN/>
        <w:spacing w:after="160"/>
        <w:contextualSpacing/>
        <w:rPr>
          <w:kern w:val="2"/>
          <w:sz w:val="24"/>
          <w:szCs w:val="24"/>
          <w14:ligatures w14:val="standardContextual"/>
        </w:rPr>
      </w:pPr>
      <w:r w:rsidRPr="004D6B4D">
        <w:rPr>
          <w:kern w:val="2"/>
          <w:sz w:val="24"/>
          <w:szCs w:val="24"/>
          <w14:ligatures w14:val="standardContextual"/>
        </w:rPr>
        <w:t>Adaptation difficile : Résistance au changement chez les élèves et certains enseignants, ainsi qu’une hétérogénéité des niveaux parmi les formés (bénéficiaires) ;</w:t>
      </w:r>
    </w:p>
    <w:p w14:paraId="08716793" w14:textId="77777777" w:rsidR="00D80693" w:rsidRPr="004D6B4D" w:rsidRDefault="00D80693" w:rsidP="007944D2">
      <w:pPr>
        <w:pStyle w:val="Paragraphedeliste"/>
        <w:widowControl/>
        <w:numPr>
          <w:ilvl w:val="0"/>
          <w:numId w:val="163"/>
        </w:numPr>
        <w:autoSpaceDE/>
        <w:autoSpaceDN/>
        <w:spacing w:after="160"/>
        <w:contextualSpacing/>
        <w:rPr>
          <w:kern w:val="2"/>
          <w:sz w:val="24"/>
          <w:szCs w:val="24"/>
          <w14:ligatures w14:val="standardContextual"/>
        </w:rPr>
      </w:pPr>
      <w:r w:rsidRPr="004D6B4D">
        <w:rPr>
          <w:kern w:val="2"/>
          <w:sz w:val="24"/>
          <w:szCs w:val="24"/>
          <w14:ligatures w14:val="standardContextual"/>
        </w:rPr>
        <w:t>Durée insuffisante : Un (1) mois est jugé trop court pour assimiler et consolider les compétences, tant par les enseignants que par les formateurs et conseillers ;</w:t>
      </w:r>
    </w:p>
    <w:p w14:paraId="019F194B" w14:textId="77777777" w:rsidR="00D80693" w:rsidRDefault="00D80693" w:rsidP="007944D2">
      <w:pPr>
        <w:pStyle w:val="Paragraphedeliste"/>
        <w:widowControl/>
        <w:numPr>
          <w:ilvl w:val="0"/>
          <w:numId w:val="163"/>
        </w:numPr>
        <w:autoSpaceDE/>
        <w:autoSpaceDN/>
        <w:spacing w:after="160"/>
        <w:contextualSpacing/>
        <w:rPr>
          <w:kern w:val="2"/>
          <w:sz w:val="24"/>
          <w:szCs w:val="24"/>
          <w14:ligatures w14:val="standardContextual"/>
        </w:rPr>
      </w:pPr>
      <w:r w:rsidRPr="004D6B4D">
        <w:rPr>
          <w:kern w:val="2"/>
          <w:sz w:val="24"/>
          <w:szCs w:val="24"/>
          <w14:ligatures w14:val="standardContextual"/>
        </w:rPr>
        <w:t>Lacunes persistantes : Certains enseignants peinent à transposer la théorie</w:t>
      </w:r>
      <w:r>
        <w:rPr>
          <w:kern w:val="2"/>
          <w:sz w:val="24"/>
          <w:szCs w:val="24"/>
          <w14:ligatures w14:val="standardContextual"/>
        </w:rPr>
        <w:t xml:space="preserve"> </w:t>
      </w:r>
      <w:r w:rsidRPr="004D6B4D">
        <w:rPr>
          <w:kern w:val="2"/>
          <w:sz w:val="24"/>
          <w:szCs w:val="24"/>
          <w14:ligatures w14:val="standardContextual"/>
        </w:rPr>
        <w:t>en pratique, notamment dans des disciplines exigeantes comme les Mathématiques, ou à formuler des consignes claires.</w:t>
      </w:r>
    </w:p>
    <w:p w14:paraId="6469E9E7" w14:textId="77777777" w:rsidR="00D80693" w:rsidRPr="002056BD" w:rsidRDefault="00D80693" w:rsidP="007944D2">
      <w:pPr>
        <w:pStyle w:val="Paragraphedeliste"/>
        <w:widowControl/>
        <w:numPr>
          <w:ilvl w:val="0"/>
          <w:numId w:val="161"/>
        </w:numPr>
        <w:autoSpaceDE/>
        <w:autoSpaceDN/>
        <w:spacing w:after="160"/>
        <w:contextualSpacing/>
        <w:rPr>
          <w:b/>
          <w:bCs/>
          <w:kern w:val="2"/>
          <w:sz w:val="24"/>
          <w:szCs w:val="24"/>
          <w14:ligatures w14:val="standardContextual"/>
        </w:rPr>
      </w:pPr>
      <w:r w:rsidRPr="002056BD">
        <w:rPr>
          <w:b/>
          <w:bCs/>
          <w:kern w:val="2"/>
          <w:sz w:val="24"/>
          <w:szCs w:val="24"/>
          <w14:ligatures w14:val="standardContextual"/>
        </w:rPr>
        <w:t>Recommandations communes pour l’amélioration :</w:t>
      </w:r>
    </w:p>
    <w:p w14:paraId="4E3F2A65" w14:textId="77777777" w:rsidR="00D80693" w:rsidRPr="004D6B4D" w:rsidRDefault="00D80693" w:rsidP="007944D2">
      <w:pPr>
        <w:pStyle w:val="Paragraphedeliste"/>
        <w:widowControl/>
        <w:numPr>
          <w:ilvl w:val="0"/>
          <w:numId w:val="164"/>
        </w:numPr>
        <w:autoSpaceDE/>
        <w:autoSpaceDN/>
        <w:spacing w:after="160"/>
        <w:contextualSpacing/>
        <w:rPr>
          <w:kern w:val="2"/>
          <w:sz w:val="24"/>
          <w:szCs w:val="24"/>
          <w14:ligatures w14:val="standardContextual"/>
        </w:rPr>
      </w:pPr>
      <w:r w:rsidRPr="004D6B4D">
        <w:rPr>
          <w:kern w:val="2"/>
          <w:sz w:val="24"/>
          <w:szCs w:val="24"/>
          <w14:ligatures w14:val="standardContextual"/>
        </w:rPr>
        <w:t>Prolonger la durée de la formation (souvent proposée : 2 mois) ;</w:t>
      </w:r>
    </w:p>
    <w:p w14:paraId="684A389C" w14:textId="77777777" w:rsidR="00D80693" w:rsidRPr="004D6B4D" w:rsidRDefault="00D80693" w:rsidP="007944D2">
      <w:pPr>
        <w:pStyle w:val="Paragraphedeliste"/>
        <w:widowControl/>
        <w:numPr>
          <w:ilvl w:val="0"/>
          <w:numId w:val="164"/>
        </w:numPr>
        <w:autoSpaceDE/>
        <w:autoSpaceDN/>
        <w:spacing w:after="160"/>
        <w:contextualSpacing/>
        <w:rPr>
          <w:kern w:val="2"/>
          <w:sz w:val="24"/>
          <w:szCs w:val="24"/>
          <w14:ligatures w14:val="standardContextual"/>
        </w:rPr>
      </w:pPr>
      <w:r w:rsidRPr="004D6B4D">
        <w:rPr>
          <w:kern w:val="2"/>
          <w:sz w:val="24"/>
          <w:szCs w:val="24"/>
          <w14:ligatures w14:val="standardContextual"/>
        </w:rPr>
        <w:t>Renforcer la dimension pratique : Intégrer davantage de mises en situation, de simulations et d’accompagnement sur le terrain ;</w:t>
      </w:r>
    </w:p>
    <w:p w14:paraId="026AA34D" w14:textId="77777777" w:rsidR="00D80693" w:rsidRPr="004D6B4D" w:rsidRDefault="00D80693" w:rsidP="007944D2">
      <w:pPr>
        <w:pStyle w:val="Paragraphedeliste"/>
        <w:widowControl/>
        <w:numPr>
          <w:ilvl w:val="0"/>
          <w:numId w:val="164"/>
        </w:numPr>
        <w:autoSpaceDE/>
        <w:autoSpaceDN/>
        <w:spacing w:after="160"/>
        <w:contextualSpacing/>
        <w:rPr>
          <w:kern w:val="2"/>
          <w:sz w:val="24"/>
          <w:szCs w:val="24"/>
          <w14:ligatures w14:val="standardContextual"/>
        </w:rPr>
      </w:pPr>
      <w:r w:rsidRPr="004D6B4D">
        <w:rPr>
          <w:kern w:val="2"/>
          <w:sz w:val="24"/>
          <w:szCs w:val="24"/>
          <w14:ligatures w14:val="standardContextual"/>
        </w:rPr>
        <w:t>Assurer un suivi post-formation pour pérenniser les acquis ;</w:t>
      </w:r>
    </w:p>
    <w:p w14:paraId="5007604B" w14:textId="77777777" w:rsidR="00D80693" w:rsidRPr="004D6B4D" w:rsidRDefault="00D80693" w:rsidP="007944D2">
      <w:pPr>
        <w:pStyle w:val="Paragraphedeliste"/>
        <w:widowControl/>
        <w:numPr>
          <w:ilvl w:val="0"/>
          <w:numId w:val="164"/>
        </w:numPr>
        <w:autoSpaceDE/>
        <w:autoSpaceDN/>
        <w:spacing w:after="160"/>
        <w:contextualSpacing/>
        <w:rPr>
          <w:kern w:val="2"/>
          <w:sz w:val="24"/>
          <w:szCs w:val="24"/>
          <w14:ligatures w14:val="standardContextual"/>
        </w:rPr>
      </w:pPr>
      <w:r w:rsidRPr="004D6B4D">
        <w:rPr>
          <w:kern w:val="2"/>
          <w:sz w:val="24"/>
          <w:szCs w:val="24"/>
          <w14:ligatures w14:val="standardContextual"/>
        </w:rPr>
        <w:t>Adapter les contenus et les formateurs aux profils et besoins spécifiques des enseignants (généralistes vs spécialistes) ;</w:t>
      </w:r>
    </w:p>
    <w:p w14:paraId="4605F43D" w14:textId="77777777" w:rsidR="00D80693" w:rsidRDefault="00D80693" w:rsidP="007944D2">
      <w:pPr>
        <w:pStyle w:val="Paragraphedeliste"/>
        <w:widowControl/>
        <w:numPr>
          <w:ilvl w:val="0"/>
          <w:numId w:val="164"/>
        </w:numPr>
        <w:autoSpaceDE/>
        <w:autoSpaceDN/>
        <w:spacing w:after="160"/>
        <w:contextualSpacing/>
        <w:rPr>
          <w:kern w:val="2"/>
          <w:sz w:val="24"/>
          <w:szCs w:val="24"/>
          <w14:ligatures w14:val="standardContextual"/>
        </w:rPr>
      </w:pPr>
      <w:r w:rsidRPr="004D6B4D">
        <w:rPr>
          <w:kern w:val="2"/>
          <w:sz w:val="24"/>
          <w:szCs w:val="24"/>
          <w14:ligatures w14:val="standardContextual"/>
        </w:rPr>
        <w:t>Multiplier ce type de formations et encourager l’autoformation.</w:t>
      </w:r>
    </w:p>
    <w:p w14:paraId="24578B9A" w14:textId="77777777" w:rsidR="00D80693" w:rsidRPr="004D6B4D" w:rsidRDefault="00D80693" w:rsidP="007944D2">
      <w:pPr>
        <w:pStyle w:val="Paragraphedeliste"/>
        <w:ind w:left="0" w:firstLine="0"/>
        <w:rPr>
          <w:kern w:val="2"/>
          <w:sz w:val="24"/>
          <w:szCs w:val="24"/>
          <w14:ligatures w14:val="standardContextual"/>
        </w:rPr>
      </w:pPr>
      <w:r w:rsidRPr="00A110A1">
        <w:rPr>
          <w:kern w:val="2"/>
          <w:sz w:val="24"/>
          <w:szCs w:val="24"/>
          <w14:ligatures w14:val="standardContextual"/>
        </w:rPr>
        <w:t>En somme, nous constatons que la formation en Didactique des disciplines a globalement</w:t>
      </w:r>
      <w:r w:rsidRPr="004D6B4D">
        <w:rPr>
          <w:kern w:val="2"/>
          <w:sz w:val="24"/>
          <w:szCs w:val="24"/>
          <w14:ligatures w14:val="standardContextual"/>
        </w:rPr>
        <w:t xml:space="preserve"> atteint ses objectifs en permettant aux enseignants d’acquérir des compétences pédagogiques solides, de transformer leurs pratiques en classe et d’améliorer significativement l’engagement et les résultats de leurs élèves. Les retours des bénéficiaires, formateurs et conseillers pédagogiques convergent pour souligner son impact positif et sa pertinence.</w:t>
      </w:r>
    </w:p>
    <w:p w14:paraId="4D9353E8" w14:textId="77777777" w:rsidR="00D80693" w:rsidRPr="004D6B4D" w:rsidRDefault="00D80693" w:rsidP="007944D2">
      <w:pPr>
        <w:pStyle w:val="Paragraphedeliste"/>
        <w:ind w:left="0" w:firstLine="0"/>
        <w:rPr>
          <w:kern w:val="2"/>
          <w:sz w:val="24"/>
          <w:szCs w:val="24"/>
          <w14:ligatures w14:val="standardContextual"/>
        </w:rPr>
      </w:pPr>
      <w:r w:rsidRPr="004D6B4D">
        <w:rPr>
          <w:kern w:val="2"/>
          <w:sz w:val="24"/>
          <w:szCs w:val="24"/>
          <w14:ligatures w14:val="standardContextual"/>
        </w:rPr>
        <w:t>Toutefois, des défis structurels et pédagogiques persistent, liés notamment à la durée limitée de la formation, au manque de ressources matérielles, et à l’hétérogénéité des publics. Pour garantir une efficacité durable et une généralisation des bonnes pratiques, il est essentiel d’allonger la formation, de renforcer son volet pratique, de mettre en place un dispositif de suivi post-formation et d’adapter les contenus aux réalités du terrain.</w:t>
      </w:r>
    </w:p>
    <w:p w14:paraId="2806D7A1" w14:textId="77777777" w:rsidR="00D80693" w:rsidRDefault="00D80693" w:rsidP="007944D2">
      <w:pPr>
        <w:pStyle w:val="Paragraphedeliste"/>
        <w:spacing w:after="240"/>
        <w:ind w:left="0" w:firstLine="0"/>
        <w:rPr>
          <w:kern w:val="2"/>
          <w:sz w:val="24"/>
          <w:szCs w:val="24"/>
          <w14:ligatures w14:val="standardContextual"/>
        </w:rPr>
      </w:pPr>
      <w:r w:rsidRPr="004D6B4D">
        <w:rPr>
          <w:kern w:val="2"/>
          <w:sz w:val="24"/>
          <w:szCs w:val="24"/>
          <w14:ligatures w14:val="standardContextual"/>
        </w:rPr>
        <w:t>À ces conditions, cette formation pourrait s’inscrire dans une démarche de développement professionnel continu et contribuer durablement à l’amélioration de la qualité de l’éducation dans le secteur privé au Mali.</w:t>
      </w:r>
    </w:p>
    <w:p w14:paraId="55BE6035" w14:textId="77777777" w:rsidR="00D80693" w:rsidRPr="007021E9" w:rsidRDefault="00D80693" w:rsidP="007944D2">
      <w:pPr>
        <w:pStyle w:val="Paragraphedeliste"/>
        <w:widowControl/>
        <w:numPr>
          <w:ilvl w:val="0"/>
          <w:numId w:val="158"/>
        </w:numPr>
        <w:tabs>
          <w:tab w:val="left" w:pos="1290"/>
        </w:tabs>
        <w:autoSpaceDE/>
        <w:autoSpaceDN/>
        <w:spacing w:after="160"/>
        <w:contextualSpacing/>
        <w:rPr>
          <w:b/>
          <w:bCs/>
          <w:kern w:val="2"/>
          <w:sz w:val="28"/>
          <w:szCs w:val="28"/>
          <w14:ligatures w14:val="standardContextual"/>
        </w:rPr>
      </w:pPr>
      <w:r w:rsidRPr="007021E9">
        <w:rPr>
          <w:b/>
          <w:bCs/>
          <w:kern w:val="2"/>
          <w:sz w:val="28"/>
          <w:szCs w:val="28"/>
          <w14:ligatures w14:val="standardContextual"/>
        </w:rPr>
        <w:t>Discussion</w:t>
      </w:r>
    </w:p>
    <w:p w14:paraId="037DAF4B"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 xml:space="preserve">Cette étude visait à évaluer l’impact d’une formation courte de 30 jours en </w:t>
      </w:r>
      <w:r>
        <w:rPr>
          <w:kern w:val="2"/>
          <w:sz w:val="24"/>
          <w:szCs w:val="24"/>
          <w14:ligatures w14:val="standardContextual"/>
        </w:rPr>
        <w:t>D</w:t>
      </w:r>
      <w:r w:rsidRPr="00E96E25">
        <w:rPr>
          <w:kern w:val="2"/>
          <w:sz w:val="24"/>
          <w:szCs w:val="24"/>
          <w14:ligatures w14:val="standardContextual"/>
        </w:rPr>
        <w:t>idactique des disciplines sur les pratiques pédagogiques d’enseignants maliens du secteur privé. Les résultats montrent que cette formation a eu des effets</w:t>
      </w:r>
      <w:r>
        <w:rPr>
          <w:kern w:val="2"/>
          <w:sz w:val="24"/>
          <w:szCs w:val="24"/>
          <w14:ligatures w14:val="standardContextual"/>
        </w:rPr>
        <w:t xml:space="preserve"> </w:t>
      </w:r>
      <w:r w:rsidRPr="00E96E25">
        <w:rPr>
          <w:kern w:val="2"/>
          <w:sz w:val="24"/>
          <w:szCs w:val="24"/>
          <w14:ligatures w14:val="standardContextual"/>
        </w:rPr>
        <w:t>significatifs, confirmant en partie les conclusions d’études antérieures menées dans des contextes similaires.</w:t>
      </w:r>
    </w:p>
    <w:p w14:paraId="07BA8227"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Conformément aux travaux de Coulibaly et al. (2017) et </w:t>
      </w:r>
      <w:r>
        <w:rPr>
          <w:kern w:val="2"/>
          <w:sz w:val="24"/>
          <w:szCs w:val="24"/>
          <w14:ligatures w14:val="standardContextual"/>
        </w:rPr>
        <w:t xml:space="preserve">ceux de </w:t>
      </w:r>
      <w:r w:rsidRPr="00E96E25">
        <w:rPr>
          <w:kern w:val="2"/>
          <w:sz w:val="24"/>
          <w:szCs w:val="24"/>
          <w14:ligatures w14:val="standardContextual"/>
        </w:rPr>
        <w:t>Tour</w:t>
      </w:r>
      <w:r>
        <w:rPr>
          <w:kern w:val="2"/>
          <w:sz w:val="24"/>
          <w:szCs w:val="24"/>
          <w14:ligatures w14:val="standardContextual"/>
        </w:rPr>
        <w:t xml:space="preserve">é et </w:t>
      </w:r>
      <w:r w:rsidRPr="00E96E25">
        <w:rPr>
          <w:kern w:val="2"/>
          <w:sz w:val="24"/>
          <w:szCs w:val="24"/>
          <w14:ligatures w14:val="standardContextual"/>
        </w:rPr>
        <w:t>Keïta (2018), la formation a effectivement amélioré la gestion de classe et l’adoption de méthodes actives. Les enseignants ont développé une meilleure maîtrise des outils pédagogiques et une posture plus centrée sur l’apprenant, ce qui rejoint également les observations de </w:t>
      </w:r>
      <w:proofErr w:type="spellStart"/>
      <w:r w:rsidRPr="00E96E25">
        <w:rPr>
          <w:kern w:val="2"/>
          <w:sz w:val="24"/>
          <w:szCs w:val="24"/>
          <w14:ligatures w14:val="standardContextual"/>
        </w:rPr>
        <w:t>Maïga</w:t>
      </w:r>
      <w:proofErr w:type="spellEnd"/>
      <w:r w:rsidRPr="00E96E25">
        <w:rPr>
          <w:kern w:val="2"/>
          <w:sz w:val="24"/>
          <w:szCs w:val="24"/>
          <w14:ligatures w14:val="standardContextual"/>
        </w:rPr>
        <w:t xml:space="preserve"> (2019) sur la motivation et la reconnaissance professionnelle.</w:t>
      </w:r>
    </w:p>
    <w:p w14:paraId="191FC499"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Cependant, comme le soulignent Traoré et al. (2019)</w:t>
      </w:r>
      <w:r>
        <w:rPr>
          <w:kern w:val="2"/>
          <w:sz w:val="24"/>
          <w:szCs w:val="24"/>
          <w14:ligatures w14:val="standardContextual"/>
        </w:rPr>
        <w:t xml:space="preserve">, ainsi que </w:t>
      </w:r>
      <w:proofErr w:type="spellStart"/>
      <w:r w:rsidRPr="00E96E25">
        <w:rPr>
          <w:kern w:val="2"/>
          <w:sz w:val="24"/>
          <w:szCs w:val="24"/>
          <w14:ligatures w14:val="standardContextual"/>
        </w:rPr>
        <w:t>N'Diaye</w:t>
      </w:r>
      <w:proofErr w:type="spellEnd"/>
      <w:r>
        <w:rPr>
          <w:kern w:val="2"/>
          <w:sz w:val="24"/>
          <w:szCs w:val="24"/>
          <w14:ligatures w14:val="standardContextual"/>
        </w:rPr>
        <w:t xml:space="preserve"> et </w:t>
      </w:r>
      <w:r w:rsidRPr="00E96E25">
        <w:rPr>
          <w:kern w:val="2"/>
          <w:sz w:val="24"/>
          <w:szCs w:val="24"/>
          <w14:ligatures w14:val="standardContextual"/>
        </w:rPr>
        <w:t>Traoré (2023), l’impact de ces formations reste limité par l’absence de suivi post-formation et les conditions matérielles difficiles. Les difficultés rapportées</w:t>
      </w:r>
      <w:r>
        <w:rPr>
          <w:kern w:val="2"/>
          <w:sz w:val="24"/>
          <w:szCs w:val="24"/>
          <w14:ligatures w14:val="standardContextual"/>
        </w:rPr>
        <w:t xml:space="preserve"> (</w:t>
      </w:r>
      <w:r w:rsidRPr="00E96E25">
        <w:rPr>
          <w:kern w:val="2"/>
          <w:sz w:val="24"/>
          <w:szCs w:val="24"/>
          <w14:ligatures w14:val="standardContextual"/>
        </w:rPr>
        <w:t>manque de ressources, hétérogénéité des niveaux, durée insuffisante</w:t>
      </w:r>
      <w:r>
        <w:rPr>
          <w:kern w:val="2"/>
          <w:sz w:val="24"/>
          <w:szCs w:val="24"/>
          <w14:ligatures w14:val="standardContextual"/>
        </w:rPr>
        <w:t xml:space="preserve">) </w:t>
      </w:r>
      <w:r w:rsidRPr="00E96E25">
        <w:rPr>
          <w:kern w:val="2"/>
          <w:sz w:val="24"/>
          <w:szCs w:val="24"/>
          <w14:ligatures w14:val="standardContextual"/>
        </w:rPr>
        <w:t>corroborent ces constats et rappellent que de telles initiatives ne peuvent pallier seules les lacunes structurelles du système éducatif malien (Diallo, 2020).</w:t>
      </w:r>
    </w:p>
    <w:p w14:paraId="72C5DE6C"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 xml:space="preserve">Par ailleurs, l’étude met en lumière des limites persistantes, notamment dans l’enseignement des </w:t>
      </w:r>
      <w:r>
        <w:rPr>
          <w:kern w:val="2"/>
          <w:sz w:val="24"/>
          <w:szCs w:val="24"/>
          <w14:ligatures w14:val="standardContextual"/>
        </w:rPr>
        <w:t>M</w:t>
      </w:r>
      <w:r w:rsidRPr="00E96E25">
        <w:rPr>
          <w:kern w:val="2"/>
          <w:sz w:val="24"/>
          <w:szCs w:val="24"/>
          <w14:ligatures w14:val="standardContextual"/>
        </w:rPr>
        <w:t>athématiques et la formulation des consignes, ce qui rejoint les réserves émises par Coulibaly et al. (2017) quant à la nécessité d’approches différenciées selon les disciplines.</w:t>
      </w:r>
    </w:p>
    <w:p w14:paraId="2BF2C1F5"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Enfin, les recommandations des participants</w:t>
      </w:r>
      <w:r>
        <w:rPr>
          <w:kern w:val="2"/>
          <w:sz w:val="24"/>
          <w:szCs w:val="24"/>
          <w14:ligatures w14:val="standardContextual"/>
        </w:rPr>
        <w:t xml:space="preserve"> (</w:t>
      </w:r>
      <w:r w:rsidRPr="00E96E25">
        <w:rPr>
          <w:kern w:val="2"/>
          <w:sz w:val="24"/>
          <w:szCs w:val="24"/>
          <w14:ligatures w14:val="standardContextual"/>
        </w:rPr>
        <w:t>prolongation de la durée, renforcement de la pratique, suivi post-formation) vont dans le sens des propositions de Sissoko</w:t>
      </w:r>
      <w:r>
        <w:rPr>
          <w:kern w:val="2"/>
          <w:sz w:val="24"/>
          <w:szCs w:val="24"/>
          <w14:ligatures w14:val="standardContextual"/>
        </w:rPr>
        <w:t xml:space="preserve"> et </w:t>
      </w:r>
      <w:r w:rsidRPr="00E96E25">
        <w:rPr>
          <w:kern w:val="2"/>
          <w:sz w:val="24"/>
          <w:szCs w:val="24"/>
          <w14:ligatures w14:val="standardContextual"/>
        </w:rPr>
        <w:t>Ba (2021)</w:t>
      </w:r>
      <w:r>
        <w:rPr>
          <w:kern w:val="2"/>
          <w:sz w:val="24"/>
          <w:szCs w:val="24"/>
          <w14:ligatures w14:val="standardContextual"/>
        </w:rPr>
        <w:t xml:space="preserve"> ainsi que celles de </w:t>
      </w:r>
      <w:proofErr w:type="spellStart"/>
      <w:r w:rsidRPr="00E96E25">
        <w:rPr>
          <w:kern w:val="2"/>
          <w:sz w:val="24"/>
          <w:szCs w:val="24"/>
          <w14:ligatures w14:val="standardContextual"/>
        </w:rPr>
        <w:t>N'Diaye</w:t>
      </w:r>
      <w:proofErr w:type="spellEnd"/>
      <w:r>
        <w:rPr>
          <w:kern w:val="2"/>
          <w:sz w:val="24"/>
          <w:szCs w:val="24"/>
          <w14:ligatures w14:val="standardContextual"/>
        </w:rPr>
        <w:t xml:space="preserve"> et </w:t>
      </w:r>
      <w:r w:rsidRPr="00E96E25">
        <w:rPr>
          <w:kern w:val="2"/>
          <w:sz w:val="24"/>
          <w:szCs w:val="24"/>
          <w14:ligatures w14:val="standardContextual"/>
        </w:rPr>
        <w:t>Traoré (2023), qui préconisent une articulation entre formations courtes et mentorat, ainsi qu’une adaptation aux réalités locales.</w:t>
      </w:r>
    </w:p>
    <w:p w14:paraId="1B079D10" w14:textId="77777777" w:rsidR="00D80693" w:rsidRPr="00A110A1"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Ainsi, si la formation de 30 jours constitue une réponse pragmatique à l’urgence éducative, son efficacité à long terme dépendra de son intégration dans une politique plus large de développement professionnel continu, incluant un accompagnement durable et des ressources adaptées.</w:t>
      </w:r>
    </w:p>
    <w:p w14:paraId="0E21261D" w14:textId="77777777" w:rsidR="00D80693" w:rsidRPr="00C554F3" w:rsidRDefault="00D80693" w:rsidP="007944D2">
      <w:pPr>
        <w:tabs>
          <w:tab w:val="left" w:pos="1290"/>
        </w:tabs>
        <w:spacing w:before="120"/>
        <w:jc w:val="both"/>
        <w:rPr>
          <w:b/>
          <w:bCs/>
          <w:kern w:val="2"/>
          <w:sz w:val="28"/>
          <w:szCs w:val="28"/>
          <w14:ligatures w14:val="standardContextual"/>
        </w:rPr>
      </w:pPr>
      <w:r w:rsidRPr="00C554F3">
        <w:rPr>
          <w:b/>
          <w:bCs/>
          <w:kern w:val="2"/>
          <w:sz w:val="28"/>
          <w:szCs w:val="28"/>
          <w14:ligatures w14:val="standardContextual"/>
        </w:rPr>
        <w:t>Conclusion</w:t>
      </w:r>
    </w:p>
    <w:p w14:paraId="28BFDBF6"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Cette étude démontre que la formation de 30 jours en Didactique des disciplines a eu un impact globalement positif sur les pratiques pédagogiques des enseignants maliens du secteur privé. Elle a permis l’acquisition de compétences significatives, une transformation des méthodes d’enseignement et une amélioration observable de l’engagement et des résultats des élèves.</w:t>
      </w:r>
    </w:p>
    <w:p w14:paraId="63663366" w14:textId="77777777" w:rsidR="00D80693" w:rsidRPr="00E96E25"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Cependant, son efficacité est limitée par des contraintes structurelles : durée insuffisante, manque de ressources matérielles, hétérogénéité</w:t>
      </w:r>
      <w:r>
        <w:rPr>
          <w:kern w:val="2"/>
          <w:sz w:val="24"/>
          <w:szCs w:val="24"/>
          <w14:ligatures w14:val="standardContextual"/>
        </w:rPr>
        <w:t xml:space="preserve"> des niveaux académiques des auditeurs </w:t>
      </w:r>
      <w:r w:rsidRPr="00E96E25">
        <w:rPr>
          <w:kern w:val="2"/>
          <w:sz w:val="24"/>
          <w:szCs w:val="24"/>
          <w14:ligatures w14:val="standardContextual"/>
        </w:rPr>
        <w:t>et absence de mécanismes de suivi. Pour garantir une amélioration durable de la qualité de l’éducation, il est essentiel de prolonger</w:t>
      </w:r>
      <w:r w:rsidRPr="00E96E25">
        <w:rPr>
          <w:b/>
          <w:bCs/>
          <w:kern w:val="2"/>
          <w:sz w:val="24"/>
          <w:szCs w:val="24"/>
          <w14:ligatures w14:val="standardContextual"/>
        </w:rPr>
        <w:t xml:space="preserve"> </w:t>
      </w:r>
      <w:r w:rsidRPr="00E96E25">
        <w:rPr>
          <w:kern w:val="2"/>
          <w:sz w:val="24"/>
          <w:szCs w:val="24"/>
          <w14:ligatures w14:val="standardContextual"/>
        </w:rPr>
        <w:t>la durée des formations, de renforcer leur volet pratique, de mettre en place un accompagnement post-formation, et d’adapter les contenus aux besoins spécifiques des enseignants et des disciplines.</w:t>
      </w:r>
    </w:p>
    <w:p w14:paraId="62CEB162" w14:textId="77777777" w:rsidR="00D80693" w:rsidRPr="00332DF6" w:rsidRDefault="00D80693" w:rsidP="007944D2">
      <w:pPr>
        <w:tabs>
          <w:tab w:val="left" w:pos="1290"/>
        </w:tabs>
        <w:spacing w:before="120"/>
        <w:jc w:val="both"/>
        <w:rPr>
          <w:kern w:val="2"/>
          <w:sz w:val="24"/>
          <w:szCs w:val="24"/>
          <w14:ligatures w14:val="standardContextual"/>
        </w:rPr>
      </w:pPr>
      <w:r w:rsidRPr="00E96E25">
        <w:rPr>
          <w:kern w:val="2"/>
          <w:sz w:val="24"/>
          <w:szCs w:val="24"/>
          <w14:ligatures w14:val="standardContextual"/>
        </w:rPr>
        <w:t>À ces conditions, de telles formations pourraient s’inscrire dans une démarche de professionnalisation continue et contribuer significativement à relever le défi de la qualité de l’éducation au Mali, dans un contexte de pénurie persistante d’enseignants qualifiés.</w:t>
      </w:r>
    </w:p>
    <w:p w14:paraId="2E77FAEF" w14:textId="0D1126AC" w:rsidR="00D80693" w:rsidRPr="001928FA" w:rsidRDefault="00D80693" w:rsidP="007944D2">
      <w:pPr>
        <w:tabs>
          <w:tab w:val="left" w:pos="1290"/>
        </w:tabs>
        <w:spacing w:before="120"/>
        <w:rPr>
          <w:kern w:val="2"/>
          <w:sz w:val="28"/>
          <w:szCs w:val="28"/>
          <w:lang w:val="en-US"/>
          <w14:ligatures w14:val="standardContextual"/>
        </w:rPr>
      </w:pPr>
      <w:proofErr w:type="spellStart"/>
      <w:r w:rsidRPr="001928FA">
        <w:rPr>
          <w:b/>
          <w:bCs/>
          <w:kern w:val="2"/>
          <w:sz w:val="28"/>
          <w:szCs w:val="28"/>
          <w:lang w:val="en-US"/>
          <w14:ligatures w14:val="standardContextual"/>
        </w:rPr>
        <w:t>Références</w:t>
      </w:r>
      <w:proofErr w:type="spellEnd"/>
      <w:r w:rsidR="007944D2" w:rsidRPr="001928FA">
        <w:rPr>
          <w:b/>
          <w:bCs/>
          <w:kern w:val="2"/>
          <w:sz w:val="28"/>
          <w:szCs w:val="28"/>
          <w:lang w:val="en-US"/>
          <w14:ligatures w14:val="standardContextual"/>
        </w:rPr>
        <w:t xml:space="preserve"> </w:t>
      </w:r>
      <w:proofErr w:type="spellStart"/>
      <w:r w:rsidR="007944D2" w:rsidRPr="001928FA">
        <w:rPr>
          <w:b/>
          <w:bCs/>
          <w:kern w:val="2"/>
          <w:sz w:val="28"/>
          <w:szCs w:val="28"/>
          <w:lang w:val="en-US"/>
          <w14:ligatures w14:val="standardContextual"/>
        </w:rPr>
        <w:t>bibliographiques</w:t>
      </w:r>
      <w:proofErr w:type="spellEnd"/>
    </w:p>
    <w:p w14:paraId="4BE25FBE" w14:textId="77777777" w:rsidR="00D80693" w:rsidRPr="000F6D25"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1928FA">
        <w:rPr>
          <w:kern w:val="2"/>
          <w:sz w:val="24"/>
          <w:szCs w:val="24"/>
          <w:lang w:val="en-US"/>
          <w14:ligatures w14:val="standardContextual"/>
        </w:rPr>
        <w:t xml:space="preserve">Bandura, A. (1977). </w:t>
      </w:r>
      <w:r w:rsidRPr="00677B3E">
        <w:rPr>
          <w:kern w:val="2"/>
          <w:sz w:val="24"/>
          <w:szCs w:val="24"/>
          <w:lang w:val="en-US"/>
          <w14:ligatures w14:val="standardContextual"/>
        </w:rPr>
        <w:t>Self-</w:t>
      </w:r>
      <w:proofErr w:type="gramStart"/>
      <w:r w:rsidRPr="00677B3E">
        <w:rPr>
          <w:kern w:val="2"/>
          <w:sz w:val="24"/>
          <w:szCs w:val="24"/>
          <w:lang w:val="en-US"/>
          <w14:ligatures w14:val="standardContextual"/>
        </w:rPr>
        <w:t>efficacy :</w:t>
      </w:r>
      <w:proofErr w:type="gramEnd"/>
      <w:r w:rsidRPr="00677B3E">
        <w:rPr>
          <w:kern w:val="2"/>
          <w:sz w:val="24"/>
          <w:szCs w:val="24"/>
          <w:lang w:val="en-US"/>
          <w14:ligatures w14:val="standardContextual"/>
        </w:rPr>
        <w:t xml:space="preserve"> Toward a unifying theory of behavioral change. </w:t>
      </w:r>
      <w:proofErr w:type="spellStart"/>
      <w:r w:rsidRPr="000F6D25">
        <w:rPr>
          <w:i/>
          <w:iCs/>
          <w:kern w:val="2"/>
          <w:sz w:val="24"/>
          <w:szCs w:val="24"/>
          <w14:ligatures w14:val="standardContextual"/>
        </w:rPr>
        <w:t>Psychological</w:t>
      </w:r>
      <w:proofErr w:type="spellEnd"/>
      <w:r w:rsidRPr="000F6D25">
        <w:rPr>
          <w:i/>
          <w:iCs/>
          <w:kern w:val="2"/>
          <w:sz w:val="24"/>
          <w:szCs w:val="24"/>
          <w14:ligatures w14:val="standardContextual"/>
        </w:rPr>
        <w:t xml:space="preserve"> </w:t>
      </w:r>
      <w:proofErr w:type="spellStart"/>
      <w:r w:rsidRPr="000F6D25">
        <w:rPr>
          <w:i/>
          <w:iCs/>
          <w:kern w:val="2"/>
          <w:sz w:val="24"/>
          <w:szCs w:val="24"/>
          <w14:ligatures w14:val="standardContextual"/>
        </w:rPr>
        <w:t>Review</w:t>
      </w:r>
      <w:proofErr w:type="spellEnd"/>
      <w:r>
        <w:rPr>
          <w:kern w:val="2"/>
          <w:sz w:val="24"/>
          <w:szCs w:val="24"/>
          <w14:ligatures w14:val="standardContextual"/>
        </w:rPr>
        <w:t xml:space="preserve">, </w:t>
      </w:r>
      <w:r w:rsidRPr="00C554F3">
        <w:rPr>
          <w:i/>
          <w:iCs/>
          <w:kern w:val="2"/>
          <w:sz w:val="24"/>
          <w:szCs w:val="24"/>
          <w14:ligatures w14:val="standardContextual"/>
        </w:rPr>
        <w:t>84</w:t>
      </w:r>
      <w:r>
        <w:rPr>
          <w:kern w:val="2"/>
          <w:sz w:val="24"/>
          <w:szCs w:val="24"/>
          <w14:ligatures w14:val="standardContextual"/>
        </w:rPr>
        <w:t xml:space="preserve">(2), 191-215. </w:t>
      </w:r>
      <w:hyperlink r:id="rId83" w:history="1">
        <w:r w:rsidRPr="00475A11">
          <w:rPr>
            <w:color w:val="0000FF" w:themeColor="hyperlink"/>
            <w:kern w:val="2"/>
            <w:sz w:val="24"/>
            <w:szCs w:val="24"/>
            <w:u w:val="single"/>
            <w14:ligatures w14:val="standardContextual"/>
          </w:rPr>
          <w:t>https://educational-innovation.sydney</w:t>
        </w:r>
      </w:hyperlink>
      <w:r>
        <w:rPr>
          <w:kern w:val="2"/>
          <w:sz w:val="24"/>
          <w:szCs w:val="24"/>
          <w14:ligatures w14:val="standardContextual"/>
        </w:rPr>
        <w:t xml:space="preserve"> </w:t>
      </w:r>
    </w:p>
    <w:p w14:paraId="467FC959" w14:textId="77777777" w:rsidR="00D80693" w:rsidRPr="00D7018B"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D7018B">
        <w:rPr>
          <w:kern w:val="2"/>
          <w:sz w:val="24"/>
          <w:szCs w:val="24"/>
          <w14:ligatures w14:val="standardContextual"/>
        </w:rPr>
        <w:t xml:space="preserve">Coulibaly, </w:t>
      </w:r>
      <w:r>
        <w:rPr>
          <w:kern w:val="2"/>
          <w:sz w:val="24"/>
          <w:szCs w:val="24"/>
          <w14:ligatures w14:val="standardContextual"/>
        </w:rPr>
        <w:t>M.</w:t>
      </w:r>
      <w:r w:rsidRPr="00D7018B">
        <w:rPr>
          <w:kern w:val="2"/>
          <w:sz w:val="24"/>
          <w:szCs w:val="24"/>
          <w14:ligatures w14:val="standardContextual"/>
        </w:rPr>
        <w:t>, Traoré, S</w:t>
      </w:r>
      <w:r>
        <w:rPr>
          <w:kern w:val="2"/>
          <w:sz w:val="24"/>
          <w:szCs w:val="24"/>
          <w14:ligatures w14:val="standardContextual"/>
        </w:rPr>
        <w:t xml:space="preserve">. </w:t>
      </w:r>
      <w:r w:rsidRPr="00D7018B">
        <w:rPr>
          <w:kern w:val="2"/>
          <w:sz w:val="24"/>
          <w:szCs w:val="24"/>
          <w14:ligatures w14:val="standardContextual"/>
        </w:rPr>
        <w:t>&amp; Diabaté, N</w:t>
      </w:r>
      <w:r>
        <w:rPr>
          <w:kern w:val="2"/>
          <w:sz w:val="24"/>
          <w:szCs w:val="24"/>
          <w14:ligatures w14:val="standardContextual"/>
        </w:rPr>
        <w:t xml:space="preserve">. </w:t>
      </w:r>
      <w:r w:rsidRPr="00D7018B">
        <w:rPr>
          <w:kern w:val="2"/>
          <w:sz w:val="24"/>
          <w:szCs w:val="24"/>
          <w14:ligatures w14:val="standardContextual"/>
        </w:rPr>
        <w:t>(2017).</w:t>
      </w:r>
      <w:r>
        <w:rPr>
          <w:kern w:val="2"/>
          <w:sz w:val="24"/>
          <w:szCs w:val="24"/>
          <w14:ligatures w14:val="standardContextual"/>
        </w:rPr>
        <w:t xml:space="preserve"> </w:t>
      </w:r>
      <w:r w:rsidRPr="00D7018B">
        <w:rPr>
          <w:kern w:val="2"/>
          <w:sz w:val="24"/>
          <w:szCs w:val="24"/>
          <w14:ligatures w14:val="standardContextual"/>
        </w:rPr>
        <w:t>Évaluation d’un programme de 30 jours de formation en didactique des mathématiques au Mali. </w:t>
      </w:r>
      <w:r w:rsidRPr="00D7018B">
        <w:rPr>
          <w:i/>
          <w:iCs/>
          <w:kern w:val="2"/>
          <w:sz w:val="24"/>
          <w:szCs w:val="24"/>
          <w14:ligatures w14:val="standardContextual"/>
        </w:rPr>
        <w:t xml:space="preserve">Journal of </w:t>
      </w:r>
      <w:proofErr w:type="spellStart"/>
      <w:r w:rsidRPr="00D7018B">
        <w:rPr>
          <w:i/>
          <w:iCs/>
          <w:kern w:val="2"/>
          <w:sz w:val="24"/>
          <w:szCs w:val="24"/>
          <w14:ligatures w14:val="standardContextual"/>
        </w:rPr>
        <w:t>Mathematics</w:t>
      </w:r>
      <w:proofErr w:type="spellEnd"/>
      <w:r w:rsidRPr="00D7018B">
        <w:rPr>
          <w:i/>
          <w:iCs/>
          <w:kern w:val="2"/>
          <w:sz w:val="24"/>
          <w:szCs w:val="24"/>
          <w14:ligatures w14:val="standardContextual"/>
        </w:rPr>
        <w:t xml:space="preserve"> Education in Africa, 5</w:t>
      </w:r>
      <w:r w:rsidRPr="00D7018B">
        <w:rPr>
          <w:kern w:val="2"/>
          <w:sz w:val="24"/>
          <w:szCs w:val="24"/>
          <w14:ligatures w14:val="standardContextual"/>
        </w:rPr>
        <w:t>(2),</w:t>
      </w:r>
      <w:r>
        <w:rPr>
          <w:kern w:val="2"/>
          <w:sz w:val="24"/>
          <w:szCs w:val="24"/>
          <w14:ligatures w14:val="standardContextual"/>
        </w:rPr>
        <w:t xml:space="preserve"> </w:t>
      </w:r>
      <w:r w:rsidRPr="00D7018B">
        <w:rPr>
          <w:kern w:val="2"/>
          <w:sz w:val="24"/>
          <w:szCs w:val="24"/>
          <w14:ligatures w14:val="standardContextual"/>
        </w:rPr>
        <w:t xml:space="preserve">67-84. </w:t>
      </w:r>
    </w:p>
    <w:p w14:paraId="2F5C468E" w14:textId="77777777" w:rsidR="00D80693" w:rsidRPr="00D7018B"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D7018B">
        <w:rPr>
          <w:kern w:val="2"/>
          <w:sz w:val="24"/>
          <w:szCs w:val="24"/>
          <w14:ligatures w14:val="standardContextual"/>
        </w:rPr>
        <w:t>Diakité, L</w:t>
      </w:r>
      <w:r>
        <w:rPr>
          <w:kern w:val="2"/>
          <w:sz w:val="24"/>
          <w:szCs w:val="24"/>
          <w14:ligatures w14:val="standardContextual"/>
        </w:rPr>
        <w:t xml:space="preserve">. </w:t>
      </w:r>
      <w:r w:rsidRPr="00D7018B">
        <w:rPr>
          <w:kern w:val="2"/>
          <w:sz w:val="24"/>
          <w:szCs w:val="24"/>
          <w14:ligatures w14:val="standardContextual"/>
        </w:rPr>
        <w:t>(2022).</w:t>
      </w:r>
      <w:r>
        <w:rPr>
          <w:kern w:val="2"/>
          <w:sz w:val="24"/>
          <w:szCs w:val="24"/>
          <w14:ligatures w14:val="standardContextual"/>
        </w:rPr>
        <w:t xml:space="preserve"> </w:t>
      </w:r>
      <w:r w:rsidRPr="00D7018B">
        <w:rPr>
          <w:kern w:val="2"/>
          <w:sz w:val="24"/>
          <w:szCs w:val="24"/>
          <w14:ligatures w14:val="standardContextual"/>
        </w:rPr>
        <w:t>Pénurie d’enseignants qualifiés et qualité des apprentissages : cas des écoles maliennes. </w:t>
      </w:r>
      <w:r w:rsidRPr="00D7018B">
        <w:rPr>
          <w:i/>
          <w:iCs/>
          <w:kern w:val="2"/>
          <w:sz w:val="24"/>
          <w:szCs w:val="24"/>
          <w14:ligatures w14:val="standardContextual"/>
        </w:rPr>
        <w:t>Revue Internationale d’Éducation Comparée, 14</w:t>
      </w:r>
      <w:r w:rsidRPr="00D7018B">
        <w:rPr>
          <w:kern w:val="2"/>
          <w:sz w:val="24"/>
          <w:szCs w:val="24"/>
          <w14:ligatures w14:val="standardContextual"/>
        </w:rPr>
        <w:t>(1),</w:t>
      </w:r>
      <w:r>
        <w:rPr>
          <w:kern w:val="2"/>
          <w:sz w:val="24"/>
          <w:szCs w:val="24"/>
          <w14:ligatures w14:val="standardContextual"/>
        </w:rPr>
        <w:t xml:space="preserve"> </w:t>
      </w:r>
      <w:r w:rsidRPr="00D7018B">
        <w:rPr>
          <w:kern w:val="2"/>
          <w:sz w:val="24"/>
          <w:szCs w:val="24"/>
          <w14:ligatures w14:val="standardContextual"/>
        </w:rPr>
        <w:t xml:space="preserve">33-50. </w:t>
      </w:r>
    </w:p>
    <w:p w14:paraId="020B8CA8" w14:textId="77777777" w:rsidR="00D80693" w:rsidRPr="00D7018B"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D7018B">
        <w:rPr>
          <w:kern w:val="2"/>
          <w:sz w:val="24"/>
          <w:szCs w:val="24"/>
          <w14:ligatures w14:val="standardContextual"/>
        </w:rPr>
        <w:t>Diallo, H</w:t>
      </w:r>
      <w:r>
        <w:rPr>
          <w:kern w:val="2"/>
          <w:sz w:val="24"/>
          <w:szCs w:val="24"/>
          <w14:ligatures w14:val="standardContextual"/>
        </w:rPr>
        <w:t>.</w:t>
      </w:r>
      <w:r w:rsidRPr="00D7018B">
        <w:rPr>
          <w:kern w:val="2"/>
          <w:sz w:val="24"/>
          <w:szCs w:val="24"/>
          <w14:ligatures w14:val="standardContextual"/>
        </w:rPr>
        <w:t xml:space="preserve"> (2020). Les politiques de recrutement des enseignants et leurs effets sur la qualité de l’éducation en Afrique subsaharienne. </w:t>
      </w:r>
      <w:r w:rsidRPr="00D7018B">
        <w:rPr>
          <w:i/>
          <w:iCs/>
          <w:kern w:val="2"/>
          <w:sz w:val="24"/>
          <w:szCs w:val="24"/>
          <w14:ligatures w14:val="standardContextual"/>
        </w:rPr>
        <w:t xml:space="preserve">Comparative Education </w:t>
      </w:r>
      <w:proofErr w:type="spellStart"/>
      <w:r w:rsidRPr="00D7018B">
        <w:rPr>
          <w:i/>
          <w:iCs/>
          <w:kern w:val="2"/>
          <w:sz w:val="24"/>
          <w:szCs w:val="24"/>
          <w14:ligatures w14:val="standardContextual"/>
        </w:rPr>
        <w:t>Review</w:t>
      </w:r>
      <w:proofErr w:type="spellEnd"/>
      <w:r w:rsidRPr="00D7018B">
        <w:rPr>
          <w:i/>
          <w:iCs/>
          <w:kern w:val="2"/>
          <w:sz w:val="24"/>
          <w:szCs w:val="24"/>
          <w14:ligatures w14:val="standardContextual"/>
        </w:rPr>
        <w:t>, 64</w:t>
      </w:r>
      <w:r w:rsidRPr="00D7018B">
        <w:rPr>
          <w:kern w:val="2"/>
          <w:sz w:val="24"/>
          <w:szCs w:val="24"/>
          <w14:ligatures w14:val="standardContextual"/>
        </w:rPr>
        <w:t>(3),</w:t>
      </w:r>
      <w:r>
        <w:rPr>
          <w:kern w:val="2"/>
          <w:sz w:val="24"/>
          <w:szCs w:val="24"/>
          <w14:ligatures w14:val="standardContextual"/>
        </w:rPr>
        <w:t xml:space="preserve"> </w:t>
      </w:r>
      <w:r w:rsidRPr="00D7018B">
        <w:rPr>
          <w:kern w:val="2"/>
          <w:sz w:val="24"/>
          <w:szCs w:val="24"/>
          <w14:ligatures w14:val="standardContextual"/>
        </w:rPr>
        <w:t xml:space="preserve">421-439. </w:t>
      </w:r>
    </w:p>
    <w:p w14:paraId="101FBF0F"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r w:rsidRPr="00D7018B">
        <w:rPr>
          <w:kern w:val="2"/>
          <w:sz w:val="24"/>
          <w:szCs w:val="24"/>
          <w14:ligatures w14:val="standardContextual"/>
        </w:rPr>
        <w:t>Doumbia, F</w:t>
      </w:r>
      <w:r>
        <w:rPr>
          <w:kern w:val="2"/>
          <w:sz w:val="24"/>
          <w:szCs w:val="24"/>
          <w14:ligatures w14:val="standardContextual"/>
        </w:rPr>
        <w:t>.</w:t>
      </w:r>
      <w:r w:rsidRPr="00D7018B">
        <w:rPr>
          <w:kern w:val="2"/>
          <w:sz w:val="24"/>
          <w:szCs w:val="24"/>
          <w14:ligatures w14:val="standardContextual"/>
        </w:rPr>
        <w:t xml:space="preserve"> (2021).</w:t>
      </w:r>
      <w:r>
        <w:rPr>
          <w:kern w:val="2"/>
          <w:sz w:val="24"/>
          <w:szCs w:val="24"/>
          <w14:ligatures w14:val="standardContextual"/>
        </w:rPr>
        <w:t xml:space="preserve"> </w:t>
      </w:r>
      <w:r w:rsidRPr="00D7018B">
        <w:rPr>
          <w:kern w:val="2"/>
          <w:sz w:val="24"/>
          <w:szCs w:val="24"/>
          <w14:ligatures w14:val="standardContextual"/>
        </w:rPr>
        <w:t>Formation professionnelle des enseignants contractuels au Mali : défis et perspectives. </w:t>
      </w:r>
      <w:r w:rsidRPr="001928FA">
        <w:rPr>
          <w:i/>
          <w:iCs/>
          <w:kern w:val="2"/>
          <w:sz w:val="24"/>
          <w:szCs w:val="24"/>
          <w:lang w:val="en-US"/>
          <w14:ligatures w14:val="standardContextual"/>
        </w:rPr>
        <w:t>International Journal of Teacher Development, 15</w:t>
      </w:r>
      <w:r w:rsidRPr="001928FA">
        <w:rPr>
          <w:kern w:val="2"/>
          <w:sz w:val="24"/>
          <w:szCs w:val="24"/>
          <w:lang w:val="en-US"/>
          <w14:ligatures w14:val="standardContextual"/>
        </w:rPr>
        <w:t xml:space="preserve">(1), 78-95.  </w:t>
      </w:r>
    </w:p>
    <w:p w14:paraId="2CF15481"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r w:rsidRPr="00677B3E">
        <w:rPr>
          <w:kern w:val="2"/>
          <w:sz w:val="24"/>
          <w:szCs w:val="24"/>
          <w:lang w:val="en-US"/>
          <w14:ligatures w14:val="standardContextual"/>
        </w:rPr>
        <w:t xml:space="preserve">Kirkpatrick, D. L. (1959). Techniques for evaluating training </w:t>
      </w:r>
      <w:proofErr w:type="gramStart"/>
      <w:r w:rsidRPr="00677B3E">
        <w:rPr>
          <w:kern w:val="2"/>
          <w:sz w:val="24"/>
          <w:szCs w:val="24"/>
          <w:lang w:val="en-US"/>
          <w14:ligatures w14:val="standardContextual"/>
        </w:rPr>
        <w:t>programs ».</w:t>
      </w:r>
      <w:proofErr w:type="gramEnd"/>
      <w:r w:rsidRPr="00677B3E">
        <w:rPr>
          <w:kern w:val="2"/>
          <w:sz w:val="24"/>
          <w:szCs w:val="24"/>
          <w:lang w:val="en-US"/>
          <w14:ligatures w14:val="standardContextual"/>
        </w:rPr>
        <w:t xml:space="preserve"> </w:t>
      </w:r>
      <w:r w:rsidRPr="001928FA">
        <w:rPr>
          <w:i/>
          <w:iCs/>
          <w:kern w:val="2"/>
          <w:sz w:val="24"/>
          <w:szCs w:val="24"/>
          <w:lang w:val="en-US"/>
          <w14:ligatures w14:val="standardContextual"/>
        </w:rPr>
        <w:t>Training and Development Journal</w:t>
      </w:r>
      <w:r w:rsidRPr="001928FA">
        <w:rPr>
          <w:kern w:val="2"/>
          <w:sz w:val="24"/>
          <w:szCs w:val="24"/>
          <w:lang w:val="en-US"/>
          <w14:ligatures w14:val="standardContextual"/>
        </w:rPr>
        <w:t xml:space="preserve">, 78-92. </w:t>
      </w:r>
      <w:hyperlink r:id="rId84" w:history="1">
        <w:r w:rsidRPr="001928FA">
          <w:rPr>
            <w:color w:val="0000FF" w:themeColor="hyperlink"/>
            <w:kern w:val="2"/>
            <w:sz w:val="24"/>
            <w:szCs w:val="24"/>
            <w:u w:val="single"/>
            <w:lang w:val="en-US"/>
            <w14:ligatures w14:val="standardContextual"/>
          </w:rPr>
          <w:t>https://assets.td.org</w:t>
        </w:r>
      </w:hyperlink>
      <w:r w:rsidRPr="001928FA">
        <w:rPr>
          <w:kern w:val="2"/>
          <w:sz w:val="24"/>
          <w:szCs w:val="24"/>
          <w:lang w:val="en-US"/>
          <w14:ligatures w14:val="standardContextual"/>
        </w:rPr>
        <w:t xml:space="preserve"> </w:t>
      </w:r>
    </w:p>
    <w:p w14:paraId="4143B03B" w14:textId="77777777" w:rsidR="00D80693" w:rsidRPr="00D7018B"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1928FA">
        <w:rPr>
          <w:kern w:val="2"/>
          <w:sz w:val="24"/>
          <w:szCs w:val="24"/>
          <w:lang w:val="en-US"/>
          <w14:ligatures w14:val="standardContextual"/>
        </w:rPr>
        <w:t xml:space="preserve">Konaté, S. &amp; Diarra, M. (2020). </w:t>
      </w:r>
      <w:r w:rsidRPr="00D7018B">
        <w:rPr>
          <w:kern w:val="2"/>
          <w:sz w:val="24"/>
          <w:szCs w:val="24"/>
          <w14:ligatures w14:val="standardContextual"/>
        </w:rPr>
        <w:t>La crise des enseignants non qualifiés au Mali : causes et conséquences sur la qualité de l’éducation. </w:t>
      </w:r>
      <w:r w:rsidRPr="00D7018B">
        <w:rPr>
          <w:i/>
          <w:iCs/>
          <w:kern w:val="2"/>
          <w:sz w:val="24"/>
          <w:szCs w:val="24"/>
          <w14:ligatures w14:val="standardContextual"/>
        </w:rPr>
        <w:t>Revue Africaine de Pédagogie Appliquée, 12</w:t>
      </w:r>
      <w:r w:rsidRPr="00D7018B">
        <w:rPr>
          <w:kern w:val="2"/>
          <w:sz w:val="24"/>
          <w:szCs w:val="24"/>
          <w14:ligatures w14:val="standardContextual"/>
        </w:rPr>
        <w:t>(3),</w:t>
      </w:r>
      <w:r>
        <w:rPr>
          <w:kern w:val="2"/>
          <w:sz w:val="24"/>
          <w:szCs w:val="24"/>
          <w14:ligatures w14:val="standardContextual"/>
        </w:rPr>
        <w:t xml:space="preserve"> </w:t>
      </w:r>
      <w:r w:rsidRPr="00D7018B">
        <w:rPr>
          <w:kern w:val="2"/>
          <w:sz w:val="24"/>
          <w:szCs w:val="24"/>
          <w14:ligatures w14:val="standardContextual"/>
        </w:rPr>
        <w:t>45-62. </w:t>
      </w:r>
    </w:p>
    <w:p w14:paraId="5CCC9954"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proofErr w:type="spellStart"/>
      <w:r w:rsidRPr="00D7018B">
        <w:rPr>
          <w:kern w:val="2"/>
          <w:sz w:val="24"/>
          <w:szCs w:val="24"/>
          <w14:ligatures w14:val="standardContextual"/>
        </w:rPr>
        <w:t>Maïga</w:t>
      </w:r>
      <w:proofErr w:type="spellEnd"/>
      <w:r w:rsidRPr="00D7018B">
        <w:rPr>
          <w:kern w:val="2"/>
          <w:sz w:val="24"/>
          <w:szCs w:val="24"/>
          <w14:ligatures w14:val="standardContextual"/>
        </w:rPr>
        <w:t>, O</w:t>
      </w:r>
      <w:r>
        <w:rPr>
          <w:kern w:val="2"/>
          <w:sz w:val="24"/>
          <w:szCs w:val="24"/>
          <w14:ligatures w14:val="standardContextual"/>
        </w:rPr>
        <w:t>.</w:t>
      </w:r>
      <w:r w:rsidRPr="00D7018B">
        <w:rPr>
          <w:kern w:val="2"/>
          <w:sz w:val="24"/>
          <w:szCs w:val="24"/>
          <w14:ligatures w14:val="standardContextual"/>
        </w:rPr>
        <w:t xml:space="preserve"> (2019). Formation qualifiante et motivation des enseignants : résultats d’une enquête dans 50 écoles maliennes. </w:t>
      </w:r>
      <w:r w:rsidRPr="001928FA">
        <w:rPr>
          <w:i/>
          <w:iCs/>
          <w:kern w:val="2"/>
          <w:sz w:val="24"/>
          <w:szCs w:val="24"/>
          <w:lang w:val="en-US"/>
          <w14:ligatures w14:val="standardContextual"/>
        </w:rPr>
        <w:t>Journal of Teacher Motivation and Professional Growth, 7</w:t>
      </w:r>
      <w:r w:rsidRPr="001928FA">
        <w:rPr>
          <w:kern w:val="2"/>
          <w:sz w:val="24"/>
          <w:szCs w:val="24"/>
          <w:lang w:val="en-US"/>
          <w14:ligatures w14:val="standardContextual"/>
        </w:rPr>
        <w:t xml:space="preserve">(1), 22-40.  </w:t>
      </w:r>
    </w:p>
    <w:p w14:paraId="302319D0"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r w:rsidRPr="00677B3E">
        <w:rPr>
          <w:kern w:val="2"/>
          <w:sz w:val="24"/>
          <w:szCs w:val="24"/>
          <w:lang w:val="en-US"/>
          <w14:ligatures w14:val="standardContextual"/>
        </w:rPr>
        <w:t>Mezirow, J. (1991). </w:t>
      </w:r>
      <w:r w:rsidRPr="00677B3E">
        <w:rPr>
          <w:i/>
          <w:iCs/>
          <w:kern w:val="2"/>
          <w:sz w:val="24"/>
          <w:szCs w:val="24"/>
          <w:lang w:val="en-US"/>
          <w14:ligatures w14:val="standardContextual"/>
        </w:rPr>
        <w:t>Transformative Dimensions of Adult Learning</w:t>
      </w:r>
      <w:r w:rsidRPr="00677B3E">
        <w:rPr>
          <w:kern w:val="2"/>
          <w:sz w:val="24"/>
          <w:szCs w:val="24"/>
          <w:lang w:val="en-US"/>
          <w14:ligatures w14:val="standardContextual"/>
        </w:rPr>
        <w:t xml:space="preserve">. </w:t>
      </w:r>
      <w:r w:rsidRPr="001928FA">
        <w:rPr>
          <w:kern w:val="2"/>
          <w:sz w:val="24"/>
          <w:szCs w:val="24"/>
          <w:lang w:val="en-US"/>
          <w14:ligatures w14:val="standardContextual"/>
        </w:rPr>
        <w:t xml:space="preserve">Jossey-Bass. </w:t>
      </w:r>
    </w:p>
    <w:p w14:paraId="4DA2026D"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r w:rsidRPr="00677B3E">
        <w:rPr>
          <w:kern w:val="2"/>
          <w:sz w:val="24"/>
          <w:szCs w:val="24"/>
          <w:lang w:val="en-US"/>
          <w14:ligatures w14:val="standardContextual"/>
        </w:rPr>
        <w:t xml:space="preserve">Mishra, P. &amp; Koehler, M. J. (2006). Technological Pedagogical Content Knowledge. </w:t>
      </w:r>
      <w:r w:rsidRPr="00677B3E">
        <w:rPr>
          <w:i/>
          <w:iCs/>
          <w:kern w:val="2"/>
          <w:sz w:val="24"/>
          <w:szCs w:val="24"/>
          <w:lang w:val="en-US"/>
          <w14:ligatures w14:val="standardContextual"/>
        </w:rPr>
        <w:t>Teachers College Record</w:t>
      </w:r>
      <w:r w:rsidRPr="00677B3E">
        <w:rPr>
          <w:kern w:val="2"/>
          <w:sz w:val="24"/>
          <w:szCs w:val="24"/>
          <w:lang w:val="en-US"/>
          <w14:ligatures w14:val="standardContextual"/>
        </w:rPr>
        <w:t xml:space="preserve">, 108(6), 1017-1054. </w:t>
      </w:r>
      <w:hyperlink r:id="rId85" w:history="1">
        <w:r w:rsidRPr="001928FA">
          <w:rPr>
            <w:color w:val="0000FF" w:themeColor="hyperlink"/>
            <w:kern w:val="2"/>
            <w:sz w:val="24"/>
            <w:szCs w:val="24"/>
            <w:u w:val="single"/>
            <w:lang w:val="en-US"/>
            <w14:ligatures w14:val="standardContextual"/>
          </w:rPr>
          <w:t>https://doi.org/10.1111/j.1467-9620.2006.00684.x</w:t>
        </w:r>
      </w:hyperlink>
      <w:r w:rsidRPr="001928FA">
        <w:rPr>
          <w:kern w:val="2"/>
          <w:sz w:val="24"/>
          <w:szCs w:val="24"/>
          <w:lang w:val="en-US"/>
          <w14:ligatures w14:val="standardContextual"/>
        </w:rPr>
        <w:t xml:space="preserve"> </w:t>
      </w:r>
    </w:p>
    <w:p w14:paraId="5B43DC79" w14:textId="77777777" w:rsidR="00D80693" w:rsidRPr="00D7018B"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1928FA">
        <w:rPr>
          <w:kern w:val="2"/>
          <w:sz w:val="24"/>
          <w:szCs w:val="24"/>
          <w:lang w:val="en-US"/>
          <w14:ligatures w14:val="standardContextual"/>
        </w:rPr>
        <w:t>N’Diaye, A. &amp; Traoré, B. (2023). </w:t>
      </w:r>
      <w:r w:rsidRPr="00D7018B">
        <w:rPr>
          <w:kern w:val="2"/>
          <w:sz w:val="24"/>
          <w:szCs w:val="24"/>
          <w14:ligatures w14:val="standardContextual"/>
        </w:rPr>
        <w:t>Quels dispositifs de formation pour les enseignants non qualifiés ? Retours d’expérience en Afrique de l’Ouest. </w:t>
      </w:r>
      <w:r w:rsidRPr="00D7018B">
        <w:rPr>
          <w:i/>
          <w:iCs/>
          <w:kern w:val="2"/>
          <w:sz w:val="24"/>
          <w:szCs w:val="24"/>
          <w14:ligatures w14:val="standardContextual"/>
        </w:rPr>
        <w:t xml:space="preserve">International </w:t>
      </w:r>
      <w:proofErr w:type="spellStart"/>
      <w:r w:rsidRPr="00D7018B">
        <w:rPr>
          <w:i/>
          <w:iCs/>
          <w:kern w:val="2"/>
          <w:sz w:val="24"/>
          <w:szCs w:val="24"/>
          <w14:ligatures w14:val="standardContextual"/>
        </w:rPr>
        <w:t>Review</w:t>
      </w:r>
      <w:proofErr w:type="spellEnd"/>
      <w:r w:rsidRPr="00D7018B">
        <w:rPr>
          <w:i/>
          <w:iCs/>
          <w:kern w:val="2"/>
          <w:sz w:val="24"/>
          <w:szCs w:val="24"/>
          <w14:ligatures w14:val="standardContextual"/>
        </w:rPr>
        <w:t xml:space="preserve"> of Education, 69</w:t>
      </w:r>
      <w:r w:rsidRPr="00D7018B">
        <w:rPr>
          <w:kern w:val="2"/>
          <w:sz w:val="24"/>
          <w:szCs w:val="24"/>
          <w14:ligatures w14:val="standardContextual"/>
        </w:rPr>
        <w:t xml:space="preserve">(1), 89-107. </w:t>
      </w:r>
    </w:p>
    <w:p w14:paraId="556DF5BB"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r w:rsidRPr="00D7018B">
        <w:rPr>
          <w:kern w:val="2"/>
          <w:sz w:val="24"/>
          <w:szCs w:val="24"/>
          <w14:ligatures w14:val="standardContextual"/>
        </w:rPr>
        <w:t>Sissoko, P</w:t>
      </w:r>
      <w:r>
        <w:rPr>
          <w:kern w:val="2"/>
          <w:sz w:val="24"/>
          <w:szCs w:val="24"/>
          <w14:ligatures w14:val="standardContextual"/>
        </w:rPr>
        <w:t xml:space="preserve">. </w:t>
      </w:r>
      <w:r w:rsidRPr="00D7018B">
        <w:rPr>
          <w:kern w:val="2"/>
          <w:sz w:val="24"/>
          <w:szCs w:val="24"/>
          <w14:ligatures w14:val="standardContextual"/>
        </w:rPr>
        <w:t>&amp; Ba, A. (2021). Le défi de la qualification des enseignants dans les pays post-conflits : le cas du Mali. </w:t>
      </w:r>
      <w:r w:rsidRPr="001928FA">
        <w:rPr>
          <w:i/>
          <w:iCs/>
          <w:kern w:val="2"/>
          <w:sz w:val="24"/>
          <w:szCs w:val="24"/>
          <w:lang w:val="en-US"/>
          <w14:ligatures w14:val="standardContextual"/>
        </w:rPr>
        <w:t>Conflict and Education in Fragile States, 9</w:t>
      </w:r>
      <w:r w:rsidRPr="001928FA">
        <w:rPr>
          <w:kern w:val="2"/>
          <w:sz w:val="24"/>
          <w:szCs w:val="24"/>
          <w:lang w:val="en-US"/>
          <w14:ligatures w14:val="standardContextual"/>
        </w:rPr>
        <w:t xml:space="preserve">(2), 155-172. </w:t>
      </w:r>
    </w:p>
    <w:p w14:paraId="7678F6B9" w14:textId="77777777" w:rsidR="00D80693" w:rsidRPr="001147CB" w:rsidRDefault="00D80693" w:rsidP="007944D2">
      <w:pPr>
        <w:widowControl/>
        <w:tabs>
          <w:tab w:val="left" w:pos="1290"/>
        </w:tabs>
        <w:autoSpaceDE/>
        <w:autoSpaceDN/>
        <w:spacing w:before="120" w:after="160"/>
        <w:ind w:left="851" w:hanging="851"/>
        <w:jc w:val="both"/>
        <w:rPr>
          <w:kern w:val="2"/>
          <w:sz w:val="24"/>
          <w:szCs w:val="24"/>
          <w14:ligatures w14:val="standardContextual"/>
        </w:rPr>
      </w:pPr>
      <w:proofErr w:type="spellStart"/>
      <w:r w:rsidRPr="00677B3E">
        <w:rPr>
          <w:kern w:val="2"/>
          <w:sz w:val="24"/>
          <w:szCs w:val="24"/>
          <w:lang w:val="en-US"/>
          <w14:ligatures w14:val="standardContextual"/>
        </w:rPr>
        <w:t>Sweller</w:t>
      </w:r>
      <w:proofErr w:type="spellEnd"/>
      <w:r w:rsidRPr="00677B3E">
        <w:rPr>
          <w:kern w:val="2"/>
          <w:sz w:val="24"/>
          <w:szCs w:val="24"/>
          <w:lang w:val="en-US"/>
          <w14:ligatures w14:val="standardContextual"/>
        </w:rPr>
        <w:t xml:space="preserve">, J. (1988). Cognitive load during problem solving. </w:t>
      </w:r>
      <w:r w:rsidRPr="009B641A">
        <w:rPr>
          <w:i/>
          <w:iCs/>
          <w:kern w:val="2"/>
          <w:sz w:val="24"/>
          <w:szCs w:val="24"/>
          <w14:ligatures w14:val="standardContextual"/>
        </w:rPr>
        <w:t>Cognitive Science</w:t>
      </w:r>
      <w:r>
        <w:rPr>
          <w:kern w:val="2"/>
          <w:sz w:val="24"/>
          <w:szCs w:val="24"/>
          <w14:ligatures w14:val="standardContextual"/>
        </w:rPr>
        <w:t xml:space="preserve">, </w:t>
      </w:r>
      <w:r w:rsidRPr="00194C90">
        <w:rPr>
          <w:i/>
          <w:iCs/>
          <w:kern w:val="2"/>
          <w:sz w:val="24"/>
          <w:szCs w:val="24"/>
          <w14:ligatures w14:val="standardContextual"/>
        </w:rPr>
        <w:t>12</w:t>
      </w:r>
      <w:r>
        <w:rPr>
          <w:kern w:val="2"/>
          <w:sz w:val="24"/>
          <w:szCs w:val="24"/>
          <w14:ligatures w14:val="standardContextual"/>
        </w:rPr>
        <w:t xml:space="preserve">(2), 257-285. </w:t>
      </w:r>
      <w:hyperlink r:id="rId86" w:history="1">
        <w:r w:rsidRPr="00475A11">
          <w:rPr>
            <w:color w:val="0000FF" w:themeColor="hyperlink"/>
            <w:kern w:val="2"/>
            <w:sz w:val="24"/>
            <w:szCs w:val="24"/>
            <w:u w:val="single"/>
            <w14:ligatures w14:val="standardContextual"/>
          </w:rPr>
          <w:t>https://doi.org/10.1016/0364-0213(88)90023-7</w:t>
        </w:r>
      </w:hyperlink>
      <w:r>
        <w:rPr>
          <w:kern w:val="2"/>
          <w:sz w:val="24"/>
          <w:szCs w:val="24"/>
          <w14:ligatures w14:val="standardContextual"/>
        </w:rPr>
        <w:t xml:space="preserve"> </w:t>
      </w:r>
    </w:p>
    <w:p w14:paraId="199E17B6" w14:textId="77777777" w:rsidR="00D80693" w:rsidRPr="001928FA" w:rsidRDefault="00D80693" w:rsidP="007944D2">
      <w:pPr>
        <w:widowControl/>
        <w:tabs>
          <w:tab w:val="left" w:pos="1290"/>
        </w:tabs>
        <w:autoSpaceDE/>
        <w:autoSpaceDN/>
        <w:spacing w:before="120" w:after="160"/>
        <w:ind w:left="851" w:hanging="851"/>
        <w:jc w:val="both"/>
        <w:rPr>
          <w:kern w:val="2"/>
          <w:sz w:val="24"/>
          <w:szCs w:val="24"/>
          <w:lang w:val="en-US"/>
          <w14:ligatures w14:val="standardContextual"/>
        </w:rPr>
      </w:pPr>
      <w:r w:rsidRPr="00D7018B">
        <w:rPr>
          <w:kern w:val="2"/>
          <w:sz w:val="24"/>
          <w:szCs w:val="24"/>
          <w14:ligatures w14:val="standardContextual"/>
        </w:rPr>
        <w:t>Touré, M</w:t>
      </w:r>
      <w:r>
        <w:rPr>
          <w:kern w:val="2"/>
          <w:sz w:val="24"/>
          <w:szCs w:val="24"/>
          <w14:ligatures w14:val="standardContextual"/>
        </w:rPr>
        <w:t xml:space="preserve">. </w:t>
      </w:r>
      <w:r w:rsidRPr="00D7018B">
        <w:rPr>
          <w:kern w:val="2"/>
          <w:sz w:val="24"/>
          <w:szCs w:val="24"/>
          <w14:ligatures w14:val="standardContextual"/>
        </w:rPr>
        <w:t>&amp; Keïta, K. (2018). Impact des programmes de formation continue sur les enseignants du primaire en zones rurales maliennes. </w:t>
      </w:r>
      <w:r w:rsidRPr="001928FA">
        <w:rPr>
          <w:i/>
          <w:iCs/>
          <w:kern w:val="2"/>
          <w:sz w:val="24"/>
          <w:szCs w:val="24"/>
          <w:lang w:val="en-US"/>
          <w14:ligatures w14:val="standardContextual"/>
        </w:rPr>
        <w:t>African Educational Research Journal, 6</w:t>
      </w:r>
      <w:r w:rsidRPr="001928FA">
        <w:rPr>
          <w:kern w:val="2"/>
          <w:sz w:val="24"/>
          <w:szCs w:val="24"/>
          <w:lang w:val="en-US"/>
          <w14:ligatures w14:val="standardContextual"/>
        </w:rPr>
        <w:t xml:space="preserve">(4), 205-220. </w:t>
      </w:r>
    </w:p>
    <w:p w14:paraId="6100685F" w14:textId="77777777" w:rsidR="00D80693" w:rsidRPr="00D7018B" w:rsidRDefault="00D80693" w:rsidP="007944D2">
      <w:pPr>
        <w:widowControl/>
        <w:tabs>
          <w:tab w:val="left" w:pos="1290"/>
        </w:tabs>
        <w:autoSpaceDE/>
        <w:autoSpaceDN/>
        <w:spacing w:before="120" w:after="160"/>
        <w:ind w:left="851" w:hanging="851"/>
        <w:jc w:val="both"/>
        <w:rPr>
          <w:kern w:val="2"/>
          <w:sz w:val="24"/>
          <w:szCs w:val="24"/>
          <w14:ligatures w14:val="standardContextual"/>
        </w:rPr>
      </w:pPr>
      <w:r w:rsidRPr="001928FA">
        <w:rPr>
          <w:kern w:val="2"/>
          <w:sz w:val="24"/>
          <w:szCs w:val="24"/>
          <w:lang w:val="en-US"/>
          <w14:ligatures w14:val="standardContextual"/>
        </w:rPr>
        <w:t>Traoré, A., Diallo, B. &amp; Coulibaly, D. (2019). </w:t>
      </w:r>
      <w:r w:rsidRPr="00D7018B">
        <w:rPr>
          <w:kern w:val="2"/>
          <w:sz w:val="24"/>
          <w:szCs w:val="24"/>
          <w14:ligatures w14:val="standardContextual"/>
        </w:rPr>
        <w:t>L’efficacité des formations courtes en didactique : étude comparative Mali-Sénégal. </w:t>
      </w:r>
      <w:r w:rsidRPr="00D7018B">
        <w:rPr>
          <w:i/>
          <w:iCs/>
          <w:kern w:val="2"/>
          <w:sz w:val="24"/>
          <w:szCs w:val="24"/>
          <w14:ligatures w14:val="standardContextual"/>
        </w:rPr>
        <w:t xml:space="preserve">Journal of Education in </w:t>
      </w:r>
      <w:proofErr w:type="spellStart"/>
      <w:r w:rsidRPr="00D7018B">
        <w:rPr>
          <w:i/>
          <w:iCs/>
          <w:kern w:val="2"/>
          <w:sz w:val="24"/>
          <w:szCs w:val="24"/>
          <w14:ligatures w14:val="standardContextual"/>
        </w:rPr>
        <w:t>Developing</w:t>
      </w:r>
      <w:proofErr w:type="spellEnd"/>
      <w:r w:rsidRPr="00D7018B">
        <w:rPr>
          <w:i/>
          <w:iCs/>
          <w:kern w:val="2"/>
          <w:sz w:val="24"/>
          <w:szCs w:val="24"/>
          <w14:ligatures w14:val="standardContextual"/>
        </w:rPr>
        <w:t xml:space="preserve"> Countries, 8</w:t>
      </w:r>
      <w:r w:rsidRPr="00D7018B">
        <w:rPr>
          <w:kern w:val="2"/>
          <w:sz w:val="24"/>
          <w:szCs w:val="24"/>
          <w14:ligatures w14:val="standardContextual"/>
        </w:rPr>
        <w:t>(2), 112-130.</w:t>
      </w:r>
    </w:p>
    <w:p w14:paraId="67B0FABF" w14:textId="77777777" w:rsidR="00D80693" w:rsidRDefault="00D80693" w:rsidP="007944D2">
      <w:pPr>
        <w:spacing w:before="120"/>
        <w:rPr>
          <w:kern w:val="2"/>
          <w:sz w:val="0"/>
          <w:szCs w:val="0"/>
          <w14:ligatures w14:val="standardContextual"/>
        </w:rPr>
        <w:sectPr w:rsidR="00D80693" w:rsidSect="006C61DE">
          <w:headerReference w:type="default" r:id="rId87"/>
          <w:headerReference w:type="first" r:id="rId88"/>
          <w:pgSz w:w="11906" w:h="16838"/>
          <w:pgMar w:top="1417" w:right="1417" w:bottom="1417" w:left="1417" w:header="708" w:footer="503" w:gutter="0"/>
          <w:cols w:space="708"/>
          <w:titlePg/>
          <w:docGrid w:linePitch="360"/>
        </w:sectPr>
      </w:pPr>
    </w:p>
    <w:p w14:paraId="0B90635B" w14:textId="22D595AE" w:rsidR="00D80693" w:rsidRPr="007B22B9" w:rsidRDefault="007B22B9" w:rsidP="007B22B9">
      <w:pPr>
        <w:pStyle w:val="Titre1"/>
        <w:ind w:left="-142"/>
        <w:rPr>
          <w:rFonts w:eastAsia="Calibri"/>
          <w:i/>
          <w:iCs/>
          <w:color w:val="000000"/>
        </w:rPr>
      </w:pPr>
      <w:bookmarkStart w:id="59" w:name="_Toc219272567"/>
      <w:r w:rsidRPr="007B22B9">
        <w:rPr>
          <w:rFonts w:eastAsia="Calibri"/>
          <w:i/>
          <w:iCs/>
          <w:color w:val="000000"/>
        </w:rPr>
        <w:t xml:space="preserve">Effets de l’alphabétisation des adultes selon la formule </w:t>
      </w:r>
      <w:proofErr w:type="spellStart"/>
      <w:r w:rsidR="00102D91" w:rsidRPr="00102D91">
        <w:rPr>
          <w:rFonts w:eastAsia="Calibri"/>
          <w:i/>
          <w:iCs/>
          <w:color w:val="000000"/>
        </w:rPr>
        <w:t>Reflect</w:t>
      </w:r>
      <w:proofErr w:type="spellEnd"/>
      <w:r w:rsidRPr="007B22B9">
        <w:rPr>
          <w:rFonts w:eastAsia="Calibri"/>
          <w:i/>
          <w:iCs/>
          <w:color w:val="000000"/>
        </w:rPr>
        <w:t xml:space="preserve"> sur leur vécu économique au Burkina Faso</w:t>
      </w:r>
      <w:bookmarkEnd w:id="59"/>
    </w:p>
    <w:p w14:paraId="3D40581A" w14:textId="0C59C6D0" w:rsidR="00D80693" w:rsidRPr="007B22B9" w:rsidRDefault="00D80693" w:rsidP="007B22B9">
      <w:pPr>
        <w:pStyle w:val="Titre1"/>
        <w:ind w:left="-142"/>
        <w:rPr>
          <w:rFonts w:eastAsia="Calibri"/>
          <w:color w:val="000000"/>
        </w:rPr>
      </w:pPr>
    </w:p>
    <w:p w14:paraId="6880A034" w14:textId="339A0996" w:rsidR="00D80693" w:rsidRPr="007B22B9" w:rsidRDefault="00D80693" w:rsidP="007B22B9">
      <w:pPr>
        <w:pStyle w:val="Titre1"/>
        <w:ind w:left="-142"/>
        <w:rPr>
          <w:rFonts w:eastAsia="Calibri"/>
          <w:color w:val="000000"/>
        </w:rPr>
      </w:pPr>
      <w:bookmarkStart w:id="60" w:name="_Toc219272568"/>
      <w:r w:rsidRPr="007B22B9">
        <w:rPr>
          <w:rFonts w:eastAsia="Calibri"/>
          <w:color w:val="000000"/>
        </w:rPr>
        <w:t>Harouna</w:t>
      </w:r>
      <w:r w:rsidR="007B22B9" w:rsidRPr="007B22B9">
        <w:rPr>
          <w:rFonts w:eastAsia="Calibri"/>
          <w:color w:val="000000"/>
        </w:rPr>
        <w:t xml:space="preserve"> </w:t>
      </w:r>
      <w:r w:rsidR="007B22B9" w:rsidRPr="007B22B9">
        <w:rPr>
          <w:rFonts w:eastAsia="Calibri"/>
          <w:color w:val="000000"/>
        </w:rPr>
        <w:t>DERRA</w:t>
      </w:r>
      <w:r w:rsidRPr="007B22B9">
        <w:rPr>
          <w:rFonts w:eastAsia="Calibri"/>
          <w:color w:val="000000"/>
        </w:rPr>
        <w:t>, Ya Eveline</w:t>
      </w:r>
      <w:r w:rsidR="007B22B9" w:rsidRPr="007B22B9">
        <w:rPr>
          <w:rFonts w:eastAsia="Calibri"/>
          <w:color w:val="000000"/>
        </w:rPr>
        <w:t xml:space="preserve"> </w:t>
      </w:r>
      <w:r w:rsidR="007B22B9" w:rsidRPr="007B22B9">
        <w:rPr>
          <w:rFonts w:eastAsia="Calibri"/>
          <w:color w:val="000000"/>
        </w:rPr>
        <w:t>TOURÉ/JOHNSON</w:t>
      </w:r>
      <w:r w:rsidRPr="007B22B9">
        <w:rPr>
          <w:rFonts w:eastAsia="Calibri"/>
          <w:color w:val="000000"/>
        </w:rPr>
        <w:t>, François</w:t>
      </w:r>
      <w:r w:rsidR="007B22B9" w:rsidRPr="007B22B9">
        <w:rPr>
          <w:rFonts w:eastAsia="Calibri"/>
          <w:color w:val="000000"/>
        </w:rPr>
        <w:t xml:space="preserve"> </w:t>
      </w:r>
      <w:r w:rsidR="007B22B9" w:rsidRPr="007B22B9">
        <w:rPr>
          <w:rFonts w:eastAsia="Calibri"/>
          <w:color w:val="000000"/>
        </w:rPr>
        <w:t>SAWADOGO</w:t>
      </w:r>
      <w:bookmarkEnd w:id="60"/>
    </w:p>
    <w:p w14:paraId="298EE507" w14:textId="77777777" w:rsidR="00D80693" w:rsidRDefault="00D80693" w:rsidP="00D80693">
      <w:pPr>
        <w:jc w:val="both"/>
        <w:rPr>
          <w:b/>
          <w:sz w:val="24"/>
          <w:szCs w:val="24"/>
        </w:rPr>
      </w:pPr>
    </w:p>
    <w:p w14:paraId="69F4F3DD" w14:textId="3616293A" w:rsidR="00D80693" w:rsidRPr="00102D91" w:rsidRDefault="00102D91" w:rsidP="00D80693">
      <w:pPr>
        <w:jc w:val="both"/>
        <w:rPr>
          <w:b/>
          <w:sz w:val="28"/>
          <w:szCs w:val="28"/>
        </w:rPr>
      </w:pPr>
      <w:r w:rsidRPr="00102D91">
        <w:rPr>
          <w:b/>
          <w:sz w:val="28"/>
          <w:szCs w:val="28"/>
        </w:rPr>
        <w:t>Résumé</w:t>
      </w:r>
    </w:p>
    <w:p w14:paraId="0E389A2F" w14:textId="5059E0F3" w:rsidR="00102D91" w:rsidRDefault="00D80693" w:rsidP="00D80693">
      <w:pPr>
        <w:jc w:val="both"/>
        <w:rPr>
          <w:rFonts w:eastAsia="Calibri"/>
          <w:bCs/>
          <w:color w:val="000000"/>
          <w:sz w:val="24"/>
          <w:szCs w:val="24"/>
        </w:rPr>
      </w:pPr>
      <w:r w:rsidRPr="00630189">
        <w:rPr>
          <w:rFonts w:eastAsia="Calibri"/>
          <w:bCs/>
          <w:color w:val="000000"/>
          <w:sz w:val="24"/>
          <w:szCs w:val="24"/>
        </w:rPr>
        <w:t xml:space="preserve">L’éducation non formelle des adultes de façon générale et plus spécifiquement leur alphabétisation a été formalisée dans les années 1960 au Burkina Faso.  Depuis 2018, le taux d’alphabétisation des adultes est en baisse dans ce pays.  De plus, l’engouement reste faible autour de la formule </w:t>
      </w:r>
      <w:proofErr w:type="spellStart"/>
      <w:r w:rsidR="00102D91" w:rsidRPr="00102D91">
        <w:rPr>
          <w:rFonts w:eastAsia="Calibri"/>
          <w:bCs/>
          <w:i/>
          <w:iCs/>
          <w:color w:val="000000"/>
          <w:sz w:val="24"/>
          <w:szCs w:val="24"/>
        </w:rPr>
        <w:t>Reflect</w:t>
      </w:r>
      <w:proofErr w:type="spellEnd"/>
      <w:r w:rsidRPr="00630189">
        <w:rPr>
          <w:rFonts w:eastAsia="Calibri"/>
          <w:bCs/>
          <w:color w:val="000000"/>
          <w:sz w:val="24"/>
          <w:szCs w:val="24"/>
        </w:rPr>
        <w:t xml:space="preserve"> malgré qu’elle soit une méthode d’alphabétisation des adultes orient</w:t>
      </w:r>
      <w:r>
        <w:rPr>
          <w:rFonts w:eastAsia="Calibri"/>
          <w:bCs/>
          <w:color w:val="000000"/>
          <w:sz w:val="24"/>
          <w:szCs w:val="24"/>
        </w:rPr>
        <w:t>ée</w:t>
      </w:r>
      <w:r w:rsidRPr="00630189">
        <w:rPr>
          <w:rFonts w:eastAsia="Calibri"/>
          <w:bCs/>
          <w:color w:val="000000"/>
          <w:sz w:val="24"/>
          <w:szCs w:val="24"/>
        </w:rPr>
        <w:t xml:space="preserve"> vers des solutions endogènes pour leur développement. Ces constats nous ont conduit à nous demander si la formule </w:t>
      </w:r>
      <w:proofErr w:type="spellStart"/>
      <w:r w:rsidR="00102D91" w:rsidRPr="00102D91">
        <w:rPr>
          <w:rFonts w:eastAsia="Calibri"/>
          <w:bCs/>
          <w:i/>
          <w:iCs/>
          <w:color w:val="000000"/>
          <w:sz w:val="24"/>
          <w:szCs w:val="24"/>
        </w:rPr>
        <w:t>Reflect</w:t>
      </w:r>
      <w:proofErr w:type="spellEnd"/>
      <w:r w:rsidRPr="00630189">
        <w:rPr>
          <w:rFonts w:eastAsia="Calibri"/>
          <w:bCs/>
          <w:color w:val="000000"/>
          <w:sz w:val="24"/>
          <w:szCs w:val="24"/>
        </w:rPr>
        <w:t xml:space="preserve"> induit réellement un changement au niveau du vécu économique chez l’adulte alphabétisé. Notre recherche a pour objectif d’apporter des éléments de réponses à cette préoccupation. L’enquête s’est déroulée dans six régions du Burkina Faso. L’échantillon se compose de deux cent vingt-trois (223) sujets répartis comme suit : cent dix-sept (117) adultes alphabétisés </w:t>
      </w:r>
      <w:proofErr w:type="spellStart"/>
      <w:r w:rsidR="00102D91" w:rsidRPr="00102D91">
        <w:rPr>
          <w:rFonts w:eastAsia="Calibri"/>
          <w:bCs/>
          <w:i/>
          <w:iCs/>
          <w:color w:val="000000"/>
          <w:sz w:val="24"/>
          <w:szCs w:val="24"/>
        </w:rPr>
        <w:t>Reflect</w:t>
      </w:r>
      <w:proofErr w:type="spellEnd"/>
      <w:r w:rsidRPr="00630189">
        <w:rPr>
          <w:rFonts w:eastAsia="Calibri"/>
          <w:bCs/>
          <w:color w:val="000000"/>
          <w:sz w:val="24"/>
          <w:szCs w:val="24"/>
        </w:rPr>
        <w:t xml:space="preserve">, cent six (106) acteurs de l’éducation non formelle. Les enquêtés sont soumis à un outil quantitatif de collecte des données. Quant aux données, elles ont été traitées à l’aide de logiciels informatiques. Les résultats obtenus ont révélé que les adultes alphabétisés </w:t>
      </w:r>
      <w:proofErr w:type="spellStart"/>
      <w:r w:rsidR="00102D91" w:rsidRPr="00102D91">
        <w:rPr>
          <w:rFonts w:eastAsia="Calibri"/>
          <w:bCs/>
          <w:i/>
          <w:iCs/>
          <w:color w:val="000000"/>
          <w:sz w:val="24"/>
          <w:szCs w:val="24"/>
        </w:rPr>
        <w:t>Reflect</w:t>
      </w:r>
      <w:proofErr w:type="spellEnd"/>
      <w:r w:rsidRPr="00630189">
        <w:rPr>
          <w:rFonts w:eastAsia="Calibri"/>
          <w:bCs/>
          <w:color w:val="000000"/>
          <w:sz w:val="24"/>
          <w:szCs w:val="24"/>
        </w:rPr>
        <w:t>, influencent positivement leur vécu économique</w:t>
      </w:r>
      <w:r w:rsidRPr="00630189">
        <w:rPr>
          <w:b/>
          <w:sz w:val="24"/>
          <w:szCs w:val="24"/>
        </w:rPr>
        <w:t xml:space="preserve">. </w:t>
      </w:r>
      <w:r w:rsidRPr="00630189">
        <w:rPr>
          <w:rFonts w:eastAsia="Calibri"/>
          <w:bCs/>
          <w:color w:val="000000"/>
          <w:sz w:val="24"/>
          <w:szCs w:val="24"/>
        </w:rPr>
        <w:t xml:space="preserve">  </w:t>
      </w:r>
    </w:p>
    <w:p w14:paraId="3B7B56F1" w14:textId="77777777" w:rsidR="00102D91" w:rsidRDefault="00102D91" w:rsidP="00102D91">
      <w:pPr>
        <w:rPr>
          <w:rFonts w:eastAsia="Calibri"/>
          <w:bCs/>
          <w:color w:val="000000"/>
          <w:sz w:val="24"/>
          <w:szCs w:val="24"/>
        </w:rPr>
      </w:pPr>
    </w:p>
    <w:p w14:paraId="753C5992" w14:textId="5D2B02A1" w:rsidR="00D80693" w:rsidRDefault="00102D91" w:rsidP="00102D91">
      <w:pPr>
        <w:rPr>
          <w:rFonts w:eastAsia="Calibri"/>
          <w:bCs/>
          <w:color w:val="000000"/>
          <w:sz w:val="24"/>
          <w:szCs w:val="24"/>
        </w:rPr>
      </w:pPr>
      <w:r w:rsidRPr="00630189">
        <w:rPr>
          <w:rFonts w:eastAsia="Calibri"/>
          <w:b/>
          <w:color w:val="000000"/>
          <w:sz w:val="24"/>
          <w:szCs w:val="24"/>
        </w:rPr>
        <w:t xml:space="preserve">Mots </w:t>
      </w:r>
      <w:r>
        <w:rPr>
          <w:rFonts w:eastAsia="Calibri"/>
          <w:b/>
          <w:color w:val="000000"/>
          <w:sz w:val="24"/>
          <w:szCs w:val="24"/>
        </w:rPr>
        <w:t>c</w:t>
      </w:r>
      <w:r w:rsidRPr="00630189">
        <w:rPr>
          <w:rFonts w:eastAsia="Calibri"/>
          <w:b/>
          <w:color w:val="000000"/>
          <w:sz w:val="24"/>
          <w:szCs w:val="24"/>
        </w:rPr>
        <w:t>lés</w:t>
      </w:r>
      <w:r w:rsidRPr="00630189">
        <w:rPr>
          <w:rFonts w:eastAsia="Calibri"/>
          <w:bCs/>
          <w:color w:val="000000"/>
          <w:sz w:val="24"/>
          <w:szCs w:val="24"/>
        </w:rPr>
        <w:t> </w:t>
      </w:r>
      <w:r w:rsidR="00D80693" w:rsidRPr="00630189">
        <w:rPr>
          <w:rFonts w:eastAsia="Calibri"/>
          <w:bCs/>
          <w:color w:val="000000"/>
          <w:sz w:val="24"/>
          <w:szCs w:val="24"/>
        </w:rPr>
        <w:t xml:space="preserve">: Effet – Alphabétisation des adultes – Vécu économique– Formule </w:t>
      </w:r>
      <w:proofErr w:type="spellStart"/>
      <w:r w:rsidRPr="00102D91">
        <w:rPr>
          <w:rFonts w:eastAsia="Calibri"/>
          <w:bCs/>
          <w:i/>
          <w:iCs/>
          <w:color w:val="000000"/>
          <w:sz w:val="24"/>
          <w:szCs w:val="24"/>
        </w:rPr>
        <w:t>Reflect</w:t>
      </w:r>
      <w:proofErr w:type="spellEnd"/>
      <w:r w:rsidR="00D80693" w:rsidRPr="00630189">
        <w:rPr>
          <w:rFonts w:eastAsia="Calibri"/>
          <w:bCs/>
          <w:color w:val="000000"/>
          <w:sz w:val="24"/>
          <w:szCs w:val="24"/>
        </w:rPr>
        <w:t xml:space="preserve"> – Burkina Faso</w:t>
      </w:r>
    </w:p>
    <w:p w14:paraId="2D8227E3" w14:textId="77777777" w:rsidR="00102D91" w:rsidRPr="00630189" w:rsidRDefault="00102D91" w:rsidP="00102D91">
      <w:pPr>
        <w:rPr>
          <w:b/>
          <w:sz w:val="24"/>
          <w:szCs w:val="24"/>
        </w:rPr>
      </w:pPr>
    </w:p>
    <w:p w14:paraId="274532A6" w14:textId="26CEC4AA" w:rsidR="00D80693" w:rsidRPr="001928FA" w:rsidRDefault="00102D91" w:rsidP="00D80693">
      <w:pPr>
        <w:jc w:val="both"/>
        <w:rPr>
          <w:b/>
          <w:sz w:val="28"/>
          <w:szCs w:val="28"/>
          <w:lang w:val="en-US"/>
        </w:rPr>
      </w:pPr>
      <w:r w:rsidRPr="001928FA">
        <w:rPr>
          <w:b/>
          <w:sz w:val="28"/>
          <w:szCs w:val="28"/>
          <w:lang w:val="en-US"/>
        </w:rPr>
        <w:t xml:space="preserve">Abstract </w:t>
      </w:r>
    </w:p>
    <w:p w14:paraId="24B4C07B" w14:textId="45C64275" w:rsidR="00D80693" w:rsidRDefault="00D80693" w:rsidP="00D80693">
      <w:pPr>
        <w:jc w:val="both"/>
        <w:rPr>
          <w:rFonts w:eastAsia="Calibri"/>
          <w:bCs/>
          <w:color w:val="000000"/>
          <w:sz w:val="24"/>
          <w:szCs w:val="24"/>
          <w:lang w:val="en-US"/>
        </w:rPr>
      </w:pPr>
      <w:r w:rsidRPr="00630189">
        <w:rPr>
          <w:rFonts w:eastAsia="Calibri"/>
          <w:bCs/>
          <w:color w:val="000000"/>
          <w:sz w:val="24"/>
          <w:szCs w:val="24"/>
          <w:lang w:val="en-US"/>
        </w:rPr>
        <w:t xml:space="preserve">Non-formal adult education in general and more specifically adult literacy was formalized in the 1960s in Burkina Faso. Since 2018, the adult literacy rate has been declining in this country. In addition, enthusiasm remains low around the </w:t>
      </w:r>
      <w:r w:rsidR="00102D91" w:rsidRPr="00102D91">
        <w:rPr>
          <w:rFonts w:eastAsia="Calibri"/>
          <w:bCs/>
          <w:i/>
          <w:iCs/>
          <w:color w:val="000000"/>
          <w:sz w:val="24"/>
          <w:szCs w:val="24"/>
          <w:lang w:val="en-US"/>
        </w:rPr>
        <w:t>REFLECT</w:t>
      </w:r>
      <w:r w:rsidRPr="00630189">
        <w:rPr>
          <w:rFonts w:eastAsia="Calibri"/>
          <w:bCs/>
          <w:color w:val="000000"/>
          <w:sz w:val="24"/>
          <w:szCs w:val="24"/>
          <w:lang w:val="en-US"/>
        </w:rPr>
        <w:t xml:space="preserve"> formula despite it being an adult literacy method oriented towards endogenous solutions for their development. These observations led us to wonder whether the </w:t>
      </w:r>
      <w:r w:rsidR="00102D91" w:rsidRPr="00102D91">
        <w:rPr>
          <w:rFonts w:eastAsia="Calibri"/>
          <w:bCs/>
          <w:i/>
          <w:iCs/>
          <w:color w:val="000000"/>
          <w:sz w:val="24"/>
          <w:szCs w:val="24"/>
          <w:lang w:val="en-US"/>
        </w:rPr>
        <w:t>REFLECT</w:t>
      </w:r>
      <w:r w:rsidRPr="00630189">
        <w:rPr>
          <w:rFonts w:eastAsia="Calibri"/>
          <w:bCs/>
          <w:color w:val="000000"/>
          <w:sz w:val="24"/>
          <w:szCs w:val="24"/>
          <w:lang w:val="en-US"/>
        </w:rPr>
        <w:t xml:space="preserve"> formula really induces a change in the economic experience of literate adults. Our research aims to provide answers to this concern. The survey took place in six regions of Burkina Faso. The sample consists of two hundred and twenty-three (223) subjects distributed as follows: one hundred and seventeen (117) </w:t>
      </w:r>
      <w:r w:rsidR="00102D91" w:rsidRPr="00102D91">
        <w:rPr>
          <w:rFonts w:eastAsia="Calibri"/>
          <w:bCs/>
          <w:i/>
          <w:iCs/>
          <w:color w:val="000000"/>
          <w:sz w:val="24"/>
          <w:szCs w:val="24"/>
          <w:lang w:val="en-US"/>
        </w:rPr>
        <w:t>Reflect</w:t>
      </w:r>
      <w:r w:rsidRPr="00630189">
        <w:rPr>
          <w:rFonts w:eastAsia="Calibri"/>
          <w:bCs/>
          <w:color w:val="000000"/>
          <w:sz w:val="24"/>
          <w:szCs w:val="24"/>
          <w:lang w:val="en-US"/>
        </w:rPr>
        <w:t xml:space="preserve"> literate adults, one hundred and six (106) non-formal education actors. The respondents are subjected to a quantitative data collection tool. The data was processed using computer software. The results revealed that </w:t>
      </w:r>
      <w:r w:rsidR="00102D91" w:rsidRPr="00102D91">
        <w:rPr>
          <w:rFonts w:eastAsia="Calibri"/>
          <w:bCs/>
          <w:i/>
          <w:iCs/>
          <w:color w:val="000000"/>
          <w:sz w:val="24"/>
          <w:szCs w:val="24"/>
          <w:lang w:val="en-US"/>
        </w:rPr>
        <w:t>Reflect</w:t>
      </w:r>
      <w:r w:rsidRPr="00630189">
        <w:rPr>
          <w:rFonts w:eastAsia="Calibri"/>
          <w:bCs/>
          <w:color w:val="000000"/>
          <w:sz w:val="24"/>
          <w:szCs w:val="24"/>
          <w:lang w:val="en-US"/>
        </w:rPr>
        <w:t xml:space="preserve"> literate adults have a positive impact on their economic experience.</w:t>
      </w:r>
    </w:p>
    <w:p w14:paraId="7DD36AC9" w14:textId="77777777" w:rsidR="00102D91" w:rsidRPr="00630189" w:rsidRDefault="00102D91" w:rsidP="00D80693">
      <w:pPr>
        <w:jc w:val="both"/>
        <w:rPr>
          <w:rFonts w:eastAsia="Calibri"/>
          <w:bCs/>
          <w:color w:val="000000"/>
          <w:sz w:val="24"/>
          <w:szCs w:val="24"/>
          <w:lang w:val="en-US"/>
        </w:rPr>
      </w:pPr>
    </w:p>
    <w:p w14:paraId="19F91AF9" w14:textId="5AA96972" w:rsidR="00D80693" w:rsidRPr="00630189" w:rsidRDefault="00102D91" w:rsidP="00102D91">
      <w:pPr>
        <w:jc w:val="both"/>
        <w:rPr>
          <w:b/>
          <w:sz w:val="24"/>
          <w:szCs w:val="24"/>
          <w:lang w:val="en-US"/>
        </w:rPr>
      </w:pPr>
      <w:r w:rsidRPr="00102D91">
        <w:rPr>
          <w:rFonts w:eastAsia="Calibri"/>
          <w:b/>
          <w:color w:val="000000"/>
          <w:sz w:val="28"/>
          <w:szCs w:val="28"/>
          <w:lang w:val="en-US"/>
        </w:rPr>
        <w:t>Keywords</w:t>
      </w:r>
      <w:r>
        <w:rPr>
          <w:rFonts w:eastAsia="Calibri"/>
          <w:b/>
          <w:color w:val="000000"/>
          <w:sz w:val="28"/>
          <w:szCs w:val="28"/>
          <w:lang w:val="en-US"/>
        </w:rPr>
        <w:t xml:space="preserve">: </w:t>
      </w:r>
      <w:r w:rsidR="00D80693" w:rsidRPr="00630189">
        <w:rPr>
          <w:rFonts w:eastAsia="Calibri"/>
          <w:bCs/>
          <w:color w:val="000000"/>
          <w:sz w:val="24"/>
          <w:szCs w:val="24"/>
          <w:lang w:val="en-US"/>
        </w:rPr>
        <w:t xml:space="preserve">Effect – Adult literacy – Economic experience – </w:t>
      </w:r>
      <w:r w:rsidRPr="00102D91">
        <w:rPr>
          <w:rFonts w:eastAsia="Calibri"/>
          <w:bCs/>
          <w:i/>
          <w:iCs/>
          <w:color w:val="000000"/>
          <w:sz w:val="24"/>
          <w:szCs w:val="24"/>
          <w:lang w:val="en-US"/>
        </w:rPr>
        <w:t>Reflect</w:t>
      </w:r>
      <w:r w:rsidR="00D80693" w:rsidRPr="00630189">
        <w:rPr>
          <w:rFonts w:eastAsia="Calibri"/>
          <w:bCs/>
          <w:color w:val="000000"/>
          <w:sz w:val="24"/>
          <w:szCs w:val="24"/>
          <w:lang w:val="en-US"/>
        </w:rPr>
        <w:t xml:space="preserve"> formula – Burkina Faso</w:t>
      </w:r>
    </w:p>
    <w:p w14:paraId="048C77CF" w14:textId="77777777" w:rsidR="00D80693" w:rsidRPr="000E1EDE" w:rsidRDefault="00D80693" w:rsidP="00D80693">
      <w:pPr>
        <w:tabs>
          <w:tab w:val="center" w:pos="4513"/>
          <w:tab w:val="right" w:pos="9026"/>
        </w:tabs>
        <w:jc w:val="both"/>
        <w:rPr>
          <w:b/>
          <w:sz w:val="24"/>
          <w:szCs w:val="24"/>
          <w:lang w:val="en-US"/>
        </w:rPr>
      </w:pPr>
    </w:p>
    <w:p w14:paraId="1BDD0044" w14:textId="77777777" w:rsidR="00D80693" w:rsidRPr="000E1EDE" w:rsidRDefault="00D80693" w:rsidP="00D80693">
      <w:pPr>
        <w:tabs>
          <w:tab w:val="center" w:pos="4513"/>
          <w:tab w:val="right" w:pos="9026"/>
        </w:tabs>
        <w:jc w:val="both"/>
        <w:rPr>
          <w:b/>
          <w:sz w:val="28"/>
          <w:szCs w:val="28"/>
          <w:lang w:val="en-US"/>
        </w:rPr>
      </w:pPr>
    </w:p>
    <w:p w14:paraId="085FEFCC" w14:textId="77777777" w:rsidR="00D80693" w:rsidRPr="000E1EDE" w:rsidRDefault="00D80693" w:rsidP="00D80693">
      <w:pPr>
        <w:tabs>
          <w:tab w:val="center" w:pos="4513"/>
          <w:tab w:val="right" w:pos="9026"/>
        </w:tabs>
        <w:jc w:val="both"/>
        <w:rPr>
          <w:b/>
          <w:sz w:val="28"/>
          <w:szCs w:val="28"/>
          <w:lang w:val="en-US"/>
        </w:rPr>
      </w:pPr>
    </w:p>
    <w:p w14:paraId="637F1656" w14:textId="77777777" w:rsidR="00D80693" w:rsidRPr="000E1EDE" w:rsidRDefault="00D80693" w:rsidP="00D80693">
      <w:pPr>
        <w:tabs>
          <w:tab w:val="center" w:pos="4513"/>
          <w:tab w:val="right" w:pos="9026"/>
        </w:tabs>
        <w:jc w:val="both"/>
        <w:rPr>
          <w:b/>
          <w:sz w:val="28"/>
          <w:szCs w:val="28"/>
          <w:lang w:val="en-US"/>
        </w:rPr>
      </w:pPr>
    </w:p>
    <w:p w14:paraId="1D88C80C" w14:textId="77777777" w:rsidR="00D80693" w:rsidRPr="000E1EDE" w:rsidRDefault="00D80693" w:rsidP="00D80693">
      <w:pPr>
        <w:tabs>
          <w:tab w:val="center" w:pos="4513"/>
          <w:tab w:val="right" w:pos="9026"/>
        </w:tabs>
        <w:jc w:val="both"/>
        <w:rPr>
          <w:b/>
          <w:sz w:val="28"/>
          <w:szCs w:val="28"/>
          <w:lang w:val="en-US"/>
        </w:rPr>
      </w:pPr>
    </w:p>
    <w:p w14:paraId="236F2FEE" w14:textId="77777777" w:rsidR="00D80693" w:rsidRPr="000E1EDE" w:rsidRDefault="00D80693" w:rsidP="00D80693">
      <w:pPr>
        <w:tabs>
          <w:tab w:val="center" w:pos="4513"/>
          <w:tab w:val="right" w:pos="9026"/>
        </w:tabs>
        <w:jc w:val="both"/>
        <w:rPr>
          <w:b/>
          <w:sz w:val="28"/>
          <w:szCs w:val="28"/>
          <w:lang w:val="en-US"/>
        </w:rPr>
      </w:pPr>
    </w:p>
    <w:p w14:paraId="7B8E8072" w14:textId="0F48F420" w:rsidR="007B22B9" w:rsidRDefault="007B22B9">
      <w:pPr>
        <w:rPr>
          <w:b/>
          <w:sz w:val="28"/>
          <w:szCs w:val="28"/>
          <w:lang w:val="en-US"/>
        </w:rPr>
      </w:pPr>
      <w:r>
        <w:rPr>
          <w:b/>
          <w:sz w:val="28"/>
          <w:szCs w:val="28"/>
          <w:lang w:val="en-US"/>
        </w:rPr>
        <w:br w:type="page"/>
      </w:r>
    </w:p>
    <w:p w14:paraId="200C08C1" w14:textId="77777777" w:rsidR="00D80693" w:rsidRPr="00630189" w:rsidRDefault="00D80693" w:rsidP="00D80693">
      <w:pPr>
        <w:tabs>
          <w:tab w:val="center" w:pos="4513"/>
          <w:tab w:val="right" w:pos="9026"/>
        </w:tabs>
        <w:jc w:val="both"/>
        <w:rPr>
          <w:b/>
          <w:sz w:val="28"/>
          <w:szCs w:val="28"/>
        </w:rPr>
      </w:pPr>
      <w:r w:rsidRPr="00630189">
        <w:rPr>
          <w:b/>
          <w:sz w:val="28"/>
          <w:szCs w:val="28"/>
        </w:rPr>
        <w:t>Introduction</w:t>
      </w:r>
    </w:p>
    <w:p w14:paraId="2F63A1E9" w14:textId="6BE54B1E" w:rsidR="00D80693" w:rsidRPr="00630189" w:rsidRDefault="00D80693" w:rsidP="00102D91">
      <w:pPr>
        <w:adjustRightInd w:val="0"/>
        <w:spacing w:before="120"/>
        <w:jc w:val="both"/>
        <w:rPr>
          <w:rFonts w:eastAsia="Calibri"/>
          <w:color w:val="000000"/>
          <w:sz w:val="24"/>
          <w:szCs w:val="24"/>
        </w:rPr>
      </w:pPr>
      <w:bookmarkStart w:id="61" w:name="_Hlk191307394"/>
      <w:r w:rsidRPr="00630189">
        <w:rPr>
          <w:rFonts w:eastAsia="Calibri"/>
          <w:color w:val="000000"/>
          <w:sz w:val="24"/>
          <w:szCs w:val="24"/>
        </w:rPr>
        <w:t>L’éducation des adultes se rapporte généralement à toute forme d'apprentissage entrepris par des adultes, hommes et femmes, ou offert à eux hors du système d'éducation formelle (Seya, 2005). En Europe, deux courants ont traversé le mouvement de l’éducation des adultes à partir du milieu du XIXème siècle : « le fondement de l’idéologie socialiste pour l’éducation du peuple qui a abouti à la création vers les premières années du XXème siècle des Universités populaires ou Universités d’été en France et en Angleterre et une seconde tendance du concept andragogie qui se développe et qui est plus centrée sur les nécessités de l’éducation des adultes</w:t>
      </w:r>
      <w:proofErr w:type="gramStart"/>
      <w:r w:rsidRPr="00630189">
        <w:rPr>
          <w:rFonts w:eastAsia="Calibri"/>
          <w:color w:val="000000"/>
          <w:sz w:val="24"/>
          <w:szCs w:val="24"/>
        </w:rPr>
        <w:t>.»</w:t>
      </w:r>
      <w:proofErr w:type="gramEnd"/>
      <w:r w:rsidRPr="00630189">
        <w:rPr>
          <w:rFonts w:eastAsia="Calibri"/>
          <w:color w:val="000000"/>
          <w:sz w:val="24"/>
          <w:szCs w:val="24"/>
        </w:rPr>
        <w:t xml:space="preserve"> (</w:t>
      </w:r>
      <w:proofErr w:type="spellStart"/>
      <w:r w:rsidRPr="00630189">
        <w:rPr>
          <w:rFonts w:eastAsia="Calibri"/>
          <w:color w:val="000000"/>
          <w:sz w:val="24"/>
          <w:szCs w:val="24"/>
        </w:rPr>
        <w:t>Hachicha</w:t>
      </w:r>
      <w:proofErr w:type="spellEnd"/>
      <w:r w:rsidRPr="00630189">
        <w:rPr>
          <w:rFonts w:eastAsia="Calibri"/>
          <w:color w:val="000000"/>
          <w:sz w:val="24"/>
          <w:szCs w:val="24"/>
        </w:rPr>
        <w:t>, 2006, p.7). Ces derniers temps, l’éducation des adultes a suscité beaucoup d’intérêt à l’échelle territoriale, provinciale, nationale et internationale (Organisation des Nations Unies pour l’</w:t>
      </w:r>
      <w:r>
        <w:rPr>
          <w:rFonts w:eastAsia="Calibri"/>
          <w:color w:val="000000"/>
          <w:sz w:val="24"/>
          <w:szCs w:val="24"/>
        </w:rPr>
        <w:t>É</w:t>
      </w:r>
      <w:r w:rsidRPr="00630189">
        <w:rPr>
          <w:rFonts w:eastAsia="Calibri"/>
          <w:color w:val="000000"/>
          <w:sz w:val="24"/>
          <w:szCs w:val="24"/>
        </w:rPr>
        <w:t xml:space="preserve">ducation, la Science et la Culture, 2010).  </w:t>
      </w:r>
    </w:p>
    <w:p w14:paraId="1C472D08" w14:textId="77777777" w:rsidR="00D80693" w:rsidRPr="00630189" w:rsidRDefault="00D80693" w:rsidP="00102D91">
      <w:pPr>
        <w:adjustRightInd w:val="0"/>
        <w:spacing w:before="120"/>
        <w:jc w:val="both"/>
        <w:rPr>
          <w:rFonts w:eastAsia="Calibri"/>
          <w:color w:val="000000"/>
          <w:sz w:val="24"/>
          <w:szCs w:val="24"/>
        </w:rPr>
      </w:pPr>
      <w:r w:rsidRPr="00630189">
        <w:rPr>
          <w:rFonts w:eastAsia="Calibri"/>
          <w:color w:val="000000"/>
          <w:sz w:val="24"/>
          <w:szCs w:val="24"/>
        </w:rPr>
        <w:t xml:space="preserve">Les différents rapports nationaux et internationaux sur le besoin de l’éducation des adultes présentent tous des arguments au sujet de l’importance d’accroître le niveau de prestation dans les programmes d’éducation des adultes. S’il y a un concept de plus en plus au cœur des orientations des politiques d’éducation, c’est bien celui de l’éducation des adultes. Dans plusieurs pays, il est reconnu que l’éducation et la formation ne sont pas limitées à une période de la vie et qu’il convient d’adopter une vision plus large et intégrée de l’éducation, qui s’étend de l’enfance jusqu’à la vieillesse (Organisation des Nations Unies pour l’Éducation, la Science et la Culture, 2010). </w:t>
      </w:r>
    </w:p>
    <w:p w14:paraId="538C9715" w14:textId="76714A0D" w:rsidR="00D80693" w:rsidRPr="00630189" w:rsidRDefault="00D80693" w:rsidP="00102D91">
      <w:pPr>
        <w:adjustRightInd w:val="0"/>
        <w:spacing w:before="120"/>
        <w:jc w:val="both"/>
        <w:rPr>
          <w:rFonts w:eastAsia="Calibri"/>
          <w:color w:val="000000"/>
          <w:sz w:val="24"/>
          <w:szCs w:val="24"/>
        </w:rPr>
      </w:pPr>
      <w:r w:rsidRPr="00630189">
        <w:rPr>
          <w:rFonts w:eastAsia="Calibri"/>
          <w:color w:val="000000"/>
          <w:sz w:val="24"/>
          <w:szCs w:val="24"/>
        </w:rPr>
        <w:t>Les nations développées renforcent aujourd’hui leurs politiques en matière d’éducation ou de formation des adultes dans le cadre de stratégies destinées à faire face à la nouvelle division dans leurs échanges internationaux (Kamel, 2012). En Afrique, il s’agit de la renaissance de l’éducation des adultes, c’est-à-dire, une éducation permanente, une éducation pour tous et une éducation tout au long de la vie, une éducation répondant aux réalités africaines (Baba-Moussa, Moussa et Rakotozafy, 2014). Pour les pays en voie de développement, l’éducation ou la formation des adultes correspond aux programmes d’éducation non formelle des adultes, c’est-à-dire, l’enseignement des techniques élémentaires aux adultes et aux programmes d’alphabétisation fonctionnelle des adultes (Meister, 1981).</w:t>
      </w:r>
    </w:p>
    <w:p w14:paraId="538CDBAA" w14:textId="48FCAE28" w:rsidR="00D80693" w:rsidRPr="000707BC" w:rsidRDefault="00D80693" w:rsidP="00102D91">
      <w:pPr>
        <w:adjustRightInd w:val="0"/>
        <w:spacing w:before="120"/>
        <w:jc w:val="both"/>
        <w:rPr>
          <w:sz w:val="24"/>
          <w:szCs w:val="24"/>
        </w:rPr>
      </w:pPr>
      <w:r w:rsidRPr="00630189">
        <w:rPr>
          <w:rFonts w:eastAsia="Calibri"/>
          <w:color w:val="000000"/>
          <w:sz w:val="24"/>
          <w:szCs w:val="24"/>
        </w:rPr>
        <w:t>Au Burkina Faso, l’éducation non formelle des adultes, et particulièrement l’Alphabétisation des adultes a été formalisée dans les années 60. Aussi, le pays a souscrit à la Déclaration mondiale sur l’éducation pour tous adoptée à Jomtien en mars 1990 et réaffirmée à Dakar en avril 2000 par la communauté internationale</w:t>
      </w:r>
      <w:r>
        <w:rPr>
          <w:rFonts w:eastAsia="Calibri"/>
          <w:color w:val="000000"/>
          <w:sz w:val="24"/>
          <w:szCs w:val="24"/>
        </w:rPr>
        <w:t xml:space="preserve"> ; elle </w:t>
      </w:r>
      <w:r w:rsidRPr="00630189">
        <w:rPr>
          <w:rFonts w:eastAsia="Calibri"/>
          <w:color w:val="000000"/>
          <w:sz w:val="24"/>
          <w:szCs w:val="24"/>
        </w:rPr>
        <w:t>a fait de la scolarité une priorité et reconnaît l’importance de l’accès de l’ensemble de la population à la connaissance et au savoir (Balima, 2006). Moulton (1997) souligne que plusieurs études ont soutenu que l’éducation non formelle des adultes en général et spécifiquement leur alphabétisation a le même effet positif que l’éducation formelle sur leur développement socioprofessionnel. Cependant on constate une baisse du taux d’alphabétisation des adultes à partir de 2018 au Burkina Faso</w:t>
      </w:r>
      <w:r w:rsidRPr="00887431">
        <w:rPr>
          <w:rFonts w:eastAsia="Calibri"/>
          <w:bCs/>
          <w:sz w:val="24"/>
          <w:szCs w:val="24"/>
        </w:rPr>
        <w:t xml:space="preserve"> </w:t>
      </w:r>
      <w:r w:rsidRPr="00DA591D">
        <w:rPr>
          <w:rFonts w:eastAsia="Calibri"/>
          <w:bCs/>
          <w:sz w:val="24"/>
          <w:szCs w:val="24"/>
        </w:rPr>
        <w:t xml:space="preserve">En effet, le taux d’alphabétisation des adultes est estimé à 39,3 % en 2018 selon le </w:t>
      </w:r>
      <w:proofErr w:type="gramStart"/>
      <w:r w:rsidRPr="00DA591D">
        <w:rPr>
          <w:rFonts w:eastAsia="Calibri"/>
          <w:bCs/>
          <w:sz w:val="24"/>
          <w:szCs w:val="24"/>
        </w:rPr>
        <w:t>Ministère de l’Éducation</w:t>
      </w:r>
      <w:proofErr w:type="gramEnd"/>
      <w:r w:rsidRPr="00DA591D">
        <w:rPr>
          <w:rFonts w:eastAsia="Calibri"/>
          <w:bCs/>
          <w:sz w:val="24"/>
          <w:szCs w:val="24"/>
        </w:rPr>
        <w:t xml:space="preserve"> Nationale, de l’Alphabétisation et de la Promotion des Langues Nationales (2021) contre 29,7 % en 2022 au Burkina Faso selon l’Institut National de la Statistique et de la Démographie (2022)</w:t>
      </w:r>
      <w:r>
        <w:rPr>
          <w:rFonts w:eastAsia="Calibri"/>
          <w:bCs/>
          <w:sz w:val="24"/>
          <w:szCs w:val="24"/>
        </w:rPr>
        <w:t>.</w:t>
      </w:r>
      <w:r w:rsidRPr="00630189">
        <w:rPr>
          <w:rFonts w:eastAsia="Calibri"/>
          <w:color w:val="000000"/>
          <w:sz w:val="24"/>
          <w:szCs w:val="24"/>
        </w:rPr>
        <w:t xml:space="preserve">  De plus, l’engouement reste faible autour de la formule </w:t>
      </w:r>
      <w:proofErr w:type="spellStart"/>
      <w:r w:rsidR="00102D91" w:rsidRPr="00102D91">
        <w:rPr>
          <w:rFonts w:eastAsia="Calibri"/>
          <w:i/>
          <w:iCs/>
          <w:color w:val="000000"/>
          <w:sz w:val="24"/>
          <w:szCs w:val="24"/>
        </w:rPr>
        <w:t>Reflect</w:t>
      </w:r>
      <w:proofErr w:type="spellEnd"/>
      <w:r w:rsidRPr="00630189">
        <w:rPr>
          <w:rFonts w:eastAsia="Calibri"/>
          <w:color w:val="000000"/>
          <w:sz w:val="24"/>
          <w:szCs w:val="24"/>
        </w:rPr>
        <w:t xml:space="preserve"> malgré qu’elle soit une méthode d’alphabétisation des adultes orient</w:t>
      </w:r>
      <w:r>
        <w:rPr>
          <w:rFonts w:eastAsia="Calibri"/>
          <w:color w:val="000000"/>
          <w:sz w:val="24"/>
          <w:szCs w:val="24"/>
        </w:rPr>
        <w:t>ée</w:t>
      </w:r>
      <w:r w:rsidRPr="00630189">
        <w:rPr>
          <w:rFonts w:eastAsia="Calibri"/>
          <w:color w:val="000000"/>
          <w:sz w:val="24"/>
          <w:szCs w:val="24"/>
        </w:rPr>
        <w:t xml:space="preserve"> vers des solutions endogènes pour leur développement</w:t>
      </w:r>
      <w:r w:rsidRPr="00285ABF">
        <w:t xml:space="preserve"> </w:t>
      </w:r>
      <w:r w:rsidRPr="00285ABF">
        <w:rPr>
          <w:rFonts w:eastAsia="Calibri"/>
          <w:color w:val="000000"/>
          <w:sz w:val="24"/>
          <w:szCs w:val="24"/>
        </w:rPr>
        <w:t>selon l’Association pour le Développement de l’Éducation en Afrique (2003)</w:t>
      </w:r>
      <w:r w:rsidRPr="00630189">
        <w:rPr>
          <w:rFonts w:eastAsia="Calibri"/>
          <w:color w:val="000000"/>
          <w:sz w:val="24"/>
          <w:szCs w:val="24"/>
        </w:rPr>
        <w:t xml:space="preserve">. Quels sont donc les effets de l’alphabétisation des adultes selon l’approche </w:t>
      </w:r>
      <w:proofErr w:type="spellStart"/>
      <w:r w:rsidR="00102D91" w:rsidRPr="00102D91">
        <w:rPr>
          <w:rFonts w:eastAsia="Calibri"/>
          <w:i/>
          <w:iCs/>
          <w:color w:val="000000"/>
          <w:sz w:val="24"/>
          <w:szCs w:val="24"/>
        </w:rPr>
        <w:t>Reflect</w:t>
      </w:r>
      <w:proofErr w:type="spellEnd"/>
      <w:r w:rsidRPr="00630189">
        <w:rPr>
          <w:rFonts w:eastAsia="Calibri"/>
          <w:color w:val="000000"/>
          <w:sz w:val="24"/>
          <w:szCs w:val="24"/>
        </w:rPr>
        <w:t xml:space="preserve"> sur leur développement économique au Burkina Faso ? C’est dans le but d’apporter des éléments de réponses à ces interrogations que nous avons initié ce projet de recherche</w:t>
      </w:r>
      <w:r>
        <w:rPr>
          <w:rFonts w:eastAsia="Calibri"/>
          <w:color w:val="000000"/>
          <w:sz w:val="24"/>
          <w:szCs w:val="24"/>
        </w:rPr>
        <w:t xml:space="preserve"> dont l’</w:t>
      </w:r>
      <w:r w:rsidRPr="00630189">
        <w:rPr>
          <w:rFonts w:eastAsia="Calibri"/>
          <w:sz w:val="24"/>
          <w:szCs w:val="24"/>
        </w:rPr>
        <w:t xml:space="preserve">objectif principal est d’évaluer les effets de l’alphabétisation des adultes selon la formule </w:t>
      </w:r>
      <w:proofErr w:type="spellStart"/>
      <w:r w:rsidR="00102D91" w:rsidRPr="00102D91">
        <w:rPr>
          <w:rFonts w:eastAsia="Calibri"/>
          <w:i/>
          <w:iCs/>
          <w:sz w:val="24"/>
          <w:szCs w:val="24"/>
        </w:rPr>
        <w:t>Reflect</w:t>
      </w:r>
      <w:proofErr w:type="spellEnd"/>
      <w:r w:rsidRPr="00630189">
        <w:rPr>
          <w:rFonts w:eastAsia="Calibri"/>
          <w:sz w:val="24"/>
          <w:szCs w:val="24"/>
        </w:rPr>
        <w:t xml:space="preserve"> sur leur vécu économique au Burkina Faso.</w:t>
      </w:r>
      <w:bookmarkEnd w:id="61"/>
      <w:r w:rsidRPr="00630189">
        <w:rPr>
          <w:sz w:val="24"/>
          <w:szCs w:val="24"/>
        </w:rPr>
        <w:t xml:space="preserve"> </w:t>
      </w:r>
    </w:p>
    <w:p w14:paraId="28A54B58" w14:textId="77777777" w:rsidR="00D80693" w:rsidRDefault="00D80693" w:rsidP="00102D91">
      <w:pPr>
        <w:widowControl/>
        <w:numPr>
          <w:ilvl w:val="0"/>
          <w:numId w:val="166"/>
        </w:numPr>
        <w:tabs>
          <w:tab w:val="center" w:pos="4513"/>
          <w:tab w:val="right" w:pos="9026"/>
        </w:tabs>
        <w:autoSpaceDE/>
        <w:autoSpaceDN/>
        <w:spacing w:before="120"/>
        <w:jc w:val="both"/>
        <w:rPr>
          <w:b/>
          <w:sz w:val="28"/>
          <w:szCs w:val="28"/>
        </w:rPr>
      </w:pPr>
      <w:r w:rsidRPr="00630189">
        <w:rPr>
          <w:b/>
          <w:sz w:val="28"/>
          <w:szCs w:val="28"/>
        </w:rPr>
        <w:t>Cadre théorique et méthodologie</w:t>
      </w:r>
    </w:p>
    <w:p w14:paraId="68484330" w14:textId="77777777" w:rsidR="00D80693" w:rsidRPr="001E35C1" w:rsidRDefault="00D80693" w:rsidP="00102D91">
      <w:pPr>
        <w:tabs>
          <w:tab w:val="center" w:pos="4513"/>
          <w:tab w:val="right" w:pos="9026"/>
        </w:tabs>
        <w:spacing w:before="120"/>
        <w:jc w:val="both"/>
        <w:rPr>
          <w:bCs/>
          <w:sz w:val="24"/>
          <w:szCs w:val="24"/>
        </w:rPr>
      </w:pPr>
      <w:r w:rsidRPr="001E35C1">
        <w:rPr>
          <w:bCs/>
          <w:sz w:val="24"/>
          <w:szCs w:val="24"/>
        </w:rPr>
        <w:t>Il s’agira de présenter en premier lieu le cadre théorique, suivi de la méthodologie adoptée pour la conduite de l’étude.</w:t>
      </w:r>
    </w:p>
    <w:p w14:paraId="37466892" w14:textId="77777777" w:rsidR="00D80693" w:rsidRPr="00630189" w:rsidRDefault="00D80693" w:rsidP="00102D91">
      <w:pPr>
        <w:pStyle w:val="Paragraphedeliste"/>
        <w:widowControl/>
        <w:numPr>
          <w:ilvl w:val="1"/>
          <w:numId w:val="166"/>
        </w:numPr>
        <w:autoSpaceDE/>
        <w:autoSpaceDN/>
        <w:spacing w:after="160"/>
        <w:rPr>
          <w:rFonts w:eastAsia="Calibri"/>
          <w:b/>
          <w:bCs/>
          <w:sz w:val="24"/>
          <w:szCs w:val="24"/>
        </w:rPr>
      </w:pPr>
      <w:r w:rsidRPr="00630189">
        <w:rPr>
          <w:rFonts w:eastAsia="Calibri"/>
          <w:b/>
          <w:bCs/>
          <w:sz w:val="24"/>
          <w:szCs w:val="24"/>
        </w:rPr>
        <w:t xml:space="preserve">Cadre théorique </w:t>
      </w:r>
    </w:p>
    <w:p w14:paraId="2326849B" w14:textId="77777777" w:rsidR="00D80693" w:rsidRPr="0059183B" w:rsidRDefault="00D80693" w:rsidP="00102D91">
      <w:pPr>
        <w:spacing w:before="120"/>
        <w:jc w:val="both"/>
        <w:rPr>
          <w:rFonts w:eastAsia="Calibri"/>
          <w:sz w:val="24"/>
          <w:szCs w:val="24"/>
        </w:rPr>
      </w:pPr>
      <w:r w:rsidRPr="0059183B">
        <w:rPr>
          <w:rFonts w:eastAsia="Calibri"/>
          <w:sz w:val="24"/>
          <w:szCs w:val="24"/>
        </w:rPr>
        <w:t xml:space="preserve">Pour l’analyse de notre sujet de recherche, nous avons retenu deux théories de référence : </w:t>
      </w:r>
    </w:p>
    <w:p w14:paraId="17B9E070" w14:textId="285E1836" w:rsidR="00D80693" w:rsidRPr="00102D91" w:rsidRDefault="00D80693" w:rsidP="00102D91">
      <w:pPr>
        <w:pStyle w:val="Paragraphedeliste"/>
        <w:numPr>
          <w:ilvl w:val="0"/>
          <w:numId w:val="224"/>
        </w:numPr>
        <w:rPr>
          <w:rFonts w:eastAsia="Calibri"/>
          <w:sz w:val="24"/>
          <w:szCs w:val="24"/>
        </w:rPr>
      </w:pPr>
      <w:r w:rsidRPr="00102D91">
        <w:rPr>
          <w:rFonts w:eastAsia="Calibri"/>
          <w:sz w:val="24"/>
          <w:szCs w:val="24"/>
        </w:rPr>
        <w:t>La théorie des représentions sociales car notre étude s’inscrit dans une dynamique du changement social recherché par l’alphabétisation des adultes.</w:t>
      </w:r>
    </w:p>
    <w:p w14:paraId="50E3F005" w14:textId="5505A0B9" w:rsidR="00D80693" w:rsidRPr="00102D91" w:rsidRDefault="00D80693" w:rsidP="00102D91">
      <w:pPr>
        <w:pStyle w:val="Paragraphedeliste"/>
        <w:numPr>
          <w:ilvl w:val="0"/>
          <w:numId w:val="224"/>
        </w:numPr>
        <w:rPr>
          <w:rFonts w:eastAsia="Calibri"/>
          <w:sz w:val="24"/>
          <w:szCs w:val="24"/>
        </w:rPr>
      </w:pPr>
      <w:r w:rsidRPr="00102D91">
        <w:rPr>
          <w:rFonts w:eastAsia="Calibri"/>
          <w:sz w:val="24"/>
          <w:szCs w:val="24"/>
        </w:rPr>
        <w:t xml:space="preserve">Le sentiment d’efficacité personnelle de la théorie de l'auto - efficacité car une action d’alphabétisation des adultes selon la formule </w:t>
      </w:r>
      <w:proofErr w:type="spellStart"/>
      <w:r w:rsidR="00102D91" w:rsidRPr="00102D91">
        <w:rPr>
          <w:rFonts w:eastAsia="Calibri"/>
          <w:i/>
          <w:iCs/>
          <w:sz w:val="24"/>
          <w:szCs w:val="24"/>
        </w:rPr>
        <w:t>Reflect</w:t>
      </w:r>
      <w:proofErr w:type="spellEnd"/>
      <w:r w:rsidRPr="00102D91">
        <w:rPr>
          <w:rFonts w:eastAsia="Calibri"/>
          <w:sz w:val="24"/>
          <w:szCs w:val="24"/>
        </w:rPr>
        <w:t xml:space="preserve"> valorise non seulement les expériences antérieures et renforce sa confiance en soi de l’apprenant.  </w:t>
      </w:r>
    </w:p>
    <w:p w14:paraId="537BC6A8" w14:textId="77777777" w:rsidR="00D80693" w:rsidRPr="0059183B" w:rsidRDefault="00D80693" w:rsidP="00102D91">
      <w:pPr>
        <w:spacing w:before="120"/>
        <w:jc w:val="both"/>
        <w:rPr>
          <w:rFonts w:eastAsia="Calibri"/>
          <w:sz w:val="24"/>
          <w:szCs w:val="24"/>
        </w:rPr>
      </w:pPr>
      <w:r w:rsidRPr="0059183B">
        <w:rPr>
          <w:rFonts w:eastAsia="Calibri"/>
          <w:sz w:val="24"/>
          <w:szCs w:val="24"/>
        </w:rPr>
        <w:t xml:space="preserve">Des recherches ont établi que la première utilisation du terme « représentation » datait de 1887(Gaymard, 2021). Son utilisation n’est devenue fréquente qu’après 1893, quand Durkheim a établi que les phénomènes sociaux étaient constitués de représentations et que les représentations devaient être vues comme des faits sociaux </w:t>
      </w:r>
      <w:bookmarkStart w:id="62" w:name="_Hlk215496446"/>
      <w:r w:rsidRPr="0059183B">
        <w:rPr>
          <w:rFonts w:eastAsia="Calibri"/>
          <w:sz w:val="24"/>
          <w:szCs w:val="24"/>
        </w:rPr>
        <w:t>(Gaymard, 2021)</w:t>
      </w:r>
      <w:bookmarkEnd w:id="62"/>
      <w:r w:rsidRPr="0059183B">
        <w:rPr>
          <w:rFonts w:eastAsia="Calibri"/>
          <w:sz w:val="24"/>
          <w:szCs w:val="24"/>
        </w:rPr>
        <w:t xml:space="preserve">. Selon Jodelet (1989), les présentations sociales sont des systèmes d’interprétation régissant notre relation au monde et aux autres, orientent et organisent les conduites et les communications sociales. Pour lui, les représentations sociales sont des modalités de pensée pratique orientées vers la communication, la compréhension et la maîtrise de l’environnement social. </w:t>
      </w:r>
    </w:p>
    <w:p w14:paraId="4E8108E0" w14:textId="77777777" w:rsidR="00D80693" w:rsidRPr="00630189" w:rsidRDefault="00D80693" w:rsidP="00102D91">
      <w:pPr>
        <w:spacing w:before="120"/>
        <w:jc w:val="both"/>
        <w:rPr>
          <w:rFonts w:eastAsia="Calibri"/>
          <w:sz w:val="24"/>
          <w:szCs w:val="24"/>
        </w:rPr>
      </w:pPr>
      <w:r w:rsidRPr="0059183B">
        <w:rPr>
          <w:rFonts w:eastAsia="Calibri"/>
          <w:sz w:val="24"/>
          <w:szCs w:val="24"/>
        </w:rPr>
        <w:t>Quant au sentiment d’efficacité personnelle (SEP) ou théorie de l’auto-efficacité, c’est un concept introduit par le psychologue Albert Bandura à la fin des années 1970(Wagener, 2018)</w:t>
      </w:r>
      <w:r w:rsidRPr="00630189">
        <w:rPr>
          <w:rFonts w:eastAsia="Calibri"/>
          <w:sz w:val="24"/>
          <w:szCs w:val="24"/>
        </w:rPr>
        <w:t>.</w:t>
      </w:r>
      <w:r>
        <w:rPr>
          <w:rFonts w:eastAsia="Calibri"/>
          <w:sz w:val="24"/>
          <w:szCs w:val="24"/>
        </w:rPr>
        <w:t xml:space="preserve"> </w:t>
      </w:r>
      <w:r w:rsidRPr="0059183B">
        <w:rPr>
          <w:rFonts w:eastAsia="Calibri"/>
          <w:sz w:val="24"/>
          <w:szCs w:val="24"/>
        </w:rPr>
        <w:t>Elle désigne la conviction qu’a un individu de sa capacité à accomplir une tâche ou à faire face à un défi. Cette perception agit directement sur sa motivation, sa persévérance et sa manière de gérer les obstacles avant, pendant et après l’action de formation (Wagener, 2018)</w:t>
      </w:r>
      <w:r w:rsidRPr="00630189">
        <w:rPr>
          <w:rFonts w:eastAsia="Calibri"/>
          <w:sz w:val="24"/>
          <w:szCs w:val="24"/>
        </w:rPr>
        <w:t xml:space="preserve">.  </w:t>
      </w:r>
    </w:p>
    <w:p w14:paraId="473E5E27" w14:textId="77777777" w:rsidR="00D80693" w:rsidRPr="00630189" w:rsidRDefault="00D80693" w:rsidP="00102D91">
      <w:pPr>
        <w:pStyle w:val="Paragraphedeliste"/>
        <w:widowControl/>
        <w:numPr>
          <w:ilvl w:val="1"/>
          <w:numId w:val="166"/>
        </w:numPr>
        <w:autoSpaceDE/>
        <w:autoSpaceDN/>
        <w:spacing w:after="160"/>
        <w:rPr>
          <w:rFonts w:eastAsia="Calibri"/>
          <w:b/>
          <w:bCs/>
          <w:sz w:val="24"/>
          <w:szCs w:val="24"/>
        </w:rPr>
      </w:pPr>
      <w:r w:rsidRPr="00630189">
        <w:rPr>
          <w:rFonts w:eastAsia="Calibri"/>
          <w:b/>
          <w:bCs/>
          <w:sz w:val="24"/>
          <w:szCs w:val="24"/>
        </w:rPr>
        <w:t xml:space="preserve">Méthodologie </w:t>
      </w:r>
    </w:p>
    <w:p w14:paraId="3EAEE3C5" w14:textId="26CBCDF5" w:rsidR="00D80693" w:rsidRPr="00FD7BCB" w:rsidRDefault="00D80693" w:rsidP="00102D91">
      <w:pPr>
        <w:spacing w:before="120"/>
        <w:jc w:val="both"/>
        <w:rPr>
          <w:rFonts w:eastAsia="Calibri"/>
          <w:sz w:val="24"/>
          <w:szCs w:val="24"/>
        </w:rPr>
      </w:pPr>
      <w:r w:rsidRPr="00FD7BCB">
        <w:rPr>
          <w:rFonts w:eastAsia="Calibri"/>
          <w:sz w:val="24"/>
          <w:szCs w:val="24"/>
        </w:rPr>
        <w:t xml:space="preserve">L’enquête s’est déroulée dans six régions du Burkina Faso (Kadiogo, Nando, </w:t>
      </w:r>
      <w:proofErr w:type="spellStart"/>
      <w:r w:rsidRPr="00FD7BCB">
        <w:rPr>
          <w:rFonts w:eastAsia="Calibri"/>
          <w:sz w:val="24"/>
          <w:szCs w:val="24"/>
        </w:rPr>
        <w:t>Nakambé</w:t>
      </w:r>
      <w:proofErr w:type="spellEnd"/>
      <w:r w:rsidRPr="00FD7BCB">
        <w:rPr>
          <w:rFonts w:eastAsia="Calibri"/>
          <w:sz w:val="24"/>
          <w:szCs w:val="24"/>
        </w:rPr>
        <w:t xml:space="preserve">, Guirko, Oubri et </w:t>
      </w:r>
      <w:proofErr w:type="spellStart"/>
      <w:r w:rsidRPr="00FD7BCB">
        <w:rPr>
          <w:rFonts w:eastAsia="Calibri"/>
          <w:sz w:val="24"/>
          <w:szCs w:val="24"/>
        </w:rPr>
        <w:t>Yaadga</w:t>
      </w:r>
      <w:proofErr w:type="spellEnd"/>
      <w:r w:rsidRPr="00FD7BCB">
        <w:rPr>
          <w:rFonts w:eastAsia="Calibri"/>
          <w:sz w:val="24"/>
          <w:szCs w:val="24"/>
        </w:rPr>
        <w:t>), que nous avons choisies sur la base de certains critères tels que le taux d’alphabétisation des adultes par région, la répartition en pourcentage des centres d’alphabétisation par région et la répartition en pourcentage des adultes déclarés alphabétisés par région (</w:t>
      </w:r>
      <w:proofErr w:type="gramStart"/>
      <w:r w:rsidRPr="00FD7BCB">
        <w:rPr>
          <w:rFonts w:eastAsia="Calibri"/>
          <w:sz w:val="24"/>
          <w:szCs w:val="24"/>
        </w:rPr>
        <w:t>Ministère de l’Éducation</w:t>
      </w:r>
      <w:proofErr w:type="gramEnd"/>
      <w:r w:rsidRPr="00FD7BCB">
        <w:rPr>
          <w:rFonts w:eastAsia="Calibri"/>
          <w:sz w:val="24"/>
          <w:szCs w:val="24"/>
        </w:rPr>
        <w:t xml:space="preserve"> Nationale et de la Promotion des Langues Nationales, 2024). La population de notre recherche est constituée d’acteurs principaux et secondaires.  Les acteurs principaux concernent les adultes âgées de plus de 15 ans car l’adulte au Burkina Faso est une personne qui a au moins 16 ans selon la Loi d’Orientation de l’Éducation (LOE) selon l’Assemblée </w:t>
      </w:r>
      <w:proofErr w:type="gramStart"/>
      <w:r w:rsidRPr="00FD7BCB">
        <w:rPr>
          <w:rFonts w:eastAsia="Calibri"/>
          <w:sz w:val="24"/>
          <w:szCs w:val="24"/>
        </w:rPr>
        <w:t>Nationale</w:t>
      </w:r>
      <w:proofErr w:type="gramEnd"/>
      <w:r w:rsidRPr="00FD7BCB">
        <w:rPr>
          <w:rFonts w:eastAsia="Calibri"/>
          <w:sz w:val="24"/>
          <w:szCs w:val="24"/>
        </w:rPr>
        <w:t xml:space="preserve"> (2007). Les acteurs secondaires concernent les acteurs de l’éducation non formelle (ENF) du Burkina Faso. La recherche est descriptive et analytique de type quantitatif. Dans le cadre de cette recherche, nous avons opté pour une technique d’échantillonnage non probabiliste c’est-à-dire un échantillonnage raisonné car cette technique permettra d’avoir des informations riches et approfondies.  La technique échantillonnage raisonné consiste à sélectionner des sujets qui possèdent des caractéristiques spécifiques ou des expériences pertinentes pour l'étude. L'objectif est d'obtenir des informations riches et diversifiées. Ainsi, nous procédons en premier lieu à un choix de deux (2) Centres Permanents d’Alphabétisation et de Formation (CPAF) des Adultes </w:t>
      </w:r>
      <w:proofErr w:type="spellStart"/>
      <w:r w:rsidR="00102D91" w:rsidRPr="00102D91">
        <w:rPr>
          <w:rFonts w:eastAsia="Calibri"/>
          <w:i/>
          <w:iCs/>
          <w:sz w:val="24"/>
          <w:szCs w:val="24"/>
        </w:rPr>
        <w:t>Reflect</w:t>
      </w:r>
      <w:proofErr w:type="spellEnd"/>
      <w:r w:rsidRPr="00FD7BCB">
        <w:rPr>
          <w:rFonts w:eastAsia="Calibri"/>
          <w:sz w:val="24"/>
          <w:szCs w:val="24"/>
        </w:rPr>
        <w:t xml:space="preserve"> d’opérateurs différents dans les chefs-lieux des régions. En cas d’absence de centre </w:t>
      </w:r>
      <w:proofErr w:type="spellStart"/>
      <w:r w:rsidR="00102D91" w:rsidRPr="00102D91">
        <w:rPr>
          <w:rFonts w:eastAsia="Calibri"/>
          <w:i/>
          <w:iCs/>
          <w:sz w:val="24"/>
          <w:szCs w:val="24"/>
        </w:rPr>
        <w:t>Reflect</w:t>
      </w:r>
      <w:proofErr w:type="spellEnd"/>
      <w:r w:rsidRPr="00FD7BCB">
        <w:rPr>
          <w:rFonts w:eastAsia="Calibri"/>
          <w:sz w:val="24"/>
          <w:szCs w:val="24"/>
        </w:rPr>
        <w:t xml:space="preserve"> dans le chef-lieu de la région, nous choisissons une autre province de la même région. Ce choix est opéré en fonction des critères suivants : </w:t>
      </w:r>
    </w:p>
    <w:p w14:paraId="5664E218" w14:textId="7641321E" w:rsidR="00D80693" w:rsidRPr="00102D91" w:rsidRDefault="00D80693" w:rsidP="00102D91">
      <w:pPr>
        <w:pStyle w:val="Paragraphedeliste"/>
        <w:numPr>
          <w:ilvl w:val="0"/>
          <w:numId w:val="225"/>
        </w:numPr>
        <w:rPr>
          <w:rFonts w:eastAsia="Calibri"/>
          <w:sz w:val="24"/>
          <w:szCs w:val="24"/>
        </w:rPr>
      </w:pPr>
      <w:r w:rsidRPr="00102D91">
        <w:rPr>
          <w:rFonts w:eastAsia="Calibri"/>
          <w:sz w:val="24"/>
          <w:szCs w:val="24"/>
        </w:rPr>
        <w:t>L’accessibilité du Centre Permanent d’Alphabétisation et de Formation (CPAF) des Adultes ;</w:t>
      </w:r>
    </w:p>
    <w:p w14:paraId="77429146" w14:textId="03244E32" w:rsidR="00D80693" w:rsidRPr="00102D91" w:rsidRDefault="00D80693" w:rsidP="00102D91">
      <w:pPr>
        <w:pStyle w:val="Paragraphedeliste"/>
        <w:numPr>
          <w:ilvl w:val="0"/>
          <w:numId w:val="225"/>
        </w:numPr>
        <w:rPr>
          <w:rFonts w:eastAsia="Calibri"/>
          <w:sz w:val="24"/>
          <w:szCs w:val="24"/>
        </w:rPr>
      </w:pPr>
      <w:r w:rsidRPr="00102D91">
        <w:rPr>
          <w:rFonts w:eastAsia="Calibri"/>
          <w:sz w:val="24"/>
          <w:szCs w:val="24"/>
        </w:rPr>
        <w:t>Le nombre d'auditeurs du centre. Nous retenons les centres ayant au moins 10 apprenants ;</w:t>
      </w:r>
    </w:p>
    <w:p w14:paraId="4FCC3379" w14:textId="2987D1DD" w:rsidR="00D80693" w:rsidRPr="00102D91" w:rsidRDefault="00D80693" w:rsidP="00102D91">
      <w:pPr>
        <w:pStyle w:val="Paragraphedeliste"/>
        <w:numPr>
          <w:ilvl w:val="0"/>
          <w:numId w:val="225"/>
        </w:numPr>
        <w:rPr>
          <w:rFonts w:eastAsia="Calibri"/>
          <w:sz w:val="24"/>
          <w:szCs w:val="24"/>
        </w:rPr>
      </w:pPr>
      <w:r w:rsidRPr="00102D91">
        <w:rPr>
          <w:rFonts w:eastAsia="Calibri"/>
          <w:sz w:val="24"/>
          <w:szCs w:val="24"/>
        </w:rPr>
        <w:t>Le nombre d’années d’existence du centre d’alphabétisation. Nous retenons les centres ayant au moins trois ans d’existence, c’est-à-dire, les centres qui ont déjà eu à alphabétiser et former un groupe d’apprenants ;</w:t>
      </w:r>
    </w:p>
    <w:p w14:paraId="67DF8B56" w14:textId="1433A5A7" w:rsidR="00D80693" w:rsidRPr="00102D91" w:rsidRDefault="00D80693" w:rsidP="00102D91">
      <w:pPr>
        <w:pStyle w:val="Paragraphedeliste"/>
        <w:numPr>
          <w:ilvl w:val="0"/>
          <w:numId w:val="225"/>
        </w:numPr>
        <w:rPr>
          <w:rFonts w:eastAsia="Calibri"/>
          <w:sz w:val="24"/>
          <w:szCs w:val="24"/>
        </w:rPr>
      </w:pPr>
      <w:r w:rsidRPr="00102D91">
        <w:rPr>
          <w:rFonts w:eastAsia="Calibri"/>
          <w:sz w:val="24"/>
          <w:szCs w:val="24"/>
        </w:rPr>
        <w:t xml:space="preserve">L’approche adoptée par le centre. Nous retenons les centres qui utilisent la formule </w:t>
      </w:r>
      <w:proofErr w:type="spellStart"/>
      <w:r w:rsidR="00102D91" w:rsidRPr="00102D91">
        <w:rPr>
          <w:rFonts w:eastAsia="Calibri"/>
          <w:i/>
          <w:iCs/>
          <w:sz w:val="24"/>
          <w:szCs w:val="24"/>
        </w:rPr>
        <w:t>Reflect</w:t>
      </w:r>
      <w:proofErr w:type="spellEnd"/>
      <w:r w:rsidRPr="00102D91">
        <w:rPr>
          <w:rFonts w:eastAsia="Calibri"/>
          <w:sz w:val="24"/>
          <w:szCs w:val="24"/>
        </w:rPr>
        <w:t xml:space="preserve"> dans le cadre de la formation de leurs apprenants. </w:t>
      </w:r>
    </w:p>
    <w:p w14:paraId="05F14F0B" w14:textId="77777777" w:rsidR="00D80693" w:rsidRPr="00FD7BCB" w:rsidRDefault="00D80693" w:rsidP="00102D91">
      <w:pPr>
        <w:spacing w:before="120"/>
        <w:jc w:val="both"/>
        <w:rPr>
          <w:rFonts w:eastAsia="Calibri"/>
          <w:sz w:val="24"/>
          <w:szCs w:val="24"/>
        </w:rPr>
      </w:pPr>
      <w:r w:rsidRPr="00FD7BCB">
        <w:rPr>
          <w:rFonts w:eastAsia="Calibri"/>
          <w:sz w:val="24"/>
          <w:szCs w:val="24"/>
        </w:rPr>
        <w:t>Les acteurs de notre recherche proviennent des services d’encadrement et d’accompagnement au sein des centres, ainsi que des directions provinciales du MEBAPLN sélectionnées pour la conduite de l’étude.</w:t>
      </w:r>
    </w:p>
    <w:p w14:paraId="15720296" w14:textId="77777777" w:rsidR="00D80693" w:rsidRPr="00FD7BCB" w:rsidRDefault="00D80693" w:rsidP="00102D91">
      <w:pPr>
        <w:spacing w:before="120"/>
        <w:jc w:val="both"/>
        <w:rPr>
          <w:rFonts w:eastAsia="Calibri"/>
          <w:sz w:val="24"/>
          <w:szCs w:val="24"/>
        </w:rPr>
      </w:pPr>
      <w:r w:rsidRPr="00FD7BCB">
        <w:rPr>
          <w:rFonts w:eastAsia="Calibri"/>
          <w:sz w:val="24"/>
          <w:szCs w:val="24"/>
        </w:rPr>
        <w:t>Par ailleurs, le choix des centres retenus pour les enquêtes de terrain résulte de plusieurs échanges avec les Directeurs Provinciaux du MEBAPLN et le Directeur Exécutif National de l’APENF. Ces discussions ont permis d’exprimer le souhait de mener les travaux dans des centres répondant aux critères mentionnés ci-dessus.</w:t>
      </w:r>
    </w:p>
    <w:p w14:paraId="51D9E0B3" w14:textId="17FB5092" w:rsidR="00D80693" w:rsidRPr="00796136" w:rsidRDefault="00D80693" w:rsidP="00102D91">
      <w:pPr>
        <w:spacing w:before="120"/>
        <w:jc w:val="both"/>
        <w:rPr>
          <w:rFonts w:eastAsia="Calibri"/>
          <w:sz w:val="24"/>
          <w:szCs w:val="24"/>
        </w:rPr>
      </w:pPr>
      <w:r w:rsidRPr="00FD7BCB">
        <w:rPr>
          <w:rFonts w:eastAsia="Calibri"/>
          <w:sz w:val="24"/>
          <w:szCs w:val="24"/>
        </w:rPr>
        <w:t xml:space="preserve"> La taille de l'échantillon est de deux cent vingt-trois (223) sujets répartis comme suit : cent dix-sept (117) adultes alphabétisés </w:t>
      </w:r>
      <w:proofErr w:type="spellStart"/>
      <w:r w:rsidR="00102D91" w:rsidRPr="00102D91">
        <w:rPr>
          <w:rFonts w:eastAsia="Calibri"/>
          <w:i/>
          <w:iCs/>
          <w:sz w:val="24"/>
          <w:szCs w:val="24"/>
        </w:rPr>
        <w:t>Reflect</w:t>
      </w:r>
      <w:proofErr w:type="spellEnd"/>
      <w:r w:rsidRPr="00FD7BCB">
        <w:rPr>
          <w:rFonts w:eastAsia="Calibri"/>
          <w:sz w:val="24"/>
          <w:szCs w:val="24"/>
        </w:rPr>
        <w:t xml:space="preserve">, cent six (106) acteurs de l’éducation non formelle à enquêter à travers en questionnaire physique ou en ligne. Cette taille est estimée en fonction des outils de traitement des données utilisés qui requièrent un minimum de cent (100) sujets par catégorie d’acteurs. Nous avons collecté des informations sur la base </w:t>
      </w:r>
      <w:r>
        <w:rPr>
          <w:rFonts w:eastAsia="Calibri"/>
          <w:sz w:val="24"/>
          <w:szCs w:val="24"/>
        </w:rPr>
        <w:t xml:space="preserve">de la recherche documentaire et de </w:t>
      </w:r>
      <w:r w:rsidRPr="00796136">
        <w:rPr>
          <w:rFonts w:eastAsia="Calibri"/>
          <w:sz w:val="24"/>
          <w:szCs w:val="24"/>
        </w:rPr>
        <w:t>deux questionnaires distincts :</w:t>
      </w:r>
    </w:p>
    <w:p w14:paraId="2E8E1350" w14:textId="1942C351" w:rsidR="00D80693" w:rsidRDefault="00D80693" w:rsidP="00102D91">
      <w:pPr>
        <w:pStyle w:val="Paragraphedeliste"/>
        <w:widowControl/>
        <w:numPr>
          <w:ilvl w:val="0"/>
          <w:numId w:val="167"/>
        </w:numPr>
        <w:autoSpaceDE/>
        <w:autoSpaceDN/>
        <w:rPr>
          <w:rFonts w:eastAsia="Calibri"/>
          <w:sz w:val="24"/>
          <w:szCs w:val="24"/>
        </w:rPr>
      </w:pPr>
      <w:r w:rsidRPr="008A039E">
        <w:rPr>
          <w:rFonts w:eastAsia="Calibri"/>
          <w:sz w:val="24"/>
          <w:szCs w:val="24"/>
        </w:rPr>
        <w:t xml:space="preserve">Un questionnaire destiné aux adultes alphabétisés </w:t>
      </w:r>
      <w:proofErr w:type="spellStart"/>
      <w:r w:rsidR="00102D91" w:rsidRPr="00102D91">
        <w:rPr>
          <w:rFonts w:eastAsia="Calibri"/>
          <w:i/>
          <w:iCs/>
          <w:sz w:val="24"/>
          <w:szCs w:val="24"/>
        </w:rPr>
        <w:t>Reflect</w:t>
      </w:r>
      <w:proofErr w:type="spellEnd"/>
      <w:r w:rsidRPr="008A039E">
        <w:rPr>
          <w:rFonts w:eastAsia="Calibri"/>
          <w:sz w:val="24"/>
          <w:szCs w:val="24"/>
        </w:rPr>
        <w:t xml:space="preserve"> : il comprend cinq parties. La première partie concerne l’identification de l’enquêteur et les informations sur le lieu de l’enquête. La deuxième partie concerne l’effet de l’alphabétisation </w:t>
      </w:r>
      <w:proofErr w:type="spellStart"/>
      <w:r w:rsidR="00102D91" w:rsidRPr="00102D91">
        <w:rPr>
          <w:rFonts w:eastAsia="Calibri"/>
          <w:i/>
          <w:iCs/>
          <w:sz w:val="24"/>
          <w:szCs w:val="24"/>
        </w:rPr>
        <w:t>Reflect</w:t>
      </w:r>
      <w:proofErr w:type="spellEnd"/>
      <w:r w:rsidRPr="008A039E">
        <w:rPr>
          <w:rFonts w:eastAsia="Calibri"/>
          <w:sz w:val="24"/>
          <w:szCs w:val="24"/>
        </w:rPr>
        <w:t xml:space="preserve"> sur le vécu social de l’adulte. La troisième partie porte sur l’effet de l’alphabétisation </w:t>
      </w:r>
      <w:proofErr w:type="spellStart"/>
      <w:r w:rsidR="00102D91" w:rsidRPr="00102D91">
        <w:rPr>
          <w:rFonts w:eastAsia="Calibri"/>
          <w:i/>
          <w:iCs/>
          <w:sz w:val="24"/>
          <w:szCs w:val="24"/>
        </w:rPr>
        <w:t>Reflect</w:t>
      </w:r>
      <w:proofErr w:type="spellEnd"/>
      <w:r w:rsidRPr="008A039E">
        <w:rPr>
          <w:rFonts w:eastAsia="Calibri"/>
          <w:sz w:val="24"/>
          <w:szCs w:val="24"/>
        </w:rPr>
        <w:t xml:space="preserve"> sur le vécu professionnel de l’adulte. La quatrième partie est consacrée aux questions sur l’effet de l’alphabétisation </w:t>
      </w:r>
      <w:proofErr w:type="spellStart"/>
      <w:r w:rsidR="00102D91" w:rsidRPr="00102D91">
        <w:rPr>
          <w:rFonts w:eastAsia="Calibri"/>
          <w:i/>
          <w:iCs/>
          <w:sz w:val="24"/>
          <w:szCs w:val="24"/>
        </w:rPr>
        <w:t>Reflect</w:t>
      </w:r>
      <w:proofErr w:type="spellEnd"/>
      <w:r w:rsidRPr="008A039E">
        <w:rPr>
          <w:rFonts w:eastAsia="Calibri"/>
          <w:sz w:val="24"/>
          <w:szCs w:val="24"/>
        </w:rPr>
        <w:t xml:space="preserve"> sur le vécu économique de l’adulte et enfin, la dernière partie concerne des questions d’ordres généraux. Le questionnaire adopté est de type mixte. Il comporte des questions fermées à choix dichotomique (oui/non), ainsi que des questions ouvertes laissant au répondant la liberté d’exprimer ses réponses selon ses opinions personnelles.</w:t>
      </w:r>
    </w:p>
    <w:p w14:paraId="1B87A733" w14:textId="4177B047" w:rsidR="00D80693" w:rsidRPr="008A039E" w:rsidRDefault="00D80693" w:rsidP="00102D91">
      <w:pPr>
        <w:pStyle w:val="Paragraphedeliste"/>
        <w:widowControl/>
        <w:numPr>
          <w:ilvl w:val="0"/>
          <w:numId w:val="167"/>
        </w:numPr>
        <w:autoSpaceDE/>
        <w:autoSpaceDN/>
        <w:rPr>
          <w:rFonts w:eastAsia="Calibri"/>
          <w:sz w:val="24"/>
          <w:szCs w:val="24"/>
        </w:rPr>
      </w:pPr>
      <w:r w:rsidRPr="008A039E">
        <w:rPr>
          <w:rFonts w:eastAsia="Calibri"/>
          <w:sz w:val="24"/>
          <w:szCs w:val="24"/>
        </w:rPr>
        <w:t xml:space="preserve">Un questionnaire destiné aux acteurs de l’éducation non formelle. : il comprend également cinq parties et structuré de la même manière que celle du questionnaire destiné aux adultes alphabétisés </w:t>
      </w:r>
      <w:proofErr w:type="spellStart"/>
      <w:r w:rsidR="00102D91" w:rsidRPr="00102D91">
        <w:rPr>
          <w:rFonts w:eastAsia="Calibri"/>
          <w:i/>
          <w:iCs/>
          <w:sz w:val="24"/>
          <w:szCs w:val="24"/>
        </w:rPr>
        <w:t>Reflect</w:t>
      </w:r>
      <w:proofErr w:type="spellEnd"/>
      <w:r w:rsidRPr="008A039E">
        <w:rPr>
          <w:rFonts w:eastAsia="Calibri"/>
          <w:sz w:val="24"/>
          <w:szCs w:val="24"/>
        </w:rPr>
        <w:t xml:space="preserve">, c’est-à-dire que les parties portent sur les mêmes contenus. </w:t>
      </w:r>
    </w:p>
    <w:p w14:paraId="3E261FC7" w14:textId="77777777" w:rsidR="00D80693" w:rsidRPr="00630189" w:rsidRDefault="00D80693" w:rsidP="00102D91">
      <w:pPr>
        <w:spacing w:before="120"/>
        <w:jc w:val="both"/>
        <w:rPr>
          <w:rFonts w:eastAsia="Calibri"/>
          <w:sz w:val="24"/>
          <w:szCs w:val="24"/>
        </w:rPr>
      </w:pPr>
      <w:r w:rsidRPr="00FD7BCB">
        <w:rPr>
          <w:rFonts w:eastAsia="Calibri"/>
          <w:sz w:val="24"/>
          <w:szCs w:val="24"/>
        </w:rPr>
        <w:t xml:space="preserve">Le traitement des données a nécessité l’usage de moyens informatiques. La méthode de traitement des données collectées a consisté à la saisie, au regroupement, au classement, à la catégorisation et au codage. Nous avons utilisé le logiciel Open office 2016 pour la saisie, le codage des données à travers le tableur Excel, les logiciels IBM SPSS </w:t>
      </w:r>
      <w:proofErr w:type="spellStart"/>
      <w:r w:rsidRPr="00FD7BCB">
        <w:rPr>
          <w:rFonts w:eastAsia="Calibri"/>
          <w:sz w:val="24"/>
          <w:szCs w:val="24"/>
        </w:rPr>
        <w:t>Statistics</w:t>
      </w:r>
      <w:proofErr w:type="spellEnd"/>
      <w:r w:rsidRPr="00FD7BCB">
        <w:rPr>
          <w:rFonts w:eastAsia="Calibri"/>
          <w:sz w:val="24"/>
          <w:szCs w:val="24"/>
        </w:rPr>
        <w:t xml:space="preserve"> 25, Evo2005 et Simi2005 pour le traitement des données collectées à base des questionnaires.</w:t>
      </w:r>
      <w:r w:rsidRPr="00630189">
        <w:rPr>
          <w:rFonts w:eastAsia="Calibri"/>
          <w:sz w:val="24"/>
          <w:szCs w:val="24"/>
        </w:rPr>
        <w:t xml:space="preserve"> </w:t>
      </w:r>
    </w:p>
    <w:p w14:paraId="579DDD5F" w14:textId="77777777" w:rsidR="00D80693" w:rsidRDefault="00D80693" w:rsidP="00102D91">
      <w:pPr>
        <w:widowControl/>
        <w:numPr>
          <w:ilvl w:val="0"/>
          <w:numId w:val="166"/>
        </w:numPr>
        <w:tabs>
          <w:tab w:val="center" w:pos="4513"/>
          <w:tab w:val="right" w:pos="9026"/>
        </w:tabs>
        <w:autoSpaceDE/>
        <w:autoSpaceDN/>
        <w:spacing w:before="120"/>
        <w:jc w:val="both"/>
        <w:rPr>
          <w:b/>
          <w:sz w:val="28"/>
          <w:szCs w:val="28"/>
        </w:rPr>
      </w:pPr>
      <w:r w:rsidRPr="0038359F">
        <w:rPr>
          <w:b/>
          <w:sz w:val="28"/>
          <w:szCs w:val="28"/>
        </w:rPr>
        <w:t>Résultats</w:t>
      </w:r>
    </w:p>
    <w:p w14:paraId="5E427BAC" w14:textId="77777777" w:rsidR="00D80693" w:rsidRPr="00DC69E8" w:rsidRDefault="00D80693" w:rsidP="00102D91">
      <w:pPr>
        <w:tabs>
          <w:tab w:val="center" w:pos="4513"/>
          <w:tab w:val="right" w:pos="9026"/>
        </w:tabs>
        <w:spacing w:before="120"/>
        <w:jc w:val="both"/>
        <w:rPr>
          <w:bCs/>
          <w:sz w:val="24"/>
          <w:szCs w:val="24"/>
        </w:rPr>
      </w:pPr>
      <w:r w:rsidRPr="00DC69E8">
        <w:rPr>
          <w:bCs/>
          <w:sz w:val="24"/>
          <w:szCs w:val="24"/>
        </w:rPr>
        <w:t>Les résultats seront présentés selon les différentes catégories de la population étudiée.</w:t>
      </w:r>
      <w:r w:rsidRPr="00A801B4">
        <w:rPr>
          <w:rFonts w:eastAsia="Calibri"/>
          <w:i/>
          <w:sz w:val="24"/>
          <w:szCs w:val="24"/>
        </w:rPr>
        <w:t xml:space="preserve"> </w:t>
      </w:r>
    </w:p>
    <w:p w14:paraId="378F607C" w14:textId="77777777" w:rsidR="00D80693" w:rsidRPr="00DC69E8" w:rsidRDefault="00D80693" w:rsidP="00102D91">
      <w:pPr>
        <w:pStyle w:val="Paragraphedeliste"/>
        <w:widowControl/>
        <w:numPr>
          <w:ilvl w:val="1"/>
          <w:numId w:val="166"/>
        </w:numPr>
        <w:autoSpaceDE/>
        <w:autoSpaceDN/>
        <w:spacing w:after="160"/>
        <w:rPr>
          <w:rFonts w:eastAsia="Calibri"/>
          <w:b/>
          <w:bCs/>
          <w:iCs/>
          <w:sz w:val="24"/>
          <w:szCs w:val="24"/>
        </w:rPr>
      </w:pPr>
      <w:r w:rsidRPr="00DC69E8">
        <w:rPr>
          <w:rFonts w:eastAsia="Calibri"/>
          <w:b/>
          <w:bCs/>
          <w:iCs/>
          <w:sz w:val="24"/>
          <w:szCs w:val="24"/>
        </w:rPr>
        <w:t xml:space="preserve"> Synthèse des résultats obtenus auprès des adultes alphabétisés (2A)</w:t>
      </w:r>
    </w:p>
    <w:p w14:paraId="12753736" w14:textId="77777777" w:rsidR="00D80693" w:rsidRPr="00A801B4" w:rsidRDefault="00D80693" w:rsidP="00102D91">
      <w:pPr>
        <w:spacing w:before="120"/>
        <w:jc w:val="both"/>
        <w:rPr>
          <w:rFonts w:eastAsia="Calibri"/>
          <w:sz w:val="24"/>
          <w:szCs w:val="24"/>
        </w:rPr>
      </w:pPr>
      <w:r w:rsidRPr="00A801B4">
        <w:rPr>
          <w:rFonts w:eastAsia="Calibri"/>
          <w:iCs/>
          <w:sz w:val="24"/>
          <w:szCs w:val="24"/>
        </w:rPr>
        <w:t>À travers les libres opinions recueillies auprès des adultes alphabétisés (2A), leur alphabétisation a amélioré leur vécu économique à plusieurs niveaux, notamment, l’amélioration du revenu, la pratique de la comptabilité simplifiée et l’épargne, l’amélioration la qualité du logement et l’amélioration du moyen de déplacement</w:t>
      </w:r>
      <w:r w:rsidRPr="00A801B4">
        <w:rPr>
          <w:rFonts w:eastAsia="Calibri"/>
          <w:sz w:val="24"/>
          <w:szCs w:val="24"/>
        </w:rPr>
        <w:t>.</w:t>
      </w:r>
    </w:p>
    <w:p w14:paraId="35D3D501" w14:textId="77777777" w:rsidR="00D80693" w:rsidRPr="00A801B4" w:rsidRDefault="00D80693" w:rsidP="00102D91">
      <w:pPr>
        <w:spacing w:before="120"/>
        <w:jc w:val="both"/>
        <w:rPr>
          <w:rFonts w:eastAsia="Calibri"/>
          <w:sz w:val="24"/>
          <w:szCs w:val="24"/>
        </w:rPr>
      </w:pPr>
      <w:r w:rsidRPr="00A801B4">
        <w:rPr>
          <w:rFonts w:eastAsia="Calibri"/>
          <w:sz w:val="24"/>
          <w:szCs w:val="24"/>
        </w:rPr>
        <w:t>L</w:t>
      </w:r>
      <w:r w:rsidRPr="00A801B4">
        <w:rPr>
          <w:rFonts w:eastAsia="Calibri"/>
          <w:iCs/>
          <w:sz w:val="24"/>
          <w:szCs w:val="24"/>
        </w:rPr>
        <w:t>es graphiques obtenus à travers les échelles d’opinions ci-dessous montrent que l’alphabétisation améliore le vécu économique des 2A</w:t>
      </w:r>
      <w:r w:rsidRPr="00A801B4">
        <w:rPr>
          <w:rFonts w:eastAsia="Calibri"/>
          <w:sz w:val="24"/>
          <w:szCs w:val="24"/>
        </w:rPr>
        <w:t xml:space="preserve"> : </w:t>
      </w:r>
    </w:p>
    <w:p w14:paraId="1A9F5EA8" w14:textId="77777777" w:rsidR="00D80693" w:rsidRPr="00A801B4" w:rsidRDefault="00D80693" w:rsidP="00102D91">
      <w:pPr>
        <w:spacing w:before="120"/>
        <w:jc w:val="both"/>
        <w:rPr>
          <w:rFonts w:eastAsia="Calibri"/>
          <w:sz w:val="24"/>
          <w:szCs w:val="24"/>
        </w:rPr>
      </w:pPr>
    </w:p>
    <w:p w14:paraId="6EFF1DF5" w14:textId="77777777" w:rsidR="00D80693" w:rsidRPr="00A801B4" w:rsidRDefault="00D80693" w:rsidP="00102D91">
      <w:pPr>
        <w:adjustRightInd w:val="0"/>
        <w:spacing w:before="120"/>
        <w:jc w:val="center"/>
        <w:rPr>
          <w:rFonts w:eastAsia="Calibri"/>
          <w:sz w:val="24"/>
          <w:szCs w:val="24"/>
          <w:lang w:val="en-US"/>
        </w:rPr>
      </w:pPr>
      <w:r w:rsidRPr="00A801B4">
        <w:rPr>
          <w:rFonts w:eastAsia="Calibri"/>
          <w:noProof/>
          <w:sz w:val="24"/>
          <w:szCs w:val="24"/>
          <w:lang w:val="fr-SN" w:eastAsia="fr-SN"/>
        </w:rPr>
        <w:drawing>
          <wp:inline distT="0" distB="0" distL="0" distR="0" wp14:anchorId="7BDDBD9D" wp14:editId="221F372D">
            <wp:extent cx="3958590" cy="1943100"/>
            <wp:effectExtent l="0" t="0" r="3810" b="0"/>
            <wp:docPr id="1408378360" name="Image 140837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78360" name="Picture 13"/>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010334" cy="1968499"/>
                    </a:xfrm>
                    <a:prstGeom prst="rect">
                      <a:avLst/>
                    </a:prstGeom>
                    <a:noFill/>
                    <a:ln>
                      <a:noFill/>
                    </a:ln>
                  </pic:spPr>
                </pic:pic>
              </a:graphicData>
            </a:graphic>
          </wp:inline>
        </w:drawing>
      </w:r>
    </w:p>
    <w:p w14:paraId="4C2D326B" w14:textId="77777777" w:rsidR="00D80693" w:rsidRPr="00AC7074" w:rsidRDefault="00D80693" w:rsidP="00102D91">
      <w:pPr>
        <w:spacing w:before="120"/>
        <w:jc w:val="center"/>
        <w:rPr>
          <w:b/>
          <w:i/>
          <w:iCs/>
        </w:rPr>
      </w:pPr>
      <w:bookmarkStart w:id="63" w:name="_Toc196323817"/>
      <w:bookmarkStart w:id="64" w:name="_Toc196402767"/>
      <w:bookmarkStart w:id="65" w:name="_Toc197357889"/>
      <w:bookmarkStart w:id="66" w:name="_Toc198983791"/>
      <w:bookmarkStart w:id="67" w:name="_Toc199753358"/>
      <w:bookmarkStart w:id="68" w:name="_Toc199773988"/>
      <w:bookmarkStart w:id="69" w:name="_Toc199775016"/>
      <w:bookmarkStart w:id="70" w:name="_Toc199947306"/>
      <w:bookmarkStart w:id="71" w:name="_Toc199948671"/>
      <w:bookmarkStart w:id="72" w:name="_Toc200660709"/>
      <w:bookmarkStart w:id="73" w:name="_Toc207584609"/>
      <w:bookmarkStart w:id="74" w:name="_Toc207584962"/>
      <w:bookmarkStart w:id="75" w:name="_Toc207585296"/>
      <w:bookmarkStart w:id="76" w:name="_Toc207687412"/>
      <w:bookmarkStart w:id="77" w:name="_Toc207688852"/>
      <w:r w:rsidRPr="00AC7074">
        <w:rPr>
          <w:rFonts w:eastAsia="Calibri"/>
          <w:b/>
          <w:i/>
          <w:iCs/>
        </w:rPr>
        <w:t>Graphique 1 : Amélioration du revenu des adultes alphabétisés (2A)</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CF41ACB" w14:textId="77777777" w:rsidR="00D80693" w:rsidRPr="00AC7074" w:rsidRDefault="00D80693" w:rsidP="00102D91">
      <w:pPr>
        <w:spacing w:before="120"/>
        <w:jc w:val="center"/>
        <w:rPr>
          <w:rFonts w:eastAsia="Calibri"/>
          <w:b/>
          <w:i/>
          <w:iCs/>
        </w:rPr>
      </w:pPr>
      <w:r w:rsidRPr="00AC7074">
        <w:rPr>
          <w:rFonts w:eastAsia="Calibri"/>
          <w:b/>
          <w:i/>
          <w:iCs/>
        </w:rPr>
        <w:t>Source : Enquête terrain 2024</w:t>
      </w:r>
    </w:p>
    <w:p w14:paraId="3BB4DB7A" w14:textId="77777777" w:rsidR="00D80693" w:rsidRPr="00A801B4" w:rsidRDefault="00D80693" w:rsidP="00102D91">
      <w:pPr>
        <w:spacing w:before="120"/>
        <w:jc w:val="both"/>
        <w:rPr>
          <w:rFonts w:eastAsia="Calibri"/>
          <w:b/>
          <w:sz w:val="24"/>
          <w:szCs w:val="24"/>
        </w:rPr>
      </w:pPr>
    </w:p>
    <w:p w14:paraId="2454A95E" w14:textId="77777777" w:rsidR="00D80693" w:rsidRPr="00A801B4" w:rsidRDefault="00D80693" w:rsidP="00102D91">
      <w:pPr>
        <w:spacing w:before="120"/>
        <w:jc w:val="both"/>
        <w:rPr>
          <w:rFonts w:eastAsia="Calibri"/>
          <w:sz w:val="24"/>
          <w:szCs w:val="24"/>
        </w:rPr>
      </w:pPr>
      <w:r w:rsidRPr="00A801B4">
        <w:rPr>
          <w:rFonts w:eastAsia="Calibri"/>
          <w:sz w:val="24"/>
          <w:szCs w:val="24"/>
        </w:rPr>
        <w:t>Selon ce graphique ci-dessus, les adultes alphabétisés (2A) ont amélioré leur revenu, c’est-à-dire, qu’ils ont augmenté le niveau de leur revenu journalier/mensuel</w:t>
      </w:r>
      <w:r>
        <w:rPr>
          <w:rFonts w:eastAsia="Calibri"/>
          <w:sz w:val="24"/>
          <w:szCs w:val="24"/>
        </w:rPr>
        <w:t xml:space="preserve"> parce qu’ils </w:t>
      </w:r>
      <w:r w:rsidRPr="00A801B4">
        <w:rPr>
          <w:rFonts w:eastAsia="Calibri"/>
          <w:sz w:val="24"/>
          <w:szCs w:val="24"/>
        </w:rPr>
        <w:t xml:space="preserve">sont en mesure </w:t>
      </w:r>
      <w:r>
        <w:rPr>
          <w:rFonts w:eastAsia="Calibri"/>
          <w:sz w:val="24"/>
          <w:szCs w:val="24"/>
        </w:rPr>
        <w:t xml:space="preserve">désormais </w:t>
      </w:r>
      <w:r w:rsidRPr="00A801B4">
        <w:rPr>
          <w:rFonts w:eastAsia="Calibri"/>
          <w:sz w:val="24"/>
          <w:szCs w:val="24"/>
        </w:rPr>
        <w:t>de mieux structurer et gérer leurs activités économiques, ce qui se traduit par une meilleure rentabilité et une diversification des sources de revenus. Par exemple, ils multiplient leur AGR et ils réalisent plus de bénéfice maintenant grâce à la maîtrise du calcul</w:t>
      </w:r>
    </w:p>
    <w:p w14:paraId="5EF25104" w14:textId="77777777" w:rsidR="00D80693" w:rsidRPr="00A801B4" w:rsidRDefault="00D80693" w:rsidP="00102D91">
      <w:pPr>
        <w:adjustRightInd w:val="0"/>
        <w:spacing w:before="120"/>
        <w:jc w:val="center"/>
        <w:rPr>
          <w:rFonts w:eastAsia="Calibri"/>
          <w:sz w:val="24"/>
          <w:szCs w:val="24"/>
          <w:lang w:val="en-US"/>
        </w:rPr>
      </w:pPr>
      <w:r w:rsidRPr="00A801B4">
        <w:rPr>
          <w:rFonts w:eastAsia="Calibri"/>
          <w:noProof/>
          <w:sz w:val="24"/>
          <w:szCs w:val="24"/>
          <w:lang w:val="fr-SN" w:eastAsia="fr-SN"/>
        </w:rPr>
        <w:drawing>
          <wp:inline distT="0" distB="0" distL="0" distR="0" wp14:anchorId="5AA02189" wp14:editId="772ECE56">
            <wp:extent cx="3768463" cy="1866900"/>
            <wp:effectExtent l="0" t="0" r="3810" b="0"/>
            <wp:docPr id="1274949272" name="Image 127494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49272" name="Picture 15"/>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809748" cy="1887353"/>
                    </a:xfrm>
                    <a:prstGeom prst="rect">
                      <a:avLst/>
                    </a:prstGeom>
                    <a:noFill/>
                    <a:ln>
                      <a:noFill/>
                    </a:ln>
                  </pic:spPr>
                </pic:pic>
              </a:graphicData>
            </a:graphic>
          </wp:inline>
        </w:drawing>
      </w:r>
    </w:p>
    <w:p w14:paraId="111AE671" w14:textId="77777777" w:rsidR="00D80693" w:rsidRPr="00AC7074" w:rsidRDefault="00D80693" w:rsidP="00102D91">
      <w:pPr>
        <w:spacing w:before="120"/>
        <w:jc w:val="center"/>
        <w:rPr>
          <w:b/>
          <w:i/>
          <w:iCs/>
        </w:rPr>
      </w:pPr>
      <w:bookmarkStart w:id="78" w:name="_Toc196323818"/>
      <w:bookmarkStart w:id="79" w:name="_Toc196402768"/>
      <w:bookmarkStart w:id="80" w:name="_Toc197357890"/>
      <w:bookmarkStart w:id="81" w:name="_Toc198983792"/>
      <w:bookmarkStart w:id="82" w:name="_Toc199753359"/>
      <w:bookmarkStart w:id="83" w:name="_Toc199773989"/>
      <w:bookmarkStart w:id="84" w:name="_Toc199775017"/>
      <w:bookmarkStart w:id="85" w:name="_Toc199947307"/>
      <w:bookmarkStart w:id="86" w:name="_Toc199948672"/>
      <w:bookmarkStart w:id="87" w:name="_Toc200660710"/>
      <w:bookmarkStart w:id="88" w:name="_Toc207584610"/>
      <w:bookmarkStart w:id="89" w:name="_Toc207584963"/>
      <w:bookmarkStart w:id="90" w:name="_Toc207585297"/>
      <w:bookmarkStart w:id="91" w:name="_Toc207687413"/>
      <w:bookmarkStart w:id="92" w:name="_Toc207688853"/>
      <w:r w:rsidRPr="00AC7074">
        <w:rPr>
          <w:rFonts w:eastAsia="Calibri"/>
          <w:b/>
          <w:i/>
          <w:iCs/>
        </w:rPr>
        <w:t>Graphique 2 : Qualité du logement des adultes alphabétisés (2A)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50072450" w14:textId="77777777" w:rsidR="00D80693" w:rsidRPr="00AC7074" w:rsidRDefault="00D80693" w:rsidP="00102D91">
      <w:pPr>
        <w:spacing w:before="120"/>
        <w:jc w:val="center"/>
        <w:rPr>
          <w:rFonts w:eastAsia="Calibri"/>
          <w:b/>
          <w:i/>
          <w:iCs/>
        </w:rPr>
      </w:pPr>
      <w:r w:rsidRPr="00AC7074">
        <w:rPr>
          <w:rFonts w:eastAsia="Calibri"/>
          <w:b/>
          <w:i/>
          <w:iCs/>
        </w:rPr>
        <w:t>Source : Enquête terrain 2024</w:t>
      </w:r>
    </w:p>
    <w:p w14:paraId="3D08F1CC" w14:textId="77777777" w:rsidR="00D80693" w:rsidRDefault="00D80693" w:rsidP="00102D91">
      <w:pPr>
        <w:spacing w:before="120"/>
        <w:jc w:val="both"/>
        <w:rPr>
          <w:rFonts w:eastAsia="Calibri"/>
          <w:sz w:val="24"/>
          <w:szCs w:val="24"/>
        </w:rPr>
      </w:pPr>
    </w:p>
    <w:p w14:paraId="1B30E5B2" w14:textId="77777777" w:rsidR="00D80693" w:rsidRPr="00A801B4" w:rsidRDefault="00D80693" w:rsidP="00102D91">
      <w:pPr>
        <w:spacing w:before="120"/>
        <w:jc w:val="both"/>
        <w:rPr>
          <w:rFonts w:eastAsia="Calibri"/>
          <w:b/>
          <w:sz w:val="24"/>
          <w:szCs w:val="24"/>
        </w:rPr>
      </w:pPr>
      <w:r w:rsidRPr="00A801B4">
        <w:rPr>
          <w:rFonts w:eastAsia="Calibri"/>
          <w:sz w:val="24"/>
          <w:szCs w:val="24"/>
        </w:rPr>
        <w:t>Ce graphique ci-dessus nous renseigne que les adultes alphabétisés (2A) ont amélioré la qualité de leur logement parce qu’ils ont construit une nouvelle maison (en parpaing ou en banco) ou ils ont changé de domicile plus confortable (loti ou non loti)</w:t>
      </w:r>
      <w:r>
        <w:rPr>
          <w:rFonts w:eastAsia="Calibri"/>
          <w:sz w:val="24"/>
          <w:szCs w:val="24"/>
        </w:rPr>
        <w:t xml:space="preserve"> parce qu’ils </w:t>
      </w:r>
      <w:r w:rsidRPr="009375D1">
        <w:rPr>
          <w:rFonts w:eastAsia="Calibri"/>
          <w:sz w:val="24"/>
          <w:szCs w:val="24"/>
        </w:rPr>
        <w:t xml:space="preserve">investissent </w:t>
      </w:r>
      <w:r>
        <w:rPr>
          <w:rFonts w:eastAsia="Calibri"/>
          <w:sz w:val="24"/>
          <w:szCs w:val="24"/>
        </w:rPr>
        <w:t xml:space="preserve">maintenant </w:t>
      </w:r>
      <w:r w:rsidRPr="009375D1">
        <w:rPr>
          <w:rFonts w:eastAsia="Calibri"/>
          <w:sz w:val="24"/>
          <w:szCs w:val="24"/>
        </w:rPr>
        <w:t>davantage dans des habitats durables, plus salubres et plus confortables.  Par exemple, ils aménagent leur maison et utilisent maintenant des lits et des moustiquaires</w:t>
      </w:r>
      <w:r>
        <w:rPr>
          <w:rFonts w:eastAsia="Calibri"/>
          <w:sz w:val="24"/>
          <w:szCs w:val="24"/>
        </w:rPr>
        <w:t>.</w:t>
      </w:r>
    </w:p>
    <w:p w14:paraId="3DE89530" w14:textId="77777777" w:rsidR="00D80693" w:rsidRPr="00A801B4" w:rsidRDefault="00D80693" w:rsidP="00102D91">
      <w:pPr>
        <w:spacing w:before="120"/>
        <w:jc w:val="both"/>
        <w:rPr>
          <w:rFonts w:eastAsia="Calibri"/>
          <w:sz w:val="24"/>
          <w:szCs w:val="24"/>
        </w:rPr>
      </w:pPr>
    </w:p>
    <w:p w14:paraId="1EB01CC5" w14:textId="77777777" w:rsidR="00D80693" w:rsidRPr="00A801B4" w:rsidRDefault="00D80693" w:rsidP="00102D91">
      <w:pPr>
        <w:spacing w:before="120"/>
        <w:jc w:val="both"/>
        <w:rPr>
          <w:rFonts w:eastAsia="Calibri"/>
          <w:sz w:val="24"/>
          <w:szCs w:val="24"/>
        </w:rPr>
      </w:pPr>
    </w:p>
    <w:p w14:paraId="654C6C3C" w14:textId="77777777" w:rsidR="00D80693" w:rsidRPr="00A801B4" w:rsidRDefault="00D80693" w:rsidP="00102D91">
      <w:pPr>
        <w:adjustRightInd w:val="0"/>
        <w:spacing w:before="120"/>
        <w:jc w:val="center"/>
        <w:rPr>
          <w:rFonts w:eastAsia="Calibri"/>
          <w:sz w:val="24"/>
          <w:szCs w:val="24"/>
          <w:lang w:val="en-US"/>
        </w:rPr>
      </w:pPr>
      <w:r w:rsidRPr="00A801B4">
        <w:rPr>
          <w:rFonts w:eastAsia="Calibri"/>
          <w:noProof/>
          <w:sz w:val="24"/>
          <w:szCs w:val="24"/>
          <w:lang w:val="fr-SN" w:eastAsia="fr-SN"/>
        </w:rPr>
        <w:drawing>
          <wp:inline distT="0" distB="0" distL="0" distR="0" wp14:anchorId="6BFD5E9B" wp14:editId="74936CCD">
            <wp:extent cx="3614420" cy="1973580"/>
            <wp:effectExtent l="0" t="0" r="5080" b="7620"/>
            <wp:docPr id="1664743321" name="Image 1664743321"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3321" name="Image 1664743321" descr="Une image contenant texte, capture d’écran, ligne, Tracé&#10;&#10;Le contenu généré par l’IA peut être incorrect."/>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635352" cy="1985009"/>
                    </a:xfrm>
                    <a:prstGeom prst="rect">
                      <a:avLst/>
                    </a:prstGeom>
                    <a:noFill/>
                    <a:ln>
                      <a:noFill/>
                    </a:ln>
                  </pic:spPr>
                </pic:pic>
              </a:graphicData>
            </a:graphic>
          </wp:inline>
        </w:drawing>
      </w:r>
    </w:p>
    <w:p w14:paraId="3FE11C41" w14:textId="77777777" w:rsidR="00D80693" w:rsidRPr="00AC7074" w:rsidRDefault="00D80693" w:rsidP="00102D91">
      <w:pPr>
        <w:spacing w:before="120"/>
        <w:jc w:val="center"/>
        <w:rPr>
          <w:b/>
          <w:i/>
          <w:iCs/>
        </w:rPr>
      </w:pPr>
      <w:bookmarkStart w:id="93" w:name="_Toc196323819"/>
      <w:bookmarkStart w:id="94" w:name="_Toc196402769"/>
      <w:bookmarkStart w:id="95" w:name="_Toc197357891"/>
      <w:bookmarkStart w:id="96" w:name="_Toc198983793"/>
      <w:bookmarkStart w:id="97" w:name="_Toc199753360"/>
      <w:bookmarkStart w:id="98" w:name="_Toc199773990"/>
      <w:bookmarkStart w:id="99" w:name="_Toc199775018"/>
      <w:bookmarkStart w:id="100" w:name="_Toc199947308"/>
      <w:bookmarkStart w:id="101" w:name="_Toc199948673"/>
      <w:bookmarkStart w:id="102" w:name="_Toc200660711"/>
      <w:bookmarkStart w:id="103" w:name="_Toc207584611"/>
      <w:bookmarkStart w:id="104" w:name="_Toc207584964"/>
      <w:bookmarkStart w:id="105" w:name="_Toc207585298"/>
      <w:bookmarkStart w:id="106" w:name="_Toc207687414"/>
      <w:bookmarkStart w:id="107" w:name="_Toc207688854"/>
      <w:r w:rsidRPr="00AC7074">
        <w:rPr>
          <w:rFonts w:eastAsia="Calibri"/>
          <w:b/>
          <w:i/>
          <w:iCs/>
        </w:rPr>
        <w:t>Graphique 3 : Qualité du moyen de déplacement des adultes alphabétisés (2A)</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A05B704" w14:textId="77777777" w:rsidR="00D80693" w:rsidRPr="00AC7074" w:rsidRDefault="00D80693" w:rsidP="00102D91">
      <w:pPr>
        <w:spacing w:before="120"/>
        <w:jc w:val="center"/>
        <w:rPr>
          <w:rFonts w:eastAsia="Calibri"/>
          <w:bCs/>
        </w:rPr>
      </w:pPr>
      <w:r w:rsidRPr="00AC7074">
        <w:rPr>
          <w:rFonts w:eastAsia="Calibri"/>
          <w:b/>
          <w:i/>
          <w:iCs/>
        </w:rPr>
        <w:t>Source : Enquête terrain 2024</w:t>
      </w:r>
    </w:p>
    <w:p w14:paraId="084AE049" w14:textId="77777777" w:rsidR="00D80693" w:rsidRPr="00A801B4" w:rsidRDefault="00D80693" w:rsidP="00102D91">
      <w:pPr>
        <w:spacing w:before="120"/>
        <w:jc w:val="center"/>
        <w:rPr>
          <w:rFonts w:eastAsia="Calibri"/>
          <w:sz w:val="24"/>
          <w:szCs w:val="24"/>
        </w:rPr>
      </w:pPr>
    </w:p>
    <w:p w14:paraId="3B8AFD1A" w14:textId="77777777" w:rsidR="00D80693" w:rsidRDefault="00D80693" w:rsidP="00102D91">
      <w:pPr>
        <w:spacing w:before="120"/>
        <w:jc w:val="both"/>
        <w:rPr>
          <w:rFonts w:eastAsia="Calibri"/>
          <w:sz w:val="24"/>
          <w:szCs w:val="24"/>
        </w:rPr>
      </w:pPr>
      <w:r w:rsidRPr="00A801B4">
        <w:rPr>
          <w:rFonts w:eastAsia="Calibri"/>
          <w:sz w:val="24"/>
          <w:szCs w:val="24"/>
        </w:rPr>
        <w:t>Ce graphique ci-dessus nous montre que les 2A ont amélioré la qualité de leur moyen de déplacement en acquérant un nouveau vélo</w:t>
      </w:r>
      <w:r>
        <w:rPr>
          <w:rFonts w:eastAsia="Calibri"/>
          <w:sz w:val="24"/>
          <w:szCs w:val="24"/>
        </w:rPr>
        <w:t xml:space="preserve"> ou </w:t>
      </w:r>
      <w:r w:rsidRPr="00A801B4">
        <w:rPr>
          <w:rFonts w:eastAsia="Calibri"/>
          <w:sz w:val="24"/>
          <w:szCs w:val="24"/>
        </w:rPr>
        <w:t>une nouvelle moto</w:t>
      </w:r>
      <w:r>
        <w:rPr>
          <w:rFonts w:eastAsia="Calibri"/>
          <w:sz w:val="24"/>
          <w:szCs w:val="24"/>
        </w:rPr>
        <w:t xml:space="preserve"> parce qu’ils </w:t>
      </w:r>
      <w:r w:rsidRPr="00A801B4">
        <w:rPr>
          <w:rFonts w:eastAsia="Calibri"/>
          <w:sz w:val="24"/>
          <w:szCs w:val="24"/>
        </w:rPr>
        <w:t xml:space="preserve">acquièrent de </w:t>
      </w:r>
      <w:r>
        <w:rPr>
          <w:rFonts w:eastAsia="Calibri"/>
          <w:sz w:val="24"/>
          <w:szCs w:val="24"/>
        </w:rPr>
        <w:t xml:space="preserve">plus en plus de </w:t>
      </w:r>
      <w:r w:rsidRPr="00A801B4">
        <w:rPr>
          <w:rFonts w:eastAsia="Calibri"/>
          <w:sz w:val="24"/>
          <w:szCs w:val="24"/>
        </w:rPr>
        <w:t>nouveaux moyens de déplacement (vélo ou moto) plus adaptés et facilitant ainsi la mobilité liée à leurs activités économiques et sociales. Par exemple, un adulte alphabétise qui roulait à vélo, a payé une nouvelle moto grâce à la pratique AGR apprises lors de l’alphabétisation</w:t>
      </w:r>
      <w:r>
        <w:rPr>
          <w:rFonts w:eastAsia="Calibri"/>
          <w:sz w:val="24"/>
          <w:szCs w:val="24"/>
        </w:rPr>
        <w:t>.</w:t>
      </w:r>
    </w:p>
    <w:p w14:paraId="5E1CAB34" w14:textId="77777777" w:rsidR="00D80693" w:rsidRPr="00A801B4" w:rsidRDefault="00D80693" w:rsidP="00102D91">
      <w:pPr>
        <w:spacing w:before="120"/>
        <w:jc w:val="both"/>
        <w:rPr>
          <w:rFonts w:eastAsia="Calibri"/>
          <w:sz w:val="24"/>
          <w:szCs w:val="24"/>
        </w:rPr>
      </w:pPr>
    </w:p>
    <w:p w14:paraId="0CE0E527" w14:textId="77777777" w:rsidR="00D80693" w:rsidRPr="00DC69E8" w:rsidRDefault="00D80693" w:rsidP="00102D91">
      <w:pPr>
        <w:pStyle w:val="Paragraphedeliste"/>
        <w:widowControl/>
        <w:numPr>
          <w:ilvl w:val="1"/>
          <w:numId w:val="166"/>
        </w:numPr>
        <w:autoSpaceDE/>
        <w:autoSpaceDN/>
        <w:rPr>
          <w:rFonts w:eastAsia="Calibri"/>
          <w:b/>
          <w:bCs/>
          <w:sz w:val="24"/>
          <w:szCs w:val="24"/>
        </w:rPr>
      </w:pPr>
      <w:r w:rsidRPr="00DC69E8">
        <w:rPr>
          <w:rFonts w:eastAsia="Calibri"/>
          <w:b/>
          <w:bCs/>
          <w:iCs/>
          <w:sz w:val="24"/>
          <w:szCs w:val="24"/>
        </w:rPr>
        <w:t>Synthèse des résultats obtenus auprès des acteurs de l’ENF</w:t>
      </w:r>
    </w:p>
    <w:p w14:paraId="2AC3B4ED" w14:textId="77777777" w:rsidR="00D80693" w:rsidRPr="00A801B4" w:rsidRDefault="00D80693" w:rsidP="00102D91">
      <w:pPr>
        <w:spacing w:before="120"/>
        <w:jc w:val="both"/>
        <w:rPr>
          <w:rFonts w:eastAsia="Calibri"/>
          <w:iCs/>
          <w:sz w:val="24"/>
          <w:szCs w:val="24"/>
        </w:rPr>
      </w:pPr>
      <w:bookmarkStart w:id="108" w:name="_Hlk191245271"/>
      <w:r w:rsidRPr="00A801B4">
        <w:rPr>
          <w:rFonts w:eastAsia="Calibri"/>
          <w:iCs/>
          <w:sz w:val="24"/>
          <w:szCs w:val="24"/>
        </w:rPr>
        <w:t>À travers les libres opinions recueillies auprès des acteurs de l’ENF, l’alphabétisation améliore le vécu économique des adultes alphabétises (2A) à plusieurs niveaux :</w:t>
      </w:r>
      <w:r w:rsidRPr="00A801B4">
        <w:rPr>
          <w:rFonts w:eastAsia="Calibri"/>
          <w:sz w:val="24"/>
          <w:szCs w:val="24"/>
        </w:rPr>
        <w:t xml:space="preserve"> </w:t>
      </w:r>
      <w:r w:rsidRPr="00A801B4">
        <w:rPr>
          <w:rFonts w:eastAsia="Calibri"/>
          <w:bCs/>
          <w:sz w:val="24"/>
          <w:szCs w:val="24"/>
        </w:rPr>
        <w:t>l’amélioration du revenu, de la qualité du logement, du moyen de déplacement et la pratique de la comptabilité simplifiée.</w:t>
      </w:r>
    </w:p>
    <w:p w14:paraId="3100C4EF" w14:textId="77777777" w:rsidR="00D80693" w:rsidRPr="00A801B4" w:rsidRDefault="00D80693" w:rsidP="00102D91">
      <w:pPr>
        <w:spacing w:before="120"/>
        <w:jc w:val="both"/>
        <w:rPr>
          <w:rFonts w:eastAsia="Calibri"/>
          <w:iCs/>
          <w:sz w:val="24"/>
          <w:szCs w:val="24"/>
        </w:rPr>
      </w:pPr>
      <w:r w:rsidRPr="00A801B4">
        <w:rPr>
          <w:rFonts w:eastAsia="Calibri"/>
          <w:bCs/>
          <w:iCs/>
          <w:sz w:val="24"/>
          <w:szCs w:val="24"/>
        </w:rPr>
        <w:t xml:space="preserve">Le graphique obtenu à travers les échelles d’opinions montre que l’alphabétisation améliore le vécu économique des 2A : </w:t>
      </w:r>
    </w:p>
    <w:p w14:paraId="7BAB8DEF" w14:textId="088A39E0" w:rsidR="00D80693" w:rsidRPr="00A801B4" w:rsidRDefault="00D80693" w:rsidP="00102D91">
      <w:pPr>
        <w:spacing w:before="120"/>
        <w:rPr>
          <w:rFonts w:eastAsia="Calibri"/>
          <w:b/>
          <w:sz w:val="24"/>
          <w:szCs w:val="24"/>
        </w:rPr>
      </w:pPr>
      <w:bookmarkStart w:id="109" w:name="_Toc196323821"/>
      <w:bookmarkStart w:id="110" w:name="_Toc196402771"/>
      <w:bookmarkStart w:id="111" w:name="_Toc197357893"/>
      <w:bookmarkStart w:id="112" w:name="_Toc198983795"/>
      <w:bookmarkStart w:id="113" w:name="_Toc199753361"/>
      <w:bookmarkStart w:id="114" w:name="_Toc199773991"/>
      <w:bookmarkStart w:id="115" w:name="_Toc199775019"/>
      <w:bookmarkStart w:id="116" w:name="_Toc199947309"/>
      <w:bookmarkStart w:id="117" w:name="_Toc199948674"/>
      <w:bookmarkStart w:id="118" w:name="_Toc200660712"/>
      <w:r w:rsidRPr="00A801B4">
        <w:rPr>
          <w:rFonts w:eastAsia="Calibri"/>
          <w:b/>
          <w:bCs/>
          <w:sz w:val="24"/>
          <w:szCs w:val="24"/>
        </w:rPr>
        <w:t xml:space="preserve">                </w:t>
      </w:r>
      <w:bookmarkEnd w:id="109"/>
      <w:bookmarkEnd w:id="110"/>
      <w:bookmarkEnd w:id="111"/>
      <w:bookmarkEnd w:id="112"/>
      <w:bookmarkEnd w:id="113"/>
      <w:bookmarkEnd w:id="114"/>
      <w:bookmarkEnd w:id="115"/>
      <w:bookmarkEnd w:id="116"/>
      <w:bookmarkEnd w:id="117"/>
      <w:bookmarkEnd w:id="118"/>
      <w:r w:rsidRPr="00A801B4">
        <w:rPr>
          <w:rFonts w:eastAsia="Calibri"/>
          <w:noProof/>
          <w:sz w:val="24"/>
          <w:szCs w:val="24"/>
          <w:lang w:val="fr-SN" w:eastAsia="fr-SN"/>
        </w:rPr>
        <w:drawing>
          <wp:inline distT="0" distB="0" distL="0" distR="0" wp14:anchorId="4FFE4CFF" wp14:editId="41511E57">
            <wp:extent cx="4239260" cy="2636520"/>
            <wp:effectExtent l="0" t="0" r="8890" b="11430"/>
            <wp:docPr id="24876934" name="Graphique 24876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F1BDA66" w14:textId="77777777" w:rsidR="00D80693" w:rsidRPr="00A801B4" w:rsidRDefault="00D80693" w:rsidP="00102D91">
      <w:pPr>
        <w:spacing w:before="120"/>
        <w:jc w:val="center"/>
        <w:rPr>
          <w:b/>
          <w:bCs/>
          <w:i/>
          <w:iCs/>
          <w:sz w:val="24"/>
          <w:szCs w:val="24"/>
        </w:rPr>
      </w:pPr>
      <w:bookmarkStart w:id="119" w:name="_Toc207584612"/>
      <w:bookmarkStart w:id="120" w:name="_Toc207584965"/>
      <w:bookmarkStart w:id="121" w:name="_Toc207585299"/>
      <w:bookmarkStart w:id="122" w:name="_Toc207687415"/>
      <w:bookmarkStart w:id="123" w:name="_Toc207688855"/>
      <w:r w:rsidRPr="00A801B4">
        <w:rPr>
          <w:rFonts w:eastAsia="Calibri"/>
          <w:b/>
          <w:bCs/>
          <w:i/>
          <w:iCs/>
          <w:sz w:val="24"/>
          <w:szCs w:val="24"/>
        </w:rPr>
        <w:t xml:space="preserve">Graphique </w:t>
      </w:r>
      <w:r w:rsidRPr="009F4C2E">
        <w:rPr>
          <w:rFonts w:eastAsia="Calibri"/>
          <w:b/>
          <w:bCs/>
          <w:i/>
          <w:iCs/>
          <w:sz w:val="24"/>
          <w:szCs w:val="24"/>
        </w:rPr>
        <w:t>4</w:t>
      </w:r>
      <w:r w:rsidRPr="00A801B4">
        <w:rPr>
          <w:rFonts w:eastAsia="Calibri"/>
          <w:b/>
          <w:bCs/>
          <w:i/>
          <w:iCs/>
          <w:sz w:val="24"/>
          <w:szCs w:val="24"/>
        </w:rPr>
        <w:t xml:space="preserve"> : Amélioration du vécu économique des adultes alphabétisés (2A)</w:t>
      </w:r>
      <w:bookmarkEnd w:id="119"/>
      <w:bookmarkEnd w:id="120"/>
      <w:bookmarkEnd w:id="121"/>
      <w:bookmarkEnd w:id="122"/>
      <w:bookmarkEnd w:id="123"/>
    </w:p>
    <w:p w14:paraId="5A963486" w14:textId="77777777" w:rsidR="00D80693" w:rsidRPr="009F4C2E" w:rsidRDefault="00D80693" w:rsidP="00102D91">
      <w:pPr>
        <w:spacing w:before="120"/>
        <w:jc w:val="center"/>
        <w:rPr>
          <w:rFonts w:eastAsia="Calibri"/>
          <w:b/>
          <w:bCs/>
          <w:i/>
          <w:iCs/>
          <w:sz w:val="24"/>
          <w:szCs w:val="24"/>
        </w:rPr>
      </w:pPr>
      <w:r w:rsidRPr="00A801B4">
        <w:rPr>
          <w:rFonts w:eastAsia="Calibri"/>
          <w:b/>
          <w:bCs/>
          <w:i/>
          <w:iCs/>
          <w:sz w:val="24"/>
          <w:szCs w:val="24"/>
        </w:rPr>
        <w:t>Source : Enquête terrain 2024</w:t>
      </w:r>
      <w:bookmarkEnd w:id="108"/>
    </w:p>
    <w:p w14:paraId="2B9294E9" w14:textId="77777777" w:rsidR="00D80693" w:rsidRPr="00A801B4" w:rsidRDefault="00D80693" w:rsidP="00102D91">
      <w:pPr>
        <w:spacing w:before="120"/>
        <w:jc w:val="both"/>
        <w:rPr>
          <w:rFonts w:eastAsia="Calibri"/>
          <w:sz w:val="24"/>
          <w:szCs w:val="24"/>
        </w:rPr>
      </w:pPr>
      <w:r w:rsidRPr="00A801B4">
        <w:rPr>
          <w:rFonts w:eastAsia="Calibri"/>
          <w:sz w:val="24"/>
          <w:szCs w:val="24"/>
        </w:rPr>
        <w:t xml:space="preserve">Ce graphique ci-dessus nous montre que la grande majorité (97%) des adultes alphabétisés (2A) ont amélioré leur vécu économique à travers la qualité de leur logement, le niveau de leur revenu et leur moyen de déplacement. </w:t>
      </w:r>
    </w:p>
    <w:p w14:paraId="3167747B" w14:textId="77777777" w:rsidR="00D80693" w:rsidRPr="00DC69E8" w:rsidRDefault="00D80693" w:rsidP="00102D91">
      <w:pPr>
        <w:pStyle w:val="Paragraphedeliste"/>
        <w:widowControl/>
        <w:numPr>
          <w:ilvl w:val="1"/>
          <w:numId w:val="166"/>
        </w:numPr>
        <w:autoSpaceDE/>
        <w:autoSpaceDN/>
        <w:rPr>
          <w:rFonts w:eastAsia="Calibri"/>
          <w:b/>
          <w:bCs/>
          <w:sz w:val="24"/>
          <w:szCs w:val="24"/>
        </w:rPr>
      </w:pPr>
      <w:r w:rsidRPr="00DC69E8">
        <w:rPr>
          <w:rFonts w:eastAsia="Calibri"/>
          <w:b/>
          <w:bCs/>
          <w:iCs/>
          <w:sz w:val="24"/>
          <w:szCs w:val="24"/>
        </w:rPr>
        <w:t>Synthèse des résultats obtenus auprès de</w:t>
      </w:r>
      <w:r>
        <w:rPr>
          <w:rFonts w:eastAsia="Calibri"/>
          <w:b/>
          <w:bCs/>
          <w:iCs/>
          <w:sz w:val="24"/>
          <w:szCs w:val="24"/>
        </w:rPr>
        <w:t xml:space="preserve"> la population d’étude</w:t>
      </w:r>
    </w:p>
    <w:p w14:paraId="68EC513F" w14:textId="01F3FF3C" w:rsidR="00D80693" w:rsidRPr="001F39D0" w:rsidRDefault="00D80693" w:rsidP="00102D91">
      <w:pPr>
        <w:spacing w:before="120"/>
        <w:jc w:val="both"/>
        <w:rPr>
          <w:rFonts w:eastAsia="Calibri"/>
          <w:sz w:val="24"/>
          <w:szCs w:val="24"/>
        </w:rPr>
      </w:pPr>
      <w:r w:rsidRPr="00A801B4">
        <w:rPr>
          <w:rFonts w:eastAsia="Calibri"/>
          <w:iCs/>
          <w:sz w:val="24"/>
          <w:szCs w:val="24"/>
        </w:rPr>
        <w:t xml:space="preserve">Nous retenons en fin de compte que, selon notre population d’étude, l’alphabétisation a </w:t>
      </w:r>
      <w:r w:rsidRPr="00A801B4">
        <w:rPr>
          <w:rFonts w:eastAsia="Calibri"/>
          <w:i/>
          <w:sz w:val="24"/>
          <w:szCs w:val="24"/>
        </w:rPr>
        <w:t>amélioré totalement</w:t>
      </w:r>
      <w:r w:rsidRPr="00A801B4">
        <w:rPr>
          <w:rFonts w:eastAsia="Calibri"/>
          <w:iCs/>
          <w:sz w:val="24"/>
          <w:szCs w:val="24"/>
        </w:rPr>
        <w:t xml:space="preserve"> le vécu économique des adultes alphabétises (2A) à plusieurs niveaux :</w:t>
      </w:r>
      <w:r w:rsidRPr="001F39D0">
        <w:rPr>
          <w:rFonts w:eastAsia="Calibri"/>
          <w:iCs/>
          <w:sz w:val="24"/>
          <w:szCs w:val="24"/>
        </w:rPr>
        <w:t xml:space="preserve"> la qualité du logement, le moyen de déplacement, la gestion économique du foyer, la pratique de la comptabilité simplifiée et l’épargne. </w:t>
      </w:r>
      <w:r>
        <w:rPr>
          <w:rFonts w:eastAsia="Calibri"/>
          <w:iCs/>
          <w:sz w:val="24"/>
          <w:szCs w:val="24"/>
        </w:rPr>
        <w:t xml:space="preserve">En ce qui concerne </w:t>
      </w:r>
      <w:r w:rsidRPr="00A801B4">
        <w:rPr>
          <w:rFonts w:eastAsia="Calibri"/>
          <w:sz w:val="24"/>
          <w:szCs w:val="24"/>
        </w:rPr>
        <w:t>la pratique de la comptabilité simplifiée</w:t>
      </w:r>
      <w:r>
        <w:rPr>
          <w:rFonts w:eastAsia="Calibri"/>
          <w:sz w:val="24"/>
          <w:szCs w:val="24"/>
        </w:rPr>
        <w:t>, ils</w:t>
      </w:r>
      <w:r w:rsidRPr="00A801B4">
        <w:rPr>
          <w:rFonts w:eastAsia="Calibri"/>
          <w:sz w:val="24"/>
          <w:szCs w:val="24"/>
        </w:rPr>
        <w:t xml:space="preserve"> tiennent </w:t>
      </w:r>
      <w:r>
        <w:rPr>
          <w:rFonts w:eastAsia="Calibri"/>
          <w:sz w:val="24"/>
          <w:szCs w:val="24"/>
        </w:rPr>
        <w:t xml:space="preserve">désormais </w:t>
      </w:r>
      <w:r w:rsidRPr="00A801B4">
        <w:rPr>
          <w:rFonts w:eastAsia="Calibri"/>
          <w:sz w:val="24"/>
          <w:szCs w:val="24"/>
        </w:rPr>
        <w:t xml:space="preserve">des fiches de recettes et de dépenses, ce qui leur permet de suivre l’évolution de leurs activités, de prendre des décisions éclairées et d’éviter les pertes financières. Par exemple, ils savent calculer après la vente pour savoir s’ils ont eu un bénéfice ou pas et ils savent comment calculer pour vendre pour éviter la perte. </w:t>
      </w:r>
      <w:r>
        <w:rPr>
          <w:rFonts w:eastAsia="Calibri"/>
          <w:sz w:val="24"/>
          <w:szCs w:val="24"/>
        </w:rPr>
        <w:t>Quant à</w:t>
      </w:r>
      <w:r w:rsidRPr="00A801B4">
        <w:rPr>
          <w:rFonts w:eastAsia="Calibri"/>
          <w:sz w:val="24"/>
          <w:szCs w:val="24"/>
        </w:rPr>
        <w:t xml:space="preserve"> l’épargne</w:t>
      </w:r>
      <w:r>
        <w:rPr>
          <w:rFonts w:eastAsia="Calibri"/>
          <w:sz w:val="24"/>
          <w:szCs w:val="24"/>
        </w:rPr>
        <w:t>, ils</w:t>
      </w:r>
      <w:r w:rsidRPr="00A801B4">
        <w:rPr>
          <w:rFonts w:eastAsia="Calibri"/>
          <w:sz w:val="24"/>
          <w:szCs w:val="24"/>
        </w:rPr>
        <w:t xml:space="preserve"> pratique</w:t>
      </w:r>
      <w:r>
        <w:rPr>
          <w:rFonts w:eastAsia="Calibri"/>
          <w:sz w:val="24"/>
          <w:szCs w:val="24"/>
        </w:rPr>
        <w:t>nt</w:t>
      </w:r>
      <w:r w:rsidRPr="00A801B4">
        <w:rPr>
          <w:rFonts w:eastAsia="Calibri"/>
          <w:sz w:val="24"/>
          <w:szCs w:val="24"/>
        </w:rPr>
        <w:t xml:space="preserve"> l’épargne pour réaliser des investissements futurs ou faire face aux imprévus. Par exemple, ils arrivent à aménager ou à construire de nouvelle maison grâce à l’épargne.</w:t>
      </w:r>
      <w:r>
        <w:rPr>
          <w:rFonts w:eastAsia="Calibri"/>
          <w:sz w:val="24"/>
          <w:szCs w:val="24"/>
        </w:rPr>
        <w:t xml:space="preserve"> </w:t>
      </w:r>
      <w:r w:rsidRPr="00A801B4">
        <w:rPr>
          <w:rFonts w:eastAsia="Calibri"/>
          <w:sz w:val="24"/>
          <w:szCs w:val="24"/>
        </w:rPr>
        <w:t xml:space="preserve">Pour tout retenir, </w:t>
      </w:r>
      <w:r w:rsidRPr="00A801B4">
        <w:rPr>
          <w:rFonts w:eastAsia="Calibri"/>
          <w:iCs/>
          <w:sz w:val="24"/>
          <w:szCs w:val="24"/>
        </w:rPr>
        <w:t>au Burkina Faso</w:t>
      </w:r>
      <w:r w:rsidRPr="00A801B4">
        <w:rPr>
          <w:rFonts w:eastAsia="Calibri"/>
          <w:sz w:val="24"/>
          <w:szCs w:val="24"/>
        </w:rPr>
        <w:t xml:space="preserve">, l’alphabétisation </w:t>
      </w:r>
      <w:proofErr w:type="spellStart"/>
      <w:r w:rsidR="00102D91" w:rsidRPr="00102D91">
        <w:rPr>
          <w:rFonts w:eastAsia="Calibri"/>
          <w:i/>
          <w:iCs/>
          <w:sz w:val="24"/>
          <w:szCs w:val="24"/>
        </w:rPr>
        <w:t>Reflect</w:t>
      </w:r>
      <w:proofErr w:type="spellEnd"/>
      <w:r w:rsidRPr="00A801B4">
        <w:rPr>
          <w:rFonts w:eastAsia="Calibri"/>
          <w:sz w:val="24"/>
          <w:szCs w:val="24"/>
        </w:rPr>
        <w:t xml:space="preserve"> </w:t>
      </w:r>
      <w:r w:rsidRPr="00A801B4">
        <w:rPr>
          <w:rFonts w:eastAsia="Calibri"/>
          <w:i/>
          <w:iCs/>
          <w:sz w:val="24"/>
          <w:szCs w:val="24"/>
        </w:rPr>
        <w:t>influence positivement</w:t>
      </w:r>
      <w:r w:rsidRPr="00A801B4">
        <w:rPr>
          <w:rFonts w:eastAsia="Calibri"/>
          <w:sz w:val="24"/>
          <w:szCs w:val="24"/>
        </w:rPr>
        <w:t xml:space="preserve"> le vécu économique des </w:t>
      </w:r>
      <w:r w:rsidRPr="00A801B4">
        <w:rPr>
          <w:rFonts w:eastAsia="Calibri"/>
          <w:iCs/>
          <w:sz w:val="24"/>
          <w:szCs w:val="24"/>
        </w:rPr>
        <w:t>adultes alphabétisés (2A).</w:t>
      </w:r>
    </w:p>
    <w:p w14:paraId="4CF5D16D" w14:textId="77777777" w:rsidR="00D80693" w:rsidRPr="00A63E1D" w:rsidRDefault="00D80693" w:rsidP="00102D91">
      <w:pPr>
        <w:widowControl/>
        <w:numPr>
          <w:ilvl w:val="0"/>
          <w:numId w:val="166"/>
        </w:numPr>
        <w:tabs>
          <w:tab w:val="center" w:pos="4513"/>
          <w:tab w:val="right" w:pos="9026"/>
        </w:tabs>
        <w:autoSpaceDE/>
        <w:autoSpaceDN/>
        <w:spacing w:before="120"/>
        <w:jc w:val="both"/>
        <w:rPr>
          <w:b/>
          <w:sz w:val="28"/>
          <w:szCs w:val="28"/>
        </w:rPr>
      </w:pPr>
      <w:r w:rsidRPr="00A63E1D">
        <w:rPr>
          <w:b/>
          <w:sz w:val="28"/>
          <w:szCs w:val="28"/>
        </w:rPr>
        <w:t>Discussion</w:t>
      </w:r>
    </w:p>
    <w:p w14:paraId="0D701FE3" w14:textId="77777777" w:rsidR="00D80693" w:rsidRPr="00785EB9" w:rsidRDefault="00D80693" w:rsidP="00102D91">
      <w:pPr>
        <w:spacing w:before="120"/>
        <w:jc w:val="both"/>
        <w:rPr>
          <w:rFonts w:eastAsia="Calibri"/>
          <w:bCs/>
          <w:color w:val="000000" w:themeColor="text1"/>
          <w:sz w:val="24"/>
          <w:szCs w:val="24"/>
        </w:rPr>
      </w:pPr>
      <w:r w:rsidRPr="00785EB9">
        <w:rPr>
          <w:rFonts w:eastAsia="Calibri"/>
          <w:bCs/>
          <w:color w:val="000000" w:themeColor="text1"/>
          <w:sz w:val="24"/>
          <w:szCs w:val="24"/>
        </w:rPr>
        <w:t xml:space="preserve">Des études précédentes ont obtenu des résultats similaires </w:t>
      </w:r>
      <w:r>
        <w:rPr>
          <w:rFonts w:eastAsia="Calibri"/>
          <w:bCs/>
          <w:color w:val="000000" w:themeColor="text1"/>
          <w:sz w:val="24"/>
          <w:szCs w:val="24"/>
        </w:rPr>
        <w:t xml:space="preserve">seulement </w:t>
      </w:r>
      <w:r w:rsidRPr="00785EB9">
        <w:rPr>
          <w:rFonts w:eastAsia="Calibri"/>
          <w:bCs/>
          <w:color w:val="000000" w:themeColor="text1"/>
          <w:sz w:val="24"/>
          <w:szCs w:val="24"/>
        </w:rPr>
        <w:t xml:space="preserve">à la seule différence que ces études ont porté sur l’alphabétisation des adolescents et des adultes à la fois. Par exemple : </w:t>
      </w:r>
    </w:p>
    <w:p w14:paraId="2184006A" w14:textId="77777777" w:rsidR="00D80693" w:rsidRPr="00785EB9" w:rsidRDefault="00D80693" w:rsidP="00102D91">
      <w:pPr>
        <w:pStyle w:val="Paragraphedeliste"/>
        <w:widowControl/>
        <w:numPr>
          <w:ilvl w:val="0"/>
          <w:numId w:val="168"/>
        </w:numPr>
        <w:autoSpaceDE/>
        <w:autoSpaceDN/>
        <w:rPr>
          <w:rFonts w:eastAsia="Calibri"/>
          <w:bCs/>
          <w:color w:val="000000" w:themeColor="text1"/>
          <w:sz w:val="24"/>
          <w:szCs w:val="24"/>
        </w:rPr>
      </w:pPr>
      <w:r w:rsidRPr="00785EB9">
        <w:rPr>
          <w:rFonts w:eastAsia="Calibri"/>
          <w:bCs/>
          <w:color w:val="000000" w:themeColor="text1"/>
          <w:sz w:val="24"/>
          <w:szCs w:val="24"/>
        </w:rPr>
        <w:t xml:space="preserve">Au niveau national, une étude réalisée par Traore/Pale (2008, p.36) a fait le constat suivant : les apprenants se disent satisfaits d’avoir poursuivi la formation tant sur le plan de l’apprentissage d’habiletés formelles que sur le plan du développement personnel ; on observerait un transfert des apprentissages dans la vie quotidienne et des bénéfices sur les plans personnel, social, économique et culturel. </w:t>
      </w:r>
    </w:p>
    <w:p w14:paraId="601097C8" w14:textId="77777777" w:rsidR="00D80693" w:rsidRPr="00785EB9" w:rsidRDefault="00D80693" w:rsidP="00102D91">
      <w:pPr>
        <w:pStyle w:val="Paragraphedeliste"/>
        <w:widowControl/>
        <w:numPr>
          <w:ilvl w:val="0"/>
          <w:numId w:val="168"/>
        </w:numPr>
        <w:autoSpaceDE/>
        <w:autoSpaceDN/>
        <w:rPr>
          <w:rFonts w:eastAsia="Calibri"/>
          <w:bCs/>
          <w:color w:val="000000" w:themeColor="text1"/>
          <w:sz w:val="24"/>
          <w:szCs w:val="24"/>
        </w:rPr>
      </w:pPr>
      <w:r w:rsidRPr="00785EB9">
        <w:rPr>
          <w:rFonts w:eastAsia="Calibri"/>
          <w:bCs/>
          <w:color w:val="000000" w:themeColor="text1"/>
          <w:sz w:val="24"/>
          <w:szCs w:val="24"/>
        </w:rPr>
        <w:t xml:space="preserve">Au niveau international, des études ont montré que des personnes alphabétisées sont en effet plus aptes à faire "x" ou "y" que celles qui n’ont pas été alphabétisées. On peut donc dire que l’alphabétisation peut exercer une influence majeure sur la réduction de la pauvreté, l’obtention de droits et l’amélioration du bien-être humain </w:t>
      </w:r>
      <w:bookmarkStart w:id="124" w:name="_Hlk215500585"/>
      <w:r w:rsidRPr="00785EB9">
        <w:rPr>
          <w:rFonts w:eastAsia="Calibri"/>
          <w:bCs/>
          <w:color w:val="000000" w:themeColor="text1"/>
          <w:sz w:val="24"/>
          <w:szCs w:val="24"/>
        </w:rPr>
        <w:t>(Easton, 2006).</w:t>
      </w:r>
      <w:bookmarkEnd w:id="124"/>
    </w:p>
    <w:p w14:paraId="779BB31D" w14:textId="30497F7E" w:rsidR="00D80693" w:rsidRPr="00810D6D" w:rsidRDefault="00D80693" w:rsidP="00102D91">
      <w:pPr>
        <w:spacing w:before="120"/>
        <w:jc w:val="both"/>
        <w:rPr>
          <w:rFonts w:eastAsia="Calibri"/>
          <w:bCs/>
          <w:color w:val="000000" w:themeColor="text1"/>
          <w:sz w:val="24"/>
          <w:szCs w:val="24"/>
        </w:rPr>
      </w:pPr>
      <w:r w:rsidRPr="00810D6D">
        <w:rPr>
          <w:rFonts w:eastAsia="Calibri"/>
          <w:bCs/>
          <w:color w:val="000000" w:themeColor="text1"/>
          <w:sz w:val="24"/>
          <w:szCs w:val="24"/>
        </w:rPr>
        <w:t xml:space="preserve">Les résultats de </w:t>
      </w:r>
      <w:r>
        <w:rPr>
          <w:rFonts w:eastAsia="Calibri"/>
          <w:bCs/>
          <w:color w:val="000000" w:themeColor="text1"/>
          <w:sz w:val="24"/>
          <w:szCs w:val="24"/>
        </w:rPr>
        <w:t>cette présente</w:t>
      </w:r>
      <w:r w:rsidRPr="00810D6D">
        <w:rPr>
          <w:rFonts w:eastAsia="Calibri"/>
          <w:bCs/>
          <w:color w:val="000000" w:themeColor="text1"/>
          <w:sz w:val="24"/>
          <w:szCs w:val="24"/>
        </w:rPr>
        <w:t xml:space="preserve"> étude confirment la pertinence de la théorie des représentions sociales</w:t>
      </w:r>
      <w:r w:rsidRPr="00785EB9">
        <w:t xml:space="preserve"> </w:t>
      </w:r>
      <w:r w:rsidRPr="00785EB9">
        <w:rPr>
          <w:rFonts w:eastAsia="Calibri"/>
          <w:bCs/>
          <w:color w:val="000000" w:themeColor="text1"/>
          <w:sz w:val="24"/>
          <w:szCs w:val="24"/>
        </w:rPr>
        <w:t xml:space="preserve">pour analyser les effets de l’alphabétisation des adultes sur le </w:t>
      </w:r>
      <w:r w:rsidR="008130B5" w:rsidRPr="00785EB9">
        <w:rPr>
          <w:rFonts w:eastAsia="Calibri"/>
          <w:bCs/>
          <w:color w:val="000000" w:themeColor="text1"/>
          <w:sz w:val="24"/>
          <w:szCs w:val="24"/>
        </w:rPr>
        <w:t>vécu</w:t>
      </w:r>
      <w:r w:rsidRPr="00785EB9">
        <w:rPr>
          <w:rFonts w:eastAsia="Calibri"/>
          <w:bCs/>
          <w:color w:val="000000" w:themeColor="text1"/>
          <w:sz w:val="24"/>
          <w:szCs w:val="24"/>
        </w:rPr>
        <w:t xml:space="preserve"> économique au Burkina Faso</w:t>
      </w:r>
      <w:r w:rsidRPr="00810D6D">
        <w:rPr>
          <w:rFonts w:eastAsia="Calibri"/>
          <w:bCs/>
          <w:color w:val="000000" w:themeColor="text1"/>
          <w:sz w:val="24"/>
          <w:szCs w:val="24"/>
        </w:rPr>
        <w:t>. Ces résultats rejoignent l’idée de Jodelet (1989), développé</w:t>
      </w:r>
      <w:r>
        <w:rPr>
          <w:rFonts w:eastAsia="Calibri"/>
          <w:bCs/>
          <w:color w:val="000000" w:themeColor="text1"/>
          <w:sz w:val="24"/>
          <w:szCs w:val="24"/>
        </w:rPr>
        <w:t>e</w:t>
      </w:r>
      <w:r w:rsidRPr="00810D6D">
        <w:rPr>
          <w:rFonts w:eastAsia="Calibri"/>
          <w:bCs/>
          <w:color w:val="000000" w:themeColor="text1"/>
          <w:sz w:val="24"/>
          <w:szCs w:val="24"/>
        </w:rPr>
        <w:t xml:space="preserve"> dans notre cadre théorique.</w:t>
      </w:r>
    </w:p>
    <w:p w14:paraId="2B33491C" w14:textId="77777777" w:rsidR="00D80693" w:rsidRPr="000D3264" w:rsidRDefault="00D80693" w:rsidP="00102D91">
      <w:pPr>
        <w:spacing w:before="120"/>
        <w:jc w:val="both"/>
        <w:rPr>
          <w:rFonts w:eastAsia="Calibri"/>
          <w:bCs/>
          <w:color w:val="000000" w:themeColor="text1"/>
          <w:sz w:val="24"/>
          <w:szCs w:val="24"/>
        </w:rPr>
      </w:pPr>
      <w:r w:rsidRPr="00810D6D">
        <w:rPr>
          <w:rFonts w:eastAsia="Calibri"/>
          <w:bCs/>
          <w:color w:val="000000" w:themeColor="text1"/>
          <w:sz w:val="24"/>
          <w:szCs w:val="24"/>
        </w:rPr>
        <w:t xml:space="preserve">Nous pouvons donc affirmer que l’alphabétisation des adultes selon la formule </w:t>
      </w:r>
      <w:proofErr w:type="spellStart"/>
      <w:r w:rsidRPr="00810D6D">
        <w:rPr>
          <w:rFonts w:eastAsia="Calibri"/>
          <w:bCs/>
          <w:color w:val="000000" w:themeColor="text1"/>
          <w:sz w:val="24"/>
          <w:szCs w:val="24"/>
        </w:rPr>
        <w:t>Refelct</w:t>
      </w:r>
      <w:proofErr w:type="spellEnd"/>
      <w:r w:rsidRPr="00810D6D">
        <w:rPr>
          <w:rFonts w:eastAsia="Calibri"/>
          <w:bCs/>
          <w:color w:val="000000" w:themeColor="text1"/>
          <w:sz w:val="24"/>
          <w:szCs w:val="24"/>
        </w:rPr>
        <w:t xml:space="preserve"> influence leur vécu économique</w:t>
      </w:r>
      <w:r w:rsidRPr="00630189">
        <w:rPr>
          <w:rFonts w:eastAsia="Calibri"/>
          <w:bCs/>
          <w:color w:val="000000" w:themeColor="text1"/>
          <w:sz w:val="24"/>
          <w:szCs w:val="24"/>
        </w:rPr>
        <w:t>.</w:t>
      </w:r>
    </w:p>
    <w:p w14:paraId="36CE3629" w14:textId="77777777" w:rsidR="00D80693" w:rsidRPr="00810D6D" w:rsidRDefault="00D80693" w:rsidP="00102D91">
      <w:pPr>
        <w:tabs>
          <w:tab w:val="center" w:pos="4513"/>
          <w:tab w:val="right" w:pos="9026"/>
        </w:tabs>
        <w:spacing w:before="120"/>
        <w:jc w:val="both"/>
        <w:rPr>
          <w:b/>
          <w:bCs/>
          <w:sz w:val="28"/>
          <w:szCs w:val="28"/>
        </w:rPr>
      </w:pPr>
      <w:r w:rsidRPr="00810D6D">
        <w:rPr>
          <w:b/>
          <w:bCs/>
          <w:sz w:val="28"/>
          <w:szCs w:val="28"/>
        </w:rPr>
        <w:t>Conclusion</w:t>
      </w:r>
    </w:p>
    <w:p w14:paraId="20008EF3" w14:textId="0BCC9160" w:rsidR="00D80693" w:rsidRPr="00630189" w:rsidRDefault="00D80693" w:rsidP="00102D91">
      <w:pPr>
        <w:spacing w:before="120"/>
        <w:jc w:val="both"/>
        <w:rPr>
          <w:rFonts w:eastAsia="Calibri"/>
          <w:iCs/>
          <w:sz w:val="24"/>
          <w:szCs w:val="24"/>
        </w:rPr>
      </w:pPr>
      <w:r w:rsidRPr="00630189">
        <w:rPr>
          <w:rFonts w:eastAsia="Calibri"/>
          <w:bCs/>
          <w:sz w:val="24"/>
          <w:szCs w:val="24"/>
        </w:rPr>
        <w:t xml:space="preserve">Notre étude est fondée sur deux principaux constats : la baisse du taux d’alphabétisation des adultes et le faible engouement autour de la formule </w:t>
      </w:r>
      <w:proofErr w:type="spellStart"/>
      <w:r w:rsidR="00102D91" w:rsidRPr="00102D91">
        <w:rPr>
          <w:rFonts w:eastAsia="Calibri"/>
          <w:bCs/>
          <w:i/>
          <w:iCs/>
          <w:sz w:val="24"/>
          <w:szCs w:val="24"/>
        </w:rPr>
        <w:t>Reflect</w:t>
      </w:r>
      <w:proofErr w:type="spellEnd"/>
      <w:r w:rsidRPr="00630189">
        <w:rPr>
          <w:rFonts w:eastAsia="Calibri"/>
          <w:bCs/>
          <w:sz w:val="24"/>
          <w:szCs w:val="24"/>
        </w:rPr>
        <w:t xml:space="preserve"> malgré qu’elle soit une méthode d’alphabétisation orientées vers des solutions endogènes pour leur développement. Cela nous a conduit à nous demander si la formule </w:t>
      </w:r>
      <w:proofErr w:type="spellStart"/>
      <w:r w:rsidR="00102D91" w:rsidRPr="00102D91">
        <w:rPr>
          <w:rFonts w:eastAsia="Calibri"/>
          <w:bCs/>
          <w:i/>
          <w:iCs/>
          <w:sz w:val="24"/>
          <w:szCs w:val="24"/>
        </w:rPr>
        <w:t>Reflect</w:t>
      </w:r>
      <w:proofErr w:type="spellEnd"/>
      <w:r w:rsidRPr="00630189">
        <w:rPr>
          <w:rFonts w:eastAsia="Calibri"/>
          <w:bCs/>
          <w:sz w:val="24"/>
          <w:szCs w:val="24"/>
        </w:rPr>
        <w:t xml:space="preserve"> induit réellement un changement au niveau du vécu </w:t>
      </w:r>
      <w:r>
        <w:rPr>
          <w:rFonts w:eastAsia="Calibri"/>
          <w:bCs/>
          <w:sz w:val="24"/>
          <w:szCs w:val="24"/>
        </w:rPr>
        <w:t>économique</w:t>
      </w:r>
      <w:r w:rsidRPr="00630189">
        <w:rPr>
          <w:rFonts w:eastAsia="Calibri"/>
          <w:bCs/>
          <w:sz w:val="24"/>
          <w:szCs w:val="24"/>
        </w:rPr>
        <w:t xml:space="preserve"> chez l’adulte alphabétisé.  C’est dans le but d’apporter des éléments de réponses à cette préoccupation que nous avons initié ce projet de recherche.  L</w:t>
      </w:r>
      <w:r w:rsidRPr="00630189">
        <w:rPr>
          <w:rFonts w:eastAsia="Calibri"/>
          <w:sz w:val="24"/>
          <w:szCs w:val="24"/>
        </w:rPr>
        <w:t xml:space="preserve">’approche méthodologique nous a conduit à choisir un terrain, une population et un échantillon sur la base de critère bien définis. Nous avons élaboré aussi un outil quantitatif (questionnaire) afin de collecter les données sur le terrain. Pour le traitement des données récoltées, des logiciels informatiques ont été utilisés. La méthode de traitement des données récoltées a consisté à la saisie, au regroupement, au classement, à la catégorisation et au codage en utilisant </w:t>
      </w:r>
      <w:r w:rsidRPr="000D3264">
        <w:rPr>
          <w:rFonts w:eastAsia="Calibri"/>
          <w:sz w:val="24"/>
          <w:szCs w:val="24"/>
        </w:rPr>
        <w:t xml:space="preserve">le logiciels Open office 2016 pour la saisie, le codage des données à travers le tableur Excel, les logiciels IBM SPSS </w:t>
      </w:r>
      <w:proofErr w:type="spellStart"/>
      <w:r w:rsidRPr="000D3264">
        <w:rPr>
          <w:rFonts w:eastAsia="Calibri"/>
          <w:sz w:val="24"/>
          <w:szCs w:val="24"/>
        </w:rPr>
        <w:t>Statistics</w:t>
      </w:r>
      <w:proofErr w:type="spellEnd"/>
      <w:r w:rsidRPr="000D3264">
        <w:rPr>
          <w:rFonts w:eastAsia="Calibri"/>
          <w:sz w:val="24"/>
          <w:szCs w:val="24"/>
        </w:rPr>
        <w:t xml:space="preserve"> 25, Evo2005 et Simi2005 pour le traitement des données collectées à base des questionnaires</w:t>
      </w:r>
      <w:r w:rsidRPr="00630189">
        <w:rPr>
          <w:rFonts w:eastAsia="Calibri"/>
          <w:sz w:val="24"/>
          <w:szCs w:val="24"/>
        </w:rPr>
        <w:t xml:space="preserve">. Les résultats obtenus après traitement, ont été analysés puis interpréter. </w:t>
      </w:r>
      <w:r>
        <w:rPr>
          <w:rFonts w:eastAsia="Calibri"/>
          <w:sz w:val="24"/>
          <w:szCs w:val="24"/>
        </w:rPr>
        <w:t>Ainsi</w:t>
      </w:r>
      <w:r w:rsidRPr="00630189">
        <w:rPr>
          <w:rFonts w:eastAsia="Calibri"/>
          <w:sz w:val="24"/>
          <w:szCs w:val="24"/>
        </w:rPr>
        <w:t>,</w:t>
      </w:r>
      <w:r w:rsidRPr="00630189">
        <w:rPr>
          <w:rFonts w:eastAsia="Calibri"/>
          <w:iCs/>
          <w:sz w:val="24"/>
          <w:szCs w:val="24"/>
        </w:rPr>
        <w:t xml:space="preserve"> l’alphabétisation des adultes selon la formule </w:t>
      </w:r>
      <w:proofErr w:type="spellStart"/>
      <w:r w:rsidR="00102D91" w:rsidRPr="00102D91">
        <w:rPr>
          <w:rFonts w:eastAsia="Calibri"/>
          <w:i/>
          <w:iCs/>
          <w:sz w:val="24"/>
          <w:szCs w:val="24"/>
        </w:rPr>
        <w:t>Reflect</w:t>
      </w:r>
      <w:proofErr w:type="spellEnd"/>
      <w:r w:rsidRPr="00630189">
        <w:rPr>
          <w:rFonts w:eastAsia="Calibri"/>
          <w:iCs/>
          <w:sz w:val="24"/>
          <w:szCs w:val="24"/>
        </w:rPr>
        <w:t xml:space="preserve"> influence positivement leur vécu </w:t>
      </w:r>
      <w:r>
        <w:rPr>
          <w:rFonts w:eastAsia="Calibri"/>
          <w:iCs/>
          <w:sz w:val="24"/>
          <w:szCs w:val="24"/>
        </w:rPr>
        <w:t>économique</w:t>
      </w:r>
      <w:r w:rsidRPr="00630189">
        <w:rPr>
          <w:rFonts w:eastAsia="Calibri"/>
          <w:iCs/>
          <w:sz w:val="24"/>
          <w:szCs w:val="24"/>
        </w:rPr>
        <w:t xml:space="preserve">. </w:t>
      </w:r>
      <w:r w:rsidRPr="00630189">
        <w:rPr>
          <w:color w:val="000000" w:themeColor="text1"/>
          <w:sz w:val="24"/>
          <w:szCs w:val="24"/>
        </w:rPr>
        <w:t xml:space="preserve">Des études réalisées par le passé </w:t>
      </w:r>
      <w:r>
        <w:rPr>
          <w:color w:val="000000" w:themeColor="text1"/>
          <w:sz w:val="24"/>
          <w:szCs w:val="24"/>
        </w:rPr>
        <w:t xml:space="preserve">telles que celle de </w:t>
      </w:r>
      <w:r w:rsidRPr="00785EB9">
        <w:rPr>
          <w:rFonts w:eastAsia="Calibri"/>
          <w:bCs/>
          <w:color w:val="000000" w:themeColor="text1"/>
          <w:sz w:val="24"/>
          <w:szCs w:val="24"/>
        </w:rPr>
        <w:t>Traore/Pale (2008)</w:t>
      </w:r>
      <w:r>
        <w:rPr>
          <w:rFonts w:eastAsia="Calibri"/>
          <w:bCs/>
          <w:color w:val="000000" w:themeColor="text1"/>
          <w:sz w:val="24"/>
          <w:szCs w:val="24"/>
        </w:rPr>
        <w:t xml:space="preserve"> et celle </w:t>
      </w:r>
      <w:r w:rsidRPr="00785EB9">
        <w:rPr>
          <w:rFonts w:eastAsia="Calibri"/>
          <w:bCs/>
          <w:color w:val="000000" w:themeColor="text1"/>
          <w:sz w:val="24"/>
          <w:szCs w:val="24"/>
        </w:rPr>
        <w:t>(Easton, 2006)</w:t>
      </w:r>
      <w:r>
        <w:rPr>
          <w:rFonts w:eastAsia="Calibri"/>
          <w:bCs/>
          <w:color w:val="000000" w:themeColor="text1"/>
          <w:sz w:val="24"/>
          <w:szCs w:val="24"/>
        </w:rPr>
        <w:t xml:space="preserve"> citée dans la discussion de </w:t>
      </w:r>
      <w:r w:rsidRPr="00630189">
        <w:rPr>
          <w:color w:val="000000" w:themeColor="text1"/>
          <w:sz w:val="24"/>
          <w:szCs w:val="24"/>
        </w:rPr>
        <w:t>ont obtenu des résultats similaires.</w:t>
      </w:r>
    </w:p>
    <w:p w14:paraId="5078C1C4" w14:textId="77777777" w:rsidR="00D80693" w:rsidRPr="00630189" w:rsidRDefault="00D80693" w:rsidP="00102D91">
      <w:pPr>
        <w:spacing w:before="120"/>
        <w:jc w:val="both"/>
        <w:rPr>
          <w:rFonts w:eastAsia="Calibri"/>
          <w:sz w:val="24"/>
          <w:szCs w:val="24"/>
        </w:rPr>
      </w:pPr>
      <w:r>
        <w:rPr>
          <w:rFonts w:eastAsia="Calibri"/>
          <w:color w:val="000000"/>
          <w:sz w:val="24"/>
          <w:szCs w:val="24"/>
        </w:rPr>
        <w:t>L’</w:t>
      </w:r>
      <w:r w:rsidRPr="00630189">
        <w:rPr>
          <w:rFonts w:eastAsia="Calibri"/>
          <w:color w:val="000000"/>
          <w:sz w:val="24"/>
          <w:szCs w:val="24"/>
        </w:rPr>
        <w:t>étude</w:t>
      </w:r>
      <w:r>
        <w:rPr>
          <w:rFonts w:eastAsia="Calibri"/>
          <w:color w:val="000000"/>
          <w:sz w:val="24"/>
          <w:szCs w:val="24"/>
        </w:rPr>
        <w:t xml:space="preserve"> </w:t>
      </w:r>
      <w:r w:rsidRPr="000D3264">
        <w:rPr>
          <w:rFonts w:eastAsia="Calibri"/>
          <w:color w:val="000000"/>
          <w:sz w:val="24"/>
          <w:szCs w:val="24"/>
        </w:rPr>
        <w:t>aboutit à la conclusion suivante :</w:t>
      </w:r>
      <w:r w:rsidRPr="00630189">
        <w:rPr>
          <w:rFonts w:eastAsia="Calibri"/>
          <w:color w:val="000000"/>
          <w:sz w:val="24"/>
          <w:szCs w:val="24"/>
        </w:rPr>
        <w:t xml:space="preserve"> l’alphabétisation des adultes selon la formule </w:t>
      </w:r>
      <w:proofErr w:type="spellStart"/>
      <w:r w:rsidRPr="00630189">
        <w:rPr>
          <w:rFonts w:eastAsia="Calibri"/>
          <w:color w:val="000000"/>
          <w:sz w:val="24"/>
          <w:szCs w:val="24"/>
        </w:rPr>
        <w:t>Refelct</w:t>
      </w:r>
      <w:proofErr w:type="spellEnd"/>
      <w:r w:rsidRPr="00630189">
        <w:rPr>
          <w:rFonts w:eastAsia="Calibri"/>
          <w:color w:val="000000"/>
          <w:sz w:val="24"/>
          <w:szCs w:val="24"/>
        </w:rPr>
        <w:t xml:space="preserve"> influence positivement leur vécu </w:t>
      </w:r>
      <w:r>
        <w:rPr>
          <w:rFonts w:eastAsia="Calibri"/>
          <w:bCs/>
          <w:color w:val="000000"/>
          <w:sz w:val="24"/>
          <w:szCs w:val="24"/>
        </w:rPr>
        <w:t>économique</w:t>
      </w:r>
      <w:r w:rsidRPr="00630189">
        <w:rPr>
          <w:rFonts w:eastAsia="Calibri"/>
          <w:bCs/>
          <w:color w:val="000000"/>
          <w:sz w:val="24"/>
          <w:szCs w:val="24"/>
        </w:rPr>
        <w:t xml:space="preserve"> </w:t>
      </w:r>
      <w:r w:rsidRPr="00630189">
        <w:rPr>
          <w:rFonts w:eastAsia="Calibri"/>
          <w:color w:val="000000"/>
          <w:sz w:val="24"/>
          <w:szCs w:val="24"/>
        </w:rPr>
        <w:t>malgré le faible engouement</w:t>
      </w:r>
      <w:r>
        <w:rPr>
          <w:rFonts w:eastAsia="Calibri"/>
          <w:color w:val="000000"/>
          <w:sz w:val="24"/>
          <w:szCs w:val="24"/>
        </w:rPr>
        <w:t xml:space="preserve"> </w:t>
      </w:r>
      <w:r w:rsidRPr="00630189">
        <w:rPr>
          <w:rFonts w:eastAsia="Calibri"/>
          <w:color w:val="000000"/>
          <w:sz w:val="24"/>
          <w:szCs w:val="24"/>
        </w:rPr>
        <w:t>des apprenants autour de cette formule et la baisse du taux d’alphabétisation des adultes depuis 2018</w:t>
      </w:r>
      <w:r w:rsidRPr="00630189">
        <w:rPr>
          <w:rFonts w:eastAsia="Calibri"/>
          <w:bCs/>
          <w:sz w:val="24"/>
          <w:szCs w:val="24"/>
        </w:rPr>
        <w:t>.</w:t>
      </w:r>
      <w:r w:rsidRPr="00630189">
        <w:rPr>
          <w:rFonts w:eastAsia="Calibri"/>
          <w:sz w:val="24"/>
          <w:szCs w:val="24"/>
        </w:rPr>
        <w:t xml:space="preserve"> </w:t>
      </w:r>
    </w:p>
    <w:p w14:paraId="43AE4C9A" w14:textId="728CC91D" w:rsidR="00D80693" w:rsidRPr="00630189" w:rsidRDefault="00D80693" w:rsidP="00102D91">
      <w:pPr>
        <w:spacing w:before="120"/>
        <w:jc w:val="both"/>
        <w:rPr>
          <w:rFonts w:eastAsia="Calibri"/>
          <w:bCs/>
          <w:sz w:val="24"/>
          <w:szCs w:val="24"/>
        </w:rPr>
      </w:pPr>
      <w:r w:rsidRPr="00630189">
        <w:rPr>
          <w:rFonts w:eastAsia="Calibri"/>
          <w:sz w:val="24"/>
          <w:szCs w:val="24"/>
        </w:rPr>
        <w:t xml:space="preserve">En </w:t>
      </w:r>
      <w:r>
        <w:rPr>
          <w:rFonts w:eastAsia="Calibri"/>
          <w:sz w:val="24"/>
          <w:szCs w:val="24"/>
        </w:rPr>
        <w:t>définitive</w:t>
      </w:r>
      <w:r w:rsidRPr="00630189">
        <w:rPr>
          <w:rFonts w:eastAsia="Calibri"/>
          <w:sz w:val="24"/>
          <w:szCs w:val="24"/>
        </w:rPr>
        <w:t xml:space="preserve">, les résultats de cette recherche confirment que les orientations actuelles de la politique éducative du Burkina Faso, en particulier dans le domaine de l’éducation non formelle, sont prometteuses. Elles présentent un réel potentiel pour favoriser l’autonomisation </w:t>
      </w:r>
      <w:r>
        <w:rPr>
          <w:rFonts w:eastAsia="Calibri"/>
          <w:sz w:val="24"/>
          <w:szCs w:val="24"/>
        </w:rPr>
        <w:t>économique</w:t>
      </w:r>
      <w:r w:rsidRPr="00630189">
        <w:rPr>
          <w:rFonts w:eastAsia="Calibri"/>
          <w:sz w:val="24"/>
          <w:szCs w:val="24"/>
        </w:rPr>
        <w:t xml:space="preserve"> des néo-alphabétisés. Toutefois, il est essentiel que l’État s’engage davantage dans la promotion de l’approche </w:t>
      </w:r>
      <w:proofErr w:type="spellStart"/>
      <w:r w:rsidR="00102D91" w:rsidRPr="00102D91">
        <w:rPr>
          <w:rFonts w:eastAsia="Calibri"/>
          <w:i/>
          <w:iCs/>
          <w:sz w:val="24"/>
          <w:szCs w:val="24"/>
        </w:rPr>
        <w:t>Reflect</w:t>
      </w:r>
      <w:proofErr w:type="spellEnd"/>
      <w:r w:rsidRPr="00630189">
        <w:rPr>
          <w:rFonts w:eastAsia="Calibri"/>
          <w:sz w:val="24"/>
          <w:szCs w:val="24"/>
        </w:rPr>
        <w:t xml:space="preserve">, en la soutenant activement et en la valorisant, compte tenu de son </w:t>
      </w:r>
      <w:r>
        <w:rPr>
          <w:rFonts w:eastAsia="Calibri"/>
          <w:sz w:val="24"/>
          <w:szCs w:val="24"/>
        </w:rPr>
        <w:t>effet économique</w:t>
      </w:r>
      <w:r w:rsidRPr="00630189">
        <w:rPr>
          <w:rFonts w:eastAsia="Calibri"/>
          <w:sz w:val="24"/>
          <w:szCs w:val="24"/>
        </w:rPr>
        <w:t xml:space="preserve"> avéré</w:t>
      </w:r>
      <w:r>
        <w:rPr>
          <w:rFonts w:eastAsia="Calibri"/>
          <w:sz w:val="24"/>
          <w:szCs w:val="24"/>
        </w:rPr>
        <w:t xml:space="preserve"> sur les néo-alphabétisés</w:t>
      </w:r>
      <w:r w:rsidRPr="00630189">
        <w:rPr>
          <w:rFonts w:eastAsia="Calibri"/>
          <w:sz w:val="24"/>
          <w:szCs w:val="24"/>
        </w:rPr>
        <w:t xml:space="preserve">. À ce jour, la </w:t>
      </w:r>
      <w:r>
        <w:rPr>
          <w:rFonts w:eastAsia="Calibri"/>
          <w:sz w:val="24"/>
          <w:szCs w:val="24"/>
        </w:rPr>
        <w:t>promotion</w:t>
      </w:r>
      <w:r w:rsidRPr="00630189">
        <w:rPr>
          <w:rFonts w:eastAsia="Calibri"/>
          <w:sz w:val="24"/>
          <w:szCs w:val="24"/>
        </w:rPr>
        <w:t xml:space="preserve"> de cette approche reste essentiellement portée par le secteur privé, notamment l’Association pour la Promotion de l’Éducation Non Formelle (APENF), le Fonds pour l’Alphabétisation et l’Éducation Non Formelle (FONAENF), ainsi que certaines ONG et associations.</w:t>
      </w:r>
      <w:bookmarkStart w:id="125" w:name="_Hlk201220354"/>
    </w:p>
    <w:p w14:paraId="43133793" w14:textId="77777777" w:rsidR="00D80693" w:rsidRPr="009F4C2E" w:rsidRDefault="00D80693" w:rsidP="00102D91">
      <w:pPr>
        <w:tabs>
          <w:tab w:val="center" w:pos="4513"/>
          <w:tab w:val="right" w:pos="9026"/>
        </w:tabs>
        <w:spacing w:before="120"/>
        <w:jc w:val="both"/>
        <w:rPr>
          <w:rFonts w:eastAsia="Calibri"/>
          <w:b/>
          <w:bCs/>
          <w:sz w:val="28"/>
          <w:szCs w:val="28"/>
        </w:rPr>
      </w:pPr>
      <w:r w:rsidRPr="009F4C2E">
        <w:rPr>
          <w:rFonts w:eastAsia="Calibri"/>
          <w:b/>
          <w:bCs/>
          <w:sz w:val="28"/>
          <w:szCs w:val="28"/>
        </w:rPr>
        <w:t>Références bibliographiques</w:t>
      </w:r>
      <w:bookmarkEnd w:id="125"/>
    </w:p>
    <w:p w14:paraId="071B2539"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Assemblée Nationale (2007). </w:t>
      </w:r>
      <w:r w:rsidRPr="008A039E">
        <w:rPr>
          <w:rFonts w:eastAsia="Calibri"/>
          <w:bCs/>
          <w:i/>
          <w:sz w:val="24"/>
          <w:szCs w:val="24"/>
        </w:rPr>
        <w:t>Loi n°013-2007/an portant loi d’Orientation de l’Education</w:t>
      </w:r>
      <w:r w:rsidRPr="008A039E">
        <w:rPr>
          <w:rFonts w:eastAsia="Calibri"/>
          <w:bCs/>
          <w:sz w:val="24"/>
          <w:szCs w:val="24"/>
        </w:rPr>
        <w:t xml:space="preserve"> du 30 juillet 2007</w:t>
      </w:r>
    </w:p>
    <w:p w14:paraId="376FC30A"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Association pour le Développement de l’Éducation en Afrique (2003). </w:t>
      </w:r>
      <w:r w:rsidRPr="008A039E">
        <w:rPr>
          <w:rFonts w:eastAsia="Calibri"/>
          <w:bCs/>
          <w:i/>
          <w:iCs/>
          <w:sz w:val="24"/>
          <w:szCs w:val="24"/>
        </w:rPr>
        <w:t>Étude de cas nationale Burkina Faso : Améliorer la qualité de l’éducation de base au Burkina Faso, Groupe de travail sur l’éducation non formelle.</w:t>
      </w:r>
    </w:p>
    <w:p w14:paraId="559A2D79" w14:textId="77777777" w:rsidR="00D80693" w:rsidRPr="008A039E" w:rsidRDefault="00D80693" w:rsidP="00102D91">
      <w:pPr>
        <w:spacing w:before="120"/>
        <w:ind w:left="993" w:hanging="993"/>
        <w:jc w:val="both"/>
        <w:rPr>
          <w:rFonts w:eastAsia="Calibri"/>
          <w:bCs/>
          <w:i/>
          <w:sz w:val="24"/>
          <w:szCs w:val="24"/>
        </w:rPr>
      </w:pPr>
      <w:r w:rsidRPr="0065773E">
        <w:rPr>
          <w:rFonts w:eastAsia="Calibri"/>
          <w:bCs/>
          <w:sz w:val="24"/>
          <w:szCs w:val="24"/>
          <w:lang w:val="pt-PT"/>
        </w:rPr>
        <w:t xml:space="preserve">Baba-Moussa, A. R., Malam Moussa, L. &amp; Rakotozafy, J. (2014). </w:t>
      </w:r>
      <w:r w:rsidRPr="008A039E">
        <w:rPr>
          <w:rFonts w:eastAsia="Calibri"/>
          <w:bCs/>
          <w:i/>
          <w:sz w:val="24"/>
          <w:szCs w:val="24"/>
        </w:rPr>
        <w:t>Fondement et philosophie de l’éducation des adultes en Afrique</w:t>
      </w:r>
    </w:p>
    <w:p w14:paraId="16CF68CE"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Balima, P. (2006). </w:t>
      </w:r>
      <w:r w:rsidRPr="008A039E">
        <w:rPr>
          <w:rFonts w:eastAsia="Calibri"/>
          <w:bCs/>
          <w:i/>
          <w:sz w:val="24"/>
          <w:szCs w:val="24"/>
        </w:rPr>
        <w:t>Intégration de l’alphabétisation et de l’éducation non formelle dans la politique éducative au Burkina Faso</w:t>
      </w:r>
      <w:r w:rsidRPr="008A039E">
        <w:rPr>
          <w:rFonts w:eastAsia="Calibri"/>
          <w:bCs/>
          <w:sz w:val="24"/>
          <w:szCs w:val="24"/>
        </w:rPr>
        <w:t>.</w:t>
      </w:r>
    </w:p>
    <w:p w14:paraId="2DF46541"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Easton, B. P. (2006). Investir dans l’alphabétisation : Où, Pourquoi et comment. ADEA.</w:t>
      </w:r>
    </w:p>
    <w:p w14:paraId="13DD2DDB"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Gaymard, S. (2021). </w:t>
      </w:r>
      <w:r w:rsidRPr="008A039E">
        <w:rPr>
          <w:rFonts w:eastAsia="Calibri"/>
          <w:bCs/>
          <w:i/>
          <w:iCs/>
          <w:sz w:val="24"/>
          <w:szCs w:val="24"/>
        </w:rPr>
        <w:t>Les fondements des représentations sociales, sources, théorique et pratiques</w:t>
      </w:r>
      <w:r w:rsidRPr="008A039E">
        <w:rPr>
          <w:rFonts w:eastAsia="Calibri"/>
          <w:bCs/>
          <w:sz w:val="24"/>
          <w:szCs w:val="24"/>
        </w:rPr>
        <w:t>, Dunod</w:t>
      </w:r>
    </w:p>
    <w:p w14:paraId="2734E9BA" w14:textId="77777777" w:rsidR="00D80693" w:rsidRPr="008A039E" w:rsidRDefault="00D80693" w:rsidP="00102D91">
      <w:pPr>
        <w:spacing w:before="120"/>
        <w:ind w:left="993" w:hanging="993"/>
        <w:jc w:val="both"/>
        <w:rPr>
          <w:rFonts w:eastAsia="Calibri"/>
          <w:bCs/>
          <w:sz w:val="24"/>
          <w:szCs w:val="24"/>
        </w:rPr>
      </w:pPr>
      <w:proofErr w:type="spellStart"/>
      <w:r w:rsidRPr="008A039E">
        <w:rPr>
          <w:rFonts w:eastAsia="Calibri"/>
          <w:bCs/>
          <w:sz w:val="24"/>
          <w:szCs w:val="24"/>
        </w:rPr>
        <w:t>Hachicha</w:t>
      </w:r>
      <w:proofErr w:type="spellEnd"/>
      <w:r w:rsidRPr="008A039E">
        <w:rPr>
          <w:rFonts w:eastAsia="Calibri"/>
          <w:bCs/>
          <w:sz w:val="24"/>
          <w:szCs w:val="24"/>
        </w:rPr>
        <w:t xml:space="preserve">, S. (2006). </w:t>
      </w:r>
      <w:r w:rsidRPr="008A039E">
        <w:rPr>
          <w:rFonts w:eastAsia="Calibri"/>
          <w:bCs/>
          <w:i/>
          <w:sz w:val="24"/>
          <w:szCs w:val="24"/>
        </w:rPr>
        <w:t>Andragogie</w:t>
      </w:r>
      <w:r w:rsidRPr="008A039E">
        <w:rPr>
          <w:rFonts w:eastAsia="Calibri"/>
          <w:bCs/>
          <w:sz w:val="24"/>
          <w:szCs w:val="24"/>
        </w:rPr>
        <w:t>, Institut supérieur de l’éducation et de la formation continue.</w:t>
      </w:r>
    </w:p>
    <w:p w14:paraId="33F73CC5"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Institut National de la Statistique et de la Démographie (2022). </w:t>
      </w:r>
      <w:r w:rsidRPr="008A039E">
        <w:rPr>
          <w:rFonts w:eastAsia="Calibri"/>
          <w:bCs/>
          <w:i/>
          <w:sz w:val="24"/>
          <w:szCs w:val="24"/>
        </w:rPr>
        <w:t>Cinquième Recensement Général de la Population et de l’Habitation du Burkina Faso (RGPH)</w:t>
      </w:r>
      <w:r w:rsidRPr="008A039E">
        <w:rPr>
          <w:rFonts w:eastAsia="Calibri"/>
          <w:bCs/>
          <w:sz w:val="24"/>
          <w:szCs w:val="24"/>
        </w:rPr>
        <w:t>.</w:t>
      </w:r>
    </w:p>
    <w:p w14:paraId="2EE30DE3"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Jodelet, D. (1989). </w:t>
      </w:r>
      <w:r w:rsidRPr="008A039E">
        <w:rPr>
          <w:rFonts w:eastAsia="Calibri"/>
          <w:bCs/>
          <w:i/>
          <w:iCs/>
          <w:sz w:val="24"/>
          <w:szCs w:val="24"/>
        </w:rPr>
        <w:t>Les représentations sociales.</w:t>
      </w:r>
      <w:r w:rsidRPr="008A039E">
        <w:rPr>
          <w:rFonts w:eastAsia="Calibri"/>
          <w:bCs/>
          <w:sz w:val="24"/>
          <w:szCs w:val="24"/>
        </w:rPr>
        <w:t xml:space="preserve">  Classiques des sciences sociales. Consultée le 07 </w:t>
      </w:r>
      <w:proofErr w:type="gramStart"/>
      <w:r w:rsidRPr="008A039E">
        <w:rPr>
          <w:rFonts w:eastAsia="Calibri"/>
          <w:bCs/>
          <w:sz w:val="24"/>
          <w:szCs w:val="24"/>
        </w:rPr>
        <w:t>Septembre</w:t>
      </w:r>
      <w:proofErr w:type="gramEnd"/>
      <w:r w:rsidRPr="008A039E">
        <w:rPr>
          <w:rFonts w:eastAsia="Calibri"/>
          <w:bCs/>
          <w:sz w:val="24"/>
          <w:szCs w:val="24"/>
        </w:rPr>
        <w:t xml:space="preserve"> 2025 sur </w:t>
      </w:r>
      <w:hyperlink r:id="rId93" w:history="1">
        <w:r w:rsidRPr="008A039E">
          <w:rPr>
            <w:rFonts w:eastAsia="Calibri"/>
            <w:bCs/>
            <w:sz w:val="24"/>
            <w:szCs w:val="24"/>
            <w:u w:val="single"/>
          </w:rPr>
          <w:t>https://classiques.uqam.ca/contemporains/jodelet_denise/representations_sociales/representations_sociales.html</w:t>
        </w:r>
      </w:hyperlink>
      <w:r w:rsidRPr="008A039E">
        <w:rPr>
          <w:bCs/>
          <w:sz w:val="24"/>
          <w:szCs w:val="24"/>
        </w:rPr>
        <w:t xml:space="preserve"> </w:t>
      </w:r>
    </w:p>
    <w:p w14:paraId="57987968"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Kamel, A. (2012). </w:t>
      </w:r>
      <w:r w:rsidRPr="008A039E">
        <w:rPr>
          <w:rFonts w:eastAsia="Calibri"/>
          <w:bCs/>
          <w:i/>
          <w:sz w:val="24"/>
          <w:szCs w:val="24"/>
        </w:rPr>
        <w:t>Le rôle de la formation dans le développement des compétences des cadres : cas de « ICOTAC et ALCOVEL »</w:t>
      </w:r>
      <w:r w:rsidRPr="008A039E">
        <w:rPr>
          <w:rFonts w:eastAsia="Calibri"/>
          <w:bCs/>
          <w:sz w:val="24"/>
          <w:szCs w:val="24"/>
        </w:rPr>
        <w:t xml:space="preserve"> </w:t>
      </w:r>
      <w:bookmarkStart w:id="126" w:name="_Hlk189516076"/>
      <w:r w:rsidRPr="008A039E">
        <w:rPr>
          <w:rFonts w:eastAsia="Calibri"/>
          <w:bCs/>
          <w:sz w:val="24"/>
          <w:szCs w:val="24"/>
        </w:rPr>
        <w:t>[Mémoire de Master non publié]. Université Abderrahmane Mira de Bejaia</w:t>
      </w:r>
      <w:bookmarkEnd w:id="126"/>
    </w:p>
    <w:p w14:paraId="0F76709D"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Meister, A. (1981). La formation des adultes et le développement, </w:t>
      </w:r>
      <w:r w:rsidRPr="008A039E">
        <w:rPr>
          <w:rFonts w:eastAsia="Calibri"/>
          <w:bCs/>
          <w:i/>
          <w:sz w:val="24"/>
          <w:szCs w:val="24"/>
        </w:rPr>
        <w:t>Revue Internationale d’action communautaire</w:t>
      </w:r>
      <w:r w:rsidRPr="008A039E">
        <w:rPr>
          <w:rFonts w:eastAsia="Calibri"/>
          <w:bCs/>
          <w:sz w:val="24"/>
          <w:szCs w:val="24"/>
        </w:rPr>
        <w:t>, 6 (46), 141 – 149.</w:t>
      </w:r>
    </w:p>
    <w:p w14:paraId="4DCAE4BE" w14:textId="77777777" w:rsidR="00D80693" w:rsidRPr="008A039E" w:rsidRDefault="00D80693" w:rsidP="00102D91">
      <w:pPr>
        <w:spacing w:before="120"/>
        <w:ind w:left="993" w:hanging="993"/>
        <w:jc w:val="both"/>
        <w:rPr>
          <w:rFonts w:eastAsia="Calibri"/>
          <w:bCs/>
          <w:i/>
          <w:sz w:val="24"/>
          <w:szCs w:val="24"/>
        </w:rPr>
      </w:pPr>
      <w:r w:rsidRPr="008A039E">
        <w:rPr>
          <w:rFonts w:eastAsia="Calibri"/>
          <w:bCs/>
          <w:sz w:val="24"/>
          <w:szCs w:val="24"/>
        </w:rPr>
        <w:t xml:space="preserve">Ministère de l’Education Nationale et de la Promotion des Langues Nationales (2024). </w:t>
      </w:r>
      <w:r w:rsidRPr="008A039E">
        <w:rPr>
          <w:rFonts w:eastAsia="Calibri"/>
          <w:bCs/>
          <w:i/>
          <w:sz w:val="24"/>
          <w:szCs w:val="24"/>
        </w:rPr>
        <w:t>Annuaire statistique de l’éducation non formelle, campagne 2024</w:t>
      </w:r>
    </w:p>
    <w:p w14:paraId="7BB61F37" w14:textId="77777777" w:rsidR="00D80693" w:rsidRPr="008A039E" w:rsidRDefault="00D80693" w:rsidP="00102D91">
      <w:pPr>
        <w:spacing w:before="120"/>
        <w:ind w:left="993" w:hanging="993"/>
        <w:jc w:val="both"/>
        <w:rPr>
          <w:rFonts w:eastAsia="Calibri"/>
          <w:bCs/>
          <w:i/>
          <w:sz w:val="24"/>
          <w:szCs w:val="24"/>
        </w:rPr>
      </w:pPr>
      <w:r w:rsidRPr="008A039E">
        <w:rPr>
          <w:rFonts w:eastAsia="Calibri"/>
          <w:bCs/>
          <w:sz w:val="24"/>
          <w:szCs w:val="24"/>
        </w:rPr>
        <w:t xml:space="preserve">Ministère des Enseignements Supérieurs, de la Recherche et de l’Innovation (2021). </w:t>
      </w:r>
      <w:r w:rsidRPr="008A039E">
        <w:rPr>
          <w:rFonts w:eastAsia="Calibri"/>
          <w:bCs/>
          <w:i/>
          <w:sz w:val="24"/>
          <w:szCs w:val="24"/>
        </w:rPr>
        <w:t>Annuaire statistique de l’enseignement supérieur 2019 – 2020</w:t>
      </w:r>
    </w:p>
    <w:p w14:paraId="14D88B27"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Moulton, J. (1997).  </w:t>
      </w:r>
      <w:r w:rsidRPr="008A039E">
        <w:rPr>
          <w:rFonts w:eastAsia="Calibri"/>
          <w:bCs/>
          <w:i/>
          <w:sz w:val="24"/>
          <w:szCs w:val="24"/>
        </w:rPr>
        <w:t>Éducation formelle et non formelle et comportement autonome : un examen de littérature de la recherche, Projet SARA</w:t>
      </w:r>
    </w:p>
    <w:p w14:paraId="525F088C"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Organisation des Nations Unies pour l’Education, la Science et la Culture (2010). </w:t>
      </w:r>
      <w:r w:rsidRPr="008A039E">
        <w:rPr>
          <w:rFonts w:eastAsia="Calibri"/>
          <w:bCs/>
          <w:i/>
          <w:sz w:val="24"/>
          <w:szCs w:val="24"/>
        </w:rPr>
        <w:t>Rapport mondial sur l’apprentissage et l’éducation des adultes</w:t>
      </w:r>
      <w:r w:rsidRPr="008A039E">
        <w:rPr>
          <w:rFonts w:eastAsia="Calibri"/>
          <w:bCs/>
          <w:sz w:val="24"/>
          <w:szCs w:val="24"/>
        </w:rPr>
        <w:t>, 2010, Hambourg, Allemagne</w:t>
      </w:r>
    </w:p>
    <w:p w14:paraId="22D7B13D" w14:textId="77777777" w:rsidR="00D80693" w:rsidRPr="008A039E" w:rsidRDefault="00D80693" w:rsidP="00102D91">
      <w:pPr>
        <w:spacing w:before="120"/>
        <w:ind w:left="993" w:hanging="993"/>
        <w:jc w:val="both"/>
        <w:rPr>
          <w:rFonts w:eastAsia="SimSun"/>
          <w:bCs/>
          <w:sz w:val="24"/>
          <w:szCs w:val="24"/>
          <w:lang w:eastAsia="zh-CN"/>
        </w:rPr>
      </w:pPr>
      <w:r w:rsidRPr="008A039E">
        <w:rPr>
          <w:rFonts w:eastAsia="Calibri"/>
          <w:bCs/>
          <w:sz w:val="24"/>
          <w:szCs w:val="24"/>
        </w:rPr>
        <w:t xml:space="preserve">Seya, T. P. (2005). </w:t>
      </w:r>
      <w:r w:rsidRPr="008A039E">
        <w:rPr>
          <w:rFonts w:eastAsia="Calibri"/>
          <w:bCs/>
          <w:i/>
          <w:sz w:val="24"/>
          <w:szCs w:val="24"/>
        </w:rPr>
        <w:t>Education des adultes et développement de l’Afrique dans un contexte de la mondialisation</w:t>
      </w:r>
      <w:r w:rsidRPr="008A039E">
        <w:rPr>
          <w:rFonts w:eastAsia="Calibri"/>
          <w:bCs/>
          <w:sz w:val="24"/>
          <w:szCs w:val="24"/>
        </w:rPr>
        <w:t xml:space="preserve">. </w:t>
      </w:r>
      <w:proofErr w:type="spellStart"/>
      <w:r w:rsidRPr="008A039E">
        <w:rPr>
          <w:rFonts w:eastAsia="Calibri"/>
          <w:bCs/>
          <w:sz w:val="24"/>
          <w:szCs w:val="24"/>
        </w:rPr>
        <w:t>Dvv-internationnal</w:t>
      </w:r>
      <w:proofErr w:type="spellEnd"/>
      <w:r w:rsidRPr="008A039E">
        <w:rPr>
          <w:rFonts w:eastAsia="Calibri"/>
          <w:bCs/>
          <w:sz w:val="24"/>
          <w:szCs w:val="24"/>
        </w:rPr>
        <w:t xml:space="preserve">.  Consulté le 20 Janvier 2024 sur </w:t>
      </w:r>
      <w:hyperlink r:id="rId94" w:history="1">
        <w:r w:rsidRPr="008A039E">
          <w:rPr>
            <w:rFonts w:eastAsia="SimSun"/>
            <w:bCs/>
            <w:sz w:val="24"/>
            <w:szCs w:val="24"/>
            <w:u w:val="single"/>
            <w:lang w:eastAsia="zh-CN"/>
          </w:rPr>
          <w:t>https://www.dvv-international.de/fr/education-des-adultes-et-developpement/numeros/ead-652005/objectifs-du-millenaire-pour-le-developpement-education-pour-tous/education-des-adultes-et-developpement-de-lafrique-dans-le-contexte-de-la-mondialisation</w:t>
        </w:r>
      </w:hyperlink>
    </w:p>
    <w:p w14:paraId="47B7247C" w14:textId="77777777" w:rsidR="00D80693" w:rsidRPr="008A039E" w:rsidRDefault="00D80693" w:rsidP="00102D91">
      <w:pPr>
        <w:spacing w:before="120"/>
        <w:ind w:left="993" w:hanging="993"/>
        <w:jc w:val="both"/>
        <w:rPr>
          <w:rFonts w:eastAsia="Calibri"/>
          <w:bCs/>
          <w:sz w:val="24"/>
          <w:szCs w:val="24"/>
        </w:rPr>
      </w:pPr>
      <w:r w:rsidRPr="008A039E">
        <w:rPr>
          <w:rFonts w:eastAsia="Calibri"/>
          <w:bCs/>
          <w:sz w:val="24"/>
          <w:szCs w:val="24"/>
        </w:rPr>
        <w:t xml:space="preserve">Traore/Palé, C. (2008). Les obstacles à la participation et à la réussite des programmes d’alphabétisation au Burkina Faso, </w:t>
      </w:r>
      <w:r w:rsidRPr="008A039E">
        <w:rPr>
          <w:rFonts w:eastAsia="Calibri"/>
          <w:bCs/>
          <w:i/>
          <w:iCs/>
          <w:sz w:val="24"/>
          <w:szCs w:val="24"/>
        </w:rPr>
        <w:t>Science et technique, Lettres, Sciences sociales et humaines</w:t>
      </w:r>
      <w:r w:rsidRPr="008A039E">
        <w:rPr>
          <w:rFonts w:eastAsia="Calibri"/>
          <w:bCs/>
          <w:sz w:val="24"/>
          <w:szCs w:val="24"/>
        </w:rPr>
        <w:t>, 25 (2), 33-54</w:t>
      </w:r>
    </w:p>
    <w:p w14:paraId="57FF9325" w14:textId="77777777" w:rsidR="00D80693" w:rsidRPr="008A039E" w:rsidRDefault="00D80693" w:rsidP="00102D91">
      <w:pPr>
        <w:spacing w:before="120"/>
        <w:ind w:left="993" w:hanging="993"/>
        <w:jc w:val="both"/>
        <w:rPr>
          <w:rFonts w:eastAsia="Calibri"/>
          <w:kern w:val="2"/>
          <w:sz w:val="24"/>
          <w:szCs w:val="24"/>
          <w14:ligatures w14:val="standardContextual"/>
        </w:rPr>
      </w:pPr>
      <w:r w:rsidRPr="008A039E">
        <w:rPr>
          <w:rFonts w:eastAsia="Calibri"/>
          <w:bCs/>
          <w:kern w:val="2"/>
          <w:sz w:val="24"/>
          <w:szCs w:val="24"/>
          <w14:ligatures w14:val="standardContextual"/>
        </w:rPr>
        <w:t xml:space="preserve">Wagener, B (février 2018). </w:t>
      </w:r>
      <w:r w:rsidRPr="008A039E">
        <w:rPr>
          <w:rFonts w:eastAsia="Calibri"/>
          <w:bCs/>
          <w:i/>
          <w:iCs/>
          <w:kern w:val="2"/>
          <w:sz w:val="24"/>
          <w:szCs w:val="24"/>
          <w14:ligatures w14:val="standardContextual"/>
        </w:rPr>
        <w:t>L'importance du sentiment d'efficacité personnelle - Se réaliser.</w:t>
      </w:r>
      <w:r w:rsidRPr="008A039E">
        <w:rPr>
          <w:rFonts w:eastAsia="Calibri"/>
          <w:bCs/>
          <w:kern w:val="2"/>
          <w:sz w:val="24"/>
          <w:szCs w:val="24"/>
          <w14:ligatures w14:val="standardContextual"/>
        </w:rPr>
        <w:t xml:space="preserve"> </w:t>
      </w:r>
      <w:bookmarkStart w:id="127" w:name="_Hlk214918145"/>
      <m:oMath>
        <m:d>
          <m:dPr>
            <m:begChr m:val="["/>
            <m:endChr m:val="]"/>
            <m:ctrlPr>
              <w:rPr>
                <w:rFonts w:ascii="Cambria Math" w:eastAsia="Calibri" w:hAnsi="Cambria Math"/>
                <w:bCs/>
                <w:i/>
                <w:kern w:val="2"/>
                <w:sz w:val="24"/>
                <w:szCs w:val="24"/>
                <w14:ligatures w14:val="standardContextual"/>
              </w:rPr>
            </m:ctrlPr>
          </m:dPr>
          <m:e>
            <m:r>
              <m:rPr>
                <m:sty m:val="p"/>
              </m:rPr>
              <w:rPr>
                <w:rFonts w:ascii="Cambria Math" w:eastAsia="Calibri" w:hAnsi="Cambria Math"/>
                <w:kern w:val="2"/>
                <w:sz w:val="24"/>
                <w:szCs w:val="24"/>
                <w14:ligatures w14:val="standardContextual"/>
              </w:rPr>
              <m:t>En Ligne</m:t>
            </m:r>
            <m:ctrlPr>
              <w:rPr>
                <w:rFonts w:ascii="Cambria Math" w:hAnsi="Cambria Math"/>
              </w:rPr>
            </m:ctrlPr>
          </m:e>
        </m:d>
      </m:oMath>
      <w:r w:rsidRPr="008A039E">
        <w:rPr>
          <w:rFonts w:eastAsia="Calibri"/>
          <w:bCs/>
          <w:kern w:val="2"/>
          <w:sz w:val="24"/>
          <w:szCs w:val="24"/>
          <w14:ligatures w14:val="standardContextual"/>
        </w:rPr>
        <w:t xml:space="preserve">, consulté le 24 </w:t>
      </w:r>
      <w:proofErr w:type="gramStart"/>
      <w:r w:rsidRPr="008A039E">
        <w:rPr>
          <w:rFonts w:eastAsia="Calibri"/>
          <w:bCs/>
          <w:kern w:val="2"/>
          <w:sz w:val="24"/>
          <w:szCs w:val="24"/>
          <w14:ligatures w14:val="standardContextual"/>
        </w:rPr>
        <w:t>Novembre</w:t>
      </w:r>
      <w:proofErr w:type="gramEnd"/>
      <w:r w:rsidRPr="008A039E">
        <w:rPr>
          <w:rFonts w:eastAsia="Calibri"/>
          <w:bCs/>
          <w:kern w:val="2"/>
          <w:sz w:val="24"/>
          <w:szCs w:val="24"/>
          <w14:ligatures w14:val="standardContextual"/>
        </w:rPr>
        <w:t xml:space="preserve"> 2025 sur</w:t>
      </w:r>
      <w:bookmarkEnd w:id="127"/>
      <w:r w:rsidRPr="008A039E">
        <w:rPr>
          <w:rFonts w:eastAsia="Calibri"/>
          <w:bCs/>
          <w:kern w:val="2"/>
          <w:sz w:val="24"/>
          <w:szCs w:val="24"/>
          <w14:ligatures w14:val="standardContextual"/>
        </w:rPr>
        <w:t xml:space="preserve"> </w:t>
      </w:r>
      <w:hyperlink r:id="rId95" w:history="1">
        <w:r w:rsidRPr="008A039E">
          <w:rPr>
            <w:rFonts w:eastAsia="Calibri"/>
            <w:bCs/>
            <w:kern w:val="2"/>
            <w:sz w:val="24"/>
            <w:szCs w:val="24"/>
            <w:u w:val="single"/>
            <w14:ligatures w14:val="standardContextual"/>
          </w:rPr>
          <w:t>https://se-realiser.com/efficacite-personnelle/</w:t>
        </w:r>
      </w:hyperlink>
    </w:p>
    <w:p w14:paraId="02BCD414" w14:textId="77777777" w:rsidR="00D80693" w:rsidRPr="00C534EB" w:rsidRDefault="00D80693" w:rsidP="00102D91">
      <w:pPr>
        <w:spacing w:before="120"/>
        <w:ind w:left="993" w:hanging="993"/>
        <w:jc w:val="both"/>
        <w:rPr>
          <w:rFonts w:ascii="Bodoni MT" w:eastAsia="SimSun" w:hAnsi="Bodoni MT"/>
          <w:color w:val="000000"/>
          <w:sz w:val="24"/>
          <w:szCs w:val="24"/>
          <w:lang w:eastAsia="zh-CN"/>
        </w:rPr>
      </w:pPr>
    </w:p>
    <w:p w14:paraId="2120AA61" w14:textId="77777777" w:rsidR="00D80693" w:rsidRPr="00652D97" w:rsidRDefault="00D80693" w:rsidP="00102D91">
      <w:pPr>
        <w:spacing w:before="120"/>
        <w:ind w:left="993" w:hanging="993"/>
        <w:jc w:val="both"/>
        <w:rPr>
          <w:rFonts w:eastAsia="SimSun"/>
          <w:color w:val="000000"/>
          <w:sz w:val="24"/>
          <w:szCs w:val="24"/>
          <w:lang w:eastAsia="zh-CN"/>
        </w:rPr>
        <w:sectPr w:rsidR="00D80693" w:rsidRPr="00652D97" w:rsidSect="00102D91">
          <w:headerReference w:type="default" r:id="rId96"/>
          <w:pgSz w:w="11906" w:h="16838"/>
          <w:pgMar w:top="1095" w:right="1418" w:bottom="1418" w:left="1418" w:header="568" w:footer="849" w:gutter="0"/>
          <w:cols w:space="708"/>
          <w:docGrid w:linePitch="360"/>
        </w:sectPr>
      </w:pPr>
    </w:p>
    <w:p w14:paraId="7D351E08" w14:textId="714AF37B" w:rsidR="00D80693" w:rsidRPr="00102D91" w:rsidRDefault="00102D91" w:rsidP="00064B54">
      <w:pPr>
        <w:pStyle w:val="Titre1"/>
        <w:spacing w:before="120"/>
        <w:ind w:left="164"/>
        <w:rPr>
          <w:rFonts w:eastAsia="Aptos"/>
          <w:b w:val="0"/>
          <w:i/>
          <w:iCs/>
          <w:szCs w:val="32"/>
          <w:lang w:val="fr-SN"/>
        </w:rPr>
      </w:pPr>
      <w:bookmarkStart w:id="128" w:name="_Toc219272569"/>
      <w:r w:rsidRPr="00102D91">
        <w:rPr>
          <w:rFonts w:asciiTheme="majorBidi" w:eastAsia="Aptos" w:hAnsiTheme="majorBidi" w:cstheme="majorBidi"/>
          <w:i/>
          <w:iCs/>
          <w:szCs w:val="32"/>
          <w:lang w:val="fr-SN"/>
        </w:rPr>
        <w:t>Enseigner les sciences de la vie et de la terre de manière contextualisée : une préoccupation didactique au Gabon</w:t>
      </w:r>
      <w:bookmarkEnd w:id="128"/>
      <w:r w:rsidRPr="00102D91">
        <w:rPr>
          <w:rFonts w:asciiTheme="majorBidi" w:eastAsia="Aptos" w:hAnsiTheme="majorBidi" w:cstheme="majorBidi"/>
          <w:i/>
          <w:iCs/>
          <w:szCs w:val="32"/>
          <w:lang w:val="fr-SN"/>
        </w:rPr>
        <w:t xml:space="preserve"> </w:t>
      </w:r>
    </w:p>
    <w:p w14:paraId="79CE2518" w14:textId="237543DD" w:rsidR="00D80693" w:rsidRPr="00102D91" w:rsidRDefault="00102D91" w:rsidP="00064B54">
      <w:pPr>
        <w:pStyle w:val="Titre1"/>
        <w:spacing w:before="120"/>
        <w:ind w:left="164"/>
        <w:rPr>
          <w:rFonts w:eastAsia="Aptos"/>
          <w:lang w:val="fr-SN"/>
        </w:rPr>
      </w:pPr>
      <w:bookmarkStart w:id="129" w:name="_Toc219272570"/>
      <w:r w:rsidRPr="00102D91">
        <w:rPr>
          <w:rFonts w:asciiTheme="majorBidi" w:eastAsia="Aptos" w:hAnsiTheme="majorBidi" w:cstheme="majorBidi"/>
          <w:lang w:val="fr-SN"/>
        </w:rPr>
        <w:t>Raymonde</w:t>
      </w:r>
      <w:r w:rsidRPr="00102D91">
        <w:rPr>
          <w:rFonts w:asciiTheme="majorBidi" w:eastAsia="Aptos" w:hAnsiTheme="majorBidi" w:cstheme="majorBidi"/>
          <w:lang w:val="fr-SN"/>
        </w:rPr>
        <w:t xml:space="preserve"> </w:t>
      </w:r>
      <w:r w:rsidR="00D80693" w:rsidRPr="00102D91">
        <w:rPr>
          <w:rFonts w:asciiTheme="majorBidi" w:eastAsia="Aptos" w:hAnsiTheme="majorBidi" w:cstheme="majorBidi"/>
          <w:lang w:val="fr-SN"/>
        </w:rPr>
        <w:t>MOUSSAVOU</w:t>
      </w:r>
      <w:bookmarkEnd w:id="129"/>
      <w:r w:rsidR="00D80693" w:rsidRPr="00102D91">
        <w:rPr>
          <w:rFonts w:asciiTheme="majorBidi" w:eastAsia="Aptos" w:hAnsiTheme="majorBidi" w:cstheme="majorBidi"/>
          <w:lang w:val="fr-SN"/>
        </w:rPr>
        <w:t xml:space="preserve"> </w:t>
      </w:r>
    </w:p>
    <w:p w14:paraId="74720439" w14:textId="77777777" w:rsidR="00D80693" w:rsidRDefault="00D80693" w:rsidP="00D80693">
      <w:pPr>
        <w:jc w:val="both"/>
        <w:rPr>
          <w:rFonts w:eastAsia="Aptos"/>
          <w:sz w:val="24"/>
          <w:szCs w:val="24"/>
          <w:lang w:val="fr-SN"/>
        </w:rPr>
      </w:pPr>
    </w:p>
    <w:p w14:paraId="5518FE4F" w14:textId="77777777" w:rsidR="00D80693" w:rsidRDefault="00D80693" w:rsidP="00D80693">
      <w:pPr>
        <w:jc w:val="both"/>
        <w:rPr>
          <w:rFonts w:asciiTheme="majorBidi" w:eastAsia="Aptos" w:hAnsiTheme="majorBidi" w:cstheme="majorBidi"/>
          <w:sz w:val="24"/>
          <w:szCs w:val="24"/>
          <w:lang w:val="fr-SN"/>
        </w:rPr>
      </w:pPr>
      <w:r w:rsidRPr="00E50F97">
        <w:rPr>
          <w:rFonts w:asciiTheme="majorBidi" w:eastAsia="Aptos" w:hAnsiTheme="majorBidi" w:cstheme="majorBidi"/>
          <w:b/>
          <w:bCs/>
          <w:sz w:val="28"/>
          <w:szCs w:val="28"/>
          <w:lang w:val="fr-SN"/>
        </w:rPr>
        <w:t>Résumé</w:t>
      </w:r>
      <w:r>
        <w:rPr>
          <w:rFonts w:asciiTheme="majorBidi" w:eastAsia="Aptos" w:hAnsiTheme="majorBidi" w:cstheme="majorBidi"/>
          <w:sz w:val="24"/>
          <w:szCs w:val="24"/>
          <w:lang w:val="fr-SN"/>
        </w:rPr>
        <w:t xml:space="preserve"> </w:t>
      </w:r>
    </w:p>
    <w:p w14:paraId="66BF60BC" w14:textId="77777777" w:rsidR="00102D91" w:rsidRDefault="00102D91" w:rsidP="00D80693">
      <w:pPr>
        <w:jc w:val="both"/>
        <w:rPr>
          <w:rFonts w:eastAsia="Aptos"/>
          <w:sz w:val="24"/>
          <w:szCs w:val="24"/>
          <w:lang w:val="fr-SN"/>
        </w:rPr>
      </w:pPr>
    </w:p>
    <w:p w14:paraId="3AE1036D" w14:textId="77777777" w:rsidR="00D80693" w:rsidRDefault="00D80693" w:rsidP="00D80693">
      <w:pPr>
        <w:jc w:val="both"/>
        <w:rPr>
          <w:rFonts w:asciiTheme="majorBidi" w:eastAsia="Aptos" w:hAnsiTheme="majorBidi" w:cstheme="majorBidi"/>
          <w:sz w:val="24"/>
          <w:szCs w:val="24"/>
          <w:lang w:val="fr-SN"/>
        </w:rPr>
      </w:pPr>
      <w:r>
        <w:rPr>
          <w:rFonts w:asciiTheme="majorBidi" w:eastAsia="Aptos" w:hAnsiTheme="majorBidi" w:cstheme="majorBidi"/>
          <w:sz w:val="24"/>
          <w:szCs w:val="24"/>
          <w:lang w:val="fr-SN"/>
        </w:rPr>
        <w:t xml:space="preserve">Au Gabon, </w:t>
      </w:r>
      <w:r w:rsidRPr="00E75A67">
        <w:rPr>
          <w:rFonts w:asciiTheme="majorBidi" w:eastAsia="Aptos" w:hAnsiTheme="majorBidi" w:cstheme="majorBidi"/>
          <w:sz w:val="24"/>
          <w:szCs w:val="24"/>
          <w:lang w:val="fr-SN"/>
        </w:rPr>
        <w:t xml:space="preserve">la contextualisation </w:t>
      </w:r>
      <w:r>
        <w:rPr>
          <w:rFonts w:asciiTheme="majorBidi" w:eastAsia="Aptos" w:hAnsiTheme="majorBidi" w:cstheme="majorBidi"/>
          <w:sz w:val="24"/>
          <w:szCs w:val="24"/>
          <w:lang w:val="fr-SN"/>
        </w:rPr>
        <w:t xml:space="preserve">des enseignements permet de traduire les prescriptions règlementaires dans les classes de SVT. Si ces textes </w:t>
      </w:r>
      <w:r w:rsidRPr="00473A45">
        <w:rPr>
          <w:rFonts w:asciiTheme="majorBidi" w:eastAsia="Aptos" w:hAnsiTheme="majorBidi" w:cstheme="majorBidi"/>
          <w:sz w:val="24"/>
          <w:szCs w:val="24"/>
          <w:lang w:val="fr-SN"/>
        </w:rPr>
        <w:t>évoquent des principes de qualité, de pertinence et d’adaptation</w:t>
      </w:r>
      <w:r>
        <w:rPr>
          <w:rFonts w:asciiTheme="majorBidi" w:eastAsia="Aptos" w:hAnsiTheme="majorBidi" w:cstheme="majorBidi"/>
          <w:sz w:val="24"/>
          <w:szCs w:val="24"/>
          <w:lang w:val="fr-SN"/>
        </w:rPr>
        <w:t xml:space="preserve"> d’un contenu d’enseignement, il est difficile de lire une allusion claire à la contextualisation. De plus, des difficultés structurelles, épistémologiques ou didactiques constituent des défis majeurs au Gabon. D’un point de vue didactique, comment envisager d’enseigner les SVT de façon contextualisée au Gabon ? Nous avons exploré des textes réglementaires en SVT et convié des enseignants de SVT à des entretiens semi-directifs à se prononcer sur la question. </w:t>
      </w:r>
      <w:r w:rsidRPr="00E75A67">
        <w:rPr>
          <w:rFonts w:asciiTheme="majorBidi" w:eastAsia="Aptos" w:hAnsiTheme="majorBidi" w:cstheme="majorBidi"/>
          <w:sz w:val="24"/>
          <w:szCs w:val="24"/>
          <w:lang w:val="fr-SN"/>
        </w:rPr>
        <w:t xml:space="preserve">L’analyse thématique menée a permis de faire émerger plusieurs </w:t>
      </w:r>
      <w:r>
        <w:rPr>
          <w:rFonts w:asciiTheme="majorBidi" w:eastAsia="Aptos" w:hAnsiTheme="majorBidi" w:cstheme="majorBidi"/>
          <w:sz w:val="24"/>
          <w:szCs w:val="24"/>
          <w:lang w:val="fr-SN"/>
        </w:rPr>
        <w:t xml:space="preserve">aspects à considérer </w:t>
      </w:r>
      <w:r w:rsidRPr="00E75A67">
        <w:rPr>
          <w:rFonts w:asciiTheme="majorBidi" w:eastAsia="Aptos" w:hAnsiTheme="majorBidi" w:cstheme="majorBidi"/>
          <w:sz w:val="24"/>
          <w:szCs w:val="24"/>
          <w:lang w:val="fr-SN"/>
        </w:rPr>
        <w:t>: la présence fragmentaire ou normative de la contextualisation dans les textes officiels, la perception positive mais inégalement opérationnalisée de cette notion par les enseignants, les obstacles structurels freinant son application effective, ainsi que les formes concrètes parfois ponctuelles ou expérimentales qu’elle prend dans certaines classes.</w:t>
      </w:r>
    </w:p>
    <w:p w14:paraId="681B4921" w14:textId="77777777" w:rsidR="00102D91" w:rsidRPr="00E75A67" w:rsidRDefault="00102D91" w:rsidP="00D80693">
      <w:pPr>
        <w:jc w:val="both"/>
        <w:rPr>
          <w:rFonts w:eastAsia="Aptos"/>
          <w:sz w:val="24"/>
          <w:szCs w:val="24"/>
          <w:lang w:val="fr-SN"/>
        </w:rPr>
      </w:pPr>
    </w:p>
    <w:p w14:paraId="654D478F" w14:textId="77777777" w:rsidR="00D80693" w:rsidRDefault="00D80693" w:rsidP="00D80693">
      <w:pPr>
        <w:rPr>
          <w:rFonts w:asciiTheme="majorBidi" w:eastAsia="Aptos" w:hAnsiTheme="majorBidi" w:cstheme="majorBidi"/>
          <w:sz w:val="24"/>
          <w:szCs w:val="24"/>
          <w:lang w:val="fr-SN"/>
        </w:rPr>
      </w:pPr>
      <w:r w:rsidRPr="00102D91">
        <w:rPr>
          <w:rFonts w:asciiTheme="majorBidi" w:eastAsia="Aptos" w:hAnsiTheme="majorBidi" w:cstheme="majorBidi"/>
          <w:b/>
          <w:bCs/>
          <w:sz w:val="24"/>
          <w:szCs w:val="24"/>
          <w:lang w:val="fr-SN"/>
        </w:rPr>
        <w:t>Mots clés :</w:t>
      </w:r>
      <w:r>
        <w:rPr>
          <w:rFonts w:asciiTheme="majorBidi" w:eastAsia="Aptos" w:hAnsiTheme="majorBidi" w:cstheme="majorBidi"/>
          <w:sz w:val="24"/>
          <w:szCs w:val="24"/>
          <w:lang w:val="fr-SN"/>
        </w:rPr>
        <w:t xml:space="preserve"> contextualisation, enseignement des SVT, </w:t>
      </w:r>
      <w:proofErr w:type="spellStart"/>
      <w:r>
        <w:rPr>
          <w:rFonts w:asciiTheme="majorBidi" w:eastAsia="Aptos" w:hAnsiTheme="majorBidi" w:cstheme="majorBidi"/>
          <w:sz w:val="24"/>
          <w:szCs w:val="24"/>
          <w:lang w:val="fr-SN"/>
        </w:rPr>
        <w:t>multidimensionnalité</w:t>
      </w:r>
      <w:proofErr w:type="spellEnd"/>
      <w:r>
        <w:rPr>
          <w:rFonts w:asciiTheme="majorBidi" w:eastAsia="Aptos" w:hAnsiTheme="majorBidi" w:cstheme="majorBidi"/>
          <w:sz w:val="24"/>
          <w:szCs w:val="24"/>
          <w:lang w:val="fr-SN"/>
        </w:rPr>
        <w:t xml:space="preserve">. </w:t>
      </w:r>
    </w:p>
    <w:p w14:paraId="6FEB319B" w14:textId="77777777" w:rsidR="00102D91" w:rsidRDefault="00102D91" w:rsidP="00D80693">
      <w:pPr>
        <w:rPr>
          <w:rFonts w:eastAsia="Aptos"/>
          <w:sz w:val="24"/>
          <w:szCs w:val="24"/>
          <w:lang w:val="fr-SN"/>
        </w:rPr>
      </w:pPr>
    </w:p>
    <w:p w14:paraId="60BF266B" w14:textId="77777777" w:rsidR="00D80693" w:rsidRDefault="00D80693" w:rsidP="00D80693">
      <w:pPr>
        <w:rPr>
          <w:rFonts w:asciiTheme="majorBidi" w:eastAsia="Aptos" w:hAnsiTheme="majorBidi" w:cstheme="majorBidi"/>
          <w:b/>
          <w:bCs/>
          <w:sz w:val="28"/>
          <w:szCs w:val="28"/>
          <w:lang w:val="en-US"/>
        </w:rPr>
      </w:pPr>
      <w:r w:rsidRPr="00DA69D7">
        <w:rPr>
          <w:rFonts w:asciiTheme="majorBidi" w:eastAsia="Aptos" w:hAnsiTheme="majorBidi" w:cstheme="majorBidi"/>
          <w:b/>
          <w:bCs/>
          <w:sz w:val="28"/>
          <w:szCs w:val="28"/>
          <w:lang w:val="en-US"/>
        </w:rPr>
        <w:t xml:space="preserve">Abstract </w:t>
      </w:r>
    </w:p>
    <w:p w14:paraId="2A46CD1D" w14:textId="77777777" w:rsidR="00102D91" w:rsidRPr="00DA69D7" w:rsidRDefault="00102D91" w:rsidP="00D80693">
      <w:pPr>
        <w:rPr>
          <w:rFonts w:eastAsia="Aptos"/>
          <w:b/>
          <w:bCs/>
          <w:sz w:val="28"/>
          <w:szCs w:val="28"/>
          <w:lang w:val="en-US"/>
        </w:rPr>
      </w:pPr>
    </w:p>
    <w:p w14:paraId="2031BF2C" w14:textId="77777777" w:rsidR="00D80693" w:rsidRPr="00DA69D7" w:rsidRDefault="00D80693" w:rsidP="00D80693">
      <w:pPr>
        <w:jc w:val="both"/>
        <w:rPr>
          <w:rFonts w:eastAsia="Aptos"/>
          <w:sz w:val="24"/>
          <w:szCs w:val="24"/>
          <w:lang w:val="en-US"/>
        </w:rPr>
      </w:pPr>
      <w:r w:rsidRPr="00DA69D7">
        <w:rPr>
          <w:rFonts w:asciiTheme="majorBidi" w:eastAsia="Aptos" w:hAnsiTheme="majorBidi" w:cstheme="majorBidi"/>
          <w:sz w:val="24"/>
          <w:szCs w:val="24"/>
          <w:lang w:val="en-US"/>
        </w:rPr>
        <w:t>In Gabon, contextualization is used to translate regulatory requirements into Life and Earth Sciences (SVT) classrooms. While these texts mention principles of quality, relevance, and adaptation of teaching content, it is difficult to find a clear reference to contextualization. Furthermore, structural, epistemological, and didactic difficulties constitute major challenges in Gabon. From a didactic perspective, how can SVT be taught in a contextualized way in Gabon? We explored regulatory texts on SVT and invited SVT teachers to participate in semi-structured interviews to discuss this issue. The thematic analysis revealed several aspects to consider: the fragmented or prescriptive presence of contextualization in official texts, the positive but unevenly operationalized perception of this concept by teachers, the structural obstacles hindering its effective application, and the sometimes sporadic or experimental forms it takes in certain classrooms.</w:t>
      </w:r>
    </w:p>
    <w:p w14:paraId="2F7FCED5" w14:textId="77777777" w:rsidR="00D80693" w:rsidRPr="00DA69D7" w:rsidRDefault="00D80693" w:rsidP="00D80693">
      <w:pPr>
        <w:rPr>
          <w:rFonts w:eastAsia="Aptos"/>
          <w:sz w:val="24"/>
          <w:szCs w:val="24"/>
          <w:lang w:val="en-US"/>
        </w:rPr>
      </w:pPr>
    </w:p>
    <w:p w14:paraId="552E7EAB" w14:textId="77777777" w:rsidR="00D80693" w:rsidRDefault="00D80693" w:rsidP="00D80693">
      <w:pPr>
        <w:rPr>
          <w:rFonts w:eastAsia="Aptos"/>
          <w:sz w:val="24"/>
          <w:szCs w:val="24"/>
          <w:lang w:val="fr-SN"/>
        </w:rPr>
      </w:pPr>
      <w:proofErr w:type="gramStart"/>
      <w:r w:rsidRPr="00102D91">
        <w:rPr>
          <w:rFonts w:asciiTheme="majorBidi" w:eastAsia="Aptos" w:hAnsiTheme="majorBidi" w:cstheme="majorBidi"/>
          <w:b/>
          <w:bCs/>
          <w:sz w:val="24"/>
          <w:szCs w:val="24"/>
          <w:lang w:val="fr-SN"/>
        </w:rPr>
        <w:t>Keywords:</w:t>
      </w:r>
      <w:proofErr w:type="gramEnd"/>
      <w:r w:rsidRPr="00A52807">
        <w:rPr>
          <w:rFonts w:asciiTheme="majorBidi" w:eastAsia="Aptos" w:hAnsiTheme="majorBidi" w:cstheme="majorBidi"/>
          <w:sz w:val="24"/>
          <w:szCs w:val="24"/>
          <w:lang w:val="fr-SN"/>
        </w:rPr>
        <w:t xml:space="preserve"> </w:t>
      </w:r>
      <w:proofErr w:type="spellStart"/>
      <w:r w:rsidRPr="00A52807">
        <w:rPr>
          <w:rFonts w:asciiTheme="majorBidi" w:eastAsia="Aptos" w:hAnsiTheme="majorBidi" w:cstheme="majorBidi"/>
          <w:sz w:val="24"/>
          <w:szCs w:val="24"/>
          <w:lang w:val="fr-SN"/>
        </w:rPr>
        <w:t>contextualization</w:t>
      </w:r>
      <w:proofErr w:type="spellEnd"/>
      <w:r w:rsidRPr="00A52807">
        <w:rPr>
          <w:rFonts w:asciiTheme="majorBidi" w:eastAsia="Aptos" w:hAnsiTheme="majorBidi" w:cstheme="majorBidi"/>
          <w:sz w:val="24"/>
          <w:szCs w:val="24"/>
          <w:lang w:val="fr-SN"/>
        </w:rPr>
        <w:t xml:space="preserve">, science </w:t>
      </w:r>
      <w:proofErr w:type="spellStart"/>
      <w:r w:rsidRPr="00A52807">
        <w:rPr>
          <w:rFonts w:asciiTheme="majorBidi" w:eastAsia="Aptos" w:hAnsiTheme="majorBidi" w:cstheme="majorBidi"/>
          <w:sz w:val="24"/>
          <w:szCs w:val="24"/>
          <w:lang w:val="fr-SN"/>
        </w:rPr>
        <w:t>education</w:t>
      </w:r>
      <w:proofErr w:type="spellEnd"/>
      <w:r w:rsidRPr="00A52807">
        <w:rPr>
          <w:rFonts w:asciiTheme="majorBidi" w:eastAsia="Aptos" w:hAnsiTheme="majorBidi" w:cstheme="majorBidi"/>
          <w:sz w:val="24"/>
          <w:szCs w:val="24"/>
          <w:lang w:val="fr-SN"/>
        </w:rPr>
        <w:t xml:space="preserve">, </w:t>
      </w:r>
      <w:proofErr w:type="spellStart"/>
      <w:r w:rsidRPr="00A52807">
        <w:rPr>
          <w:rFonts w:asciiTheme="majorBidi" w:eastAsia="Aptos" w:hAnsiTheme="majorBidi" w:cstheme="majorBidi"/>
          <w:sz w:val="24"/>
          <w:szCs w:val="24"/>
          <w:lang w:val="fr-SN"/>
        </w:rPr>
        <w:t>multidimensionality</w:t>
      </w:r>
      <w:proofErr w:type="spellEnd"/>
      <w:r w:rsidRPr="00A52807">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br w:type="page"/>
      </w:r>
    </w:p>
    <w:p w14:paraId="73BE5649" w14:textId="77777777" w:rsidR="00D80693" w:rsidRPr="00C64A1A" w:rsidRDefault="00D80693" w:rsidP="00D92213">
      <w:pPr>
        <w:spacing w:before="120"/>
        <w:rPr>
          <w:rFonts w:eastAsia="Aptos"/>
          <w:b/>
          <w:bCs/>
          <w:sz w:val="28"/>
          <w:szCs w:val="28"/>
          <w:lang w:val="fr-SN"/>
        </w:rPr>
      </w:pPr>
      <w:r w:rsidRPr="00C64A1A">
        <w:rPr>
          <w:rFonts w:asciiTheme="majorBidi" w:eastAsia="Aptos" w:hAnsiTheme="majorBidi" w:cstheme="majorBidi"/>
          <w:b/>
          <w:bCs/>
          <w:sz w:val="28"/>
          <w:szCs w:val="28"/>
          <w:lang w:val="fr-SN"/>
        </w:rPr>
        <w:t xml:space="preserve">Introduction </w:t>
      </w:r>
    </w:p>
    <w:p w14:paraId="68012B7F"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La contextualisation des enseignements est une préoccupation récurrente au niveau international. Dans les cours de Sciences de la Vie et de la Terre (SVT) au Gabon, l’on évoque le rapprochement de l’élève de son environnement socio-culturel, de façon à lui permettre de mieux construire une identité nationale forte. Ce contexte local est m</w:t>
      </w:r>
      <w:r w:rsidRPr="00473A45">
        <w:rPr>
          <w:rFonts w:asciiTheme="majorBidi" w:eastAsia="Aptos" w:hAnsiTheme="majorBidi" w:cstheme="majorBidi"/>
          <w:sz w:val="24"/>
          <w:szCs w:val="24"/>
          <w:lang w:val="fr-SN"/>
        </w:rPr>
        <w:t>arqué par une richesse culturelle et écologique, mais aussi par l’héritage de contenus scolaires importés</w:t>
      </w:r>
      <w:r>
        <w:rPr>
          <w:rFonts w:asciiTheme="majorBidi" w:eastAsia="Aptos" w:hAnsiTheme="majorBidi" w:cstheme="majorBidi"/>
          <w:sz w:val="24"/>
          <w:szCs w:val="24"/>
          <w:lang w:val="fr-SN"/>
        </w:rPr>
        <w:t xml:space="preserve">. Ce double héritage renvoie aussi à une tension implicite. Savoirs endogènes versus savoirs scientifiques </w:t>
      </w:r>
      <w:bookmarkStart w:id="130" w:name="_Hlk215002993"/>
      <w:r>
        <w:rPr>
          <w:rFonts w:asciiTheme="majorBidi" w:eastAsia="Aptos" w:hAnsiTheme="majorBidi" w:cstheme="majorBidi"/>
          <w:sz w:val="24"/>
          <w:szCs w:val="24"/>
          <w:lang w:val="fr-SN"/>
        </w:rPr>
        <w:t>(</w:t>
      </w:r>
      <w:proofErr w:type="spellStart"/>
      <w:r>
        <w:rPr>
          <w:rFonts w:asciiTheme="majorBidi" w:eastAsia="Aptos" w:hAnsiTheme="majorBidi" w:cstheme="majorBidi"/>
          <w:sz w:val="24"/>
          <w:szCs w:val="24"/>
          <w:lang w:val="fr-SN"/>
        </w:rPr>
        <w:t>Moussavou</w:t>
      </w:r>
      <w:proofErr w:type="spellEnd"/>
      <w:r>
        <w:rPr>
          <w:rFonts w:asciiTheme="majorBidi" w:eastAsia="Aptos" w:hAnsiTheme="majorBidi" w:cstheme="majorBidi"/>
          <w:sz w:val="24"/>
          <w:szCs w:val="24"/>
          <w:lang w:val="fr-SN"/>
        </w:rPr>
        <w:t xml:space="preserve">, 2012) </w:t>
      </w:r>
      <w:bookmarkEnd w:id="130"/>
      <w:r>
        <w:rPr>
          <w:rFonts w:asciiTheme="majorBidi" w:eastAsia="Aptos" w:hAnsiTheme="majorBidi" w:cstheme="majorBidi"/>
          <w:sz w:val="24"/>
          <w:szCs w:val="24"/>
          <w:lang w:val="fr-SN"/>
        </w:rPr>
        <w:t xml:space="preserve">ou savoirs scientifiques contextualisés ? D’une façon ou d’une autre, il est question de réfléchir à la manière de </w:t>
      </w:r>
      <w:r w:rsidRPr="00473A45">
        <w:rPr>
          <w:rFonts w:asciiTheme="majorBidi" w:eastAsia="Aptos" w:hAnsiTheme="majorBidi" w:cstheme="majorBidi"/>
          <w:sz w:val="24"/>
          <w:szCs w:val="24"/>
          <w:lang w:val="fr-SN"/>
        </w:rPr>
        <w:t xml:space="preserve">penser un enseignement </w:t>
      </w:r>
      <w:r>
        <w:rPr>
          <w:rFonts w:asciiTheme="majorBidi" w:eastAsia="Aptos" w:hAnsiTheme="majorBidi" w:cstheme="majorBidi"/>
          <w:sz w:val="24"/>
          <w:szCs w:val="24"/>
          <w:lang w:val="fr-SN"/>
        </w:rPr>
        <w:t xml:space="preserve">des SVT impliquant les </w:t>
      </w:r>
      <w:r w:rsidRPr="00473A45">
        <w:rPr>
          <w:rFonts w:asciiTheme="majorBidi" w:eastAsia="Aptos" w:hAnsiTheme="majorBidi" w:cstheme="majorBidi"/>
          <w:sz w:val="24"/>
          <w:szCs w:val="24"/>
          <w:lang w:val="fr-SN"/>
        </w:rPr>
        <w:t>contextes vécus par les apprenants</w:t>
      </w:r>
      <w:r>
        <w:rPr>
          <w:rFonts w:asciiTheme="majorBidi" w:eastAsia="Aptos" w:hAnsiTheme="majorBidi" w:cstheme="majorBidi"/>
          <w:sz w:val="24"/>
          <w:szCs w:val="24"/>
          <w:lang w:val="fr-SN"/>
        </w:rPr>
        <w:t xml:space="preserve">. De quoi s’agit-il ? </w:t>
      </w:r>
      <w:r w:rsidRPr="00473A45">
        <w:rPr>
          <w:rFonts w:asciiTheme="majorBidi" w:eastAsia="Aptos" w:hAnsiTheme="majorBidi" w:cstheme="majorBidi"/>
          <w:sz w:val="24"/>
          <w:szCs w:val="24"/>
          <w:lang w:val="fr-SN"/>
        </w:rPr>
        <w:t xml:space="preserve">Selon </w:t>
      </w:r>
      <w:bookmarkStart w:id="131" w:name="_Hlk215003006"/>
      <w:r w:rsidRPr="00473A45">
        <w:rPr>
          <w:rFonts w:asciiTheme="majorBidi" w:eastAsia="Aptos" w:hAnsiTheme="majorBidi" w:cstheme="majorBidi"/>
          <w:sz w:val="24"/>
          <w:szCs w:val="24"/>
          <w:lang w:val="fr-SN"/>
        </w:rPr>
        <w:t xml:space="preserve">Charlot (1997, p. 58-61), </w:t>
      </w:r>
      <w:bookmarkEnd w:id="131"/>
      <w:r w:rsidRPr="00473A45">
        <w:rPr>
          <w:rFonts w:asciiTheme="majorBidi" w:eastAsia="Aptos" w:hAnsiTheme="majorBidi" w:cstheme="majorBidi"/>
          <w:sz w:val="24"/>
          <w:szCs w:val="24"/>
          <w:lang w:val="fr-SN"/>
        </w:rPr>
        <w:t>le savoir n’est jamais neutre</w:t>
      </w:r>
      <w:r>
        <w:rPr>
          <w:rFonts w:asciiTheme="majorBidi" w:eastAsia="Aptos" w:hAnsiTheme="majorBidi" w:cstheme="majorBidi"/>
          <w:sz w:val="24"/>
          <w:szCs w:val="24"/>
          <w:lang w:val="fr-SN"/>
        </w:rPr>
        <w:t xml:space="preserve">, il </w:t>
      </w:r>
      <w:r w:rsidRPr="00473A45">
        <w:rPr>
          <w:rFonts w:asciiTheme="majorBidi" w:eastAsia="Aptos" w:hAnsiTheme="majorBidi" w:cstheme="majorBidi"/>
          <w:sz w:val="24"/>
          <w:szCs w:val="24"/>
          <w:lang w:val="fr-SN"/>
        </w:rPr>
        <w:t xml:space="preserve">est toujours situé, incarné dans une histoire, une culture, une société, et la relation que chacun entretient avec </w:t>
      </w:r>
      <w:r>
        <w:rPr>
          <w:rFonts w:asciiTheme="majorBidi" w:eastAsia="Aptos" w:hAnsiTheme="majorBidi" w:cstheme="majorBidi"/>
          <w:sz w:val="24"/>
          <w:szCs w:val="24"/>
          <w:lang w:val="fr-SN"/>
        </w:rPr>
        <w:t xml:space="preserve">ce dernier </w:t>
      </w:r>
      <w:r w:rsidRPr="00473A45">
        <w:rPr>
          <w:rFonts w:asciiTheme="majorBidi" w:eastAsia="Aptos" w:hAnsiTheme="majorBidi" w:cstheme="majorBidi"/>
          <w:sz w:val="24"/>
          <w:szCs w:val="24"/>
          <w:lang w:val="fr-SN"/>
        </w:rPr>
        <w:t xml:space="preserve">dépend de cette inscription. </w:t>
      </w:r>
      <w:r>
        <w:rPr>
          <w:rFonts w:asciiTheme="majorBidi" w:eastAsia="Aptos" w:hAnsiTheme="majorBidi" w:cstheme="majorBidi"/>
          <w:sz w:val="24"/>
          <w:szCs w:val="24"/>
          <w:lang w:val="fr-SN"/>
        </w:rPr>
        <w:t xml:space="preserve">Pour </w:t>
      </w:r>
      <w:bookmarkStart w:id="132" w:name="_Hlk215003025"/>
      <w:r w:rsidRPr="00473A45">
        <w:rPr>
          <w:rFonts w:asciiTheme="majorBidi" w:eastAsia="Aptos" w:hAnsiTheme="majorBidi" w:cstheme="majorBidi"/>
          <w:sz w:val="24"/>
          <w:szCs w:val="24"/>
          <w:lang w:val="fr-SN"/>
        </w:rPr>
        <w:t>Aikenhead (2001, p. 180-188)</w:t>
      </w:r>
      <w:bookmarkEnd w:id="132"/>
      <w:r>
        <w:rPr>
          <w:rFonts w:asciiTheme="majorBidi" w:eastAsia="Aptos" w:hAnsiTheme="majorBidi" w:cstheme="majorBidi"/>
          <w:sz w:val="24"/>
          <w:szCs w:val="24"/>
          <w:lang w:val="fr-SN"/>
        </w:rPr>
        <w:t xml:space="preserve">, </w:t>
      </w:r>
      <w:r w:rsidRPr="00473A45">
        <w:rPr>
          <w:rFonts w:asciiTheme="majorBidi" w:eastAsia="Aptos" w:hAnsiTheme="majorBidi" w:cstheme="majorBidi"/>
          <w:sz w:val="24"/>
          <w:szCs w:val="24"/>
          <w:lang w:val="fr-SN"/>
        </w:rPr>
        <w:t>la contextualisation permet de réduire le fossé entre les savoirs scientifiques et les savoirs quotidiens, en rendant les contenus plus accessibles, culturellement pertinents et ancrés dans la réalité</w:t>
      </w:r>
      <w:r>
        <w:rPr>
          <w:rFonts w:asciiTheme="majorBidi" w:eastAsia="Aptos" w:hAnsiTheme="majorBidi" w:cstheme="majorBidi"/>
          <w:sz w:val="24"/>
          <w:szCs w:val="24"/>
          <w:lang w:val="fr-SN"/>
        </w:rPr>
        <w:t xml:space="preserve"> locale</w:t>
      </w:r>
      <w:r w:rsidRPr="00473A45">
        <w:rPr>
          <w:rFonts w:asciiTheme="majorBidi" w:eastAsia="Aptos" w:hAnsiTheme="majorBidi" w:cstheme="majorBidi"/>
          <w:sz w:val="24"/>
          <w:szCs w:val="24"/>
          <w:lang w:val="fr-SN"/>
        </w:rPr>
        <w:t>.</w:t>
      </w:r>
      <w:r>
        <w:rPr>
          <w:rFonts w:asciiTheme="majorBidi" w:eastAsia="Aptos" w:hAnsiTheme="majorBidi" w:cstheme="majorBidi"/>
          <w:sz w:val="24"/>
          <w:szCs w:val="24"/>
          <w:lang w:val="fr-SN"/>
        </w:rPr>
        <w:t xml:space="preserve"> </w:t>
      </w:r>
    </w:p>
    <w:p w14:paraId="0FEEA671"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C’est du point de vue didactique qu’il nous paraît adéquat d’examiner la contextualisation des enseignements, compte tenu de la complexité inhérente à ce concept. Ainsi, comment envisager un enseignement des SVT de manière contextualisée au Gabon ? </w:t>
      </w:r>
    </w:p>
    <w:p w14:paraId="517407D4"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C’est en vue de formuler une réponse cohérente que nous avons entrepris ce travail exploratoire, dans un contexte académique. </w:t>
      </w:r>
    </w:p>
    <w:p w14:paraId="53D32BD9" w14:textId="77777777" w:rsidR="00D9221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Dans la problématique, nous présentons quelques préoccupations conceptuelles, épistémologiques et pédagogiques formulées par certains auteurs, ailleurs et au Gabon. Nous envisageons, ensuite, un cadre théorique de la contextualisation nourri au constructivisme et au socioconstructivisme. Ce dernier permet de formuler les orientations méthodologiques qualitatives, ayant permis d’obtenir des résultats de première main que nous discutons ensuite. Enfin, nous présentons une conclusion.  </w:t>
      </w:r>
    </w:p>
    <w:p w14:paraId="71B3B5DD" w14:textId="4CCCF60D" w:rsidR="00D80693" w:rsidRPr="00D92213" w:rsidRDefault="00D80693" w:rsidP="00D92213">
      <w:pPr>
        <w:spacing w:before="120"/>
        <w:jc w:val="both"/>
        <w:rPr>
          <w:rFonts w:eastAsia="Aptos"/>
          <w:sz w:val="24"/>
          <w:szCs w:val="24"/>
          <w:lang w:val="fr-SN"/>
        </w:rPr>
      </w:pPr>
      <w:r>
        <w:rPr>
          <w:rFonts w:asciiTheme="majorBidi" w:eastAsia="Aptos" w:hAnsiTheme="majorBidi" w:cstheme="majorBidi"/>
          <w:b/>
          <w:bCs/>
          <w:sz w:val="28"/>
          <w:szCs w:val="28"/>
          <w:lang w:val="fr-SN"/>
        </w:rPr>
        <w:t xml:space="preserve">1. </w:t>
      </w:r>
      <w:r w:rsidRPr="00C64A1A">
        <w:rPr>
          <w:rFonts w:asciiTheme="majorBidi" w:eastAsia="Aptos" w:hAnsiTheme="majorBidi" w:cstheme="majorBidi"/>
          <w:b/>
          <w:bCs/>
          <w:sz w:val="28"/>
          <w:szCs w:val="28"/>
          <w:lang w:val="fr-SN"/>
        </w:rPr>
        <w:t>Problématique</w:t>
      </w:r>
    </w:p>
    <w:p w14:paraId="1654D54D"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La contextualisation est considérée dans le cadre globale d’une éducation scientifique motivante, où elle pose des </w:t>
      </w:r>
      <w:r w:rsidRPr="00473A45">
        <w:rPr>
          <w:rFonts w:asciiTheme="majorBidi" w:eastAsia="Aptos" w:hAnsiTheme="majorBidi" w:cstheme="majorBidi"/>
          <w:sz w:val="24"/>
          <w:szCs w:val="24"/>
        </w:rPr>
        <w:t>défis pédagogiques, institutionnels et didactiques.</w:t>
      </w:r>
    </w:p>
    <w:p w14:paraId="4F87A1BF" w14:textId="77777777" w:rsidR="00D80693" w:rsidRDefault="00D80693" w:rsidP="00D92213">
      <w:pPr>
        <w:spacing w:before="120"/>
        <w:jc w:val="both"/>
        <w:rPr>
          <w:rFonts w:eastAsia="Aptos"/>
          <w:sz w:val="24"/>
          <w:szCs w:val="24"/>
        </w:rPr>
      </w:pPr>
      <w:r>
        <w:rPr>
          <w:rFonts w:asciiTheme="majorBidi" w:eastAsia="Aptos" w:hAnsiTheme="majorBidi" w:cstheme="majorBidi"/>
          <w:sz w:val="24"/>
          <w:szCs w:val="24"/>
          <w:lang w:val="fr-SN"/>
        </w:rPr>
        <w:t xml:space="preserve">En effet, quand on évoque la contextualisation en sciences du point de vue conceptuel, l’on fait référence au processus de transposition didactique, tel qu’il a été vulgarisé en France par </w:t>
      </w:r>
      <w:bookmarkStart w:id="133" w:name="_Hlk215003056"/>
      <w:r w:rsidRPr="00473A45">
        <w:rPr>
          <w:rFonts w:asciiTheme="majorBidi" w:eastAsia="Aptos" w:hAnsiTheme="majorBidi" w:cstheme="majorBidi"/>
          <w:sz w:val="24"/>
          <w:szCs w:val="24"/>
        </w:rPr>
        <w:t>Chevallard (1991, p.49)</w:t>
      </w:r>
      <w:r>
        <w:rPr>
          <w:rFonts w:asciiTheme="majorBidi" w:eastAsia="Aptos" w:hAnsiTheme="majorBidi" w:cstheme="majorBidi"/>
          <w:sz w:val="24"/>
          <w:szCs w:val="24"/>
        </w:rPr>
        <w:t xml:space="preserve">. </w:t>
      </w:r>
      <w:bookmarkEnd w:id="133"/>
      <w:r>
        <w:rPr>
          <w:rFonts w:asciiTheme="majorBidi" w:eastAsia="Aptos" w:hAnsiTheme="majorBidi" w:cstheme="majorBidi"/>
          <w:sz w:val="24"/>
          <w:szCs w:val="24"/>
        </w:rPr>
        <w:t xml:space="preserve">Ce processus qui implique une décontextualisation et une recontextualisation des savoirs scientifiques fait indirectement référence aux savoirs des élèves. Si les </w:t>
      </w:r>
      <w:r w:rsidRPr="00473A45">
        <w:rPr>
          <w:rFonts w:asciiTheme="majorBidi" w:eastAsia="Aptos" w:hAnsiTheme="majorBidi" w:cstheme="majorBidi"/>
          <w:sz w:val="24"/>
          <w:szCs w:val="24"/>
        </w:rPr>
        <w:t>savoirs savants doivent être transformés pour devenir des objets d’enseignement, cette transformation devrait tenir compte des contextes scolaires, sociaux et culturels</w:t>
      </w:r>
      <w:r>
        <w:rPr>
          <w:rFonts w:asciiTheme="majorBidi" w:eastAsia="Aptos" w:hAnsiTheme="majorBidi" w:cstheme="majorBidi"/>
          <w:sz w:val="24"/>
          <w:szCs w:val="24"/>
        </w:rPr>
        <w:t xml:space="preserve"> des élèves</w:t>
      </w:r>
      <w:r w:rsidRPr="00473A45">
        <w:rPr>
          <w:rFonts w:asciiTheme="majorBidi" w:eastAsia="Aptos" w:hAnsiTheme="majorBidi" w:cstheme="majorBidi"/>
          <w:sz w:val="24"/>
          <w:szCs w:val="24"/>
        </w:rPr>
        <w:t>. Cette idée est reprise par Astolfi (1992), qui critique l’enseignement "hors sol" et appelle à une pédagogie ancrée dans le vécu des élèves.</w:t>
      </w:r>
    </w:p>
    <w:p w14:paraId="2154EDC3" w14:textId="77777777" w:rsidR="00D80693" w:rsidRDefault="00D80693" w:rsidP="00D92213">
      <w:pPr>
        <w:spacing w:before="120"/>
        <w:jc w:val="both"/>
        <w:rPr>
          <w:rFonts w:eastAsia="Aptos"/>
          <w:sz w:val="24"/>
          <w:szCs w:val="24"/>
        </w:rPr>
      </w:pPr>
      <w:r>
        <w:rPr>
          <w:rFonts w:asciiTheme="majorBidi" w:eastAsia="Aptos" w:hAnsiTheme="majorBidi" w:cstheme="majorBidi"/>
          <w:sz w:val="24"/>
          <w:szCs w:val="24"/>
        </w:rPr>
        <w:t xml:space="preserve">D’un point de vue épistémologique, les savoirs scientifiques ont des origines culturelles qu’il est nécessaire de préciser quand on aborde la contextualisation des enseignements en SVT. </w:t>
      </w:r>
    </w:p>
    <w:p w14:paraId="52320F5B" w14:textId="77777777" w:rsidR="00D80693" w:rsidRPr="00473A45" w:rsidRDefault="00D80693" w:rsidP="00D92213">
      <w:pPr>
        <w:spacing w:before="120"/>
        <w:jc w:val="both"/>
        <w:rPr>
          <w:rFonts w:eastAsia="Aptos"/>
          <w:sz w:val="24"/>
          <w:szCs w:val="24"/>
        </w:rPr>
      </w:pPr>
      <w:r>
        <w:rPr>
          <w:rFonts w:asciiTheme="majorBidi" w:eastAsia="Aptos" w:hAnsiTheme="majorBidi" w:cstheme="majorBidi"/>
          <w:sz w:val="24"/>
          <w:szCs w:val="24"/>
        </w:rPr>
        <w:t xml:space="preserve">C’est dans ce cadre plus global que l’évaluation constitue un enjeu considérable de la contextualisation en sciences. Si les contenus peuvent être adaptés au quotidien des élèves, les outils d’évaluation sont souvent décontextualisés </w:t>
      </w:r>
      <w:bookmarkStart w:id="134" w:name="_Hlk215003158"/>
      <w:r>
        <w:rPr>
          <w:rFonts w:asciiTheme="majorBidi" w:eastAsia="Aptos" w:hAnsiTheme="majorBidi" w:cstheme="majorBidi"/>
          <w:sz w:val="24"/>
          <w:szCs w:val="24"/>
        </w:rPr>
        <w:t>(</w:t>
      </w:r>
      <w:r w:rsidRPr="00473A45">
        <w:rPr>
          <w:rFonts w:asciiTheme="majorBidi" w:eastAsia="Aptos" w:hAnsiTheme="majorBidi" w:cstheme="majorBidi"/>
          <w:sz w:val="24"/>
          <w:szCs w:val="24"/>
        </w:rPr>
        <w:t>Trumbull et al.</w:t>
      </w:r>
      <w:r>
        <w:rPr>
          <w:rFonts w:asciiTheme="majorBidi" w:eastAsia="Aptos" w:hAnsiTheme="majorBidi" w:cstheme="majorBidi"/>
          <w:sz w:val="24"/>
          <w:szCs w:val="24"/>
        </w:rPr>
        <w:t xml:space="preserve">, </w:t>
      </w:r>
      <w:r w:rsidRPr="00473A45">
        <w:rPr>
          <w:rFonts w:asciiTheme="majorBidi" w:eastAsia="Aptos" w:hAnsiTheme="majorBidi" w:cstheme="majorBidi"/>
          <w:sz w:val="24"/>
          <w:szCs w:val="24"/>
        </w:rPr>
        <w:t xml:space="preserve">2000, p.265-275), </w:t>
      </w:r>
      <w:bookmarkEnd w:id="134"/>
      <w:r w:rsidRPr="00473A45">
        <w:rPr>
          <w:rFonts w:asciiTheme="majorBidi" w:eastAsia="Aptos" w:hAnsiTheme="majorBidi" w:cstheme="majorBidi"/>
          <w:sz w:val="24"/>
          <w:szCs w:val="24"/>
        </w:rPr>
        <w:t xml:space="preserve">mesurant des connaissances isolées et théoriques au lieu de vérifier la capacité des élèves à mobiliser leurs acquis en situation réelle. Cela limite le développement de compétences transférables et applicables en dehors du cadre scolaire. </w:t>
      </w:r>
      <w:bookmarkStart w:id="135" w:name="_Hlk215003177"/>
      <w:r w:rsidRPr="00473A45">
        <w:rPr>
          <w:rFonts w:asciiTheme="majorBidi" w:eastAsia="Aptos" w:hAnsiTheme="majorBidi" w:cstheme="majorBidi"/>
          <w:sz w:val="24"/>
          <w:szCs w:val="24"/>
        </w:rPr>
        <w:t xml:space="preserve">Shapiro (2014, p.263-264) </w:t>
      </w:r>
      <w:bookmarkEnd w:id="135"/>
      <w:r w:rsidRPr="00473A45">
        <w:rPr>
          <w:rFonts w:asciiTheme="majorBidi" w:eastAsia="Aptos" w:hAnsiTheme="majorBidi" w:cstheme="majorBidi"/>
          <w:sz w:val="24"/>
          <w:szCs w:val="24"/>
        </w:rPr>
        <w:t xml:space="preserve">montre que les récits historiques de grandes découvertes scientifiques pourtant porteurs d’exemples riches en valeurs pédagogiques sont rarement utilisés dans les pratiques de classe. Cela prive les élèves d’une perspective plus humaine et évolutive de la science. Du point de vue socioculturel, </w:t>
      </w:r>
      <w:bookmarkStart w:id="136" w:name="_Hlk215003203"/>
      <w:r w:rsidRPr="00473A45">
        <w:rPr>
          <w:rFonts w:asciiTheme="majorBidi" w:eastAsia="Aptos" w:hAnsiTheme="majorBidi" w:cstheme="majorBidi"/>
          <w:sz w:val="24"/>
          <w:szCs w:val="24"/>
        </w:rPr>
        <w:t xml:space="preserve">Lemke (2001, p.296-316) </w:t>
      </w:r>
      <w:bookmarkEnd w:id="136"/>
      <w:r w:rsidRPr="00473A45">
        <w:rPr>
          <w:rFonts w:asciiTheme="majorBidi" w:eastAsia="Aptos" w:hAnsiTheme="majorBidi" w:cstheme="majorBidi"/>
          <w:sz w:val="24"/>
          <w:szCs w:val="24"/>
        </w:rPr>
        <w:t>rappelle que les sciences ne sont jamais neutres : elles sont façonnées par des enjeux sociaux, culturels et politiques. Enseigner les sciences en faisant abstraction de ces dimensions revient à proposer une vision appauvrie et techniciste du savoir, déconnectée des réalités et des débats de société.</w:t>
      </w:r>
    </w:p>
    <w:p w14:paraId="6583F4C4" w14:textId="77777777" w:rsidR="00D80693" w:rsidRDefault="00D80693" w:rsidP="00D92213">
      <w:pPr>
        <w:spacing w:before="120"/>
        <w:jc w:val="both"/>
        <w:rPr>
          <w:rFonts w:eastAsia="Aptos"/>
          <w:sz w:val="24"/>
          <w:szCs w:val="24"/>
        </w:rPr>
      </w:pPr>
      <w:r>
        <w:rPr>
          <w:rFonts w:asciiTheme="majorBidi" w:eastAsia="Aptos" w:hAnsiTheme="majorBidi" w:cstheme="majorBidi"/>
          <w:sz w:val="24"/>
          <w:szCs w:val="24"/>
        </w:rPr>
        <w:t xml:space="preserve">D’un point de vue pédagogique, </w:t>
      </w:r>
      <w:bookmarkStart w:id="137" w:name="_Hlk215003235"/>
      <w:r w:rsidRPr="00473A45">
        <w:rPr>
          <w:rFonts w:asciiTheme="majorBidi" w:eastAsia="Aptos" w:hAnsiTheme="majorBidi" w:cstheme="majorBidi"/>
          <w:sz w:val="24"/>
          <w:szCs w:val="24"/>
        </w:rPr>
        <w:t xml:space="preserve">Banks (2008, p.129-139) </w:t>
      </w:r>
      <w:bookmarkEnd w:id="137"/>
      <w:r>
        <w:rPr>
          <w:rFonts w:asciiTheme="majorBidi" w:eastAsia="Aptos" w:hAnsiTheme="majorBidi" w:cstheme="majorBidi"/>
          <w:sz w:val="24"/>
          <w:szCs w:val="24"/>
        </w:rPr>
        <w:t xml:space="preserve">renseigne la liaison entre une </w:t>
      </w:r>
      <w:r w:rsidRPr="00473A45">
        <w:rPr>
          <w:rFonts w:asciiTheme="majorBidi" w:eastAsia="Aptos" w:hAnsiTheme="majorBidi" w:cstheme="majorBidi"/>
          <w:sz w:val="24"/>
          <w:szCs w:val="24"/>
        </w:rPr>
        <w:t xml:space="preserve">contextualisation et </w:t>
      </w:r>
      <w:r>
        <w:rPr>
          <w:rFonts w:asciiTheme="majorBidi" w:eastAsia="Aptos" w:hAnsiTheme="majorBidi" w:cstheme="majorBidi"/>
          <w:sz w:val="24"/>
          <w:szCs w:val="24"/>
        </w:rPr>
        <w:t xml:space="preserve">une </w:t>
      </w:r>
      <w:r w:rsidRPr="00473A45">
        <w:rPr>
          <w:rFonts w:asciiTheme="majorBidi" w:eastAsia="Aptos" w:hAnsiTheme="majorBidi" w:cstheme="majorBidi"/>
          <w:sz w:val="24"/>
          <w:szCs w:val="24"/>
        </w:rPr>
        <w:t xml:space="preserve">éducation inclusive. </w:t>
      </w:r>
      <w:r>
        <w:rPr>
          <w:rFonts w:asciiTheme="majorBidi" w:eastAsia="Aptos" w:hAnsiTheme="majorBidi" w:cstheme="majorBidi"/>
          <w:sz w:val="24"/>
          <w:szCs w:val="24"/>
        </w:rPr>
        <w:t xml:space="preserve">Ainsi, les </w:t>
      </w:r>
      <w:r w:rsidRPr="00473A45">
        <w:rPr>
          <w:rFonts w:asciiTheme="majorBidi" w:eastAsia="Aptos" w:hAnsiTheme="majorBidi" w:cstheme="majorBidi"/>
          <w:sz w:val="24"/>
          <w:szCs w:val="24"/>
        </w:rPr>
        <w:t>contenus scolaires doivent refléter la diversité culturelle et sociale des élèves pour favoriser leur engagement cognitif et identitaire. Sa perspective multiculturelle fait écho à la situation africaine où les élèves évoluent dans des environnements multilingues et multiculturels.</w:t>
      </w:r>
      <w:r>
        <w:rPr>
          <w:rFonts w:asciiTheme="majorBidi" w:eastAsia="Aptos" w:hAnsiTheme="majorBidi" w:cstheme="majorBidi"/>
          <w:sz w:val="24"/>
          <w:szCs w:val="24"/>
        </w:rPr>
        <w:t xml:space="preserve"> </w:t>
      </w:r>
      <w:r>
        <w:rPr>
          <w:rFonts w:asciiTheme="majorBidi" w:eastAsia="Aptos" w:hAnsiTheme="majorBidi" w:cstheme="majorBidi"/>
          <w:sz w:val="24"/>
          <w:szCs w:val="24"/>
          <w:lang w:val="fr-SN"/>
        </w:rPr>
        <w:t xml:space="preserve">C’est aussi dans cette logique que </w:t>
      </w:r>
      <w:r w:rsidRPr="00473A45">
        <w:rPr>
          <w:rFonts w:asciiTheme="majorBidi" w:eastAsia="Aptos" w:hAnsiTheme="majorBidi" w:cstheme="majorBidi"/>
          <w:sz w:val="24"/>
          <w:szCs w:val="24"/>
        </w:rPr>
        <w:t xml:space="preserve">Aikenhead (2001) </w:t>
      </w:r>
      <w:r>
        <w:rPr>
          <w:rFonts w:asciiTheme="majorBidi" w:eastAsia="Aptos" w:hAnsiTheme="majorBidi" w:cstheme="majorBidi"/>
          <w:sz w:val="24"/>
          <w:szCs w:val="24"/>
        </w:rPr>
        <w:t xml:space="preserve">soutient, à propos des élèves de sciences, que leurs </w:t>
      </w:r>
      <w:r w:rsidRPr="00473A45">
        <w:rPr>
          <w:rFonts w:asciiTheme="majorBidi" w:eastAsia="Aptos" w:hAnsiTheme="majorBidi" w:cstheme="majorBidi"/>
          <w:sz w:val="24"/>
          <w:szCs w:val="24"/>
        </w:rPr>
        <w:t>enseignement</w:t>
      </w:r>
      <w:r>
        <w:rPr>
          <w:rFonts w:asciiTheme="majorBidi" w:eastAsia="Aptos" w:hAnsiTheme="majorBidi" w:cstheme="majorBidi"/>
          <w:sz w:val="24"/>
          <w:szCs w:val="24"/>
        </w:rPr>
        <w:t>s</w:t>
      </w:r>
      <w:r w:rsidRPr="00473A45">
        <w:rPr>
          <w:rFonts w:asciiTheme="majorBidi" w:eastAsia="Aptos" w:hAnsiTheme="majorBidi" w:cstheme="majorBidi"/>
          <w:sz w:val="24"/>
          <w:szCs w:val="24"/>
        </w:rPr>
        <w:t xml:space="preserve"> scientifique</w:t>
      </w:r>
      <w:r>
        <w:rPr>
          <w:rFonts w:asciiTheme="majorBidi" w:eastAsia="Aptos" w:hAnsiTheme="majorBidi" w:cstheme="majorBidi"/>
          <w:sz w:val="24"/>
          <w:szCs w:val="24"/>
        </w:rPr>
        <w:t>s</w:t>
      </w:r>
      <w:r w:rsidRPr="00473A45">
        <w:rPr>
          <w:rFonts w:asciiTheme="majorBidi" w:eastAsia="Aptos" w:hAnsiTheme="majorBidi" w:cstheme="majorBidi"/>
          <w:sz w:val="24"/>
          <w:szCs w:val="24"/>
        </w:rPr>
        <w:t xml:space="preserve"> doi</w:t>
      </w:r>
      <w:r>
        <w:rPr>
          <w:rFonts w:asciiTheme="majorBidi" w:eastAsia="Aptos" w:hAnsiTheme="majorBidi" w:cstheme="majorBidi"/>
          <w:sz w:val="24"/>
          <w:szCs w:val="24"/>
        </w:rPr>
        <w:t xml:space="preserve">vent leur </w:t>
      </w:r>
      <w:r w:rsidRPr="00473A45">
        <w:rPr>
          <w:rFonts w:asciiTheme="majorBidi" w:eastAsia="Aptos" w:hAnsiTheme="majorBidi" w:cstheme="majorBidi"/>
          <w:sz w:val="24"/>
          <w:szCs w:val="24"/>
        </w:rPr>
        <w:t xml:space="preserve">permettre de franchir les frontières entre leurs savoirs quotidiens et les savoirs savants. </w:t>
      </w:r>
      <w:r>
        <w:rPr>
          <w:rFonts w:asciiTheme="majorBidi" w:eastAsia="Aptos" w:hAnsiTheme="majorBidi" w:cstheme="majorBidi"/>
          <w:sz w:val="24"/>
          <w:szCs w:val="24"/>
        </w:rPr>
        <w:t xml:space="preserve">Si ces passerelles sont ignorées, </w:t>
      </w:r>
      <w:r w:rsidRPr="00473A45">
        <w:rPr>
          <w:rFonts w:asciiTheme="majorBidi" w:eastAsia="Aptos" w:hAnsiTheme="majorBidi" w:cstheme="majorBidi"/>
          <w:sz w:val="24"/>
          <w:szCs w:val="24"/>
        </w:rPr>
        <w:t>l’école risque de creuser un fossé culturel</w:t>
      </w:r>
      <w:r>
        <w:rPr>
          <w:rFonts w:asciiTheme="majorBidi" w:eastAsia="Aptos" w:hAnsiTheme="majorBidi" w:cstheme="majorBidi"/>
          <w:sz w:val="24"/>
          <w:szCs w:val="24"/>
        </w:rPr>
        <w:t xml:space="preserve">, rendant </w:t>
      </w:r>
      <w:r w:rsidRPr="00473A45">
        <w:rPr>
          <w:rFonts w:asciiTheme="majorBidi" w:eastAsia="Aptos" w:hAnsiTheme="majorBidi" w:cstheme="majorBidi"/>
          <w:sz w:val="24"/>
          <w:szCs w:val="24"/>
        </w:rPr>
        <w:t xml:space="preserve">les contenus scientifiques inaccessibles pour de nombreux élèves. </w:t>
      </w:r>
      <w:r>
        <w:rPr>
          <w:rFonts w:asciiTheme="majorBidi" w:eastAsia="Aptos" w:hAnsiTheme="majorBidi" w:cstheme="majorBidi"/>
          <w:sz w:val="24"/>
          <w:szCs w:val="24"/>
        </w:rPr>
        <w:t xml:space="preserve">Pour sa part, </w:t>
      </w:r>
      <w:bookmarkStart w:id="138" w:name="_Hlk215003289"/>
      <w:r w:rsidRPr="00473A45">
        <w:rPr>
          <w:rFonts w:asciiTheme="majorBidi" w:eastAsia="Aptos" w:hAnsiTheme="majorBidi" w:cstheme="majorBidi"/>
          <w:sz w:val="24"/>
          <w:szCs w:val="24"/>
        </w:rPr>
        <w:t xml:space="preserve">Roth (2004, p.263-264) </w:t>
      </w:r>
      <w:bookmarkEnd w:id="138"/>
      <w:r w:rsidRPr="00473A45">
        <w:rPr>
          <w:rFonts w:asciiTheme="majorBidi" w:eastAsia="Aptos" w:hAnsiTheme="majorBidi" w:cstheme="majorBidi"/>
          <w:sz w:val="24"/>
          <w:szCs w:val="24"/>
        </w:rPr>
        <w:t>plaide pour une éducation scientifique ancrée dans les pratiques locales et l’expérience vécue des apprenants. Il met en avant l’importance de relier les contenus scolaires aux observations directes que les élèves peuvent faire dans leur propre environnement, une approche particulièrement pertinente en SVT où les phénomènes naturels sont tangibles et souvent familiers.</w:t>
      </w:r>
      <w:r>
        <w:rPr>
          <w:rFonts w:asciiTheme="majorBidi" w:eastAsia="Aptos" w:hAnsiTheme="majorBidi" w:cstheme="majorBidi"/>
          <w:sz w:val="24"/>
          <w:szCs w:val="24"/>
        </w:rPr>
        <w:t xml:space="preserve"> </w:t>
      </w:r>
    </w:p>
    <w:p w14:paraId="1251F3D3" w14:textId="77777777" w:rsidR="00D80693" w:rsidRDefault="00D80693" w:rsidP="00D92213">
      <w:pPr>
        <w:spacing w:before="120"/>
        <w:jc w:val="both"/>
        <w:rPr>
          <w:rFonts w:eastAsia="Aptos"/>
          <w:sz w:val="24"/>
          <w:szCs w:val="24"/>
        </w:rPr>
      </w:pPr>
      <w:r w:rsidRPr="00473A45">
        <w:rPr>
          <w:rFonts w:asciiTheme="majorBidi" w:eastAsia="Aptos" w:hAnsiTheme="majorBidi" w:cstheme="majorBidi"/>
          <w:sz w:val="24"/>
          <w:szCs w:val="24"/>
        </w:rPr>
        <w:t xml:space="preserve">Sur le continent africain, </w:t>
      </w:r>
      <w:bookmarkStart w:id="139" w:name="_Hlk215003322"/>
      <w:r w:rsidRPr="00473A45">
        <w:rPr>
          <w:rFonts w:asciiTheme="majorBidi" w:eastAsia="Aptos" w:hAnsiTheme="majorBidi" w:cstheme="majorBidi"/>
          <w:sz w:val="24"/>
          <w:szCs w:val="24"/>
        </w:rPr>
        <w:t xml:space="preserve">Mbemba (2020) </w:t>
      </w:r>
      <w:bookmarkEnd w:id="139"/>
      <w:r w:rsidRPr="00473A45">
        <w:rPr>
          <w:rFonts w:asciiTheme="majorBidi" w:eastAsia="Aptos" w:hAnsiTheme="majorBidi" w:cstheme="majorBidi"/>
          <w:sz w:val="24"/>
          <w:szCs w:val="24"/>
        </w:rPr>
        <w:t>milite pour une revalorisation des savoirs techniques traditionnels en classe de science</w:t>
      </w:r>
      <w:r>
        <w:rPr>
          <w:rFonts w:asciiTheme="majorBidi" w:eastAsia="Aptos" w:hAnsiTheme="majorBidi" w:cstheme="majorBidi"/>
          <w:sz w:val="24"/>
          <w:szCs w:val="24"/>
        </w:rPr>
        <w:t>s</w:t>
      </w:r>
      <w:r w:rsidRPr="00473A45">
        <w:rPr>
          <w:rFonts w:asciiTheme="majorBidi" w:eastAsia="Aptos" w:hAnsiTheme="majorBidi" w:cstheme="majorBidi"/>
          <w:sz w:val="24"/>
          <w:szCs w:val="24"/>
        </w:rPr>
        <w:t xml:space="preserve">, en soulignant leur portée didactique et leur capacité à favoriser l’apprentissage par comparaison et expérimentation. Dans un registre complémentaire, </w:t>
      </w:r>
      <w:bookmarkStart w:id="140" w:name="_Hlk215003345"/>
      <w:proofErr w:type="spellStart"/>
      <w:r w:rsidRPr="00473A45">
        <w:rPr>
          <w:rFonts w:asciiTheme="majorBidi" w:eastAsia="Aptos" w:hAnsiTheme="majorBidi" w:cstheme="majorBidi"/>
          <w:sz w:val="24"/>
          <w:szCs w:val="24"/>
        </w:rPr>
        <w:t>Kyélem</w:t>
      </w:r>
      <w:proofErr w:type="spellEnd"/>
      <w:r w:rsidRPr="00473A45">
        <w:rPr>
          <w:rFonts w:asciiTheme="majorBidi" w:eastAsia="Aptos" w:hAnsiTheme="majorBidi" w:cstheme="majorBidi"/>
          <w:sz w:val="24"/>
          <w:szCs w:val="24"/>
        </w:rPr>
        <w:t xml:space="preserve"> (2011)</w:t>
      </w:r>
      <w:bookmarkEnd w:id="140"/>
      <w:r w:rsidRPr="00473A45">
        <w:rPr>
          <w:rFonts w:asciiTheme="majorBidi" w:eastAsia="Aptos" w:hAnsiTheme="majorBidi" w:cstheme="majorBidi"/>
          <w:sz w:val="24"/>
          <w:szCs w:val="24"/>
        </w:rPr>
        <w:t>, au Burkina Faso, insiste sur la nécessité de former les enseignants à la contextualisation dès leur formation initiale, pour qu’ils puissent mobiliser l’environnement local dans leurs pratiques pédagogiques.</w:t>
      </w:r>
      <w:r>
        <w:rPr>
          <w:rFonts w:asciiTheme="majorBidi" w:eastAsia="Aptos" w:hAnsiTheme="majorBidi" w:cstheme="majorBidi"/>
          <w:sz w:val="24"/>
          <w:szCs w:val="24"/>
        </w:rPr>
        <w:t xml:space="preserve"> </w:t>
      </w:r>
      <w:bookmarkStart w:id="141" w:name="_Hlk215003370"/>
      <w:r w:rsidRPr="00473A45">
        <w:rPr>
          <w:rFonts w:asciiTheme="majorBidi" w:eastAsia="Aptos" w:hAnsiTheme="majorBidi" w:cstheme="majorBidi"/>
          <w:sz w:val="24"/>
          <w:szCs w:val="24"/>
        </w:rPr>
        <w:t xml:space="preserve">Robyn Duit (2007), </w:t>
      </w:r>
      <w:bookmarkEnd w:id="141"/>
      <w:r w:rsidRPr="00473A45">
        <w:rPr>
          <w:rFonts w:asciiTheme="majorBidi" w:eastAsia="Aptos" w:hAnsiTheme="majorBidi" w:cstheme="majorBidi"/>
          <w:sz w:val="24"/>
          <w:szCs w:val="24"/>
        </w:rPr>
        <w:t>didacticien allemand, affirme que le sens des savoirs scientifiques ne peut être construit que si ces savoirs sont mis en lien avec les contextes vécus par les élèves. Il prône une approche constructiviste, dans laquelle les concepts scientifiques sont reconstruits par les apprenants à partir de leurs expériences.</w:t>
      </w:r>
      <w:r>
        <w:rPr>
          <w:rFonts w:asciiTheme="majorBidi" w:eastAsia="Aptos" w:hAnsiTheme="majorBidi" w:cstheme="majorBidi"/>
          <w:sz w:val="24"/>
          <w:szCs w:val="24"/>
        </w:rPr>
        <w:t xml:space="preserve"> </w:t>
      </w:r>
    </w:p>
    <w:p w14:paraId="6D03995A" w14:textId="77777777" w:rsidR="00D80693" w:rsidRDefault="00D80693" w:rsidP="00D92213">
      <w:pPr>
        <w:spacing w:before="120"/>
        <w:jc w:val="both"/>
        <w:rPr>
          <w:rFonts w:eastAsia="Aptos"/>
          <w:sz w:val="24"/>
          <w:szCs w:val="24"/>
        </w:rPr>
      </w:pPr>
      <w:r w:rsidRPr="00473A45">
        <w:rPr>
          <w:rFonts w:asciiTheme="majorBidi" w:eastAsia="Aptos" w:hAnsiTheme="majorBidi" w:cstheme="majorBidi"/>
          <w:sz w:val="24"/>
          <w:szCs w:val="24"/>
        </w:rPr>
        <w:t xml:space="preserve">Au Gabon, </w:t>
      </w:r>
      <w:r>
        <w:rPr>
          <w:rFonts w:asciiTheme="majorBidi" w:eastAsia="Aptos" w:hAnsiTheme="majorBidi" w:cstheme="majorBidi"/>
          <w:sz w:val="24"/>
          <w:szCs w:val="24"/>
        </w:rPr>
        <w:t xml:space="preserve">nos travaux de didactiques sur la pertinence des cours de sciences depuis près de dix ans </w:t>
      </w:r>
      <w:bookmarkStart w:id="142" w:name="_Hlk215003402"/>
      <w:r>
        <w:rPr>
          <w:rFonts w:asciiTheme="majorBidi" w:eastAsia="Aptos" w:hAnsiTheme="majorBidi" w:cstheme="majorBidi"/>
          <w:sz w:val="24"/>
          <w:szCs w:val="24"/>
        </w:rPr>
        <w:t>(</w:t>
      </w:r>
      <w:proofErr w:type="spellStart"/>
      <w:r>
        <w:rPr>
          <w:rFonts w:asciiTheme="majorBidi" w:eastAsia="Aptos" w:hAnsiTheme="majorBidi" w:cstheme="majorBidi"/>
          <w:sz w:val="24"/>
          <w:szCs w:val="24"/>
        </w:rPr>
        <w:t>Moussavou</w:t>
      </w:r>
      <w:proofErr w:type="spellEnd"/>
      <w:r>
        <w:rPr>
          <w:rFonts w:asciiTheme="majorBidi" w:eastAsia="Aptos" w:hAnsiTheme="majorBidi" w:cstheme="majorBidi"/>
          <w:sz w:val="24"/>
          <w:szCs w:val="24"/>
        </w:rPr>
        <w:t xml:space="preserve"> 2024), </w:t>
      </w:r>
      <w:bookmarkEnd w:id="142"/>
      <w:r>
        <w:rPr>
          <w:rFonts w:asciiTheme="majorBidi" w:eastAsia="Aptos" w:hAnsiTheme="majorBidi" w:cstheme="majorBidi"/>
          <w:sz w:val="24"/>
          <w:szCs w:val="24"/>
        </w:rPr>
        <w:t xml:space="preserve">ont montré une faible contribution des exemples issus de l’environnement socioculturel des élèves dans leurs enseignements. C’est pourquoi nous suggérons une </w:t>
      </w:r>
      <w:r w:rsidRPr="00473A45">
        <w:rPr>
          <w:rFonts w:asciiTheme="majorBidi" w:eastAsia="Aptos" w:hAnsiTheme="majorBidi" w:cstheme="majorBidi"/>
          <w:sz w:val="24"/>
          <w:szCs w:val="24"/>
        </w:rPr>
        <w:t xml:space="preserve">intégration </w:t>
      </w:r>
      <w:r>
        <w:rPr>
          <w:rFonts w:asciiTheme="majorBidi" w:eastAsia="Aptos" w:hAnsiTheme="majorBidi" w:cstheme="majorBidi"/>
          <w:sz w:val="24"/>
          <w:szCs w:val="24"/>
        </w:rPr>
        <w:t xml:space="preserve">raisonnée si l’on peut dire, </w:t>
      </w:r>
      <w:r w:rsidRPr="00473A45">
        <w:rPr>
          <w:rFonts w:asciiTheme="majorBidi" w:eastAsia="Aptos" w:hAnsiTheme="majorBidi" w:cstheme="majorBidi"/>
          <w:sz w:val="24"/>
          <w:szCs w:val="24"/>
        </w:rPr>
        <w:t xml:space="preserve">des savoirs endogènes dans les contenus </w:t>
      </w:r>
      <w:r>
        <w:rPr>
          <w:rFonts w:asciiTheme="majorBidi" w:eastAsia="Aptos" w:hAnsiTheme="majorBidi" w:cstheme="majorBidi"/>
          <w:sz w:val="24"/>
          <w:szCs w:val="24"/>
        </w:rPr>
        <w:t xml:space="preserve">des sciences </w:t>
      </w:r>
      <w:bookmarkStart w:id="143" w:name="_Hlk215003427"/>
      <w:r>
        <w:rPr>
          <w:rFonts w:asciiTheme="majorBidi" w:eastAsia="Aptos" w:hAnsiTheme="majorBidi" w:cstheme="majorBidi"/>
          <w:sz w:val="24"/>
          <w:szCs w:val="24"/>
        </w:rPr>
        <w:t>(</w:t>
      </w:r>
      <w:proofErr w:type="spellStart"/>
      <w:r w:rsidRPr="00473A45">
        <w:rPr>
          <w:rFonts w:asciiTheme="majorBidi" w:eastAsia="Aptos" w:hAnsiTheme="majorBidi" w:cstheme="majorBidi"/>
          <w:sz w:val="24"/>
          <w:szCs w:val="24"/>
        </w:rPr>
        <w:t>Moussavou</w:t>
      </w:r>
      <w:proofErr w:type="spellEnd"/>
      <w:r>
        <w:rPr>
          <w:rFonts w:asciiTheme="majorBidi" w:eastAsia="Aptos" w:hAnsiTheme="majorBidi" w:cstheme="majorBidi"/>
          <w:sz w:val="24"/>
          <w:szCs w:val="24"/>
        </w:rPr>
        <w:t xml:space="preserve">, </w:t>
      </w:r>
      <w:r w:rsidRPr="00473A45">
        <w:rPr>
          <w:rFonts w:asciiTheme="majorBidi" w:eastAsia="Aptos" w:hAnsiTheme="majorBidi" w:cstheme="majorBidi"/>
          <w:sz w:val="24"/>
          <w:szCs w:val="24"/>
        </w:rPr>
        <w:t>2012, p.</w:t>
      </w:r>
      <w:r>
        <w:rPr>
          <w:rFonts w:asciiTheme="majorBidi" w:eastAsia="Aptos" w:hAnsiTheme="majorBidi" w:cstheme="majorBidi"/>
          <w:sz w:val="24"/>
          <w:szCs w:val="24"/>
        </w:rPr>
        <w:t xml:space="preserve"> </w:t>
      </w:r>
      <w:r w:rsidRPr="00473A45">
        <w:rPr>
          <w:rFonts w:asciiTheme="majorBidi" w:eastAsia="Aptos" w:hAnsiTheme="majorBidi" w:cstheme="majorBidi"/>
          <w:sz w:val="24"/>
          <w:szCs w:val="24"/>
        </w:rPr>
        <w:t xml:space="preserve">209-210). </w:t>
      </w:r>
      <w:bookmarkEnd w:id="143"/>
      <w:r>
        <w:rPr>
          <w:rFonts w:asciiTheme="majorBidi" w:eastAsia="Aptos" w:hAnsiTheme="majorBidi" w:cstheme="majorBidi"/>
          <w:sz w:val="24"/>
          <w:szCs w:val="24"/>
        </w:rPr>
        <w:t xml:space="preserve">Nous avons montré, </w:t>
      </w:r>
      <w:r w:rsidRPr="00473A45">
        <w:rPr>
          <w:rFonts w:asciiTheme="majorBidi" w:eastAsia="Aptos" w:hAnsiTheme="majorBidi" w:cstheme="majorBidi"/>
          <w:sz w:val="24"/>
          <w:szCs w:val="24"/>
        </w:rPr>
        <w:t>à partir d’enquêtes auprès d’enseignants</w:t>
      </w:r>
      <w:r>
        <w:rPr>
          <w:rFonts w:asciiTheme="majorBidi" w:eastAsia="Aptos" w:hAnsiTheme="majorBidi" w:cstheme="majorBidi"/>
          <w:sz w:val="24"/>
          <w:szCs w:val="24"/>
        </w:rPr>
        <w:t xml:space="preserve"> en service</w:t>
      </w:r>
      <w:r w:rsidRPr="00473A45">
        <w:rPr>
          <w:rFonts w:asciiTheme="majorBidi" w:eastAsia="Aptos" w:hAnsiTheme="majorBidi" w:cstheme="majorBidi"/>
          <w:sz w:val="24"/>
          <w:szCs w:val="24"/>
        </w:rPr>
        <w:t xml:space="preserve">, que ces derniers voient dans les connaissances dites traditionnelles une passerelle entre les savoirs scientifiques et les réalités culturelles des apprenants. De son côté, </w:t>
      </w:r>
      <w:bookmarkStart w:id="144" w:name="_Hlk215003457"/>
      <w:proofErr w:type="spellStart"/>
      <w:r w:rsidRPr="00473A45">
        <w:rPr>
          <w:rFonts w:asciiTheme="majorBidi" w:eastAsia="Aptos" w:hAnsiTheme="majorBidi" w:cstheme="majorBidi"/>
          <w:sz w:val="24"/>
          <w:szCs w:val="24"/>
        </w:rPr>
        <w:t>Mbazogue</w:t>
      </w:r>
      <w:proofErr w:type="spellEnd"/>
      <w:r w:rsidRPr="00473A45">
        <w:rPr>
          <w:rFonts w:asciiTheme="majorBidi" w:eastAsia="Aptos" w:hAnsiTheme="majorBidi" w:cstheme="majorBidi"/>
          <w:sz w:val="24"/>
          <w:szCs w:val="24"/>
        </w:rPr>
        <w:t xml:space="preserve"> (2012, p.33-35) </w:t>
      </w:r>
      <w:bookmarkEnd w:id="144"/>
      <w:r>
        <w:rPr>
          <w:rFonts w:asciiTheme="majorBidi" w:eastAsia="Aptos" w:hAnsiTheme="majorBidi" w:cstheme="majorBidi"/>
          <w:sz w:val="24"/>
          <w:szCs w:val="24"/>
        </w:rPr>
        <w:t xml:space="preserve">s’est intéressée à la problématique des questions socialement vives comme la sexualité ou les maladies endémiques, du point de vue des enseignants. </w:t>
      </w:r>
      <w:r w:rsidRPr="00473A45">
        <w:rPr>
          <w:rFonts w:asciiTheme="majorBidi" w:eastAsia="Aptos" w:hAnsiTheme="majorBidi" w:cstheme="majorBidi"/>
          <w:sz w:val="24"/>
          <w:szCs w:val="24"/>
        </w:rPr>
        <w:t xml:space="preserve">Elle </w:t>
      </w:r>
      <w:r>
        <w:rPr>
          <w:rFonts w:asciiTheme="majorBidi" w:eastAsia="Aptos" w:hAnsiTheme="majorBidi" w:cstheme="majorBidi"/>
          <w:sz w:val="24"/>
          <w:szCs w:val="24"/>
        </w:rPr>
        <w:t xml:space="preserve">a </w:t>
      </w:r>
      <w:r w:rsidRPr="00473A45">
        <w:rPr>
          <w:rFonts w:asciiTheme="majorBidi" w:eastAsia="Aptos" w:hAnsiTheme="majorBidi" w:cstheme="majorBidi"/>
          <w:sz w:val="24"/>
          <w:szCs w:val="24"/>
        </w:rPr>
        <w:t>montr</w:t>
      </w:r>
      <w:r>
        <w:rPr>
          <w:rFonts w:asciiTheme="majorBidi" w:eastAsia="Aptos" w:hAnsiTheme="majorBidi" w:cstheme="majorBidi"/>
          <w:sz w:val="24"/>
          <w:szCs w:val="24"/>
        </w:rPr>
        <w:t>é</w:t>
      </w:r>
      <w:r w:rsidRPr="00473A45">
        <w:rPr>
          <w:rFonts w:asciiTheme="majorBidi" w:eastAsia="Aptos" w:hAnsiTheme="majorBidi" w:cstheme="majorBidi"/>
          <w:sz w:val="24"/>
          <w:szCs w:val="24"/>
        </w:rPr>
        <w:t xml:space="preserve"> que les références culturelles et les expériences quotidiennes des élèves peuvent enrichir les cours, tout en soulignant les tensions entre contextualisation et standardisation curriculaire. </w:t>
      </w:r>
      <w:bookmarkStart w:id="145" w:name="_Hlk215003486"/>
      <w:proofErr w:type="spellStart"/>
      <w:r w:rsidRPr="00473A45">
        <w:rPr>
          <w:rFonts w:asciiTheme="majorBidi" w:eastAsia="Aptos" w:hAnsiTheme="majorBidi" w:cstheme="majorBidi"/>
          <w:sz w:val="24"/>
          <w:szCs w:val="24"/>
        </w:rPr>
        <w:t>Ndong</w:t>
      </w:r>
      <w:proofErr w:type="spellEnd"/>
      <w:r w:rsidRPr="00473A45">
        <w:rPr>
          <w:rFonts w:asciiTheme="majorBidi" w:eastAsia="Aptos" w:hAnsiTheme="majorBidi" w:cstheme="majorBidi"/>
          <w:sz w:val="24"/>
          <w:szCs w:val="24"/>
        </w:rPr>
        <w:t xml:space="preserve"> (2015, p.5-10), </w:t>
      </w:r>
      <w:bookmarkEnd w:id="145"/>
      <w:r w:rsidRPr="00473A45">
        <w:rPr>
          <w:rFonts w:asciiTheme="majorBidi" w:eastAsia="Aptos" w:hAnsiTheme="majorBidi" w:cstheme="majorBidi"/>
          <w:sz w:val="24"/>
          <w:szCs w:val="24"/>
        </w:rPr>
        <w:t>quant à lui, s’intéresse à l’exploitation minière au Gabon</w:t>
      </w:r>
      <w:r>
        <w:rPr>
          <w:rFonts w:asciiTheme="majorBidi" w:eastAsia="Aptos" w:hAnsiTheme="majorBidi" w:cstheme="majorBidi"/>
          <w:sz w:val="24"/>
          <w:szCs w:val="24"/>
        </w:rPr>
        <w:t>,</w:t>
      </w:r>
      <w:r w:rsidRPr="00473A45">
        <w:rPr>
          <w:rFonts w:asciiTheme="majorBidi" w:eastAsia="Aptos" w:hAnsiTheme="majorBidi" w:cstheme="majorBidi"/>
          <w:sz w:val="24"/>
          <w:szCs w:val="24"/>
        </w:rPr>
        <w:t xml:space="preserve"> comme levier pédagogique. Il </w:t>
      </w:r>
      <w:r>
        <w:rPr>
          <w:rFonts w:asciiTheme="majorBidi" w:eastAsia="Aptos" w:hAnsiTheme="majorBidi" w:cstheme="majorBidi"/>
          <w:sz w:val="24"/>
          <w:szCs w:val="24"/>
        </w:rPr>
        <w:t>précise</w:t>
      </w:r>
      <w:r w:rsidRPr="00473A45">
        <w:rPr>
          <w:rFonts w:asciiTheme="majorBidi" w:eastAsia="Aptos" w:hAnsiTheme="majorBidi" w:cstheme="majorBidi"/>
          <w:sz w:val="24"/>
          <w:szCs w:val="24"/>
        </w:rPr>
        <w:t xml:space="preserve"> que si les enseignants souhaitent ancrer les contenus dans le vécu des élèves, ils manquent souvent de ressources et d’un cadre réglementaire clair qui favorise une telle démarche.</w:t>
      </w:r>
      <w:r>
        <w:rPr>
          <w:rFonts w:asciiTheme="majorBidi" w:eastAsia="Aptos" w:hAnsiTheme="majorBidi" w:cstheme="majorBidi"/>
          <w:sz w:val="24"/>
          <w:szCs w:val="24"/>
        </w:rPr>
        <w:t xml:space="preserve"> </w:t>
      </w:r>
    </w:p>
    <w:p w14:paraId="3E1EF846" w14:textId="77777777" w:rsidR="00D80693" w:rsidRDefault="00D80693" w:rsidP="00D92213">
      <w:pPr>
        <w:spacing w:before="120"/>
        <w:jc w:val="both"/>
        <w:rPr>
          <w:rFonts w:eastAsia="Aptos"/>
          <w:sz w:val="24"/>
          <w:szCs w:val="24"/>
        </w:rPr>
      </w:pPr>
      <w:r w:rsidRPr="00473A45">
        <w:rPr>
          <w:rFonts w:asciiTheme="majorBidi" w:eastAsia="Aptos" w:hAnsiTheme="majorBidi" w:cstheme="majorBidi"/>
          <w:sz w:val="24"/>
          <w:szCs w:val="24"/>
        </w:rPr>
        <w:t xml:space="preserve">Dans une étude récente, </w:t>
      </w:r>
      <w:bookmarkStart w:id="146" w:name="_Hlk215003507"/>
      <w:proofErr w:type="spellStart"/>
      <w:r w:rsidRPr="00473A45">
        <w:rPr>
          <w:rFonts w:asciiTheme="majorBidi" w:eastAsia="Aptos" w:hAnsiTheme="majorBidi" w:cstheme="majorBidi"/>
          <w:sz w:val="24"/>
          <w:szCs w:val="24"/>
        </w:rPr>
        <w:t>Lekhu</w:t>
      </w:r>
      <w:proofErr w:type="spellEnd"/>
      <w:r w:rsidRPr="00473A45">
        <w:rPr>
          <w:rFonts w:asciiTheme="majorBidi" w:eastAsia="Aptos" w:hAnsiTheme="majorBidi" w:cstheme="majorBidi"/>
          <w:sz w:val="24"/>
          <w:szCs w:val="24"/>
        </w:rPr>
        <w:t xml:space="preserve"> (2023, p.12) </w:t>
      </w:r>
      <w:bookmarkEnd w:id="146"/>
      <w:r w:rsidRPr="00473A45">
        <w:rPr>
          <w:rFonts w:asciiTheme="majorBidi" w:eastAsia="Aptos" w:hAnsiTheme="majorBidi" w:cstheme="majorBidi"/>
          <w:sz w:val="24"/>
          <w:szCs w:val="24"/>
        </w:rPr>
        <w:t xml:space="preserve">souligne que les enseignants en formation initiale </w:t>
      </w:r>
      <w:r>
        <w:rPr>
          <w:rFonts w:asciiTheme="majorBidi" w:eastAsia="Aptos" w:hAnsiTheme="majorBidi" w:cstheme="majorBidi"/>
          <w:sz w:val="24"/>
          <w:szCs w:val="24"/>
        </w:rPr>
        <w:t xml:space="preserve">peinent à contextualiser leurs </w:t>
      </w:r>
      <w:r w:rsidRPr="00473A45">
        <w:rPr>
          <w:rFonts w:asciiTheme="majorBidi" w:eastAsia="Aptos" w:hAnsiTheme="majorBidi" w:cstheme="majorBidi"/>
          <w:sz w:val="24"/>
          <w:szCs w:val="24"/>
        </w:rPr>
        <w:t xml:space="preserve">pratiques pédagogiques, </w:t>
      </w:r>
      <w:r>
        <w:rPr>
          <w:rFonts w:asciiTheme="majorBidi" w:eastAsia="Aptos" w:hAnsiTheme="majorBidi" w:cstheme="majorBidi"/>
          <w:sz w:val="24"/>
          <w:szCs w:val="24"/>
        </w:rPr>
        <w:t xml:space="preserve">car ils n’ont pas de </w:t>
      </w:r>
      <w:r w:rsidRPr="00473A45">
        <w:rPr>
          <w:rFonts w:asciiTheme="majorBidi" w:eastAsia="Aptos" w:hAnsiTheme="majorBidi" w:cstheme="majorBidi"/>
          <w:sz w:val="24"/>
          <w:szCs w:val="24"/>
        </w:rPr>
        <w:t xml:space="preserve">préparation spécifique et </w:t>
      </w:r>
      <w:r>
        <w:rPr>
          <w:rFonts w:asciiTheme="majorBidi" w:eastAsia="Aptos" w:hAnsiTheme="majorBidi" w:cstheme="majorBidi"/>
          <w:sz w:val="24"/>
          <w:szCs w:val="24"/>
        </w:rPr>
        <w:t xml:space="preserve">n’ont pas eu l’occasion de développer une </w:t>
      </w:r>
      <w:r w:rsidRPr="00473A45">
        <w:rPr>
          <w:rFonts w:asciiTheme="majorBidi" w:eastAsia="Aptos" w:hAnsiTheme="majorBidi" w:cstheme="majorBidi"/>
          <w:sz w:val="24"/>
          <w:szCs w:val="24"/>
        </w:rPr>
        <w:t xml:space="preserve">auto-efficacité. </w:t>
      </w:r>
      <w:r>
        <w:rPr>
          <w:rFonts w:asciiTheme="majorBidi" w:eastAsia="Aptos" w:hAnsiTheme="majorBidi" w:cstheme="majorBidi"/>
          <w:sz w:val="24"/>
          <w:szCs w:val="24"/>
        </w:rPr>
        <w:t xml:space="preserve">Ils n’ont pas </w:t>
      </w:r>
      <w:proofErr w:type="spellStart"/>
      <w:r>
        <w:rPr>
          <w:rFonts w:asciiTheme="majorBidi" w:eastAsia="Aptos" w:hAnsiTheme="majorBidi" w:cstheme="majorBidi"/>
          <w:sz w:val="24"/>
          <w:szCs w:val="24"/>
        </w:rPr>
        <w:t>pû</w:t>
      </w:r>
      <w:proofErr w:type="spellEnd"/>
      <w:r>
        <w:rPr>
          <w:rFonts w:asciiTheme="majorBidi" w:eastAsia="Aptos" w:hAnsiTheme="majorBidi" w:cstheme="majorBidi"/>
          <w:sz w:val="24"/>
          <w:szCs w:val="24"/>
        </w:rPr>
        <w:t xml:space="preserve"> développer des </w:t>
      </w:r>
      <w:r w:rsidRPr="00473A45">
        <w:rPr>
          <w:rFonts w:asciiTheme="majorBidi" w:eastAsia="Aptos" w:hAnsiTheme="majorBidi" w:cstheme="majorBidi"/>
          <w:sz w:val="24"/>
          <w:szCs w:val="24"/>
        </w:rPr>
        <w:t>compétences en adaptation contextuelle</w:t>
      </w:r>
      <w:r>
        <w:rPr>
          <w:rFonts w:asciiTheme="majorBidi" w:eastAsia="Aptos" w:hAnsiTheme="majorBidi" w:cstheme="majorBidi"/>
          <w:sz w:val="24"/>
          <w:szCs w:val="24"/>
        </w:rPr>
        <w:t xml:space="preserve"> et </w:t>
      </w:r>
      <w:r w:rsidRPr="00473A45">
        <w:rPr>
          <w:rFonts w:asciiTheme="majorBidi" w:eastAsia="Aptos" w:hAnsiTheme="majorBidi" w:cstheme="majorBidi"/>
          <w:sz w:val="24"/>
          <w:szCs w:val="24"/>
        </w:rPr>
        <w:t>risquent de reproduire des modèles d’enseignement standardisés, peu sensibles aux réalités des apprenants. Cette limite compromet directement la pertinence des apprentissages et l’efficacité des approches actives dans des environnements éducatifs variés.</w:t>
      </w:r>
      <w:r>
        <w:rPr>
          <w:rFonts w:asciiTheme="majorBidi" w:eastAsia="Aptos" w:hAnsiTheme="majorBidi" w:cstheme="majorBidi"/>
          <w:sz w:val="24"/>
          <w:szCs w:val="24"/>
        </w:rPr>
        <w:t xml:space="preserve"> </w:t>
      </w:r>
    </w:p>
    <w:p w14:paraId="45276288"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rPr>
        <w:t xml:space="preserve">Cette remarque est valable aussi dans le contexte gabonais où nous avons souligné des difficultés analogues </w:t>
      </w:r>
      <w:bookmarkStart w:id="147" w:name="_Hlk215003550"/>
      <w:r>
        <w:rPr>
          <w:rFonts w:asciiTheme="majorBidi" w:eastAsia="Aptos" w:hAnsiTheme="majorBidi" w:cstheme="majorBidi"/>
          <w:sz w:val="24"/>
          <w:szCs w:val="24"/>
        </w:rPr>
        <w:t>(</w:t>
      </w:r>
      <w:proofErr w:type="spellStart"/>
      <w:r>
        <w:rPr>
          <w:rFonts w:asciiTheme="majorBidi" w:eastAsia="Aptos" w:hAnsiTheme="majorBidi" w:cstheme="majorBidi"/>
          <w:sz w:val="24"/>
          <w:szCs w:val="24"/>
        </w:rPr>
        <w:t>Moussavou</w:t>
      </w:r>
      <w:proofErr w:type="spellEnd"/>
      <w:r>
        <w:rPr>
          <w:rFonts w:asciiTheme="majorBidi" w:eastAsia="Aptos" w:hAnsiTheme="majorBidi" w:cstheme="majorBidi"/>
          <w:sz w:val="24"/>
          <w:szCs w:val="24"/>
        </w:rPr>
        <w:t xml:space="preserve">, 2022). </w:t>
      </w:r>
      <w:bookmarkEnd w:id="147"/>
      <w:r>
        <w:rPr>
          <w:rFonts w:asciiTheme="majorBidi" w:eastAsia="Aptos" w:hAnsiTheme="majorBidi" w:cstheme="majorBidi"/>
          <w:sz w:val="24"/>
          <w:szCs w:val="24"/>
          <w:lang w:val="fr-SN"/>
        </w:rPr>
        <w:t xml:space="preserve">L’adaptation des enseignements de sciences aux contextes locaux est la difficulté la plus urgente à résoudre au Gabon, point inscrit dans la réforme éducative actuelle. </w:t>
      </w:r>
    </w:p>
    <w:p w14:paraId="12FBD1BA" w14:textId="77777777" w:rsidR="00D80693" w:rsidRPr="00473A45"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En définitive, le système éducatif connaît une cure de jouvence, pour ainsi dire, exigeant désormais le passage de la pédagogie par objectifs à la pédagogie par compétences. Pour l’Institut pédagogique national (IPN), elle permet de mieux envisager les </w:t>
      </w:r>
      <w:r w:rsidRPr="005A14A8">
        <w:rPr>
          <w:rFonts w:asciiTheme="majorBidi" w:eastAsia="Aptos" w:hAnsiTheme="majorBidi" w:cstheme="majorBidi"/>
          <w:sz w:val="24"/>
          <w:szCs w:val="24"/>
          <w:lang w:val="fr-SN"/>
        </w:rPr>
        <w:t xml:space="preserve">enjeux du </w:t>
      </w:r>
      <w:r>
        <w:rPr>
          <w:rFonts w:asciiTheme="majorBidi" w:eastAsia="Aptos" w:hAnsiTheme="majorBidi" w:cstheme="majorBidi"/>
          <w:sz w:val="24"/>
          <w:szCs w:val="24"/>
          <w:lang w:val="fr-SN"/>
        </w:rPr>
        <w:t xml:space="preserve">21ème </w:t>
      </w:r>
      <w:r w:rsidRPr="005A14A8">
        <w:rPr>
          <w:rFonts w:asciiTheme="majorBidi" w:eastAsia="Aptos" w:hAnsiTheme="majorBidi" w:cstheme="majorBidi"/>
          <w:sz w:val="24"/>
          <w:szCs w:val="24"/>
          <w:lang w:val="fr-SN"/>
        </w:rPr>
        <w:t xml:space="preserve">siècle dans le monde éducatif. </w:t>
      </w:r>
      <w:r>
        <w:rPr>
          <w:rFonts w:asciiTheme="majorBidi" w:eastAsia="Aptos" w:hAnsiTheme="majorBidi" w:cstheme="majorBidi"/>
          <w:sz w:val="24"/>
          <w:szCs w:val="24"/>
          <w:lang w:val="fr-SN"/>
        </w:rPr>
        <w:t xml:space="preserve">La circulaire </w:t>
      </w:r>
      <w:r w:rsidRPr="005A14A8">
        <w:rPr>
          <w:rFonts w:asciiTheme="majorBidi" w:eastAsia="Aptos" w:hAnsiTheme="majorBidi" w:cstheme="majorBidi"/>
          <w:sz w:val="24"/>
          <w:szCs w:val="24"/>
          <w:lang w:val="fr-SN"/>
        </w:rPr>
        <w:t xml:space="preserve">n°0003/MENFPFC du 7 octobre 2024, </w:t>
      </w:r>
      <w:r>
        <w:rPr>
          <w:rFonts w:asciiTheme="majorBidi" w:eastAsia="Aptos" w:hAnsiTheme="majorBidi" w:cstheme="majorBidi"/>
          <w:sz w:val="24"/>
          <w:szCs w:val="24"/>
          <w:lang w:val="fr-SN"/>
        </w:rPr>
        <w:t xml:space="preserve">publiée par le </w:t>
      </w:r>
      <w:r w:rsidRPr="005A14A8">
        <w:rPr>
          <w:rFonts w:asciiTheme="majorBidi" w:eastAsia="Aptos" w:hAnsiTheme="majorBidi" w:cstheme="majorBidi"/>
          <w:sz w:val="24"/>
          <w:szCs w:val="24"/>
          <w:lang w:val="fr-SN"/>
        </w:rPr>
        <w:t xml:space="preserve">ministère de l’Éducation </w:t>
      </w:r>
      <w:r>
        <w:rPr>
          <w:rFonts w:asciiTheme="majorBidi" w:eastAsia="Aptos" w:hAnsiTheme="majorBidi" w:cstheme="majorBidi"/>
          <w:sz w:val="24"/>
          <w:szCs w:val="24"/>
          <w:lang w:val="fr-SN"/>
        </w:rPr>
        <w:t>n</w:t>
      </w:r>
      <w:r w:rsidRPr="005A14A8">
        <w:rPr>
          <w:rFonts w:asciiTheme="majorBidi" w:eastAsia="Aptos" w:hAnsiTheme="majorBidi" w:cstheme="majorBidi"/>
          <w:sz w:val="24"/>
          <w:szCs w:val="24"/>
          <w:lang w:val="fr-SN"/>
        </w:rPr>
        <w:t>ationale</w:t>
      </w:r>
      <w:r>
        <w:rPr>
          <w:rFonts w:asciiTheme="majorBidi" w:eastAsia="Aptos" w:hAnsiTheme="majorBidi" w:cstheme="majorBidi"/>
          <w:sz w:val="24"/>
          <w:szCs w:val="24"/>
          <w:lang w:val="fr-SN"/>
        </w:rPr>
        <w:t>,</w:t>
      </w:r>
      <w:r w:rsidRPr="005A14A8">
        <w:rPr>
          <w:rFonts w:asciiTheme="majorBidi" w:eastAsia="Aptos" w:hAnsiTheme="majorBidi" w:cstheme="majorBidi"/>
          <w:sz w:val="24"/>
          <w:szCs w:val="24"/>
          <w:lang w:val="fr-SN"/>
        </w:rPr>
        <w:t xml:space="preserve"> défini</w:t>
      </w:r>
      <w:r>
        <w:rPr>
          <w:rFonts w:asciiTheme="majorBidi" w:eastAsia="Aptos" w:hAnsiTheme="majorBidi" w:cstheme="majorBidi"/>
          <w:sz w:val="24"/>
          <w:szCs w:val="24"/>
          <w:lang w:val="fr-SN"/>
        </w:rPr>
        <w:t>t</w:t>
      </w:r>
      <w:r w:rsidRPr="005A14A8">
        <w:rPr>
          <w:rFonts w:asciiTheme="majorBidi" w:eastAsia="Aptos" w:hAnsiTheme="majorBidi" w:cstheme="majorBidi"/>
          <w:sz w:val="24"/>
          <w:szCs w:val="24"/>
          <w:lang w:val="fr-SN"/>
        </w:rPr>
        <w:t xml:space="preserve"> les modalités pratiques de sa mise en œuvre au collège pour l’année scolaire 2024-2025</w:t>
      </w:r>
      <w:r>
        <w:rPr>
          <w:rFonts w:asciiTheme="majorBidi" w:eastAsia="Aptos" w:hAnsiTheme="majorBidi" w:cstheme="majorBidi"/>
          <w:sz w:val="24"/>
          <w:szCs w:val="24"/>
          <w:lang w:val="fr-SN"/>
        </w:rPr>
        <w:t xml:space="preserve">, limitant l’application aux niveaux 6ème, 5ème et 4ème. Dès lors, des ateliers de formation ont été organisés dans les chefs lieu des provinces (note </w:t>
      </w:r>
      <w:r w:rsidRPr="005A14A8">
        <w:rPr>
          <w:rFonts w:asciiTheme="majorBidi" w:eastAsia="Aptos" w:hAnsiTheme="majorBidi" w:cstheme="majorBidi"/>
          <w:sz w:val="24"/>
          <w:szCs w:val="24"/>
          <w:lang w:val="fr-SN"/>
        </w:rPr>
        <w:t>n°0925/MENICFP/IGS du 4 septembre 2025</w:t>
      </w:r>
      <w:r>
        <w:rPr>
          <w:rFonts w:asciiTheme="majorBidi" w:eastAsia="Aptos" w:hAnsiTheme="majorBidi" w:cstheme="majorBidi"/>
          <w:sz w:val="24"/>
          <w:szCs w:val="24"/>
          <w:lang w:val="fr-SN"/>
        </w:rPr>
        <w:t>)</w:t>
      </w:r>
      <w:r w:rsidRPr="004A7064">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t xml:space="preserve">et </w:t>
      </w:r>
      <w:r w:rsidRPr="005A14A8">
        <w:rPr>
          <w:rFonts w:asciiTheme="majorBidi" w:eastAsia="Aptos" w:hAnsiTheme="majorBidi" w:cstheme="majorBidi"/>
          <w:sz w:val="24"/>
          <w:szCs w:val="24"/>
          <w:lang w:val="fr-SN"/>
        </w:rPr>
        <w:t>un accompagnement sur le terrain du 15 septembre 2025 au 31 mai 2026</w:t>
      </w:r>
      <w:r>
        <w:rPr>
          <w:rFonts w:asciiTheme="majorBidi" w:eastAsia="Aptos" w:hAnsiTheme="majorBidi" w:cstheme="majorBidi"/>
          <w:sz w:val="24"/>
          <w:szCs w:val="24"/>
          <w:lang w:val="fr-SN"/>
        </w:rPr>
        <w:t xml:space="preserve"> est envisagé pour soutenir les enseignants dans la prise en main des nouvelles instructions. De façon globale, ils doivent désormais </w:t>
      </w:r>
      <w:r w:rsidRPr="00473A45">
        <w:rPr>
          <w:rFonts w:asciiTheme="majorBidi" w:eastAsia="Aptos" w:hAnsiTheme="majorBidi" w:cstheme="majorBidi"/>
          <w:sz w:val="24"/>
          <w:szCs w:val="24"/>
          <w:lang w:val="fr-SN"/>
        </w:rPr>
        <w:t xml:space="preserve">adapter les contenus </w:t>
      </w:r>
      <w:r>
        <w:rPr>
          <w:rFonts w:asciiTheme="majorBidi" w:eastAsia="Aptos" w:hAnsiTheme="majorBidi" w:cstheme="majorBidi"/>
          <w:sz w:val="24"/>
          <w:szCs w:val="24"/>
          <w:lang w:val="fr-SN"/>
        </w:rPr>
        <w:t xml:space="preserve">d’enseignements </w:t>
      </w:r>
      <w:r w:rsidRPr="00473A45">
        <w:rPr>
          <w:rFonts w:asciiTheme="majorBidi" w:eastAsia="Aptos" w:hAnsiTheme="majorBidi" w:cstheme="majorBidi"/>
          <w:sz w:val="24"/>
          <w:szCs w:val="24"/>
          <w:lang w:val="fr-SN"/>
        </w:rPr>
        <w:t>aux réalités sociales, culturelles, environnementales et économiques des élèves</w:t>
      </w:r>
      <w:r>
        <w:rPr>
          <w:rFonts w:asciiTheme="majorBidi" w:eastAsia="Aptos" w:hAnsiTheme="majorBidi" w:cstheme="majorBidi"/>
          <w:sz w:val="24"/>
          <w:szCs w:val="24"/>
          <w:lang w:val="fr-SN"/>
        </w:rPr>
        <w:t>, ils doivent contextualiser leurs actes pédagogiques. M</w:t>
      </w:r>
      <w:r w:rsidRPr="00473A45">
        <w:rPr>
          <w:rFonts w:asciiTheme="majorBidi" w:eastAsia="Aptos" w:hAnsiTheme="majorBidi" w:cstheme="majorBidi"/>
          <w:sz w:val="24"/>
          <w:szCs w:val="24"/>
          <w:lang w:val="fr-SN"/>
        </w:rPr>
        <w:t xml:space="preserve">algré l’intérêt de </w:t>
      </w:r>
      <w:r>
        <w:rPr>
          <w:rFonts w:asciiTheme="majorBidi" w:eastAsia="Aptos" w:hAnsiTheme="majorBidi" w:cstheme="majorBidi"/>
          <w:sz w:val="24"/>
          <w:szCs w:val="24"/>
          <w:lang w:val="fr-SN"/>
        </w:rPr>
        <w:t xml:space="preserve">l’Approche par les compétences (APC), </w:t>
      </w:r>
      <w:r w:rsidRPr="00473A45">
        <w:rPr>
          <w:rFonts w:asciiTheme="majorBidi" w:eastAsia="Aptos" w:hAnsiTheme="majorBidi" w:cstheme="majorBidi"/>
          <w:sz w:val="24"/>
          <w:szCs w:val="24"/>
          <w:lang w:val="fr-SN"/>
        </w:rPr>
        <w:t xml:space="preserve">sa mise en œuvre </w:t>
      </w:r>
      <w:r>
        <w:rPr>
          <w:rFonts w:asciiTheme="majorBidi" w:eastAsia="Aptos" w:hAnsiTheme="majorBidi" w:cstheme="majorBidi"/>
          <w:sz w:val="24"/>
          <w:szCs w:val="24"/>
          <w:lang w:val="fr-SN"/>
        </w:rPr>
        <w:t xml:space="preserve">récente </w:t>
      </w:r>
      <w:r w:rsidRPr="00473A45">
        <w:rPr>
          <w:rFonts w:asciiTheme="majorBidi" w:eastAsia="Aptos" w:hAnsiTheme="majorBidi" w:cstheme="majorBidi"/>
          <w:sz w:val="24"/>
          <w:szCs w:val="24"/>
          <w:lang w:val="fr-SN"/>
        </w:rPr>
        <w:t>dans le système éducatif gabonais demeure inégale, tant sur le plan des pratiques pédagogiques que des ressources mobilisées.</w:t>
      </w:r>
    </w:p>
    <w:p w14:paraId="61A989A3" w14:textId="77777777" w:rsidR="00D80693" w:rsidRDefault="00D80693" w:rsidP="00D92213">
      <w:pPr>
        <w:spacing w:before="120"/>
        <w:jc w:val="both"/>
        <w:rPr>
          <w:rFonts w:eastAsia="Aptos"/>
          <w:sz w:val="24"/>
          <w:szCs w:val="24"/>
          <w:lang w:val="fr-SN"/>
        </w:rPr>
      </w:pPr>
      <w:r w:rsidRPr="00473A45">
        <w:rPr>
          <w:rFonts w:asciiTheme="majorBidi" w:eastAsia="Aptos" w:hAnsiTheme="majorBidi" w:cstheme="majorBidi"/>
          <w:sz w:val="24"/>
          <w:szCs w:val="24"/>
          <w:lang w:val="fr-SN"/>
        </w:rPr>
        <w:t xml:space="preserve">Les textes réglementaires tels que la loi d’orientation sur l’éducation, les programmes, les progressions ou encore les recommandations issues des États Généraux </w:t>
      </w:r>
      <w:r>
        <w:rPr>
          <w:rFonts w:asciiTheme="majorBidi" w:eastAsia="Aptos" w:hAnsiTheme="majorBidi" w:cstheme="majorBidi"/>
          <w:sz w:val="24"/>
          <w:szCs w:val="24"/>
          <w:lang w:val="fr-SN"/>
        </w:rPr>
        <w:t>insistent certes sur la contextualisation comme exigence pédagogique</w:t>
      </w:r>
      <w:r w:rsidRPr="00473A45">
        <w:rPr>
          <w:rFonts w:asciiTheme="majorBidi" w:eastAsia="Aptos" w:hAnsiTheme="majorBidi" w:cstheme="majorBidi"/>
          <w:sz w:val="24"/>
          <w:szCs w:val="24"/>
          <w:lang w:val="fr-SN"/>
        </w:rPr>
        <w:t xml:space="preserve">, mais </w:t>
      </w:r>
      <w:r>
        <w:rPr>
          <w:rFonts w:asciiTheme="majorBidi" w:eastAsia="Aptos" w:hAnsiTheme="majorBidi" w:cstheme="majorBidi"/>
          <w:sz w:val="24"/>
          <w:szCs w:val="24"/>
          <w:lang w:val="fr-SN"/>
        </w:rPr>
        <w:t xml:space="preserve">cette évocation demeure implicite, </w:t>
      </w:r>
      <w:r w:rsidRPr="00473A45">
        <w:rPr>
          <w:rFonts w:asciiTheme="majorBidi" w:eastAsia="Aptos" w:hAnsiTheme="majorBidi" w:cstheme="majorBidi"/>
          <w:sz w:val="24"/>
          <w:szCs w:val="24"/>
          <w:lang w:val="fr-SN"/>
        </w:rPr>
        <w:t xml:space="preserve">sans indication claire </w:t>
      </w:r>
      <w:r>
        <w:rPr>
          <w:rFonts w:asciiTheme="majorBidi" w:eastAsia="Aptos" w:hAnsiTheme="majorBidi" w:cstheme="majorBidi"/>
          <w:sz w:val="24"/>
          <w:szCs w:val="24"/>
          <w:lang w:val="fr-SN"/>
        </w:rPr>
        <w:t>des</w:t>
      </w:r>
      <w:r w:rsidRPr="00473A45">
        <w:rPr>
          <w:rFonts w:asciiTheme="majorBidi" w:eastAsia="Aptos" w:hAnsiTheme="majorBidi" w:cstheme="majorBidi"/>
          <w:sz w:val="24"/>
          <w:szCs w:val="24"/>
          <w:lang w:val="fr-SN"/>
        </w:rPr>
        <w:t xml:space="preserve"> modalités d</w:t>
      </w:r>
      <w:r>
        <w:rPr>
          <w:rFonts w:asciiTheme="majorBidi" w:eastAsia="Aptos" w:hAnsiTheme="majorBidi" w:cstheme="majorBidi"/>
          <w:sz w:val="24"/>
          <w:szCs w:val="24"/>
          <w:lang w:val="fr-SN"/>
        </w:rPr>
        <w:t xml:space="preserve">’intégration. Nous identifions trois questions majeures : dans </w:t>
      </w:r>
      <w:r w:rsidRPr="00473A45">
        <w:rPr>
          <w:rFonts w:asciiTheme="majorBidi" w:eastAsia="Aptos" w:hAnsiTheme="majorBidi" w:cstheme="majorBidi"/>
          <w:sz w:val="24"/>
          <w:szCs w:val="24"/>
          <w:lang w:val="fr-SN"/>
        </w:rPr>
        <w:t xml:space="preserve">quelle mesure la contextualisation est-elle réellement prise en compte dans les textes officiels </w:t>
      </w:r>
      <w:r>
        <w:rPr>
          <w:rFonts w:asciiTheme="majorBidi" w:eastAsia="Aptos" w:hAnsiTheme="majorBidi" w:cstheme="majorBidi"/>
          <w:sz w:val="24"/>
          <w:szCs w:val="24"/>
          <w:lang w:val="fr-SN"/>
        </w:rPr>
        <w:t xml:space="preserve">au Gabon </w:t>
      </w:r>
      <w:r w:rsidRPr="00473A45">
        <w:rPr>
          <w:rFonts w:asciiTheme="majorBidi" w:eastAsia="Aptos" w:hAnsiTheme="majorBidi" w:cstheme="majorBidi"/>
          <w:sz w:val="24"/>
          <w:szCs w:val="24"/>
          <w:lang w:val="fr-SN"/>
        </w:rPr>
        <w:t xml:space="preserve">? Comment </w:t>
      </w:r>
      <w:r>
        <w:rPr>
          <w:rFonts w:asciiTheme="majorBidi" w:eastAsia="Aptos" w:hAnsiTheme="majorBidi" w:cstheme="majorBidi"/>
          <w:sz w:val="24"/>
          <w:szCs w:val="24"/>
          <w:lang w:val="fr-SN"/>
        </w:rPr>
        <w:t xml:space="preserve">les enseignants la mettent-ils en pratique en classe ? </w:t>
      </w:r>
      <w:r w:rsidRPr="00473A45">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t>De leurs points de vue, quand on évoque la contextualisation en SVT, de quoi s’agit-il ? Quel est le véritable niveau de prise en compte des besoins et des spécificités locales dans l’école gabonaise ?</w:t>
      </w:r>
    </w:p>
    <w:p w14:paraId="0F9BE44E" w14:textId="77777777" w:rsidR="00D80693" w:rsidRPr="001248F5" w:rsidRDefault="00D80693" w:rsidP="00D92213">
      <w:pPr>
        <w:pStyle w:val="Paragraphedeliste"/>
        <w:rPr>
          <w:rFonts w:eastAsia="Aptos"/>
          <w:b/>
          <w:bCs/>
          <w:sz w:val="28"/>
          <w:szCs w:val="28"/>
          <w:lang w:val="fr-SN"/>
        </w:rPr>
      </w:pPr>
      <w:r>
        <w:rPr>
          <w:rFonts w:asciiTheme="majorBidi" w:eastAsia="Aptos" w:hAnsiTheme="majorBidi" w:cstheme="majorBidi"/>
          <w:b/>
          <w:bCs/>
          <w:sz w:val="28"/>
          <w:szCs w:val="28"/>
          <w:lang w:val="fr-SN"/>
        </w:rPr>
        <w:t xml:space="preserve">2. </w:t>
      </w:r>
      <w:r w:rsidRPr="001248F5">
        <w:rPr>
          <w:rFonts w:asciiTheme="majorBidi" w:eastAsia="Aptos" w:hAnsiTheme="majorBidi" w:cstheme="majorBidi"/>
          <w:b/>
          <w:bCs/>
          <w:sz w:val="28"/>
          <w:szCs w:val="28"/>
          <w:lang w:val="fr-SN"/>
        </w:rPr>
        <w:t xml:space="preserve">Cadre théorique </w:t>
      </w:r>
    </w:p>
    <w:p w14:paraId="6A9235C9" w14:textId="77777777" w:rsidR="00D80693" w:rsidRDefault="00D80693" w:rsidP="00D92213">
      <w:pPr>
        <w:spacing w:before="120"/>
        <w:jc w:val="both"/>
        <w:rPr>
          <w:rFonts w:eastAsia="Aptos"/>
          <w:sz w:val="24"/>
          <w:szCs w:val="24"/>
          <w:lang w:val="fr-SN"/>
        </w:rPr>
      </w:pPr>
      <w:bookmarkStart w:id="148" w:name="_Toc202296904"/>
      <w:bookmarkStart w:id="149" w:name="_Toc204604579"/>
      <w:r>
        <w:rPr>
          <w:rFonts w:asciiTheme="majorBidi" w:eastAsia="Aptos" w:hAnsiTheme="majorBidi" w:cstheme="majorBidi"/>
          <w:sz w:val="24"/>
          <w:szCs w:val="24"/>
          <w:lang w:val="fr-SN"/>
        </w:rPr>
        <w:t xml:space="preserve">Nous inscrivons cette contribution dans le cadre d’une didactique prospective et critique, nous obligeant à préciser les sous-entendus conceptuels et théoriques qui orientent nos réflexions </w:t>
      </w:r>
      <w:r w:rsidRPr="004F3213">
        <w:rPr>
          <w:rFonts w:asciiTheme="majorBidi" w:eastAsia="Aptos" w:hAnsiTheme="majorBidi" w:cstheme="majorBidi"/>
          <w:sz w:val="24"/>
          <w:szCs w:val="24"/>
          <w:lang w:val="fr-SN"/>
        </w:rPr>
        <w:t>(Savoie</w:t>
      </w:r>
      <w:r>
        <w:rPr>
          <w:rFonts w:asciiTheme="majorBidi" w:eastAsia="Aptos" w:hAnsiTheme="majorBidi" w:cstheme="majorBidi"/>
          <w:sz w:val="24"/>
          <w:szCs w:val="24"/>
          <w:lang w:val="fr-SN"/>
        </w:rPr>
        <w:t xml:space="preserve"> </w:t>
      </w:r>
      <w:r w:rsidRPr="004F3213">
        <w:rPr>
          <w:rFonts w:asciiTheme="majorBidi" w:eastAsia="Aptos" w:hAnsiTheme="majorBidi" w:cstheme="majorBidi"/>
          <w:sz w:val="24"/>
          <w:szCs w:val="24"/>
          <w:lang w:val="fr-SN"/>
        </w:rPr>
        <w:t>Zajc &amp; Karsenti, 2004</w:t>
      </w:r>
      <w:r>
        <w:rPr>
          <w:rFonts w:asciiTheme="majorBidi" w:eastAsia="Aptos" w:hAnsiTheme="majorBidi" w:cstheme="majorBidi"/>
          <w:sz w:val="24"/>
          <w:szCs w:val="24"/>
          <w:lang w:val="fr-SN"/>
        </w:rPr>
        <w:t>, p.</w:t>
      </w:r>
      <w:r w:rsidRPr="004F3213">
        <w:rPr>
          <w:rFonts w:asciiTheme="majorBidi" w:eastAsia="Aptos" w:hAnsiTheme="majorBidi" w:cstheme="majorBidi"/>
          <w:sz w:val="24"/>
          <w:szCs w:val="24"/>
          <w:lang w:val="fr-SN"/>
        </w:rPr>
        <w:t>113)</w:t>
      </w:r>
      <w:r>
        <w:rPr>
          <w:rFonts w:asciiTheme="majorBidi" w:eastAsia="Aptos" w:hAnsiTheme="majorBidi" w:cstheme="majorBidi"/>
          <w:sz w:val="24"/>
          <w:szCs w:val="24"/>
          <w:lang w:val="fr-SN"/>
        </w:rPr>
        <w:t xml:space="preserve">. </w:t>
      </w:r>
    </w:p>
    <w:p w14:paraId="06265BBB" w14:textId="77777777" w:rsidR="00D80693" w:rsidRPr="001248F5" w:rsidRDefault="00D80693" w:rsidP="00D92213">
      <w:pPr>
        <w:spacing w:before="120"/>
        <w:jc w:val="both"/>
        <w:rPr>
          <w:rFonts w:eastAsia="Aptos"/>
          <w:b/>
          <w:bCs/>
          <w:i/>
          <w:iCs/>
          <w:sz w:val="24"/>
          <w:szCs w:val="24"/>
          <w:lang w:val="fr-SN"/>
        </w:rPr>
      </w:pPr>
      <w:r w:rsidRPr="001248F5">
        <w:rPr>
          <w:rFonts w:asciiTheme="majorBidi" w:eastAsia="Aptos" w:hAnsiTheme="majorBidi" w:cstheme="majorBidi"/>
          <w:b/>
          <w:bCs/>
          <w:i/>
          <w:iCs/>
          <w:sz w:val="24"/>
          <w:szCs w:val="24"/>
          <w:lang w:val="fr-SN"/>
        </w:rPr>
        <w:t xml:space="preserve">2. 1 </w:t>
      </w:r>
      <w:r>
        <w:rPr>
          <w:rFonts w:asciiTheme="majorBidi" w:eastAsia="Aptos" w:hAnsiTheme="majorBidi" w:cstheme="majorBidi"/>
          <w:b/>
          <w:bCs/>
          <w:i/>
          <w:iCs/>
          <w:sz w:val="24"/>
          <w:szCs w:val="24"/>
          <w:lang w:val="fr-SN"/>
        </w:rPr>
        <w:t xml:space="preserve">Caractère </w:t>
      </w:r>
      <w:proofErr w:type="spellStart"/>
      <w:r>
        <w:rPr>
          <w:rFonts w:asciiTheme="majorBidi" w:eastAsia="Aptos" w:hAnsiTheme="majorBidi" w:cstheme="majorBidi"/>
          <w:b/>
          <w:bCs/>
          <w:i/>
          <w:iCs/>
          <w:sz w:val="24"/>
          <w:szCs w:val="24"/>
          <w:lang w:val="fr-SN"/>
        </w:rPr>
        <w:t>multidimentionnel</w:t>
      </w:r>
      <w:proofErr w:type="spellEnd"/>
      <w:r>
        <w:rPr>
          <w:rFonts w:asciiTheme="majorBidi" w:eastAsia="Aptos" w:hAnsiTheme="majorBidi" w:cstheme="majorBidi"/>
          <w:b/>
          <w:bCs/>
          <w:i/>
          <w:iCs/>
          <w:sz w:val="24"/>
          <w:szCs w:val="24"/>
          <w:lang w:val="fr-SN"/>
        </w:rPr>
        <w:t xml:space="preserve"> de la </w:t>
      </w:r>
      <w:r w:rsidRPr="001248F5">
        <w:rPr>
          <w:rFonts w:asciiTheme="majorBidi" w:eastAsia="Aptos" w:hAnsiTheme="majorBidi" w:cstheme="majorBidi"/>
          <w:b/>
          <w:bCs/>
          <w:i/>
          <w:iCs/>
          <w:sz w:val="24"/>
          <w:szCs w:val="24"/>
          <w:lang w:val="fr-SN"/>
        </w:rPr>
        <w:t>contextualisation</w:t>
      </w:r>
    </w:p>
    <w:p w14:paraId="0899C424" w14:textId="77777777" w:rsidR="00D80693" w:rsidRDefault="00D80693" w:rsidP="00D92213">
      <w:pPr>
        <w:spacing w:before="120"/>
        <w:jc w:val="both"/>
        <w:rPr>
          <w:rFonts w:ascii="Aptos" w:eastAsia="Aptos" w:hAnsi="Aptos" w:cs="Arial"/>
          <w:lang w:val="fr-SN"/>
        </w:rPr>
      </w:pPr>
      <w:r>
        <w:rPr>
          <w:rFonts w:asciiTheme="majorBidi" w:eastAsia="Aptos" w:hAnsiTheme="majorBidi" w:cstheme="majorBidi"/>
          <w:sz w:val="24"/>
          <w:szCs w:val="24"/>
          <w:lang w:val="fr-SN"/>
        </w:rPr>
        <w:t xml:space="preserve">Il est possible d’envisager la contextualisation des enseignements, en particulier des SVT, selon plusieurs dimensions. Par exemple, dans le cadre réglementaire et textuel, les prescripteurs doivent clairement indiquer la nécessité d’intégrer les savoirs endogènes dans les programmes d’enseignement (Gaye, </w:t>
      </w:r>
      <w:r w:rsidRPr="001B4E3E">
        <w:rPr>
          <w:rFonts w:asciiTheme="majorBidi" w:eastAsia="Aptos" w:hAnsiTheme="majorBidi" w:cstheme="majorBidi"/>
          <w:sz w:val="24"/>
          <w:szCs w:val="24"/>
          <w:lang w:val="fr-SN"/>
        </w:rPr>
        <w:t>201</w:t>
      </w:r>
      <w:r>
        <w:rPr>
          <w:rFonts w:asciiTheme="majorBidi" w:eastAsia="Aptos" w:hAnsiTheme="majorBidi" w:cstheme="majorBidi"/>
          <w:sz w:val="24"/>
          <w:szCs w:val="24"/>
          <w:lang w:val="fr-SN"/>
        </w:rPr>
        <w:t>9, p</w:t>
      </w:r>
      <w:r w:rsidRPr="001B4E3E">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t>89</w:t>
      </w:r>
      <w:r w:rsidRPr="001B4E3E">
        <w:rPr>
          <w:rFonts w:asciiTheme="majorBidi" w:eastAsia="Aptos" w:hAnsiTheme="majorBidi" w:cstheme="majorBidi"/>
          <w:sz w:val="24"/>
          <w:szCs w:val="24"/>
          <w:lang w:val="fr-SN"/>
        </w:rPr>
        <w:t>)</w:t>
      </w:r>
      <w:r>
        <w:rPr>
          <w:rFonts w:asciiTheme="majorBidi" w:eastAsia="Aptos" w:hAnsiTheme="majorBidi" w:cstheme="majorBidi"/>
          <w:sz w:val="24"/>
          <w:szCs w:val="24"/>
          <w:lang w:val="fr-SN"/>
        </w:rPr>
        <w:t xml:space="preserve">. La contextualisation revêt aussi une dimension </w:t>
      </w:r>
      <w:r w:rsidRPr="001B4E3E">
        <w:rPr>
          <w:rFonts w:asciiTheme="majorBidi" w:eastAsia="Aptos" w:hAnsiTheme="majorBidi" w:cstheme="majorBidi"/>
          <w:sz w:val="24"/>
          <w:szCs w:val="24"/>
          <w:lang w:val="fr-SN"/>
        </w:rPr>
        <w:t>sociale et historique</w:t>
      </w:r>
      <w:r>
        <w:rPr>
          <w:rFonts w:asciiTheme="majorBidi" w:eastAsia="Aptos" w:hAnsiTheme="majorBidi" w:cstheme="majorBidi"/>
          <w:sz w:val="24"/>
          <w:szCs w:val="24"/>
          <w:lang w:val="fr-SN"/>
        </w:rPr>
        <w:t xml:space="preserve">, dans la mesure où </w:t>
      </w:r>
      <w:r w:rsidRPr="001B4E3E">
        <w:rPr>
          <w:rFonts w:asciiTheme="majorBidi" w:eastAsia="Aptos" w:hAnsiTheme="majorBidi" w:cstheme="majorBidi"/>
          <w:sz w:val="24"/>
          <w:szCs w:val="24"/>
          <w:lang w:val="fr-SN"/>
        </w:rPr>
        <w:t>elle prend en compte l’environnement social, économique et historique de l’apprenant, en reconnaissant que le savoir est toujours situé et inscrit dans un contexte donné (</w:t>
      </w:r>
      <w:proofErr w:type="spellStart"/>
      <w:r>
        <w:rPr>
          <w:rFonts w:asciiTheme="majorBidi" w:eastAsia="Aptos" w:hAnsiTheme="majorBidi" w:cstheme="majorBidi"/>
          <w:sz w:val="24"/>
          <w:szCs w:val="24"/>
          <w:lang w:val="fr-SN"/>
        </w:rPr>
        <w:t>Forrissier</w:t>
      </w:r>
      <w:proofErr w:type="spellEnd"/>
      <w:r>
        <w:rPr>
          <w:rFonts w:asciiTheme="majorBidi" w:eastAsia="Aptos" w:hAnsiTheme="majorBidi" w:cstheme="majorBidi"/>
          <w:sz w:val="24"/>
          <w:szCs w:val="24"/>
          <w:lang w:val="fr-SN"/>
        </w:rPr>
        <w:t xml:space="preserve">, 2003, </w:t>
      </w:r>
      <w:r w:rsidRPr="001B4E3E">
        <w:rPr>
          <w:rFonts w:asciiTheme="majorBidi" w:eastAsia="Aptos" w:hAnsiTheme="majorBidi" w:cstheme="majorBidi"/>
          <w:sz w:val="24"/>
          <w:szCs w:val="24"/>
          <w:lang w:val="fr-SN"/>
        </w:rPr>
        <w:t xml:space="preserve">p. </w:t>
      </w:r>
      <w:r>
        <w:rPr>
          <w:rFonts w:asciiTheme="majorBidi" w:eastAsia="Aptos" w:hAnsiTheme="majorBidi" w:cstheme="majorBidi"/>
          <w:sz w:val="24"/>
          <w:szCs w:val="24"/>
          <w:lang w:val="fr-SN"/>
        </w:rPr>
        <w:t>195</w:t>
      </w:r>
      <w:r w:rsidRPr="001B4E3E">
        <w:rPr>
          <w:rFonts w:asciiTheme="majorBidi" w:eastAsia="Aptos" w:hAnsiTheme="majorBidi" w:cstheme="majorBidi"/>
          <w:sz w:val="24"/>
          <w:szCs w:val="24"/>
          <w:lang w:val="fr-SN"/>
        </w:rPr>
        <w:t>)</w:t>
      </w:r>
      <w:r>
        <w:rPr>
          <w:rFonts w:asciiTheme="majorBidi" w:eastAsia="Aptos" w:hAnsiTheme="majorBidi" w:cstheme="majorBidi"/>
          <w:sz w:val="24"/>
          <w:szCs w:val="24"/>
          <w:lang w:val="fr-SN"/>
        </w:rPr>
        <w:t xml:space="preserve">. Cet avis est en lien avec les perspectives théoriques socioconstructivistes auxquelles nous adhérons. La contextualisation revêt également une dimension pédagogique mise en lumière par </w:t>
      </w:r>
      <w:r w:rsidRPr="001B4E3E">
        <w:rPr>
          <w:rFonts w:asciiTheme="majorBidi" w:eastAsia="Aptos" w:hAnsiTheme="majorBidi" w:cstheme="majorBidi"/>
          <w:sz w:val="24"/>
          <w:szCs w:val="24"/>
          <w:lang w:val="fr-SN"/>
        </w:rPr>
        <w:t>Piaget</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1974, p. 40-45</w:t>
      </w:r>
      <w:r>
        <w:rPr>
          <w:rFonts w:asciiTheme="majorBidi" w:eastAsia="Aptos" w:hAnsiTheme="majorBidi" w:cstheme="majorBidi"/>
          <w:sz w:val="24"/>
          <w:szCs w:val="24"/>
          <w:lang w:val="fr-SN"/>
        </w:rPr>
        <w:t xml:space="preserve">) et </w:t>
      </w:r>
      <w:r w:rsidRPr="001B4E3E">
        <w:rPr>
          <w:rFonts w:asciiTheme="majorBidi" w:eastAsia="Aptos" w:hAnsiTheme="majorBidi" w:cstheme="majorBidi"/>
          <w:sz w:val="24"/>
          <w:szCs w:val="24"/>
          <w:lang w:val="fr-SN"/>
        </w:rPr>
        <w:t>Vygotsky</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1978</w:t>
      </w:r>
      <w:r>
        <w:rPr>
          <w:rFonts w:asciiTheme="majorBidi" w:eastAsia="Aptos" w:hAnsiTheme="majorBidi" w:cstheme="majorBidi"/>
          <w:sz w:val="24"/>
          <w:szCs w:val="24"/>
          <w:lang w:val="fr-SN"/>
        </w:rPr>
        <w:t>,</w:t>
      </w:r>
      <w:r w:rsidRPr="00260BA7">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p. 100-110</w:t>
      </w:r>
      <w:r>
        <w:rPr>
          <w:rFonts w:asciiTheme="majorBidi" w:eastAsia="Aptos" w:hAnsiTheme="majorBidi" w:cstheme="majorBidi"/>
          <w:sz w:val="24"/>
          <w:szCs w:val="24"/>
          <w:lang w:val="fr-SN"/>
        </w:rPr>
        <w:t xml:space="preserve">), pour qui les </w:t>
      </w:r>
      <w:r w:rsidRPr="001B4E3E">
        <w:rPr>
          <w:rFonts w:asciiTheme="majorBidi" w:eastAsia="Aptos" w:hAnsiTheme="majorBidi" w:cstheme="majorBidi"/>
          <w:sz w:val="24"/>
          <w:szCs w:val="24"/>
          <w:lang w:val="fr-SN"/>
        </w:rPr>
        <w:t xml:space="preserve">pratiques éducatives </w:t>
      </w:r>
      <w:r>
        <w:rPr>
          <w:rFonts w:asciiTheme="majorBidi" w:eastAsia="Aptos" w:hAnsiTheme="majorBidi" w:cstheme="majorBidi"/>
          <w:sz w:val="24"/>
          <w:szCs w:val="24"/>
          <w:lang w:val="fr-SN"/>
        </w:rPr>
        <w:t>(</w:t>
      </w:r>
      <w:r w:rsidRPr="001B4E3E">
        <w:rPr>
          <w:rFonts w:asciiTheme="majorBidi" w:eastAsia="Aptos" w:hAnsiTheme="majorBidi" w:cstheme="majorBidi"/>
          <w:sz w:val="24"/>
          <w:szCs w:val="24"/>
          <w:lang w:val="fr-SN"/>
        </w:rPr>
        <w:t>inter</w:t>
      </w:r>
      <w:r>
        <w:rPr>
          <w:rFonts w:asciiTheme="majorBidi" w:eastAsia="Aptos" w:hAnsiTheme="majorBidi" w:cstheme="majorBidi"/>
          <w:sz w:val="24"/>
          <w:szCs w:val="24"/>
          <w:lang w:val="fr-SN"/>
        </w:rPr>
        <w:t>)</w:t>
      </w:r>
      <w:r w:rsidRPr="001B4E3E">
        <w:rPr>
          <w:rFonts w:asciiTheme="majorBidi" w:eastAsia="Aptos" w:hAnsiTheme="majorBidi" w:cstheme="majorBidi"/>
          <w:sz w:val="24"/>
          <w:szCs w:val="24"/>
          <w:lang w:val="fr-SN"/>
        </w:rPr>
        <w:t>actives</w:t>
      </w:r>
      <w:r>
        <w:rPr>
          <w:rFonts w:asciiTheme="majorBidi" w:eastAsia="Aptos" w:hAnsiTheme="majorBidi" w:cstheme="majorBidi"/>
          <w:sz w:val="24"/>
          <w:szCs w:val="24"/>
          <w:lang w:val="fr-SN"/>
        </w:rPr>
        <w:t xml:space="preserve"> doivent être </w:t>
      </w:r>
      <w:r w:rsidRPr="001B4E3E">
        <w:rPr>
          <w:rFonts w:asciiTheme="majorBidi" w:eastAsia="Aptos" w:hAnsiTheme="majorBidi" w:cstheme="majorBidi"/>
          <w:sz w:val="24"/>
          <w:szCs w:val="24"/>
          <w:lang w:val="fr-SN"/>
        </w:rPr>
        <w:t>ancrées dans la participation sociale, et favoris</w:t>
      </w:r>
      <w:r>
        <w:rPr>
          <w:rFonts w:asciiTheme="majorBidi" w:eastAsia="Aptos" w:hAnsiTheme="majorBidi" w:cstheme="majorBidi"/>
          <w:sz w:val="24"/>
          <w:szCs w:val="24"/>
          <w:lang w:val="fr-SN"/>
        </w:rPr>
        <w:t xml:space="preserve">er </w:t>
      </w:r>
      <w:r w:rsidRPr="001B4E3E">
        <w:rPr>
          <w:rFonts w:asciiTheme="majorBidi" w:eastAsia="Aptos" w:hAnsiTheme="majorBidi" w:cstheme="majorBidi"/>
          <w:sz w:val="24"/>
          <w:szCs w:val="24"/>
          <w:lang w:val="fr-SN"/>
        </w:rPr>
        <w:t>le dialogue entre cultures scolaires et culture de l’élève</w:t>
      </w:r>
      <w:r>
        <w:rPr>
          <w:rFonts w:asciiTheme="majorBidi" w:eastAsia="Aptos" w:hAnsiTheme="majorBidi" w:cstheme="majorBidi"/>
          <w:sz w:val="24"/>
          <w:szCs w:val="24"/>
          <w:lang w:val="fr-SN"/>
        </w:rPr>
        <w:t xml:space="preserve">. Ici également, il y a un recoupement avec la dimension sociale et historique. Enfin, quand on évoque la contextualisation, l’on fait référence à ce qui est culturel, tel que </w:t>
      </w:r>
      <w:bookmarkStart w:id="150" w:name="_Hlk215004012"/>
      <w:r w:rsidRPr="001B4E3E">
        <w:rPr>
          <w:rFonts w:asciiTheme="majorBidi" w:eastAsia="Aptos" w:hAnsiTheme="majorBidi" w:cstheme="majorBidi"/>
          <w:sz w:val="24"/>
          <w:szCs w:val="24"/>
          <w:lang w:val="fr-SN"/>
        </w:rPr>
        <w:t>Aikenhead</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2001, p. 182-185</w:t>
      </w:r>
      <w:r>
        <w:rPr>
          <w:rFonts w:asciiTheme="majorBidi" w:eastAsia="Aptos" w:hAnsiTheme="majorBidi" w:cstheme="majorBidi"/>
          <w:sz w:val="24"/>
          <w:szCs w:val="24"/>
          <w:lang w:val="fr-SN"/>
        </w:rPr>
        <w:t xml:space="preserve">) et </w:t>
      </w:r>
      <w:r w:rsidRPr="001B4E3E">
        <w:rPr>
          <w:rFonts w:asciiTheme="majorBidi" w:eastAsia="Aptos" w:hAnsiTheme="majorBidi" w:cstheme="majorBidi"/>
          <w:sz w:val="24"/>
          <w:szCs w:val="24"/>
          <w:lang w:val="fr-SN"/>
        </w:rPr>
        <w:t>Cobern</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1991, p. 5-8</w:t>
      </w:r>
      <w:r>
        <w:rPr>
          <w:rFonts w:asciiTheme="majorBidi" w:eastAsia="Aptos" w:hAnsiTheme="majorBidi" w:cstheme="majorBidi"/>
          <w:sz w:val="24"/>
          <w:szCs w:val="24"/>
          <w:lang w:val="fr-SN"/>
        </w:rPr>
        <w:t xml:space="preserve">) </w:t>
      </w:r>
      <w:bookmarkEnd w:id="150"/>
      <w:r>
        <w:rPr>
          <w:rFonts w:asciiTheme="majorBidi" w:eastAsia="Aptos" w:hAnsiTheme="majorBidi" w:cstheme="majorBidi"/>
          <w:sz w:val="24"/>
          <w:szCs w:val="24"/>
          <w:lang w:val="fr-SN"/>
        </w:rPr>
        <w:t xml:space="preserve">l’ont montré dans leurs travaux sur la nécessité d’un enseignement des sciences culturellement ancré dans un contexte local. Nous insisterons sur cette dernière dimension que nous considérons intégrative.   </w:t>
      </w:r>
    </w:p>
    <w:p w14:paraId="0E065D31"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En effet, </w:t>
      </w:r>
      <w:bookmarkEnd w:id="148"/>
      <w:bookmarkEnd w:id="149"/>
      <w:r>
        <w:rPr>
          <w:rFonts w:asciiTheme="majorBidi" w:eastAsia="Aptos" w:hAnsiTheme="majorBidi" w:cstheme="majorBidi"/>
          <w:sz w:val="24"/>
          <w:szCs w:val="24"/>
          <w:lang w:val="fr-SN"/>
        </w:rPr>
        <w:t xml:space="preserve">sur le plan conceptuel et théorique, la contextualisation des enseignements en SVT fait d’abord référence à la dimension culturelle de cet acte éducatif. </w:t>
      </w:r>
      <w:bookmarkStart w:id="151" w:name="_Hlk215004037"/>
      <w:r w:rsidRPr="001B4E3E">
        <w:rPr>
          <w:rFonts w:asciiTheme="majorBidi" w:eastAsia="Aptos" w:hAnsiTheme="majorBidi" w:cstheme="majorBidi"/>
          <w:sz w:val="24"/>
          <w:szCs w:val="24"/>
          <w:lang w:val="fr-SN"/>
        </w:rPr>
        <w:t>Aikenhead</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2001, p. 182-185</w:t>
      </w:r>
      <w:r>
        <w:rPr>
          <w:rFonts w:asciiTheme="majorBidi" w:eastAsia="Aptos" w:hAnsiTheme="majorBidi" w:cstheme="majorBidi"/>
          <w:sz w:val="24"/>
          <w:szCs w:val="24"/>
          <w:lang w:val="fr-SN"/>
        </w:rPr>
        <w:t xml:space="preserve">) et </w:t>
      </w:r>
      <w:r w:rsidRPr="001B4E3E">
        <w:rPr>
          <w:rFonts w:asciiTheme="majorBidi" w:eastAsia="Aptos" w:hAnsiTheme="majorBidi" w:cstheme="majorBidi"/>
          <w:sz w:val="24"/>
          <w:szCs w:val="24"/>
          <w:lang w:val="fr-SN"/>
        </w:rPr>
        <w:t>Cobern</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1991, p. 5-8</w:t>
      </w:r>
      <w:r>
        <w:rPr>
          <w:rFonts w:asciiTheme="majorBidi" w:eastAsia="Aptos" w:hAnsiTheme="majorBidi" w:cstheme="majorBidi"/>
          <w:sz w:val="24"/>
          <w:szCs w:val="24"/>
          <w:lang w:val="fr-SN"/>
        </w:rPr>
        <w:t xml:space="preserve">) </w:t>
      </w:r>
      <w:bookmarkEnd w:id="151"/>
      <w:r>
        <w:rPr>
          <w:rFonts w:asciiTheme="majorBidi" w:eastAsia="Aptos" w:hAnsiTheme="majorBidi" w:cstheme="majorBidi"/>
          <w:sz w:val="24"/>
          <w:szCs w:val="24"/>
          <w:lang w:val="fr-SN"/>
        </w:rPr>
        <w:t xml:space="preserve">qui sont des personnes ressources du mouvement de l’éducation aux sciences sensible à la culture, soit </w:t>
      </w:r>
      <w:r w:rsidRPr="00894F93">
        <w:rPr>
          <w:rFonts w:asciiTheme="majorBidi" w:eastAsia="Aptos" w:hAnsiTheme="majorBidi" w:cstheme="majorBidi"/>
          <w:sz w:val="24"/>
          <w:szCs w:val="24"/>
          <w:lang w:val="fr-SN"/>
        </w:rPr>
        <w:t xml:space="preserve">« </w:t>
      </w:r>
      <w:proofErr w:type="spellStart"/>
      <w:r w:rsidRPr="00894F93">
        <w:rPr>
          <w:rFonts w:asciiTheme="majorBidi" w:eastAsia="Aptos" w:hAnsiTheme="majorBidi" w:cstheme="majorBidi"/>
          <w:i/>
          <w:iCs/>
          <w:sz w:val="24"/>
          <w:szCs w:val="24"/>
          <w:lang w:val="fr-SN"/>
        </w:rPr>
        <w:t>culturally</w:t>
      </w:r>
      <w:proofErr w:type="spellEnd"/>
      <w:r w:rsidRPr="00894F93">
        <w:rPr>
          <w:rFonts w:asciiTheme="majorBidi" w:eastAsia="Aptos" w:hAnsiTheme="majorBidi" w:cstheme="majorBidi"/>
          <w:i/>
          <w:iCs/>
          <w:sz w:val="24"/>
          <w:szCs w:val="24"/>
          <w:lang w:val="fr-SN"/>
        </w:rPr>
        <w:t xml:space="preserve"> responsive science </w:t>
      </w:r>
      <w:proofErr w:type="spellStart"/>
      <w:r w:rsidRPr="00894F93">
        <w:rPr>
          <w:rFonts w:asciiTheme="majorBidi" w:eastAsia="Aptos" w:hAnsiTheme="majorBidi" w:cstheme="majorBidi"/>
          <w:i/>
          <w:iCs/>
          <w:sz w:val="24"/>
          <w:szCs w:val="24"/>
          <w:lang w:val="fr-SN"/>
        </w:rPr>
        <w:t>education</w:t>
      </w:r>
      <w:proofErr w:type="spellEnd"/>
      <w:r w:rsidRPr="00894F93">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t xml:space="preserve">, soutiennent vivement la prise en compte des </w:t>
      </w:r>
      <w:r w:rsidRPr="00894F93">
        <w:rPr>
          <w:rFonts w:asciiTheme="majorBidi" w:eastAsia="Aptos" w:hAnsiTheme="majorBidi" w:cstheme="majorBidi"/>
          <w:sz w:val="24"/>
          <w:szCs w:val="24"/>
          <w:lang w:val="fr-SN"/>
        </w:rPr>
        <w:t xml:space="preserve">perspectives culturelles </w:t>
      </w:r>
      <w:r>
        <w:rPr>
          <w:rFonts w:asciiTheme="majorBidi" w:eastAsia="Aptos" w:hAnsiTheme="majorBidi" w:cstheme="majorBidi"/>
          <w:sz w:val="24"/>
          <w:szCs w:val="24"/>
          <w:lang w:val="fr-SN"/>
        </w:rPr>
        <w:t xml:space="preserve">et des pratiques éducatives locales ou endogènes dans l’enseignement des sciences. De leur point de vue, la contextualisation en SVT rendrait ce contenu </w:t>
      </w:r>
      <w:r w:rsidRPr="00894F93">
        <w:rPr>
          <w:rFonts w:asciiTheme="majorBidi" w:eastAsia="Aptos" w:hAnsiTheme="majorBidi" w:cstheme="majorBidi"/>
          <w:b/>
          <w:bCs/>
          <w:sz w:val="24"/>
          <w:szCs w:val="24"/>
          <w:lang w:val="fr-SN"/>
        </w:rPr>
        <w:t xml:space="preserve">« </w:t>
      </w:r>
      <w:r w:rsidRPr="00F508AB">
        <w:rPr>
          <w:rFonts w:asciiTheme="majorBidi" w:eastAsia="Aptos" w:hAnsiTheme="majorBidi" w:cstheme="majorBidi"/>
          <w:sz w:val="24"/>
          <w:szCs w:val="24"/>
          <w:lang w:val="fr-SN"/>
        </w:rPr>
        <w:t>culturellement pertinent</w:t>
      </w:r>
      <w:r w:rsidRPr="00894F93">
        <w:rPr>
          <w:rFonts w:asciiTheme="majorBidi" w:eastAsia="Aptos" w:hAnsiTheme="majorBidi" w:cstheme="majorBidi"/>
          <w:b/>
          <w:bCs/>
          <w:sz w:val="24"/>
          <w:szCs w:val="24"/>
          <w:lang w:val="fr-SN"/>
        </w:rPr>
        <w:t xml:space="preserve"> »</w:t>
      </w:r>
      <w:r w:rsidRPr="00226022">
        <w:rPr>
          <w:rFonts w:asciiTheme="majorBidi" w:eastAsia="Aptos" w:hAnsiTheme="majorBidi" w:cstheme="majorBidi"/>
          <w:sz w:val="24"/>
          <w:szCs w:val="24"/>
          <w:lang w:val="fr-SN"/>
        </w:rPr>
        <w:t>.</w:t>
      </w:r>
      <w:r>
        <w:rPr>
          <w:rFonts w:asciiTheme="majorBidi" w:eastAsia="Aptos" w:hAnsiTheme="majorBidi" w:cstheme="majorBidi"/>
          <w:b/>
          <w:bCs/>
          <w:sz w:val="24"/>
          <w:szCs w:val="24"/>
          <w:lang w:val="fr-SN"/>
        </w:rPr>
        <w:t xml:space="preserve"> </w:t>
      </w:r>
      <w:r w:rsidRPr="00226022">
        <w:rPr>
          <w:rFonts w:asciiTheme="majorBidi" w:eastAsia="Aptos" w:hAnsiTheme="majorBidi" w:cstheme="majorBidi"/>
          <w:sz w:val="24"/>
          <w:szCs w:val="24"/>
          <w:lang w:val="fr-SN"/>
        </w:rPr>
        <w:t xml:space="preserve">Autrement dit, il est </w:t>
      </w:r>
      <w:r>
        <w:rPr>
          <w:rFonts w:asciiTheme="majorBidi" w:eastAsia="Aptos" w:hAnsiTheme="majorBidi" w:cstheme="majorBidi"/>
          <w:sz w:val="24"/>
          <w:szCs w:val="24"/>
          <w:lang w:val="fr-SN"/>
        </w:rPr>
        <w:t xml:space="preserve">possible de structurer un enseignement interculturel des sciences, tel que </w:t>
      </w:r>
      <w:proofErr w:type="spellStart"/>
      <w:r>
        <w:rPr>
          <w:rFonts w:asciiTheme="majorBidi" w:eastAsia="Aptos" w:hAnsiTheme="majorBidi" w:cstheme="majorBidi"/>
          <w:sz w:val="24"/>
          <w:szCs w:val="24"/>
          <w:lang w:val="fr-SN"/>
        </w:rPr>
        <w:t>Aikenead</w:t>
      </w:r>
      <w:proofErr w:type="spellEnd"/>
      <w:r>
        <w:rPr>
          <w:rFonts w:asciiTheme="majorBidi" w:eastAsia="Aptos" w:hAnsiTheme="majorBidi" w:cstheme="majorBidi"/>
          <w:sz w:val="24"/>
          <w:szCs w:val="24"/>
          <w:lang w:val="fr-SN"/>
        </w:rPr>
        <w:t xml:space="preserve"> l’a réalisé pour les élèves de la 6ème à la 11ème année au Canada, par le biais de la contextualisation des sciences, et leur permettre ainsi de donner un sens personnel à leurs cours de sciences. </w:t>
      </w:r>
    </w:p>
    <w:p w14:paraId="2531D88D"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Cette déclinaison est celle envisagée dans les textes réglementaires au Gabon, qui </w:t>
      </w:r>
      <w:r w:rsidRPr="001B4E3E">
        <w:rPr>
          <w:rFonts w:asciiTheme="majorBidi" w:eastAsia="Aptos" w:hAnsiTheme="majorBidi" w:cstheme="majorBidi"/>
          <w:sz w:val="24"/>
          <w:szCs w:val="24"/>
          <w:lang w:val="fr-SN"/>
        </w:rPr>
        <w:t xml:space="preserve">définissent les contenus, les objectifs et les </w:t>
      </w:r>
      <w:r>
        <w:rPr>
          <w:rFonts w:asciiTheme="majorBidi" w:eastAsia="Aptos" w:hAnsiTheme="majorBidi" w:cstheme="majorBidi"/>
          <w:sz w:val="24"/>
          <w:szCs w:val="24"/>
          <w:lang w:val="fr-SN"/>
        </w:rPr>
        <w:t>stratégies</w:t>
      </w:r>
      <w:r w:rsidRPr="001B4E3E">
        <w:rPr>
          <w:rFonts w:asciiTheme="majorBidi" w:eastAsia="Aptos" w:hAnsiTheme="majorBidi" w:cstheme="majorBidi"/>
          <w:sz w:val="24"/>
          <w:szCs w:val="24"/>
          <w:lang w:val="fr-SN"/>
        </w:rPr>
        <w:t xml:space="preserve"> d’enseignement. </w:t>
      </w:r>
      <w:r>
        <w:rPr>
          <w:rFonts w:asciiTheme="majorBidi" w:eastAsia="Aptos" w:hAnsiTheme="majorBidi" w:cstheme="majorBidi"/>
          <w:sz w:val="24"/>
          <w:szCs w:val="24"/>
          <w:lang w:val="fr-SN"/>
        </w:rPr>
        <w:t xml:space="preserve">Il s’agit d’un cadre réglementaire et prescriptif, orientant les pratiques pédagogiques </w:t>
      </w:r>
      <w:bookmarkStart w:id="152" w:name="_Hlk215004105"/>
      <w:r>
        <w:rPr>
          <w:rFonts w:asciiTheme="majorBidi" w:eastAsia="Aptos" w:hAnsiTheme="majorBidi" w:cstheme="majorBidi"/>
          <w:sz w:val="24"/>
          <w:szCs w:val="24"/>
          <w:lang w:val="fr-SN"/>
        </w:rPr>
        <w:t>(</w:t>
      </w:r>
      <w:r w:rsidRPr="001B4E3E">
        <w:rPr>
          <w:rFonts w:asciiTheme="majorBidi" w:eastAsia="Aptos" w:hAnsiTheme="majorBidi" w:cstheme="majorBidi"/>
          <w:sz w:val="24"/>
          <w:szCs w:val="24"/>
          <w:lang w:val="fr-SN"/>
        </w:rPr>
        <w:t>Brière</w:t>
      </w:r>
      <w:r>
        <w:rPr>
          <w:rFonts w:asciiTheme="majorBidi" w:eastAsia="Aptos" w:hAnsiTheme="majorBidi" w:cstheme="majorBidi"/>
          <w:sz w:val="24"/>
          <w:szCs w:val="24"/>
          <w:lang w:val="fr-SN"/>
        </w:rPr>
        <w:t xml:space="preserve">, </w:t>
      </w:r>
      <w:r w:rsidRPr="001B4E3E">
        <w:rPr>
          <w:rFonts w:asciiTheme="majorBidi" w:eastAsia="Aptos" w:hAnsiTheme="majorBidi" w:cstheme="majorBidi"/>
          <w:sz w:val="24"/>
          <w:szCs w:val="24"/>
          <w:lang w:val="fr-SN"/>
        </w:rPr>
        <w:t>2021, p. 14-17</w:t>
      </w:r>
      <w:r>
        <w:rPr>
          <w:rFonts w:asciiTheme="majorBidi" w:eastAsia="Aptos" w:hAnsiTheme="majorBidi" w:cstheme="majorBidi"/>
          <w:sz w:val="24"/>
          <w:szCs w:val="24"/>
          <w:lang w:val="fr-SN"/>
        </w:rPr>
        <w:t xml:space="preserve"> ; </w:t>
      </w:r>
      <w:r w:rsidRPr="001B4E3E">
        <w:rPr>
          <w:rFonts w:asciiTheme="majorBidi" w:eastAsia="Aptos" w:hAnsiTheme="majorBidi" w:cstheme="majorBidi"/>
          <w:sz w:val="24"/>
          <w:szCs w:val="24"/>
          <w:lang w:val="fr-SN"/>
        </w:rPr>
        <w:t>TECFA, Université de Genève, 2023)</w:t>
      </w:r>
      <w:bookmarkEnd w:id="152"/>
      <w:r w:rsidRPr="001B4E3E">
        <w:rPr>
          <w:rFonts w:asciiTheme="majorBidi" w:eastAsia="Aptos" w:hAnsiTheme="majorBidi" w:cstheme="majorBidi"/>
          <w:sz w:val="24"/>
          <w:szCs w:val="24"/>
          <w:lang w:val="fr-SN"/>
        </w:rPr>
        <w:t>.</w:t>
      </w:r>
      <w:r>
        <w:rPr>
          <w:rFonts w:asciiTheme="majorBidi" w:eastAsia="Aptos" w:hAnsiTheme="majorBidi" w:cstheme="majorBidi"/>
          <w:sz w:val="24"/>
          <w:szCs w:val="24"/>
          <w:lang w:val="fr-SN"/>
        </w:rPr>
        <w:t xml:space="preserve"> C’est surtout la mise en application sur le terrain qui pose un problème au sens où, ces textes, parfois rédigés dans des contextes différents du Gabon, véhiculent des valeurs différentes des réalités socioculturelles locales </w:t>
      </w:r>
      <w:bookmarkStart w:id="153" w:name="_Hlk215004167"/>
      <w:r>
        <w:rPr>
          <w:rFonts w:asciiTheme="majorBidi" w:eastAsia="Aptos" w:hAnsiTheme="majorBidi" w:cstheme="majorBidi"/>
          <w:sz w:val="24"/>
          <w:szCs w:val="24"/>
          <w:lang w:val="fr-SN"/>
        </w:rPr>
        <w:t>(</w:t>
      </w:r>
      <w:proofErr w:type="spellStart"/>
      <w:r>
        <w:rPr>
          <w:rFonts w:asciiTheme="majorBidi" w:eastAsia="Aptos" w:hAnsiTheme="majorBidi" w:cstheme="majorBidi"/>
          <w:sz w:val="24"/>
          <w:szCs w:val="24"/>
          <w:lang w:val="fr-SN"/>
        </w:rPr>
        <w:t>Moussavou</w:t>
      </w:r>
      <w:proofErr w:type="spellEnd"/>
      <w:r>
        <w:rPr>
          <w:rFonts w:asciiTheme="majorBidi" w:eastAsia="Aptos" w:hAnsiTheme="majorBidi" w:cstheme="majorBidi"/>
          <w:sz w:val="24"/>
          <w:szCs w:val="24"/>
          <w:lang w:val="fr-SN"/>
        </w:rPr>
        <w:t>, 2012)</w:t>
      </w:r>
      <w:bookmarkEnd w:id="153"/>
      <w:r>
        <w:rPr>
          <w:rFonts w:asciiTheme="majorBidi" w:eastAsia="Aptos" w:hAnsiTheme="majorBidi" w:cstheme="majorBidi"/>
          <w:sz w:val="24"/>
          <w:szCs w:val="24"/>
          <w:lang w:val="fr-SN"/>
        </w:rPr>
        <w:t xml:space="preserve">. </w:t>
      </w:r>
    </w:p>
    <w:p w14:paraId="25533764" w14:textId="77777777" w:rsidR="00D80693" w:rsidRPr="008B11A2" w:rsidRDefault="00D80693" w:rsidP="00D92213">
      <w:pPr>
        <w:spacing w:before="120"/>
        <w:jc w:val="both"/>
        <w:rPr>
          <w:rFonts w:eastAsia="Aptos"/>
          <w:b/>
          <w:bCs/>
          <w:i/>
          <w:iCs/>
          <w:sz w:val="24"/>
          <w:szCs w:val="24"/>
          <w:lang w:val="fr-SN"/>
        </w:rPr>
      </w:pPr>
      <w:r>
        <w:rPr>
          <w:rFonts w:asciiTheme="majorBidi" w:eastAsia="Aptos" w:hAnsiTheme="majorBidi" w:cstheme="majorBidi"/>
          <w:b/>
          <w:bCs/>
          <w:i/>
          <w:iCs/>
          <w:sz w:val="24"/>
          <w:szCs w:val="24"/>
          <w:lang w:val="fr-SN"/>
        </w:rPr>
        <w:t xml:space="preserve">2.2 </w:t>
      </w:r>
      <w:r w:rsidRPr="00971D74">
        <w:rPr>
          <w:rFonts w:asciiTheme="majorBidi" w:eastAsia="Aptos" w:hAnsiTheme="majorBidi" w:cstheme="majorBidi"/>
          <w:b/>
          <w:bCs/>
          <w:i/>
          <w:iCs/>
          <w:sz w:val="24"/>
          <w:szCs w:val="24"/>
          <w:lang w:val="fr-SN"/>
        </w:rPr>
        <w:t>Statut des acteurs du terrain et leurs pratiques pédagogiques</w:t>
      </w:r>
      <w:r>
        <w:rPr>
          <w:rFonts w:asciiTheme="majorBidi" w:eastAsia="Aptos" w:hAnsiTheme="majorBidi" w:cstheme="majorBidi"/>
          <w:b/>
          <w:bCs/>
          <w:i/>
          <w:iCs/>
          <w:sz w:val="24"/>
          <w:szCs w:val="24"/>
          <w:lang w:val="fr-SN"/>
        </w:rPr>
        <w:t xml:space="preserve"> versus les textes réglementaires</w:t>
      </w:r>
    </w:p>
    <w:p w14:paraId="0480B48C" w14:textId="77777777" w:rsidR="00D80693" w:rsidRPr="00971D74" w:rsidRDefault="00D80693" w:rsidP="00D92213">
      <w:pPr>
        <w:spacing w:before="120"/>
        <w:jc w:val="both"/>
        <w:rPr>
          <w:rFonts w:eastAsia="Aptos"/>
          <w:sz w:val="24"/>
          <w:szCs w:val="24"/>
          <w:lang w:val="fr-SN"/>
        </w:rPr>
      </w:pPr>
      <w:r w:rsidRPr="00971D74">
        <w:rPr>
          <w:rFonts w:asciiTheme="majorBidi" w:eastAsia="Aptos" w:hAnsiTheme="majorBidi" w:cstheme="majorBidi"/>
          <w:sz w:val="24"/>
          <w:szCs w:val="24"/>
          <w:lang w:val="fr-SN"/>
        </w:rPr>
        <w:t>Les enseignants de</w:t>
      </w:r>
      <w:r>
        <w:rPr>
          <w:rFonts w:asciiTheme="majorBidi" w:eastAsia="Aptos" w:hAnsiTheme="majorBidi" w:cstheme="majorBidi"/>
          <w:sz w:val="24"/>
          <w:szCs w:val="24"/>
          <w:lang w:val="fr-SN"/>
        </w:rPr>
        <w:t>s</w:t>
      </w:r>
      <w:r w:rsidRPr="00971D74">
        <w:rPr>
          <w:rFonts w:asciiTheme="majorBidi" w:eastAsia="Aptos" w:hAnsiTheme="majorBidi" w:cstheme="majorBidi"/>
          <w:sz w:val="24"/>
          <w:szCs w:val="24"/>
          <w:lang w:val="fr-SN"/>
        </w:rPr>
        <w:t xml:space="preserve"> SVT sont considérés au même titre que des praticiens capables de traduire les orientations politiques éducatives prescrites dans les textes réglementaires en actes éducatifs. Ils le font dans les classes de SVT par le biais des mises en activités qui fournissent aux élèves les conditions d’apprentissages collectifs. Ces modalités sont orientées par deux (2) perspectives épistémologiques, le constructivisme et le socioconstructivisme.  </w:t>
      </w:r>
    </w:p>
    <w:p w14:paraId="589B21B2"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D’une part, la perspective </w:t>
      </w:r>
      <w:r w:rsidRPr="00390C84">
        <w:rPr>
          <w:rFonts w:asciiTheme="majorBidi" w:eastAsia="Aptos" w:hAnsiTheme="majorBidi" w:cstheme="majorBidi"/>
          <w:sz w:val="24"/>
          <w:szCs w:val="24"/>
          <w:lang w:val="fr-SN"/>
        </w:rPr>
        <w:t>constructivis</w:t>
      </w:r>
      <w:r>
        <w:rPr>
          <w:rFonts w:asciiTheme="majorBidi" w:eastAsia="Aptos" w:hAnsiTheme="majorBidi" w:cstheme="majorBidi"/>
          <w:sz w:val="24"/>
          <w:szCs w:val="24"/>
          <w:lang w:val="fr-SN"/>
        </w:rPr>
        <w:t xml:space="preserve">te de la cognition vulgarisée par </w:t>
      </w:r>
      <w:bookmarkStart w:id="154" w:name="_Hlk215004308"/>
      <w:r w:rsidRPr="001B4E3E">
        <w:rPr>
          <w:rFonts w:asciiTheme="majorBidi" w:eastAsia="Aptos" w:hAnsiTheme="majorBidi" w:cstheme="majorBidi"/>
          <w:sz w:val="24"/>
          <w:szCs w:val="24"/>
          <w:lang w:val="fr-SN"/>
        </w:rPr>
        <w:t>Piaget (1954, p. 79-105</w:t>
      </w:r>
      <w:r>
        <w:rPr>
          <w:rFonts w:asciiTheme="majorBidi" w:eastAsia="Aptos" w:hAnsiTheme="majorBidi" w:cstheme="majorBidi"/>
          <w:sz w:val="24"/>
          <w:szCs w:val="24"/>
          <w:lang w:val="fr-SN"/>
        </w:rPr>
        <w:t xml:space="preserve"> ; </w:t>
      </w:r>
      <w:r w:rsidRPr="00390C84">
        <w:rPr>
          <w:rFonts w:asciiTheme="majorBidi" w:eastAsia="Aptos" w:hAnsiTheme="majorBidi" w:cstheme="majorBidi"/>
          <w:sz w:val="24"/>
          <w:szCs w:val="24"/>
          <w:lang w:val="fr-SN"/>
        </w:rPr>
        <w:t>1974, p. 25-48</w:t>
      </w:r>
      <w:r w:rsidRPr="001B4E3E">
        <w:rPr>
          <w:rFonts w:asciiTheme="majorBidi" w:eastAsia="Aptos" w:hAnsiTheme="majorBidi" w:cstheme="majorBidi"/>
          <w:sz w:val="24"/>
          <w:szCs w:val="24"/>
          <w:lang w:val="fr-SN"/>
        </w:rPr>
        <w:t xml:space="preserve">) </w:t>
      </w:r>
      <w:bookmarkEnd w:id="154"/>
      <w:r>
        <w:rPr>
          <w:rFonts w:asciiTheme="majorBidi" w:eastAsia="Aptos" w:hAnsiTheme="majorBidi" w:cstheme="majorBidi"/>
          <w:sz w:val="24"/>
          <w:szCs w:val="24"/>
          <w:lang w:val="fr-SN"/>
        </w:rPr>
        <w:t xml:space="preserve">autour d’un </w:t>
      </w:r>
      <w:r w:rsidRPr="001B4E3E">
        <w:rPr>
          <w:rFonts w:asciiTheme="majorBidi" w:eastAsia="Aptos" w:hAnsiTheme="majorBidi" w:cstheme="majorBidi"/>
          <w:sz w:val="24"/>
          <w:szCs w:val="24"/>
          <w:lang w:val="fr-SN"/>
        </w:rPr>
        <w:t xml:space="preserve">apprentissage </w:t>
      </w:r>
      <w:r>
        <w:rPr>
          <w:rFonts w:asciiTheme="majorBidi" w:eastAsia="Aptos" w:hAnsiTheme="majorBidi" w:cstheme="majorBidi"/>
          <w:sz w:val="24"/>
          <w:szCs w:val="24"/>
          <w:lang w:val="fr-SN"/>
        </w:rPr>
        <w:t xml:space="preserve">comme </w:t>
      </w:r>
      <w:r w:rsidRPr="001B4E3E">
        <w:rPr>
          <w:rFonts w:asciiTheme="majorBidi" w:eastAsia="Aptos" w:hAnsiTheme="majorBidi" w:cstheme="majorBidi"/>
          <w:sz w:val="24"/>
          <w:szCs w:val="24"/>
          <w:lang w:val="fr-SN"/>
        </w:rPr>
        <w:t>processus actif d’adaptation,</w:t>
      </w:r>
      <w:r>
        <w:rPr>
          <w:rFonts w:asciiTheme="majorBidi" w:eastAsia="Aptos" w:hAnsiTheme="majorBidi" w:cstheme="majorBidi"/>
          <w:sz w:val="24"/>
          <w:szCs w:val="24"/>
          <w:lang w:val="fr-SN"/>
        </w:rPr>
        <w:t xml:space="preserve"> est pertinent pour soutenir l’orientation de notre exploration des discours qui prennent forme dans l’action professionnelle. De plus, c’est par le biais des échanges et de l’intégration sociale que les activités de classe sont structurées, après validation des contenus dans les départements de SVT. Il s’agit de la perspective </w:t>
      </w:r>
      <w:r w:rsidRPr="00390C84">
        <w:rPr>
          <w:rFonts w:asciiTheme="majorBidi" w:eastAsia="Aptos" w:hAnsiTheme="majorBidi" w:cstheme="majorBidi"/>
          <w:sz w:val="24"/>
          <w:szCs w:val="24"/>
          <w:lang w:val="fr-SN"/>
        </w:rPr>
        <w:t xml:space="preserve">socioconstructivisme </w:t>
      </w:r>
      <w:r>
        <w:rPr>
          <w:rFonts w:asciiTheme="majorBidi" w:eastAsia="Aptos" w:hAnsiTheme="majorBidi" w:cstheme="majorBidi"/>
          <w:sz w:val="24"/>
          <w:szCs w:val="24"/>
          <w:lang w:val="fr-SN"/>
        </w:rPr>
        <w:t xml:space="preserve">de la cognition structurée par </w:t>
      </w:r>
      <w:bookmarkStart w:id="155" w:name="_Hlk215004385"/>
      <w:r w:rsidRPr="00390C84">
        <w:rPr>
          <w:rFonts w:asciiTheme="majorBidi" w:eastAsia="Aptos" w:hAnsiTheme="majorBidi" w:cstheme="majorBidi"/>
          <w:sz w:val="24"/>
          <w:szCs w:val="24"/>
          <w:lang w:val="fr-SN"/>
        </w:rPr>
        <w:t>Vygotsky</w:t>
      </w:r>
      <w:r>
        <w:rPr>
          <w:rFonts w:asciiTheme="majorBidi" w:eastAsia="Aptos" w:hAnsiTheme="majorBidi" w:cstheme="majorBidi"/>
          <w:sz w:val="24"/>
          <w:szCs w:val="24"/>
          <w:lang w:val="fr-SN"/>
        </w:rPr>
        <w:t xml:space="preserve"> (</w:t>
      </w:r>
      <w:r w:rsidRPr="00390C84">
        <w:rPr>
          <w:rFonts w:asciiTheme="majorBidi" w:eastAsia="Aptos" w:hAnsiTheme="majorBidi" w:cstheme="majorBidi"/>
          <w:sz w:val="24"/>
          <w:szCs w:val="24"/>
          <w:lang w:val="fr-SN"/>
        </w:rPr>
        <w:t>1978, p. 86-110)</w:t>
      </w:r>
      <w:bookmarkEnd w:id="155"/>
      <w:r>
        <w:rPr>
          <w:rFonts w:asciiTheme="majorBidi" w:eastAsia="Aptos" w:hAnsiTheme="majorBidi" w:cstheme="majorBidi"/>
          <w:sz w:val="24"/>
          <w:szCs w:val="24"/>
          <w:lang w:val="fr-SN"/>
        </w:rPr>
        <w:t xml:space="preserve"> pour qui les interactions sociales et culturelles, ainsi que l’aide d’autrui, sont structurantes dans la construction du savoir. Ce sont donc les expériences concrètes qui favorisent les apprentissages et les contextes d’enseignement et apprentissage en SVT au Gabon. Ces perspectives permettent d’envisager les pratiques pédagogiques comme dépendantes de la prise en compte des </w:t>
      </w:r>
      <w:r w:rsidRPr="001B4E3E">
        <w:rPr>
          <w:rFonts w:asciiTheme="majorBidi" w:eastAsia="Aptos" w:hAnsiTheme="majorBidi" w:cstheme="majorBidi"/>
          <w:sz w:val="24"/>
          <w:szCs w:val="24"/>
          <w:lang w:val="fr-SN"/>
        </w:rPr>
        <w:t>représentations initiales des apprenants</w:t>
      </w:r>
      <w:r>
        <w:rPr>
          <w:rFonts w:asciiTheme="majorBidi" w:eastAsia="Aptos" w:hAnsiTheme="majorBidi" w:cstheme="majorBidi"/>
          <w:sz w:val="24"/>
          <w:szCs w:val="24"/>
          <w:lang w:val="fr-SN"/>
        </w:rPr>
        <w:t xml:space="preserve"> et de l’intégration de </w:t>
      </w:r>
      <w:r w:rsidRPr="001B4E3E">
        <w:rPr>
          <w:rFonts w:asciiTheme="majorBidi" w:eastAsia="Aptos" w:hAnsiTheme="majorBidi" w:cstheme="majorBidi"/>
          <w:sz w:val="24"/>
          <w:szCs w:val="24"/>
          <w:lang w:val="fr-SN"/>
        </w:rPr>
        <w:t>leurs réalités culturelles, géographiques et sociales</w:t>
      </w:r>
      <w:r>
        <w:rPr>
          <w:rFonts w:asciiTheme="majorBidi" w:eastAsia="Aptos" w:hAnsiTheme="majorBidi" w:cstheme="majorBidi"/>
          <w:sz w:val="24"/>
          <w:szCs w:val="24"/>
          <w:lang w:val="fr-SN"/>
        </w:rPr>
        <w:t xml:space="preserve"> dans les cours de SVT</w:t>
      </w:r>
      <w:r w:rsidRPr="001B4E3E">
        <w:rPr>
          <w:rFonts w:asciiTheme="majorBidi" w:eastAsia="Aptos" w:hAnsiTheme="majorBidi" w:cstheme="majorBidi"/>
          <w:sz w:val="24"/>
          <w:szCs w:val="24"/>
          <w:lang w:val="fr-SN"/>
        </w:rPr>
        <w:t xml:space="preserve">. </w:t>
      </w:r>
    </w:p>
    <w:p w14:paraId="52688467"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D’autre part, dans </w:t>
      </w:r>
      <w:r w:rsidRPr="001B4E3E">
        <w:rPr>
          <w:rFonts w:asciiTheme="majorBidi" w:eastAsia="Aptos" w:hAnsiTheme="majorBidi" w:cstheme="majorBidi"/>
          <w:sz w:val="24"/>
          <w:szCs w:val="24"/>
          <w:lang w:val="fr-SN"/>
        </w:rPr>
        <w:t xml:space="preserve">le contexte gabonais, repenser les pratiques pédagogiques en fonction des spécificités locales </w:t>
      </w:r>
      <w:r>
        <w:rPr>
          <w:rFonts w:asciiTheme="majorBidi" w:eastAsia="Aptos" w:hAnsiTheme="majorBidi" w:cstheme="majorBidi"/>
          <w:sz w:val="24"/>
          <w:szCs w:val="24"/>
          <w:lang w:val="fr-SN"/>
        </w:rPr>
        <w:t xml:space="preserve">est une nécessité pédagogique </w:t>
      </w:r>
      <w:r w:rsidRPr="001B4E3E">
        <w:rPr>
          <w:rFonts w:asciiTheme="majorBidi" w:eastAsia="Aptos" w:hAnsiTheme="majorBidi" w:cstheme="majorBidi"/>
          <w:sz w:val="24"/>
          <w:szCs w:val="24"/>
          <w:lang w:val="fr-SN"/>
        </w:rPr>
        <w:t>pour améliorer la qualité et la pertinence des enseignements scientifique</w:t>
      </w:r>
      <w:r>
        <w:rPr>
          <w:rFonts w:asciiTheme="majorBidi" w:eastAsia="Aptos" w:hAnsiTheme="majorBidi" w:cstheme="majorBidi"/>
          <w:sz w:val="24"/>
          <w:szCs w:val="24"/>
          <w:lang w:val="fr-SN"/>
        </w:rPr>
        <w:t xml:space="preserve">s. C’est du moins, ce que montrent des travaux réalisés dans le contexte canadien, où des élèves issus des environnements autochtones “traversent” régulièrement avec aisance les frontières culturelles quand ils sont en présence des deux formes de contenus </w:t>
      </w:r>
      <w:bookmarkStart w:id="156" w:name="_Hlk215004468"/>
      <w:r>
        <w:rPr>
          <w:rFonts w:asciiTheme="majorBidi" w:eastAsia="Aptos" w:hAnsiTheme="majorBidi" w:cstheme="majorBidi"/>
          <w:sz w:val="24"/>
          <w:szCs w:val="24"/>
          <w:lang w:val="fr-SN"/>
        </w:rPr>
        <w:t>(</w:t>
      </w:r>
      <w:proofErr w:type="spellStart"/>
      <w:r>
        <w:rPr>
          <w:rFonts w:asciiTheme="majorBidi" w:eastAsia="Aptos" w:hAnsiTheme="majorBidi" w:cstheme="majorBidi"/>
          <w:sz w:val="24"/>
          <w:szCs w:val="24"/>
          <w:lang w:val="fr-SN"/>
        </w:rPr>
        <w:t>Aikenead</w:t>
      </w:r>
      <w:proofErr w:type="spellEnd"/>
      <w:r>
        <w:rPr>
          <w:rFonts w:asciiTheme="majorBidi" w:eastAsia="Aptos" w:hAnsiTheme="majorBidi" w:cstheme="majorBidi"/>
          <w:sz w:val="24"/>
          <w:szCs w:val="24"/>
          <w:lang w:val="fr-SN"/>
        </w:rPr>
        <w:t>, 1999)</w:t>
      </w:r>
      <w:r>
        <w:rPr>
          <w:rFonts w:asciiTheme="majorBidi" w:eastAsia="Aptos" w:hAnsiTheme="majorBidi" w:cstheme="majorBidi"/>
          <w:sz w:val="24"/>
          <w:szCs w:val="24"/>
          <w:vertAlign w:val="superscript"/>
          <w:lang w:val="fr-SN"/>
        </w:rPr>
        <w:footnoteReference w:id="19"/>
      </w:r>
      <w:r>
        <w:rPr>
          <w:rFonts w:asciiTheme="majorBidi" w:eastAsia="Aptos" w:hAnsiTheme="majorBidi" w:cstheme="majorBidi"/>
          <w:sz w:val="24"/>
          <w:szCs w:val="24"/>
          <w:lang w:val="fr-SN"/>
        </w:rPr>
        <w:t xml:space="preserve">. </w:t>
      </w:r>
      <w:bookmarkEnd w:id="156"/>
      <w:r>
        <w:rPr>
          <w:rFonts w:asciiTheme="majorBidi" w:eastAsia="Aptos" w:hAnsiTheme="majorBidi" w:cstheme="majorBidi"/>
          <w:sz w:val="24"/>
          <w:szCs w:val="24"/>
          <w:lang w:val="fr-SN"/>
        </w:rPr>
        <w:t xml:space="preserve">C’est aussi dans cette veine que </w:t>
      </w:r>
      <w:bookmarkStart w:id="157" w:name="_Hlk215004500"/>
      <w:r>
        <w:rPr>
          <w:rFonts w:asciiTheme="majorBidi" w:eastAsia="Aptos" w:hAnsiTheme="majorBidi" w:cstheme="majorBidi"/>
          <w:sz w:val="24"/>
          <w:szCs w:val="24"/>
          <w:lang w:val="fr-SN"/>
        </w:rPr>
        <w:t>Cobern (</w:t>
      </w:r>
      <w:r w:rsidRPr="001B4E3E">
        <w:rPr>
          <w:rFonts w:asciiTheme="majorBidi" w:eastAsia="Aptos" w:hAnsiTheme="majorBidi" w:cstheme="majorBidi"/>
          <w:sz w:val="24"/>
          <w:szCs w:val="24"/>
          <w:lang w:val="fr-SN"/>
        </w:rPr>
        <w:t>1991, p. 3-15</w:t>
      </w:r>
      <w:r>
        <w:rPr>
          <w:rFonts w:asciiTheme="majorBidi" w:eastAsia="Aptos" w:hAnsiTheme="majorBidi" w:cstheme="majorBidi"/>
          <w:sz w:val="24"/>
          <w:szCs w:val="24"/>
          <w:lang w:val="fr-SN"/>
        </w:rPr>
        <w:t xml:space="preserve">) </w:t>
      </w:r>
      <w:bookmarkEnd w:id="157"/>
      <w:r>
        <w:rPr>
          <w:rFonts w:asciiTheme="majorBidi" w:eastAsia="Aptos" w:hAnsiTheme="majorBidi" w:cstheme="majorBidi"/>
          <w:sz w:val="24"/>
          <w:szCs w:val="24"/>
          <w:lang w:val="fr-SN"/>
        </w:rPr>
        <w:t xml:space="preserve">a suggéré la </w:t>
      </w:r>
      <w:r w:rsidRPr="001B4E3E">
        <w:rPr>
          <w:rFonts w:asciiTheme="majorBidi" w:eastAsia="Aptos" w:hAnsiTheme="majorBidi" w:cstheme="majorBidi"/>
          <w:sz w:val="24"/>
          <w:szCs w:val="24"/>
          <w:lang w:val="fr-SN"/>
        </w:rPr>
        <w:t>contextualisation comme un principe fondamental du curriculum</w:t>
      </w:r>
      <w:r>
        <w:rPr>
          <w:rFonts w:asciiTheme="majorBidi" w:eastAsia="Aptos" w:hAnsiTheme="majorBidi" w:cstheme="majorBidi"/>
          <w:sz w:val="24"/>
          <w:szCs w:val="24"/>
          <w:lang w:val="fr-SN"/>
        </w:rPr>
        <w:t xml:space="preserve"> qui devrait désormais permettre une meilleure considération des différences culturelles en contexte d’enseignement et apprentissage. Qu’en est-il réellement des textes réglementaires au Gabon ? </w:t>
      </w:r>
    </w:p>
    <w:p w14:paraId="0EAC3BFD"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Enfin, dans le cadre institutionnel, nous avons quatre (4) types de ressources qui orientent les cours de SVT au Gabon : </w:t>
      </w:r>
    </w:p>
    <w:p w14:paraId="008600DA" w14:textId="77777777" w:rsidR="00D80693" w:rsidRPr="00E75A67" w:rsidRDefault="00D80693" w:rsidP="00D92213">
      <w:pPr>
        <w:spacing w:before="120"/>
        <w:ind w:left="360"/>
        <w:jc w:val="both"/>
        <w:rPr>
          <w:rFonts w:eastAsia="Aptos"/>
          <w:sz w:val="24"/>
          <w:szCs w:val="24"/>
          <w:lang w:val="fr-SN"/>
        </w:rPr>
      </w:pPr>
      <w:r w:rsidRPr="00E75A67">
        <w:rPr>
          <w:rFonts w:asciiTheme="majorBidi" w:eastAsia="Aptos" w:hAnsiTheme="majorBidi" w:cstheme="majorBidi"/>
          <w:sz w:val="24"/>
          <w:szCs w:val="24"/>
          <w:lang w:val="fr-SN"/>
        </w:rPr>
        <w:t>•</w:t>
      </w:r>
      <w:r w:rsidRPr="00E75A67">
        <w:rPr>
          <w:rFonts w:asciiTheme="majorBidi" w:eastAsia="Aptos" w:hAnsiTheme="majorBidi" w:cstheme="majorBidi"/>
          <w:sz w:val="24"/>
          <w:szCs w:val="24"/>
          <w:lang w:val="fr-SN"/>
        </w:rPr>
        <w:tab/>
        <w:t>La Loi n°21/2011 portant orientation générale de l’éducation ;</w:t>
      </w:r>
    </w:p>
    <w:p w14:paraId="2FDB578E" w14:textId="77777777" w:rsidR="00D80693" w:rsidRPr="00E75A67" w:rsidRDefault="00D80693" w:rsidP="00D92213">
      <w:pPr>
        <w:spacing w:before="120"/>
        <w:ind w:left="360"/>
        <w:jc w:val="both"/>
        <w:rPr>
          <w:rFonts w:eastAsia="Aptos"/>
          <w:sz w:val="24"/>
          <w:szCs w:val="24"/>
          <w:lang w:val="fr-SN"/>
        </w:rPr>
      </w:pPr>
      <w:r w:rsidRPr="00E75A67">
        <w:rPr>
          <w:rFonts w:asciiTheme="majorBidi" w:eastAsia="Aptos" w:hAnsiTheme="majorBidi" w:cstheme="majorBidi"/>
          <w:sz w:val="24"/>
          <w:szCs w:val="24"/>
          <w:lang w:val="fr-SN"/>
        </w:rPr>
        <w:t>•</w:t>
      </w:r>
      <w:r w:rsidRPr="00E75A67">
        <w:rPr>
          <w:rFonts w:asciiTheme="majorBidi" w:eastAsia="Aptos" w:hAnsiTheme="majorBidi" w:cstheme="majorBidi"/>
          <w:sz w:val="24"/>
          <w:szCs w:val="24"/>
          <w:lang w:val="fr-SN"/>
        </w:rPr>
        <w:tab/>
        <w:t xml:space="preserve">Les programmes officiels de SVT pour le </w:t>
      </w:r>
      <w:r>
        <w:rPr>
          <w:rFonts w:asciiTheme="majorBidi" w:eastAsia="Aptos" w:hAnsiTheme="majorBidi" w:cstheme="majorBidi"/>
          <w:sz w:val="24"/>
          <w:szCs w:val="24"/>
          <w:lang w:val="fr-SN"/>
        </w:rPr>
        <w:t>C</w:t>
      </w:r>
      <w:r w:rsidRPr="00E75A67">
        <w:rPr>
          <w:rFonts w:asciiTheme="majorBidi" w:eastAsia="Aptos" w:hAnsiTheme="majorBidi" w:cstheme="majorBidi"/>
          <w:sz w:val="24"/>
          <w:szCs w:val="24"/>
          <w:lang w:val="fr-SN"/>
        </w:rPr>
        <w:t xml:space="preserve">ollège et le </w:t>
      </w:r>
      <w:r>
        <w:rPr>
          <w:rFonts w:asciiTheme="majorBidi" w:eastAsia="Aptos" w:hAnsiTheme="majorBidi" w:cstheme="majorBidi"/>
          <w:sz w:val="24"/>
          <w:szCs w:val="24"/>
          <w:lang w:val="fr-SN"/>
        </w:rPr>
        <w:t>L</w:t>
      </w:r>
      <w:r w:rsidRPr="00E75A67">
        <w:rPr>
          <w:rFonts w:asciiTheme="majorBidi" w:eastAsia="Aptos" w:hAnsiTheme="majorBidi" w:cstheme="majorBidi"/>
          <w:sz w:val="24"/>
          <w:szCs w:val="24"/>
          <w:lang w:val="fr-SN"/>
        </w:rPr>
        <w:t>ycée ;</w:t>
      </w:r>
    </w:p>
    <w:p w14:paraId="0CBAAA72" w14:textId="77777777" w:rsidR="00D80693" w:rsidRPr="00E75A67" w:rsidRDefault="00D80693" w:rsidP="00D92213">
      <w:pPr>
        <w:spacing w:before="120"/>
        <w:ind w:left="360"/>
        <w:jc w:val="both"/>
        <w:rPr>
          <w:rFonts w:eastAsia="Aptos"/>
          <w:sz w:val="24"/>
          <w:szCs w:val="24"/>
          <w:lang w:val="fr-SN"/>
        </w:rPr>
      </w:pPr>
      <w:r w:rsidRPr="00E75A67">
        <w:rPr>
          <w:rFonts w:asciiTheme="majorBidi" w:eastAsia="Aptos" w:hAnsiTheme="majorBidi" w:cstheme="majorBidi"/>
          <w:sz w:val="24"/>
          <w:szCs w:val="24"/>
          <w:lang w:val="fr-SN"/>
        </w:rPr>
        <w:t>•</w:t>
      </w:r>
      <w:r w:rsidRPr="00E75A67">
        <w:rPr>
          <w:rFonts w:asciiTheme="majorBidi" w:eastAsia="Aptos" w:hAnsiTheme="majorBidi" w:cstheme="majorBidi"/>
          <w:sz w:val="24"/>
          <w:szCs w:val="24"/>
          <w:lang w:val="fr-SN"/>
        </w:rPr>
        <w:tab/>
        <w:t>Les progressions pédagogiques en vigueur ;</w:t>
      </w:r>
    </w:p>
    <w:p w14:paraId="70299DCE" w14:textId="77777777" w:rsidR="00D80693" w:rsidRPr="00E75A67" w:rsidRDefault="00D80693" w:rsidP="00D92213">
      <w:pPr>
        <w:spacing w:before="120"/>
        <w:ind w:left="360"/>
        <w:jc w:val="both"/>
        <w:rPr>
          <w:rFonts w:eastAsia="Aptos"/>
          <w:sz w:val="24"/>
          <w:szCs w:val="24"/>
          <w:lang w:val="fr-SN"/>
        </w:rPr>
      </w:pPr>
      <w:r w:rsidRPr="00E75A67">
        <w:rPr>
          <w:rFonts w:asciiTheme="majorBidi" w:eastAsia="Aptos" w:hAnsiTheme="majorBidi" w:cstheme="majorBidi"/>
          <w:sz w:val="24"/>
          <w:szCs w:val="24"/>
          <w:lang w:val="fr-SN"/>
        </w:rPr>
        <w:t>•</w:t>
      </w:r>
      <w:r w:rsidRPr="00E75A67">
        <w:rPr>
          <w:rFonts w:asciiTheme="majorBidi" w:eastAsia="Aptos" w:hAnsiTheme="majorBidi" w:cstheme="majorBidi"/>
          <w:sz w:val="24"/>
          <w:szCs w:val="24"/>
          <w:lang w:val="fr-SN"/>
        </w:rPr>
        <w:tab/>
        <w:t>Les actes des États Généraux de l’Éducation (2021).</w:t>
      </w:r>
    </w:p>
    <w:p w14:paraId="0797EDD9"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En utilisant ces ressources, l’enseignant a le devoir de traduire les objectifs généraux d’éducation qui y sont notifiés, en actes pédagogiques. </w:t>
      </w:r>
      <w:bookmarkStart w:id="158" w:name="_Hlk215004595"/>
      <w:r w:rsidRPr="0048492E">
        <w:rPr>
          <w:rFonts w:asciiTheme="majorBidi" w:eastAsia="Aptos" w:hAnsiTheme="majorBidi" w:cstheme="majorBidi"/>
          <w:sz w:val="24"/>
          <w:szCs w:val="24"/>
          <w:lang w:val="fr-SN"/>
        </w:rPr>
        <w:t xml:space="preserve">Jonnaert &amp; Vander </w:t>
      </w:r>
      <w:proofErr w:type="spellStart"/>
      <w:r w:rsidRPr="0048492E">
        <w:rPr>
          <w:rFonts w:asciiTheme="majorBidi" w:eastAsia="Aptos" w:hAnsiTheme="majorBidi" w:cstheme="majorBidi"/>
          <w:sz w:val="24"/>
          <w:szCs w:val="24"/>
          <w:lang w:val="fr-SN"/>
        </w:rPr>
        <w:t>Borght</w:t>
      </w:r>
      <w:proofErr w:type="spellEnd"/>
      <w:r w:rsidRPr="0048492E">
        <w:rPr>
          <w:rFonts w:asciiTheme="majorBidi" w:eastAsia="Aptos" w:hAnsiTheme="majorBidi" w:cstheme="majorBidi"/>
          <w:sz w:val="24"/>
          <w:szCs w:val="24"/>
          <w:lang w:val="fr-SN"/>
        </w:rPr>
        <w:t xml:space="preserve"> (2009</w:t>
      </w:r>
      <w:r>
        <w:rPr>
          <w:rFonts w:asciiTheme="majorBidi" w:eastAsia="Aptos" w:hAnsiTheme="majorBidi" w:cstheme="majorBidi"/>
          <w:sz w:val="24"/>
          <w:szCs w:val="24"/>
          <w:lang w:val="fr-SN"/>
        </w:rPr>
        <w:t>, p.</w:t>
      </w:r>
      <w:r w:rsidRPr="0048492E">
        <w:rPr>
          <w:rFonts w:asciiTheme="majorBidi" w:eastAsia="Aptos" w:hAnsiTheme="majorBidi" w:cstheme="majorBidi"/>
          <w:sz w:val="24"/>
          <w:szCs w:val="24"/>
          <w:lang w:val="fr-SN"/>
        </w:rPr>
        <w:t>273),</w:t>
      </w:r>
      <w:bookmarkEnd w:id="158"/>
      <w:r w:rsidRPr="0048492E">
        <w:rPr>
          <w:rFonts w:asciiTheme="majorBidi" w:eastAsia="Aptos" w:hAnsiTheme="majorBidi" w:cstheme="majorBidi"/>
          <w:sz w:val="24"/>
          <w:szCs w:val="24"/>
          <w:lang w:val="fr-SN"/>
        </w:rPr>
        <w:t xml:space="preserve"> qui ont exploré les conditions de l’apprentissage en contexte scolaire, précisent que des aspects socio-culturels caractérisent ce processus et que l’enseignant joue un rôle fondamental</w:t>
      </w:r>
      <w:r>
        <w:rPr>
          <w:rFonts w:asciiTheme="majorBidi" w:eastAsia="Aptos" w:hAnsiTheme="majorBidi" w:cstheme="majorBidi"/>
          <w:sz w:val="24"/>
          <w:szCs w:val="24"/>
          <w:lang w:val="fr-SN"/>
        </w:rPr>
        <w:t>. Or, s</w:t>
      </w:r>
      <w:r w:rsidRPr="0048492E">
        <w:rPr>
          <w:rFonts w:asciiTheme="majorBidi" w:eastAsia="Aptos" w:hAnsiTheme="majorBidi" w:cstheme="majorBidi"/>
          <w:sz w:val="24"/>
          <w:szCs w:val="24"/>
          <w:lang w:val="fr-SN"/>
        </w:rPr>
        <w:t xml:space="preserve">i l’enseignant est capable d’autant de créativités, </w:t>
      </w:r>
      <w:r>
        <w:rPr>
          <w:rFonts w:asciiTheme="majorBidi" w:eastAsia="Aptos" w:hAnsiTheme="majorBidi" w:cstheme="majorBidi"/>
          <w:sz w:val="24"/>
          <w:szCs w:val="24"/>
          <w:lang w:val="fr-SN"/>
        </w:rPr>
        <w:t xml:space="preserve">il </w:t>
      </w:r>
      <w:r w:rsidRPr="0048492E">
        <w:rPr>
          <w:rFonts w:asciiTheme="majorBidi" w:eastAsia="Aptos" w:hAnsiTheme="majorBidi" w:cstheme="majorBidi"/>
          <w:sz w:val="24"/>
          <w:szCs w:val="24"/>
          <w:lang w:val="fr-SN"/>
        </w:rPr>
        <w:t xml:space="preserve">est également capable de débusquer les idéologies puissantes du discours institutionnel </w:t>
      </w:r>
      <w:bookmarkStart w:id="159" w:name="_Hlk215004639"/>
      <w:r w:rsidRPr="0048492E">
        <w:rPr>
          <w:rFonts w:asciiTheme="majorBidi" w:eastAsia="Aptos" w:hAnsiTheme="majorBidi" w:cstheme="majorBidi"/>
          <w:sz w:val="24"/>
          <w:szCs w:val="24"/>
          <w:lang w:val="fr-SN"/>
        </w:rPr>
        <w:t>(</w:t>
      </w:r>
      <w:proofErr w:type="spellStart"/>
      <w:r w:rsidRPr="0048492E">
        <w:rPr>
          <w:rFonts w:asciiTheme="majorBidi" w:eastAsia="Aptos" w:hAnsiTheme="majorBidi" w:cstheme="majorBidi"/>
          <w:sz w:val="24"/>
          <w:szCs w:val="24"/>
          <w:lang w:val="fr-SN"/>
        </w:rPr>
        <w:t>Fourez</w:t>
      </w:r>
      <w:proofErr w:type="spellEnd"/>
      <w:r w:rsidRPr="0048492E">
        <w:rPr>
          <w:rFonts w:asciiTheme="majorBidi" w:eastAsia="Aptos" w:hAnsiTheme="majorBidi" w:cstheme="majorBidi"/>
          <w:sz w:val="24"/>
          <w:szCs w:val="24"/>
          <w:lang w:val="fr-SN"/>
        </w:rPr>
        <w:t>, Englebert</w:t>
      </w:r>
      <w:r>
        <w:rPr>
          <w:rFonts w:asciiTheme="majorBidi" w:eastAsia="Aptos" w:hAnsiTheme="majorBidi" w:cstheme="majorBidi"/>
          <w:sz w:val="24"/>
          <w:szCs w:val="24"/>
          <w:lang w:val="fr-SN"/>
        </w:rPr>
        <w:t xml:space="preserve"> </w:t>
      </w:r>
      <w:r w:rsidRPr="0048492E">
        <w:rPr>
          <w:rFonts w:asciiTheme="majorBidi" w:eastAsia="Aptos" w:hAnsiTheme="majorBidi" w:cstheme="majorBidi"/>
          <w:sz w:val="24"/>
          <w:szCs w:val="24"/>
          <w:lang w:val="fr-SN"/>
        </w:rPr>
        <w:t xml:space="preserve">Lecomte &amp; </w:t>
      </w:r>
      <w:proofErr w:type="spellStart"/>
      <w:r w:rsidRPr="0048492E">
        <w:rPr>
          <w:rFonts w:asciiTheme="majorBidi" w:eastAsia="Aptos" w:hAnsiTheme="majorBidi" w:cstheme="majorBidi"/>
          <w:sz w:val="24"/>
          <w:szCs w:val="24"/>
          <w:lang w:val="fr-SN"/>
        </w:rPr>
        <w:t>Mathy</w:t>
      </w:r>
      <w:proofErr w:type="spellEnd"/>
      <w:r w:rsidRPr="0048492E">
        <w:rPr>
          <w:rFonts w:asciiTheme="majorBidi" w:eastAsia="Aptos" w:hAnsiTheme="majorBidi" w:cstheme="majorBidi"/>
          <w:sz w:val="24"/>
          <w:szCs w:val="24"/>
          <w:lang w:val="fr-SN"/>
        </w:rPr>
        <w:t>, 1997)</w:t>
      </w:r>
      <w:r>
        <w:rPr>
          <w:rFonts w:asciiTheme="majorBidi" w:eastAsia="Aptos" w:hAnsiTheme="majorBidi" w:cstheme="majorBidi"/>
          <w:sz w:val="24"/>
          <w:szCs w:val="24"/>
          <w:lang w:val="fr-SN"/>
        </w:rPr>
        <w:t xml:space="preserve">. </w:t>
      </w:r>
      <w:bookmarkEnd w:id="159"/>
      <w:r>
        <w:rPr>
          <w:rFonts w:asciiTheme="majorBidi" w:eastAsia="Aptos" w:hAnsiTheme="majorBidi" w:cstheme="majorBidi"/>
          <w:sz w:val="24"/>
          <w:szCs w:val="24"/>
          <w:lang w:val="fr-SN"/>
        </w:rPr>
        <w:t xml:space="preserve">Il est alors important d’explorer ces discours, consignés dans les textes en vigueur afin de voir comment la contextualisation y est prise en compte. L’on pourra ainsi formuler des interprétations en discussion en croisant ces données. </w:t>
      </w:r>
    </w:p>
    <w:p w14:paraId="6A8C5F64"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Par ailleurs, tel que nous l’avons déjà souligné </w:t>
      </w:r>
      <w:bookmarkStart w:id="160" w:name="_Hlk215004671"/>
      <w:r>
        <w:rPr>
          <w:rFonts w:asciiTheme="majorBidi" w:eastAsia="Aptos" w:hAnsiTheme="majorBidi" w:cstheme="majorBidi"/>
          <w:sz w:val="24"/>
          <w:szCs w:val="24"/>
          <w:lang w:val="fr-SN"/>
        </w:rPr>
        <w:t>(</w:t>
      </w:r>
      <w:proofErr w:type="spellStart"/>
      <w:r>
        <w:rPr>
          <w:rFonts w:asciiTheme="majorBidi" w:eastAsia="Aptos" w:hAnsiTheme="majorBidi" w:cstheme="majorBidi"/>
          <w:sz w:val="24"/>
          <w:szCs w:val="24"/>
          <w:lang w:val="fr-SN"/>
        </w:rPr>
        <w:t>Moussavou</w:t>
      </w:r>
      <w:proofErr w:type="spellEnd"/>
      <w:r>
        <w:rPr>
          <w:rFonts w:asciiTheme="majorBidi" w:eastAsia="Aptos" w:hAnsiTheme="majorBidi" w:cstheme="majorBidi"/>
          <w:sz w:val="24"/>
          <w:szCs w:val="24"/>
          <w:lang w:val="fr-SN"/>
        </w:rPr>
        <w:t xml:space="preserve">, 2023, p. 276), </w:t>
      </w:r>
      <w:bookmarkEnd w:id="160"/>
      <w:r>
        <w:rPr>
          <w:rFonts w:asciiTheme="majorBidi" w:eastAsia="Aptos" w:hAnsiTheme="majorBidi" w:cstheme="majorBidi"/>
          <w:sz w:val="24"/>
          <w:szCs w:val="24"/>
          <w:lang w:val="fr-SN"/>
        </w:rPr>
        <w:t xml:space="preserve">en dehors des compétences disciplinaires exigées en formation initiale, c’est sur le terrain qu’ils doivent </w:t>
      </w:r>
      <w:r w:rsidRPr="004F3213">
        <w:rPr>
          <w:rFonts w:asciiTheme="majorBidi" w:eastAsia="Aptos" w:hAnsiTheme="majorBidi" w:cstheme="majorBidi"/>
          <w:sz w:val="24"/>
          <w:szCs w:val="24"/>
          <w:lang w:val="fr-SN"/>
        </w:rPr>
        <w:t>s’adapter à un environnement professionnel parfois hostile</w:t>
      </w:r>
      <w:r>
        <w:rPr>
          <w:rFonts w:asciiTheme="majorBidi" w:eastAsia="Aptos" w:hAnsiTheme="majorBidi" w:cstheme="majorBidi"/>
          <w:sz w:val="24"/>
          <w:szCs w:val="24"/>
          <w:lang w:val="fr-SN"/>
        </w:rPr>
        <w:t xml:space="preserve">. Ils développent alors des compétences sociales </w:t>
      </w:r>
      <w:r w:rsidRPr="004F3213">
        <w:rPr>
          <w:rFonts w:asciiTheme="majorBidi" w:eastAsia="Aptos" w:hAnsiTheme="majorBidi" w:cstheme="majorBidi"/>
          <w:sz w:val="24"/>
          <w:szCs w:val="24"/>
          <w:lang w:val="fr-SN"/>
        </w:rPr>
        <w:t xml:space="preserve">et </w:t>
      </w:r>
      <w:r>
        <w:rPr>
          <w:rFonts w:asciiTheme="majorBidi" w:eastAsia="Aptos" w:hAnsiTheme="majorBidi" w:cstheme="majorBidi"/>
          <w:sz w:val="24"/>
          <w:szCs w:val="24"/>
          <w:lang w:val="fr-SN"/>
        </w:rPr>
        <w:t xml:space="preserve">managériales pour intégrer les aspects socio-culturels dans la planification de leurs enseignements. En coopérant ainsi </w:t>
      </w:r>
      <w:r w:rsidRPr="004F3213">
        <w:rPr>
          <w:rFonts w:asciiTheme="majorBidi" w:eastAsia="Aptos" w:hAnsiTheme="majorBidi" w:cstheme="majorBidi"/>
          <w:sz w:val="24"/>
          <w:szCs w:val="24"/>
          <w:lang w:val="fr-SN"/>
        </w:rPr>
        <w:t>avec l’adversité</w:t>
      </w:r>
      <w:r>
        <w:rPr>
          <w:rFonts w:asciiTheme="majorBidi" w:eastAsia="Aptos" w:hAnsiTheme="majorBidi" w:cstheme="majorBidi"/>
          <w:sz w:val="24"/>
          <w:szCs w:val="24"/>
          <w:lang w:val="fr-SN"/>
        </w:rPr>
        <w:t>, ils</w:t>
      </w:r>
      <w:r w:rsidRPr="004F3213">
        <w:rPr>
          <w:rFonts w:asciiTheme="majorBidi" w:eastAsia="Aptos" w:hAnsiTheme="majorBidi" w:cstheme="majorBidi"/>
          <w:sz w:val="24"/>
          <w:szCs w:val="24"/>
          <w:lang w:val="fr-SN"/>
        </w:rPr>
        <w:t xml:space="preserve"> deviennent capables d’évaluer leurs </w:t>
      </w:r>
      <w:r>
        <w:rPr>
          <w:rFonts w:asciiTheme="majorBidi" w:eastAsia="Aptos" w:hAnsiTheme="majorBidi" w:cstheme="majorBidi"/>
          <w:sz w:val="24"/>
          <w:szCs w:val="24"/>
          <w:lang w:val="fr-SN"/>
        </w:rPr>
        <w:t>agirs professionnels</w:t>
      </w:r>
      <w:r w:rsidRPr="004F3213">
        <w:rPr>
          <w:rFonts w:asciiTheme="majorBidi" w:eastAsia="Aptos" w:hAnsiTheme="majorBidi" w:cstheme="majorBidi"/>
          <w:sz w:val="24"/>
          <w:szCs w:val="24"/>
          <w:lang w:val="fr-SN"/>
        </w:rPr>
        <w:t xml:space="preserve">, devenant ainsi capables de </w:t>
      </w:r>
      <w:r>
        <w:rPr>
          <w:rFonts w:asciiTheme="majorBidi" w:eastAsia="Aptos" w:hAnsiTheme="majorBidi" w:cstheme="majorBidi"/>
          <w:sz w:val="24"/>
          <w:szCs w:val="24"/>
          <w:lang w:val="fr-SN"/>
        </w:rPr>
        <w:t xml:space="preserve">développer la </w:t>
      </w:r>
      <w:r w:rsidRPr="004F3213">
        <w:rPr>
          <w:rFonts w:asciiTheme="majorBidi" w:eastAsia="Aptos" w:hAnsiTheme="majorBidi" w:cstheme="majorBidi"/>
          <w:sz w:val="24"/>
          <w:szCs w:val="24"/>
          <w:lang w:val="fr-SN"/>
        </w:rPr>
        <w:t xml:space="preserve">réflexivité </w:t>
      </w:r>
      <w:bookmarkStart w:id="161" w:name="_Hlk215004731"/>
      <w:r w:rsidRPr="004F3213">
        <w:rPr>
          <w:rFonts w:asciiTheme="majorBidi" w:eastAsia="Aptos" w:hAnsiTheme="majorBidi" w:cstheme="majorBidi"/>
          <w:sz w:val="24"/>
          <w:szCs w:val="24"/>
          <w:lang w:val="fr-SN"/>
        </w:rPr>
        <w:t>(Perrenoud, 2000).</w:t>
      </w:r>
      <w:r>
        <w:rPr>
          <w:rFonts w:asciiTheme="majorBidi" w:eastAsia="Aptos" w:hAnsiTheme="majorBidi" w:cstheme="majorBidi"/>
          <w:sz w:val="24"/>
          <w:szCs w:val="24"/>
          <w:lang w:val="fr-SN"/>
        </w:rPr>
        <w:t xml:space="preserve"> </w:t>
      </w:r>
      <w:bookmarkEnd w:id="161"/>
      <w:r>
        <w:rPr>
          <w:rFonts w:asciiTheme="majorBidi" w:eastAsia="Aptos" w:hAnsiTheme="majorBidi" w:cstheme="majorBidi"/>
          <w:sz w:val="24"/>
          <w:szCs w:val="24"/>
          <w:lang w:val="fr-SN"/>
        </w:rPr>
        <w:t xml:space="preserve">C’est ce qui justifie qu’on leur donne la parole afin de verbaliser leurs pratiques pédagogiques autour de la contextualisation des enseignements en SVT. </w:t>
      </w:r>
    </w:p>
    <w:p w14:paraId="26347D0F" w14:textId="77777777" w:rsidR="00D80693" w:rsidRDefault="00D80693" w:rsidP="00D92213">
      <w:pPr>
        <w:pStyle w:val="Paragraphedeliste"/>
        <w:rPr>
          <w:rFonts w:eastAsia="Aptos"/>
          <w:b/>
          <w:bCs/>
          <w:sz w:val="28"/>
          <w:szCs w:val="28"/>
          <w:lang w:val="fr-SN"/>
        </w:rPr>
      </w:pPr>
      <w:r>
        <w:rPr>
          <w:rFonts w:asciiTheme="majorBidi" w:eastAsia="Aptos" w:hAnsiTheme="majorBidi" w:cstheme="majorBidi"/>
          <w:b/>
          <w:bCs/>
          <w:sz w:val="28"/>
          <w:szCs w:val="28"/>
          <w:lang w:val="fr-SN"/>
        </w:rPr>
        <w:t xml:space="preserve">3. </w:t>
      </w:r>
      <w:r w:rsidRPr="00E50F97">
        <w:rPr>
          <w:rFonts w:asciiTheme="majorBidi" w:eastAsia="Aptos" w:hAnsiTheme="majorBidi" w:cstheme="majorBidi"/>
          <w:b/>
          <w:bCs/>
          <w:sz w:val="28"/>
          <w:szCs w:val="28"/>
          <w:lang w:val="fr-SN"/>
        </w:rPr>
        <w:t>Orientations méthodologiques</w:t>
      </w:r>
    </w:p>
    <w:p w14:paraId="46AE7A59"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Ayant retenu la dimension socioculturelle de la contextualisation comme point central de notre réflexion du point de vue didactique, nos </w:t>
      </w:r>
      <w:r w:rsidRPr="004F3213">
        <w:rPr>
          <w:rFonts w:asciiTheme="majorBidi" w:eastAsia="Aptos" w:hAnsiTheme="majorBidi" w:cstheme="majorBidi"/>
          <w:sz w:val="24"/>
          <w:szCs w:val="24"/>
          <w:lang w:val="fr-SN"/>
        </w:rPr>
        <w:t xml:space="preserve">« points de vue et </w:t>
      </w:r>
      <w:r>
        <w:rPr>
          <w:rFonts w:asciiTheme="majorBidi" w:eastAsia="Aptos" w:hAnsiTheme="majorBidi" w:cstheme="majorBidi"/>
          <w:sz w:val="24"/>
          <w:szCs w:val="24"/>
          <w:lang w:val="fr-SN"/>
        </w:rPr>
        <w:t xml:space="preserve">[...] </w:t>
      </w:r>
      <w:r w:rsidRPr="004F3213">
        <w:rPr>
          <w:rFonts w:asciiTheme="majorBidi" w:eastAsia="Aptos" w:hAnsiTheme="majorBidi" w:cstheme="majorBidi"/>
          <w:sz w:val="24"/>
          <w:szCs w:val="24"/>
          <w:lang w:val="fr-SN"/>
        </w:rPr>
        <w:t xml:space="preserve">perspectives » </w:t>
      </w:r>
      <w:bookmarkStart w:id="162" w:name="_Hlk215004762"/>
      <w:r w:rsidRPr="004F3213">
        <w:rPr>
          <w:rFonts w:asciiTheme="majorBidi" w:eastAsia="Aptos" w:hAnsiTheme="majorBidi" w:cstheme="majorBidi"/>
          <w:sz w:val="24"/>
          <w:szCs w:val="24"/>
          <w:lang w:val="fr-SN"/>
        </w:rPr>
        <w:t>(</w:t>
      </w:r>
      <w:proofErr w:type="spellStart"/>
      <w:r w:rsidRPr="004F3213">
        <w:rPr>
          <w:rFonts w:asciiTheme="majorBidi" w:eastAsia="Aptos" w:hAnsiTheme="majorBidi" w:cstheme="majorBidi"/>
          <w:sz w:val="24"/>
          <w:szCs w:val="24"/>
          <w:lang w:val="fr-SN"/>
        </w:rPr>
        <w:t>SavoieZajc</w:t>
      </w:r>
      <w:proofErr w:type="spellEnd"/>
      <w:r w:rsidRPr="004F3213">
        <w:rPr>
          <w:rFonts w:asciiTheme="majorBidi" w:eastAsia="Aptos" w:hAnsiTheme="majorBidi" w:cstheme="majorBidi"/>
          <w:sz w:val="24"/>
          <w:szCs w:val="24"/>
          <w:lang w:val="fr-SN"/>
        </w:rPr>
        <w:t xml:space="preserve"> &amp; Karsenti, 2004</w:t>
      </w:r>
      <w:r>
        <w:rPr>
          <w:rFonts w:asciiTheme="majorBidi" w:eastAsia="Aptos" w:hAnsiTheme="majorBidi" w:cstheme="majorBidi"/>
          <w:sz w:val="24"/>
          <w:szCs w:val="24"/>
          <w:lang w:val="fr-SN"/>
        </w:rPr>
        <w:t xml:space="preserve">, p. </w:t>
      </w:r>
      <w:r w:rsidRPr="004F3213">
        <w:rPr>
          <w:rFonts w:asciiTheme="majorBidi" w:eastAsia="Aptos" w:hAnsiTheme="majorBidi" w:cstheme="majorBidi"/>
          <w:sz w:val="24"/>
          <w:szCs w:val="24"/>
          <w:lang w:val="fr-SN"/>
        </w:rPr>
        <w:t>113)</w:t>
      </w:r>
      <w:r>
        <w:rPr>
          <w:rFonts w:asciiTheme="majorBidi" w:eastAsia="Aptos" w:hAnsiTheme="majorBidi" w:cstheme="majorBidi"/>
          <w:sz w:val="24"/>
          <w:szCs w:val="24"/>
          <w:lang w:val="fr-SN"/>
        </w:rPr>
        <w:t xml:space="preserve"> </w:t>
      </w:r>
      <w:bookmarkEnd w:id="162"/>
      <w:r>
        <w:rPr>
          <w:rFonts w:asciiTheme="majorBidi" w:eastAsia="Aptos" w:hAnsiTheme="majorBidi" w:cstheme="majorBidi"/>
          <w:sz w:val="24"/>
          <w:szCs w:val="24"/>
          <w:lang w:val="fr-SN"/>
        </w:rPr>
        <w:t>sur la question sont orientés vers l’exploration des textes réglementaires et vers la validation des voix accordées aux praticiens du terrain. Il s’agit donc d’une recherche qualitative exploratoire, orientée vers une collecte de données empiriques textuelles, tenant compte de deux (2) types de discours, l’un institutionnel, l’autre issus des pratiques pédagogiques.</w:t>
      </w:r>
    </w:p>
    <w:p w14:paraId="2E987044"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Nous avons d’abord constitué un recueil de documents réglementaires orientant les cours de SVT au Gabon, afin d’y explorer </w:t>
      </w:r>
      <w:r w:rsidRPr="00E75A67">
        <w:rPr>
          <w:rFonts w:asciiTheme="majorBidi" w:eastAsia="Aptos" w:hAnsiTheme="majorBidi" w:cstheme="majorBidi"/>
          <w:sz w:val="24"/>
          <w:szCs w:val="24"/>
          <w:lang w:val="fr-SN"/>
        </w:rPr>
        <w:t>la présence, explicite ou implicite, du concept de contextualisation, ses définitions, ses modalités d’application, ainsi que son évolution au fil du temps</w:t>
      </w:r>
      <w:r>
        <w:rPr>
          <w:rFonts w:asciiTheme="majorBidi" w:eastAsia="Aptos" w:hAnsiTheme="majorBidi" w:cstheme="majorBidi"/>
          <w:sz w:val="24"/>
          <w:szCs w:val="24"/>
          <w:lang w:val="fr-SN"/>
        </w:rPr>
        <w:t xml:space="preserve">. Nous avons cherché à comprendre, à l’aide d’une grille de lecture ouverte, </w:t>
      </w:r>
      <w:r w:rsidRPr="001B4E3E">
        <w:rPr>
          <w:rFonts w:asciiTheme="majorBidi" w:eastAsia="Aptos" w:hAnsiTheme="majorBidi" w:cstheme="majorBidi"/>
          <w:sz w:val="24"/>
          <w:szCs w:val="24"/>
          <w:lang w:val="fr-SN"/>
        </w:rPr>
        <w:t>comment cette prise en compte (ou son absence) impacte la façon dont les enseignants adaptent leurs pratiques pédagogiques dans les classes de SVT</w:t>
      </w:r>
      <w:r>
        <w:rPr>
          <w:rFonts w:asciiTheme="majorBidi" w:eastAsia="Aptos" w:hAnsiTheme="majorBidi" w:cstheme="majorBidi"/>
          <w:sz w:val="24"/>
          <w:szCs w:val="24"/>
          <w:lang w:val="fr-SN"/>
        </w:rPr>
        <w:t xml:space="preserve">. Nous avons utilisé le libellé suivant pour l’exploration de tous les textes. </w:t>
      </w:r>
    </w:p>
    <w:tbl>
      <w:tblPr>
        <w:tblStyle w:val="Grilledutableau2"/>
        <w:tblW w:w="0" w:type="auto"/>
        <w:tblLook w:val="04A0" w:firstRow="1" w:lastRow="0" w:firstColumn="1" w:lastColumn="0" w:noHBand="0" w:noVBand="1"/>
      </w:tblPr>
      <w:tblGrid>
        <w:gridCol w:w="1728"/>
        <w:gridCol w:w="1244"/>
        <w:gridCol w:w="2410"/>
        <w:gridCol w:w="1276"/>
        <w:gridCol w:w="2268"/>
      </w:tblGrid>
      <w:tr w:rsidR="00D80693" w14:paraId="6AF819A0" w14:textId="77777777" w:rsidTr="00D72320">
        <w:tc>
          <w:tcPr>
            <w:tcW w:w="1728" w:type="dxa"/>
          </w:tcPr>
          <w:p w14:paraId="2917A291" w14:textId="77777777" w:rsidR="00D80693" w:rsidRPr="00A64C44" w:rsidRDefault="00D80693" w:rsidP="00D92213">
            <w:pPr>
              <w:spacing w:before="120"/>
            </w:pPr>
            <w:r w:rsidRPr="00A64C44">
              <w:rPr>
                <w:rFonts w:asciiTheme="majorBidi" w:hAnsiTheme="majorBidi" w:cstheme="majorBidi"/>
              </w:rPr>
              <w:t>Document utilisé</w:t>
            </w:r>
          </w:p>
        </w:tc>
        <w:tc>
          <w:tcPr>
            <w:tcW w:w="1244" w:type="dxa"/>
          </w:tcPr>
          <w:p w14:paraId="0AC4618E" w14:textId="77777777" w:rsidR="00D80693" w:rsidRPr="00A64C44" w:rsidRDefault="00D80693" w:rsidP="00D92213">
            <w:pPr>
              <w:spacing w:before="120"/>
            </w:pPr>
            <w:r w:rsidRPr="00A64C44">
              <w:rPr>
                <w:rFonts w:asciiTheme="majorBidi" w:hAnsiTheme="majorBidi" w:cstheme="majorBidi"/>
              </w:rPr>
              <w:t>Mots clés</w:t>
            </w:r>
          </w:p>
        </w:tc>
        <w:tc>
          <w:tcPr>
            <w:tcW w:w="2410" w:type="dxa"/>
          </w:tcPr>
          <w:p w14:paraId="2ADF4600" w14:textId="77777777" w:rsidR="00D80693" w:rsidRPr="00A64C44" w:rsidRDefault="00D80693" w:rsidP="00D92213">
            <w:pPr>
              <w:spacing w:before="120"/>
            </w:pPr>
            <w:r w:rsidRPr="00A64C44">
              <w:rPr>
                <w:rFonts w:asciiTheme="majorBidi" w:hAnsiTheme="majorBidi" w:cstheme="majorBidi"/>
              </w:rPr>
              <w:t>Orientation donnée à la contextualisation</w:t>
            </w:r>
          </w:p>
        </w:tc>
        <w:tc>
          <w:tcPr>
            <w:tcW w:w="1276" w:type="dxa"/>
          </w:tcPr>
          <w:p w14:paraId="528D376E" w14:textId="77777777" w:rsidR="00D80693" w:rsidRPr="00A64C44" w:rsidRDefault="00D80693" w:rsidP="00D92213">
            <w:pPr>
              <w:spacing w:before="120"/>
            </w:pPr>
            <w:r w:rsidRPr="00A64C44">
              <w:rPr>
                <w:rFonts w:asciiTheme="majorBidi" w:hAnsiTheme="majorBidi" w:cstheme="majorBidi"/>
              </w:rPr>
              <w:t>Difficultés</w:t>
            </w:r>
          </w:p>
        </w:tc>
        <w:tc>
          <w:tcPr>
            <w:tcW w:w="2268" w:type="dxa"/>
          </w:tcPr>
          <w:p w14:paraId="0E94511A" w14:textId="77777777" w:rsidR="00D80693" w:rsidRPr="00A64C44" w:rsidRDefault="00D80693" w:rsidP="00D92213">
            <w:pPr>
              <w:spacing w:before="120"/>
            </w:pPr>
            <w:r w:rsidRPr="00A64C44">
              <w:rPr>
                <w:rFonts w:asciiTheme="majorBidi" w:hAnsiTheme="majorBidi" w:cstheme="majorBidi"/>
              </w:rPr>
              <w:t>Stratégie innovante suggérée</w:t>
            </w:r>
          </w:p>
        </w:tc>
      </w:tr>
    </w:tbl>
    <w:p w14:paraId="4AFBFE65"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À cet effet, nous avons identifié </w:t>
      </w:r>
      <w:r w:rsidRPr="001B4E3E">
        <w:rPr>
          <w:rFonts w:asciiTheme="majorBidi" w:eastAsia="Aptos" w:hAnsiTheme="majorBidi" w:cstheme="majorBidi"/>
          <w:sz w:val="24"/>
          <w:szCs w:val="24"/>
          <w:lang w:val="fr-SN"/>
        </w:rPr>
        <w:t>les tensions ou les écarts entre les cadres normatifs et les pratiques effectives</w:t>
      </w:r>
      <w:r>
        <w:rPr>
          <w:rFonts w:asciiTheme="majorBidi" w:eastAsia="Aptos" w:hAnsiTheme="majorBidi" w:cstheme="majorBidi"/>
          <w:sz w:val="24"/>
          <w:szCs w:val="24"/>
          <w:lang w:val="fr-SN"/>
        </w:rPr>
        <w:t xml:space="preserve"> déclarées, ce qui nous a permis de </w:t>
      </w:r>
      <w:r w:rsidRPr="001B4E3E">
        <w:rPr>
          <w:rFonts w:asciiTheme="majorBidi" w:eastAsia="Aptos" w:hAnsiTheme="majorBidi" w:cstheme="majorBidi"/>
          <w:sz w:val="24"/>
          <w:szCs w:val="24"/>
          <w:lang w:val="fr-SN"/>
        </w:rPr>
        <w:t>proposer des pistes d’amélioration pour une contextualisation authentique et durable</w:t>
      </w:r>
      <w:r>
        <w:rPr>
          <w:rFonts w:asciiTheme="majorBidi" w:eastAsia="Aptos" w:hAnsiTheme="majorBidi" w:cstheme="majorBidi"/>
          <w:sz w:val="24"/>
          <w:szCs w:val="24"/>
          <w:lang w:val="fr-SN"/>
        </w:rPr>
        <w:t xml:space="preserve"> au Gabon. Nous avons obtenu des informations que nous présentons dans les résultats. En leur appliquant une analyse de </w:t>
      </w:r>
      <w:r w:rsidRPr="00E75A67">
        <w:rPr>
          <w:rFonts w:asciiTheme="majorBidi" w:eastAsia="Aptos" w:hAnsiTheme="majorBidi" w:cstheme="majorBidi"/>
          <w:sz w:val="24"/>
          <w:szCs w:val="24"/>
          <w:lang w:val="fr-SN"/>
        </w:rPr>
        <w:t xml:space="preserve">contenu décrite par </w:t>
      </w:r>
      <w:bookmarkStart w:id="163" w:name="_Hlk215004899"/>
      <w:r w:rsidRPr="00E75A67">
        <w:rPr>
          <w:rFonts w:asciiTheme="majorBidi" w:eastAsia="Aptos" w:hAnsiTheme="majorBidi" w:cstheme="majorBidi"/>
          <w:sz w:val="24"/>
          <w:szCs w:val="24"/>
          <w:lang w:val="fr-SN"/>
        </w:rPr>
        <w:t xml:space="preserve">Bardin (2007), </w:t>
      </w:r>
      <w:bookmarkEnd w:id="163"/>
      <w:r>
        <w:rPr>
          <w:rFonts w:asciiTheme="majorBidi" w:eastAsia="Aptos" w:hAnsiTheme="majorBidi" w:cstheme="majorBidi"/>
          <w:sz w:val="24"/>
          <w:szCs w:val="24"/>
          <w:lang w:val="fr-SN"/>
        </w:rPr>
        <w:t>nous avons</w:t>
      </w:r>
      <w:r w:rsidRPr="00E75A67">
        <w:rPr>
          <w:rFonts w:asciiTheme="majorBidi" w:eastAsia="Aptos" w:hAnsiTheme="majorBidi" w:cstheme="majorBidi"/>
          <w:sz w:val="24"/>
          <w:szCs w:val="24"/>
          <w:lang w:val="fr-SN"/>
        </w:rPr>
        <w:t xml:space="preserve"> regroup</w:t>
      </w:r>
      <w:r>
        <w:rPr>
          <w:rFonts w:asciiTheme="majorBidi" w:eastAsia="Aptos" w:hAnsiTheme="majorBidi" w:cstheme="majorBidi"/>
          <w:sz w:val="24"/>
          <w:szCs w:val="24"/>
          <w:lang w:val="fr-SN"/>
        </w:rPr>
        <w:t>é les signalements obtenus en</w:t>
      </w:r>
      <w:r w:rsidRPr="00E75A67">
        <w:rPr>
          <w:rFonts w:asciiTheme="majorBidi" w:eastAsia="Aptos" w:hAnsiTheme="majorBidi" w:cstheme="majorBidi"/>
          <w:sz w:val="24"/>
          <w:szCs w:val="24"/>
          <w:lang w:val="fr-SN"/>
        </w:rPr>
        <w:t xml:space="preserve"> catégories conceptuelles (ancrage local, prescriptions curriculaires, ajustements pédagogiques, etc</w:t>
      </w:r>
      <w:r>
        <w:rPr>
          <w:rFonts w:asciiTheme="majorBidi" w:eastAsia="Aptos" w:hAnsiTheme="majorBidi" w:cstheme="majorBidi"/>
          <w:sz w:val="24"/>
          <w:szCs w:val="24"/>
          <w:lang w:val="fr-SN"/>
        </w:rPr>
        <w:t>.</w:t>
      </w:r>
      <w:r w:rsidRPr="00E75A67">
        <w:rPr>
          <w:rFonts w:asciiTheme="majorBidi" w:eastAsia="Aptos" w:hAnsiTheme="majorBidi" w:cstheme="majorBidi"/>
          <w:sz w:val="24"/>
          <w:szCs w:val="24"/>
          <w:lang w:val="fr-SN"/>
        </w:rPr>
        <w:t>)</w:t>
      </w:r>
      <w:r>
        <w:rPr>
          <w:rFonts w:asciiTheme="majorBidi" w:eastAsia="Aptos" w:hAnsiTheme="majorBidi" w:cstheme="majorBidi"/>
          <w:sz w:val="24"/>
          <w:szCs w:val="24"/>
          <w:lang w:val="fr-SN"/>
        </w:rPr>
        <w:t xml:space="preserve"> que nous avons ensuite croisées avec l’analyse thématique des entretiens semi-directifs. </w:t>
      </w:r>
    </w:p>
    <w:p w14:paraId="405B387E"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De façon parallèle à l’exploration documentaire, nous avons sollicité huit (8) enseignants de SVT (4 hommes, 4 femmes) durant une (1) semaine, par le biais d’un canevas ouvert d’entretiens semi-directifs, à contribuer, volontairement à cette recherche. Ils ont formulé des éléments de réponse argumentés à </w:t>
      </w:r>
      <w:r w:rsidRPr="004F3213">
        <w:rPr>
          <w:rFonts w:asciiTheme="majorBidi" w:eastAsia="Aptos" w:hAnsiTheme="majorBidi" w:cstheme="majorBidi"/>
          <w:sz w:val="24"/>
          <w:szCs w:val="24"/>
          <w:lang w:val="fr-SN"/>
        </w:rPr>
        <w:t xml:space="preserve">un formulaire individualisé du programme Google </w:t>
      </w:r>
      <w:proofErr w:type="spellStart"/>
      <w:r w:rsidRPr="004F3213">
        <w:rPr>
          <w:rFonts w:asciiTheme="majorBidi" w:eastAsia="Aptos" w:hAnsiTheme="majorBidi" w:cstheme="majorBidi"/>
          <w:sz w:val="24"/>
          <w:szCs w:val="24"/>
          <w:lang w:val="fr-SN"/>
        </w:rPr>
        <w:t>form</w:t>
      </w:r>
      <w:proofErr w:type="spellEnd"/>
      <w:r>
        <w:rPr>
          <w:rFonts w:asciiTheme="majorBidi" w:eastAsia="Aptos" w:hAnsiTheme="majorBidi" w:cstheme="majorBidi"/>
          <w:sz w:val="24"/>
          <w:szCs w:val="24"/>
          <w:lang w:val="fr-SN"/>
        </w:rPr>
        <w:t>, dont ils ont reçu le lien par voie numérique. Le canevas comportait une question principale et des questions de relance.</w:t>
      </w:r>
    </w:p>
    <w:tbl>
      <w:tblPr>
        <w:tblStyle w:val="TableGrid01"/>
        <w:tblW w:w="9209" w:type="dxa"/>
        <w:jc w:val="center"/>
        <w:tblLook w:val="04A0" w:firstRow="1" w:lastRow="0" w:firstColumn="1" w:lastColumn="0" w:noHBand="0" w:noVBand="1"/>
      </w:tblPr>
      <w:tblGrid>
        <w:gridCol w:w="2122"/>
        <w:gridCol w:w="7087"/>
      </w:tblGrid>
      <w:tr w:rsidR="00D80693" w14:paraId="6015CD16" w14:textId="77777777" w:rsidTr="00D72320">
        <w:trPr>
          <w:jc w:val="center"/>
        </w:trPr>
        <w:tc>
          <w:tcPr>
            <w:tcW w:w="2122" w:type="dxa"/>
          </w:tcPr>
          <w:p w14:paraId="0692FE69" w14:textId="77777777" w:rsidR="00D80693" w:rsidRPr="00F079A8" w:rsidRDefault="00D80693" w:rsidP="00D92213">
            <w:pPr>
              <w:spacing w:before="120"/>
              <w:jc w:val="center"/>
              <w:rPr>
                <w:b/>
                <w:bCs/>
                <w:sz w:val="24"/>
                <w:szCs w:val="24"/>
              </w:rPr>
            </w:pPr>
            <w:r w:rsidRPr="00F079A8">
              <w:rPr>
                <w:rFonts w:asciiTheme="majorBidi" w:hAnsiTheme="majorBidi" w:cstheme="majorBidi"/>
                <w:b/>
                <w:bCs/>
                <w:sz w:val="24"/>
                <w:szCs w:val="24"/>
              </w:rPr>
              <w:t>Question principale</w:t>
            </w:r>
          </w:p>
        </w:tc>
        <w:tc>
          <w:tcPr>
            <w:tcW w:w="7087" w:type="dxa"/>
          </w:tcPr>
          <w:p w14:paraId="5036C44E" w14:textId="77777777" w:rsidR="00D80693" w:rsidRPr="00F079A8" w:rsidRDefault="00D80693" w:rsidP="00D92213">
            <w:pPr>
              <w:spacing w:before="120"/>
              <w:jc w:val="center"/>
              <w:rPr>
                <w:b/>
                <w:bCs/>
                <w:sz w:val="24"/>
                <w:szCs w:val="24"/>
              </w:rPr>
            </w:pPr>
            <w:r w:rsidRPr="00F079A8">
              <w:rPr>
                <w:rFonts w:asciiTheme="majorBidi" w:hAnsiTheme="majorBidi" w:cstheme="majorBidi"/>
                <w:b/>
                <w:bCs/>
                <w:sz w:val="24"/>
                <w:szCs w:val="24"/>
              </w:rPr>
              <w:t>Questions de relance</w:t>
            </w:r>
          </w:p>
        </w:tc>
      </w:tr>
      <w:tr w:rsidR="00D80693" w14:paraId="0EF98961" w14:textId="77777777" w:rsidTr="00D72320">
        <w:trPr>
          <w:jc w:val="center"/>
        </w:trPr>
        <w:tc>
          <w:tcPr>
            <w:tcW w:w="2122" w:type="dxa"/>
          </w:tcPr>
          <w:p w14:paraId="3F699C49" w14:textId="77777777" w:rsidR="00D80693" w:rsidRDefault="00D80693" w:rsidP="00D92213">
            <w:pPr>
              <w:spacing w:before="120"/>
              <w:jc w:val="both"/>
              <w:rPr>
                <w:sz w:val="24"/>
                <w:szCs w:val="24"/>
              </w:rPr>
            </w:pPr>
            <w:r>
              <w:rPr>
                <w:rFonts w:asciiTheme="majorBidi" w:hAnsiTheme="majorBidi" w:cstheme="majorBidi"/>
                <w:sz w:val="24"/>
                <w:szCs w:val="24"/>
              </w:rPr>
              <w:t xml:space="preserve">De quoi s’agit-il quand on évoque la contextualisation en SVT ? </w:t>
            </w:r>
          </w:p>
        </w:tc>
        <w:tc>
          <w:tcPr>
            <w:tcW w:w="7087" w:type="dxa"/>
          </w:tcPr>
          <w:p w14:paraId="519D6772" w14:textId="77777777" w:rsidR="00D80693" w:rsidRPr="00F079A8" w:rsidRDefault="00D80693" w:rsidP="00D92213">
            <w:pPr>
              <w:pStyle w:val="Paragraphedeliste"/>
              <w:numPr>
                <w:ilvl w:val="0"/>
                <w:numId w:val="169"/>
              </w:numPr>
              <w:ind w:left="265" w:hanging="310"/>
              <w:contextualSpacing/>
              <w:jc w:val="left"/>
              <w:rPr>
                <w:sz w:val="24"/>
                <w:szCs w:val="24"/>
              </w:rPr>
            </w:pPr>
            <w:r w:rsidRPr="00F079A8">
              <w:rPr>
                <w:rFonts w:asciiTheme="majorBidi" w:hAnsiTheme="majorBidi" w:cstheme="majorBidi"/>
                <w:sz w:val="24"/>
                <w:szCs w:val="24"/>
              </w:rPr>
              <w:t xml:space="preserve">A quoi assimilez-vous à la contextualisation ? </w:t>
            </w:r>
          </w:p>
          <w:p w14:paraId="1E9672D5" w14:textId="77777777" w:rsidR="00D80693" w:rsidRPr="00F079A8" w:rsidRDefault="00D80693" w:rsidP="00D92213">
            <w:pPr>
              <w:pStyle w:val="Paragraphedeliste"/>
              <w:numPr>
                <w:ilvl w:val="0"/>
                <w:numId w:val="169"/>
              </w:numPr>
              <w:ind w:left="265" w:hanging="310"/>
              <w:contextualSpacing/>
              <w:jc w:val="left"/>
              <w:rPr>
                <w:sz w:val="24"/>
                <w:szCs w:val="24"/>
              </w:rPr>
            </w:pPr>
            <w:r w:rsidRPr="00F079A8">
              <w:rPr>
                <w:rFonts w:asciiTheme="majorBidi" w:hAnsiTheme="majorBidi" w:cstheme="majorBidi"/>
                <w:sz w:val="24"/>
                <w:szCs w:val="24"/>
              </w:rPr>
              <w:t xml:space="preserve">Comment traduisez-vous la contextualisation dans vos pratiques pédagogiques ? </w:t>
            </w:r>
          </w:p>
          <w:p w14:paraId="0CC016DF" w14:textId="77777777" w:rsidR="00D80693" w:rsidRPr="00F079A8" w:rsidRDefault="00D80693" w:rsidP="00D92213">
            <w:pPr>
              <w:pStyle w:val="Paragraphedeliste"/>
              <w:numPr>
                <w:ilvl w:val="0"/>
                <w:numId w:val="169"/>
              </w:numPr>
              <w:ind w:left="265" w:hanging="310"/>
              <w:contextualSpacing/>
              <w:jc w:val="left"/>
              <w:rPr>
                <w:sz w:val="24"/>
                <w:szCs w:val="24"/>
              </w:rPr>
            </w:pPr>
            <w:r w:rsidRPr="00F079A8">
              <w:rPr>
                <w:rFonts w:asciiTheme="majorBidi" w:hAnsiTheme="majorBidi" w:cstheme="majorBidi"/>
                <w:sz w:val="24"/>
                <w:szCs w:val="24"/>
              </w:rPr>
              <w:t xml:space="preserve">Quels obstacles rencontrez-vous dans cette mise en œuvre ? </w:t>
            </w:r>
          </w:p>
          <w:p w14:paraId="403A130C" w14:textId="77777777" w:rsidR="00D80693" w:rsidRDefault="00D80693" w:rsidP="00D92213">
            <w:pPr>
              <w:pStyle w:val="Paragraphedeliste"/>
              <w:numPr>
                <w:ilvl w:val="0"/>
                <w:numId w:val="169"/>
              </w:numPr>
              <w:ind w:left="265" w:hanging="310"/>
              <w:contextualSpacing/>
              <w:jc w:val="left"/>
              <w:rPr>
                <w:sz w:val="24"/>
                <w:szCs w:val="24"/>
              </w:rPr>
            </w:pPr>
            <w:r>
              <w:rPr>
                <w:rFonts w:asciiTheme="majorBidi" w:hAnsiTheme="majorBidi" w:cstheme="majorBidi"/>
                <w:sz w:val="24"/>
                <w:szCs w:val="24"/>
              </w:rPr>
              <w:t xml:space="preserve">Quelles améliorations suggérez-vous ? </w:t>
            </w:r>
          </w:p>
        </w:tc>
      </w:tr>
    </w:tbl>
    <w:p w14:paraId="161815CC"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Nous avons adopté le principe de </w:t>
      </w:r>
      <w:bookmarkStart w:id="164" w:name="_Hlk215005060"/>
      <w:r>
        <w:rPr>
          <w:rFonts w:asciiTheme="majorBidi" w:eastAsia="Aptos" w:hAnsiTheme="majorBidi" w:cstheme="majorBidi"/>
          <w:sz w:val="24"/>
          <w:szCs w:val="24"/>
          <w:lang w:val="fr-SN"/>
        </w:rPr>
        <w:t>Paton (</w:t>
      </w:r>
      <w:r w:rsidRPr="00E75A67">
        <w:rPr>
          <w:rFonts w:asciiTheme="majorBidi" w:eastAsia="Aptos" w:hAnsiTheme="majorBidi" w:cstheme="majorBidi"/>
          <w:sz w:val="24"/>
          <w:szCs w:val="24"/>
          <w:lang w:val="fr-SN"/>
        </w:rPr>
        <w:t>1990)</w:t>
      </w:r>
      <w:r>
        <w:rPr>
          <w:rFonts w:asciiTheme="majorBidi" w:eastAsia="Aptos" w:hAnsiTheme="majorBidi" w:cstheme="majorBidi"/>
          <w:sz w:val="24"/>
          <w:szCs w:val="24"/>
          <w:lang w:val="fr-SN"/>
        </w:rPr>
        <w:t xml:space="preserve">, </w:t>
      </w:r>
      <w:bookmarkEnd w:id="164"/>
      <w:r>
        <w:rPr>
          <w:rFonts w:asciiTheme="majorBidi" w:eastAsia="Aptos" w:hAnsiTheme="majorBidi" w:cstheme="majorBidi"/>
          <w:sz w:val="24"/>
          <w:szCs w:val="24"/>
          <w:lang w:val="fr-SN"/>
        </w:rPr>
        <w:t xml:space="preserve">pour la triangulation des données, </w:t>
      </w:r>
      <w:r w:rsidRPr="00E75A67">
        <w:rPr>
          <w:rFonts w:asciiTheme="majorBidi" w:eastAsia="Aptos" w:hAnsiTheme="majorBidi" w:cstheme="majorBidi"/>
          <w:sz w:val="24"/>
          <w:szCs w:val="24"/>
          <w:lang w:val="fr-SN"/>
        </w:rPr>
        <w:t xml:space="preserve">en croisant </w:t>
      </w:r>
      <w:r>
        <w:rPr>
          <w:rFonts w:asciiTheme="majorBidi" w:eastAsia="Aptos" w:hAnsiTheme="majorBidi" w:cstheme="majorBidi"/>
          <w:sz w:val="24"/>
          <w:szCs w:val="24"/>
          <w:lang w:val="fr-SN"/>
        </w:rPr>
        <w:t>celles</w:t>
      </w:r>
      <w:r w:rsidRPr="00E75A67">
        <w:rPr>
          <w:rFonts w:asciiTheme="majorBidi" w:eastAsia="Aptos" w:hAnsiTheme="majorBidi" w:cstheme="majorBidi"/>
          <w:sz w:val="24"/>
          <w:szCs w:val="24"/>
          <w:lang w:val="fr-SN"/>
        </w:rPr>
        <w:t xml:space="preserve"> issues</w:t>
      </w:r>
      <w:r>
        <w:rPr>
          <w:rFonts w:asciiTheme="majorBidi" w:eastAsia="Aptos" w:hAnsiTheme="majorBidi" w:cstheme="majorBidi"/>
          <w:sz w:val="24"/>
          <w:szCs w:val="24"/>
          <w:lang w:val="fr-SN"/>
        </w:rPr>
        <w:t xml:space="preserve"> d</w:t>
      </w:r>
      <w:r w:rsidRPr="00E75A67">
        <w:rPr>
          <w:rFonts w:asciiTheme="majorBidi" w:eastAsia="Aptos" w:hAnsiTheme="majorBidi" w:cstheme="majorBidi"/>
          <w:sz w:val="24"/>
          <w:szCs w:val="24"/>
          <w:lang w:val="fr-SN"/>
        </w:rPr>
        <w:t xml:space="preserve">es textes réglementaires </w:t>
      </w:r>
      <w:r>
        <w:rPr>
          <w:rFonts w:asciiTheme="majorBidi" w:eastAsia="Aptos" w:hAnsiTheme="majorBidi" w:cstheme="majorBidi"/>
          <w:sz w:val="24"/>
          <w:szCs w:val="24"/>
          <w:lang w:val="fr-SN"/>
        </w:rPr>
        <w:t xml:space="preserve">et celles issues </w:t>
      </w:r>
      <w:r w:rsidRPr="00E75A67">
        <w:rPr>
          <w:rFonts w:asciiTheme="majorBidi" w:eastAsia="Aptos" w:hAnsiTheme="majorBidi" w:cstheme="majorBidi"/>
          <w:sz w:val="24"/>
          <w:szCs w:val="24"/>
          <w:lang w:val="fr-SN"/>
        </w:rPr>
        <w:t>des entretiens semi-directifs</w:t>
      </w:r>
      <w:r>
        <w:rPr>
          <w:rFonts w:asciiTheme="majorBidi" w:eastAsia="Aptos" w:hAnsiTheme="majorBidi" w:cstheme="majorBidi"/>
          <w:sz w:val="24"/>
          <w:szCs w:val="24"/>
          <w:lang w:val="fr-SN"/>
        </w:rPr>
        <w:t xml:space="preserve">. Elle </w:t>
      </w:r>
      <w:r w:rsidRPr="00E75A67">
        <w:rPr>
          <w:rFonts w:asciiTheme="majorBidi" w:eastAsia="Aptos" w:hAnsiTheme="majorBidi" w:cstheme="majorBidi"/>
          <w:sz w:val="24"/>
          <w:szCs w:val="24"/>
          <w:lang w:val="fr-SN"/>
        </w:rPr>
        <w:t>visait à renforcer la validité des résultats en confrontant les discours officiels</w:t>
      </w:r>
      <w:r>
        <w:rPr>
          <w:rFonts w:asciiTheme="majorBidi" w:eastAsia="Aptos" w:hAnsiTheme="majorBidi" w:cstheme="majorBidi"/>
          <w:sz w:val="24"/>
          <w:szCs w:val="24"/>
          <w:lang w:val="fr-SN"/>
        </w:rPr>
        <w:t xml:space="preserve"> et </w:t>
      </w:r>
      <w:r w:rsidRPr="00E75A67">
        <w:rPr>
          <w:rFonts w:asciiTheme="majorBidi" w:eastAsia="Aptos" w:hAnsiTheme="majorBidi" w:cstheme="majorBidi"/>
          <w:sz w:val="24"/>
          <w:szCs w:val="24"/>
          <w:lang w:val="fr-SN"/>
        </w:rPr>
        <w:t xml:space="preserve">les représentations des </w:t>
      </w:r>
      <w:r>
        <w:rPr>
          <w:rFonts w:asciiTheme="majorBidi" w:eastAsia="Aptos" w:hAnsiTheme="majorBidi" w:cstheme="majorBidi"/>
          <w:sz w:val="24"/>
          <w:szCs w:val="24"/>
          <w:lang w:val="fr-SN"/>
        </w:rPr>
        <w:t xml:space="preserve">praticiens. </w:t>
      </w:r>
    </w:p>
    <w:p w14:paraId="3508F87E" w14:textId="0D3F9D78" w:rsidR="00D92213" w:rsidRDefault="00D80693" w:rsidP="00D92213">
      <w:pPr>
        <w:spacing w:before="120"/>
        <w:jc w:val="both"/>
        <w:rPr>
          <w:rFonts w:asciiTheme="majorBidi" w:eastAsia="Aptos" w:hAnsiTheme="majorBidi" w:cstheme="majorBidi"/>
          <w:sz w:val="24"/>
          <w:szCs w:val="24"/>
          <w:lang w:val="fr-SN"/>
        </w:rPr>
      </w:pPr>
      <w:r w:rsidRPr="00E75A67">
        <w:rPr>
          <w:rFonts w:asciiTheme="majorBidi" w:eastAsia="Aptos" w:hAnsiTheme="majorBidi" w:cstheme="majorBidi"/>
          <w:sz w:val="24"/>
          <w:szCs w:val="24"/>
          <w:lang w:val="fr-SN"/>
        </w:rPr>
        <w:t>La méthodologie présentée précédemment a permis de structurer rigoureusement l’ensemble du processus de recherche, depuis la définition des instruments de collecte de données jusqu’à leur organisation et leur traitement. En mobilisant une approche qualitative ancrée dans l’analyse documentaire</w:t>
      </w:r>
      <w:r>
        <w:rPr>
          <w:rFonts w:asciiTheme="majorBidi" w:eastAsia="Aptos" w:hAnsiTheme="majorBidi" w:cstheme="majorBidi"/>
          <w:sz w:val="24"/>
          <w:szCs w:val="24"/>
          <w:lang w:val="fr-SN"/>
        </w:rPr>
        <w:t xml:space="preserve"> et </w:t>
      </w:r>
      <w:r w:rsidRPr="00E75A67">
        <w:rPr>
          <w:rFonts w:asciiTheme="majorBidi" w:eastAsia="Aptos" w:hAnsiTheme="majorBidi" w:cstheme="majorBidi"/>
          <w:sz w:val="24"/>
          <w:szCs w:val="24"/>
          <w:lang w:val="fr-SN"/>
        </w:rPr>
        <w:t>les entretiens semi-directifs, cette recherche s’est inscrite dans une logique de triangulation méthodologique visant à renforcer la fiabilité et la validité des informations recueillies. Les outils méthodologiques choisis ont été conçus en cohérence avec les objectifs de l’étude, à savoir : explorer la manière dont la contextualisation est pensée, traduite et mise en œuvre dans les textes réglementaires du système éducatif gabonais, mais aussi observer comment cette contextualisation se matérialise ou non dans les pratiques pédagogiques réelles</w:t>
      </w:r>
      <w:r>
        <w:rPr>
          <w:rFonts w:asciiTheme="majorBidi" w:eastAsia="Aptos" w:hAnsiTheme="majorBidi" w:cstheme="majorBidi"/>
          <w:sz w:val="24"/>
          <w:szCs w:val="24"/>
          <w:lang w:val="fr-SN"/>
        </w:rPr>
        <w:t xml:space="preserve"> déclarées</w:t>
      </w:r>
      <w:r w:rsidRPr="00E75A67">
        <w:rPr>
          <w:rFonts w:asciiTheme="majorBidi" w:eastAsia="Aptos" w:hAnsiTheme="majorBidi" w:cstheme="majorBidi"/>
          <w:sz w:val="24"/>
          <w:szCs w:val="24"/>
          <w:lang w:val="fr-SN"/>
        </w:rPr>
        <w:t>. Le recours à des grilles d’analyse documentaire</w:t>
      </w:r>
      <w:r>
        <w:rPr>
          <w:rFonts w:asciiTheme="majorBidi" w:eastAsia="Aptos" w:hAnsiTheme="majorBidi" w:cstheme="majorBidi"/>
          <w:sz w:val="24"/>
          <w:szCs w:val="24"/>
          <w:lang w:val="fr-SN"/>
        </w:rPr>
        <w:t xml:space="preserve"> et </w:t>
      </w:r>
      <w:r w:rsidRPr="00E75A67">
        <w:rPr>
          <w:rFonts w:asciiTheme="majorBidi" w:eastAsia="Aptos" w:hAnsiTheme="majorBidi" w:cstheme="majorBidi"/>
          <w:sz w:val="24"/>
          <w:szCs w:val="24"/>
          <w:lang w:val="fr-SN"/>
        </w:rPr>
        <w:t>guides d’entretien a permis de recueillir des données riches et diversifiées. La phase suivante du travail consiste à présenter les résultats obtenus à partir de cette démarche. Ces résultats seront exposés de manière structurée, en fonction des différentes sources de données mobilisées. Ils feront émerger les principaux constats issus du terrain et des documents institutionnels, avant d’être discutés et confrontés au cadre théorique dans la partie suivante. Cette présentation des résultats constitue ainsi un moment charnière, où les données empiriques prennent tout leur sens au regard de la problématique posée.</w:t>
      </w:r>
    </w:p>
    <w:p w14:paraId="5C88C687" w14:textId="77777777" w:rsidR="00D92213" w:rsidRDefault="00D92213">
      <w:pPr>
        <w:rPr>
          <w:rFonts w:asciiTheme="majorBidi" w:eastAsia="Aptos" w:hAnsiTheme="majorBidi" w:cstheme="majorBidi"/>
          <w:sz w:val="24"/>
          <w:szCs w:val="24"/>
          <w:lang w:val="fr-SN"/>
        </w:rPr>
      </w:pPr>
      <w:r>
        <w:rPr>
          <w:rFonts w:asciiTheme="majorBidi" w:eastAsia="Aptos" w:hAnsiTheme="majorBidi" w:cstheme="majorBidi"/>
          <w:sz w:val="24"/>
          <w:szCs w:val="24"/>
          <w:lang w:val="fr-SN"/>
        </w:rPr>
        <w:br w:type="page"/>
      </w:r>
    </w:p>
    <w:p w14:paraId="3431DB42" w14:textId="77777777" w:rsidR="00D80693" w:rsidRPr="0087275A" w:rsidRDefault="00D80693" w:rsidP="00D92213">
      <w:pPr>
        <w:pStyle w:val="Paragraphedeliste"/>
        <w:widowControl/>
        <w:numPr>
          <w:ilvl w:val="0"/>
          <w:numId w:val="170"/>
        </w:numPr>
        <w:autoSpaceDE/>
        <w:autoSpaceDN/>
        <w:spacing w:after="160"/>
        <w:contextualSpacing/>
        <w:jc w:val="left"/>
        <w:rPr>
          <w:rFonts w:eastAsia="Aptos"/>
          <w:b/>
          <w:bCs/>
          <w:sz w:val="28"/>
          <w:szCs w:val="28"/>
          <w:lang w:val="fr-SN"/>
        </w:rPr>
      </w:pPr>
      <w:r w:rsidRPr="0087275A">
        <w:rPr>
          <w:rFonts w:asciiTheme="majorBidi" w:eastAsia="Aptos" w:hAnsiTheme="majorBidi" w:cstheme="majorBidi"/>
          <w:b/>
          <w:bCs/>
          <w:sz w:val="28"/>
          <w:szCs w:val="28"/>
          <w:lang w:val="fr-SN"/>
        </w:rPr>
        <w:t>Résultats</w:t>
      </w:r>
    </w:p>
    <w:p w14:paraId="77B53283"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Nous présentons les résultats issus de l’exploration documentaire des États généraux, de la </w:t>
      </w:r>
      <w:r w:rsidRPr="00B77B67">
        <w:rPr>
          <w:rFonts w:asciiTheme="majorBidi" w:eastAsia="Aptos" w:hAnsiTheme="majorBidi" w:cstheme="majorBidi"/>
          <w:sz w:val="24"/>
          <w:szCs w:val="24"/>
          <w:lang w:val="fr-SN"/>
        </w:rPr>
        <w:t>loi 21/2011</w:t>
      </w:r>
      <w:r>
        <w:rPr>
          <w:rFonts w:asciiTheme="majorBidi" w:eastAsia="Aptos" w:hAnsiTheme="majorBidi" w:cstheme="majorBidi"/>
          <w:sz w:val="24"/>
          <w:szCs w:val="24"/>
          <w:lang w:val="fr-SN"/>
        </w:rPr>
        <w:t xml:space="preserve">, des progressions du Collège et du Lycée et des entretiens semi-directifs. </w:t>
      </w:r>
    </w:p>
    <w:p w14:paraId="7D5FCCFD" w14:textId="77777777" w:rsidR="00D80693" w:rsidRPr="004A5643" w:rsidRDefault="00D80693" w:rsidP="00D92213">
      <w:pPr>
        <w:spacing w:before="120"/>
        <w:jc w:val="both"/>
        <w:rPr>
          <w:rFonts w:eastAsia="Aptos"/>
          <w:b/>
          <w:bCs/>
          <w:i/>
          <w:iCs/>
          <w:sz w:val="24"/>
          <w:szCs w:val="24"/>
          <w:lang w:val="fr-SN"/>
        </w:rPr>
      </w:pPr>
      <w:r w:rsidRPr="004A5643">
        <w:rPr>
          <w:rFonts w:asciiTheme="majorBidi" w:eastAsia="Aptos" w:hAnsiTheme="majorBidi" w:cstheme="majorBidi"/>
          <w:b/>
          <w:bCs/>
          <w:i/>
          <w:iCs/>
          <w:sz w:val="24"/>
          <w:szCs w:val="24"/>
          <w:lang w:val="fr-SN"/>
        </w:rPr>
        <w:t>4.1 Résultats issus de l’exploration documentaire</w:t>
      </w:r>
    </w:p>
    <w:p w14:paraId="5F47FA6C" w14:textId="77777777" w:rsidR="00D80693" w:rsidRDefault="00D80693" w:rsidP="00D92213">
      <w:pPr>
        <w:spacing w:before="120"/>
        <w:jc w:val="center"/>
        <w:rPr>
          <w:rFonts w:eastAsia="Aptos"/>
          <w:b/>
          <w:bCs/>
          <w:i/>
          <w:iCs/>
          <w:sz w:val="24"/>
          <w:szCs w:val="24"/>
          <w:lang w:val="fr-SN"/>
        </w:rPr>
      </w:pPr>
      <w:r>
        <w:rPr>
          <w:rFonts w:asciiTheme="majorBidi" w:eastAsia="Aptos" w:hAnsiTheme="majorBidi" w:cstheme="majorBidi"/>
          <w:b/>
          <w:bCs/>
          <w:i/>
          <w:iCs/>
          <w:sz w:val="24"/>
          <w:szCs w:val="24"/>
          <w:lang w:val="fr-SN"/>
        </w:rPr>
        <w:t>Tableau 1 : La contextualisation dans les États généraux</w:t>
      </w:r>
    </w:p>
    <w:tbl>
      <w:tblPr>
        <w:tblStyle w:val="Grilledutableau1"/>
        <w:tblW w:w="9285" w:type="dxa"/>
        <w:tblLook w:val="04A0" w:firstRow="1" w:lastRow="0" w:firstColumn="1" w:lastColumn="0" w:noHBand="0" w:noVBand="1"/>
      </w:tblPr>
      <w:tblGrid>
        <w:gridCol w:w="1517"/>
        <w:gridCol w:w="1737"/>
        <w:gridCol w:w="1818"/>
        <w:gridCol w:w="1869"/>
        <w:gridCol w:w="2344"/>
      </w:tblGrid>
      <w:tr w:rsidR="00D80693" w:rsidRPr="00D92213" w14:paraId="0FA55BE4" w14:textId="77777777" w:rsidTr="00064B54">
        <w:trPr>
          <w:trHeight w:val="490"/>
        </w:trPr>
        <w:tc>
          <w:tcPr>
            <w:tcW w:w="1517" w:type="dxa"/>
          </w:tcPr>
          <w:p w14:paraId="675EEC74" w14:textId="77777777" w:rsidR="00D80693" w:rsidRPr="00D92213" w:rsidRDefault="00D80693" w:rsidP="00D92213">
            <w:pPr>
              <w:spacing w:before="120"/>
              <w:jc w:val="center"/>
              <w:rPr>
                <w:b/>
                <w:bCs/>
                <w:sz w:val="21"/>
                <w:szCs w:val="21"/>
              </w:rPr>
            </w:pPr>
            <w:r w:rsidRPr="00D92213">
              <w:rPr>
                <w:rFonts w:asciiTheme="majorBidi" w:hAnsiTheme="majorBidi" w:cstheme="majorBidi"/>
                <w:b/>
                <w:bCs/>
                <w:sz w:val="21"/>
                <w:szCs w:val="21"/>
              </w:rPr>
              <w:t>États généraux de l’éducation</w:t>
            </w:r>
          </w:p>
        </w:tc>
        <w:tc>
          <w:tcPr>
            <w:tcW w:w="1737" w:type="dxa"/>
          </w:tcPr>
          <w:p w14:paraId="3FA21B92" w14:textId="77777777" w:rsidR="00D80693" w:rsidRPr="00D92213" w:rsidRDefault="00D80693" w:rsidP="00D92213">
            <w:pPr>
              <w:spacing w:before="120"/>
              <w:jc w:val="center"/>
              <w:rPr>
                <w:b/>
                <w:bCs/>
                <w:sz w:val="21"/>
                <w:szCs w:val="21"/>
              </w:rPr>
            </w:pPr>
            <w:r w:rsidRPr="00D92213">
              <w:rPr>
                <w:rFonts w:asciiTheme="majorBidi" w:hAnsiTheme="majorBidi" w:cstheme="majorBidi"/>
                <w:b/>
                <w:bCs/>
                <w:sz w:val="21"/>
                <w:szCs w:val="21"/>
              </w:rPr>
              <w:t>Mots clés</w:t>
            </w:r>
          </w:p>
        </w:tc>
        <w:tc>
          <w:tcPr>
            <w:tcW w:w="1818" w:type="dxa"/>
          </w:tcPr>
          <w:p w14:paraId="49088C6D" w14:textId="77777777" w:rsidR="00D80693" w:rsidRPr="00D92213" w:rsidRDefault="00D80693" w:rsidP="00D92213">
            <w:pPr>
              <w:spacing w:before="120"/>
              <w:jc w:val="center"/>
              <w:rPr>
                <w:b/>
                <w:bCs/>
                <w:sz w:val="21"/>
                <w:szCs w:val="21"/>
              </w:rPr>
            </w:pPr>
            <w:r w:rsidRPr="00D92213">
              <w:rPr>
                <w:rFonts w:asciiTheme="majorBidi" w:hAnsiTheme="majorBidi" w:cstheme="majorBidi"/>
                <w:b/>
                <w:bCs/>
                <w:sz w:val="21"/>
                <w:szCs w:val="21"/>
              </w:rPr>
              <w:t>Orientation donnée à la contextualisation</w:t>
            </w:r>
          </w:p>
        </w:tc>
        <w:tc>
          <w:tcPr>
            <w:tcW w:w="1869" w:type="dxa"/>
          </w:tcPr>
          <w:p w14:paraId="68000A03" w14:textId="77777777" w:rsidR="00D80693" w:rsidRPr="00D92213" w:rsidRDefault="00D80693" w:rsidP="00D92213">
            <w:pPr>
              <w:spacing w:before="120"/>
              <w:jc w:val="center"/>
              <w:rPr>
                <w:b/>
                <w:bCs/>
                <w:sz w:val="21"/>
                <w:szCs w:val="21"/>
              </w:rPr>
            </w:pPr>
            <w:r w:rsidRPr="00D92213">
              <w:rPr>
                <w:rFonts w:asciiTheme="majorBidi" w:hAnsiTheme="majorBidi" w:cstheme="majorBidi"/>
                <w:b/>
                <w:bCs/>
                <w:sz w:val="21"/>
                <w:szCs w:val="21"/>
              </w:rPr>
              <w:t>Difficultés</w:t>
            </w:r>
          </w:p>
        </w:tc>
        <w:tc>
          <w:tcPr>
            <w:tcW w:w="2344" w:type="dxa"/>
          </w:tcPr>
          <w:p w14:paraId="648CFBD1" w14:textId="77777777" w:rsidR="00D80693" w:rsidRPr="00D92213" w:rsidRDefault="00D80693" w:rsidP="00D92213">
            <w:pPr>
              <w:spacing w:before="120"/>
              <w:jc w:val="center"/>
              <w:rPr>
                <w:b/>
                <w:bCs/>
                <w:sz w:val="21"/>
                <w:szCs w:val="21"/>
              </w:rPr>
            </w:pPr>
            <w:r w:rsidRPr="00D92213">
              <w:rPr>
                <w:rFonts w:asciiTheme="majorBidi" w:hAnsiTheme="majorBidi" w:cstheme="majorBidi"/>
                <w:b/>
                <w:bCs/>
                <w:sz w:val="21"/>
                <w:szCs w:val="21"/>
              </w:rPr>
              <w:t xml:space="preserve">Stratégies </w:t>
            </w:r>
            <w:proofErr w:type="spellStart"/>
            <w:r w:rsidRPr="00D92213">
              <w:rPr>
                <w:rFonts w:asciiTheme="majorBidi" w:hAnsiTheme="majorBidi" w:cstheme="majorBidi"/>
                <w:b/>
                <w:bCs/>
                <w:sz w:val="21"/>
                <w:szCs w:val="21"/>
              </w:rPr>
              <w:t>innovates</w:t>
            </w:r>
            <w:proofErr w:type="spellEnd"/>
            <w:r w:rsidRPr="00D92213">
              <w:rPr>
                <w:rFonts w:asciiTheme="majorBidi" w:hAnsiTheme="majorBidi" w:cstheme="majorBidi"/>
                <w:b/>
                <w:bCs/>
                <w:sz w:val="21"/>
                <w:szCs w:val="21"/>
              </w:rPr>
              <w:t xml:space="preserve"> suggérées</w:t>
            </w:r>
          </w:p>
        </w:tc>
      </w:tr>
      <w:tr w:rsidR="00D80693" w:rsidRPr="00D92213" w14:paraId="1AC367C8" w14:textId="77777777" w:rsidTr="00064B54">
        <w:trPr>
          <w:trHeight w:val="1054"/>
        </w:trPr>
        <w:tc>
          <w:tcPr>
            <w:tcW w:w="1517" w:type="dxa"/>
          </w:tcPr>
          <w:p w14:paraId="55C300EF" w14:textId="77777777" w:rsidR="00D80693" w:rsidRPr="00D92213" w:rsidRDefault="00D80693" w:rsidP="00D92213">
            <w:pPr>
              <w:spacing w:before="120"/>
              <w:rPr>
                <w:sz w:val="21"/>
                <w:szCs w:val="21"/>
              </w:rPr>
            </w:pPr>
            <w:r w:rsidRPr="00D92213">
              <w:rPr>
                <w:rFonts w:asciiTheme="majorBidi" w:hAnsiTheme="majorBidi" w:cstheme="majorBidi"/>
                <w:sz w:val="21"/>
                <w:szCs w:val="21"/>
              </w:rPr>
              <w:t>Article 83 – p. 102</w:t>
            </w:r>
          </w:p>
        </w:tc>
        <w:tc>
          <w:tcPr>
            <w:tcW w:w="1737" w:type="dxa"/>
          </w:tcPr>
          <w:p w14:paraId="3507B920" w14:textId="77777777" w:rsidR="00D80693" w:rsidRPr="00D92213" w:rsidRDefault="00D80693" w:rsidP="00D92213">
            <w:pPr>
              <w:spacing w:before="120"/>
              <w:rPr>
                <w:sz w:val="21"/>
                <w:szCs w:val="21"/>
              </w:rPr>
            </w:pPr>
            <w:r w:rsidRPr="00D92213">
              <w:rPr>
                <w:rFonts w:asciiTheme="majorBidi" w:hAnsiTheme="majorBidi" w:cstheme="majorBidi"/>
                <w:sz w:val="21"/>
                <w:szCs w:val="21"/>
              </w:rPr>
              <w:t>Réalités locales, curricula, innovation</w:t>
            </w:r>
          </w:p>
        </w:tc>
        <w:tc>
          <w:tcPr>
            <w:tcW w:w="1818" w:type="dxa"/>
          </w:tcPr>
          <w:p w14:paraId="0455D479" w14:textId="77777777" w:rsidR="00D80693" w:rsidRPr="00D92213" w:rsidRDefault="00D80693" w:rsidP="00D92213">
            <w:pPr>
              <w:spacing w:before="120"/>
              <w:rPr>
                <w:sz w:val="21"/>
                <w:szCs w:val="21"/>
              </w:rPr>
            </w:pPr>
            <w:r w:rsidRPr="00D92213">
              <w:rPr>
                <w:rFonts w:asciiTheme="majorBidi" w:hAnsiTheme="majorBidi" w:cstheme="majorBidi"/>
                <w:sz w:val="21"/>
                <w:szCs w:val="21"/>
              </w:rPr>
              <w:t xml:space="preserve">Privilégier des contenus arrimés aux réalités locales, sous-régionales, africaines et internationales </w:t>
            </w:r>
          </w:p>
        </w:tc>
        <w:tc>
          <w:tcPr>
            <w:tcW w:w="1869" w:type="dxa"/>
          </w:tcPr>
          <w:p w14:paraId="6BC4E33F" w14:textId="77777777" w:rsidR="00D80693" w:rsidRPr="00D92213" w:rsidRDefault="00D80693" w:rsidP="00D92213">
            <w:pPr>
              <w:spacing w:before="120"/>
              <w:rPr>
                <w:sz w:val="21"/>
                <w:szCs w:val="21"/>
              </w:rPr>
            </w:pPr>
            <w:r w:rsidRPr="00D92213">
              <w:rPr>
                <w:rFonts w:asciiTheme="majorBidi" w:hAnsiTheme="majorBidi" w:cstheme="majorBidi"/>
                <w:sz w:val="21"/>
                <w:szCs w:val="21"/>
              </w:rPr>
              <w:t>Risque de standardisation des contenus éducatifs</w:t>
            </w:r>
          </w:p>
        </w:tc>
        <w:tc>
          <w:tcPr>
            <w:tcW w:w="2344" w:type="dxa"/>
          </w:tcPr>
          <w:p w14:paraId="7B4ED80D" w14:textId="77777777" w:rsidR="00D80693" w:rsidRPr="00D92213" w:rsidRDefault="00D80693" w:rsidP="00D92213">
            <w:pPr>
              <w:spacing w:before="120"/>
              <w:rPr>
                <w:sz w:val="21"/>
                <w:szCs w:val="21"/>
              </w:rPr>
            </w:pPr>
            <w:r w:rsidRPr="00D92213">
              <w:rPr>
                <w:rFonts w:asciiTheme="majorBidi" w:hAnsiTheme="majorBidi" w:cstheme="majorBidi"/>
                <w:sz w:val="21"/>
                <w:szCs w:val="21"/>
              </w:rPr>
              <w:t>Développement de curricula contextualisés, intégrant activités pratiques et innovation</w:t>
            </w:r>
          </w:p>
        </w:tc>
      </w:tr>
      <w:tr w:rsidR="00D80693" w:rsidRPr="00D92213" w14:paraId="7E2F2FB2" w14:textId="77777777" w:rsidTr="00064B54">
        <w:trPr>
          <w:trHeight w:val="625"/>
        </w:trPr>
        <w:tc>
          <w:tcPr>
            <w:tcW w:w="1517" w:type="dxa"/>
          </w:tcPr>
          <w:p w14:paraId="55711D46" w14:textId="77777777" w:rsidR="00D80693" w:rsidRPr="00D92213" w:rsidRDefault="00D80693" w:rsidP="00D92213">
            <w:pPr>
              <w:spacing w:before="120"/>
              <w:rPr>
                <w:sz w:val="21"/>
                <w:szCs w:val="21"/>
              </w:rPr>
            </w:pPr>
            <w:r w:rsidRPr="00D92213">
              <w:rPr>
                <w:rFonts w:asciiTheme="majorBidi" w:hAnsiTheme="majorBidi" w:cstheme="majorBidi"/>
                <w:sz w:val="21"/>
                <w:szCs w:val="21"/>
              </w:rPr>
              <w:t>Article 84 – p. 102</w:t>
            </w:r>
          </w:p>
        </w:tc>
        <w:tc>
          <w:tcPr>
            <w:tcW w:w="1737" w:type="dxa"/>
          </w:tcPr>
          <w:p w14:paraId="6F7CFA6B" w14:textId="77777777" w:rsidR="00D80693" w:rsidRPr="00D92213" w:rsidRDefault="00D80693" w:rsidP="00D92213">
            <w:pPr>
              <w:spacing w:before="120"/>
              <w:rPr>
                <w:sz w:val="21"/>
                <w:szCs w:val="21"/>
              </w:rPr>
            </w:pPr>
            <w:r w:rsidRPr="00D92213">
              <w:rPr>
                <w:rFonts w:asciiTheme="majorBidi" w:hAnsiTheme="majorBidi" w:cstheme="majorBidi"/>
                <w:sz w:val="21"/>
                <w:szCs w:val="21"/>
              </w:rPr>
              <w:t>Théorie/pratique, sciences dures</w:t>
            </w:r>
          </w:p>
        </w:tc>
        <w:tc>
          <w:tcPr>
            <w:tcW w:w="1818" w:type="dxa"/>
          </w:tcPr>
          <w:p w14:paraId="289FBB9B" w14:textId="77777777" w:rsidR="00D80693" w:rsidRPr="00D92213" w:rsidRDefault="00D80693" w:rsidP="00D92213">
            <w:pPr>
              <w:spacing w:before="120"/>
              <w:rPr>
                <w:sz w:val="21"/>
                <w:szCs w:val="21"/>
              </w:rPr>
            </w:pPr>
            <w:r w:rsidRPr="00D92213">
              <w:rPr>
                <w:rFonts w:asciiTheme="majorBidi" w:hAnsiTheme="majorBidi" w:cstheme="majorBidi"/>
                <w:sz w:val="21"/>
                <w:szCs w:val="21"/>
              </w:rPr>
              <w:t>Articulation entre contenu théorique et expérience de terrain</w:t>
            </w:r>
          </w:p>
        </w:tc>
        <w:tc>
          <w:tcPr>
            <w:tcW w:w="1869" w:type="dxa"/>
          </w:tcPr>
          <w:p w14:paraId="12ECEFF8" w14:textId="77777777" w:rsidR="00D80693" w:rsidRPr="00D92213" w:rsidRDefault="00D80693" w:rsidP="00D92213">
            <w:pPr>
              <w:spacing w:before="120"/>
              <w:rPr>
                <w:sz w:val="21"/>
                <w:szCs w:val="21"/>
              </w:rPr>
            </w:pPr>
            <w:r w:rsidRPr="00D92213">
              <w:rPr>
                <w:rFonts w:asciiTheme="majorBidi" w:hAnsiTheme="majorBidi" w:cstheme="majorBidi"/>
                <w:sz w:val="21"/>
                <w:szCs w:val="21"/>
              </w:rPr>
              <w:t>Faible mobilisation des ressources locales pour les travaux pratiques</w:t>
            </w:r>
          </w:p>
        </w:tc>
        <w:tc>
          <w:tcPr>
            <w:tcW w:w="2344" w:type="dxa"/>
          </w:tcPr>
          <w:p w14:paraId="26BEBB96" w14:textId="77777777" w:rsidR="00D80693" w:rsidRPr="00D92213" w:rsidRDefault="00D80693" w:rsidP="00D92213">
            <w:pPr>
              <w:spacing w:before="120"/>
              <w:rPr>
                <w:sz w:val="21"/>
                <w:szCs w:val="21"/>
              </w:rPr>
            </w:pPr>
            <w:r w:rsidRPr="00D92213">
              <w:rPr>
                <w:rFonts w:asciiTheme="majorBidi" w:hAnsiTheme="majorBidi" w:cstheme="majorBidi"/>
                <w:sz w:val="21"/>
                <w:szCs w:val="21"/>
              </w:rPr>
              <w:t>Renforcement des approches pédagogiques de terrain</w:t>
            </w:r>
          </w:p>
        </w:tc>
      </w:tr>
      <w:tr w:rsidR="00D80693" w:rsidRPr="00D92213" w14:paraId="285E535C" w14:textId="77777777" w:rsidTr="00064B54">
        <w:trPr>
          <w:trHeight w:val="847"/>
        </w:trPr>
        <w:tc>
          <w:tcPr>
            <w:tcW w:w="1517" w:type="dxa"/>
          </w:tcPr>
          <w:p w14:paraId="7345C76E" w14:textId="77777777" w:rsidR="00D80693" w:rsidRPr="00D92213" w:rsidRDefault="00D80693" w:rsidP="00D92213">
            <w:pPr>
              <w:spacing w:before="120"/>
              <w:rPr>
                <w:sz w:val="21"/>
                <w:szCs w:val="21"/>
              </w:rPr>
            </w:pPr>
            <w:r w:rsidRPr="00D92213">
              <w:rPr>
                <w:rFonts w:asciiTheme="majorBidi" w:hAnsiTheme="majorBidi" w:cstheme="majorBidi"/>
                <w:sz w:val="21"/>
                <w:szCs w:val="21"/>
              </w:rPr>
              <w:t>Article 85 – p. 102</w:t>
            </w:r>
          </w:p>
        </w:tc>
        <w:tc>
          <w:tcPr>
            <w:tcW w:w="1737" w:type="dxa"/>
          </w:tcPr>
          <w:p w14:paraId="5700CC42" w14:textId="77777777" w:rsidR="00D80693" w:rsidRPr="00D92213" w:rsidRDefault="00D80693" w:rsidP="00D92213">
            <w:pPr>
              <w:spacing w:before="120"/>
              <w:rPr>
                <w:sz w:val="21"/>
                <w:szCs w:val="21"/>
              </w:rPr>
            </w:pPr>
            <w:r w:rsidRPr="00D92213">
              <w:rPr>
                <w:rFonts w:asciiTheme="majorBidi" w:hAnsiTheme="majorBidi" w:cstheme="majorBidi"/>
                <w:sz w:val="21"/>
                <w:szCs w:val="21"/>
              </w:rPr>
              <w:t>Langues locales, culture, pédagogie</w:t>
            </w:r>
          </w:p>
        </w:tc>
        <w:tc>
          <w:tcPr>
            <w:tcW w:w="1818" w:type="dxa"/>
          </w:tcPr>
          <w:p w14:paraId="54A8DF36" w14:textId="77777777" w:rsidR="00D80693" w:rsidRPr="00D92213" w:rsidRDefault="00D80693" w:rsidP="00D92213">
            <w:pPr>
              <w:spacing w:before="120"/>
              <w:rPr>
                <w:sz w:val="21"/>
                <w:szCs w:val="21"/>
              </w:rPr>
            </w:pPr>
            <w:r w:rsidRPr="00D92213">
              <w:rPr>
                <w:rFonts w:asciiTheme="majorBidi" w:hAnsiTheme="majorBidi" w:cstheme="majorBidi"/>
                <w:sz w:val="21"/>
                <w:szCs w:val="21"/>
              </w:rPr>
              <w:t>Utiliser les langues comme véhicule culturel et outil d’apprentissage contextualisé</w:t>
            </w:r>
          </w:p>
        </w:tc>
        <w:tc>
          <w:tcPr>
            <w:tcW w:w="1869" w:type="dxa"/>
          </w:tcPr>
          <w:p w14:paraId="6D87EF49" w14:textId="77777777" w:rsidR="00D80693" w:rsidRPr="00D92213" w:rsidRDefault="00D80693" w:rsidP="00D92213">
            <w:pPr>
              <w:spacing w:before="120"/>
              <w:rPr>
                <w:sz w:val="21"/>
                <w:szCs w:val="21"/>
              </w:rPr>
            </w:pPr>
            <w:r w:rsidRPr="00D92213">
              <w:rPr>
                <w:rFonts w:asciiTheme="majorBidi" w:hAnsiTheme="majorBidi" w:cstheme="majorBidi"/>
                <w:sz w:val="21"/>
                <w:szCs w:val="21"/>
              </w:rPr>
              <w:t>Manque de formation des enseignants aux langues locales</w:t>
            </w:r>
          </w:p>
        </w:tc>
        <w:tc>
          <w:tcPr>
            <w:tcW w:w="2344" w:type="dxa"/>
          </w:tcPr>
          <w:p w14:paraId="12F3A71A" w14:textId="77777777" w:rsidR="00D80693" w:rsidRPr="00D92213" w:rsidRDefault="00D80693" w:rsidP="00D92213">
            <w:pPr>
              <w:spacing w:before="120"/>
              <w:rPr>
                <w:sz w:val="21"/>
                <w:szCs w:val="21"/>
              </w:rPr>
            </w:pPr>
            <w:r w:rsidRPr="00D92213">
              <w:rPr>
                <w:rFonts w:asciiTheme="majorBidi" w:hAnsiTheme="majorBidi" w:cstheme="majorBidi"/>
                <w:sz w:val="21"/>
                <w:szCs w:val="21"/>
              </w:rPr>
              <w:t>Intégration progressive des langues nationales comme medium pédagogique</w:t>
            </w:r>
          </w:p>
        </w:tc>
      </w:tr>
      <w:tr w:rsidR="00D80693" w:rsidRPr="00D92213" w14:paraId="1888EA0F" w14:textId="77777777" w:rsidTr="00064B54">
        <w:trPr>
          <w:trHeight w:val="703"/>
        </w:trPr>
        <w:tc>
          <w:tcPr>
            <w:tcW w:w="1517" w:type="dxa"/>
          </w:tcPr>
          <w:p w14:paraId="45B0ABC4" w14:textId="77777777" w:rsidR="00D80693" w:rsidRPr="00D92213" w:rsidRDefault="00D80693" w:rsidP="00D92213">
            <w:pPr>
              <w:spacing w:before="120"/>
              <w:rPr>
                <w:sz w:val="21"/>
                <w:szCs w:val="21"/>
              </w:rPr>
            </w:pPr>
            <w:r w:rsidRPr="00D92213">
              <w:rPr>
                <w:rFonts w:asciiTheme="majorBidi" w:hAnsiTheme="majorBidi" w:cstheme="majorBidi"/>
                <w:sz w:val="21"/>
                <w:szCs w:val="21"/>
              </w:rPr>
              <w:t>Articles 88-90 – pp. 103–104</w:t>
            </w:r>
          </w:p>
        </w:tc>
        <w:tc>
          <w:tcPr>
            <w:tcW w:w="1737" w:type="dxa"/>
          </w:tcPr>
          <w:p w14:paraId="25BA52A6" w14:textId="77777777" w:rsidR="00D80693" w:rsidRPr="00D92213" w:rsidRDefault="00D80693" w:rsidP="00D92213">
            <w:pPr>
              <w:spacing w:before="120"/>
              <w:rPr>
                <w:sz w:val="21"/>
                <w:szCs w:val="21"/>
              </w:rPr>
            </w:pPr>
            <w:r w:rsidRPr="00D92213">
              <w:rPr>
                <w:rFonts w:asciiTheme="majorBidi" w:hAnsiTheme="majorBidi" w:cstheme="majorBidi"/>
                <w:sz w:val="21"/>
                <w:szCs w:val="21"/>
              </w:rPr>
              <w:t>Éducation citoyenne, culture, paix</w:t>
            </w:r>
          </w:p>
        </w:tc>
        <w:tc>
          <w:tcPr>
            <w:tcW w:w="1818" w:type="dxa"/>
          </w:tcPr>
          <w:p w14:paraId="780178FA" w14:textId="77777777" w:rsidR="00D80693" w:rsidRPr="00D92213" w:rsidRDefault="00D80693" w:rsidP="00D92213">
            <w:pPr>
              <w:spacing w:before="120"/>
              <w:rPr>
                <w:sz w:val="21"/>
                <w:szCs w:val="21"/>
              </w:rPr>
            </w:pPr>
            <w:r w:rsidRPr="00D92213">
              <w:rPr>
                <w:rFonts w:asciiTheme="majorBidi" w:hAnsiTheme="majorBidi" w:cstheme="majorBidi"/>
                <w:sz w:val="21"/>
                <w:szCs w:val="21"/>
              </w:rPr>
              <w:t>Ancrage éducatif sur des valeurs culturelles et sociétales gabonaises</w:t>
            </w:r>
          </w:p>
        </w:tc>
        <w:tc>
          <w:tcPr>
            <w:tcW w:w="1869" w:type="dxa"/>
          </w:tcPr>
          <w:p w14:paraId="6B8B0461" w14:textId="77777777" w:rsidR="00D80693" w:rsidRPr="00D92213" w:rsidRDefault="00D80693" w:rsidP="00D92213">
            <w:pPr>
              <w:spacing w:before="120"/>
              <w:rPr>
                <w:sz w:val="21"/>
                <w:szCs w:val="21"/>
              </w:rPr>
            </w:pPr>
            <w:r w:rsidRPr="00D92213">
              <w:rPr>
                <w:rFonts w:asciiTheme="majorBidi" w:hAnsiTheme="majorBidi" w:cstheme="majorBidi"/>
                <w:sz w:val="21"/>
                <w:szCs w:val="21"/>
              </w:rPr>
              <w:t>Absence d’outils pédagogiques sur mesure pour l’éducation citoyenne</w:t>
            </w:r>
          </w:p>
        </w:tc>
        <w:tc>
          <w:tcPr>
            <w:tcW w:w="2344" w:type="dxa"/>
          </w:tcPr>
          <w:p w14:paraId="4F33FD4A" w14:textId="77777777" w:rsidR="00D80693" w:rsidRPr="00D92213" w:rsidRDefault="00D80693" w:rsidP="00D92213">
            <w:pPr>
              <w:spacing w:before="120"/>
              <w:rPr>
                <w:sz w:val="21"/>
                <w:szCs w:val="21"/>
              </w:rPr>
            </w:pPr>
            <w:r w:rsidRPr="00D92213">
              <w:rPr>
                <w:rFonts w:asciiTheme="majorBidi" w:hAnsiTheme="majorBidi" w:cstheme="majorBidi"/>
                <w:sz w:val="21"/>
                <w:szCs w:val="21"/>
              </w:rPr>
              <w:t>Inclusion de modules éducatifs en lien avec les réalités sociétales locales</w:t>
            </w:r>
          </w:p>
        </w:tc>
      </w:tr>
      <w:tr w:rsidR="00D80693" w:rsidRPr="00D92213" w14:paraId="1ADF3CFC" w14:textId="77777777" w:rsidTr="00064B54">
        <w:trPr>
          <w:trHeight w:val="998"/>
        </w:trPr>
        <w:tc>
          <w:tcPr>
            <w:tcW w:w="1517" w:type="dxa"/>
          </w:tcPr>
          <w:p w14:paraId="578803AF" w14:textId="77777777" w:rsidR="00D80693" w:rsidRPr="00D92213" w:rsidRDefault="00D80693" w:rsidP="00D92213">
            <w:pPr>
              <w:spacing w:before="120"/>
              <w:rPr>
                <w:sz w:val="21"/>
                <w:szCs w:val="21"/>
              </w:rPr>
            </w:pPr>
            <w:r w:rsidRPr="00D92213">
              <w:rPr>
                <w:rFonts w:asciiTheme="majorBidi" w:hAnsiTheme="majorBidi" w:cstheme="majorBidi"/>
                <w:sz w:val="21"/>
                <w:szCs w:val="21"/>
              </w:rPr>
              <w:t>Conclusion – p. 161</w:t>
            </w:r>
          </w:p>
        </w:tc>
        <w:tc>
          <w:tcPr>
            <w:tcW w:w="1737" w:type="dxa"/>
          </w:tcPr>
          <w:p w14:paraId="1802404C" w14:textId="77777777" w:rsidR="00D80693" w:rsidRPr="00D92213" w:rsidRDefault="00D80693" w:rsidP="00D92213">
            <w:pPr>
              <w:spacing w:before="120"/>
              <w:rPr>
                <w:sz w:val="21"/>
                <w:szCs w:val="21"/>
              </w:rPr>
            </w:pPr>
            <w:r w:rsidRPr="00D92213">
              <w:rPr>
                <w:rFonts w:asciiTheme="majorBidi" w:hAnsiTheme="majorBidi" w:cstheme="majorBidi"/>
                <w:sz w:val="21"/>
                <w:szCs w:val="21"/>
              </w:rPr>
              <w:t>Programmes, territoires, provinces</w:t>
            </w:r>
          </w:p>
        </w:tc>
        <w:tc>
          <w:tcPr>
            <w:tcW w:w="1818" w:type="dxa"/>
          </w:tcPr>
          <w:p w14:paraId="2969506B" w14:textId="77777777" w:rsidR="00D80693" w:rsidRPr="00D92213" w:rsidRDefault="00D80693" w:rsidP="00D92213">
            <w:pPr>
              <w:spacing w:before="120"/>
              <w:rPr>
                <w:sz w:val="21"/>
                <w:szCs w:val="21"/>
              </w:rPr>
            </w:pPr>
            <w:r w:rsidRPr="00D92213">
              <w:rPr>
                <w:rFonts w:asciiTheme="majorBidi" w:hAnsiTheme="majorBidi" w:cstheme="majorBidi"/>
                <w:sz w:val="21"/>
                <w:szCs w:val="21"/>
              </w:rPr>
              <w:t>Concevoir des programmes adaptés à chaque environnement provincial/local</w:t>
            </w:r>
          </w:p>
        </w:tc>
        <w:tc>
          <w:tcPr>
            <w:tcW w:w="1869" w:type="dxa"/>
          </w:tcPr>
          <w:p w14:paraId="483EE42D" w14:textId="77777777" w:rsidR="00D80693" w:rsidRPr="00D92213" w:rsidRDefault="00D80693" w:rsidP="00D92213">
            <w:pPr>
              <w:spacing w:before="120"/>
              <w:rPr>
                <w:sz w:val="21"/>
                <w:szCs w:val="21"/>
              </w:rPr>
            </w:pPr>
            <w:r w:rsidRPr="00D92213">
              <w:rPr>
                <w:rFonts w:asciiTheme="majorBidi" w:hAnsiTheme="majorBidi" w:cstheme="majorBidi"/>
                <w:sz w:val="21"/>
                <w:szCs w:val="21"/>
              </w:rPr>
              <w:t>Centralisation excessive des politiques éducatives</w:t>
            </w:r>
          </w:p>
        </w:tc>
        <w:tc>
          <w:tcPr>
            <w:tcW w:w="2344" w:type="dxa"/>
          </w:tcPr>
          <w:p w14:paraId="2FC45AE1" w14:textId="77777777" w:rsidR="00D80693" w:rsidRPr="00D92213" w:rsidRDefault="00D80693" w:rsidP="00D92213">
            <w:pPr>
              <w:spacing w:before="120"/>
              <w:rPr>
                <w:sz w:val="21"/>
                <w:szCs w:val="21"/>
              </w:rPr>
            </w:pPr>
            <w:r w:rsidRPr="00D92213">
              <w:rPr>
                <w:rFonts w:asciiTheme="majorBidi" w:hAnsiTheme="majorBidi" w:cstheme="majorBidi"/>
                <w:sz w:val="21"/>
                <w:szCs w:val="21"/>
              </w:rPr>
              <w:t>Transformation des IA en directions régionales chargées de la contextualisation curriculaire</w:t>
            </w:r>
          </w:p>
        </w:tc>
      </w:tr>
      <w:tr w:rsidR="00D80693" w:rsidRPr="00D92213" w14:paraId="0E84C243" w14:textId="77777777" w:rsidTr="00064B54">
        <w:trPr>
          <w:trHeight w:val="942"/>
        </w:trPr>
        <w:tc>
          <w:tcPr>
            <w:tcW w:w="1517" w:type="dxa"/>
          </w:tcPr>
          <w:p w14:paraId="013361D3" w14:textId="77777777" w:rsidR="00D80693" w:rsidRPr="00D92213" w:rsidRDefault="00D80693" w:rsidP="00D92213">
            <w:pPr>
              <w:spacing w:before="120"/>
              <w:rPr>
                <w:sz w:val="21"/>
                <w:szCs w:val="21"/>
              </w:rPr>
            </w:pPr>
            <w:r w:rsidRPr="00D92213">
              <w:rPr>
                <w:rFonts w:asciiTheme="majorBidi" w:hAnsiTheme="majorBidi" w:cstheme="majorBidi"/>
                <w:sz w:val="21"/>
                <w:szCs w:val="21"/>
              </w:rPr>
              <w:t>Page 25</w:t>
            </w:r>
          </w:p>
        </w:tc>
        <w:tc>
          <w:tcPr>
            <w:tcW w:w="1737" w:type="dxa"/>
          </w:tcPr>
          <w:p w14:paraId="2B3C79B3" w14:textId="77777777" w:rsidR="00D80693" w:rsidRPr="00D92213" w:rsidRDefault="00D80693" w:rsidP="00D92213">
            <w:pPr>
              <w:spacing w:before="120"/>
              <w:rPr>
                <w:sz w:val="21"/>
                <w:szCs w:val="21"/>
              </w:rPr>
            </w:pPr>
            <w:r w:rsidRPr="00D92213">
              <w:rPr>
                <w:rFonts w:asciiTheme="majorBidi" w:hAnsiTheme="majorBidi" w:cstheme="majorBidi"/>
                <w:sz w:val="21"/>
                <w:szCs w:val="21"/>
              </w:rPr>
              <w:t>Langues nationales, provinces, départements</w:t>
            </w:r>
          </w:p>
        </w:tc>
        <w:tc>
          <w:tcPr>
            <w:tcW w:w="1818" w:type="dxa"/>
          </w:tcPr>
          <w:p w14:paraId="4A159BA6" w14:textId="77777777" w:rsidR="00D80693" w:rsidRPr="00D92213" w:rsidRDefault="00D80693" w:rsidP="00D92213">
            <w:pPr>
              <w:spacing w:before="120"/>
              <w:rPr>
                <w:sz w:val="21"/>
                <w:szCs w:val="21"/>
              </w:rPr>
            </w:pPr>
            <w:r w:rsidRPr="00D92213">
              <w:rPr>
                <w:rFonts w:asciiTheme="majorBidi" w:hAnsiTheme="majorBidi" w:cstheme="majorBidi"/>
                <w:sz w:val="21"/>
                <w:szCs w:val="21"/>
              </w:rPr>
              <w:t>Introduction des langues nationales via une approche territorialisée</w:t>
            </w:r>
          </w:p>
        </w:tc>
        <w:tc>
          <w:tcPr>
            <w:tcW w:w="1869" w:type="dxa"/>
          </w:tcPr>
          <w:p w14:paraId="3A01098E" w14:textId="77777777" w:rsidR="00D80693" w:rsidRPr="00D92213" w:rsidRDefault="00D80693" w:rsidP="00D92213">
            <w:pPr>
              <w:spacing w:before="120"/>
              <w:rPr>
                <w:sz w:val="21"/>
                <w:szCs w:val="21"/>
              </w:rPr>
            </w:pPr>
            <w:r w:rsidRPr="00D92213">
              <w:rPr>
                <w:rFonts w:asciiTheme="majorBidi" w:hAnsiTheme="majorBidi" w:cstheme="majorBidi"/>
                <w:sz w:val="21"/>
                <w:szCs w:val="21"/>
              </w:rPr>
              <w:t>Manque de politique linguistique cohérente et de matériel didactique</w:t>
            </w:r>
          </w:p>
        </w:tc>
        <w:tc>
          <w:tcPr>
            <w:tcW w:w="2344" w:type="dxa"/>
          </w:tcPr>
          <w:p w14:paraId="54D87170" w14:textId="77777777" w:rsidR="00D80693" w:rsidRPr="00D92213" w:rsidRDefault="00D80693" w:rsidP="00D92213">
            <w:pPr>
              <w:spacing w:before="120"/>
              <w:rPr>
                <w:sz w:val="21"/>
                <w:szCs w:val="21"/>
              </w:rPr>
            </w:pPr>
            <w:r w:rsidRPr="00D92213">
              <w:rPr>
                <w:rFonts w:asciiTheme="majorBidi" w:hAnsiTheme="majorBidi" w:cstheme="majorBidi"/>
                <w:sz w:val="21"/>
                <w:szCs w:val="21"/>
              </w:rPr>
              <w:t>Approche décentralisée par province pour adapter l’enseignement linguistique</w:t>
            </w:r>
          </w:p>
        </w:tc>
      </w:tr>
      <w:tr w:rsidR="00D80693" w:rsidRPr="00D92213" w14:paraId="39596254" w14:textId="77777777" w:rsidTr="00064B54">
        <w:trPr>
          <w:trHeight w:val="1528"/>
        </w:trPr>
        <w:tc>
          <w:tcPr>
            <w:tcW w:w="1517" w:type="dxa"/>
          </w:tcPr>
          <w:p w14:paraId="161D3F63" w14:textId="77777777" w:rsidR="00D80693" w:rsidRPr="00D92213" w:rsidRDefault="00D80693" w:rsidP="00D92213">
            <w:pPr>
              <w:spacing w:before="120"/>
              <w:rPr>
                <w:sz w:val="21"/>
                <w:szCs w:val="21"/>
              </w:rPr>
            </w:pPr>
            <w:r w:rsidRPr="00D92213">
              <w:rPr>
                <w:rFonts w:asciiTheme="majorBidi" w:hAnsiTheme="majorBidi" w:cstheme="majorBidi"/>
                <w:sz w:val="21"/>
                <w:szCs w:val="21"/>
              </w:rPr>
              <w:t>Pages 172–173</w:t>
            </w:r>
          </w:p>
        </w:tc>
        <w:tc>
          <w:tcPr>
            <w:tcW w:w="1737" w:type="dxa"/>
          </w:tcPr>
          <w:p w14:paraId="7B157188" w14:textId="77777777" w:rsidR="00D80693" w:rsidRPr="00D92213" w:rsidRDefault="00D80693" w:rsidP="00D92213">
            <w:pPr>
              <w:spacing w:before="120"/>
              <w:rPr>
                <w:sz w:val="21"/>
                <w:szCs w:val="21"/>
              </w:rPr>
            </w:pPr>
            <w:r w:rsidRPr="00D92213">
              <w:rPr>
                <w:rFonts w:asciiTheme="majorBidi" w:hAnsiTheme="majorBidi" w:cstheme="majorBidi"/>
                <w:sz w:val="21"/>
                <w:szCs w:val="21"/>
              </w:rPr>
              <w:t>Économie, entreprise, employabilité</w:t>
            </w:r>
          </w:p>
        </w:tc>
        <w:tc>
          <w:tcPr>
            <w:tcW w:w="1818" w:type="dxa"/>
          </w:tcPr>
          <w:p w14:paraId="00B173EF" w14:textId="77777777" w:rsidR="00D80693" w:rsidRPr="00D92213" w:rsidRDefault="00D80693" w:rsidP="00D92213">
            <w:pPr>
              <w:spacing w:before="120"/>
              <w:rPr>
                <w:sz w:val="21"/>
                <w:szCs w:val="21"/>
              </w:rPr>
            </w:pPr>
            <w:r w:rsidRPr="00D92213">
              <w:rPr>
                <w:rFonts w:asciiTheme="majorBidi" w:hAnsiTheme="majorBidi" w:cstheme="majorBidi"/>
                <w:sz w:val="21"/>
                <w:szCs w:val="21"/>
              </w:rPr>
              <w:t>Adapter les enseignements aux besoins des employeurs et au tissu socio-économique local</w:t>
            </w:r>
          </w:p>
        </w:tc>
        <w:tc>
          <w:tcPr>
            <w:tcW w:w="1869" w:type="dxa"/>
          </w:tcPr>
          <w:p w14:paraId="32B93F50" w14:textId="77777777" w:rsidR="00D80693" w:rsidRPr="00D92213" w:rsidRDefault="00D80693" w:rsidP="00D92213">
            <w:pPr>
              <w:spacing w:before="120"/>
              <w:rPr>
                <w:sz w:val="21"/>
                <w:szCs w:val="21"/>
              </w:rPr>
            </w:pPr>
            <w:r w:rsidRPr="00D92213">
              <w:rPr>
                <w:rFonts w:asciiTheme="majorBidi" w:hAnsiTheme="majorBidi" w:cstheme="majorBidi"/>
                <w:sz w:val="21"/>
                <w:szCs w:val="21"/>
              </w:rPr>
              <w:t>Inadéquation entre offre éducative et marché de l’emploi local</w:t>
            </w:r>
          </w:p>
        </w:tc>
        <w:tc>
          <w:tcPr>
            <w:tcW w:w="2344" w:type="dxa"/>
          </w:tcPr>
          <w:p w14:paraId="07BEAF57" w14:textId="77777777" w:rsidR="00D80693" w:rsidRPr="00D92213" w:rsidRDefault="00D80693" w:rsidP="00D92213">
            <w:pPr>
              <w:spacing w:before="120"/>
              <w:rPr>
                <w:sz w:val="21"/>
                <w:szCs w:val="21"/>
              </w:rPr>
            </w:pPr>
            <w:r w:rsidRPr="00D92213">
              <w:rPr>
                <w:rFonts w:asciiTheme="majorBidi" w:hAnsiTheme="majorBidi" w:cstheme="majorBidi"/>
                <w:sz w:val="21"/>
                <w:szCs w:val="21"/>
              </w:rPr>
              <w:t>Développement de partenariats école-entreprise, formation professionnelle locale</w:t>
            </w:r>
          </w:p>
        </w:tc>
      </w:tr>
    </w:tbl>
    <w:p w14:paraId="351DF7D0" w14:textId="76DA8BF3" w:rsidR="00D92213" w:rsidRDefault="00D80693" w:rsidP="00D92213">
      <w:pPr>
        <w:spacing w:before="120"/>
        <w:rPr>
          <w:rFonts w:asciiTheme="majorBidi" w:eastAsia="Aptos" w:hAnsiTheme="majorBidi" w:cstheme="majorBidi"/>
          <w:b/>
          <w:bCs/>
          <w:i/>
          <w:iCs/>
          <w:szCs w:val="24"/>
          <w:lang w:val="fr-SN"/>
        </w:rPr>
      </w:pPr>
      <w:r w:rsidRPr="009C0C6D">
        <w:rPr>
          <w:rFonts w:asciiTheme="majorBidi" w:eastAsia="Aptos" w:hAnsiTheme="majorBidi" w:cstheme="majorBidi"/>
          <w:b/>
          <w:bCs/>
          <w:i/>
          <w:iCs/>
          <w:szCs w:val="24"/>
          <w:lang w:val="fr-SN"/>
        </w:rPr>
        <w:t xml:space="preserve">Source : </w:t>
      </w:r>
      <w:r>
        <w:rPr>
          <w:rFonts w:asciiTheme="majorBidi" w:eastAsia="Aptos" w:hAnsiTheme="majorBidi" w:cstheme="majorBidi"/>
          <w:b/>
          <w:bCs/>
          <w:i/>
          <w:iCs/>
          <w:szCs w:val="24"/>
          <w:lang w:val="fr-SN"/>
        </w:rPr>
        <w:t xml:space="preserve">enquête de terrain, </w:t>
      </w:r>
      <w:proofErr w:type="spellStart"/>
      <w:r>
        <w:rPr>
          <w:rFonts w:asciiTheme="majorBidi" w:eastAsia="Aptos" w:hAnsiTheme="majorBidi" w:cstheme="majorBidi"/>
          <w:b/>
          <w:bCs/>
          <w:i/>
          <w:iCs/>
          <w:szCs w:val="24"/>
          <w:lang w:val="fr-SN"/>
        </w:rPr>
        <w:t>Moussavou</w:t>
      </w:r>
      <w:proofErr w:type="spellEnd"/>
      <w:r>
        <w:rPr>
          <w:rFonts w:asciiTheme="majorBidi" w:eastAsia="Aptos" w:hAnsiTheme="majorBidi" w:cstheme="majorBidi"/>
          <w:b/>
          <w:bCs/>
          <w:i/>
          <w:iCs/>
          <w:szCs w:val="24"/>
          <w:lang w:val="fr-SN"/>
        </w:rPr>
        <w:t>, 2025</w:t>
      </w:r>
    </w:p>
    <w:p w14:paraId="3937D985" w14:textId="77777777" w:rsidR="00D92213" w:rsidRDefault="00D92213">
      <w:pPr>
        <w:rPr>
          <w:rFonts w:asciiTheme="majorBidi" w:eastAsia="Aptos" w:hAnsiTheme="majorBidi" w:cstheme="majorBidi"/>
          <w:b/>
          <w:bCs/>
          <w:i/>
          <w:iCs/>
          <w:szCs w:val="24"/>
          <w:lang w:val="fr-SN"/>
        </w:rPr>
      </w:pPr>
      <w:r>
        <w:rPr>
          <w:rFonts w:asciiTheme="majorBidi" w:eastAsia="Aptos" w:hAnsiTheme="majorBidi" w:cstheme="majorBidi"/>
          <w:b/>
          <w:bCs/>
          <w:i/>
          <w:iCs/>
          <w:szCs w:val="24"/>
          <w:lang w:val="fr-SN"/>
        </w:rPr>
        <w:br w:type="page"/>
      </w:r>
    </w:p>
    <w:p w14:paraId="6ABF0010" w14:textId="77777777" w:rsidR="00D80693" w:rsidRPr="005F0FAB" w:rsidRDefault="00D80693" w:rsidP="00D92213">
      <w:pPr>
        <w:spacing w:before="120"/>
        <w:jc w:val="center"/>
        <w:rPr>
          <w:rFonts w:eastAsia="Aptos"/>
          <w:b/>
          <w:bCs/>
          <w:i/>
          <w:iCs/>
          <w:sz w:val="24"/>
          <w:szCs w:val="24"/>
          <w:lang w:val="fr-SN"/>
        </w:rPr>
      </w:pPr>
      <w:r w:rsidRPr="005F0FAB">
        <w:rPr>
          <w:rFonts w:asciiTheme="majorBidi" w:eastAsia="Aptos" w:hAnsiTheme="majorBidi" w:cstheme="majorBidi"/>
          <w:b/>
          <w:bCs/>
          <w:i/>
          <w:iCs/>
          <w:sz w:val="24"/>
          <w:szCs w:val="24"/>
          <w:lang w:val="fr-SN"/>
        </w:rPr>
        <w:t xml:space="preserve">Tableau </w:t>
      </w:r>
      <w:r>
        <w:rPr>
          <w:rFonts w:asciiTheme="majorBidi" w:eastAsia="Aptos" w:hAnsiTheme="majorBidi" w:cstheme="majorBidi"/>
          <w:b/>
          <w:bCs/>
          <w:i/>
          <w:iCs/>
          <w:sz w:val="24"/>
          <w:szCs w:val="24"/>
          <w:lang w:val="fr-SN"/>
        </w:rPr>
        <w:t>2</w:t>
      </w:r>
      <w:r w:rsidRPr="005F0FAB">
        <w:rPr>
          <w:rFonts w:asciiTheme="majorBidi" w:eastAsia="Aptos" w:hAnsiTheme="majorBidi" w:cstheme="majorBidi"/>
          <w:b/>
          <w:bCs/>
          <w:i/>
          <w:iCs/>
          <w:sz w:val="24"/>
          <w:szCs w:val="24"/>
          <w:lang w:val="fr-SN"/>
        </w:rPr>
        <w:t xml:space="preserve"> : La contextualisation dans le texte de loi 21/2011</w:t>
      </w:r>
    </w:p>
    <w:tbl>
      <w:tblPr>
        <w:tblStyle w:val="Grilledutableau2"/>
        <w:tblW w:w="8949" w:type="dxa"/>
        <w:tblLayout w:type="fixed"/>
        <w:tblLook w:val="04A0" w:firstRow="1" w:lastRow="0" w:firstColumn="1" w:lastColumn="0" w:noHBand="0" w:noVBand="1"/>
      </w:tblPr>
      <w:tblGrid>
        <w:gridCol w:w="1270"/>
        <w:gridCol w:w="1844"/>
        <w:gridCol w:w="2268"/>
        <w:gridCol w:w="1692"/>
        <w:gridCol w:w="1875"/>
      </w:tblGrid>
      <w:tr w:rsidR="00D80693" w:rsidRPr="00D92213" w14:paraId="6D25BACF" w14:textId="77777777" w:rsidTr="00D72320">
        <w:tc>
          <w:tcPr>
            <w:tcW w:w="1270" w:type="dxa"/>
          </w:tcPr>
          <w:p w14:paraId="3C72444C" w14:textId="77777777" w:rsidR="00D80693" w:rsidRPr="00D92213" w:rsidRDefault="00D80693" w:rsidP="00D92213">
            <w:pPr>
              <w:spacing w:before="120"/>
              <w:rPr>
                <w:b/>
                <w:bCs/>
              </w:rPr>
            </w:pPr>
            <w:r w:rsidRPr="00D92213">
              <w:rPr>
                <w:rFonts w:asciiTheme="majorBidi" w:hAnsiTheme="majorBidi" w:cstheme="majorBidi"/>
                <w:b/>
                <w:bCs/>
              </w:rPr>
              <w:t>Document utilisé</w:t>
            </w:r>
          </w:p>
        </w:tc>
        <w:tc>
          <w:tcPr>
            <w:tcW w:w="1844" w:type="dxa"/>
          </w:tcPr>
          <w:p w14:paraId="06B2F353" w14:textId="77777777" w:rsidR="00D80693" w:rsidRPr="00D92213" w:rsidRDefault="00D80693" w:rsidP="00D92213">
            <w:pPr>
              <w:spacing w:before="120"/>
              <w:rPr>
                <w:b/>
                <w:bCs/>
              </w:rPr>
            </w:pPr>
            <w:r w:rsidRPr="00D92213">
              <w:rPr>
                <w:rFonts w:asciiTheme="majorBidi" w:hAnsiTheme="majorBidi" w:cstheme="majorBidi"/>
                <w:b/>
                <w:bCs/>
              </w:rPr>
              <w:t>Mots clés</w:t>
            </w:r>
          </w:p>
        </w:tc>
        <w:tc>
          <w:tcPr>
            <w:tcW w:w="2268" w:type="dxa"/>
          </w:tcPr>
          <w:p w14:paraId="1A2D7738" w14:textId="77777777" w:rsidR="00D80693" w:rsidRPr="00D92213" w:rsidRDefault="00D80693" w:rsidP="00D92213">
            <w:pPr>
              <w:spacing w:before="120"/>
              <w:rPr>
                <w:b/>
                <w:bCs/>
              </w:rPr>
            </w:pPr>
            <w:r w:rsidRPr="00D92213">
              <w:rPr>
                <w:rFonts w:asciiTheme="majorBidi" w:hAnsiTheme="majorBidi" w:cstheme="majorBidi"/>
                <w:b/>
                <w:bCs/>
              </w:rPr>
              <w:t>Orientation donnée à la contextualisation</w:t>
            </w:r>
          </w:p>
        </w:tc>
        <w:tc>
          <w:tcPr>
            <w:tcW w:w="1692" w:type="dxa"/>
          </w:tcPr>
          <w:p w14:paraId="5D435E6F" w14:textId="77777777" w:rsidR="00D80693" w:rsidRPr="00D92213" w:rsidRDefault="00D80693" w:rsidP="00D92213">
            <w:pPr>
              <w:spacing w:before="120"/>
              <w:rPr>
                <w:b/>
                <w:bCs/>
              </w:rPr>
            </w:pPr>
            <w:r w:rsidRPr="00D92213">
              <w:rPr>
                <w:rFonts w:asciiTheme="majorBidi" w:hAnsiTheme="majorBidi" w:cstheme="majorBidi"/>
                <w:b/>
                <w:bCs/>
              </w:rPr>
              <w:t>Difficultés</w:t>
            </w:r>
          </w:p>
        </w:tc>
        <w:tc>
          <w:tcPr>
            <w:tcW w:w="1875" w:type="dxa"/>
          </w:tcPr>
          <w:p w14:paraId="7C8A9FE9" w14:textId="77777777" w:rsidR="00D80693" w:rsidRPr="00D92213" w:rsidRDefault="00D80693" w:rsidP="00D92213">
            <w:pPr>
              <w:spacing w:before="120"/>
              <w:rPr>
                <w:b/>
                <w:bCs/>
              </w:rPr>
            </w:pPr>
            <w:r w:rsidRPr="00D92213">
              <w:rPr>
                <w:rFonts w:asciiTheme="majorBidi" w:hAnsiTheme="majorBidi" w:cstheme="majorBidi"/>
                <w:b/>
                <w:bCs/>
              </w:rPr>
              <w:t>Stratégie innovante suggérée</w:t>
            </w:r>
          </w:p>
        </w:tc>
      </w:tr>
      <w:tr w:rsidR="00D80693" w:rsidRPr="00D92213" w14:paraId="63250486" w14:textId="77777777" w:rsidTr="00D72320">
        <w:tc>
          <w:tcPr>
            <w:tcW w:w="1270" w:type="dxa"/>
          </w:tcPr>
          <w:p w14:paraId="5B7C7921" w14:textId="77777777" w:rsidR="00D80693" w:rsidRPr="00D92213" w:rsidRDefault="00D80693" w:rsidP="00D92213">
            <w:pPr>
              <w:spacing w:before="120"/>
            </w:pPr>
            <w:r w:rsidRPr="00D92213">
              <w:rPr>
                <w:rFonts w:asciiTheme="majorBidi" w:hAnsiTheme="majorBidi" w:cstheme="majorBidi"/>
              </w:rPr>
              <w:t>Article 3 – p. 3</w:t>
            </w:r>
          </w:p>
        </w:tc>
        <w:tc>
          <w:tcPr>
            <w:tcW w:w="1844" w:type="dxa"/>
          </w:tcPr>
          <w:p w14:paraId="513FD069" w14:textId="77777777" w:rsidR="00D80693" w:rsidRPr="00D92213" w:rsidRDefault="00D80693" w:rsidP="00D92213">
            <w:pPr>
              <w:spacing w:before="120"/>
            </w:pPr>
            <w:r w:rsidRPr="00D92213">
              <w:rPr>
                <w:rFonts w:asciiTheme="majorBidi" w:hAnsiTheme="majorBidi" w:cstheme="majorBidi"/>
              </w:rPr>
              <w:t>Insertion sociale, finalités</w:t>
            </w:r>
          </w:p>
        </w:tc>
        <w:tc>
          <w:tcPr>
            <w:tcW w:w="2268" w:type="dxa"/>
          </w:tcPr>
          <w:p w14:paraId="182B3BCA" w14:textId="77777777" w:rsidR="00D80693" w:rsidRPr="00D92213" w:rsidRDefault="00D80693" w:rsidP="00D92213">
            <w:pPr>
              <w:spacing w:before="120"/>
            </w:pPr>
            <w:r w:rsidRPr="00D92213">
              <w:rPr>
                <w:rFonts w:asciiTheme="majorBidi" w:hAnsiTheme="majorBidi" w:cstheme="majorBidi"/>
              </w:rPr>
              <w:t>Adapter les contenus aux réalités sociales pour une meilleure intégration des apprenants dans la société</w:t>
            </w:r>
          </w:p>
        </w:tc>
        <w:tc>
          <w:tcPr>
            <w:tcW w:w="1692" w:type="dxa"/>
          </w:tcPr>
          <w:p w14:paraId="4DA18096" w14:textId="77777777" w:rsidR="00D80693" w:rsidRPr="00D92213" w:rsidRDefault="00D80693" w:rsidP="00D92213">
            <w:pPr>
              <w:spacing w:before="120"/>
            </w:pPr>
            <w:r w:rsidRPr="00D92213">
              <w:rPr>
                <w:rFonts w:asciiTheme="majorBidi" w:hAnsiTheme="majorBidi" w:cstheme="majorBidi"/>
              </w:rPr>
              <w:t>Inadéquation entre programmes et vie réelle</w:t>
            </w:r>
          </w:p>
        </w:tc>
        <w:tc>
          <w:tcPr>
            <w:tcW w:w="1875" w:type="dxa"/>
          </w:tcPr>
          <w:p w14:paraId="47CEC9EB" w14:textId="77777777" w:rsidR="00D80693" w:rsidRPr="00D92213" w:rsidRDefault="00D80693" w:rsidP="00D92213">
            <w:pPr>
              <w:spacing w:before="120"/>
            </w:pPr>
            <w:r w:rsidRPr="00D92213">
              <w:rPr>
                <w:rFonts w:asciiTheme="majorBidi" w:hAnsiTheme="majorBidi" w:cstheme="majorBidi"/>
              </w:rPr>
              <w:t>Conception de programmes contextualisés autour des réalités sociétales</w:t>
            </w:r>
          </w:p>
        </w:tc>
      </w:tr>
      <w:tr w:rsidR="00D80693" w:rsidRPr="00D92213" w14:paraId="176AEF12" w14:textId="77777777" w:rsidTr="00D72320">
        <w:tc>
          <w:tcPr>
            <w:tcW w:w="1270" w:type="dxa"/>
          </w:tcPr>
          <w:p w14:paraId="1E2B85D0" w14:textId="77777777" w:rsidR="00D80693" w:rsidRPr="00D92213" w:rsidRDefault="00D80693" w:rsidP="00D92213">
            <w:pPr>
              <w:spacing w:before="120"/>
            </w:pPr>
            <w:r w:rsidRPr="00D92213">
              <w:rPr>
                <w:rFonts w:asciiTheme="majorBidi" w:hAnsiTheme="majorBidi" w:cstheme="majorBidi"/>
              </w:rPr>
              <w:t>Article 7 – p. 5</w:t>
            </w:r>
          </w:p>
        </w:tc>
        <w:tc>
          <w:tcPr>
            <w:tcW w:w="1844" w:type="dxa"/>
          </w:tcPr>
          <w:p w14:paraId="06B93D14" w14:textId="77777777" w:rsidR="00D80693" w:rsidRPr="00D92213" w:rsidRDefault="00D80693" w:rsidP="00D92213">
            <w:pPr>
              <w:spacing w:before="120"/>
            </w:pPr>
            <w:r w:rsidRPr="00D92213">
              <w:rPr>
                <w:rFonts w:asciiTheme="majorBidi" w:hAnsiTheme="majorBidi" w:cstheme="majorBidi"/>
              </w:rPr>
              <w:t>Développement local, objectifs</w:t>
            </w:r>
          </w:p>
        </w:tc>
        <w:tc>
          <w:tcPr>
            <w:tcW w:w="2268" w:type="dxa"/>
          </w:tcPr>
          <w:p w14:paraId="0B68EACE" w14:textId="77777777" w:rsidR="00D80693" w:rsidRPr="00D92213" w:rsidRDefault="00D80693" w:rsidP="00D92213">
            <w:pPr>
              <w:spacing w:before="120"/>
            </w:pPr>
            <w:r w:rsidRPr="00D92213">
              <w:rPr>
                <w:rFonts w:asciiTheme="majorBidi" w:hAnsiTheme="majorBidi" w:cstheme="majorBidi"/>
              </w:rPr>
              <w:t>Répondre aux besoins de développement local en adaptant les programmes aux milieux spécifiques</w:t>
            </w:r>
          </w:p>
        </w:tc>
        <w:tc>
          <w:tcPr>
            <w:tcW w:w="1692" w:type="dxa"/>
          </w:tcPr>
          <w:p w14:paraId="53049FB3" w14:textId="77777777" w:rsidR="00D80693" w:rsidRPr="00D92213" w:rsidRDefault="00D80693" w:rsidP="00D92213">
            <w:pPr>
              <w:spacing w:before="120"/>
            </w:pPr>
            <w:r w:rsidRPr="00D92213">
              <w:rPr>
                <w:rFonts w:asciiTheme="majorBidi" w:hAnsiTheme="majorBidi" w:cstheme="majorBidi"/>
              </w:rPr>
              <w:t>Uniformisation des contenus au détriment des réalités locales</w:t>
            </w:r>
          </w:p>
        </w:tc>
        <w:tc>
          <w:tcPr>
            <w:tcW w:w="1875" w:type="dxa"/>
          </w:tcPr>
          <w:p w14:paraId="736F7F13" w14:textId="77777777" w:rsidR="00D80693" w:rsidRPr="00D92213" w:rsidRDefault="00D80693" w:rsidP="00D92213">
            <w:pPr>
              <w:spacing w:before="120"/>
            </w:pPr>
            <w:r w:rsidRPr="00D92213">
              <w:rPr>
                <w:rFonts w:asciiTheme="majorBidi" w:hAnsiTheme="majorBidi" w:cstheme="majorBidi"/>
              </w:rPr>
              <w:t>Approche territorialisée dans l’élaboration des programmes</w:t>
            </w:r>
          </w:p>
        </w:tc>
      </w:tr>
      <w:tr w:rsidR="00D80693" w:rsidRPr="00D92213" w14:paraId="006E3EEB" w14:textId="77777777" w:rsidTr="00D72320">
        <w:tc>
          <w:tcPr>
            <w:tcW w:w="1270" w:type="dxa"/>
          </w:tcPr>
          <w:p w14:paraId="7C62400E" w14:textId="77777777" w:rsidR="00D80693" w:rsidRPr="00D92213" w:rsidRDefault="00D80693" w:rsidP="00D92213">
            <w:pPr>
              <w:spacing w:before="120"/>
            </w:pPr>
            <w:r w:rsidRPr="00D92213">
              <w:rPr>
                <w:rFonts w:asciiTheme="majorBidi" w:hAnsiTheme="majorBidi" w:cstheme="majorBidi"/>
              </w:rPr>
              <w:t>Article 22 – p. 12</w:t>
            </w:r>
          </w:p>
        </w:tc>
        <w:tc>
          <w:tcPr>
            <w:tcW w:w="1844" w:type="dxa"/>
          </w:tcPr>
          <w:p w14:paraId="604053F7" w14:textId="77777777" w:rsidR="00D80693" w:rsidRPr="00D92213" w:rsidRDefault="00D80693" w:rsidP="00D92213">
            <w:pPr>
              <w:spacing w:before="120"/>
            </w:pPr>
            <w:r w:rsidRPr="00D92213">
              <w:rPr>
                <w:rFonts w:asciiTheme="majorBidi" w:hAnsiTheme="majorBidi" w:cstheme="majorBidi"/>
              </w:rPr>
              <w:t>Décentralisation, autonomie</w:t>
            </w:r>
          </w:p>
        </w:tc>
        <w:tc>
          <w:tcPr>
            <w:tcW w:w="2268" w:type="dxa"/>
          </w:tcPr>
          <w:p w14:paraId="1EE226BD" w14:textId="77777777" w:rsidR="00D80693" w:rsidRPr="00D92213" w:rsidRDefault="00D80693" w:rsidP="00D92213">
            <w:pPr>
              <w:spacing w:before="120"/>
            </w:pPr>
            <w:r w:rsidRPr="00D92213">
              <w:rPr>
                <w:rFonts w:asciiTheme="majorBidi" w:hAnsiTheme="majorBidi" w:cstheme="majorBidi"/>
              </w:rPr>
              <w:t>Prendre en compte les réalités régionales dans la gestion pédagogique</w:t>
            </w:r>
          </w:p>
        </w:tc>
        <w:tc>
          <w:tcPr>
            <w:tcW w:w="1692" w:type="dxa"/>
          </w:tcPr>
          <w:p w14:paraId="64F4EBBD" w14:textId="77777777" w:rsidR="00D80693" w:rsidRPr="00D92213" w:rsidRDefault="00D80693" w:rsidP="00D92213">
            <w:pPr>
              <w:spacing w:before="120"/>
            </w:pPr>
            <w:r w:rsidRPr="00D92213">
              <w:rPr>
                <w:rFonts w:asciiTheme="majorBidi" w:hAnsiTheme="majorBidi" w:cstheme="majorBidi"/>
              </w:rPr>
              <w:t>Centralisation administrative et pédagogique</w:t>
            </w:r>
          </w:p>
        </w:tc>
        <w:tc>
          <w:tcPr>
            <w:tcW w:w="1875" w:type="dxa"/>
          </w:tcPr>
          <w:p w14:paraId="23048BA7" w14:textId="77777777" w:rsidR="00D80693" w:rsidRPr="00D92213" w:rsidRDefault="00D80693" w:rsidP="00D92213">
            <w:pPr>
              <w:spacing w:before="120"/>
            </w:pPr>
            <w:r w:rsidRPr="00D92213">
              <w:rPr>
                <w:rFonts w:asciiTheme="majorBidi" w:hAnsiTheme="majorBidi" w:cstheme="majorBidi"/>
              </w:rPr>
              <w:t>Autonomisation des structures régionales éducatives</w:t>
            </w:r>
          </w:p>
        </w:tc>
      </w:tr>
      <w:tr w:rsidR="00D80693" w:rsidRPr="00D92213" w14:paraId="30BC1FF2" w14:textId="77777777" w:rsidTr="00D72320">
        <w:tc>
          <w:tcPr>
            <w:tcW w:w="1270" w:type="dxa"/>
          </w:tcPr>
          <w:p w14:paraId="20706828" w14:textId="77777777" w:rsidR="00D80693" w:rsidRPr="00D92213" w:rsidRDefault="00D80693" w:rsidP="00D92213">
            <w:pPr>
              <w:spacing w:before="120"/>
            </w:pPr>
            <w:r w:rsidRPr="00D92213">
              <w:rPr>
                <w:rFonts w:asciiTheme="majorBidi" w:hAnsiTheme="majorBidi" w:cstheme="majorBidi"/>
              </w:rPr>
              <w:t>Article 16 – p. 9</w:t>
            </w:r>
          </w:p>
        </w:tc>
        <w:tc>
          <w:tcPr>
            <w:tcW w:w="1844" w:type="dxa"/>
          </w:tcPr>
          <w:p w14:paraId="13589583" w14:textId="77777777" w:rsidR="00D80693" w:rsidRPr="00D92213" w:rsidRDefault="00D80693" w:rsidP="00D92213">
            <w:pPr>
              <w:spacing w:before="120"/>
            </w:pPr>
            <w:r w:rsidRPr="00D92213">
              <w:rPr>
                <w:rFonts w:asciiTheme="majorBidi" w:hAnsiTheme="majorBidi" w:cstheme="majorBidi"/>
              </w:rPr>
              <w:t>Valeurs, éducation civique</w:t>
            </w:r>
          </w:p>
        </w:tc>
        <w:tc>
          <w:tcPr>
            <w:tcW w:w="2268" w:type="dxa"/>
          </w:tcPr>
          <w:p w14:paraId="486C6C70" w14:textId="77777777" w:rsidR="00D80693" w:rsidRPr="00D92213" w:rsidRDefault="00D80693" w:rsidP="00D92213">
            <w:pPr>
              <w:spacing w:before="120"/>
            </w:pPr>
            <w:r w:rsidRPr="00D92213">
              <w:rPr>
                <w:rFonts w:asciiTheme="majorBidi" w:hAnsiTheme="majorBidi" w:cstheme="majorBidi"/>
              </w:rPr>
              <w:t>Intégration des valeurs civiques, culturelles et environnementales gabonaises dans l’éducation</w:t>
            </w:r>
          </w:p>
        </w:tc>
        <w:tc>
          <w:tcPr>
            <w:tcW w:w="1692" w:type="dxa"/>
          </w:tcPr>
          <w:p w14:paraId="0288DC78" w14:textId="77777777" w:rsidR="00D80693" w:rsidRPr="00D92213" w:rsidRDefault="00D80693" w:rsidP="00D92213">
            <w:pPr>
              <w:spacing w:before="120"/>
            </w:pPr>
            <w:r w:rsidRPr="00D92213">
              <w:rPr>
                <w:rFonts w:asciiTheme="majorBidi" w:hAnsiTheme="majorBidi" w:cstheme="majorBidi"/>
              </w:rPr>
              <w:t>Référentiels éducatifs trop globalisés</w:t>
            </w:r>
          </w:p>
        </w:tc>
        <w:tc>
          <w:tcPr>
            <w:tcW w:w="1875" w:type="dxa"/>
          </w:tcPr>
          <w:p w14:paraId="577EA63C" w14:textId="77777777" w:rsidR="00D80693" w:rsidRPr="00D92213" w:rsidRDefault="00D80693" w:rsidP="00D92213">
            <w:pPr>
              <w:spacing w:before="120"/>
            </w:pPr>
            <w:r w:rsidRPr="00D92213">
              <w:rPr>
                <w:rFonts w:asciiTheme="majorBidi" w:hAnsiTheme="majorBidi" w:cstheme="majorBidi"/>
              </w:rPr>
              <w:t>Production de contenus éducatifs ancrés dans les valeurs locales</w:t>
            </w:r>
          </w:p>
        </w:tc>
      </w:tr>
      <w:tr w:rsidR="00D80693" w:rsidRPr="00D92213" w14:paraId="06EF55B5" w14:textId="77777777" w:rsidTr="00D72320">
        <w:tc>
          <w:tcPr>
            <w:tcW w:w="1270" w:type="dxa"/>
          </w:tcPr>
          <w:p w14:paraId="3C2250B8" w14:textId="77777777" w:rsidR="00D80693" w:rsidRPr="00D92213" w:rsidRDefault="00D80693" w:rsidP="00D92213">
            <w:pPr>
              <w:spacing w:before="120"/>
            </w:pPr>
            <w:r w:rsidRPr="00D92213">
              <w:rPr>
                <w:rFonts w:asciiTheme="majorBidi" w:hAnsiTheme="majorBidi" w:cstheme="majorBidi"/>
              </w:rPr>
              <w:t>Article 27 – p. 14</w:t>
            </w:r>
          </w:p>
        </w:tc>
        <w:tc>
          <w:tcPr>
            <w:tcW w:w="1844" w:type="dxa"/>
          </w:tcPr>
          <w:p w14:paraId="0B7F7977" w14:textId="77777777" w:rsidR="00D80693" w:rsidRPr="00D92213" w:rsidRDefault="00D80693" w:rsidP="00D92213">
            <w:pPr>
              <w:spacing w:before="120"/>
            </w:pPr>
            <w:r w:rsidRPr="00D92213">
              <w:rPr>
                <w:rFonts w:asciiTheme="majorBidi" w:hAnsiTheme="majorBidi" w:cstheme="majorBidi"/>
              </w:rPr>
              <w:t>Langues nationales, culture</w:t>
            </w:r>
          </w:p>
        </w:tc>
        <w:tc>
          <w:tcPr>
            <w:tcW w:w="2268" w:type="dxa"/>
          </w:tcPr>
          <w:p w14:paraId="34637CCF" w14:textId="77777777" w:rsidR="00D80693" w:rsidRPr="00D92213" w:rsidRDefault="00D80693" w:rsidP="00D92213">
            <w:pPr>
              <w:spacing w:before="120"/>
            </w:pPr>
            <w:r w:rsidRPr="00D92213">
              <w:rPr>
                <w:rFonts w:asciiTheme="majorBidi" w:hAnsiTheme="majorBidi" w:cstheme="majorBidi"/>
              </w:rPr>
              <w:t>Encouragement à l’usage des langues nationales comme outil d’apprentissage contextualisé</w:t>
            </w:r>
          </w:p>
        </w:tc>
        <w:tc>
          <w:tcPr>
            <w:tcW w:w="1692" w:type="dxa"/>
          </w:tcPr>
          <w:p w14:paraId="67B7DBFA" w14:textId="77777777" w:rsidR="00D80693" w:rsidRPr="00D92213" w:rsidRDefault="00D80693" w:rsidP="00D92213">
            <w:pPr>
              <w:spacing w:before="120"/>
            </w:pPr>
            <w:r w:rsidRPr="00D92213">
              <w:rPr>
                <w:rFonts w:asciiTheme="majorBidi" w:hAnsiTheme="majorBidi" w:cstheme="majorBidi"/>
              </w:rPr>
              <w:t>Faible valorisation des langues nationales à l’école</w:t>
            </w:r>
          </w:p>
        </w:tc>
        <w:tc>
          <w:tcPr>
            <w:tcW w:w="1875" w:type="dxa"/>
          </w:tcPr>
          <w:p w14:paraId="137EEA4D" w14:textId="77777777" w:rsidR="00D80693" w:rsidRPr="00D92213" w:rsidRDefault="00D80693" w:rsidP="00D92213">
            <w:pPr>
              <w:spacing w:before="120"/>
            </w:pPr>
            <w:r w:rsidRPr="00D92213">
              <w:rPr>
                <w:rFonts w:asciiTheme="majorBidi" w:hAnsiTheme="majorBidi" w:cstheme="majorBidi"/>
              </w:rPr>
              <w:t>Introduction progressive des langues locales dans les programmes</w:t>
            </w:r>
          </w:p>
        </w:tc>
      </w:tr>
      <w:tr w:rsidR="00D80693" w:rsidRPr="00D92213" w14:paraId="10D6023E" w14:textId="77777777" w:rsidTr="00D72320">
        <w:tc>
          <w:tcPr>
            <w:tcW w:w="1270" w:type="dxa"/>
          </w:tcPr>
          <w:p w14:paraId="26B7AA0B" w14:textId="77777777" w:rsidR="00D80693" w:rsidRPr="00D92213" w:rsidRDefault="00D80693" w:rsidP="00D92213">
            <w:pPr>
              <w:spacing w:before="120"/>
            </w:pPr>
            <w:r w:rsidRPr="00D92213">
              <w:rPr>
                <w:rFonts w:asciiTheme="majorBidi" w:hAnsiTheme="majorBidi" w:cstheme="majorBidi"/>
              </w:rPr>
              <w:t>Article 34 – p. 17</w:t>
            </w:r>
          </w:p>
        </w:tc>
        <w:tc>
          <w:tcPr>
            <w:tcW w:w="1844" w:type="dxa"/>
          </w:tcPr>
          <w:p w14:paraId="6F031EB1" w14:textId="77777777" w:rsidR="00D80693" w:rsidRPr="00D92213" w:rsidRDefault="00D80693" w:rsidP="00D92213">
            <w:pPr>
              <w:spacing w:before="120"/>
            </w:pPr>
            <w:r w:rsidRPr="00D92213">
              <w:rPr>
                <w:rFonts w:asciiTheme="majorBidi" w:hAnsiTheme="majorBidi" w:cstheme="majorBidi"/>
              </w:rPr>
              <w:t>Économie, entreprise, professionnalisation</w:t>
            </w:r>
          </w:p>
        </w:tc>
        <w:tc>
          <w:tcPr>
            <w:tcW w:w="2268" w:type="dxa"/>
          </w:tcPr>
          <w:p w14:paraId="65BD5D11" w14:textId="77777777" w:rsidR="00D80693" w:rsidRPr="00D92213" w:rsidRDefault="00D80693" w:rsidP="00D92213">
            <w:pPr>
              <w:spacing w:before="120"/>
            </w:pPr>
            <w:r w:rsidRPr="00D92213">
              <w:rPr>
                <w:rFonts w:asciiTheme="majorBidi" w:hAnsiTheme="majorBidi" w:cstheme="majorBidi"/>
              </w:rPr>
              <w:t>Développer des formations adaptées aux exigences économiques locales</w:t>
            </w:r>
          </w:p>
        </w:tc>
        <w:tc>
          <w:tcPr>
            <w:tcW w:w="1692" w:type="dxa"/>
          </w:tcPr>
          <w:p w14:paraId="2CA83D41" w14:textId="77777777" w:rsidR="00D80693" w:rsidRPr="00D92213" w:rsidRDefault="00D80693" w:rsidP="00D92213">
            <w:pPr>
              <w:spacing w:before="120"/>
            </w:pPr>
            <w:r w:rsidRPr="00D92213">
              <w:rPr>
                <w:rFonts w:asciiTheme="majorBidi" w:hAnsiTheme="majorBidi" w:cstheme="majorBidi"/>
              </w:rPr>
              <w:t>Décalage entre formation scolaire et marché de l’emploi</w:t>
            </w:r>
          </w:p>
        </w:tc>
        <w:tc>
          <w:tcPr>
            <w:tcW w:w="1875" w:type="dxa"/>
          </w:tcPr>
          <w:p w14:paraId="4D42A58D" w14:textId="77777777" w:rsidR="00D80693" w:rsidRPr="00D92213" w:rsidRDefault="00D80693" w:rsidP="00D92213">
            <w:pPr>
              <w:spacing w:before="120"/>
            </w:pPr>
            <w:r w:rsidRPr="00D92213">
              <w:rPr>
                <w:rFonts w:asciiTheme="majorBidi" w:hAnsiTheme="majorBidi" w:cstheme="majorBidi"/>
              </w:rPr>
              <w:t>Co-construction des programmes avec les entreprises locales</w:t>
            </w:r>
          </w:p>
        </w:tc>
      </w:tr>
      <w:tr w:rsidR="00D80693" w:rsidRPr="00D92213" w14:paraId="4667DD7E" w14:textId="77777777" w:rsidTr="00D72320">
        <w:tc>
          <w:tcPr>
            <w:tcW w:w="1270" w:type="dxa"/>
          </w:tcPr>
          <w:p w14:paraId="7D20CD33" w14:textId="77777777" w:rsidR="00D80693" w:rsidRPr="00D92213" w:rsidRDefault="00D80693" w:rsidP="00D92213">
            <w:pPr>
              <w:spacing w:before="120"/>
            </w:pPr>
            <w:r w:rsidRPr="00D92213">
              <w:rPr>
                <w:rFonts w:asciiTheme="majorBidi" w:hAnsiTheme="majorBidi" w:cstheme="majorBidi"/>
              </w:rPr>
              <w:t>Article 50 – p. 24</w:t>
            </w:r>
          </w:p>
        </w:tc>
        <w:tc>
          <w:tcPr>
            <w:tcW w:w="1844" w:type="dxa"/>
          </w:tcPr>
          <w:p w14:paraId="6E6D2512" w14:textId="77777777" w:rsidR="00D80693" w:rsidRPr="00D92213" w:rsidRDefault="00D80693" w:rsidP="00D92213">
            <w:pPr>
              <w:spacing w:before="120"/>
            </w:pPr>
            <w:r w:rsidRPr="00D92213">
              <w:rPr>
                <w:rFonts w:asciiTheme="majorBidi" w:hAnsiTheme="majorBidi" w:cstheme="majorBidi"/>
              </w:rPr>
              <w:t>Communautés, participation</w:t>
            </w:r>
          </w:p>
        </w:tc>
        <w:tc>
          <w:tcPr>
            <w:tcW w:w="2268" w:type="dxa"/>
          </w:tcPr>
          <w:p w14:paraId="6C341401" w14:textId="77777777" w:rsidR="00D80693" w:rsidRPr="00D92213" w:rsidRDefault="00D80693" w:rsidP="00D92213">
            <w:pPr>
              <w:spacing w:before="120"/>
            </w:pPr>
            <w:r w:rsidRPr="00D92213">
              <w:rPr>
                <w:rFonts w:asciiTheme="majorBidi" w:hAnsiTheme="majorBidi" w:cstheme="majorBidi"/>
              </w:rPr>
              <w:t>Associer les collectivités et communautés locales à l’élaboration des politiques éducatives</w:t>
            </w:r>
          </w:p>
        </w:tc>
        <w:tc>
          <w:tcPr>
            <w:tcW w:w="1692" w:type="dxa"/>
          </w:tcPr>
          <w:p w14:paraId="24F05CEE" w14:textId="77777777" w:rsidR="00D80693" w:rsidRPr="00D92213" w:rsidRDefault="00D80693" w:rsidP="00D92213">
            <w:pPr>
              <w:spacing w:before="120"/>
            </w:pPr>
            <w:r w:rsidRPr="00D92213">
              <w:rPr>
                <w:rFonts w:asciiTheme="majorBidi" w:hAnsiTheme="majorBidi" w:cstheme="majorBidi"/>
              </w:rPr>
              <w:t>Manque d’implication des acteurs de terrain</w:t>
            </w:r>
          </w:p>
        </w:tc>
        <w:tc>
          <w:tcPr>
            <w:tcW w:w="1875" w:type="dxa"/>
          </w:tcPr>
          <w:p w14:paraId="3429E5F6" w14:textId="77777777" w:rsidR="00D80693" w:rsidRPr="00D92213" w:rsidRDefault="00D80693" w:rsidP="00D92213">
            <w:pPr>
              <w:spacing w:before="120"/>
            </w:pPr>
            <w:r w:rsidRPr="00D92213">
              <w:rPr>
                <w:rFonts w:asciiTheme="majorBidi" w:hAnsiTheme="majorBidi" w:cstheme="majorBidi"/>
              </w:rPr>
              <w:t>Mise en place de comités éducatifs locaux participatifs</w:t>
            </w:r>
          </w:p>
        </w:tc>
      </w:tr>
    </w:tbl>
    <w:p w14:paraId="19A8FD6C" w14:textId="77777777" w:rsidR="00D80693" w:rsidRPr="00010B7C" w:rsidRDefault="00D80693" w:rsidP="00D92213">
      <w:pPr>
        <w:spacing w:before="120"/>
        <w:rPr>
          <w:rFonts w:eastAsia="Aptos"/>
          <w:b/>
          <w:bCs/>
          <w:i/>
          <w:iCs/>
          <w:szCs w:val="24"/>
          <w:lang w:val="fr-SN"/>
        </w:rPr>
      </w:pPr>
      <w:r w:rsidRPr="00010B7C">
        <w:rPr>
          <w:rFonts w:asciiTheme="majorBidi" w:eastAsia="Aptos" w:hAnsiTheme="majorBidi" w:cstheme="majorBidi"/>
          <w:b/>
          <w:bCs/>
          <w:i/>
          <w:iCs/>
          <w:szCs w:val="24"/>
          <w:lang w:val="fr-SN"/>
        </w:rPr>
        <w:t xml:space="preserve">Source : </w:t>
      </w:r>
      <w:r>
        <w:rPr>
          <w:rFonts w:asciiTheme="majorBidi" w:eastAsia="Aptos" w:hAnsiTheme="majorBidi" w:cstheme="majorBidi"/>
          <w:b/>
          <w:bCs/>
          <w:i/>
          <w:iCs/>
          <w:szCs w:val="24"/>
          <w:lang w:val="fr-SN"/>
        </w:rPr>
        <w:t xml:space="preserve">enquête de terrain, </w:t>
      </w:r>
      <w:proofErr w:type="spellStart"/>
      <w:r>
        <w:rPr>
          <w:rFonts w:asciiTheme="majorBidi" w:eastAsia="Aptos" w:hAnsiTheme="majorBidi" w:cstheme="majorBidi"/>
          <w:b/>
          <w:bCs/>
          <w:i/>
          <w:iCs/>
          <w:szCs w:val="24"/>
          <w:lang w:val="fr-SN"/>
        </w:rPr>
        <w:t>Moussavou</w:t>
      </w:r>
      <w:proofErr w:type="spellEnd"/>
      <w:r>
        <w:rPr>
          <w:rFonts w:asciiTheme="majorBidi" w:eastAsia="Aptos" w:hAnsiTheme="majorBidi" w:cstheme="majorBidi"/>
          <w:b/>
          <w:bCs/>
          <w:i/>
          <w:iCs/>
          <w:szCs w:val="24"/>
          <w:lang w:val="fr-SN"/>
        </w:rPr>
        <w:t>, 2025</w:t>
      </w:r>
    </w:p>
    <w:p w14:paraId="030ED920" w14:textId="77777777" w:rsidR="00D80693" w:rsidRDefault="00D80693" w:rsidP="00D92213">
      <w:pPr>
        <w:spacing w:before="120"/>
        <w:rPr>
          <w:rFonts w:eastAsia="Aptos"/>
          <w:b/>
          <w:bCs/>
          <w:i/>
          <w:iCs/>
          <w:sz w:val="24"/>
          <w:szCs w:val="24"/>
          <w:lang w:val="fr-SN"/>
        </w:rPr>
      </w:pPr>
    </w:p>
    <w:p w14:paraId="6BAC5FA3" w14:textId="77777777" w:rsidR="00D80693" w:rsidRDefault="00D80693" w:rsidP="00D92213">
      <w:pPr>
        <w:spacing w:before="120"/>
        <w:jc w:val="center"/>
        <w:rPr>
          <w:rFonts w:eastAsia="Aptos"/>
          <w:b/>
          <w:bCs/>
          <w:i/>
          <w:iCs/>
          <w:sz w:val="24"/>
          <w:szCs w:val="24"/>
          <w:lang w:val="fr-SN"/>
        </w:rPr>
      </w:pPr>
    </w:p>
    <w:p w14:paraId="4EDDE734" w14:textId="77777777" w:rsidR="00D80693" w:rsidRDefault="00D80693" w:rsidP="00D92213">
      <w:pPr>
        <w:spacing w:before="120"/>
        <w:jc w:val="center"/>
        <w:rPr>
          <w:rFonts w:eastAsia="Aptos"/>
          <w:b/>
          <w:bCs/>
          <w:i/>
          <w:iCs/>
          <w:sz w:val="24"/>
          <w:szCs w:val="24"/>
          <w:lang w:val="fr-SN"/>
        </w:rPr>
      </w:pPr>
    </w:p>
    <w:p w14:paraId="31FB9187" w14:textId="77777777" w:rsidR="00D80693" w:rsidRDefault="00D80693" w:rsidP="00D92213">
      <w:pPr>
        <w:spacing w:before="120"/>
        <w:jc w:val="center"/>
        <w:rPr>
          <w:rFonts w:eastAsia="Aptos"/>
          <w:b/>
          <w:bCs/>
          <w:i/>
          <w:iCs/>
          <w:sz w:val="24"/>
          <w:szCs w:val="24"/>
          <w:lang w:val="fr-SN"/>
        </w:rPr>
      </w:pPr>
    </w:p>
    <w:p w14:paraId="1B0AC781" w14:textId="77777777" w:rsidR="00D80693" w:rsidRDefault="00D80693" w:rsidP="00D92213">
      <w:pPr>
        <w:spacing w:before="120"/>
        <w:jc w:val="center"/>
        <w:rPr>
          <w:rFonts w:eastAsia="Aptos"/>
          <w:b/>
          <w:bCs/>
          <w:i/>
          <w:iCs/>
          <w:sz w:val="24"/>
          <w:szCs w:val="24"/>
          <w:lang w:val="fr-SN"/>
        </w:rPr>
      </w:pPr>
    </w:p>
    <w:p w14:paraId="07946314" w14:textId="77777777" w:rsidR="00D80693" w:rsidRDefault="00D80693" w:rsidP="00D92213">
      <w:pPr>
        <w:spacing w:before="120"/>
        <w:jc w:val="center"/>
        <w:rPr>
          <w:rFonts w:eastAsia="Aptos"/>
          <w:b/>
          <w:bCs/>
          <w:i/>
          <w:iCs/>
          <w:sz w:val="24"/>
          <w:szCs w:val="24"/>
          <w:lang w:val="fr-SN"/>
        </w:rPr>
      </w:pPr>
    </w:p>
    <w:p w14:paraId="62A9A71E" w14:textId="77777777" w:rsidR="00D80693" w:rsidRPr="0001561D" w:rsidRDefault="00D80693" w:rsidP="00D92213">
      <w:pPr>
        <w:spacing w:before="120"/>
        <w:jc w:val="center"/>
        <w:rPr>
          <w:rFonts w:eastAsia="Aptos"/>
          <w:b/>
          <w:bCs/>
          <w:i/>
          <w:iCs/>
          <w:sz w:val="24"/>
          <w:szCs w:val="24"/>
          <w:lang w:val="fr-SN"/>
        </w:rPr>
      </w:pPr>
      <w:r w:rsidRPr="0001561D">
        <w:rPr>
          <w:rFonts w:asciiTheme="majorBidi" w:eastAsia="Aptos" w:hAnsiTheme="majorBidi" w:cstheme="majorBidi"/>
          <w:b/>
          <w:bCs/>
          <w:i/>
          <w:iCs/>
          <w:sz w:val="24"/>
          <w:szCs w:val="24"/>
          <w:lang w:val="fr-SN"/>
        </w:rPr>
        <w:t xml:space="preserve">Tableau </w:t>
      </w:r>
      <w:r>
        <w:rPr>
          <w:rFonts w:asciiTheme="majorBidi" w:eastAsia="Aptos" w:hAnsiTheme="majorBidi" w:cstheme="majorBidi"/>
          <w:b/>
          <w:bCs/>
          <w:i/>
          <w:iCs/>
          <w:sz w:val="24"/>
          <w:szCs w:val="24"/>
          <w:lang w:val="fr-SN"/>
        </w:rPr>
        <w:t>3</w:t>
      </w:r>
      <w:r w:rsidRPr="0001561D">
        <w:rPr>
          <w:rFonts w:asciiTheme="majorBidi" w:eastAsia="Aptos" w:hAnsiTheme="majorBidi" w:cstheme="majorBidi"/>
          <w:b/>
          <w:bCs/>
          <w:i/>
          <w:iCs/>
          <w:sz w:val="24"/>
          <w:szCs w:val="24"/>
          <w:lang w:val="fr-SN"/>
        </w:rPr>
        <w:t xml:space="preserve"> : </w:t>
      </w:r>
      <w:r>
        <w:rPr>
          <w:rFonts w:asciiTheme="majorBidi" w:eastAsia="Aptos" w:hAnsiTheme="majorBidi" w:cstheme="majorBidi"/>
          <w:b/>
          <w:bCs/>
          <w:i/>
          <w:iCs/>
          <w:sz w:val="24"/>
          <w:szCs w:val="24"/>
          <w:lang w:val="fr-SN"/>
        </w:rPr>
        <w:t xml:space="preserve">La </w:t>
      </w:r>
      <w:r w:rsidRPr="0001561D">
        <w:rPr>
          <w:rFonts w:asciiTheme="majorBidi" w:eastAsia="Aptos" w:hAnsiTheme="majorBidi" w:cstheme="majorBidi"/>
          <w:b/>
          <w:bCs/>
          <w:i/>
          <w:iCs/>
          <w:sz w:val="24"/>
          <w:szCs w:val="24"/>
          <w:lang w:val="fr-SN"/>
        </w:rPr>
        <w:t xml:space="preserve">contextualisation </w:t>
      </w:r>
      <w:r>
        <w:rPr>
          <w:rFonts w:asciiTheme="majorBidi" w:eastAsia="Aptos" w:hAnsiTheme="majorBidi" w:cstheme="majorBidi"/>
          <w:b/>
          <w:bCs/>
          <w:i/>
          <w:iCs/>
          <w:sz w:val="24"/>
          <w:szCs w:val="24"/>
          <w:lang w:val="fr-SN"/>
        </w:rPr>
        <w:t>dans la progression du C</w:t>
      </w:r>
      <w:r w:rsidRPr="0001561D">
        <w:rPr>
          <w:rFonts w:asciiTheme="majorBidi" w:eastAsia="Aptos" w:hAnsiTheme="majorBidi" w:cstheme="majorBidi"/>
          <w:b/>
          <w:bCs/>
          <w:i/>
          <w:iCs/>
          <w:sz w:val="24"/>
          <w:szCs w:val="24"/>
          <w:lang w:val="fr-SN"/>
        </w:rPr>
        <w:t>ollège.</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15"/>
        <w:gridCol w:w="1670"/>
        <w:gridCol w:w="1725"/>
        <w:gridCol w:w="1818"/>
        <w:gridCol w:w="1964"/>
        <w:gridCol w:w="1646"/>
      </w:tblGrid>
      <w:tr w:rsidR="00D80693" w:rsidRPr="00D92213" w14:paraId="571AF78E" w14:textId="77777777" w:rsidTr="00D72320">
        <w:tc>
          <w:tcPr>
            <w:tcW w:w="815" w:type="dxa"/>
          </w:tcPr>
          <w:p w14:paraId="217D1439" w14:textId="77777777" w:rsidR="00D80693" w:rsidRPr="00D92213" w:rsidRDefault="00D80693" w:rsidP="00D92213">
            <w:pPr>
              <w:spacing w:before="120"/>
              <w:contextualSpacing/>
              <w:jc w:val="center"/>
              <w:rPr>
                <w:rFonts w:eastAsia="MS Mincho"/>
                <w:b/>
                <w:bCs/>
                <w:lang w:val="en-US"/>
              </w:rPr>
            </w:pPr>
            <w:r w:rsidRPr="00D92213">
              <w:rPr>
                <w:rFonts w:asciiTheme="majorBidi" w:eastAsia="MS Mincho" w:hAnsiTheme="majorBidi" w:cstheme="majorBidi"/>
                <w:b/>
                <w:bCs/>
                <w:lang w:val="en-US"/>
              </w:rPr>
              <w:t>Classe</w:t>
            </w:r>
          </w:p>
        </w:tc>
        <w:tc>
          <w:tcPr>
            <w:tcW w:w="1670" w:type="dxa"/>
          </w:tcPr>
          <w:p w14:paraId="567D9EE1" w14:textId="77777777" w:rsidR="00D80693" w:rsidRPr="00D92213" w:rsidRDefault="00D80693" w:rsidP="00D92213">
            <w:pPr>
              <w:spacing w:before="120"/>
              <w:contextualSpacing/>
              <w:jc w:val="center"/>
              <w:rPr>
                <w:rFonts w:eastAsia="MS Mincho"/>
                <w:b/>
                <w:bCs/>
                <w:lang w:val="en-US"/>
              </w:rPr>
            </w:pPr>
            <w:proofErr w:type="spellStart"/>
            <w:r w:rsidRPr="00D92213">
              <w:rPr>
                <w:rFonts w:asciiTheme="majorBidi" w:eastAsia="MS Mincho" w:hAnsiTheme="majorBidi" w:cstheme="majorBidi"/>
                <w:b/>
                <w:bCs/>
                <w:lang w:val="en-US"/>
              </w:rPr>
              <w:t>Chapitre</w:t>
            </w:r>
            <w:proofErr w:type="spellEnd"/>
          </w:p>
        </w:tc>
        <w:tc>
          <w:tcPr>
            <w:tcW w:w="1725" w:type="dxa"/>
          </w:tcPr>
          <w:p w14:paraId="2C450537" w14:textId="77777777" w:rsidR="00D80693" w:rsidRPr="00D92213" w:rsidRDefault="00D80693" w:rsidP="00D92213">
            <w:pPr>
              <w:spacing w:before="120"/>
              <w:contextualSpacing/>
              <w:jc w:val="center"/>
              <w:rPr>
                <w:rFonts w:eastAsia="MS Mincho"/>
                <w:b/>
                <w:bCs/>
                <w:lang w:val="en-US"/>
              </w:rPr>
            </w:pPr>
            <w:r w:rsidRPr="00D92213">
              <w:rPr>
                <w:rFonts w:asciiTheme="majorBidi" w:eastAsia="MS Mincho" w:hAnsiTheme="majorBidi" w:cstheme="majorBidi"/>
                <w:b/>
                <w:bCs/>
                <w:lang w:val="en-US"/>
              </w:rPr>
              <w:t>Mots-</w:t>
            </w:r>
            <w:proofErr w:type="spellStart"/>
            <w:r w:rsidRPr="00D92213">
              <w:rPr>
                <w:rFonts w:asciiTheme="majorBidi" w:eastAsia="MS Mincho" w:hAnsiTheme="majorBidi" w:cstheme="majorBidi"/>
                <w:b/>
                <w:bCs/>
                <w:lang w:val="en-US"/>
              </w:rPr>
              <w:t>clés</w:t>
            </w:r>
            <w:proofErr w:type="spellEnd"/>
          </w:p>
        </w:tc>
        <w:tc>
          <w:tcPr>
            <w:tcW w:w="1818" w:type="dxa"/>
          </w:tcPr>
          <w:p w14:paraId="6EE5E2E6" w14:textId="77777777" w:rsidR="00D80693" w:rsidRPr="00D92213" w:rsidRDefault="00D80693" w:rsidP="00D92213">
            <w:pPr>
              <w:spacing w:before="120"/>
              <w:contextualSpacing/>
              <w:jc w:val="center"/>
              <w:rPr>
                <w:rFonts w:eastAsia="MS Mincho"/>
                <w:b/>
                <w:bCs/>
              </w:rPr>
            </w:pPr>
            <w:r w:rsidRPr="00D92213">
              <w:rPr>
                <w:rFonts w:asciiTheme="majorBidi" w:eastAsia="MS Mincho" w:hAnsiTheme="majorBidi" w:cstheme="majorBidi"/>
                <w:b/>
                <w:bCs/>
              </w:rPr>
              <w:t>Orientation donnée à la contextualisation</w:t>
            </w:r>
          </w:p>
        </w:tc>
        <w:tc>
          <w:tcPr>
            <w:tcW w:w="1964" w:type="dxa"/>
          </w:tcPr>
          <w:p w14:paraId="043E7C2E" w14:textId="77777777" w:rsidR="00D80693" w:rsidRPr="00D92213" w:rsidRDefault="00D80693" w:rsidP="00D92213">
            <w:pPr>
              <w:spacing w:before="120"/>
              <w:contextualSpacing/>
              <w:jc w:val="center"/>
              <w:rPr>
                <w:rFonts w:eastAsia="MS Mincho"/>
                <w:b/>
                <w:bCs/>
                <w:lang w:val="en-US"/>
              </w:rPr>
            </w:pPr>
            <w:proofErr w:type="spellStart"/>
            <w:r w:rsidRPr="00D92213">
              <w:rPr>
                <w:rFonts w:asciiTheme="majorBidi" w:eastAsia="MS Mincho" w:hAnsiTheme="majorBidi" w:cstheme="majorBidi"/>
                <w:b/>
                <w:bCs/>
                <w:lang w:val="en-US"/>
              </w:rPr>
              <w:t>Difficultés</w:t>
            </w:r>
            <w:proofErr w:type="spellEnd"/>
            <w:r w:rsidRPr="00D92213">
              <w:rPr>
                <w:rFonts w:asciiTheme="majorBidi" w:eastAsia="MS Mincho" w:hAnsiTheme="majorBidi" w:cstheme="majorBidi"/>
                <w:b/>
                <w:bCs/>
                <w:lang w:val="en-US"/>
              </w:rPr>
              <w:t xml:space="preserve"> </w:t>
            </w:r>
            <w:proofErr w:type="spellStart"/>
            <w:r w:rsidRPr="00D92213">
              <w:rPr>
                <w:rFonts w:asciiTheme="majorBidi" w:eastAsia="MS Mincho" w:hAnsiTheme="majorBidi" w:cstheme="majorBidi"/>
                <w:b/>
                <w:bCs/>
                <w:lang w:val="en-US"/>
              </w:rPr>
              <w:t>rencontrées</w:t>
            </w:r>
            <w:proofErr w:type="spellEnd"/>
          </w:p>
        </w:tc>
        <w:tc>
          <w:tcPr>
            <w:tcW w:w="1646" w:type="dxa"/>
          </w:tcPr>
          <w:p w14:paraId="6C2EB678" w14:textId="77777777" w:rsidR="00D80693" w:rsidRPr="00D92213" w:rsidRDefault="00D80693" w:rsidP="00D92213">
            <w:pPr>
              <w:spacing w:before="120"/>
              <w:contextualSpacing/>
              <w:jc w:val="center"/>
              <w:rPr>
                <w:rFonts w:eastAsia="MS Mincho"/>
                <w:b/>
                <w:bCs/>
                <w:lang w:val="en-US"/>
              </w:rPr>
            </w:pPr>
            <w:proofErr w:type="spellStart"/>
            <w:r w:rsidRPr="00D92213">
              <w:rPr>
                <w:rFonts w:asciiTheme="majorBidi" w:eastAsia="MS Mincho" w:hAnsiTheme="majorBidi" w:cstheme="majorBidi"/>
                <w:b/>
                <w:bCs/>
                <w:lang w:val="en-US"/>
              </w:rPr>
              <w:t>Stratégies</w:t>
            </w:r>
            <w:proofErr w:type="spellEnd"/>
            <w:r w:rsidRPr="00D92213">
              <w:rPr>
                <w:rFonts w:asciiTheme="majorBidi" w:eastAsia="MS Mincho" w:hAnsiTheme="majorBidi" w:cstheme="majorBidi"/>
                <w:b/>
                <w:bCs/>
                <w:lang w:val="en-US"/>
              </w:rPr>
              <w:t xml:space="preserve"> </w:t>
            </w:r>
            <w:proofErr w:type="spellStart"/>
            <w:r w:rsidRPr="00D92213">
              <w:rPr>
                <w:rFonts w:asciiTheme="majorBidi" w:eastAsia="MS Mincho" w:hAnsiTheme="majorBidi" w:cstheme="majorBidi"/>
                <w:b/>
                <w:bCs/>
                <w:lang w:val="en-US"/>
              </w:rPr>
              <w:t>innovantes</w:t>
            </w:r>
            <w:proofErr w:type="spellEnd"/>
          </w:p>
        </w:tc>
      </w:tr>
      <w:tr w:rsidR="00D80693" w:rsidRPr="00D92213" w14:paraId="68BF85E3" w14:textId="77777777" w:rsidTr="00D72320">
        <w:tc>
          <w:tcPr>
            <w:tcW w:w="815" w:type="dxa"/>
          </w:tcPr>
          <w:p w14:paraId="4097D409"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6e</w:t>
            </w:r>
          </w:p>
        </w:tc>
        <w:tc>
          <w:tcPr>
            <w:tcW w:w="1670" w:type="dxa"/>
          </w:tcPr>
          <w:p w14:paraId="1BAE21C2"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Environnement et répartition des êtres vivants</w:t>
            </w:r>
          </w:p>
        </w:tc>
        <w:tc>
          <w:tcPr>
            <w:tcW w:w="1725" w:type="dxa"/>
          </w:tcPr>
          <w:p w14:paraId="0251C3B5"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Milieu de vie, géologie, composantes de l’environnement</w:t>
            </w:r>
          </w:p>
        </w:tc>
        <w:tc>
          <w:tcPr>
            <w:tcW w:w="1818" w:type="dxa"/>
          </w:tcPr>
          <w:p w14:paraId="15CD9B06"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Ancrage local : étude des éléments visibles autour de l’établissement</w:t>
            </w:r>
          </w:p>
        </w:tc>
        <w:tc>
          <w:tcPr>
            <w:tcW w:w="1964" w:type="dxa"/>
          </w:tcPr>
          <w:p w14:paraId="0BC0E55D"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Accès limité aux laboratoires ou sites spécialisés</w:t>
            </w:r>
          </w:p>
        </w:tc>
        <w:tc>
          <w:tcPr>
            <w:tcW w:w="1646" w:type="dxa"/>
          </w:tcPr>
          <w:p w14:paraId="022BE367"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Sorties, </w:t>
            </w:r>
            <w:proofErr w:type="spellStart"/>
            <w:r w:rsidRPr="00D92213">
              <w:rPr>
                <w:rFonts w:asciiTheme="majorBidi" w:eastAsia="MS Mincho" w:hAnsiTheme="majorBidi" w:cstheme="majorBidi"/>
                <w:lang w:val="en-US"/>
              </w:rPr>
              <w:t>cartes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vidéos</w:t>
            </w:r>
            <w:proofErr w:type="spellEnd"/>
            <w:r w:rsidRPr="00D92213">
              <w:rPr>
                <w:rFonts w:asciiTheme="majorBidi" w:eastAsia="MS Mincho" w:hAnsiTheme="majorBidi" w:cstheme="majorBidi"/>
                <w:lang w:val="en-US"/>
              </w:rPr>
              <w:t>, brainstorming</w:t>
            </w:r>
          </w:p>
        </w:tc>
      </w:tr>
      <w:tr w:rsidR="00D80693" w:rsidRPr="00D92213" w14:paraId="3AEE5A00" w14:textId="77777777" w:rsidTr="00D72320">
        <w:tc>
          <w:tcPr>
            <w:tcW w:w="815" w:type="dxa"/>
          </w:tcPr>
          <w:p w14:paraId="16803A66"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6e</w:t>
            </w:r>
          </w:p>
        </w:tc>
        <w:tc>
          <w:tcPr>
            <w:tcW w:w="1670" w:type="dxa"/>
          </w:tcPr>
          <w:p w14:paraId="504D18DF"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Le sol, un milieu de vie</w:t>
            </w:r>
          </w:p>
        </w:tc>
        <w:tc>
          <w:tcPr>
            <w:tcW w:w="1725" w:type="dxa"/>
          </w:tcPr>
          <w:p w14:paraId="38BFF73B"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Constituants du sol, vie du sol</w:t>
            </w:r>
          </w:p>
        </w:tc>
        <w:tc>
          <w:tcPr>
            <w:tcW w:w="1818" w:type="dxa"/>
          </w:tcPr>
          <w:p w14:paraId="377C7291"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Lien avec besoins agricoles locaux</w:t>
            </w:r>
          </w:p>
        </w:tc>
        <w:tc>
          <w:tcPr>
            <w:tcW w:w="1964" w:type="dxa"/>
          </w:tcPr>
          <w:p w14:paraId="3C44003D"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Matériel de TP parfois insuffisant</w:t>
            </w:r>
          </w:p>
        </w:tc>
        <w:tc>
          <w:tcPr>
            <w:tcW w:w="1646" w:type="dxa"/>
          </w:tcPr>
          <w:p w14:paraId="17C9FCA7"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Jardin potager, sorties </w:t>
            </w:r>
            <w:proofErr w:type="spellStart"/>
            <w:r w:rsidRPr="00D92213">
              <w:rPr>
                <w:rFonts w:asciiTheme="majorBidi" w:eastAsia="MS Mincho" w:hAnsiTheme="majorBidi" w:cstheme="majorBidi"/>
                <w:lang w:val="en-US"/>
              </w:rPr>
              <w:t>pédagogiques</w:t>
            </w:r>
            <w:proofErr w:type="spellEnd"/>
          </w:p>
        </w:tc>
      </w:tr>
      <w:tr w:rsidR="00D80693" w:rsidRPr="00D92213" w14:paraId="69DB5A36" w14:textId="77777777" w:rsidTr="00D72320">
        <w:tc>
          <w:tcPr>
            <w:tcW w:w="815" w:type="dxa"/>
          </w:tcPr>
          <w:p w14:paraId="64FF88D7"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6e</w:t>
            </w:r>
          </w:p>
        </w:tc>
        <w:tc>
          <w:tcPr>
            <w:tcW w:w="1670" w:type="dxa"/>
          </w:tcPr>
          <w:p w14:paraId="3A318DF3"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Modifications du milieu</w:t>
            </w:r>
          </w:p>
        </w:tc>
        <w:tc>
          <w:tcPr>
            <w:tcW w:w="1725" w:type="dxa"/>
          </w:tcPr>
          <w:p w14:paraId="1A1F880F"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Pollution, </w:t>
            </w:r>
            <w:proofErr w:type="spellStart"/>
            <w:r w:rsidRPr="00D92213">
              <w:rPr>
                <w:rFonts w:asciiTheme="majorBidi" w:eastAsia="MS Mincho" w:hAnsiTheme="majorBidi" w:cstheme="majorBidi"/>
                <w:lang w:val="en-US"/>
              </w:rPr>
              <w:t>déforestation</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climat</w:t>
            </w:r>
            <w:proofErr w:type="spellEnd"/>
          </w:p>
        </w:tc>
        <w:tc>
          <w:tcPr>
            <w:tcW w:w="1818" w:type="dxa"/>
          </w:tcPr>
          <w:p w14:paraId="46B366B0"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Analyse des effets locaux : décharges, espèces envahissantes</w:t>
            </w:r>
          </w:p>
        </w:tc>
        <w:tc>
          <w:tcPr>
            <w:tcW w:w="1964" w:type="dxa"/>
          </w:tcPr>
          <w:p w14:paraId="6B775377"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Sensibilisation</w:t>
            </w:r>
            <w:proofErr w:type="spellEnd"/>
            <w:r w:rsidRPr="00D92213">
              <w:rPr>
                <w:rFonts w:asciiTheme="majorBidi" w:eastAsia="MS Mincho" w:hAnsiTheme="majorBidi" w:cstheme="majorBidi"/>
                <w:lang w:val="en-US"/>
              </w:rPr>
              <w:t xml:space="preserve"> encore </w:t>
            </w:r>
            <w:proofErr w:type="spellStart"/>
            <w:r w:rsidRPr="00D92213">
              <w:rPr>
                <w:rFonts w:asciiTheme="majorBidi" w:eastAsia="MS Mincho" w:hAnsiTheme="majorBidi" w:cstheme="majorBidi"/>
                <w:lang w:val="en-US"/>
              </w:rPr>
              <w:t>faible</w:t>
            </w:r>
            <w:proofErr w:type="spellEnd"/>
          </w:p>
        </w:tc>
        <w:tc>
          <w:tcPr>
            <w:tcW w:w="1646" w:type="dxa"/>
          </w:tcPr>
          <w:p w14:paraId="5BC9DACA"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Modélisation</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d’écosystèmes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débat</w:t>
            </w:r>
            <w:proofErr w:type="spellEnd"/>
          </w:p>
        </w:tc>
      </w:tr>
      <w:tr w:rsidR="00D80693" w:rsidRPr="00D92213" w14:paraId="23D7885C" w14:textId="77777777" w:rsidTr="00D72320">
        <w:tc>
          <w:tcPr>
            <w:tcW w:w="815" w:type="dxa"/>
          </w:tcPr>
          <w:p w14:paraId="1F20B9DD"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6e</w:t>
            </w:r>
          </w:p>
        </w:tc>
        <w:tc>
          <w:tcPr>
            <w:tcW w:w="1670" w:type="dxa"/>
          </w:tcPr>
          <w:p w14:paraId="45870A82"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Gestion des </w:t>
            </w:r>
            <w:proofErr w:type="spellStart"/>
            <w:r w:rsidRPr="00D92213">
              <w:rPr>
                <w:rFonts w:asciiTheme="majorBidi" w:eastAsia="MS Mincho" w:hAnsiTheme="majorBidi" w:cstheme="majorBidi"/>
                <w:lang w:val="en-US"/>
              </w:rPr>
              <w:t>ressources</w:t>
            </w:r>
            <w:proofErr w:type="spellEnd"/>
          </w:p>
        </w:tc>
        <w:tc>
          <w:tcPr>
            <w:tcW w:w="1725" w:type="dxa"/>
          </w:tcPr>
          <w:p w14:paraId="68AAF20B"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Eau, </w:t>
            </w:r>
            <w:proofErr w:type="spellStart"/>
            <w:r w:rsidRPr="00D92213">
              <w:rPr>
                <w:rFonts w:asciiTheme="majorBidi" w:eastAsia="MS Mincho" w:hAnsiTheme="majorBidi" w:cstheme="majorBidi"/>
                <w:lang w:val="en-US"/>
              </w:rPr>
              <w:t>déchets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recyclage</w:t>
            </w:r>
            <w:proofErr w:type="spellEnd"/>
          </w:p>
        </w:tc>
        <w:tc>
          <w:tcPr>
            <w:tcW w:w="1818" w:type="dxa"/>
          </w:tcPr>
          <w:p w14:paraId="01148184"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Projet</w:t>
            </w:r>
            <w:proofErr w:type="spellEnd"/>
            <w:r w:rsidRPr="00D92213">
              <w:rPr>
                <w:rFonts w:asciiTheme="majorBidi" w:eastAsia="MS Mincho" w:hAnsiTheme="majorBidi" w:cstheme="majorBidi"/>
                <w:lang w:val="en-US"/>
              </w:rPr>
              <w:t xml:space="preserve"> </w:t>
            </w:r>
            <w:proofErr w:type="spellStart"/>
            <w:proofErr w:type="gramStart"/>
            <w:r w:rsidRPr="00D92213">
              <w:rPr>
                <w:rFonts w:asciiTheme="majorBidi" w:eastAsia="MS Mincho" w:hAnsiTheme="majorBidi" w:cstheme="majorBidi"/>
                <w:lang w:val="en-US"/>
              </w:rPr>
              <w:t>d’école</w:t>
            </w:r>
            <w:proofErr w:type="spellEnd"/>
            <w:r w:rsidRPr="00D92213">
              <w:rPr>
                <w:rFonts w:asciiTheme="majorBidi" w:eastAsia="MS Mincho" w:hAnsiTheme="majorBidi" w:cstheme="majorBidi"/>
                <w:lang w:val="en-US"/>
              </w:rPr>
              <w:t xml:space="preserve"> :</w:t>
            </w:r>
            <w:proofErr w:type="gramEnd"/>
            <w:r w:rsidRPr="00D92213">
              <w:rPr>
                <w:rFonts w:asciiTheme="majorBidi" w:eastAsia="MS Mincho" w:hAnsiTheme="majorBidi" w:cstheme="majorBidi"/>
                <w:lang w:val="en-US"/>
              </w:rPr>
              <w:t xml:space="preserve"> gestion durable</w:t>
            </w:r>
          </w:p>
        </w:tc>
        <w:tc>
          <w:tcPr>
            <w:tcW w:w="1964" w:type="dxa"/>
          </w:tcPr>
          <w:p w14:paraId="0AB95F8D"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Structuration difficile de projets continus</w:t>
            </w:r>
          </w:p>
        </w:tc>
        <w:tc>
          <w:tcPr>
            <w:tcW w:w="1646" w:type="dxa"/>
          </w:tcPr>
          <w:p w14:paraId="0493595A"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Projet</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obligatoire</w:t>
            </w:r>
            <w:proofErr w:type="spellEnd"/>
            <w:r w:rsidRPr="00D92213">
              <w:rPr>
                <w:rFonts w:asciiTheme="majorBidi" w:eastAsia="MS Mincho" w:hAnsiTheme="majorBidi" w:cstheme="majorBidi"/>
                <w:lang w:val="en-US"/>
              </w:rPr>
              <w:t xml:space="preserve">, compost, </w:t>
            </w:r>
            <w:proofErr w:type="spellStart"/>
            <w:r w:rsidRPr="00D92213">
              <w:rPr>
                <w:rFonts w:asciiTheme="majorBidi" w:eastAsia="MS Mincho" w:hAnsiTheme="majorBidi" w:cstheme="majorBidi"/>
                <w:lang w:val="en-US"/>
              </w:rPr>
              <w:t>recyclage</w:t>
            </w:r>
            <w:proofErr w:type="spellEnd"/>
          </w:p>
        </w:tc>
      </w:tr>
      <w:tr w:rsidR="00D80693" w:rsidRPr="00D92213" w14:paraId="24D0E340" w14:textId="77777777" w:rsidTr="00D72320">
        <w:tc>
          <w:tcPr>
            <w:tcW w:w="815" w:type="dxa"/>
          </w:tcPr>
          <w:p w14:paraId="1E96E52A"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6e</w:t>
            </w:r>
          </w:p>
        </w:tc>
        <w:tc>
          <w:tcPr>
            <w:tcW w:w="1670" w:type="dxa"/>
          </w:tcPr>
          <w:p w14:paraId="1DE22CC7"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Santé </w:t>
            </w:r>
            <w:proofErr w:type="spellStart"/>
            <w:r w:rsidRPr="00D92213">
              <w:rPr>
                <w:rFonts w:asciiTheme="majorBidi" w:eastAsia="MS Mincho" w:hAnsiTheme="majorBidi" w:cstheme="majorBidi"/>
                <w:lang w:val="en-US"/>
              </w:rPr>
              <w:t>sexuelle</w:t>
            </w:r>
            <w:proofErr w:type="spellEnd"/>
          </w:p>
        </w:tc>
        <w:tc>
          <w:tcPr>
            <w:tcW w:w="1725" w:type="dxa"/>
          </w:tcPr>
          <w:p w14:paraId="08DC8615"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Puberté</w:t>
            </w:r>
            <w:proofErr w:type="spellEnd"/>
            <w:r w:rsidRPr="00D92213">
              <w:rPr>
                <w:rFonts w:asciiTheme="majorBidi" w:eastAsia="MS Mincho" w:hAnsiTheme="majorBidi" w:cstheme="majorBidi"/>
                <w:lang w:val="en-US"/>
              </w:rPr>
              <w:t xml:space="preserve">, relation, </w:t>
            </w:r>
            <w:proofErr w:type="spellStart"/>
            <w:r w:rsidRPr="00D92213">
              <w:rPr>
                <w:rFonts w:asciiTheme="majorBidi" w:eastAsia="MS Mincho" w:hAnsiTheme="majorBidi" w:cstheme="majorBidi"/>
                <w:lang w:val="en-US"/>
              </w:rPr>
              <w:t>prévention</w:t>
            </w:r>
            <w:proofErr w:type="spellEnd"/>
            <w:r w:rsidRPr="00D92213">
              <w:rPr>
                <w:rFonts w:asciiTheme="majorBidi" w:eastAsia="MS Mincho" w:hAnsiTheme="majorBidi" w:cstheme="majorBidi"/>
                <w:lang w:val="en-US"/>
              </w:rPr>
              <w:t xml:space="preserve"> VIH</w:t>
            </w:r>
          </w:p>
        </w:tc>
        <w:tc>
          <w:tcPr>
            <w:tcW w:w="1818" w:type="dxa"/>
          </w:tcPr>
          <w:p w14:paraId="0F107CCE"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ESSR </w:t>
            </w:r>
            <w:proofErr w:type="spellStart"/>
            <w:r w:rsidRPr="00D92213">
              <w:rPr>
                <w:rFonts w:asciiTheme="majorBidi" w:eastAsia="MS Mincho" w:hAnsiTheme="majorBidi" w:cstheme="majorBidi"/>
                <w:lang w:val="en-US"/>
              </w:rPr>
              <w:t>contextualisée</w:t>
            </w:r>
            <w:proofErr w:type="spellEnd"/>
          </w:p>
        </w:tc>
        <w:tc>
          <w:tcPr>
            <w:tcW w:w="1964" w:type="dxa"/>
          </w:tcPr>
          <w:p w14:paraId="0690AA44"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Taboos </w:t>
            </w:r>
            <w:proofErr w:type="spellStart"/>
            <w:r w:rsidRPr="00D92213">
              <w:rPr>
                <w:rFonts w:asciiTheme="majorBidi" w:eastAsia="MS Mincho" w:hAnsiTheme="majorBidi" w:cstheme="majorBidi"/>
                <w:lang w:val="en-US"/>
              </w:rPr>
              <w:t>culturels</w:t>
            </w:r>
            <w:proofErr w:type="spellEnd"/>
          </w:p>
        </w:tc>
        <w:tc>
          <w:tcPr>
            <w:tcW w:w="1646" w:type="dxa"/>
          </w:tcPr>
          <w:p w14:paraId="76E0B01B"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Débat, étude de cas, clarification des valeurs</w:t>
            </w:r>
          </w:p>
        </w:tc>
      </w:tr>
      <w:tr w:rsidR="00D80693" w:rsidRPr="00D92213" w14:paraId="777DD688" w14:textId="77777777" w:rsidTr="00D72320">
        <w:tc>
          <w:tcPr>
            <w:tcW w:w="815" w:type="dxa"/>
          </w:tcPr>
          <w:p w14:paraId="7CAACB9D"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6e</w:t>
            </w:r>
          </w:p>
        </w:tc>
        <w:tc>
          <w:tcPr>
            <w:tcW w:w="1670" w:type="dxa"/>
          </w:tcPr>
          <w:p w14:paraId="3F523D2C"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Adaptation à </w:t>
            </w:r>
            <w:proofErr w:type="spellStart"/>
            <w:r w:rsidRPr="00D92213">
              <w:rPr>
                <w:rFonts w:asciiTheme="majorBidi" w:eastAsia="MS Mincho" w:hAnsiTheme="majorBidi" w:cstheme="majorBidi"/>
                <w:lang w:val="en-US"/>
              </w:rPr>
              <w:t>l’environnement</w:t>
            </w:r>
            <w:proofErr w:type="spellEnd"/>
          </w:p>
        </w:tc>
        <w:tc>
          <w:tcPr>
            <w:tcW w:w="1725" w:type="dxa"/>
          </w:tcPr>
          <w:p w14:paraId="510193A1"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Interdépendance</w:t>
            </w:r>
            <w:proofErr w:type="spellEnd"/>
            <w:r w:rsidRPr="00D92213">
              <w:rPr>
                <w:rFonts w:asciiTheme="majorBidi" w:eastAsia="MS Mincho" w:hAnsiTheme="majorBidi" w:cstheme="majorBidi"/>
                <w:lang w:val="en-US"/>
              </w:rPr>
              <w:t xml:space="preserve">, symbiose, </w:t>
            </w:r>
            <w:proofErr w:type="spellStart"/>
            <w:r w:rsidRPr="00D92213">
              <w:rPr>
                <w:rFonts w:asciiTheme="majorBidi" w:eastAsia="MS Mincho" w:hAnsiTheme="majorBidi" w:cstheme="majorBidi"/>
                <w:lang w:val="en-US"/>
              </w:rPr>
              <w:t>parasitisme</w:t>
            </w:r>
            <w:proofErr w:type="spellEnd"/>
          </w:p>
        </w:tc>
        <w:tc>
          <w:tcPr>
            <w:tcW w:w="1818" w:type="dxa"/>
          </w:tcPr>
          <w:p w14:paraId="44896EBD"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Observation des </w:t>
            </w:r>
            <w:proofErr w:type="spellStart"/>
            <w:r w:rsidRPr="00D92213">
              <w:rPr>
                <w:rFonts w:asciiTheme="majorBidi" w:eastAsia="MS Mincho" w:hAnsiTheme="majorBidi" w:cstheme="majorBidi"/>
                <w:lang w:val="en-US"/>
              </w:rPr>
              <w:t>espèces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scolaires</w:t>
            </w:r>
            <w:proofErr w:type="spellEnd"/>
          </w:p>
        </w:tc>
        <w:tc>
          <w:tcPr>
            <w:tcW w:w="1964" w:type="dxa"/>
          </w:tcPr>
          <w:p w14:paraId="676A2E09"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Difficulté à identifier les relations écologiques</w:t>
            </w:r>
          </w:p>
        </w:tc>
        <w:tc>
          <w:tcPr>
            <w:tcW w:w="1646" w:type="dxa"/>
          </w:tcPr>
          <w:p w14:paraId="6F750641"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Sorties, </w:t>
            </w:r>
            <w:proofErr w:type="spellStart"/>
            <w:r w:rsidRPr="00D92213">
              <w:rPr>
                <w:rFonts w:asciiTheme="majorBidi" w:eastAsia="MS Mincho" w:hAnsiTheme="majorBidi" w:cstheme="majorBidi"/>
                <w:lang w:val="en-US"/>
              </w:rPr>
              <w:t>visites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schémas</w:t>
            </w:r>
            <w:proofErr w:type="spellEnd"/>
          </w:p>
        </w:tc>
      </w:tr>
      <w:tr w:rsidR="00D80693" w:rsidRPr="00D92213" w14:paraId="50E79B57" w14:textId="77777777" w:rsidTr="00D72320">
        <w:tc>
          <w:tcPr>
            <w:tcW w:w="815" w:type="dxa"/>
          </w:tcPr>
          <w:p w14:paraId="319C2767"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5e</w:t>
            </w:r>
          </w:p>
        </w:tc>
        <w:tc>
          <w:tcPr>
            <w:tcW w:w="1670" w:type="dxa"/>
          </w:tcPr>
          <w:p w14:paraId="4EA067F8"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Ressources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géologiques</w:t>
            </w:r>
            <w:proofErr w:type="spellEnd"/>
            <w:r w:rsidRPr="00D92213">
              <w:rPr>
                <w:rFonts w:asciiTheme="majorBidi" w:eastAsia="MS Mincho" w:hAnsiTheme="majorBidi" w:cstheme="majorBidi"/>
                <w:lang w:val="en-US"/>
              </w:rPr>
              <w:t xml:space="preserve"> du Gabon</w:t>
            </w:r>
          </w:p>
        </w:tc>
        <w:tc>
          <w:tcPr>
            <w:tcW w:w="1725" w:type="dxa"/>
          </w:tcPr>
          <w:p w14:paraId="7AC16EDB"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Pétrole</w:t>
            </w:r>
            <w:proofErr w:type="spellEnd"/>
            <w:r w:rsidRPr="00D92213">
              <w:rPr>
                <w:rFonts w:asciiTheme="majorBidi" w:eastAsia="MS Mincho" w:hAnsiTheme="majorBidi" w:cstheme="majorBidi"/>
                <w:lang w:val="en-US"/>
              </w:rPr>
              <w:t xml:space="preserve">, </w:t>
            </w:r>
            <w:proofErr w:type="gramStart"/>
            <w:r w:rsidRPr="00D92213">
              <w:rPr>
                <w:rFonts w:asciiTheme="majorBidi" w:eastAsia="MS Mincho" w:hAnsiTheme="majorBidi" w:cstheme="majorBidi"/>
                <w:lang w:val="en-US"/>
              </w:rPr>
              <w:t>or,</w:t>
            </w:r>
            <w:proofErr w:type="gram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manganèse</w:t>
            </w:r>
            <w:proofErr w:type="spellEnd"/>
          </w:p>
        </w:tc>
        <w:tc>
          <w:tcPr>
            <w:tcW w:w="1818" w:type="dxa"/>
          </w:tcPr>
          <w:p w14:paraId="69C6B8A0"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Étude des ressources minières gabonaises</w:t>
            </w:r>
          </w:p>
        </w:tc>
        <w:tc>
          <w:tcPr>
            <w:tcW w:w="1964" w:type="dxa"/>
          </w:tcPr>
          <w:p w14:paraId="07A5AFB7"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Accès difficile à certains sites</w:t>
            </w:r>
          </w:p>
        </w:tc>
        <w:tc>
          <w:tcPr>
            <w:tcW w:w="1646" w:type="dxa"/>
          </w:tcPr>
          <w:p w14:paraId="7A52ADEF"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Visites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cartes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géologiques</w:t>
            </w:r>
            <w:proofErr w:type="spellEnd"/>
          </w:p>
        </w:tc>
      </w:tr>
      <w:tr w:rsidR="00D80693" w:rsidRPr="00D92213" w14:paraId="2349F469" w14:textId="77777777" w:rsidTr="00D72320">
        <w:tc>
          <w:tcPr>
            <w:tcW w:w="815" w:type="dxa"/>
          </w:tcPr>
          <w:p w14:paraId="603F39A3"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5e</w:t>
            </w:r>
          </w:p>
        </w:tc>
        <w:tc>
          <w:tcPr>
            <w:tcW w:w="1670" w:type="dxa"/>
          </w:tcPr>
          <w:p w14:paraId="749304AB"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Fossilisation</w:t>
            </w:r>
            <w:proofErr w:type="spellEnd"/>
          </w:p>
        </w:tc>
        <w:tc>
          <w:tcPr>
            <w:tcW w:w="1725" w:type="dxa"/>
          </w:tcPr>
          <w:p w14:paraId="472707E3"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Fossiles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roches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sédimentaires</w:t>
            </w:r>
            <w:proofErr w:type="spellEnd"/>
          </w:p>
        </w:tc>
        <w:tc>
          <w:tcPr>
            <w:tcW w:w="1818" w:type="dxa"/>
          </w:tcPr>
          <w:p w14:paraId="3F665B5E"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Histoire </w:t>
            </w:r>
            <w:proofErr w:type="spellStart"/>
            <w:r w:rsidRPr="00D92213">
              <w:rPr>
                <w:rFonts w:asciiTheme="majorBidi" w:eastAsia="MS Mincho" w:hAnsiTheme="majorBidi" w:cstheme="majorBidi"/>
                <w:lang w:val="en-US"/>
              </w:rPr>
              <w:t>géologique</w:t>
            </w:r>
            <w:proofErr w:type="spellEnd"/>
            <w:r w:rsidRPr="00D92213">
              <w:rPr>
                <w:rFonts w:asciiTheme="majorBidi" w:eastAsia="MS Mincho" w:hAnsiTheme="majorBidi" w:cstheme="majorBidi"/>
                <w:lang w:val="en-US"/>
              </w:rPr>
              <w:t xml:space="preserve"> du Gabon</w:t>
            </w:r>
          </w:p>
        </w:tc>
        <w:tc>
          <w:tcPr>
            <w:tcW w:w="1964" w:type="dxa"/>
          </w:tcPr>
          <w:p w14:paraId="54CBFF10"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Fossiles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rares</w:t>
            </w:r>
            <w:proofErr w:type="spellEnd"/>
          </w:p>
        </w:tc>
        <w:tc>
          <w:tcPr>
            <w:tcW w:w="1646" w:type="dxa"/>
          </w:tcPr>
          <w:p w14:paraId="3104E174"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Maquettes, observation </w:t>
            </w:r>
            <w:proofErr w:type="spellStart"/>
            <w:r w:rsidRPr="00D92213">
              <w:rPr>
                <w:rFonts w:asciiTheme="majorBidi" w:eastAsia="MS Mincho" w:hAnsiTheme="majorBidi" w:cstheme="majorBidi"/>
                <w:lang w:val="en-US"/>
              </w:rPr>
              <w:t>d’échantillons</w:t>
            </w:r>
            <w:proofErr w:type="spellEnd"/>
          </w:p>
        </w:tc>
      </w:tr>
      <w:tr w:rsidR="00D80693" w:rsidRPr="00D92213" w14:paraId="640D52FB" w14:textId="77777777" w:rsidTr="00D72320">
        <w:tc>
          <w:tcPr>
            <w:tcW w:w="815" w:type="dxa"/>
          </w:tcPr>
          <w:p w14:paraId="67322EBE"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4e</w:t>
            </w:r>
          </w:p>
        </w:tc>
        <w:tc>
          <w:tcPr>
            <w:tcW w:w="1670" w:type="dxa"/>
          </w:tcPr>
          <w:p w14:paraId="0B381D9F"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Production </w:t>
            </w:r>
            <w:proofErr w:type="spellStart"/>
            <w:r w:rsidRPr="00D92213">
              <w:rPr>
                <w:rFonts w:asciiTheme="majorBidi" w:eastAsia="MS Mincho" w:hAnsiTheme="majorBidi" w:cstheme="majorBidi"/>
                <w:lang w:val="en-US"/>
              </w:rPr>
              <w:t>alimentaire</w:t>
            </w:r>
            <w:proofErr w:type="spellEnd"/>
          </w:p>
        </w:tc>
        <w:tc>
          <w:tcPr>
            <w:tcW w:w="1725" w:type="dxa"/>
          </w:tcPr>
          <w:p w14:paraId="02D51423"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Agriculture, </w:t>
            </w:r>
            <w:proofErr w:type="spellStart"/>
            <w:r w:rsidRPr="00D92213">
              <w:rPr>
                <w:rFonts w:asciiTheme="majorBidi" w:eastAsia="MS Mincho" w:hAnsiTheme="majorBidi" w:cstheme="majorBidi"/>
                <w:lang w:val="en-US"/>
              </w:rPr>
              <w:t>pêche</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ressources</w:t>
            </w:r>
            <w:proofErr w:type="spellEnd"/>
            <w:r w:rsidRPr="00D92213">
              <w:rPr>
                <w:rFonts w:asciiTheme="majorBidi" w:eastAsia="MS Mincho" w:hAnsiTheme="majorBidi" w:cstheme="majorBidi"/>
                <w:lang w:val="en-US"/>
              </w:rPr>
              <w:t xml:space="preserve"> locales</w:t>
            </w:r>
          </w:p>
        </w:tc>
        <w:tc>
          <w:tcPr>
            <w:tcW w:w="1818" w:type="dxa"/>
          </w:tcPr>
          <w:p w14:paraId="43723F1B"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Lien avec les techniques vivrières locales</w:t>
            </w:r>
          </w:p>
        </w:tc>
        <w:tc>
          <w:tcPr>
            <w:tcW w:w="1964" w:type="dxa"/>
          </w:tcPr>
          <w:p w14:paraId="10EBD817"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Confusion tradition/innovation</w:t>
            </w:r>
          </w:p>
        </w:tc>
        <w:tc>
          <w:tcPr>
            <w:tcW w:w="1646" w:type="dxa"/>
          </w:tcPr>
          <w:p w14:paraId="42CD9657"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Visites</w:t>
            </w:r>
            <w:proofErr w:type="spellEnd"/>
            <w:r w:rsidRPr="00D92213">
              <w:rPr>
                <w:rFonts w:asciiTheme="majorBidi" w:eastAsia="MS Mincho" w:hAnsiTheme="majorBidi" w:cstheme="majorBidi"/>
                <w:lang w:val="en-US"/>
              </w:rPr>
              <w:t xml:space="preserve">, interventions </w:t>
            </w:r>
            <w:proofErr w:type="spellStart"/>
            <w:r w:rsidRPr="00D92213">
              <w:rPr>
                <w:rFonts w:asciiTheme="majorBidi" w:eastAsia="MS Mincho" w:hAnsiTheme="majorBidi" w:cstheme="majorBidi"/>
                <w:lang w:val="en-US"/>
              </w:rPr>
              <w:t>professionnelles</w:t>
            </w:r>
            <w:proofErr w:type="spellEnd"/>
          </w:p>
        </w:tc>
      </w:tr>
      <w:tr w:rsidR="00D80693" w:rsidRPr="00D92213" w14:paraId="70D6CF61" w14:textId="77777777" w:rsidTr="00D72320">
        <w:tc>
          <w:tcPr>
            <w:tcW w:w="815" w:type="dxa"/>
          </w:tcPr>
          <w:p w14:paraId="6E355D0B"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3e</w:t>
            </w:r>
          </w:p>
        </w:tc>
        <w:tc>
          <w:tcPr>
            <w:tcW w:w="1670" w:type="dxa"/>
          </w:tcPr>
          <w:p w14:paraId="103F647D"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Histoire de la vie</w:t>
            </w:r>
          </w:p>
        </w:tc>
        <w:tc>
          <w:tcPr>
            <w:tcW w:w="1725" w:type="dxa"/>
          </w:tcPr>
          <w:p w14:paraId="6AFEBBB1"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Ères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géologiques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fossiles</w:t>
            </w:r>
            <w:proofErr w:type="spellEnd"/>
          </w:p>
        </w:tc>
        <w:tc>
          <w:tcPr>
            <w:tcW w:w="1818" w:type="dxa"/>
          </w:tcPr>
          <w:p w14:paraId="49735C8D"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Biodiversité</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disparue</w:t>
            </w:r>
            <w:proofErr w:type="spellEnd"/>
            <w:r w:rsidRPr="00D92213">
              <w:rPr>
                <w:rFonts w:asciiTheme="majorBidi" w:eastAsia="MS Mincho" w:hAnsiTheme="majorBidi" w:cstheme="majorBidi"/>
                <w:lang w:val="en-US"/>
              </w:rPr>
              <w:t xml:space="preserve"> au Gabon</w:t>
            </w:r>
          </w:p>
        </w:tc>
        <w:tc>
          <w:tcPr>
            <w:tcW w:w="1964" w:type="dxa"/>
          </w:tcPr>
          <w:p w14:paraId="69B272C0"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Manque de </w:t>
            </w:r>
            <w:proofErr w:type="spellStart"/>
            <w:r w:rsidRPr="00D92213">
              <w:rPr>
                <w:rFonts w:asciiTheme="majorBidi" w:eastAsia="MS Mincho" w:hAnsiTheme="majorBidi" w:cstheme="majorBidi"/>
                <w:lang w:val="en-US"/>
              </w:rPr>
              <w:t>musées</w:t>
            </w:r>
            <w:proofErr w:type="spellEnd"/>
          </w:p>
        </w:tc>
        <w:tc>
          <w:tcPr>
            <w:tcW w:w="1646" w:type="dxa"/>
          </w:tcPr>
          <w:p w14:paraId="7DE90E4E"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Chronologie</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cartes</w:t>
            </w:r>
            <w:proofErr w:type="spellEnd"/>
          </w:p>
        </w:tc>
      </w:tr>
      <w:tr w:rsidR="00D80693" w:rsidRPr="00D92213" w14:paraId="25289C16" w14:textId="77777777" w:rsidTr="00D72320">
        <w:tc>
          <w:tcPr>
            <w:tcW w:w="815" w:type="dxa"/>
          </w:tcPr>
          <w:p w14:paraId="7BDE9E9E"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3e</w:t>
            </w:r>
          </w:p>
        </w:tc>
        <w:tc>
          <w:tcPr>
            <w:tcW w:w="1670" w:type="dxa"/>
          </w:tcPr>
          <w:p w14:paraId="26780045"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Transmission </w:t>
            </w:r>
            <w:proofErr w:type="spellStart"/>
            <w:r w:rsidRPr="00D92213">
              <w:rPr>
                <w:rFonts w:asciiTheme="majorBidi" w:eastAsia="MS Mincho" w:hAnsiTheme="majorBidi" w:cstheme="majorBidi"/>
                <w:lang w:val="en-US"/>
              </w:rPr>
              <w:t>cellulaire</w:t>
            </w:r>
            <w:proofErr w:type="spellEnd"/>
          </w:p>
        </w:tc>
        <w:tc>
          <w:tcPr>
            <w:tcW w:w="1725" w:type="dxa"/>
          </w:tcPr>
          <w:p w14:paraId="64AF2E0E"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Mitose</w:t>
            </w:r>
            <w:proofErr w:type="spellEnd"/>
            <w:r w:rsidRPr="00D92213">
              <w:rPr>
                <w:rFonts w:asciiTheme="majorBidi" w:eastAsia="MS Mincho" w:hAnsiTheme="majorBidi" w:cstheme="majorBidi"/>
                <w:lang w:val="en-US"/>
              </w:rPr>
              <w:t>, ADN</w:t>
            </w:r>
          </w:p>
        </w:tc>
        <w:tc>
          <w:tcPr>
            <w:tcW w:w="1818" w:type="dxa"/>
          </w:tcPr>
          <w:p w14:paraId="2F86CADE"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Exemples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concrets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croissance</w:t>
            </w:r>
            <w:proofErr w:type="spellEnd"/>
            <w:r w:rsidRPr="00D92213">
              <w:rPr>
                <w:rFonts w:asciiTheme="majorBidi" w:eastAsia="MS Mincho" w:hAnsiTheme="majorBidi" w:cstheme="majorBidi"/>
                <w:lang w:val="en-US"/>
              </w:rPr>
              <w:t>)</w:t>
            </w:r>
          </w:p>
        </w:tc>
        <w:tc>
          <w:tcPr>
            <w:tcW w:w="1964" w:type="dxa"/>
          </w:tcPr>
          <w:p w14:paraId="6121832F"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Microscope difficile à </w:t>
            </w:r>
            <w:proofErr w:type="spellStart"/>
            <w:r w:rsidRPr="00D92213">
              <w:rPr>
                <w:rFonts w:asciiTheme="majorBidi" w:eastAsia="MS Mincho" w:hAnsiTheme="majorBidi" w:cstheme="majorBidi"/>
                <w:lang w:val="en-US"/>
              </w:rPr>
              <w:t>utiliser</w:t>
            </w:r>
            <w:proofErr w:type="spellEnd"/>
          </w:p>
        </w:tc>
        <w:tc>
          <w:tcPr>
            <w:tcW w:w="1646" w:type="dxa"/>
          </w:tcPr>
          <w:p w14:paraId="5DB2886D"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TP, maquettes</w:t>
            </w:r>
          </w:p>
        </w:tc>
      </w:tr>
      <w:tr w:rsidR="00D80693" w:rsidRPr="00D92213" w14:paraId="42CC0AE7" w14:textId="77777777" w:rsidTr="00D72320">
        <w:tc>
          <w:tcPr>
            <w:tcW w:w="815" w:type="dxa"/>
          </w:tcPr>
          <w:p w14:paraId="21F8AD58"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3e</w:t>
            </w:r>
          </w:p>
        </w:tc>
        <w:tc>
          <w:tcPr>
            <w:tcW w:w="1670" w:type="dxa"/>
          </w:tcPr>
          <w:p w14:paraId="5C1EC908"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Alimentation et santé</w:t>
            </w:r>
          </w:p>
        </w:tc>
        <w:tc>
          <w:tcPr>
            <w:tcW w:w="1725" w:type="dxa"/>
          </w:tcPr>
          <w:p w14:paraId="24131D5C"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IMC, nutrition</w:t>
            </w:r>
          </w:p>
        </w:tc>
        <w:tc>
          <w:tcPr>
            <w:tcW w:w="1818" w:type="dxa"/>
          </w:tcPr>
          <w:p w14:paraId="0C5A2A04" w14:textId="77777777" w:rsidR="00D80693" w:rsidRPr="00D92213" w:rsidRDefault="00D80693" w:rsidP="00D92213">
            <w:pPr>
              <w:spacing w:before="120" w:after="200"/>
              <w:contextualSpacing/>
              <w:rPr>
                <w:rFonts w:eastAsia="MS Mincho"/>
                <w:lang w:val="en-US"/>
              </w:rPr>
            </w:pPr>
            <w:proofErr w:type="gramStart"/>
            <w:r w:rsidRPr="00D92213">
              <w:rPr>
                <w:rFonts w:asciiTheme="majorBidi" w:eastAsia="MS Mincho" w:hAnsiTheme="majorBidi" w:cstheme="majorBidi"/>
                <w:lang w:val="en-US"/>
              </w:rPr>
              <w:t>Menus</w:t>
            </w:r>
            <w:proofErr w:type="gram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traditionnels</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analysés</w:t>
            </w:r>
            <w:proofErr w:type="spellEnd"/>
          </w:p>
        </w:tc>
        <w:tc>
          <w:tcPr>
            <w:tcW w:w="1964" w:type="dxa"/>
          </w:tcPr>
          <w:p w14:paraId="7A0A9BE3"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Connaissances</w:t>
            </w:r>
            <w:proofErr w:type="spellEnd"/>
            <w:r w:rsidRPr="00D92213">
              <w:rPr>
                <w:rFonts w:asciiTheme="majorBidi" w:eastAsia="MS Mincho" w:hAnsiTheme="majorBidi" w:cstheme="majorBidi"/>
                <w:lang w:val="en-US"/>
              </w:rPr>
              <w:t xml:space="preserve"> variables</w:t>
            </w:r>
          </w:p>
        </w:tc>
        <w:tc>
          <w:tcPr>
            <w:tcW w:w="1646" w:type="dxa"/>
          </w:tcPr>
          <w:p w14:paraId="040B5BC3" w14:textId="77777777" w:rsidR="00D80693" w:rsidRPr="00D92213" w:rsidRDefault="00D80693" w:rsidP="00D92213">
            <w:pPr>
              <w:spacing w:before="120" w:after="200"/>
              <w:contextualSpacing/>
              <w:rPr>
                <w:rFonts w:eastAsia="MS Mincho"/>
              </w:rPr>
            </w:pPr>
            <w:r w:rsidRPr="00D92213">
              <w:rPr>
                <w:rFonts w:asciiTheme="majorBidi" w:eastAsia="MS Mincho" w:hAnsiTheme="majorBidi" w:cstheme="majorBidi"/>
              </w:rPr>
              <w:t>Étude de cas, menus locaux</w:t>
            </w:r>
          </w:p>
        </w:tc>
      </w:tr>
      <w:tr w:rsidR="00D80693" w:rsidRPr="00D92213" w14:paraId="65764A0E" w14:textId="77777777" w:rsidTr="00D72320">
        <w:tc>
          <w:tcPr>
            <w:tcW w:w="815" w:type="dxa"/>
          </w:tcPr>
          <w:p w14:paraId="28CB0933"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3e</w:t>
            </w:r>
          </w:p>
        </w:tc>
        <w:tc>
          <w:tcPr>
            <w:tcW w:w="1670" w:type="dxa"/>
          </w:tcPr>
          <w:p w14:paraId="102CB5BC"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Aides </w:t>
            </w:r>
            <w:proofErr w:type="spellStart"/>
            <w:r w:rsidRPr="00D92213">
              <w:rPr>
                <w:rFonts w:asciiTheme="majorBidi" w:eastAsia="MS Mincho" w:hAnsiTheme="majorBidi" w:cstheme="majorBidi"/>
                <w:lang w:val="en-US"/>
              </w:rPr>
              <w:t>immunitaires</w:t>
            </w:r>
            <w:proofErr w:type="spellEnd"/>
          </w:p>
        </w:tc>
        <w:tc>
          <w:tcPr>
            <w:tcW w:w="1725" w:type="dxa"/>
          </w:tcPr>
          <w:p w14:paraId="1E44965C"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Vaccination, VIH</w:t>
            </w:r>
          </w:p>
        </w:tc>
        <w:tc>
          <w:tcPr>
            <w:tcW w:w="1818" w:type="dxa"/>
          </w:tcPr>
          <w:p w14:paraId="48490F94"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Prévention</w:t>
            </w:r>
            <w:proofErr w:type="spellEnd"/>
            <w:r w:rsidRPr="00D92213">
              <w:rPr>
                <w:rFonts w:asciiTheme="majorBidi" w:eastAsia="MS Mincho" w:hAnsiTheme="majorBidi" w:cstheme="majorBidi"/>
                <w:lang w:val="en-US"/>
              </w:rPr>
              <w:t xml:space="preserve"> VIH et </w:t>
            </w:r>
            <w:proofErr w:type="spellStart"/>
            <w:r w:rsidRPr="00D92213">
              <w:rPr>
                <w:rFonts w:asciiTheme="majorBidi" w:eastAsia="MS Mincho" w:hAnsiTheme="majorBidi" w:cstheme="majorBidi"/>
                <w:lang w:val="en-US"/>
              </w:rPr>
              <w:t>paludisme</w:t>
            </w:r>
            <w:proofErr w:type="spellEnd"/>
          </w:p>
        </w:tc>
        <w:tc>
          <w:tcPr>
            <w:tcW w:w="1964" w:type="dxa"/>
          </w:tcPr>
          <w:p w14:paraId="35E77789" w14:textId="77777777" w:rsidR="00D80693" w:rsidRPr="00D92213" w:rsidRDefault="00D80693" w:rsidP="00D92213">
            <w:pPr>
              <w:spacing w:before="120" w:after="200"/>
              <w:contextualSpacing/>
              <w:rPr>
                <w:rFonts w:eastAsia="MS Mincho"/>
                <w:lang w:val="en-US"/>
              </w:rPr>
            </w:pPr>
            <w:proofErr w:type="spellStart"/>
            <w:r w:rsidRPr="00D92213">
              <w:rPr>
                <w:rFonts w:asciiTheme="majorBidi" w:eastAsia="MS Mincho" w:hAnsiTheme="majorBidi" w:cstheme="majorBidi"/>
                <w:lang w:val="en-US"/>
              </w:rPr>
              <w:t>Sensibilisation</w:t>
            </w:r>
            <w:proofErr w:type="spellEnd"/>
            <w:r w:rsidRPr="00D92213">
              <w:rPr>
                <w:rFonts w:asciiTheme="majorBidi" w:eastAsia="MS Mincho" w:hAnsiTheme="majorBidi" w:cstheme="majorBidi"/>
                <w:lang w:val="en-US"/>
              </w:rPr>
              <w:t xml:space="preserve"> </w:t>
            </w:r>
            <w:proofErr w:type="spellStart"/>
            <w:r w:rsidRPr="00D92213">
              <w:rPr>
                <w:rFonts w:asciiTheme="majorBidi" w:eastAsia="MS Mincho" w:hAnsiTheme="majorBidi" w:cstheme="majorBidi"/>
                <w:lang w:val="en-US"/>
              </w:rPr>
              <w:t>faible</w:t>
            </w:r>
            <w:proofErr w:type="spellEnd"/>
          </w:p>
        </w:tc>
        <w:tc>
          <w:tcPr>
            <w:tcW w:w="1646" w:type="dxa"/>
          </w:tcPr>
          <w:p w14:paraId="0BE18349" w14:textId="77777777" w:rsidR="00D80693" w:rsidRPr="00D92213" w:rsidRDefault="00D80693" w:rsidP="00D92213">
            <w:pPr>
              <w:spacing w:before="120" w:after="200"/>
              <w:contextualSpacing/>
              <w:rPr>
                <w:rFonts w:eastAsia="MS Mincho"/>
                <w:lang w:val="en-US"/>
              </w:rPr>
            </w:pPr>
            <w:r w:rsidRPr="00D92213">
              <w:rPr>
                <w:rFonts w:asciiTheme="majorBidi" w:eastAsia="MS Mincho" w:hAnsiTheme="majorBidi" w:cstheme="majorBidi"/>
                <w:lang w:val="en-US"/>
              </w:rPr>
              <w:t xml:space="preserve">Affiches, simulation de </w:t>
            </w:r>
            <w:proofErr w:type="spellStart"/>
            <w:r w:rsidRPr="00D92213">
              <w:rPr>
                <w:rFonts w:asciiTheme="majorBidi" w:eastAsia="MS Mincho" w:hAnsiTheme="majorBidi" w:cstheme="majorBidi"/>
                <w:lang w:val="en-US"/>
              </w:rPr>
              <w:t>campagne</w:t>
            </w:r>
            <w:proofErr w:type="spellEnd"/>
          </w:p>
        </w:tc>
      </w:tr>
    </w:tbl>
    <w:p w14:paraId="0603E051" w14:textId="77777777" w:rsidR="00D80693" w:rsidRPr="00010B7C" w:rsidRDefault="00D80693" w:rsidP="00D92213">
      <w:pPr>
        <w:spacing w:before="120"/>
        <w:rPr>
          <w:rFonts w:eastAsia="Aptos"/>
          <w:b/>
          <w:bCs/>
          <w:i/>
          <w:iCs/>
          <w:szCs w:val="24"/>
          <w:lang w:val="fr-SN"/>
        </w:rPr>
      </w:pPr>
      <w:r w:rsidRPr="00010B7C">
        <w:rPr>
          <w:rFonts w:asciiTheme="majorBidi" w:eastAsia="Aptos" w:hAnsiTheme="majorBidi" w:cstheme="majorBidi"/>
          <w:b/>
          <w:bCs/>
          <w:i/>
          <w:iCs/>
          <w:szCs w:val="24"/>
          <w:lang w:val="fr-SN"/>
        </w:rPr>
        <w:t xml:space="preserve">Source : </w:t>
      </w:r>
      <w:r>
        <w:rPr>
          <w:rFonts w:asciiTheme="majorBidi" w:eastAsia="Aptos" w:hAnsiTheme="majorBidi" w:cstheme="majorBidi"/>
          <w:b/>
          <w:bCs/>
          <w:i/>
          <w:iCs/>
          <w:szCs w:val="24"/>
          <w:lang w:val="fr-SN"/>
        </w:rPr>
        <w:t xml:space="preserve">enquête de terrain, </w:t>
      </w:r>
      <w:proofErr w:type="spellStart"/>
      <w:r>
        <w:rPr>
          <w:rFonts w:asciiTheme="majorBidi" w:eastAsia="Aptos" w:hAnsiTheme="majorBidi" w:cstheme="majorBidi"/>
          <w:b/>
          <w:bCs/>
          <w:i/>
          <w:iCs/>
          <w:szCs w:val="24"/>
          <w:lang w:val="fr-SN"/>
        </w:rPr>
        <w:t>Moussavou</w:t>
      </w:r>
      <w:proofErr w:type="spellEnd"/>
      <w:r>
        <w:rPr>
          <w:rFonts w:asciiTheme="majorBidi" w:eastAsia="Aptos" w:hAnsiTheme="majorBidi" w:cstheme="majorBidi"/>
          <w:b/>
          <w:bCs/>
          <w:i/>
          <w:iCs/>
          <w:szCs w:val="24"/>
          <w:lang w:val="fr-SN"/>
        </w:rPr>
        <w:t>, 2025</w:t>
      </w:r>
    </w:p>
    <w:p w14:paraId="5DC1461C" w14:textId="77777777" w:rsidR="00D80693" w:rsidRDefault="00D80693" w:rsidP="00D92213">
      <w:pPr>
        <w:spacing w:before="120"/>
        <w:jc w:val="both"/>
        <w:rPr>
          <w:rFonts w:eastAsia="Aptos"/>
          <w:sz w:val="18"/>
          <w:szCs w:val="18"/>
          <w:lang w:val="fr-SN"/>
        </w:rPr>
      </w:pPr>
    </w:p>
    <w:p w14:paraId="5AAB9356" w14:textId="77777777" w:rsidR="00D80693" w:rsidRPr="00095709" w:rsidRDefault="00D80693" w:rsidP="00D92213">
      <w:pPr>
        <w:spacing w:before="120"/>
        <w:jc w:val="center"/>
        <w:rPr>
          <w:rFonts w:eastAsia="Aptos"/>
          <w:b/>
          <w:bCs/>
          <w:i/>
          <w:iCs/>
          <w:sz w:val="24"/>
          <w:szCs w:val="24"/>
          <w:lang w:val="fr-SN"/>
        </w:rPr>
      </w:pPr>
      <w:r w:rsidRPr="00095709">
        <w:rPr>
          <w:rFonts w:asciiTheme="majorBidi" w:eastAsia="Aptos" w:hAnsiTheme="majorBidi" w:cstheme="majorBidi"/>
          <w:b/>
          <w:bCs/>
          <w:i/>
          <w:iCs/>
          <w:sz w:val="24"/>
          <w:szCs w:val="24"/>
          <w:lang w:val="fr-SN"/>
        </w:rPr>
        <w:t xml:space="preserve">Tableau </w:t>
      </w:r>
      <w:r>
        <w:rPr>
          <w:rFonts w:asciiTheme="majorBidi" w:eastAsia="Aptos" w:hAnsiTheme="majorBidi" w:cstheme="majorBidi"/>
          <w:b/>
          <w:bCs/>
          <w:i/>
          <w:iCs/>
          <w:sz w:val="24"/>
          <w:szCs w:val="24"/>
          <w:lang w:val="fr-SN"/>
        </w:rPr>
        <w:t>3</w:t>
      </w:r>
      <w:r w:rsidRPr="00095709">
        <w:rPr>
          <w:rFonts w:asciiTheme="majorBidi" w:eastAsia="Aptos" w:hAnsiTheme="majorBidi" w:cstheme="majorBidi"/>
          <w:b/>
          <w:bCs/>
          <w:i/>
          <w:iCs/>
          <w:sz w:val="24"/>
          <w:szCs w:val="24"/>
          <w:lang w:val="fr-SN"/>
        </w:rPr>
        <w:t xml:space="preserve"> : la contextualisation </w:t>
      </w:r>
      <w:r>
        <w:rPr>
          <w:rFonts w:asciiTheme="majorBidi" w:eastAsia="Aptos" w:hAnsiTheme="majorBidi" w:cstheme="majorBidi"/>
          <w:b/>
          <w:bCs/>
          <w:i/>
          <w:iCs/>
          <w:sz w:val="24"/>
          <w:szCs w:val="24"/>
          <w:lang w:val="fr-SN"/>
        </w:rPr>
        <w:t xml:space="preserve">dans la progression du </w:t>
      </w:r>
      <w:r w:rsidRPr="00095709">
        <w:rPr>
          <w:rFonts w:asciiTheme="majorBidi" w:eastAsia="Aptos" w:hAnsiTheme="majorBidi" w:cstheme="majorBidi"/>
          <w:b/>
          <w:bCs/>
          <w:i/>
          <w:iCs/>
          <w:sz w:val="24"/>
          <w:szCs w:val="24"/>
          <w:lang w:val="fr-SN"/>
        </w:rPr>
        <w:t xml:space="preserve">Lycée </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15"/>
        <w:gridCol w:w="2061"/>
        <w:gridCol w:w="1640"/>
        <w:gridCol w:w="1818"/>
        <w:gridCol w:w="1634"/>
        <w:gridCol w:w="1378"/>
      </w:tblGrid>
      <w:tr w:rsidR="00D80693" w14:paraId="40617AC8" w14:textId="77777777" w:rsidTr="00064B54">
        <w:tc>
          <w:tcPr>
            <w:tcW w:w="795" w:type="dxa"/>
          </w:tcPr>
          <w:p w14:paraId="03402B0E" w14:textId="77777777" w:rsidR="00D80693" w:rsidRPr="004A4051" w:rsidRDefault="00D80693" w:rsidP="00D92213">
            <w:pPr>
              <w:spacing w:before="120"/>
              <w:contextualSpacing/>
              <w:rPr>
                <w:rFonts w:eastAsia="MS Mincho"/>
                <w:b/>
                <w:bCs/>
                <w:lang w:val="en-US"/>
              </w:rPr>
            </w:pPr>
            <w:r w:rsidRPr="004A4051">
              <w:rPr>
                <w:rFonts w:asciiTheme="majorBidi" w:eastAsia="MS Mincho" w:hAnsiTheme="majorBidi" w:cstheme="majorBidi"/>
                <w:b/>
                <w:bCs/>
                <w:lang w:val="en-US"/>
              </w:rPr>
              <w:t>Classe</w:t>
            </w:r>
          </w:p>
        </w:tc>
        <w:tc>
          <w:tcPr>
            <w:tcW w:w="1998" w:type="dxa"/>
          </w:tcPr>
          <w:p w14:paraId="4FC05F46" w14:textId="77777777" w:rsidR="00D80693" w:rsidRPr="004A4051" w:rsidRDefault="00D80693" w:rsidP="00D92213">
            <w:pPr>
              <w:spacing w:before="120"/>
              <w:contextualSpacing/>
              <w:rPr>
                <w:rFonts w:eastAsia="MS Mincho"/>
                <w:b/>
                <w:bCs/>
                <w:lang w:val="en-US"/>
              </w:rPr>
            </w:pPr>
            <w:proofErr w:type="spellStart"/>
            <w:r w:rsidRPr="004A4051">
              <w:rPr>
                <w:rFonts w:asciiTheme="majorBidi" w:eastAsia="MS Mincho" w:hAnsiTheme="majorBidi" w:cstheme="majorBidi"/>
                <w:b/>
                <w:bCs/>
                <w:lang w:val="en-US"/>
              </w:rPr>
              <w:t>Chapitre</w:t>
            </w:r>
            <w:proofErr w:type="spellEnd"/>
          </w:p>
        </w:tc>
        <w:tc>
          <w:tcPr>
            <w:tcW w:w="1591" w:type="dxa"/>
          </w:tcPr>
          <w:p w14:paraId="2213DA33" w14:textId="77777777" w:rsidR="00D80693" w:rsidRPr="004A4051" w:rsidRDefault="00D80693" w:rsidP="00D92213">
            <w:pPr>
              <w:spacing w:before="120"/>
              <w:contextualSpacing/>
              <w:rPr>
                <w:rFonts w:eastAsia="MS Mincho"/>
                <w:b/>
                <w:bCs/>
                <w:lang w:val="en-US"/>
              </w:rPr>
            </w:pPr>
            <w:r w:rsidRPr="004A4051">
              <w:rPr>
                <w:rFonts w:asciiTheme="majorBidi" w:eastAsia="MS Mincho" w:hAnsiTheme="majorBidi" w:cstheme="majorBidi"/>
                <w:b/>
                <w:bCs/>
                <w:lang w:val="en-US"/>
              </w:rPr>
              <w:t>Mots-</w:t>
            </w:r>
            <w:proofErr w:type="spellStart"/>
            <w:r w:rsidRPr="004A4051">
              <w:rPr>
                <w:rFonts w:asciiTheme="majorBidi" w:eastAsia="MS Mincho" w:hAnsiTheme="majorBidi" w:cstheme="majorBidi"/>
                <w:b/>
                <w:bCs/>
                <w:lang w:val="en-US"/>
              </w:rPr>
              <w:t>clés</w:t>
            </w:r>
            <w:proofErr w:type="spellEnd"/>
          </w:p>
        </w:tc>
        <w:tc>
          <w:tcPr>
            <w:tcW w:w="1763" w:type="dxa"/>
          </w:tcPr>
          <w:p w14:paraId="6EA691DE" w14:textId="77777777" w:rsidR="00D80693" w:rsidRPr="004A4051" w:rsidRDefault="00D80693" w:rsidP="00D92213">
            <w:pPr>
              <w:spacing w:before="120"/>
              <w:contextualSpacing/>
              <w:rPr>
                <w:rFonts w:eastAsia="MS Mincho"/>
                <w:b/>
                <w:bCs/>
              </w:rPr>
            </w:pPr>
            <w:r w:rsidRPr="004A4051">
              <w:rPr>
                <w:rFonts w:asciiTheme="majorBidi" w:eastAsia="MS Mincho" w:hAnsiTheme="majorBidi" w:cstheme="majorBidi"/>
                <w:b/>
                <w:bCs/>
              </w:rPr>
              <w:t>Orientation donnée à la contextualisation</w:t>
            </w:r>
          </w:p>
        </w:tc>
        <w:tc>
          <w:tcPr>
            <w:tcW w:w="1585" w:type="dxa"/>
          </w:tcPr>
          <w:p w14:paraId="0736EC76" w14:textId="77777777" w:rsidR="00D80693" w:rsidRPr="004A4051" w:rsidRDefault="00D80693" w:rsidP="00D92213">
            <w:pPr>
              <w:spacing w:before="120"/>
              <w:contextualSpacing/>
              <w:rPr>
                <w:rFonts w:eastAsia="MS Mincho"/>
                <w:b/>
                <w:bCs/>
                <w:lang w:val="en-US"/>
              </w:rPr>
            </w:pPr>
            <w:proofErr w:type="spellStart"/>
            <w:r w:rsidRPr="004A4051">
              <w:rPr>
                <w:rFonts w:asciiTheme="majorBidi" w:eastAsia="MS Mincho" w:hAnsiTheme="majorBidi" w:cstheme="majorBidi"/>
                <w:b/>
                <w:bCs/>
                <w:lang w:val="en-US"/>
              </w:rPr>
              <w:t>Difficultés</w:t>
            </w:r>
            <w:proofErr w:type="spellEnd"/>
            <w:r w:rsidRPr="004A4051">
              <w:rPr>
                <w:rFonts w:asciiTheme="majorBidi" w:eastAsia="MS Mincho" w:hAnsiTheme="majorBidi" w:cstheme="majorBidi"/>
                <w:b/>
                <w:bCs/>
                <w:lang w:val="en-US"/>
              </w:rPr>
              <w:t xml:space="preserve"> </w:t>
            </w:r>
            <w:proofErr w:type="spellStart"/>
            <w:r w:rsidRPr="004A4051">
              <w:rPr>
                <w:rFonts w:asciiTheme="majorBidi" w:eastAsia="MS Mincho" w:hAnsiTheme="majorBidi" w:cstheme="majorBidi"/>
                <w:b/>
                <w:bCs/>
                <w:lang w:val="en-US"/>
              </w:rPr>
              <w:t>rencontrées</w:t>
            </w:r>
            <w:proofErr w:type="spellEnd"/>
          </w:p>
        </w:tc>
        <w:tc>
          <w:tcPr>
            <w:tcW w:w="1614" w:type="dxa"/>
          </w:tcPr>
          <w:p w14:paraId="611A1340" w14:textId="77777777" w:rsidR="00D80693" w:rsidRPr="004A4051" w:rsidRDefault="00D80693" w:rsidP="00D92213">
            <w:pPr>
              <w:spacing w:before="120"/>
              <w:contextualSpacing/>
              <w:rPr>
                <w:rFonts w:eastAsia="MS Mincho"/>
                <w:b/>
                <w:bCs/>
                <w:lang w:val="en-US"/>
              </w:rPr>
            </w:pPr>
            <w:proofErr w:type="spellStart"/>
            <w:r w:rsidRPr="004A4051">
              <w:rPr>
                <w:rFonts w:asciiTheme="majorBidi" w:eastAsia="MS Mincho" w:hAnsiTheme="majorBidi" w:cstheme="majorBidi"/>
                <w:b/>
                <w:bCs/>
                <w:lang w:val="en-US"/>
              </w:rPr>
              <w:t>Stratégies</w:t>
            </w:r>
            <w:proofErr w:type="spellEnd"/>
            <w:r w:rsidRPr="004A4051">
              <w:rPr>
                <w:rFonts w:asciiTheme="majorBidi" w:eastAsia="MS Mincho" w:hAnsiTheme="majorBidi" w:cstheme="majorBidi"/>
                <w:b/>
                <w:bCs/>
                <w:lang w:val="en-US"/>
              </w:rPr>
              <w:t xml:space="preserve"> </w:t>
            </w:r>
            <w:proofErr w:type="spellStart"/>
            <w:r w:rsidRPr="004A4051">
              <w:rPr>
                <w:rFonts w:asciiTheme="majorBidi" w:eastAsia="MS Mincho" w:hAnsiTheme="majorBidi" w:cstheme="majorBidi"/>
                <w:b/>
                <w:bCs/>
                <w:lang w:val="en-US"/>
              </w:rPr>
              <w:t>innovantes</w:t>
            </w:r>
            <w:proofErr w:type="spellEnd"/>
          </w:p>
        </w:tc>
      </w:tr>
      <w:tr w:rsidR="00D80693" w14:paraId="27F53FB1" w14:textId="77777777" w:rsidTr="00064B54">
        <w:tc>
          <w:tcPr>
            <w:tcW w:w="795" w:type="dxa"/>
          </w:tcPr>
          <w:p w14:paraId="76B02025"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2nde</w:t>
            </w:r>
          </w:p>
        </w:tc>
        <w:tc>
          <w:tcPr>
            <w:tcW w:w="1998" w:type="dxa"/>
          </w:tcPr>
          <w:p w14:paraId="5DCE354F"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Gaz/</w:t>
            </w:r>
            <w:proofErr w:type="spellStart"/>
            <w:r w:rsidRPr="004A4051">
              <w:rPr>
                <w:rFonts w:asciiTheme="majorBidi" w:eastAsia="MS Mincho" w:hAnsiTheme="majorBidi" w:cstheme="majorBidi"/>
                <w:lang w:val="en-US"/>
              </w:rPr>
              <w:t>hydrocarbures</w:t>
            </w:r>
            <w:proofErr w:type="spellEnd"/>
          </w:p>
        </w:tc>
        <w:tc>
          <w:tcPr>
            <w:tcW w:w="1591" w:type="dxa"/>
          </w:tcPr>
          <w:p w14:paraId="4ADFF9EE"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Gisements</w:t>
            </w:r>
            <w:proofErr w:type="spellEnd"/>
            <w:r w:rsidRPr="004A4051">
              <w:rPr>
                <w:rFonts w:asciiTheme="majorBidi" w:eastAsia="MS Mincho" w:hAnsiTheme="majorBidi" w:cstheme="majorBidi"/>
                <w:lang w:val="en-US"/>
              </w:rPr>
              <w:t>, pollution</w:t>
            </w:r>
          </w:p>
        </w:tc>
        <w:tc>
          <w:tcPr>
            <w:tcW w:w="1763" w:type="dxa"/>
          </w:tcPr>
          <w:p w14:paraId="0D83FE53"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Pétrole</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gabonais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Gamba</w:t>
            </w:r>
            <w:proofErr w:type="spellEnd"/>
            <w:r w:rsidRPr="004A4051">
              <w:rPr>
                <w:rFonts w:asciiTheme="majorBidi" w:eastAsia="MS Mincho" w:hAnsiTheme="majorBidi" w:cstheme="majorBidi"/>
                <w:lang w:val="en-US"/>
              </w:rPr>
              <w:t>...)</w:t>
            </w:r>
          </w:p>
        </w:tc>
        <w:tc>
          <w:tcPr>
            <w:tcW w:w="1585" w:type="dxa"/>
          </w:tcPr>
          <w:p w14:paraId="1BC067FB"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Données locales </w:t>
            </w:r>
            <w:proofErr w:type="spellStart"/>
            <w:r w:rsidRPr="004A4051">
              <w:rPr>
                <w:rFonts w:asciiTheme="majorBidi" w:eastAsia="MS Mincho" w:hAnsiTheme="majorBidi" w:cstheme="majorBidi"/>
                <w:lang w:val="en-US"/>
              </w:rPr>
              <w:t>limitées</w:t>
            </w:r>
            <w:proofErr w:type="spellEnd"/>
          </w:p>
        </w:tc>
        <w:tc>
          <w:tcPr>
            <w:tcW w:w="1614" w:type="dxa"/>
          </w:tcPr>
          <w:p w14:paraId="3F61DA01"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Cartes, TP </w:t>
            </w:r>
            <w:proofErr w:type="spellStart"/>
            <w:r w:rsidRPr="004A4051">
              <w:rPr>
                <w:rFonts w:asciiTheme="majorBidi" w:eastAsia="MS Mincho" w:hAnsiTheme="majorBidi" w:cstheme="majorBidi"/>
                <w:lang w:val="en-US"/>
              </w:rPr>
              <w:t>pétrole</w:t>
            </w:r>
            <w:proofErr w:type="spellEnd"/>
          </w:p>
        </w:tc>
      </w:tr>
      <w:tr w:rsidR="00D80693" w14:paraId="0090EDD6" w14:textId="77777777" w:rsidTr="00064B54">
        <w:tc>
          <w:tcPr>
            <w:tcW w:w="795" w:type="dxa"/>
          </w:tcPr>
          <w:p w14:paraId="06992F4A"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2nde</w:t>
            </w:r>
          </w:p>
        </w:tc>
        <w:tc>
          <w:tcPr>
            <w:tcW w:w="1998" w:type="dxa"/>
          </w:tcPr>
          <w:p w14:paraId="3DB7D006"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Manganèse</w:t>
            </w:r>
            <w:proofErr w:type="spellEnd"/>
            <w:r w:rsidRPr="004A4051">
              <w:rPr>
                <w:rFonts w:asciiTheme="majorBidi" w:eastAsia="MS Mincho" w:hAnsiTheme="majorBidi" w:cstheme="majorBidi"/>
                <w:lang w:val="en-US"/>
              </w:rPr>
              <w:t>/Uranium</w:t>
            </w:r>
          </w:p>
        </w:tc>
        <w:tc>
          <w:tcPr>
            <w:tcW w:w="1591" w:type="dxa"/>
          </w:tcPr>
          <w:p w14:paraId="4FB43B1D"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Pollution, COMILOG</w:t>
            </w:r>
          </w:p>
        </w:tc>
        <w:tc>
          <w:tcPr>
            <w:tcW w:w="1763" w:type="dxa"/>
          </w:tcPr>
          <w:p w14:paraId="504CA59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Moanda</w:t>
            </w:r>
            <w:proofErr w:type="spellEnd"/>
            <w:r w:rsidRPr="004A4051">
              <w:rPr>
                <w:rFonts w:asciiTheme="majorBidi" w:eastAsia="MS Mincho" w:hAnsiTheme="majorBidi" w:cstheme="majorBidi"/>
                <w:lang w:val="en-US"/>
              </w:rPr>
              <w:t xml:space="preserve"> et </w:t>
            </w:r>
            <w:proofErr w:type="spellStart"/>
            <w:r w:rsidRPr="004A4051">
              <w:rPr>
                <w:rFonts w:asciiTheme="majorBidi" w:eastAsia="MS Mincho" w:hAnsiTheme="majorBidi" w:cstheme="majorBidi"/>
                <w:lang w:val="en-US"/>
              </w:rPr>
              <w:t>ses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enjeux</w:t>
            </w:r>
            <w:proofErr w:type="spellEnd"/>
          </w:p>
        </w:tc>
        <w:tc>
          <w:tcPr>
            <w:tcW w:w="1585" w:type="dxa"/>
          </w:tcPr>
          <w:p w14:paraId="2778AA4E"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Données </w:t>
            </w:r>
            <w:proofErr w:type="spellStart"/>
            <w:r w:rsidRPr="004A4051">
              <w:rPr>
                <w:rFonts w:asciiTheme="majorBidi" w:eastAsia="MS Mincho" w:hAnsiTheme="majorBidi" w:cstheme="majorBidi"/>
                <w:lang w:val="en-US"/>
              </w:rPr>
              <w:t>limitées</w:t>
            </w:r>
            <w:proofErr w:type="spellEnd"/>
          </w:p>
        </w:tc>
        <w:tc>
          <w:tcPr>
            <w:tcW w:w="1614" w:type="dxa"/>
          </w:tcPr>
          <w:p w14:paraId="5B2A4B20"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Visite</w:t>
            </w:r>
            <w:proofErr w:type="spellEnd"/>
            <w:r w:rsidRPr="004A4051">
              <w:rPr>
                <w:rFonts w:asciiTheme="majorBidi" w:eastAsia="MS Mincho" w:hAnsiTheme="majorBidi" w:cstheme="majorBidi"/>
                <w:lang w:val="en-US"/>
              </w:rPr>
              <w:t xml:space="preserve"> COMILOG, </w:t>
            </w:r>
            <w:proofErr w:type="spellStart"/>
            <w:r w:rsidRPr="004A4051">
              <w:rPr>
                <w:rFonts w:asciiTheme="majorBidi" w:eastAsia="MS Mincho" w:hAnsiTheme="majorBidi" w:cstheme="majorBidi"/>
                <w:lang w:val="en-US"/>
              </w:rPr>
              <w:t>analyse</w:t>
            </w:r>
            <w:proofErr w:type="spellEnd"/>
          </w:p>
        </w:tc>
      </w:tr>
      <w:tr w:rsidR="00D80693" w14:paraId="039BCB04" w14:textId="77777777" w:rsidTr="00064B54">
        <w:tc>
          <w:tcPr>
            <w:tcW w:w="795" w:type="dxa"/>
          </w:tcPr>
          <w:p w14:paraId="5300CABC"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2nde</w:t>
            </w:r>
          </w:p>
        </w:tc>
        <w:tc>
          <w:tcPr>
            <w:tcW w:w="1998" w:type="dxa"/>
          </w:tcPr>
          <w:p w14:paraId="606E7DA4"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Eau</w:t>
            </w:r>
          </w:p>
        </w:tc>
        <w:tc>
          <w:tcPr>
            <w:tcW w:w="1591" w:type="dxa"/>
          </w:tcPr>
          <w:p w14:paraId="09D6DEBD"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Assainissement</w:t>
            </w:r>
            <w:proofErr w:type="spellEnd"/>
            <w:r w:rsidRPr="004A4051">
              <w:rPr>
                <w:rFonts w:asciiTheme="majorBidi" w:eastAsia="MS Mincho" w:hAnsiTheme="majorBidi" w:cstheme="majorBidi"/>
                <w:lang w:val="en-US"/>
              </w:rPr>
              <w:t>, nappes</w:t>
            </w:r>
          </w:p>
        </w:tc>
        <w:tc>
          <w:tcPr>
            <w:tcW w:w="1763" w:type="dxa"/>
          </w:tcPr>
          <w:p w14:paraId="132BAA31" w14:textId="77777777" w:rsidR="00D80693" w:rsidRPr="004A4051" w:rsidRDefault="00D80693" w:rsidP="00D92213">
            <w:pPr>
              <w:spacing w:before="120"/>
              <w:contextualSpacing/>
              <w:rPr>
                <w:rFonts w:eastAsia="MS Mincho"/>
              </w:rPr>
            </w:pPr>
            <w:r w:rsidRPr="004A4051">
              <w:rPr>
                <w:rFonts w:asciiTheme="majorBidi" w:eastAsia="MS Mincho" w:hAnsiTheme="majorBidi" w:cstheme="majorBidi"/>
              </w:rPr>
              <w:t>Lien avec SEEG et régions rurales</w:t>
            </w:r>
          </w:p>
        </w:tc>
        <w:tc>
          <w:tcPr>
            <w:tcW w:w="1585" w:type="dxa"/>
          </w:tcPr>
          <w:p w14:paraId="0D2CCFC1"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Accès</w:t>
            </w:r>
            <w:proofErr w:type="spellEnd"/>
            <w:r w:rsidRPr="004A4051">
              <w:rPr>
                <w:rFonts w:asciiTheme="majorBidi" w:eastAsia="MS Mincho" w:hAnsiTheme="majorBidi" w:cstheme="majorBidi"/>
                <w:lang w:val="en-US"/>
              </w:rPr>
              <w:t xml:space="preserve"> aux stations</w:t>
            </w:r>
          </w:p>
        </w:tc>
        <w:tc>
          <w:tcPr>
            <w:tcW w:w="1614" w:type="dxa"/>
          </w:tcPr>
          <w:p w14:paraId="0B2ACA33"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Visite</w:t>
            </w:r>
            <w:proofErr w:type="spellEnd"/>
            <w:r w:rsidRPr="004A4051">
              <w:rPr>
                <w:rFonts w:asciiTheme="majorBidi" w:eastAsia="MS Mincho" w:hAnsiTheme="majorBidi" w:cstheme="majorBidi"/>
                <w:lang w:val="en-US"/>
              </w:rPr>
              <w:t>, TP eau</w:t>
            </w:r>
          </w:p>
        </w:tc>
      </w:tr>
      <w:tr w:rsidR="00D80693" w14:paraId="6C85F3FA" w14:textId="77777777" w:rsidTr="00064B54">
        <w:tc>
          <w:tcPr>
            <w:tcW w:w="795" w:type="dxa"/>
          </w:tcPr>
          <w:p w14:paraId="0AC80CAF"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2nde</w:t>
            </w:r>
          </w:p>
        </w:tc>
        <w:tc>
          <w:tcPr>
            <w:tcW w:w="1998" w:type="dxa"/>
          </w:tcPr>
          <w:p w14:paraId="379B39D7"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Sols </w:t>
            </w:r>
            <w:proofErr w:type="spellStart"/>
            <w:r w:rsidRPr="004A4051">
              <w:rPr>
                <w:rFonts w:asciiTheme="majorBidi" w:eastAsia="MS Mincho" w:hAnsiTheme="majorBidi" w:cstheme="majorBidi"/>
                <w:lang w:val="en-US"/>
              </w:rPr>
              <w:t>fragiles</w:t>
            </w:r>
            <w:proofErr w:type="spellEnd"/>
          </w:p>
        </w:tc>
        <w:tc>
          <w:tcPr>
            <w:tcW w:w="1591" w:type="dxa"/>
          </w:tcPr>
          <w:p w14:paraId="5906C3A5"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Dégradation</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jachère</w:t>
            </w:r>
            <w:proofErr w:type="spellEnd"/>
          </w:p>
        </w:tc>
        <w:tc>
          <w:tcPr>
            <w:tcW w:w="1763" w:type="dxa"/>
          </w:tcPr>
          <w:p w14:paraId="738C8946"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Étude de terrains </w:t>
            </w:r>
            <w:proofErr w:type="spellStart"/>
            <w:r w:rsidRPr="004A4051">
              <w:rPr>
                <w:rFonts w:asciiTheme="majorBidi" w:eastAsia="MS Mincho" w:hAnsiTheme="majorBidi" w:cstheme="majorBidi"/>
                <w:lang w:val="en-US"/>
              </w:rPr>
              <w:t>agricoles</w:t>
            </w:r>
            <w:proofErr w:type="spellEnd"/>
          </w:p>
        </w:tc>
        <w:tc>
          <w:tcPr>
            <w:tcW w:w="1585" w:type="dxa"/>
          </w:tcPr>
          <w:p w14:paraId="717B37B1"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Manque </w:t>
            </w:r>
            <w:proofErr w:type="spellStart"/>
            <w:r w:rsidRPr="004A4051">
              <w:rPr>
                <w:rFonts w:asciiTheme="majorBidi" w:eastAsia="MS Mincho" w:hAnsiTheme="majorBidi" w:cstheme="majorBidi"/>
                <w:lang w:val="en-US"/>
              </w:rPr>
              <w:t>d’outils</w:t>
            </w:r>
            <w:proofErr w:type="spellEnd"/>
          </w:p>
        </w:tc>
        <w:tc>
          <w:tcPr>
            <w:tcW w:w="1614" w:type="dxa"/>
          </w:tcPr>
          <w:p w14:paraId="1F14657B"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Observation, </w:t>
            </w:r>
            <w:proofErr w:type="spellStart"/>
            <w:r w:rsidRPr="004A4051">
              <w:rPr>
                <w:rFonts w:asciiTheme="majorBidi" w:eastAsia="MS Mincho" w:hAnsiTheme="majorBidi" w:cstheme="majorBidi"/>
                <w:lang w:val="en-US"/>
              </w:rPr>
              <w:t>projets</w:t>
            </w:r>
            <w:proofErr w:type="spellEnd"/>
          </w:p>
        </w:tc>
      </w:tr>
      <w:tr w:rsidR="00D80693" w14:paraId="1F660317" w14:textId="77777777" w:rsidTr="00064B54">
        <w:tc>
          <w:tcPr>
            <w:tcW w:w="795" w:type="dxa"/>
          </w:tcPr>
          <w:p w14:paraId="69EDA4EB"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2nde</w:t>
            </w:r>
          </w:p>
        </w:tc>
        <w:tc>
          <w:tcPr>
            <w:tcW w:w="1998" w:type="dxa"/>
          </w:tcPr>
          <w:p w14:paraId="5CDCC92D"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Vie du sol</w:t>
            </w:r>
          </w:p>
        </w:tc>
        <w:tc>
          <w:tcPr>
            <w:tcW w:w="1591" w:type="dxa"/>
          </w:tcPr>
          <w:p w14:paraId="1D1E9C37"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Pédofaune</w:t>
            </w:r>
            <w:proofErr w:type="spellEnd"/>
            <w:r w:rsidRPr="004A4051">
              <w:rPr>
                <w:rFonts w:asciiTheme="majorBidi" w:eastAsia="MS Mincho" w:hAnsiTheme="majorBidi" w:cstheme="majorBidi"/>
                <w:lang w:val="en-US"/>
              </w:rPr>
              <w:t xml:space="preserve">, réseau </w:t>
            </w:r>
            <w:proofErr w:type="spellStart"/>
            <w:r w:rsidRPr="004A4051">
              <w:rPr>
                <w:rFonts w:asciiTheme="majorBidi" w:eastAsia="MS Mincho" w:hAnsiTheme="majorBidi" w:cstheme="majorBidi"/>
                <w:lang w:val="en-US"/>
              </w:rPr>
              <w:t>trophique</w:t>
            </w:r>
            <w:proofErr w:type="spellEnd"/>
          </w:p>
        </w:tc>
        <w:tc>
          <w:tcPr>
            <w:tcW w:w="1763" w:type="dxa"/>
          </w:tcPr>
          <w:p w14:paraId="3A5BADCB"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Biodiversité</w:t>
            </w:r>
            <w:proofErr w:type="spellEnd"/>
            <w:r w:rsidRPr="004A4051">
              <w:rPr>
                <w:rFonts w:asciiTheme="majorBidi" w:eastAsia="MS Mincho" w:hAnsiTheme="majorBidi" w:cstheme="majorBidi"/>
                <w:lang w:val="en-US"/>
              </w:rPr>
              <w:t xml:space="preserve"> du sol local</w:t>
            </w:r>
          </w:p>
        </w:tc>
        <w:tc>
          <w:tcPr>
            <w:tcW w:w="1585" w:type="dxa"/>
          </w:tcPr>
          <w:p w14:paraId="6A2706FB"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Difficulté</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d’observation</w:t>
            </w:r>
            <w:proofErr w:type="spellEnd"/>
          </w:p>
        </w:tc>
        <w:tc>
          <w:tcPr>
            <w:tcW w:w="1614" w:type="dxa"/>
          </w:tcPr>
          <w:p w14:paraId="7643BAE6"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TP terrain, réseau</w:t>
            </w:r>
          </w:p>
        </w:tc>
      </w:tr>
      <w:tr w:rsidR="00D80693" w14:paraId="3B083A79" w14:textId="77777777" w:rsidTr="00064B54">
        <w:tc>
          <w:tcPr>
            <w:tcW w:w="795" w:type="dxa"/>
          </w:tcPr>
          <w:p w14:paraId="279154CF"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2nde</w:t>
            </w:r>
          </w:p>
        </w:tc>
        <w:tc>
          <w:tcPr>
            <w:tcW w:w="1998" w:type="dxa"/>
          </w:tcPr>
          <w:p w14:paraId="0D6F5FAB"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Plantes </w:t>
            </w:r>
            <w:proofErr w:type="spellStart"/>
            <w:r w:rsidRPr="004A4051">
              <w:rPr>
                <w:rFonts w:asciiTheme="majorBidi" w:eastAsia="MS Mincho" w:hAnsiTheme="majorBidi" w:cstheme="majorBidi"/>
                <w:lang w:val="en-US"/>
              </w:rPr>
              <w:t>performantes</w:t>
            </w:r>
            <w:proofErr w:type="spellEnd"/>
          </w:p>
        </w:tc>
        <w:tc>
          <w:tcPr>
            <w:tcW w:w="1591" w:type="dxa"/>
          </w:tcPr>
          <w:p w14:paraId="04B5EE21"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OGM, </w:t>
            </w:r>
            <w:proofErr w:type="spellStart"/>
            <w:r w:rsidRPr="004A4051">
              <w:rPr>
                <w:rFonts w:asciiTheme="majorBidi" w:eastAsia="MS Mincho" w:hAnsiTheme="majorBidi" w:cstheme="majorBidi"/>
                <w:lang w:val="en-US"/>
              </w:rPr>
              <w:t>transgénèse</w:t>
            </w:r>
            <w:proofErr w:type="spellEnd"/>
          </w:p>
        </w:tc>
        <w:tc>
          <w:tcPr>
            <w:tcW w:w="1763" w:type="dxa"/>
          </w:tcPr>
          <w:p w14:paraId="527D14A5"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Pratiques </w:t>
            </w:r>
            <w:proofErr w:type="spellStart"/>
            <w:r w:rsidRPr="004A4051">
              <w:rPr>
                <w:rFonts w:asciiTheme="majorBidi" w:eastAsia="MS Mincho" w:hAnsiTheme="majorBidi" w:cstheme="majorBidi"/>
                <w:lang w:val="en-US"/>
              </w:rPr>
              <w:t>agricoles</w:t>
            </w:r>
            <w:proofErr w:type="spellEnd"/>
            <w:r w:rsidRPr="004A4051">
              <w:rPr>
                <w:rFonts w:asciiTheme="majorBidi" w:eastAsia="MS Mincho" w:hAnsiTheme="majorBidi" w:cstheme="majorBidi"/>
                <w:lang w:val="en-US"/>
              </w:rPr>
              <w:t xml:space="preserve"> critiques</w:t>
            </w:r>
          </w:p>
        </w:tc>
        <w:tc>
          <w:tcPr>
            <w:tcW w:w="1585" w:type="dxa"/>
          </w:tcPr>
          <w:p w14:paraId="238DE1AC"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Connaissances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faibles</w:t>
            </w:r>
            <w:proofErr w:type="spellEnd"/>
          </w:p>
        </w:tc>
        <w:tc>
          <w:tcPr>
            <w:tcW w:w="1614" w:type="dxa"/>
          </w:tcPr>
          <w:p w14:paraId="15175443"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TP in vitro, </w:t>
            </w:r>
            <w:proofErr w:type="spellStart"/>
            <w:r w:rsidRPr="004A4051">
              <w:rPr>
                <w:rFonts w:asciiTheme="majorBidi" w:eastAsia="MS Mincho" w:hAnsiTheme="majorBidi" w:cstheme="majorBidi"/>
                <w:lang w:val="en-US"/>
              </w:rPr>
              <w:t>visites</w:t>
            </w:r>
            <w:proofErr w:type="spellEnd"/>
          </w:p>
        </w:tc>
      </w:tr>
      <w:tr w:rsidR="00D80693" w14:paraId="636CE016" w14:textId="77777777" w:rsidTr="00064B54">
        <w:tc>
          <w:tcPr>
            <w:tcW w:w="795" w:type="dxa"/>
          </w:tcPr>
          <w:p w14:paraId="45B80D46"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1ère A</w:t>
            </w:r>
          </w:p>
        </w:tc>
        <w:tc>
          <w:tcPr>
            <w:tcW w:w="1998" w:type="dxa"/>
          </w:tcPr>
          <w:p w14:paraId="40E1FDB0"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Alimentation</w:t>
            </w:r>
          </w:p>
        </w:tc>
        <w:tc>
          <w:tcPr>
            <w:tcW w:w="1591" w:type="dxa"/>
          </w:tcPr>
          <w:p w14:paraId="38CE18D0"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Menus, maladies</w:t>
            </w:r>
          </w:p>
        </w:tc>
        <w:tc>
          <w:tcPr>
            <w:tcW w:w="1763" w:type="dxa"/>
          </w:tcPr>
          <w:p w14:paraId="559AAF2A"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Valorisation</w:t>
            </w:r>
            <w:proofErr w:type="spellEnd"/>
            <w:r w:rsidRPr="004A4051">
              <w:rPr>
                <w:rFonts w:asciiTheme="majorBidi" w:eastAsia="MS Mincho" w:hAnsiTheme="majorBidi" w:cstheme="majorBidi"/>
                <w:lang w:val="en-US"/>
              </w:rPr>
              <w:t xml:space="preserve"> des </w:t>
            </w:r>
            <w:proofErr w:type="spellStart"/>
            <w:r w:rsidRPr="004A4051">
              <w:rPr>
                <w:rFonts w:asciiTheme="majorBidi" w:eastAsia="MS Mincho" w:hAnsiTheme="majorBidi" w:cstheme="majorBidi"/>
                <w:lang w:val="en-US"/>
              </w:rPr>
              <w:t>produits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locaux</w:t>
            </w:r>
            <w:proofErr w:type="spellEnd"/>
          </w:p>
        </w:tc>
        <w:tc>
          <w:tcPr>
            <w:tcW w:w="1585" w:type="dxa"/>
          </w:tcPr>
          <w:p w14:paraId="2A3EC2AA"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Habitudes </w:t>
            </w:r>
            <w:proofErr w:type="spellStart"/>
            <w:r w:rsidRPr="004A4051">
              <w:rPr>
                <w:rFonts w:asciiTheme="majorBidi" w:eastAsia="MS Mincho" w:hAnsiTheme="majorBidi" w:cstheme="majorBidi"/>
                <w:lang w:val="en-US"/>
              </w:rPr>
              <w:t>déséquilibrées</w:t>
            </w:r>
            <w:proofErr w:type="spellEnd"/>
          </w:p>
        </w:tc>
        <w:tc>
          <w:tcPr>
            <w:tcW w:w="1614" w:type="dxa"/>
          </w:tcPr>
          <w:p w14:paraId="44BEB685" w14:textId="77777777" w:rsidR="00D80693" w:rsidRPr="004A4051" w:rsidRDefault="00D80693" w:rsidP="00D92213">
            <w:pPr>
              <w:spacing w:before="120"/>
              <w:contextualSpacing/>
              <w:rPr>
                <w:rFonts w:eastAsia="MS Mincho"/>
                <w:lang w:val="en-US"/>
              </w:rPr>
            </w:pPr>
            <w:proofErr w:type="gramStart"/>
            <w:r w:rsidRPr="004A4051">
              <w:rPr>
                <w:rFonts w:asciiTheme="majorBidi" w:eastAsia="MS Mincho" w:hAnsiTheme="majorBidi" w:cstheme="majorBidi"/>
                <w:lang w:val="en-US"/>
              </w:rPr>
              <w:t>Menus</w:t>
            </w:r>
            <w:proofErr w:type="gramEnd"/>
            <w:r w:rsidRPr="004A4051">
              <w:rPr>
                <w:rFonts w:asciiTheme="majorBidi" w:eastAsia="MS Mincho" w:hAnsiTheme="majorBidi" w:cstheme="majorBidi"/>
                <w:lang w:val="en-US"/>
              </w:rPr>
              <w:t xml:space="preserve">, IMC, </w:t>
            </w:r>
            <w:proofErr w:type="spellStart"/>
            <w:r w:rsidRPr="004A4051">
              <w:rPr>
                <w:rFonts w:asciiTheme="majorBidi" w:eastAsia="MS Mincho" w:hAnsiTheme="majorBidi" w:cstheme="majorBidi"/>
                <w:lang w:val="en-US"/>
              </w:rPr>
              <w:t>cas</w:t>
            </w:r>
            <w:proofErr w:type="spellEnd"/>
            <w:r w:rsidRPr="004A4051">
              <w:rPr>
                <w:rFonts w:asciiTheme="majorBidi" w:eastAsia="MS Mincho" w:hAnsiTheme="majorBidi" w:cstheme="majorBidi"/>
                <w:lang w:val="en-US"/>
              </w:rPr>
              <w:t xml:space="preserve"> pratiques</w:t>
            </w:r>
          </w:p>
        </w:tc>
      </w:tr>
      <w:tr w:rsidR="00D80693" w14:paraId="58EFAFEA" w14:textId="77777777" w:rsidTr="00064B54">
        <w:tc>
          <w:tcPr>
            <w:tcW w:w="795" w:type="dxa"/>
          </w:tcPr>
          <w:p w14:paraId="62DD88AD"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1ère A</w:t>
            </w:r>
          </w:p>
        </w:tc>
        <w:tc>
          <w:tcPr>
            <w:tcW w:w="1998" w:type="dxa"/>
          </w:tcPr>
          <w:p w14:paraId="67D1492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Paludisme</w:t>
            </w:r>
            <w:proofErr w:type="spellEnd"/>
          </w:p>
        </w:tc>
        <w:tc>
          <w:tcPr>
            <w:tcW w:w="1591" w:type="dxa"/>
          </w:tcPr>
          <w:p w14:paraId="62EF99F5"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VIH, </w:t>
            </w:r>
            <w:proofErr w:type="spellStart"/>
            <w:r w:rsidRPr="004A4051">
              <w:rPr>
                <w:rFonts w:asciiTheme="majorBidi" w:eastAsia="MS Mincho" w:hAnsiTheme="majorBidi" w:cstheme="majorBidi"/>
                <w:lang w:val="en-US"/>
              </w:rPr>
              <w:t>prévention</w:t>
            </w:r>
            <w:proofErr w:type="spellEnd"/>
          </w:p>
        </w:tc>
        <w:tc>
          <w:tcPr>
            <w:tcW w:w="1763" w:type="dxa"/>
          </w:tcPr>
          <w:p w14:paraId="1CF22878"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Endémies</w:t>
            </w:r>
            <w:proofErr w:type="spellEnd"/>
            <w:r w:rsidRPr="004A4051">
              <w:rPr>
                <w:rFonts w:asciiTheme="majorBidi" w:eastAsia="MS Mincho" w:hAnsiTheme="majorBidi" w:cstheme="majorBidi"/>
                <w:lang w:val="en-US"/>
              </w:rPr>
              <w:t xml:space="preserve"> locales</w:t>
            </w:r>
          </w:p>
        </w:tc>
        <w:tc>
          <w:tcPr>
            <w:tcW w:w="1585" w:type="dxa"/>
          </w:tcPr>
          <w:p w14:paraId="11073C9E"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Normalisation</w:t>
            </w:r>
            <w:proofErr w:type="spellEnd"/>
            <w:r w:rsidRPr="004A4051">
              <w:rPr>
                <w:rFonts w:asciiTheme="majorBidi" w:eastAsia="MS Mincho" w:hAnsiTheme="majorBidi" w:cstheme="majorBidi"/>
                <w:lang w:val="en-US"/>
              </w:rPr>
              <w:t xml:space="preserve"> du </w:t>
            </w:r>
            <w:proofErr w:type="spellStart"/>
            <w:r w:rsidRPr="004A4051">
              <w:rPr>
                <w:rFonts w:asciiTheme="majorBidi" w:eastAsia="MS Mincho" w:hAnsiTheme="majorBidi" w:cstheme="majorBidi"/>
                <w:lang w:val="en-US"/>
              </w:rPr>
              <w:t>risque</w:t>
            </w:r>
            <w:proofErr w:type="spellEnd"/>
          </w:p>
        </w:tc>
        <w:tc>
          <w:tcPr>
            <w:tcW w:w="1614" w:type="dxa"/>
          </w:tcPr>
          <w:p w14:paraId="5DAD35A4"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Cas </w:t>
            </w:r>
            <w:proofErr w:type="spellStart"/>
            <w:r w:rsidRPr="004A4051">
              <w:rPr>
                <w:rFonts w:asciiTheme="majorBidi" w:eastAsia="MS Mincho" w:hAnsiTheme="majorBidi" w:cstheme="majorBidi"/>
                <w:lang w:val="en-US"/>
              </w:rPr>
              <w:t>cliniques</w:t>
            </w:r>
            <w:proofErr w:type="spellEnd"/>
            <w:r w:rsidRPr="004A4051">
              <w:rPr>
                <w:rFonts w:asciiTheme="majorBidi" w:eastAsia="MS Mincho" w:hAnsiTheme="majorBidi" w:cstheme="majorBidi"/>
                <w:lang w:val="en-US"/>
              </w:rPr>
              <w:t>, affiches santé</w:t>
            </w:r>
          </w:p>
        </w:tc>
      </w:tr>
      <w:tr w:rsidR="00D80693" w14:paraId="5C132B37" w14:textId="77777777" w:rsidTr="00064B54">
        <w:tc>
          <w:tcPr>
            <w:tcW w:w="795" w:type="dxa"/>
          </w:tcPr>
          <w:p w14:paraId="7E3C8DF4"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Tle</w:t>
            </w:r>
            <w:proofErr w:type="spellEnd"/>
            <w:r w:rsidRPr="004A4051">
              <w:rPr>
                <w:rFonts w:asciiTheme="majorBidi" w:eastAsia="MS Mincho" w:hAnsiTheme="majorBidi" w:cstheme="majorBidi"/>
                <w:lang w:val="en-US"/>
              </w:rPr>
              <w:t xml:space="preserve"> C</w:t>
            </w:r>
          </w:p>
        </w:tc>
        <w:tc>
          <w:tcPr>
            <w:tcW w:w="1998" w:type="dxa"/>
          </w:tcPr>
          <w:p w14:paraId="741EC3B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Polymorphisme</w:t>
            </w:r>
            <w:proofErr w:type="spellEnd"/>
          </w:p>
        </w:tc>
        <w:tc>
          <w:tcPr>
            <w:tcW w:w="1591" w:type="dxa"/>
          </w:tcPr>
          <w:p w14:paraId="5B467FD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Gènes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phénotypes</w:t>
            </w:r>
            <w:proofErr w:type="spellEnd"/>
          </w:p>
        </w:tc>
        <w:tc>
          <w:tcPr>
            <w:tcW w:w="1763" w:type="dxa"/>
          </w:tcPr>
          <w:p w14:paraId="3AA27461"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Diversité</w:t>
            </w:r>
            <w:proofErr w:type="spellEnd"/>
            <w:r w:rsidRPr="004A4051">
              <w:rPr>
                <w:rFonts w:asciiTheme="majorBidi" w:eastAsia="MS Mincho" w:hAnsiTheme="majorBidi" w:cstheme="majorBidi"/>
                <w:lang w:val="en-US"/>
              </w:rPr>
              <w:t xml:space="preserve"> locale</w:t>
            </w:r>
          </w:p>
        </w:tc>
        <w:tc>
          <w:tcPr>
            <w:tcW w:w="1585" w:type="dxa"/>
          </w:tcPr>
          <w:p w14:paraId="055785F5"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Confusion concepts </w:t>
            </w:r>
            <w:proofErr w:type="spellStart"/>
            <w:r w:rsidRPr="004A4051">
              <w:rPr>
                <w:rFonts w:asciiTheme="majorBidi" w:eastAsia="MS Mincho" w:hAnsiTheme="majorBidi" w:cstheme="majorBidi"/>
                <w:lang w:val="en-US"/>
              </w:rPr>
              <w:t>génétiques</w:t>
            </w:r>
            <w:proofErr w:type="spellEnd"/>
          </w:p>
        </w:tc>
        <w:tc>
          <w:tcPr>
            <w:tcW w:w="1614" w:type="dxa"/>
          </w:tcPr>
          <w:p w14:paraId="09BABDE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Croisements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simulés</w:t>
            </w:r>
            <w:proofErr w:type="spellEnd"/>
          </w:p>
        </w:tc>
      </w:tr>
      <w:tr w:rsidR="00D80693" w14:paraId="390A2E50" w14:textId="77777777" w:rsidTr="00064B54">
        <w:tc>
          <w:tcPr>
            <w:tcW w:w="795" w:type="dxa"/>
          </w:tcPr>
          <w:p w14:paraId="666DCBF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Tle</w:t>
            </w:r>
            <w:proofErr w:type="spellEnd"/>
            <w:r w:rsidRPr="004A4051">
              <w:rPr>
                <w:rFonts w:asciiTheme="majorBidi" w:eastAsia="MS Mincho" w:hAnsiTheme="majorBidi" w:cstheme="majorBidi"/>
                <w:lang w:val="en-US"/>
              </w:rPr>
              <w:t xml:space="preserve"> C</w:t>
            </w:r>
          </w:p>
        </w:tc>
        <w:tc>
          <w:tcPr>
            <w:tcW w:w="1998" w:type="dxa"/>
          </w:tcPr>
          <w:p w14:paraId="1D36037E"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Glycémie</w:t>
            </w:r>
            <w:proofErr w:type="spellEnd"/>
          </w:p>
        </w:tc>
        <w:tc>
          <w:tcPr>
            <w:tcW w:w="1591" w:type="dxa"/>
          </w:tcPr>
          <w:p w14:paraId="3C30C6ED"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Insuline</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pancréas</w:t>
            </w:r>
            <w:proofErr w:type="spellEnd"/>
          </w:p>
        </w:tc>
        <w:tc>
          <w:tcPr>
            <w:tcW w:w="1763" w:type="dxa"/>
          </w:tcPr>
          <w:p w14:paraId="364C36E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Diabète</w:t>
            </w:r>
            <w:proofErr w:type="spellEnd"/>
            <w:r w:rsidRPr="004A4051">
              <w:rPr>
                <w:rFonts w:asciiTheme="majorBidi" w:eastAsia="MS Mincho" w:hAnsiTheme="majorBidi" w:cstheme="majorBidi"/>
                <w:lang w:val="en-US"/>
              </w:rPr>
              <w:t xml:space="preserve"> au Gabon</w:t>
            </w:r>
          </w:p>
        </w:tc>
        <w:tc>
          <w:tcPr>
            <w:tcW w:w="1585" w:type="dxa"/>
          </w:tcPr>
          <w:p w14:paraId="24E24C34"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Peu de données locales</w:t>
            </w:r>
          </w:p>
        </w:tc>
        <w:tc>
          <w:tcPr>
            <w:tcW w:w="1614" w:type="dxa"/>
          </w:tcPr>
          <w:p w14:paraId="1892210A"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Maquettes, intervention santé</w:t>
            </w:r>
          </w:p>
        </w:tc>
      </w:tr>
      <w:tr w:rsidR="00D80693" w14:paraId="2D268D8D" w14:textId="77777777" w:rsidTr="00064B54">
        <w:tc>
          <w:tcPr>
            <w:tcW w:w="795" w:type="dxa"/>
          </w:tcPr>
          <w:p w14:paraId="569F76F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Tle</w:t>
            </w:r>
            <w:proofErr w:type="spellEnd"/>
            <w:r w:rsidRPr="004A4051">
              <w:rPr>
                <w:rFonts w:asciiTheme="majorBidi" w:eastAsia="MS Mincho" w:hAnsiTheme="majorBidi" w:cstheme="majorBidi"/>
                <w:lang w:val="en-US"/>
              </w:rPr>
              <w:t xml:space="preserve"> C</w:t>
            </w:r>
          </w:p>
        </w:tc>
        <w:tc>
          <w:tcPr>
            <w:tcW w:w="1998" w:type="dxa"/>
          </w:tcPr>
          <w:p w14:paraId="3EA3117C"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Reproduction</w:t>
            </w:r>
          </w:p>
        </w:tc>
        <w:tc>
          <w:tcPr>
            <w:tcW w:w="1591" w:type="dxa"/>
          </w:tcPr>
          <w:p w14:paraId="10E28749"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Fertilité</w:t>
            </w:r>
            <w:proofErr w:type="spellEnd"/>
            <w:r w:rsidRPr="004A4051">
              <w:rPr>
                <w:rFonts w:asciiTheme="majorBidi" w:eastAsia="MS Mincho" w:hAnsiTheme="majorBidi" w:cstheme="majorBidi"/>
                <w:lang w:val="en-US"/>
              </w:rPr>
              <w:t>, cycle</w:t>
            </w:r>
          </w:p>
        </w:tc>
        <w:tc>
          <w:tcPr>
            <w:tcW w:w="1763" w:type="dxa"/>
          </w:tcPr>
          <w:p w14:paraId="5D6CA8B3"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Contexte</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socioculturel</w:t>
            </w:r>
            <w:proofErr w:type="spellEnd"/>
          </w:p>
        </w:tc>
        <w:tc>
          <w:tcPr>
            <w:tcW w:w="1585" w:type="dxa"/>
          </w:tcPr>
          <w:p w14:paraId="2C90C92C"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Tabous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gêne</w:t>
            </w:r>
            <w:proofErr w:type="spellEnd"/>
          </w:p>
        </w:tc>
        <w:tc>
          <w:tcPr>
            <w:tcW w:w="1614" w:type="dxa"/>
          </w:tcPr>
          <w:p w14:paraId="49827746"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ESSR, clarification des </w:t>
            </w:r>
            <w:proofErr w:type="spellStart"/>
            <w:r w:rsidRPr="004A4051">
              <w:rPr>
                <w:rFonts w:asciiTheme="majorBidi" w:eastAsia="MS Mincho" w:hAnsiTheme="majorBidi" w:cstheme="majorBidi"/>
                <w:lang w:val="en-US"/>
              </w:rPr>
              <w:t>valeurs</w:t>
            </w:r>
            <w:proofErr w:type="spellEnd"/>
          </w:p>
        </w:tc>
      </w:tr>
      <w:tr w:rsidR="00D80693" w14:paraId="2BE1E9E9" w14:textId="77777777" w:rsidTr="00064B54">
        <w:tc>
          <w:tcPr>
            <w:tcW w:w="795" w:type="dxa"/>
          </w:tcPr>
          <w:p w14:paraId="3B111AE3"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Tle</w:t>
            </w:r>
            <w:proofErr w:type="spellEnd"/>
            <w:r w:rsidRPr="004A4051">
              <w:rPr>
                <w:rFonts w:asciiTheme="majorBidi" w:eastAsia="MS Mincho" w:hAnsiTheme="majorBidi" w:cstheme="majorBidi"/>
                <w:lang w:val="en-US"/>
              </w:rPr>
              <w:t xml:space="preserve"> D</w:t>
            </w:r>
          </w:p>
        </w:tc>
        <w:tc>
          <w:tcPr>
            <w:tcW w:w="1998" w:type="dxa"/>
          </w:tcPr>
          <w:p w14:paraId="1A4146F1"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Origine de la vie</w:t>
            </w:r>
          </w:p>
        </w:tc>
        <w:tc>
          <w:tcPr>
            <w:tcW w:w="1591" w:type="dxa"/>
          </w:tcPr>
          <w:p w14:paraId="554B422C"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Ères</w:t>
            </w:r>
            <w:proofErr w:type="spellEnd"/>
            <w:r w:rsidRPr="004A4051">
              <w:rPr>
                <w:rFonts w:asciiTheme="majorBidi" w:eastAsia="MS Mincho" w:hAnsiTheme="majorBidi" w:cstheme="majorBidi"/>
                <w:lang w:val="en-US"/>
              </w:rPr>
              <w:t>, crises</w:t>
            </w:r>
          </w:p>
        </w:tc>
        <w:tc>
          <w:tcPr>
            <w:tcW w:w="1763" w:type="dxa"/>
          </w:tcPr>
          <w:p w14:paraId="43367BC9" w14:textId="77777777" w:rsidR="00D80693" w:rsidRPr="004A4051" w:rsidRDefault="00D80693" w:rsidP="00D92213">
            <w:pPr>
              <w:spacing w:before="120"/>
              <w:contextualSpacing/>
              <w:rPr>
                <w:rFonts w:eastAsia="MS Mincho"/>
              </w:rPr>
            </w:pPr>
            <w:r w:rsidRPr="004A4051">
              <w:rPr>
                <w:rFonts w:asciiTheme="majorBidi" w:eastAsia="MS Mincho" w:hAnsiTheme="majorBidi" w:cstheme="majorBidi"/>
              </w:rPr>
              <w:t>Crises étudiées via le bassin sédimentaire</w:t>
            </w:r>
          </w:p>
        </w:tc>
        <w:tc>
          <w:tcPr>
            <w:tcW w:w="1585" w:type="dxa"/>
          </w:tcPr>
          <w:p w14:paraId="1C3793C8"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Documentation </w:t>
            </w:r>
            <w:proofErr w:type="spellStart"/>
            <w:r w:rsidRPr="004A4051">
              <w:rPr>
                <w:rFonts w:asciiTheme="majorBidi" w:eastAsia="MS Mincho" w:hAnsiTheme="majorBidi" w:cstheme="majorBidi"/>
                <w:lang w:val="en-US"/>
              </w:rPr>
              <w:t>faible</w:t>
            </w:r>
            <w:proofErr w:type="spellEnd"/>
          </w:p>
        </w:tc>
        <w:tc>
          <w:tcPr>
            <w:tcW w:w="1614" w:type="dxa"/>
          </w:tcPr>
          <w:p w14:paraId="1B2D1741"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Schémas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cartes</w:t>
            </w:r>
            <w:proofErr w:type="spellEnd"/>
          </w:p>
        </w:tc>
      </w:tr>
      <w:tr w:rsidR="00D80693" w14:paraId="0E4FDBC4" w14:textId="77777777" w:rsidTr="00064B54">
        <w:tc>
          <w:tcPr>
            <w:tcW w:w="795" w:type="dxa"/>
          </w:tcPr>
          <w:p w14:paraId="14D76C8F"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Tle</w:t>
            </w:r>
            <w:proofErr w:type="spellEnd"/>
            <w:r w:rsidRPr="004A4051">
              <w:rPr>
                <w:rFonts w:asciiTheme="majorBidi" w:eastAsia="MS Mincho" w:hAnsiTheme="majorBidi" w:cstheme="majorBidi"/>
                <w:lang w:val="en-US"/>
              </w:rPr>
              <w:t xml:space="preserve"> D</w:t>
            </w:r>
          </w:p>
        </w:tc>
        <w:tc>
          <w:tcPr>
            <w:tcW w:w="1998" w:type="dxa"/>
          </w:tcPr>
          <w:p w14:paraId="276C666B"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Lignée</w:t>
            </w:r>
            <w:proofErr w:type="spellEnd"/>
            <w:r w:rsidRPr="004A4051">
              <w:rPr>
                <w:rFonts w:asciiTheme="majorBidi" w:eastAsia="MS Mincho" w:hAnsiTheme="majorBidi" w:cstheme="majorBidi"/>
                <w:lang w:val="en-US"/>
              </w:rPr>
              <w:t xml:space="preserve"> humaine</w:t>
            </w:r>
          </w:p>
        </w:tc>
        <w:tc>
          <w:tcPr>
            <w:tcW w:w="1591" w:type="dxa"/>
          </w:tcPr>
          <w:p w14:paraId="04A1E0C1"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Hominisation</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évolution</w:t>
            </w:r>
            <w:proofErr w:type="spellEnd"/>
          </w:p>
        </w:tc>
        <w:tc>
          <w:tcPr>
            <w:tcW w:w="1763" w:type="dxa"/>
          </w:tcPr>
          <w:p w14:paraId="51380356"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Lien avec </w:t>
            </w:r>
            <w:proofErr w:type="spellStart"/>
            <w:r w:rsidRPr="004A4051">
              <w:rPr>
                <w:rFonts w:asciiTheme="majorBidi" w:eastAsia="MS Mincho" w:hAnsiTheme="majorBidi" w:cstheme="majorBidi"/>
                <w:lang w:val="en-US"/>
              </w:rPr>
              <w:t>débats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anthropologiques</w:t>
            </w:r>
            <w:proofErr w:type="spellEnd"/>
          </w:p>
        </w:tc>
        <w:tc>
          <w:tcPr>
            <w:tcW w:w="1585" w:type="dxa"/>
          </w:tcPr>
          <w:p w14:paraId="6CE4CF0F"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Interférences</w:t>
            </w:r>
            <w:proofErr w:type="spellEnd"/>
            <w:r w:rsidRPr="004A4051">
              <w:rPr>
                <w:rFonts w:asciiTheme="majorBidi" w:eastAsia="MS Mincho" w:hAnsiTheme="majorBidi" w:cstheme="majorBidi"/>
                <w:lang w:val="en-US"/>
              </w:rPr>
              <w:t xml:space="preserve"> religieuses</w:t>
            </w:r>
          </w:p>
        </w:tc>
        <w:tc>
          <w:tcPr>
            <w:tcW w:w="1614" w:type="dxa"/>
          </w:tcPr>
          <w:p w14:paraId="20E863F8"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Comparatifs</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débats</w:t>
            </w:r>
            <w:proofErr w:type="spellEnd"/>
          </w:p>
        </w:tc>
      </w:tr>
      <w:tr w:rsidR="00D80693" w14:paraId="79FC43D0" w14:textId="77777777" w:rsidTr="00064B54">
        <w:tc>
          <w:tcPr>
            <w:tcW w:w="795" w:type="dxa"/>
          </w:tcPr>
          <w:p w14:paraId="28AEAA4C"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Tle</w:t>
            </w:r>
            <w:proofErr w:type="spellEnd"/>
            <w:r w:rsidRPr="004A4051">
              <w:rPr>
                <w:rFonts w:asciiTheme="majorBidi" w:eastAsia="MS Mincho" w:hAnsiTheme="majorBidi" w:cstheme="majorBidi"/>
                <w:lang w:val="en-US"/>
              </w:rPr>
              <w:t xml:space="preserve"> D</w:t>
            </w:r>
          </w:p>
        </w:tc>
        <w:tc>
          <w:tcPr>
            <w:tcW w:w="1998" w:type="dxa"/>
          </w:tcPr>
          <w:p w14:paraId="4FC7F302"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Immunité</w:t>
            </w:r>
            <w:proofErr w:type="spellEnd"/>
          </w:p>
        </w:tc>
        <w:tc>
          <w:tcPr>
            <w:tcW w:w="1591" w:type="dxa"/>
          </w:tcPr>
          <w:p w14:paraId="44C285EB"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VIH, </w:t>
            </w:r>
            <w:proofErr w:type="spellStart"/>
            <w:r w:rsidRPr="004A4051">
              <w:rPr>
                <w:rFonts w:asciiTheme="majorBidi" w:eastAsia="MS Mincho" w:hAnsiTheme="majorBidi" w:cstheme="majorBidi"/>
                <w:lang w:val="en-US"/>
              </w:rPr>
              <w:t>vaccins</w:t>
            </w:r>
            <w:proofErr w:type="spellEnd"/>
          </w:p>
        </w:tc>
        <w:tc>
          <w:tcPr>
            <w:tcW w:w="1763" w:type="dxa"/>
          </w:tcPr>
          <w:p w14:paraId="75985B50"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Enjeux</w:t>
            </w:r>
            <w:proofErr w:type="spellEnd"/>
            <w:r w:rsidRPr="004A4051">
              <w:rPr>
                <w:rFonts w:asciiTheme="majorBidi" w:eastAsia="MS Mincho" w:hAnsiTheme="majorBidi" w:cstheme="majorBidi"/>
                <w:lang w:val="en-US"/>
              </w:rPr>
              <w:t xml:space="preserve"> sanitaires </w:t>
            </w:r>
            <w:r>
              <w:rPr>
                <w:rFonts w:asciiTheme="majorBidi" w:eastAsia="MS Mincho" w:hAnsiTheme="majorBidi" w:cstheme="majorBidi"/>
                <w:lang w:val="en-US"/>
              </w:rPr>
              <w:t>reels</w:t>
            </w:r>
          </w:p>
        </w:tc>
        <w:tc>
          <w:tcPr>
            <w:tcW w:w="1585" w:type="dxa"/>
          </w:tcPr>
          <w:p w14:paraId="70F40F2F" w14:textId="77777777" w:rsidR="00D80693" w:rsidRPr="004A4051" w:rsidRDefault="00D80693" w:rsidP="00D92213">
            <w:pPr>
              <w:spacing w:before="120"/>
              <w:contextualSpacing/>
              <w:rPr>
                <w:rFonts w:eastAsia="MS Mincho"/>
                <w:lang w:val="en-US"/>
              </w:rPr>
            </w:pPr>
            <w:proofErr w:type="spellStart"/>
            <w:r w:rsidRPr="004A4051">
              <w:rPr>
                <w:rFonts w:asciiTheme="majorBidi" w:eastAsia="MS Mincho" w:hAnsiTheme="majorBidi" w:cstheme="majorBidi"/>
                <w:lang w:val="en-US"/>
              </w:rPr>
              <w:t>Mésinformation</w:t>
            </w:r>
            <w:proofErr w:type="spellEnd"/>
            <w:r w:rsidRPr="004A4051">
              <w:rPr>
                <w:rFonts w:asciiTheme="majorBidi" w:eastAsia="MS Mincho" w:hAnsiTheme="majorBidi" w:cstheme="majorBidi"/>
                <w:lang w:val="en-US"/>
              </w:rPr>
              <w:t xml:space="preserve"> </w:t>
            </w:r>
            <w:proofErr w:type="spellStart"/>
            <w:r w:rsidRPr="004A4051">
              <w:rPr>
                <w:rFonts w:asciiTheme="majorBidi" w:eastAsia="MS Mincho" w:hAnsiTheme="majorBidi" w:cstheme="majorBidi"/>
                <w:lang w:val="en-US"/>
              </w:rPr>
              <w:t>fréquente</w:t>
            </w:r>
            <w:proofErr w:type="spellEnd"/>
          </w:p>
        </w:tc>
        <w:tc>
          <w:tcPr>
            <w:tcW w:w="1614" w:type="dxa"/>
          </w:tcPr>
          <w:p w14:paraId="5DF7797B" w14:textId="77777777" w:rsidR="00D80693" w:rsidRPr="004A4051" w:rsidRDefault="00D80693" w:rsidP="00D92213">
            <w:pPr>
              <w:spacing w:before="120"/>
              <w:contextualSpacing/>
              <w:rPr>
                <w:rFonts w:eastAsia="MS Mincho"/>
                <w:lang w:val="en-US"/>
              </w:rPr>
            </w:pPr>
            <w:r w:rsidRPr="004A4051">
              <w:rPr>
                <w:rFonts w:asciiTheme="majorBidi" w:eastAsia="MS Mincho" w:hAnsiTheme="majorBidi" w:cstheme="majorBidi"/>
                <w:lang w:val="en-US"/>
              </w:rPr>
              <w:t xml:space="preserve">Affiches, </w:t>
            </w:r>
            <w:proofErr w:type="gramStart"/>
            <w:r w:rsidRPr="004A4051">
              <w:rPr>
                <w:rFonts w:asciiTheme="majorBidi" w:eastAsia="MS Mincho" w:hAnsiTheme="majorBidi" w:cstheme="majorBidi"/>
                <w:lang w:val="en-US"/>
              </w:rPr>
              <w:t>mini-</w:t>
            </w:r>
            <w:proofErr w:type="spellStart"/>
            <w:r w:rsidRPr="004A4051">
              <w:rPr>
                <w:rFonts w:asciiTheme="majorBidi" w:eastAsia="MS Mincho" w:hAnsiTheme="majorBidi" w:cstheme="majorBidi"/>
                <w:lang w:val="en-US"/>
              </w:rPr>
              <w:t>projets</w:t>
            </w:r>
            <w:proofErr w:type="spellEnd"/>
            <w:proofErr w:type="gramEnd"/>
          </w:p>
        </w:tc>
      </w:tr>
    </w:tbl>
    <w:p w14:paraId="5DC2847D" w14:textId="77777777" w:rsidR="00D80693" w:rsidRPr="00010B7C" w:rsidRDefault="00D80693" w:rsidP="00D92213">
      <w:pPr>
        <w:spacing w:before="120"/>
        <w:rPr>
          <w:rFonts w:eastAsia="Aptos"/>
          <w:b/>
          <w:bCs/>
          <w:i/>
          <w:iCs/>
          <w:szCs w:val="24"/>
          <w:lang w:val="fr-SN"/>
        </w:rPr>
      </w:pPr>
      <w:r w:rsidRPr="00010B7C">
        <w:rPr>
          <w:rFonts w:asciiTheme="majorBidi" w:eastAsia="Aptos" w:hAnsiTheme="majorBidi" w:cstheme="majorBidi"/>
          <w:b/>
          <w:bCs/>
          <w:i/>
          <w:iCs/>
          <w:szCs w:val="24"/>
          <w:lang w:val="fr-SN"/>
        </w:rPr>
        <w:t xml:space="preserve">Source : </w:t>
      </w:r>
      <w:r>
        <w:rPr>
          <w:rFonts w:asciiTheme="majorBidi" w:eastAsia="Aptos" w:hAnsiTheme="majorBidi" w:cstheme="majorBidi"/>
          <w:b/>
          <w:bCs/>
          <w:i/>
          <w:iCs/>
          <w:szCs w:val="24"/>
          <w:lang w:val="fr-SN"/>
        </w:rPr>
        <w:t xml:space="preserve">enquête de terrain, </w:t>
      </w:r>
      <w:proofErr w:type="spellStart"/>
      <w:r>
        <w:rPr>
          <w:rFonts w:asciiTheme="majorBidi" w:eastAsia="Aptos" w:hAnsiTheme="majorBidi" w:cstheme="majorBidi"/>
          <w:b/>
          <w:bCs/>
          <w:i/>
          <w:iCs/>
          <w:szCs w:val="24"/>
          <w:lang w:val="fr-SN"/>
        </w:rPr>
        <w:t>Moussavou</w:t>
      </w:r>
      <w:proofErr w:type="spellEnd"/>
      <w:r>
        <w:rPr>
          <w:rFonts w:asciiTheme="majorBidi" w:eastAsia="Aptos" w:hAnsiTheme="majorBidi" w:cstheme="majorBidi"/>
          <w:b/>
          <w:bCs/>
          <w:i/>
          <w:iCs/>
          <w:szCs w:val="24"/>
          <w:lang w:val="fr-SN"/>
        </w:rPr>
        <w:t>, 2025</w:t>
      </w:r>
    </w:p>
    <w:p w14:paraId="0A61880E" w14:textId="77777777" w:rsidR="00D80693"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D’une façon globale, l’on peut constater une contextualisation évoquée dans les textes réglementaires, mais peu opérationnalisée dans les progressions. </w:t>
      </w:r>
    </w:p>
    <w:p w14:paraId="5AAD2FFD" w14:textId="77777777" w:rsidR="00D80693" w:rsidRDefault="00D80693" w:rsidP="00D92213">
      <w:pPr>
        <w:spacing w:before="120"/>
        <w:jc w:val="both"/>
        <w:rPr>
          <w:sz w:val="24"/>
          <w:szCs w:val="24"/>
          <w:lang w:val="fr-SN"/>
        </w:rPr>
      </w:pPr>
      <w:r w:rsidRPr="004A5643">
        <w:rPr>
          <w:rFonts w:asciiTheme="majorBidi" w:eastAsia="Aptos" w:hAnsiTheme="majorBidi" w:cstheme="majorBidi"/>
          <w:sz w:val="24"/>
          <w:szCs w:val="24"/>
          <w:lang w:val="fr-SN"/>
        </w:rPr>
        <w:t>En effet, l’exploration</w:t>
      </w:r>
      <w:r>
        <w:rPr>
          <w:rFonts w:asciiTheme="majorBidi" w:eastAsia="Aptos" w:hAnsiTheme="majorBidi" w:cstheme="majorBidi"/>
          <w:sz w:val="24"/>
          <w:szCs w:val="24"/>
          <w:lang w:val="fr-SN"/>
        </w:rPr>
        <w:t xml:space="preserve"> des</w:t>
      </w:r>
      <w:r w:rsidRPr="004A5643">
        <w:rPr>
          <w:rFonts w:asciiTheme="majorBidi" w:eastAsia="Aptos" w:hAnsiTheme="majorBidi" w:cstheme="majorBidi"/>
          <w:sz w:val="24"/>
          <w:szCs w:val="24"/>
          <w:lang w:val="fr-SN"/>
        </w:rPr>
        <w:t xml:space="preserve"> </w:t>
      </w:r>
      <w:r w:rsidRPr="004A5643">
        <w:rPr>
          <w:rFonts w:asciiTheme="majorBidi" w:hAnsiTheme="majorBidi" w:cstheme="majorBidi"/>
          <w:sz w:val="24"/>
          <w:szCs w:val="24"/>
          <w:lang w:val="fr-SN"/>
        </w:rPr>
        <w:t>États Généraux de l’Éducation</w:t>
      </w:r>
      <w:r>
        <w:rPr>
          <w:rFonts w:asciiTheme="majorBidi" w:eastAsia="Aptos" w:hAnsiTheme="majorBidi" w:cstheme="majorBidi"/>
          <w:sz w:val="24"/>
          <w:szCs w:val="24"/>
          <w:lang w:val="fr-SN"/>
        </w:rPr>
        <w:t xml:space="preserve">, de la </w:t>
      </w:r>
      <w:r w:rsidRPr="004A5643">
        <w:rPr>
          <w:rFonts w:asciiTheme="majorBidi" w:hAnsiTheme="majorBidi" w:cstheme="majorBidi"/>
          <w:sz w:val="24"/>
          <w:szCs w:val="24"/>
          <w:lang w:val="fr-SN"/>
        </w:rPr>
        <w:t>loi d’orientation</w:t>
      </w:r>
      <w:r>
        <w:rPr>
          <w:rFonts w:asciiTheme="majorBidi" w:hAnsiTheme="majorBidi" w:cstheme="majorBidi"/>
          <w:sz w:val="24"/>
          <w:szCs w:val="24"/>
          <w:lang w:val="fr-SN"/>
        </w:rPr>
        <w:t xml:space="preserve"> et des </w:t>
      </w:r>
      <w:r w:rsidRPr="004A5643">
        <w:rPr>
          <w:rFonts w:asciiTheme="majorBidi" w:hAnsiTheme="majorBidi" w:cstheme="majorBidi"/>
          <w:sz w:val="24"/>
          <w:szCs w:val="24"/>
          <w:lang w:val="fr-SN"/>
        </w:rPr>
        <w:t>progressions</w:t>
      </w:r>
      <w:r>
        <w:rPr>
          <w:rFonts w:asciiTheme="majorBidi" w:hAnsiTheme="majorBidi" w:cstheme="majorBidi"/>
          <w:sz w:val="24"/>
          <w:szCs w:val="24"/>
          <w:lang w:val="fr-SN"/>
        </w:rPr>
        <w:t xml:space="preserve"> </w:t>
      </w:r>
      <w:r w:rsidRPr="004A5643">
        <w:rPr>
          <w:rFonts w:asciiTheme="majorBidi" w:hAnsiTheme="majorBidi" w:cstheme="majorBidi"/>
          <w:sz w:val="24"/>
          <w:szCs w:val="24"/>
          <w:lang w:val="fr-SN"/>
        </w:rPr>
        <w:t>montre une présence inégale et implicite d</w:t>
      </w:r>
      <w:r>
        <w:rPr>
          <w:rFonts w:asciiTheme="majorBidi" w:hAnsiTheme="majorBidi" w:cstheme="majorBidi"/>
          <w:sz w:val="24"/>
          <w:szCs w:val="24"/>
          <w:lang w:val="fr-SN"/>
        </w:rPr>
        <w:t xml:space="preserve">u terme </w:t>
      </w:r>
      <w:r w:rsidRPr="004A5643">
        <w:rPr>
          <w:rFonts w:asciiTheme="majorBidi" w:hAnsiTheme="majorBidi" w:cstheme="majorBidi"/>
          <w:sz w:val="24"/>
          <w:szCs w:val="24"/>
          <w:lang w:val="fr-SN"/>
        </w:rPr>
        <w:t xml:space="preserve">contextualisation. Si </w:t>
      </w:r>
      <w:r>
        <w:rPr>
          <w:rFonts w:asciiTheme="majorBidi" w:hAnsiTheme="majorBidi" w:cstheme="majorBidi"/>
          <w:sz w:val="24"/>
          <w:szCs w:val="24"/>
          <w:lang w:val="fr-SN"/>
        </w:rPr>
        <w:t xml:space="preserve">les </w:t>
      </w:r>
      <w:r w:rsidRPr="004A5643">
        <w:rPr>
          <w:rFonts w:asciiTheme="majorBidi" w:hAnsiTheme="majorBidi" w:cstheme="majorBidi"/>
          <w:sz w:val="24"/>
          <w:szCs w:val="24"/>
          <w:lang w:val="fr-SN"/>
        </w:rPr>
        <w:t>États Généraux (p.102-104), évoquent la nécessité d’un arrimage plus étroit entre école et société, la formulation reste générale et peu opérationnelle. La contextualisation y est mentionnée de manière déclarative, sans indication précise sur les modalités pédagogiques d’application. Par ailleurs, les progressions pédagogiques officielles tendent à uniformiser les contenus sans tenir compte de la diversité des réalités culturelles</w:t>
      </w:r>
      <w:r>
        <w:rPr>
          <w:rFonts w:asciiTheme="majorBidi" w:hAnsiTheme="majorBidi" w:cstheme="majorBidi"/>
          <w:sz w:val="24"/>
          <w:szCs w:val="24"/>
          <w:lang w:val="fr-SN"/>
        </w:rPr>
        <w:t xml:space="preserve"> endogènes</w:t>
      </w:r>
      <w:r w:rsidRPr="004A5643">
        <w:rPr>
          <w:rFonts w:asciiTheme="majorBidi" w:hAnsiTheme="majorBidi" w:cstheme="majorBidi"/>
          <w:sz w:val="24"/>
          <w:szCs w:val="24"/>
          <w:lang w:val="fr-SN"/>
        </w:rPr>
        <w:t xml:space="preserve">, géographiques et socio-économiques. </w:t>
      </w:r>
      <w:r>
        <w:rPr>
          <w:rFonts w:asciiTheme="majorBidi" w:hAnsiTheme="majorBidi" w:cstheme="majorBidi"/>
          <w:sz w:val="24"/>
          <w:szCs w:val="24"/>
          <w:lang w:val="fr-SN"/>
        </w:rPr>
        <w:t xml:space="preserve">L’on observe également </w:t>
      </w:r>
      <w:r w:rsidRPr="004A5643">
        <w:rPr>
          <w:rFonts w:asciiTheme="majorBidi" w:hAnsiTheme="majorBidi" w:cstheme="majorBidi"/>
          <w:sz w:val="24"/>
          <w:szCs w:val="24"/>
          <w:lang w:val="fr-SN"/>
        </w:rPr>
        <w:t xml:space="preserve">une absence de dispositifs concrets ou de recommandations didactiques pour intégrer les spécificités </w:t>
      </w:r>
      <w:r>
        <w:rPr>
          <w:rFonts w:asciiTheme="majorBidi" w:hAnsiTheme="majorBidi" w:cstheme="majorBidi"/>
          <w:sz w:val="24"/>
          <w:szCs w:val="24"/>
          <w:lang w:val="fr-SN"/>
        </w:rPr>
        <w:t xml:space="preserve">culturelles locales en SVT. Il y a donc </w:t>
      </w:r>
      <w:r w:rsidRPr="004A5643">
        <w:rPr>
          <w:rFonts w:asciiTheme="majorBidi" w:hAnsiTheme="majorBidi" w:cstheme="majorBidi"/>
          <w:sz w:val="24"/>
          <w:szCs w:val="24"/>
          <w:lang w:val="fr-SN"/>
        </w:rPr>
        <w:t>une fracture entre les intentions politiques et les réalités de terrain, traduisant une contextualisation plus normative que pragmatique.</w:t>
      </w:r>
      <w:r>
        <w:rPr>
          <w:rFonts w:asciiTheme="majorBidi" w:hAnsiTheme="majorBidi" w:cstheme="majorBidi"/>
          <w:sz w:val="24"/>
          <w:szCs w:val="24"/>
          <w:lang w:val="fr-SN"/>
        </w:rPr>
        <w:t xml:space="preserve"> Nous avons élaboré le tableau synoptique pour mieux appréhender cette préoccupation dans les textes. </w:t>
      </w:r>
    </w:p>
    <w:p w14:paraId="4116F1E0" w14:textId="77777777" w:rsidR="00D80693" w:rsidRPr="00E043AE" w:rsidRDefault="00D80693" w:rsidP="00D92213">
      <w:pPr>
        <w:spacing w:before="120"/>
        <w:jc w:val="center"/>
        <w:rPr>
          <w:b/>
          <w:bCs/>
          <w:i/>
          <w:iCs/>
          <w:sz w:val="24"/>
          <w:szCs w:val="24"/>
          <w:lang w:val="fr-SN"/>
        </w:rPr>
      </w:pPr>
      <w:r w:rsidRPr="00E043AE">
        <w:rPr>
          <w:rFonts w:asciiTheme="majorBidi" w:hAnsiTheme="majorBidi" w:cstheme="majorBidi"/>
          <w:b/>
          <w:bCs/>
          <w:i/>
          <w:iCs/>
          <w:sz w:val="24"/>
          <w:szCs w:val="24"/>
          <w:lang w:val="fr-SN"/>
        </w:rPr>
        <w:t>Tableau 4 : Synthèse de l’exploration des textes règlementaires</w:t>
      </w:r>
    </w:p>
    <w:tbl>
      <w:tblPr>
        <w:tblStyle w:val="Grilledutableau6"/>
        <w:tblW w:w="8505" w:type="dxa"/>
        <w:jc w:val="center"/>
        <w:tblLayout w:type="fixed"/>
        <w:tblLook w:val="04A0" w:firstRow="1" w:lastRow="0" w:firstColumn="1" w:lastColumn="0" w:noHBand="0" w:noVBand="1"/>
      </w:tblPr>
      <w:tblGrid>
        <w:gridCol w:w="2552"/>
        <w:gridCol w:w="1719"/>
        <w:gridCol w:w="2349"/>
        <w:gridCol w:w="1885"/>
      </w:tblGrid>
      <w:tr w:rsidR="00D80693" w14:paraId="7C5060E2" w14:textId="77777777" w:rsidTr="00064B54">
        <w:trPr>
          <w:trHeight w:val="908"/>
          <w:jc w:val="center"/>
        </w:trPr>
        <w:tc>
          <w:tcPr>
            <w:tcW w:w="2552" w:type="dxa"/>
          </w:tcPr>
          <w:p w14:paraId="2849E69C" w14:textId="77777777" w:rsidR="00D80693" w:rsidRPr="00C12BDE" w:rsidRDefault="00D80693" w:rsidP="00D92213">
            <w:pPr>
              <w:spacing w:before="120"/>
              <w:rPr>
                <w:b/>
                <w:bCs/>
                <w:szCs w:val="24"/>
              </w:rPr>
            </w:pPr>
            <w:r w:rsidRPr="00C12BDE">
              <w:rPr>
                <w:rFonts w:asciiTheme="majorBidi" w:eastAsiaTheme="minorEastAsia" w:hAnsiTheme="majorBidi" w:cstheme="majorBidi"/>
                <w:b/>
                <w:bCs/>
                <w:szCs w:val="24"/>
              </w:rPr>
              <w:t xml:space="preserve">Document officiel </w:t>
            </w:r>
            <w:r>
              <w:rPr>
                <w:rFonts w:asciiTheme="majorBidi" w:eastAsiaTheme="minorEastAsia" w:hAnsiTheme="majorBidi" w:cstheme="majorBidi"/>
                <w:b/>
                <w:bCs/>
                <w:szCs w:val="24"/>
              </w:rPr>
              <w:t>exploré</w:t>
            </w:r>
          </w:p>
        </w:tc>
        <w:tc>
          <w:tcPr>
            <w:tcW w:w="1719" w:type="dxa"/>
          </w:tcPr>
          <w:p w14:paraId="3620A60B" w14:textId="77777777" w:rsidR="00D80693" w:rsidRPr="00C12BDE" w:rsidRDefault="00D80693" w:rsidP="00D92213">
            <w:pPr>
              <w:spacing w:before="120"/>
              <w:rPr>
                <w:b/>
                <w:bCs/>
                <w:szCs w:val="24"/>
              </w:rPr>
            </w:pPr>
            <w:r w:rsidRPr="00C12BDE">
              <w:rPr>
                <w:rFonts w:asciiTheme="majorBidi" w:eastAsiaTheme="minorEastAsia" w:hAnsiTheme="majorBidi" w:cstheme="majorBidi"/>
                <w:b/>
                <w:bCs/>
                <w:szCs w:val="24"/>
              </w:rPr>
              <w:t>Mention explicite de la contextualisation</w:t>
            </w:r>
          </w:p>
        </w:tc>
        <w:tc>
          <w:tcPr>
            <w:tcW w:w="2349" w:type="dxa"/>
          </w:tcPr>
          <w:p w14:paraId="1D8ED6C1" w14:textId="77777777" w:rsidR="00D80693" w:rsidRPr="00C12BDE" w:rsidRDefault="00D80693" w:rsidP="00D92213">
            <w:pPr>
              <w:spacing w:before="120"/>
              <w:rPr>
                <w:b/>
                <w:bCs/>
                <w:szCs w:val="24"/>
              </w:rPr>
            </w:pPr>
            <w:r w:rsidRPr="00C12BDE">
              <w:rPr>
                <w:rFonts w:asciiTheme="majorBidi" w:eastAsiaTheme="minorEastAsia" w:hAnsiTheme="majorBidi" w:cstheme="majorBidi"/>
                <w:b/>
                <w:bCs/>
                <w:szCs w:val="24"/>
              </w:rPr>
              <w:t>Forme de contextualisation</w:t>
            </w:r>
          </w:p>
        </w:tc>
        <w:tc>
          <w:tcPr>
            <w:tcW w:w="1885" w:type="dxa"/>
          </w:tcPr>
          <w:p w14:paraId="0BD16D07" w14:textId="77777777" w:rsidR="00D80693" w:rsidRPr="00C12BDE" w:rsidRDefault="00D80693" w:rsidP="00D92213">
            <w:pPr>
              <w:spacing w:before="120"/>
              <w:rPr>
                <w:b/>
                <w:bCs/>
                <w:szCs w:val="24"/>
              </w:rPr>
            </w:pPr>
            <w:r w:rsidRPr="00C12BDE">
              <w:rPr>
                <w:rFonts w:asciiTheme="majorBidi" w:eastAsiaTheme="minorEastAsia" w:hAnsiTheme="majorBidi" w:cstheme="majorBidi"/>
                <w:b/>
                <w:bCs/>
                <w:szCs w:val="24"/>
              </w:rPr>
              <w:t>Degré de précision</w:t>
            </w:r>
          </w:p>
        </w:tc>
      </w:tr>
      <w:tr w:rsidR="00D80693" w14:paraId="70C1D7A0" w14:textId="77777777" w:rsidTr="00064B54">
        <w:trPr>
          <w:trHeight w:val="523"/>
          <w:jc w:val="center"/>
        </w:trPr>
        <w:tc>
          <w:tcPr>
            <w:tcW w:w="2552" w:type="dxa"/>
          </w:tcPr>
          <w:p w14:paraId="32A1B8E9"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Loi d’orientation sur l’éducation</w:t>
            </w:r>
          </w:p>
        </w:tc>
        <w:tc>
          <w:tcPr>
            <w:tcW w:w="1719" w:type="dxa"/>
          </w:tcPr>
          <w:p w14:paraId="013F9166"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Oui</w:t>
            </w:r>
          </w:p>
        </w:tc>
        <w:tc>
          <w:tcPr>
            <w:tcW w:w="2349" w:type="dxa"/>
          </w:tcPr>
          <w:p w14:paraId="7EB9A5DB"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Normative</w:t>
            </w:r>
          </w:p>
        </w:tc>
        <w:tc>
          <w:tcPr>
            <w:tcW w:w="1885" w:type="dxa"/>
          </w:tcPr>
          <w:p w14:paraId="331CBE6B"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Faible</w:t>
            </w:r>
          </w:p>
        </w:tc>
      </w:tr>
      <w:tr w:rsidR="00D80693" w14:paraId="1504D70E" w14:textId="77777777" w:rsidTr="00064B54">
        <w:trPr>
          <w:trHeight w:val="908"/>
          <w:jc w:val="center"/>
        </w:trPr>
        <w:tc>
          <w:tcPr>
            <w:tcW w:w="2552" w:type="dxa"/>
          </w:tcPr>
          <w:p w14:paraId="5779FD46"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 xml:space="preserve">Programmes officiels (SVT, </w:t>
            </w:r>
            <w:r>
              <w:rPr>
                <w:rFonts w:asciiTheme="majorBidi" w:eastAsiaTheme="minorEastAsia" w:hAnsiTheme="majorBidi" w:cstheme="majorBidi"/>
                <w:szCs w:val="24"/>
              </w:rPr>
              <w:t>C</w:t>
            </w:r>
            <w:r w:rsidRPr="00C12BDE">
              <w:rPr>
                <w:rFonts w:asciiTheme="majorBidi" w:eastAsiaTheme="minorEastAsia" w:hAnsiTheme="majorBidi" w:cstheme="majorBidi"/>
                <w:szCs w:val="24"/>
              </w:rPr>
              <w:t>ollège/</w:t>
            </w:r>
            <w:r>
              <w:rPr>
                <w:rFonts w:asciiTheme="majorBidi" w:eastAsiaTheme="minorEastAsia" w:hAnsiTheme="majorBidi" w:cstheme="majorBidi"/>
                <w:szCs w:val="24"/>
              </w:rPr>
              <w:t>L</w:t>
            </w:r>
            <w:r w:rsidRPr="00C12BDE">
              <w:rPr>
                <w:rFonts w:asciiTheme="majorBidi" w:eastAsiaTheme="minorEastAsia" w:hAnsiTheme="majorBidi" w:cstheme="majorBidi"/>
                <w:szCs w:val="24"/>
              </w:rPr>
              <w:t>ycée)</w:t>
            </w:r>
          </w:p>
        </w:tc>
        <w:tc>
          <w:tcPr>
            <w:tcW w:w="1719" w:type="dxa"/>
          </w:tcPr>
          <w:p w14:paraId="7DF652D9"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Rare</w:t>
            </w:r>
          </w:p>
        </w:tc>
        <w:tc>
          <w:tcPr>
            <w:tcW w:w="2349" w:type="dxa"/>
          </w:tcPr>
          <w:p w14:paraId="6DD548AA"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Implicite</w:t>
            </w:r>
          </w:p>
        </w:tc>
        <w:tc>
          <w:tcPr>
            <w:tcW w:w="1885" w:type="dxa"/>
          </w:tcPr>
          <w:p w14:paraId="2A518916"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Très faible</w:t>
            </w:r>
          </w:p>
        </w:tc>
      </w:tr>
      <w:tr w:rsidR="00D80693" w14:paraId="65F532C9" w14:textId="77777777" w:rsidTr="00064B54">
        <w:trPr>
          <w:trHeight w:val="666"/>
          <w:jc w:val="center"/>
        </w:trPr>
        <w:tc>
          <w:tcPr>
            <w:tcW w:w="2552" w:type="dxa"/>
          </w:tcPr>
          <w:p w14:paraId="75BAE131"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Progressions pédagogiques 2024</w:t>
            </w:r>
          </w:p>
        </w:tc>
        <w:tc>
          <w:tcPr>
            <w:tcW w:w="1719" w:type="dxa"/>
          </w:tcPr>
          <w:p w14:paraId="1D5DFBFB"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Non</w:t>
            </w:r>
          </w:p>
        </w:tc>
        <w:tc>
          <w:tcPr>
            <w:tcW w:w="2349" w:type="dxa"/>
          </w:tcPr>
          <w:p w14:paraId="3998844E"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Uniformisée, sans adaptation locale</w:t>
            </w:r>
          </w:p>
        </w:tc>
        <w:tc>
          <w:tcPr>
            <w:tcW w:w="1885" w:type="dxa"/>
          </w:tcPr>
          <w:p w14:paraId="2B18800D"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Aucune</w:t>
            </w:r>
          </w:p>
        </w:tc>
      </w:tr>
      <w:tr w:rsidR="00D80693" w14:paraId="3623AE81" w14:textId="77777777" w:rsidTr="00064B54">
        <w:trPr>
          <w:trHeight w:val="660"/>
          <w:jc w:val="center"/>
        </w:trPr>
        <w:tc>
          <w:tcPr>
            <w:tcW w:w="2552" w:type="dxa"/>
          </w:tcPr>
          <w:p w14:paraId="0AAA2E7A"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États Généraux de l’Éducation (2021)</w:t>
            </w:r>
          </w:p>
        </w:tc>
        <w:tc>
          <w:tcPr>
            <w:tcW w:w="1719" w:type="dxa"/>
          </w:tcPr>
          <w:p w14:paraId="3DC5AF8C"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Oui</w:t>
            </w:r>
          </w:p>
        </w:tc>
        <w:tc>
          <w:tcPr>
            <w:tcW w:w="2349" w:type="dxa"/>
          </w:tcPr>
          <w:p w14:paraId="63EC74A9"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Déclarative (langues, culture locale)</w:t>
            </w:r>
          </w:p>
        </w:tc>
        <w:tc>
          <w:tcPr>
            <w:tcW w:w="1885" w:type="dxa"/>
          </w:tcPr>
          <w:p w14:paraId="01445954" w14:textId="77777777" w:rsidR="00D80693" w:rsidRPr="00C12BDE" w:rsidRDefault="00D80693" w:rsidP="00D92213">
            <w:pPr>
              <w:spacing w:before="120"/>
              <w:rPr>
                <w:szCs w:val="24"/>
              </w:rPr>
            </w:pPr>
            <w:r w:rsidRPr="00C12BDE">
              <w:rPr>
                <w:rFonts w:asciiTheme="majorBidi" w:eastAsiaTheme="minorEastAsia" w:hAnsiTheme="majorBidi" w:cstheme="majorBidi"/>
                <w:szCs w:val="24"/>
              </w:rPr>
              <w:t>Moyenne à forte (p.102)</w:t>
            </w:r>
          </w:p>
        </w:tc>
      </w:tr>
    </w:tbl>
    <w:p w14:paraId="11EA4D2E" w14:textId="77777777" w:rsidR="00D80693" w:rsidRDefault="00D80693" w:rsidP="00D92213">
      <w:pPr>
        <w:spacing w:before="120"/>
        <w:rPr>
          <w:rFonts w:eastAsia="Aptos"/>
          <w:b/>
          <w:bCs/>
          <w:i/>
          <w:iCs/>
          <w:sz w:val="24"/>
          <w:szCs w:val="24"/>
          <w:lang w:val="fr-SN"/>
        </w:rPr>
      </w:pPr>
      <w:r w:rsidRPr="00010B7C">
        <w:rPr>
          <w:rFonts w:asciiTheme="majorBidi" w:eastAsia="Aptos" w:hAnsiTheme="majorBidi" w:cstheme="majorBidi"/>
          <w:b/>
          <w:bCs/>
          <w:i/>
          <w:iCs/>
          <w:szCs w:val="24"/>
          <w:lang w:val="fr-SN"/>
        </w:rPr>
        <w:t xml:space="preserve">Source : </w:t>
      </w:r>
      <w:r>
        <w:rPr>
          <w:rFonts w:asciiTheme="majorBidi" w:eastAsia="Aptos" w:hAnsiTheme="majorBidi" w:cstheme="majorBidi"/>
          <w:b/>
          <w:bCs/>
          <w:i/>
          <w:iCs/>
          <w:szCs w:val="24"/>
          <w:lang w:val="fr-SN"/>
        </w:rPr>
        <w:t xml:space="preserve">enquête de terrain, </w:t>
      </w:r>
      <w:proofErr w:type="spellStart"/>
      <w:r>
        <w:rPr>
          <w:rFonts w:asciiTheme="majorBidi" w:eastAsia="Aptos" w:hAnsiTheme="majorBidi" w:cstheme="majorBidi"/>
          <w:b/>
          <w:bCs/>
          <w:i/>
          <w:iCs/>
          <w:szCs w:val="24"/>
          <w:lang w:val="fr-SN"/>
        </w:rPr>
        <w:t>Moussavou</w:t>
      </w:r>
      <w:proofErr w:type="spellEnd"/>
      <w:r>
        <w:rPr>
          <w:rFonts w:asciiTheme="majorBidi" w:eastAsia="Aptos" w:hAnsiTheme="majorBidi" w:cstheme="majorBidi"/>
          <w:b/>
          <w:bCs/>
          <w:i/>
          <w:iCs/>
          <w:szCs w:val="24"/>
          <w:lang w:val="fr-SN"/>
        </w:rPr>
        <w:t>, 2025</w:t>
      </w:r>
      <w:r w:rsidRPr="008F4E17">
        <w:rPr>
          <w:rFonts w:asciiTheme="majorBidi" w:eastAsia="Aptos" w:hAnsiTheme="majorBidi" w:cstheme="majorBidi"/>
          <w:b/>
          <w:bCs/>
          <w:i/>
          <w:iCs/>
          <w:sz w:val="24"/>
          <w:szCs w:val="24"/>
          <w:lang w:val="fr-SN"/>
        </w:rPr>
        <w:t>.</w:t>
      </w:r>
    </w:p>
    <w:p w14:paraId="649F9322" w14:textId="77777777" w:rsidR="00D80693" w:rsidRPr="008F4E17" w:rsidRDefault="00D80693" w:rsidP="00D92213">
      <w:pPr>
        <w:spacing w:before="120"/>
        <w:rPr>
          <w:rFonts w:eastAsia="Aptos"/>
          <w:b/>
          <w:bCs/>
          <w:i/>
          <w:iCs/>
          <w:sz w:val="24"/>
          <w:szCs w:val="24"/>
          <w:lang w:val="fr-SN"/>
        </w:rPr>
      </w:pPr>
      <w:r>
        <w:rPr>
          <w:rFonts w:asciiTheme="majorBidi" w:eastAsia="Aptos" w:hAnsiTheme="majorBidi" w:cstheme="majorBidi"/>
          <w:b/>
          <w:bCs/>
          <w:i/>
          <w:iCs/>
          <w:sz w:val="24"/>
          <w:szCs w:val="24"/>
          <w:lang w:val="fr-SN"/>
        </w:rPr>
        <w:t xml:space="preserve">4. </w:t>
      </w:r>
      <w:r w:rsidRPr="008F4E17">
        <w:rPr>
          <w:rFonts w:asciiTheme="majorBidi" w:eastAsia="Aptos" w:hAnsiTheme="majorBidi" w:cstheme="majorBidi"/>
          <w:b/>
          <w:bCs/>
          <w:i/>
          <w:iCs/>
          <w:sz w:val="24"/>
          <w:szCs w:val="24"/>
          <w:lang w:val="fr-SN"/>
        </w:rPr>
        <w:t>2 Résultats</w:t>
      </w:r>
      <w:r>
        <w:rPr>
          <w:rFonts w:asciiTheme="majorBidi" w:eastAsia="Aptos" w:hAnsiTheme="majorBidi" w:cstheme="majorBidi"/>
          <w:b/>
          <w:bCs/>
          <w:i/>
          <w:iCs/>
          <w:sz w:val="24"/>
          <w:szCs w:val="24"/>
          <w:lang w:val="fr-SN"/>
        </w:rPr>
        <w:t xml:space="preserve"> issus </w:t>
      </w:r>
      <w:r w:rsidRPr="008F4E17">
        <w:rPr>
          <w:rFonts w:asciiTheme="majorBidi" w:eastAsia="Aptos" w:hAnsiTheme="majorBidi" w:cstheme="majorBidi"/>
          <w:b/>
          <w:bCs/>
          <w:i/>
          <w:iCs/>
          <w:sz w:val="24"/>
          <w:szCs w:val="24"/>
          <w:lang w:val="fr-SN"/>
        </w:rPr>
        <w:t xml:space="preserve">des entretiens </w:t>
      </w:r>
    </w:p>
    <w:p w14:paraId="58DC6CBF" w14:textId="77777777" w:rsidR="00D80693" w:rsidRPr="00DD130A" w:rsidRDefault="00D80693" w:rsidP="00D92213">
      <w:pPr>
        <w:spacing w:before="120"/>
        <w:jc w:val="both"/>
        <w:rPr>
          <w:rFonts w:eastAsia="Aptos"/>
          <w:sz w:val="24"/>
          <w:szCs w:val="24"/>
          <w:lang w:val="fr-SN"/>
        </w:rPr>
      </w:pPr>
      <w:r w:rsidRPr="0014593C">
        <w:rPr>
          <w:rFonts w:asciiTheme="majorBidi" w:eastAsia="Aptos" w:hAnsiTheme="majorBidi" w:cstheme="majorBidi"/>
          <w:sz w:val="24"/>
          <w:szCs w:val="24"/>
          <w:lang w:val="fr-SN"/>
        </w:rPr>
        <w:t xml:space="preserve">Les entretiens </w:t>
      </w:r>
      <w:r>
        <w:rPr>
          <w:rFonts w:asciiTheme="majorBidi" w:eastAsia="Aptos" w:hAnsiTheme="majorBidi" w:cstheme="majorBidi"/>
          <w:sz w:val="24"/>
          <w:szCs w:val="24"/>
          <w:lang w:val="fr-SN"/>
        </w:rPr>
        <w:t xml:space="preserve">réalisés avec les enseignants ont permis </w:t>
      </w:r>
      <w:r w:rsidRPr="0014593C">
        <w:rPr>
          <w:rFonts w:asciiTheme="majorBidi" w:eastAsia="Aptos" w:hAnsiTheme="majorBidi" w:cstheme="majorBidi"/>
          <w:sz w:val="24"/>
          <w:szCs w:val="24"/>
          <w:lang w:val="fr-SN"/>
        </w:rPr>
        <w:t xml:space="preserve">de nuancer et de compléter les constats issus de l’analyse documentaire. Par exemple, un enseignant affirme </w:t>
      </w:r>
      <w:r>
        <w:rPr>
          <w:rFonts w:asciiTheme="majorBidi" w:eastAsia="Aptos" w:hAnsiTheme="majorBidi" w:cstheme="majorBidi"/>
          <w:sz w:val="24"/>
          <w:szCs w:val="24"/>
          <w:lang w:val="fr-SN"/>
        </w:rPr>
        <w:t xml:space="preserve">que </w:t>
      </w:r>
      <w:r w:rsidRPr="0014593C">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t>l</w:t>
      </w:r>
      <w:r w:rsidRPr="0014593C">
        <w:rPr>
          <w:rFonts w:asciiTheme="majorBidi" w:eastAsia="Aptos" w:hAnsiTheme="majorBidi" w:cstheme="majorBidi"/>
          <w:sz w:val="24"/>
          <w:szCs w:val="24"/>
          <w:lang w:val="fr-SN"/>
        </w:rPr>
        <w:t>a contextualisation est essentielle pour que les élèves comprennent vraiment, surtout ici où les réalités culturelles sont si diverses » (</w:t>
      </w:r>
      <w:r>
        <w:rPr>
          <w:rFonts w:asciiTheme="majorBidi" w:eastAsia="Aptos" w:hAnsiTheme="majorBidi" w:cstheme="majorBidi"/>
          <w:sz w:val="24"/>
          <w:szCs w:val="24"/>
          <w:lang w:val="fr-SN"/>
        </w:rPr>
        <w:t>e</w:t>
      </w:r>
      <w:r w:rsidRPr="0014593C">
        <w:rPr>
          <w:rFonts w:asciiTheme="majorBidi" w:eastAsia="Aptos" w:hAnsiTheme="majorBidi" w:cstheme="majorBidi"/>
          <w:sz w:val="24"/>
          <w:szCs w:val="24"/>
          <w:lang w:val="fr-SN"/>
        </w:rPr>
        <w:t>nseignant A). Plusieurs soulignent également le manque de formation et de ressources adaptées</w:t>
      </w:r>
      <w:r>
        <w:rPr>
          <w:rFonts w:asciiTheme="majorBidi" w:eastAsia="Aptos" w:hAnsiTheme="majorBidi" w:cstheme="majorBidi"/>
          <w:sz w:val="24"/>
          <w:szCs w:val="24"/>
          <w:lang w:val="fr-SN"/>
        </w:rPr>
        <w:t xml:space="preserve">. C’est le cas pour l’enseignant B pour qui </w:t>
      </w:r>
      <w:r w:rsidRPr="0014593C">
        <w:rPr>
          <w:rFonts w:asciiTheme="majorBidi" w:eastAsia="Aptos" w:hAnsiTheme="majorBidi" w:cstheme="majorBidi"/>
          <w:sz w:val="24"/>
          <w:szCs w:val="24"/>
          <w:lang w:val="fr-SN"/>
        </w:rPr>
        <w:t xml:space="preserve">« </w:t>
      </w:r>
      <w:r>
        <w:rPr>
          <w:rFonts w:asciiTheme="majorBidi" w:eastAsia="Aptos" w:hAnsiTheme="majorBidi" w:cstheme="majorBidi"/>
          <w:sz w:val="24"/>
          <w:szCs w:val="24"/>
          <w:lang w:val="fr-SN"/>
        </w:rPr>
        <w:t>o</w:t>
      </w:r>
      <w:r w:rsidRPr="0014593C">
        <w:rPr>
          <w:rFonts w:asciiTheme="majorBidi" w:eastAsia="Aptos" w:hAnsiTheme="majorBidi" w:cstheme="majorBidi"/>
          <w:sz w:val="24"/>
          <w:szCs w:val="24"/>
          <w:lang w:val="fr-SN"/>
        </w:rPr>
        <w:t>n manque souvent de supports locaux et d’accompagnement pour appliquer les prescriptions dans nos classes »</w:t>
      </w:r>
      <w:r>
        <w:rPr>
          <w:rFonts w:asciiTheme="majorBidi" w:eastAsia="Aptos" w:hAnsiTheme="majorBidi" w:cstheme="majorBidi"/>
          <w:sz w:val="24"/>
          <w:szCs w:val="24"/>
          <w:lang w:val="fr-SN"/>
        </w:rPr>
        <w:t xml:space="preserve">. </w:t>
      </w:r>
      <w:r w:rsidRPr="0014593C">
        <w:rPr>
          <w:rFonts w:asciiTheme="majorBidi" w:eastAsia="Aptos" w:hAnsiTheme="majorBidi" w:cstheme="majorBidi"/>
          <w:sz w:val="24"/>
          <w:szCs w:val="24"/>
          <w:lang w:val="fr-SN"/>
        </w:rPr>
        <w:t>D’autres</w:t>
      </w:r>
      <w:r>
        <w:rPr>
          <w:rFonts w:asciiTheme="majorBidi" w:eastAsia="Aptos" w:hAnsiTheme="majorBidi" w:cstheme="majorBidi"/>
          <w:sz w:val="24"/>
          <w:szCs w:val="24"/>
          <w:lang w:val="fr-SN"/>
        </w:rPr>
        <w:t xml:space="preserve">, tel que l’enseignant C, </w:t>
      </w:r>
      <w:r w:rsidRPr="0014593C">
        <w:rPr>
          <w:rFonts w:asciiTheme="majorBidi" w:eastAsia="Aptos" w:hAnsiTheme="majorBidi" w:cstheme="majorBidi"/>
          <w:sz w:val="24"/>
          <w:szCs w:val="24"/>
          <w:lang w:val="fr-SN"/>
        </w:rPr>
        <w:t xml:space="preserve">évoquent un isolement pédagogique ressenti </w:t>
      </w:r>
      <w:r>
        <w:rPr>
          <w:rFonts w:asciiTheme="majorBidi" w:eastAsia="Aptos" w:hAnsiTheme="majorBidi" w:cstheme="majorBidi"/>
          <w:sz w:val="24"/>
          <w:szCs w:val="24"/>
          <w:lang w:val="fr-SN"/>
        </w:rPr>
        <w:t xml:space="preserve">en soulignant qu’il est </w:t>
      </w:r>
      <w:r w:rsidRPr="0014593C">
        <w:rPr>
          <w:rFonts w:asciiTheme="majorBidi" w:eastAsia="Aptos" w:hAnsiTheme="majorBidi" w:cstheme="majorBidi"/>
          <w:sz w:val="24"/>
          <w:szCs w:val="24"/>
          <w:lang w:val="fr-SN"/>
        </w:rPr>
        <w:t xml:space="preserve">« difficile de relier les textes officiels à notre quotidien, on fait parfois ce qu’on peut sans réelle aide ». Ces témoignages montrent une prise de conscience de l’importance de la contextualisation pour améliorer les apprentissages, mais aussi une mise en œuvre encore limitée, due à l’absence de dispositifs institutionnels structurants et de formations spécifiques. </w:t>
      </w:r>
    </w:p>
    <w:p w14:paraId="1B44BCB9" w14:textId="77777777" w:rsidR="00D80693" w:rsidRDefault="00D80693" w:rsidP="00D92213">
      <w:pPr>
        <w:spacing w:before="120"/>
        <w:jc w:val="both"/>
        <w:rPr>
          <w:sz w:val="24"/>
          <w:szCs w:val="24"/>
          <w:lang w:val="fr-SN"/>
        </w:rPr>
      </w:pPr>
      <w:r w:rsidRPr="00DD130A">
        <w:rPr>
          <w:rFonts w:asciiTheme="majorBidi" w:eastAsia="Aptos" w:hAnsiTheme="majorBidi" w:cstheme="majorBidi"/>
          <w:sz w:val="24"/>
          <w:szCs w:val="24"/>
          <w:lang w:val="fr-SN"/>
        </w:rPr>
        <w:t xml:space="preserve">Certains enseignants ont évoqué des </w:t>
      </w:r>
      <w:r w:rsidRPr="00DD130A">
        <w:rPr>
          <w:rFonts w:asciiTheme="majorBidi" w:hAnsiTheme="majorBidi" w:cstheme="majorBidi"/>
          <w:sz w:val="24"/>
          <w:szCs w:val="24"/>
          <w:lang w:val="fr-SN"/>
        </w:rPr>
        <w:t>obstacles à la mise en œuvre effective de la contextualisation</w:t>
      </w:r>
      <w:r>
        <w:rPr>
          <w:rFonts w:asciiTheme="majorBidi" w:hAnsiTheme="majorBidi" w:cstheme="majorBidi"/>
          <w:sz w:val="24"/>
          <w:szCs w:val="24"/>
          <w:lang w:val="fr-SN"/>
        </w:rPr>
        <w:t xml:space="preserve"> en SVT</w:t>
      </w:r>
      <w:r w:rsidRPr="00DD130A">
        <w:rPr>
          <w:rFonts w:asciiTheme="majorBidi" w:hAnsiTheme="majorBidi" w:cstheme="majorBidi"/>
          <w:sz w:val="24"/>
          <w:szCs w:val="24"/>
          <w:lang w:val="fr-SN"/>
        </w:rPr>
        <w:t xml:space="preserve">. Ils ont </w:t>
      </w:r>
      <w:r>
        <w:rPr>
          <w:rFonts w:asciiTheme="majorBidi" w:hAnsiTheme="majorBidi" w:cstheme="majorBidi"/>
          <w:sz w:val="24"/>
          <w:szCs w:val="24"/>
          <w:lang w:val="fr-SN"/>
        </w:rPr>
        <w:t xml:space="preserve">abordé </w:t>
      </w:r>
      <w:r w:rsidRPr="00DD130A">
        <w:rPr>
          <w:rFonts w:asciiTheme="majorBidi" w:hAnsiTheme="majorBidi" w:cstheme="majorBidi"/>
          <w:sz w:val="24"/>
          <w:szCs w:val="24"/>
          <w:lang w:val="fr-SN"/>
        </w:rPr>
        <w:t>le manque de formation spécifique sur les démarches de contextualisation, l’absence de ressources pédagogiques adaptées aux réalités locales, la pression des programmes scolaires uniformisés et du calendrier académique et le</w:t>
      </w:r>
      <w:r>
        <w:rPr>
          <w:rFonts w:asciiTheme="majorBidi" w:hAnsiTheme="majorBidi" w:cstheme="majorBidi"/>
          <w:sz w:val="24"/>
          <w:szCs w:val="24"/>
          <w:lang w:val="fr-SN"/>
        </w:rPr>
        <w:t>ur</w:t>
      </w:r>
      <w:r w:rsidRPr="00DD130A">
        <w:rPr>
          <w:rFonts w:asciiTheme="majorBidi" w:hAnsiTheme="majorBidi" w:cstheme="majorBidi"/>
          <w:sz w:val="24"/>
          <w:szCs w:val="24"/>
          <w:lang w:val="fr-SN"/>
        </w:rPr>
        <w:t xml:space="preserve"> faible accompagnement dans la mise en œuvre des pratiques contextualisées.</w:t>
      </w:r>
      <w:r w:rsidRPr="00DD130A">
        <w:rPr>
          <w:rFonts w:asciiTheme="majorBidi" w:eastAsia="Aptos" w:hAnsiTheme="majorBidi" w:cstheme="majorBidi"/>
          <w:sz w:val="24"/>
          <w:szCs w:val="24"/>
          <w:lang w:val="fr-SN"/>
        </w:rPr>
        <w:t xml:space="preserve"> </w:t>
      </w:r>
      <w:r w:rsidRPr="0014593C">
        <w:rPr>
          <w:rFonts w:asciiTheme="majorBidi" w:eastAsia="Aptos" w:hAnsiTheme="majorBidi" w:cstheme="majorBidi"/>
          <w:sz w:val="24"/>
          <w:szCs w:val="24"/>
          <w:lang w:val="fr-SN"/>
        </w:rPr>
        <w:t>Cette situation met en lumière le décalage entre les prescriptions officielles et la réalité de terrain.</w:t>
      </w:r>
    </w:p>
    <w:p w14:paraId="645A067A" w14:textId="77777777" w:rsidR="00D80693" w:rsidRPr="00DD130A" w:rsidRDefault="00D80693" w:rsidP="00D92213">
      <w:pPr>
        <w:spacing w:before="120"/>
        <w:jc w:val="both"/>
        <w:rPr>
          <w:sz w:val="24"/>
          <w:szCs w:val="24"/>
          <w:lang w:val="fr-SN"/>
        </w:rPr>
      </w:pPr>
      <w:r w:rsidRPr="00DD130A">
        <w:rPr>
          <w:rFonts w:asciiTheme="majorBidi" w:hAnsiTheme="majorBidi" w:cstheme="majorBidi"/>
          <w:sz w:val="24"/>
          <w:szCs w:val="24"/>
          <w:lang w:val="fr-SN"/>
        </w:rPr>
        <w:t xml:space="preserve">Autrement dit, afin d’opérer une véritable contextualisation en SVT, il est nécessaire de mettre en place un soutien institutionnel et d’encourager une transformation curriculaire profonde. Il s’agit non seulement de comprendre les logiques sous-jacentes à cette absence de contextualisation effective, mais aussi d’interroger les conditions nécessaires à une meilleure articulation entre les prescriptions officielles et les pratiques éducatives contextualisées. La partie suivante, consacrée à la discussion finale, vise </w:t>
      </w:r>
      <w:r>
        <w:rPr>
          <w:rFonts w:asciiTheme="majorBidi" w:hAnsiTheme="majorBidi" w:cstheme="majorBidi"/>
          <w:sz w:val="24"/>
          <w:szCs w:val="24"/>
          <w:lang w:val="fr-SN"/>
        </w:rPr>
        <w:t xml:space="preserve">une </w:t>
      </w:r>
      <w:r w:rsidRPr="00DD130A">
        <w:rPr>
          <w:rFonts w:asciiTheme="majorBidi" w:hAnsiTheme="majorBidi" w:cstheme="majorBidi"/>
          <w:sz w:val="24"/>
          <w:szCs w:val="24"/>
          <w:lang w:val="fr-SN"/>
        </w:rPr>
        <w:t>interprét</w:t>
      </w:r>
      <w:r>
        <w:rPr>
          <w:rFonts w:asciiTheme="majorBidi" w:hAnsiTheme="majorBidi" w:cstheme="majorBidi"/>
          <w:sz w:val="24"/>
          <w:szCs w:val="24"/>
          <w:lang w:val="fr-SN"/>
        </w:rPr>
        <w:t xml:space="preserve">ation de ces </w:t>
      </w:r>
      <w:r w:rsidRPr="00DD130A">
        <w:rPr>
          <w:rFonts w:asciiTheme="majorBidi" w:hAnsiTheme="majorBidi" w:cstheme="majorBidi"/>
          <w:sz w:val="24"/>
          <w:szCs w:val="24"/>
          <w:lang w:val="fr-SN"/>
        </w:rPr>
        <w:t>résultats à la lumière du cadre théorique mobilisé, en mettant en dialogue les faits observés avec les apports des travaux scientifiques précédemment explorés. Cette discussion permettra ainsi d’élargir la réflexion sur les enjeux, les limites et les perspectives liés à la contextualisation dans l’éducation au Gabon.</w:t>
      </w:r>
    </w:p>
    <w:p w14:paraId="536AB9F3" w14:textId="77777777" w:rsidR="00D80693" w:rsidRPr="0014593C" w:rsidRDefault="00D80693" w:rsidP="00D92213">
      <w:pPr>
        <w:pStyle w:val="Paragraphedeliste"/>
        <w:widowControl/>
        <w:numPr>
          <w:ilvl w:val="0"/>
          <w:numId w:val="170"/>
        </w:numPr>
        <w:autoSpaceDE/>
        <w:autoSpaceDN/>
        <w:spacing w:after="160"/>
        <w:contextualSpacing/>
        <w:rPr>
          <w:rFonts w:eastAsia="Aptos"/>
          <w:b/>
          <w:bCs/>
          <w:sz w:val="28"/>
          <w:szCs w:val="28"/>
          <w:lang w:val="fr-SN"/>
        </w:rPr>
      </w:pPr>
      <w:r w:rsidRPr="0014593C">
        <w:rPr>
          <w:rFonts w:asciiTheme="majorBidi" w:eastAsia="Aptos" w:hAnsiTheme="majorBidi" w:cstheme="majorBidi"/>
          <w:b/>
          <w:bCs/>
          <w:sz w:val="28"/>
          <w:szCs w:val="28"/>
          <w:lang w:val="fr-SN"/>
        </w:rPr>
        <w:t>Discussion</w:t>
      </w:r>
    </w:p>
    <w:p w14:paraId="406C766B" w14:textId="77777777" w:rsidR="00D80693" w:rsidRDefault="00D80693" w:rsidP="00D92213">
      <w:pPr>
        <w:spacing w:before="120"/>
        <w:jc w:val="both"/>
        <w:rPr>
          <w:sz w:val="24"/>
          <w:szCs w:val="24"/>
          <w:lang w:val="fr-SN"/>
        </w:rPr>
      </w:pPr>
      <w:r>
        <w:rPr>
          <w:rFonts w:asciiTheme="majorBidi" w:hAnsiTheme="majorBidi" w:cstheme="majorBidi"/>
          <w:sz w:val="24"/>
          <w:szCs w:val="24"/>
          <w:lang w:val="fr-SN"/>
        </w:rPr>
        <w:t xml:space="preserve">Relativement aux préoccupations de départ, les </w:t>
      </w:r>
      <w:r w:rsidRPr="00DD130A">
        <w:rPr>
          <w:rFonts w:asciiTheme="majorBidi" w:hAnsiTheme="majorBidi" w:cstheme="majorBidi"/>
          <w:sz w:val="24"/>
          <w:szCs w:val="24"/>
          <w:lang w:val="fr-SN"/>
        </w:rPr>
        <w:t>résultats obtenus montrent que la contextualisation est bien présente dans les discours officiels</w:t>
      </w:r>
      <w:r>
        <w:rPr>
          <w:rFonts w:asciiTheme="majorBidi" w:hAnsiTheme="majorBidi" w:cstheme="majorBidi"/>
          <w:sz w:val="24"/>
          <w:szCs w:val="24"/>
          <w:lang w:val="fr-SN"/>
        </w:rPr>
        <w:t xml:space="preserve"> au Gabon</w:t>
      </w:r>
      <w:r w:rsidRPr="00DD130A">
        <w:rPr>
          <w:rFonts w:asciiTheme="majorBidi" w:hAnsiTheme="majorBidi" w:cstheme="majorBidi"/>
          <w:sz w:val="24"/>
          <w:szCs w:val="24"/>
          <w:lang w:val="fr-SN"/>
        </w:rPr>
        <w:t xml:space="preserve">, notamment dans les textes curriculaires, les arrêtés ministériels et les orientations pédagogiques. Toutefois, cette présence reste marquée par un vocabulaire généraliste, sans traductions concrètes en gestes professionnels ou en dispositifs didactiques. Ce constat rejoint les critiques formulées par </w:t>
      </w:r>
      <w:bookmarkStart w:id="165" w:name="_Hlk215005777"/>
      <w:r w:rsidRPr="00DD130A">
        <w:rPr>
          <w:rFonts w:asciiTheme="majorBidi" w:hAnsiTheme="majorBidi" w:cstheme="majorBidi"/>
          <w:sz w:val="24"/>
          <w:szCs w:val="24"/>
          <w:lang w:val="fr-SN"/>
        </w:rPr>
        <w:t>Brière (2021, p. 14-17)</w:t>
      </w:r>
      <w:r>
        <w:rPr>
          <w:rFonts w:asciiTheme="majorBidi" w:hAnsiTheme="majorBidi" w:cstheme="majorBidi"/>
          <w:sz w:val="24"/>
          <w:szCs w:val="24"/>
          <w:lang w:val="fr-SN"/>
        </w:rPr>
        <w:t xml:space="preserve"> </w:t>
      </w:r>
      <w:bookmarkEnd w:id="165"/>
      <w:r w:rsidRPr="00DD130A">
        <w:rPr>
          <w:rFonts w:asciiTheme="majorBidi" w:hAnsiTheme="majorBidi" w:cstheme="majorBidi"/>
          <w:sz w:val="24"/>
          <w:szCs w:val="24"/>
          <w:lang w:val="fr-SN"/>
        </w:rPr>
        <w:t>qui dénonce la prégnance de logiques exogènes dans la formulation des normes éducatives locales.</w:t>
      </w:r>
    </w:p>
    <w:p w14:paraId="71E5E75D" w14:textId="77777777" w:rsidR="00D80693" w:rsidRDefault="00D80693" w:rsidP="00D92213">
      <w:pPr>
        <w:spacing w:before="120"/>
        <w:jc w:val="both"/>
        <w:rPr>
          <w:sz w:val="24"/>
          <w:szCs w:val="24"/>
          <w:lang w:val="fr-SN"/>
        </w:rPr>
      </w:pPr>
      <w:r w:rsidRPr="00DD130A">
        <w:rPr>
          <w:rFonts w:asciiTheme="majorBidi" w:hAnsiTheme="majorBidi" w:cstheme="majorBidi"/>
          <w:sz w:val="24"/>
          <w:szCs w:val="24"/>
          <w:lang w:val="fr-SN"/>
        </w:rPr>
        <w:t xml:space="preserve">Par ailleurs, les données issues des entretiens avec les enseignants montrent une conscience réelle de l’importance de contextualiser </w:t>
      </w:r>
      <w:r>
        <w:rPr>
          <w:rFonts w:asciiTheme="majorBidi" w:hAnsiTheme="majorBidi" w:cstheme="majorBidi"/>
          <w:sz w:val="24"/>
          <w:szCs w:val="24"/>
          <w:lang w:val="fr-SN"/>
        </w:rPr>
        <w:t>les enseignements en SVT</w:t>
      </w:r>
      <w:r w:rsidRPr="00DD130A">
        <w:rPr>
          <w:rFonts w:asciiTheme="majorBidi" w:hAnsiTheme="majorBidi" w:cstheme="majorBidi"/>
          <w:sz w:val="24"/>
          <w:szCs w:val="24"/>
          <w:lang w:val="fr-SN"/>
        </w:rPr>
        <w:t xml:space="preserve">. Cependant, cette volonté </w:t>
      </w:r>
      <w:r>
        <w:rPr>
          <w:rFonts w:asciiTheme="majorBidi" w:hAnsiTheme="majorBidi" w:cstheme="majorBidi"/>
          <w:sz w:val="24"/>
          <w:szCs w:val="24"/>
          <w:lang w:val="fr-SN"/>
        </w:rPr>
        <w:t>est limitée par l’</w:t>
      </w:r>
      <w:r w:rsidRPr="00DD130A">
        <w:rPr>
          <w:rFonts w:asciiTheme="majorBidi" w:hAnsiTheme="majorBidi" w:cstheme="majorBidi"/>
          <w:sz w:val="24"/>
          <w:szCs w:val="24"/>
          <w:lang w:val="fr-SN"/>
        </w:rPr>
        <w:t xml:space="preserve">absence de formation spécifique à la contextualisation, le manque de ressources didactiques localisées, une surcharge des programmes, ainsi qu’un sentiment d’insécurité pédagogique face à des évaluations standardisées. Ces difficultés pratiques rappellent les apports de </w:t>
      </w:r>
      <w:bookmarkStart w:id="166" w:name="_Hlk215005819"/>
      <w:r w:rsidRPr="00DD130A">
        <w:rPr>
          <w:rFonts w:asciiTheme="majorBidi" w:hAnsiTheme="majorBidi" w:cstheme="majorBidi"/>
          <w:sz w:val="24"/>
          <w:szCs w:val="24"/>
          <w:lang w:val="fr-SN"/>
        </w:rPr>
        <w:t xml:space="preserve">Piaget (1954, p. 79-105) et de Vygotsky (1978, p. 90-100), </w:t>
      </w:r>
      <w:bookmarkEnd w:id="166"/>
      <w:r w:rsidRPr="00DD130A">
        <w:rPr>
          <w:rFonts w:asciiTheme="majorBidi" w:hAnsiTheme="majorBidi" w:cstheme="majorBidi"/>
          <w:sz w:val="24"/>
          <w:szCs w:val="24"/>
          <w:lang w:val="fr-SN"/>
        </w:rPr>
        <w:t>qui affirment que les apprentissages sont indissociables du milieu dans lequel évolue l’apprenant. Le contexte, loin d’être un décor, est une composante essentielle dans la construction du savoir.</w:t>
      </w:r>
    </w:p>
    <w:p w14:paraId="71BFF8E7" w14:textId="77777777" w:rsidR="00D80693" w:rsidRDefault="00D80693" w:rsidP="00D92213">
      <w:pPr>
        <w:spacing w:before="120"/>
        <w:jc w:val="both"/>
        <w:rPr>
          <w:sz w:val="24"/>
          <w:szCs w:val="24"/>
          <w:lang w:val="fr-SN"/>
        </w:rPr>
      </w:pPr>
      <w:r>
        <w:rPr>
          <w:rFonts w:asciiTheme="majorBidi" w:hAnsiTheme="majorBidi" w:cstheme="majorBidi"/>
          <w:sz w:val="24"/>
          <w:szCs w:val="24"/>
          <w:lang w:val="fr-SN"/>
        </w:rPr>
        <w:t xml:space="preserve">Les résultats des entretiens peuvent aussi renvoyer au rapport au savoir de ces derniers, tel que vulgarisé par </w:t>
      </w:r>
      <w:bookmarkStart w:id="167" w:name="_Hlk215005854"/>
      <w:r w:rsidRPr="00DD130A">
        <w:rPr>
          <w:rFonts w:asciiTheme="majorBidi" w:hAnsiTheme="majorBidi" w:cstheme="majorBidi"/>
          <w:sz w:val="24"/>
          <w:szCs w:val="24"/>
          <w:lang w:val="fr-SN"/>
        </w:rPr>
        <w:t>Charlot</w:t>
      </w:r>
      <w:r>
        <w:rPr>
          <w:rFonts w:asciiTheme="majorBidi" w:hAnsiTheme="majorBidi" w:cstheme="majorBidi"/>
          <w:sz w:val="24"/>
          <w:szCs w:val="24"/>
          <w:lang w:val="fr-SN"/>
        </w:rPr>
        <w:t xml:space="preserve"> (</w:t>
      </w:r>
      <w:r w:rsidRPr="00DD130A">
        <w:rPr>
          <w:rFonts w:asciiTheme="majorBidi" w:hAnsiTheme="majorBidi" w:cstheme="majorBidi"/>
          <w:sz w:val="24"/>
          <w:szCs w:val="24"/>
          <w:lang w:val="fr-SN"/>
        </w:rPr>
        <w:t>1997, p. 56-78)</w:t>
      </w:r>
      <w:r>
        <w:rPr>
          <w:rFonts w:asciiTheme="majorBidi" w:hAnsiTheme="majorBidi" w:cstheme="majorBidi"/>
          <w:sz w:val="24"/>
          <w:szCs w:val="24"/>
          <w:lang w:val="fr-SN"/>
        </w:rPr>
        <w:t xml:space="preserve">, </w:t>
      </w:r>
      <w:bookmarkEnd w:id="167"/>
      <w:r>
        <w:rPr>
          <w:rFonts w:asciiTheme="majorBidi" w:hAnsiTheme="majorBidi" w:cstheme="majorBidi"/>
          <w:sz w:val="24"/>
          <w:szCs w:val="24"/>
          <w:lang w:val="fr-SN"/>
        </w:rPr>
        <w:t xml:space="preserve">au sens où leurs discours illustrent une </w:t>
      </w:r>
      <w:r w:rsidRPr="00DD130A">
        <w:rPr>
          <w:rFonts w:asciiTheme="majorBidi" w:hAnsiTheme="majorBidi" w:cstheme="majorBidi"/>
          <w:sz w:val="24"/>
          <w:szCs w:val="24"/>
          <w:lang w:val="fr-SN"/>
        </w:rPr>
        <w:t>tension entre les prescriptions officielles et le</w:t>
      </w:r>
      <w:r>
        <w:rPr>
          <w:rFonts w:asciiTheme="majorBidi" w:hAnsiTheme="majorBidi" w:cstheme="majorBidi"/>
          <w:sz w:val="24"/>
          <w:szCs w:val="24"/>
          <w:lang w:val="fr-SN"/>
        </w:rPr>
        <w:t xml:space="preserve">urs </w:t>
      </w:r>
      <w:r w:rsidRPr="00DD130A">
        <w:rPr>
          <w:rFonts w:asciiTheme="majorBidi" w:hAnsiTheme="majorBidi" w:cstheme="majorBidi"/>
          <w:sz w:val="24"/>
          <w:szCs w:val="24"/>
          <w:lang w:val="fr-SN"/>
        </w:rPr>
        <w:t xml:space="preserve">représentations </w:t>
      </w:r>
      <w:r>
        <w:rPr>
          <w:rFonts w:asciiTheme="majorBidi" w:hAnsiTheme="majorBidi" w:cstheme="majorBidi"/>
          <w:sz w:val="24"/>
          <w:szCs w:val="24"/>
          <w:lang w:val="fr-SN"/>
        </w:rPr>
        <w:t xml:space="preserve">du rôle qu’ils doivent jouer dans la contextualisation. </w:t>
      </w:r>
      <w:r w:rsidRPr="00DD130A">
        <w:rPr>
          <w:rFonts w:asciiTheme="majorBidi" w:hAnsiTheme="majorBidi" w:cstheme="majorBidi"/>
          <w:sz w:val="24"/>
          <w:szCs w:val="24"/>
          <w:lang w:val="fr-SN"/>
        </w:rPr>
        <w:t xml:space="preserve">Beaucoup perçoivent la contextualisation comme une prise de risque, craignant de sortir du cadre prescrit ou de compromettre la réussite de leurs élèves aux examens nationaux. Cette posture va à l’encontre des principes du constructivisme contextualisé, défendu notamment par </w:t>
      </w:r>
      <w:bookmarkStart w:id="168" w:name="_Hlk215005893"/>
      <w:r w:rsidRPr="00DD130A">
        <w:rPr>
          <w:rFonts w:asciiTheme="majorBidi" w:hAnsiTheme="majorBidi" w:cstheme="majorBidi"/>
          <w:sz w:val="24"/>
          <w:szCs w:val="24"/>
          <w:lang w:val="fr-SN"/>
        </w:rPr>
        <w:t xml:space="preserve">Cobern (1991, p. 3-15), </w:t>
      </w:r>
      <w:bookmarkEnd w:id="168"/>
      <w:r w:rsidRPr="00DD130A">
        <w:rPr>
          <w:rFonts w:asciiTheme="majorBidi" w:hAnsiTheme="majorBidi" w:cstheme="majorBidi"/>
          <w:sz w:val="24"/>
          <w:szCs w:val="24"/>
          <w:lang w:val="fr-SN"/>
        </w:rPr>
        <w:t>qui considère que l’enseignement doit s’ancrer dans les référents socioculturels des élèves pour devenir véritablement signifiant.</w:t>
      </w:r>
    </w:p>
    <w:p w14:paraId="1E7E36C4" w14:textId="77777777" w:rsidR="00D80693" w:rsidRDefault="00D80693" w:rsidP="00D92213">
      <w:pPr>
        <w:spacing w:before="120"/>
        <w:jc w:val="both"/>
        <w:rPr>
          <w:rFonts w:eastAsia="Aptos"/>
          <w:sz w:val="24"/>
          <w:szCs w:val="24"/>
          <w:lang w:val="fr-SN"/>
        </w:rPr>
      </w:pPr>
      <w:r w:rsidRPr="0006402B">
        <w:rPr>
          <w:rFonts w:asciiTheme="majorBidi" w:eastAsia="Aptos" w:hAnsiTheme="majorBidi" w:cstheme="majorBidi"/>
          <w:sz w:val="24"/>
          <w:szCs w:val="24"/>
          <w:lang w:val="fr-SN"/>
        </w:rPr>
        <w:t xml:space="preserve">En </w:t>
      </w:r>
      <w:r>
        <w:rPr>
          <w:rFonts w:asciiTheme="majorBidi" w:eastAsia="Aptos" w:hAnsiTheme="majorBidi" w:cstheme="majorBidi"/>
          <w:sz w:val="24"/>
          <w:szCs w:val="24"/>
          <w:lang w:val="fr-SN"/>
        </w:rPr>
        <w:t xml:space="preserve">dernière intention, </w:t>
      </w:r>
      <w:r w:rsidRPr="0006402B">
        <w:rPr>
          <w:rFonts w:asciiTheme="majorBidi" w:eastAsia="Aptos" w:hAnsiTheme="majorBidi" w:cstheme="majorBidi"/>
          <w:sz w:val="24"/>
          <w:szCs w:val="24"/>
          <w:lang w:val="fr-SN"/>
        </w:rPr>
        <w:t xml:space="preserve">la méthodologie adoptée dans cette recherche a permis d’articuler de manière cohérente et complémentaire plusieurs sources de données, offrant ainsi une compréhension approfondie du phénomène de contextualisation dans l’enseignement au Gabon. Le recours à une approche qualitative, combinant analyse documentaire et entretiens semi-directifs, </w:t>
      </w:r>
      <w:r>
        <w:rPr>
          <w:rFonts w:asciiTheme="majorBidi" w:eastAsia="Aptos" w:hAnsiTheme="majorBidi" w:cstheme="majorBidi"/>
          <w:sz w:val="24"/>
          <w:szCs w:val="24"/>
          <w:lang w:val="fr-SN"/>
        </w:rPr>
        <w:t xml:space="preserve">a été une stratégie intéressante </w:t>
      </w:r>
      <w:r w:rsidRPr="0006402B">
        <w:rPr>
          <w:rFonts w:asciiTheme="majorBidi" w:eastAsia="Aptos" w:hAnsiTheme="majorBidi" w:cstheme="majorBidi"/>
          <w:sz w:val="24"/>
          <w:szCs w:val="24"/>
          <w:lang w:val="fr-SN"/>
        </w:rPr>
        <w:t xml:space="preserve">pour saisir la complexité et la </w:t>
      </w:r>
      <w:proofErr w:type="spellStart"/>
      <w:r w:rsidRPr="0006402B">
        <w:rPr>
          <w:rFonts w:asciiTheme="majorBidi" w:eastAsia="Aptos" w:hAnsiTheme="majorBidi" w:cstheme="majorBidi"/>
          <w:sz w:val="24"/>
          <w:szCs w:val="24"/>
          <w:lang w:val="fr-SN"/>
        </w:rPr>
        <w:t>multidimensionnalité</w:t>
      </w:r>
      <w:proofErr w:type="spellEnd"/>
      <w:r w:rsidRPr="0006402B">
        <w:rPr>
          <w:rFonts w:asciiTheme="majorBidi" w:eastAsia="Aptos" w:hAnsiTheme="majorBidi" w:cstheme="majorBidi"/>
          <w:sz w:val="24"/>
          <w:szCs w:val="24"/>
          <w:lang w:val="fr-SN"/>
        </w:rPr>
        <w:t xml:space="preserve"> de la contextualisation, tel qu’envisagé dans le cadre théorique. </w:t>
      </w:r>
      <w:r w:rsidRPr="00E75A67">
        <w:rPr>
          <w:rFonts w:asciiTheme="majorBidi" w:eastAsia="Aptos" w:hAnsiTheme="majorBidi" w:cstheme="majorBidi"/>
          <w:sz w:val="24"/>
          <w:szCs w:val="24"/>
          <w:lang w:val="fr-SN"/>
        </w:rPr>
        <w:t>L’analyse thématique menée a permis de faire émerger plusieurs axes significatifs autour desquels s’articulent les résultats</w:t>
      </w:r>
      <w:r>
        <w:rPr>
          <w:rFonts w:asciiTheme="majorBidi" w:eastAsia="Aptos" w:hAnsiTheme="majorBidi" w:cstheme="majorBidi"/>
          <w:sz w:val="24"/>
          <w:szCs w:val="24"/>
          <w:lang w:val="fr-SN"/>
        </w:rPr>
        <w:t xml:space="preserve">, à savoir </w:t>
      </w:r>
      <w:r w:rsidRPr="00E75A67">
        <w:rPr>
          <w:rFonts w:asciiTheme="majorBidi" w:eastAsia="Aptos" w:hAnsiTheme="majorBidi" w:cstheme="majorBidi"/>
          <w:sz w:val="24"/>
          <w:szCs w:val="24"/>
          <w:lang w:val="fr-SN"/>
        </w:rPr>
        <w:t>la présence fragmentaire ou normative de la contextualisation dans les textes officiels, la perception positive mais inégalement opérationnalisée de cette notion par les enseignants, les obstacles structurels freinant son application effective</w:t>
      </w:r>
      <w:r>
        <w:rPr>
          <w:rFonts w:asciiTheme="majorBidi" w:eastAsia="Aptos" w:hAnsiTheme="majorBidi" w:cstheme="majorBidi"/>
          <w:sz w:val="24"/>
          <w:szCs w:val="24"/>
          <w:lang w:val="fr-SN"/>
        </w:rPr>
        <w:t xml:space="preserve">. </w:t>
      </w:r>
    </w:p>
    <w:p w14:paraId="6B07CD73" w14:textId="77777777" w:rsidR="00D80693" w:rsidRPr="00FA4379"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Ce travail est néanmoins limité par le cadre exploratoire adopté. En effet, </w:t>
      </w:r>
      <w:r w:rsidRPr="00FA4379">
        <w:rPr>
          <w:rFonts w:asciiTheme="majorBidi" w:eastAsia="Aptos" w:hAnsiTheme="majorBidi" w:cstheme="majorBidi"/>
          <w:sz w:val="24"/>
          <w:szCs w:val="24"/>
          <w:lang w:val="fr-SN"/>
        </w:rPr>
        <w:t xml:space="preserve">le nombre limité de participants et la restriction géographique aux zones urbaines et semi-rurales ne permettent pas une généralisation à l’ensemble du territoire national, en particulier aux milieux ruraux plus reculés. </w:t>
      </w:r>
      <w:r>
        <w:rPr>
          <w:rFonts w:asciiTheme="majorBidi" w:eastAsia="Aptos" w:hAnsiTheme="majorBidi" w:cstheme="majorBidi"/>
          <w:sz w:val="24"/>
          <w:szCs w:val="24"/>
          <w:lang w:val="fr-SN"/>
        </w:rPr>
        <w:t xml:space="preserve">Il demeure contextuel, mais reproductible. </w:t>
      </w:r>
      <w:r w:rsidRPr="00FA4379">
        <w:rPr>
          <w:rFonts w:asciiTheme="majorBidi" w:eastAsia="Aptos" w:hAnsiTheme="majorBidi" w:cstheme="majorBidi"/>
          <w:sz w:val="24"/>
          <w:szCs w:val="24"/>
          <w:lang w:val="fr-SN"/>
        </w:rPr>
        <w:t xml:space="preserve">Enfin, cette recherche n’a abordé qu’indirectement les facteurs structurels liés à la gouvernance éducative, aux choix politiques et aux dispositifs de formation initiale des enseignants, qui jouent </w:t>
      </w:r>
      <w:r>
        <w:rPr>
          <w:rFonts w:asciiTheme="majorBidi" w:eastAsia="Aptos" w:hAnsiTheme="majorBidi" w:cstheme="majorBidi"/>
          <w:sz w:val="24"/>
          <w:szCs w:val="24"/>
          <w:lang w:val="fr-SN"/>
        </w:rPr>
        <w:t xml:space="preserve">également </w:t>
      </w:r>
      <w:r w:rsidRPr="00FA4379">
        <w:rPr>
          <w:rFonts w:asciiTheme="majorBidi" w:eastAsia="Aptos" w:hAnsiTheme="majorBidi" w:cstheme="majorBidi"/>
          <w:sz w:val="24"/>
          <w:szCs w:val="24"/>
          <w:lang w:val="fr-SN"/>
        </w:rPr>
        <w:t>un rôle clé dans la mise en œuvre de toute réforme curriculaire.</w:t>
      </w:r>
    </w:p>
    <w:p w14:paraId="2561A339" w14:textId="77777777" w:rsidR="00D80693" w:rsidRPr="00FA4379" w:rsidRDefault="00D80693" w:rsidP="00D92213">
      <w:pPr>
        <w:spacing w:before="120"/>
        <w:jc w:val="both"/>
        <w:rPr>
          <w:rFonts w:eastAsia="Aptos"/>
          <w:sz w:val="24"/>
          <w:szCs w:val="24"/>
          <w:lang w:val="fr-SN"/>
        </w:rPr>
      </w:pPr>
      <w:r w:rsidRPr="00FA4379">
        <w:rPr>
          <w:rFonts w:asciiTheme="majorBidi" w:eastAsia="Aptos" w:hAnsiTheme="majorBidi" w:cstheme="majorBidi"/>
          <w:sz w:val="24"/>
          <w:szCs w:val="24"/>
          <w:lang w:val="fr-SN"/>
        </w:rPr>
        <w:t xml:space="preserve">Malgré ces limites, ce travail ouvre plusieurs perspectives de recherche et d’action. Il serait pertinent de conduire des études comparatives dans d’autres disciplines scolaires pour voir si les tensions relevées </w:t>
      </w:r>
      <w:r>
        <w:rPr>
          <w:rFonts w:asciiTheme="majorBidi" w:eastAsia="Aptos" w:hAnsiTheme="majorBidi" w:cstheme="majorBidi"/>
          <w:sz w:val="24"/>
          <w:szCs w:val="24"/>
          <w:lang w:val="fr-SN"/>
        </w:rPr>
        <w:t>dans l’enseignement des SVT y sont aussi mentionnées</w:t>
      </w:r>
      <w:r w:rsidRPr="00FA4379">
        <w:rPr>
          <w:rFonts w:asciiTheme="majorBidi" w:eastAsia="Aptos" w:hAnsiTheme="majorBidi" w:cstheme="majorBidi"/>
          <w:sz w:val="24"/>
          <w:szCs w:val="24"/>
          <w:lang w:val="fr-SN"/>
        </w:rPr>
        <w:t>. Des travaux complémentaires pourraient explorer l’effet de la contextualisation sur la réussite scolaire, la motivation ou encore l’estime de soi des apprenants. Enfin, il serait souhaitable de mener une évaluation systématique des programmes de formation initiale et continue des enseignants au Gabon, afin d’y intégrer de façon plus explicite les compétences liées à l’adaptation contextuelle des contenus.</w:t>
      </w:r>
    </w:p>
    <w:p w14:paraId="2DBF91A8" w14:textId="77777777" w:rsidR="00D80693" w:rsidRDefault="00D80693" w:rsidP="00D92213">
      <w:pPr>
        <w:spacing w:before="120"/>
        <w:ind w:left="360"/>
        <w:jc w:val="both"/>
        <w:rPr>
          <w:rFonts w:eastAsia="Aptos"/>
          <w:b/>
          <w:bCs/>
          <w:sz w:val="28"/>
          <w:szCs w:val="28"/>
          <w:lang w:val="fr-SN"/>
        </w:rPr>
      </w:pPr>
      <w:r>
        <w:rPr>
          <w:rFonts w:asciiTheme="majorBidi" w:eastAsia="Aptos" w:hAnsiTheme="majorBidi" w:cstheme="majorBidi"/>
          <w:b/>
          <w:bCs/>
          <w:sz w:val="28"/>
          <w:szCs w:val="28"/>
          <w:lang w:val="fr-SN"/>
        </w:rPr>
        <w:t>Conclusion</w:t>
      </w:r>
    </w:p>
    <w:p w14:paraId="2943AC9B" w14:textId="77777777" w:rsidR="00D80693" w:rsidRPr="00FA4379" w:rsidRDefault="00D80693" w:rsidP="00D92213">
      <w:pPr>
        <w:spacing w:before="120"/>
        <w:jc w:val="both"/>
        <w:rPr>
          <w:rFonts w:eastAsia="Aptos"/>
          <w:sz w:val="24"/>
          <w:szCs w:val="24"/>
          <w:lang w:val="fr-SN"/>
        </w:rPr>
      </w:pPr>
      <w:r w:rsidRPr="00FA4379">
        <w:rPr>
          <w:rFonts w:asciiTheme="majorBidi" w:eastAsia="Aptos" w:hAnsiTheme="majorBidi" w:cstheme="majorBidi"/>
          <w:sz w:val="24"/>
          <w:szCs w:val="24"/>
          <w:lang w:val="fr-SN"/>
        </w:rPr>
        <w:t>Ce travail de recherche avait pour ambition d’explorer, à travers une approche qualitative, la manière dont la contextualisation est pensée, prescrite et mise en œuvre dans l’enseignement des Sciences de la Vie et de la Terre (SVT) au Gabon. En croisant l’analyse de documents réglementaires</w:t>
      </w:r>
      <w:r>
        <w:rPr>
          <w:rFonts w:asciiTheme="majorBidi" w:eastAsia="Aptos" w:hAnsiTheme="majorBidi" w:cstheme="majorBidi"/>
          <w:sz w:val="24"/>
          <w:szCs w:val="24"/>
          <w:lang w:val="fr-SN"/>
        </w:rPr>
        <w:t xml:space="preserve"> et </w:t>
      </w:r>
      <w:r w:rsidRPr="00FA4379">
        <w:rPr>
          <w:rFonts w:asciiTheme="majorBidi" w:eastAsia="Aptos" w:hAnsiTheme="majorBidi" w:cstheme="majorBidi"/>
          <w:sz w:val="24"/>
          <w:szCs w:val="24"/>
          <w:lang w:val="fr-SN"/>
        </w:rPr>
        <w:t xml:space="preserve">les entretiens </w:t>
      </w:r>
      <w:r>
        <w:rPr>
          <w:rFonts w:asciiTheme="majorBidi" w:eastAsia="Aptos" w:hAnsiTheme="majorBidi" w:cstheme="majorBidi"/>
          <w:sz w:val="24"/>
          <w:szCs w:val="24"/>
          <w:lang w:val="fr-SN"/>
        </w:rPr>
        <w:t xml:space="preserve">semi-directifs avec les </w:t>
      </w:r>
      <w:r w:rsidRPr="00FA4379">
        <w:rPr>
          <w:rFonts w:asciiTheme="majorBidi" w:eastAsia="Aptos" w:hAnsiTheme="majorBidi" w:cstheme="majorBidi"/>
          <w:sz w:val="24"/>
          <w:szCs w:val="24"/>
          <w:lang w:val="fr-SN"/>
        </w:rPr>
        <w:t>enseignants</w:t>
      </w:r>
      <w:r>
        <w:rPr>
          <w:rFonts w:asciiTheme="majorBidi" w:eastAsia="Aptos" w:hAnsiTheme="majorBidi" w:cstheme="majorBidi"/>
          <w:sz w:val="24"/>
          <w:szCs w:val="24"/>
          <w:lang w:val="fr-SN"/>
        </w:rPr>
        <w:t xml:space="preserve"> de SVT, nous voulions implicitement comprendre</w:t>
      </w:r>
      <w:r w:rsidRPr="00FA4379">
        <w:rPr>
          <w:rFonts w:asciiTheme="majorBidi" w:eastAsia="Aptos" w:hAnsiTheme="majorBidi" w:cstheme="majorBidi"/>
          <w:sz w:val="24"/>
          <w:szCs w:val="24"/>
          <w:lang w:val="fr-SN"/>
        </w:rPr>
        <w:t xml:space="preserve"> les dynamiques et les tensions qui sous-tendent le rapport entre école et société, entre savoirs scientifiques et réalités locales.</w:t>
      </w:r>
    </w:p>
    <w:p w14:paraId="2441703B" w14:textId="77777777" w:rsidR="00D80693" w:rsidRPr="00FA4379" w:rsidRDefault="00D80693" w:rsidP="00D92213">
      <w:pPr>
        <w:spacing w:before="120"/>
        <w:jc w:val="both"/>
        <w:rPr>
          <w:rFonts w:eastAsia="Aptos"/>
          <w:sz w:val="24"/>
          <w:szCs w:val="24"/>
          <w:lang w:val="fr-SN"/>
        </w:rPr>
      </w:pPr>
      <w:r>
        <w:rPr>
          <w:rFonts w:asciiTheme="majorBidi" w:eastAsia="Aptos" w:hAnsiTheme="majorBidi" w:cstheme="majorBidi"/>
          <w:sz w:val="24"/>
          <w:szCs w:val="24"/>
          <w:lang w:val="fr-SN"/>
        </w:rPr>
        <w:t xml:space="preserve">Nous avons abouti à </w:t>
      </w:r>
      <w:proofErr w:type="gramStart"/>
      <w:r w:rsidRPr="00FA4379">
        <w:rPr>
          <w:rFonts w:asciiTheme="majorBidi" w:eastAsia="Aptos" w:hAnsiTheme="majorBidi" w:cstheme="majorBidi"/>
          <w:sz w:val="24"/>
          <w:szCs w:val="24"/>
          <w:lang w:val="fr-SN"/>
        </w:rPr>
        <w:t>un</w:t>
      </w:r>
      <w:r>
        <w:rPr>
          <w:rFonts w:asciiTheme="majorBidi" w:eastAsia="Aptos" w:hAnsiTheme="majorBidi" w:cstheme="majorBidi"/>
          <w:sz w:val="24"/>
          <w:szCs w:val="24"/>
          <w:lang w:val="fr-SN"/>
        </w:rPr>
        <w:t xml:space="preserve">e </w:t>
      </w:r>
      <w:r w:rsidRPr="00FA4379">
        <w:rPr>
          <w:rFonts w:asciiTheme="majorBidi" w:eastAsia="Aptos" w:hAnsiTheme="majorBidi" w:cstheme="majorBidi"/>
          <w:sz w:val="24"/>
          <w:szCs w:val="24"/>
          <w:lang w:val="fr-SN"/>
        </w:rPr>
        <w:t>double dynamique</w:t>
      </w:r>
      <w:proofErr w:type="gramEnd"/>
      <w:r>
        <w:rPr>
          <w:rFonts w:asciiTheme="majorBidi" w:eastAsia="Aptos" w:hAnsiTheme="majorBidi" w:cstheme="majorBidi"/>
          <w:sz w:val="24"/>
          <w:szCs w:val="24"/>
          <w:lang w:val="fr-SN"/>
        </w:rPr>
        <w:t>. La première porte sur une</w:t>
      </w:r>
      <w:r w:rsidRPr="00FA4379">
        <w:rPr>
          <w:rFonts w:asciiTheme="majorBidi" w:eastAsia="Aptos" w:hAnsiTheme="majorBidi" w:cstheme="majorBidi"/>
          <w:sz w:val="24"/>
          <w:szCs w:val="24"/>
          <w:lang w:val="fr-SN"/>
        </w:rPr>
        <w:t xml:space="preserve"> contextualisation largement évoquée dans les discours politiques et pédagogiques comme une exigence contemporaine</w:t>
      </w:r>
      <w:r>
        <w:rPr>
          <w:rFonts w:asciiTheme="majorBidi" w:eastAsia="Aptos" w:hAnsiTheme="majorBidi" w:cstheme="majorBidi"/>
          <w:sz w:val="24"/>
          <w:szCs w:val="24"/>
          <w:lang w:val="fr-SN"/>
        </w:rPr>
        <w:t xml:space="preserve">. La seconde porte sur la difficulté de son opérationnalisation dans </w:t>
      </w:r>
      <w:r w:rsidRPr="00FA4379">
        <w:rPr>
          <w:rFonts w:asciiTheme="majorBidi" w:eastAsia="Aptos" w:hAnsiTheme="majorBidi" w:cstheme="majorBidi"/>
          <w:sz w:val="24"/>
          <w:szCs w:val="24"/>
          <w:lang w:val="fr-SN"/>
        </w:rPr>
        <w:t xml:space="preserve">les textes officiels et rarement traduite dans les pratiques pédagogiques quotidiennes. Cette dichotomie, relevée par plusieurs chercheurs </w:t>
      </w:r>
      <w:bookmarkStart w:id="169" w:name="_Hlk215006369"/>
      <w:r w:rsidRPr="00FA4379">
        <w:rPr>
          <w:rFonts w:asciiTheme="majorBidi" w:eastAsia="Aptos" w:hAnsiTheme="majorBidi" w:cstheme="majorBidi"/>
          <w:sz w:val="24"/>
          <w:szCs w:val="24"/>
          <w:lang w:val="fr-SN"/>
        </w:rPr>
        <w:t xml:space="preserve">(Rogoff, 2003, p. 50-68 ; Cobern, 1991, p. 3-15), </w:t>
      </w:r>
      <w:bookmarkEnd w:id="169"/>
      <w:r w:rsidRPr="00FA4379">
        <w:rPr>
          <w:rFonts w:asciiTheme="majorBidi" w:eastAsia="Aptos" w:hAnsiTheme="majorBidi" w:cstheme="majorBidi"/>
          <w:sz w:val="24"/>
          <w:szCs w:val="24"/>
          <w:lang w:val="fr-SN"/>
        </w:rPr>
        <w:t>montre que la contextualisation ne peut être réduite à une simple déclaration d’intention</w:t>
      </w:r>
      <w:r>
        <w:rPr>
          <w:rFonts w:asciiTheme="majorBidi" w:eastAsia="Aptos" w:hAnsiTheme="majorBidi" w:cstheme="majorBidi"/>
          <w:sz w:val="24"/>
          <w:szCs w:val="24"/>
          <w:lang w:val="fr-SN"/>
        </w:rPr>
        <w:t xml:space="preserve">. Elle </w:t>
      </w:r>
      <w:r w:rsidRPr="00FA4379">
        <w:rPr>
          <w:rFonts w:asciiTheme="majorBidi" w:eastAsia="Aptos" w:hAnsiTheme="majorBidi" w:cstheme="majorBidi"/>
          <w:sz w:val="24"/>
          <w:szCs w:val="24"/>
          <w:lang w:val="fr-SN"/>
        </w:rPr>
        <w:t>suppose une transformation en profondeur des curricula, des démarches didactiques et du rapport au savoir. La discussion des résultats a permis de dégager plusieurs freins systémiques : la standardisation rigide des programmes, l’absence de ressources pédagogiques adaptées, le manque de formation spécifique, et un rapport au savoir encore très fortement normatif. Ces constats rejoignent les réflexions de Vygotsky (1978, p. 100-110)</w:t>
      </w:r>
      <w:r>
        <w:rPr>
          <w:rFonts w:asciiTheme="majorBidi" w:eastAsia="Aptos" w:hAnsiTheme="majorBidi" w:cstheme="majorBidi"/>
          <w:sz w:val="24"/>
          <w:szCs w:val="24"/>
          <w:lang w:val="fr-SN"/>
        </w:rPr>
        <w:t xml:space="preserve"> et </w:t>
      </w:r>
      <w:r w:rsidRPr="00FA4379">
        <w:rPr>
          <w:rFonts w:asciiTheme="majorBidi" w:eastAsia="Aptos" w:hAnsiTheme="majorBidi" w:cstheme="majorBidi"/>
          <w:sz w:val="24"/>
          <w:szCs w:val="24"/>
          <w:lang w:val="fr-SN"/>
        </w:rPr>
        <w:t>Charlot (2001, p. 49-50) qui appellent à réinscrire l’école dans les contextes de vie des apprenants.</w:t>
      </w:r>
    </w:p>
    <w:p w14:paraId="7D7B4A91" w14:textId="77777777" w:rsidR="00D80693" w:rsidRDefault="00D80693" w:rsidP="00D92213">
      <w:pPr>
        <w:spacing w:before="120"/>
        <w:jc w:val="both"/>
        <w:rPr>
          <w:rFonts w:eastAsia="Aptos"/>
          <w:sz w:val="24"/>
          <w:szCs w:val="24"/>
          <w:lang w:val="fr-SN"/>
        </w:rPr>
      </w:pPr>
      <w:r>
        <w:rPr>
          <w:rFonts w:asciiTheme="majorBidi" w:hAnsiTheme="majorBidi" w:cstheme="majorBidi"/>
          <w:sz w:val="24"/>
          <w:szCs w:val="24"/>
          <w:lang w:val="fr-SN"/>
        </w:rPr>
        <w:t xml:space="preserve">La </w:t>
      </w:r>
      <w:r w:rsidRPr="003771C4">
        <w:rPr>
          <w:rFonts w:asciiTheme="majorBidi" w:hAnsiTheme="majorBidi" w:cstheme="majorBidi"/>
          <w:sz w:val="24"/>
          <w:szCs w:val="24"/>
          <w:lang w:val="fr-SN"/>
        </w:rPr>
        <w:t>réforme</w:t>
      </w:r>
      <w:r>
        <w:rPr>
          <w:rFonts w:asciiTheme="majorBidi" w:hAnsiTheme="majorBidi" w:cstheme="majorBidi"/>
          <w:sz w:val="24"/>
          <w:szCs w:val="24"/>
          <w:lang w:val="fr-SN"/>
        </w:rPr>
        <w:t xml:space="preserve"> des </w:t>
      </w:r>
      <w:r w:rsidRPr="003771C4">
        <w:rPr>
          <w:rFonts w:asciiTheme="majorBidi" w:hAnsiTheme="majorBidi" w:cstheme="majorBidi"/>
          <w:sz w:val="24"/>
          <w:szCs w:val="24"/>
          <w:lang w:val="fr-SN"/>
        </w:rPr>
        <w:t xml:space="preserve">programmes de formation initiale et continue, </w:t>
      </w:r>
      <w:r>
        <w:rPr>
          <w:rFonts w:asciiTheme="majorBidi" w:hAnsiTheme="majorBidi" w:cstheme="majorBidi"/>
          <w:sz w:val="24"/>
          <w:szCs w:val="24"/>
          <w:lang w:val="fr-SN"/>
        </w:rPr>
        <w:t xml:space="preserve">la </w:t>
      </w:r>
      <w:r w:rsidRPr="003771C4">
        <w:rPr>
          <w:rFonts w:asciiTheme="majorBidi" w:hAnsiTheme="majorBidi" w:cstheme="majorBidi"/>
          <w:sz w:val="24"/>
          <w:szCs w:val="24"/>
          <w:lang w:val="fr-SN"/>
        </w:rPr>
        <w:t>produ</w:t>
      </w:r>
      <w:r>
        <w:rPr>
          <w:rFonts w:asciiTheme="majorBidi" w:hAnsiTheme="majorBidi" w:cstheme="majorBidi"/>
          <w:sz w:val="24"/>
          <w:szCs w:val="24"/>
          <w:lang w:val="fr-SN"/>
        </w:rPr>
        <w:t xml:space="preserve">ction des </w:t>
      </w:r>
      <w:r w:rsidRPr="003771C4">
        <w:rPr>
          <w:rFonts w:asciiTheme="majorBidi" w:hAnsiTheme="majorBidi" w:cstheme="majorBidi"/>
          <w:sz w:val="24"/>
          <w:szCs w:val="24"/>
          <w:lang w:val="fr-SN"/>
        </w:rPr>
        <w:t xml:space="preserve">ressources pédagogiques adaptées aux contextes locaux, </w:t>
      </w:r>
      <w:r>
        <w:rPr>
          <w:rFonts w:asciiTheme="majorBidi" w:hAnsiTheme="majorBidi" w:cstheme="majorBidi"/>
          <w:sz w:val="24"/>
          <w:szCs w:val="24"/>
          <w:lang w:val="fr-SN"/>
        </w:rPr>
        <w:t xml:space="preserve">et la </w:t>
      </w:r>
      <w:r w:rsidRPr="003771C4">
        <w:rPr>
          <w:rFonts w:asciiTheme="majorBidi" w:hAnsiTheme="majorBidi" w:cstheme="majorBidi"/>
          <w:sz w:val="24"/>
          <w:szCs w:val="24"/>
          <w:lang w:val="fr-SN"/>
        </w:rPr>
        <w:t>valoris</w:t>
      </w:r>
      <w:r>
        <w:rPr>
          <w:rFonts w:asciiTheme="majorBidi" w:hAnsiTheme="majorBidi" w:cstheme="majorBidi"/>
          <w:sz w:val="24"/>
          <w:szCs w:val="24"/>
          <w:lang w:val="fr-SN"/>
        </w:rPr>
        <w:t>ation d</w:t>
      </w:r>
      <w:r w:rsidRPr="003771C4">
        <w:rPr>
          <w:rFonts w:asciiTheme="majorBidi" w:hAnsiTheme="majorBidi" w:cstheme="majorBidi"/>
          <w:sz w:val="24"/>
          <w:szCs w:val="24"/>
          <w:lang w:val="fr-SN"/>
        </w:rPr>
        <w:t>es pratiques enseignantes innovantes</w:t>
      </w:r>
      <w:r>
        <w:rPr>
          <w:rFonts w:asciiTheme="majorBidi" w:hAnsiTheme="majorBidi" w:cstheme="majorBidi"/>
          <w:sz w:val="24"/>
          <w:szCs w:val="24"/>
          <w:lang w:val="fr-SN"/>
        </w:rPr>
        <w:t xml:space="preserve"> deviennent indispensables. Il en est de même pour une </w:t>
      </w:r>
      <w:r w:rsidRPr="003771C4">
        <w:rPr>
          <w:rFonts w:asciiTheme="majorBidi" w:hAnsiTheme="majorBidi" w:cstheme="majorBidi"/>
          <w:sz w:val="24"/>
          <w:szCs w:val="24"/>
          <w:lang w:val="fr-SN"/>
        </w:rPr>
        <w:t>gouvernance éducative plus ouverte aux spécificités régionales</w:t>
      </w:r>
      <w:r>
        <w:rPr>
          <w:rFonts w:asciiTheme="majorBidi" w:hAnsiTheme="majorBidi" w:cstheme="majorBidi"/>
          <w:sz w:val="24"/>
          <w:szCs w:val="24"/>
          <w:lang w:val="fr-SN"/>
        </w:rPr>
        <w:t xml:space="preserve"> qui doit être favorisée. </w:t>
      </w:r>
      <w:r w:rsidRPr="003771C4">
        <w:rPr>
          <w:rFonts w:asciiTheme="majorBidi" w:hAnsiTheme="majorBidi" w:cstheme="majorBidi"/>
          <w:sz w:val="24"/>
          <w:szCs w:val="24"/>
          <w:lang w:val="fr-SN"/>
        </w:rPr>
        <w:t xml:space="preserve">Une telle </w:t>
      </w:r>
      <w:r>
        <w:rPr>
          <w:rFonts w:asciiTheme="majorBidi" w:hAnsiTheme="majorBidi" w:cstheme="majorBidi"/>
          <w:sz w:val="24"/>
          <w:szCs w:val="24"/>
          <w:lang w:val="fr-SN"/>
        </w:rPr>
        <w:t xml:space="preserve">perspective </w:t>
      </w:r>
      <w:r w:rsidRPr="003771C4">
        <w:rPr>
          <w:rFonts w:asciiTheme="majorBidi" w:hAnsiTheme="majorBidi" w:cstheme="majorBidi"/>
          <w:sz w:val="24"/>
          <w:szCs w:val="24"/>
          <w:lang w:val="fr-SN"/>
        </w:rPr>
        <w:t>permettrait de redonner du sens aux apprentissages, de renforcer l’engagement des élèves, et de lutter contre l’échec scolaire en rendant les savoirs plus proches, plus compréhensibles et plus utiles dans leur environnement.</w:t>
      </w:r>
      <w:r>
        <w:rPr>
          <w:rFonts w:asciiTheme="majorBidi" w:hAnsiTheme="majorBidi" w:cstheme="majorBidi"/>
          <w:sz w:val="24"/>
          <w:szCs w:val="24"/>
          <w:lang w:val="fr-SN"/>
        </w:rPr>
        <w:t xml:space="preserve"> </w:t>
      </w:r>
      <w:r w:rsidRPr="00FA4379">
        <w:rPr>
          <w:rFonts w:asciiTheme="majorBidi" w:eastAsia="Aptos" w:hAnsiTheme="majorBidi" w:cstheme="majorBidi"/>
          <w:sz w:val="24"/>
          <w:szCs w:val="24"/>
          <w:lang w:val="fr-SN"/>
        </w:rPr>
        <w:t xml:space="preserve">Repenser l’enseignement des </w:t>
      </w:r>
      <w:r>
        <w:rPr>
          <w:rFonts w:asciiTheme="majorBidi" w:eastAsia="Aptos" w:hAnsiTheme="majorBidi" w:cstheme="majorBidi"/>
          <w:sz w:val="24"/>
          <w:szCs w:val="24"/>
          <w:lang w:val="fr-SN"/>
        </w:rPr>
        <w:t xml:space="preserve">SVT </w:t>
      </w:r>
      <w:r w:rsidRPr="00FA4379">
        <w:rPr>
          <w:rFonts w:asciiTheme="majorBidi" w:eastAsia="Aptos" w:hAnsiTheme="majorBidi" w:cstheme="majorBidi"/>
          <w:sz w:val="24"/>
          <w:szCs w:val="24"/>
          <w:lang w:val="fr-SN"/>
        </w:rPr>
        <w:t xml:space="preserve">dans le contexte gabonais, c’est repenser la place du local, de l’expérience, de la culture, et du quotidien dans la transmission des savoirs. Comme l’ont montré </w:t>
      </w:r>
      <w:bookmarkStart w:id="170" w:name="_Hlk215006849"/>
      <w:r w:rsidRPr="00FA4379">
        <w:rPr>
          <w:rFonts w:asciiTheme="majorBidi" w:eastAsia="Aptos" w:hAnsiTheme="majorBidi" w:cstheme="majorBidi"/>
          <w:sz w:val="24"/>
          <w:szCs w:val="24"/>
          <w:lang w:val="fr-SN"/>
        </w:rPr>
        <w:t xml:space="preserve">Charlot (1997, p. 61) et Aikenhead (2001, p. 182), </w:t>
      </w:r>
      <w:bookmarkEnd w:id="170"/>
      <w:r w:rsidRPr="00FA4379">
        <w:rPr>
          <w:rFonts w:asciiTheme="majorBidi" w:eastAsia="Aptos" w:hAnsiTheme="majorBidi" w:cstheme="majorBidi"/>
          <w:sz w:val="24"/>
          <w:szCs w:val="24"/>
          <w:lang w:val="fr-SN"/>
        </w:rPr>
        <w:t>les savoirs ne prennent sens que lorsqu’ils s’enracinent dans des contextes culturels, sociaux et historiques précis. La contextualisation devient alors un levier de pertinence, d’équité et de transformation éducative.</w:t>
      </w:r>
    </w:p>
    <w:p w14:paraId="5E67460A" w14:textId="77777777" w:rsidR="00D80693" w:rsidRPr="00DA69D7" w:rsidRDefault="00D80693" w:rsidP="00D92213">
      <w:pPr>
        <w:spacing w:before="120"/>
        <w:jc w:val="both"/>
        <w:rPr>
          <w:rFonts w:eastAsia="Aptos"/>
          <w:b/>
          <w:bCs/>
          <w:sz w:val="28"/>
          <w:szCs w:val="28"/>
          <w:lang w:val="en-US"/>
        </w:rPr>
      </w:pPr>
      <w:proofErr w:type="spellStart"/>
      <w:r w:rsidRPr="00DA69D7">
        <w:rPr>
          <w:rFonts w:asciiTheme="majorBidi" w:eastAsia="Aptos" w:hAnsiTheme="majorBidi" w:cstheme="majorBidi"/>
          <w:b/>
          <w:bCs/>
          <w:sz w:val="28"/>
          <w:szCs w:val="28"/>
          <w:lang w:val="en-US"/>
        </w:rPr>
        <w:t>Références</w:t>
      </w:r>
      <w:proofErr w:type="spellEnd"/>
      <w:r w:rsidRPr="00DA69D7">
        <w:rPr>
          <w:rFonts w:asciiTheme="majorBidi" w:eastAsia="Aptos" w:hAnsiTheme="majorBidi" w:cstheme="majorBidi"/>
          <w:b/>
          <w:bCs/>
          <w:sz w:val="28"/>
          <w:szCs w:val="28"/>
          <w:lang w:val="en-US"/>
        </w:rPr>
        <w:t xml:space="preserve"> </w:t>
      </w:r>
      <w:proofErr w:type="spellStart"/>
      <w:r w:rsidRPr="00DA69D7">
        <w:rPr>
          <w:rFonts w:asciiTheme="majorBidi" w:eastAsia="Aptos" w:hAnsiTheme="majorBidi" w:cstheme="majorBidi"/>
          <w:b/>
          <w:bCs/>
          <w:sz w:val="28"/>
          <w:szCs w:val="28"/>
          <w:lang w:val="en-US"/>
        </w:rPr>
        <w:t>bibliographiques</w:t>
      </w:r>
      <w:proofErr w:type="spellEnd"/>
      <w:r w:rsidRPr="00DA69D7">
        <w:rPr>
          <w:rFonts w:asciiTheme="majorBidi" w:eastAsia="Aptos" w:hAnsiTheme="majorBidi" w:cstheme="majorBidi"/>
          <w:b/>
          <w:bCs/>
          <w:sz w:val="28"/>
          <w:szCs w:val="28"/>
          <w:lang w:val="en-US"/>
        </w:rPr>
        <w:t xml:space="preserve"> </w:t>
      </w:r>
    </w:p>
    <w:p w14:paraId="3AF6C47A" w14:textId="77777777" w:rsidR="00D80693" w:rsidRPr="00DA69D7" w:rsidRDefault="00D80693" w:rsidP="00D92213">
      <w:pPr>
        <w:spacing w:before="120"/>
        <w:ind w:left="851" w:hanging="851"/>
        <w:jc w:val="both"/>
        <w:rPr>
          <w:rFonts w:eastAsia="Aptos"/>
          <w:sz w:val="24"/>
          <w:szCs w:val="24"/>
          <w:lang w:val="en-US"/>
        </w:rPr>
      </w:pPr>
      <w:r w:rsidRPr="00DA69D7">
        <w:rPr>
          <w:rFonts w:asciiTheme="majorBidi" w:eastAsia="Aptos" w:hAnsiTheme="majorBidi" w:cstheme="majorBidi"/>
          <w:sz w:val="24"/>
          <w:szCs w:val="24"/>
          <w:lang w:val="en-US"/>
        </w:rPr>
        <w:t xml:space="preserve">Aikenhead, G. (2001). Integrating Western and Aboriginal Sciences: Cross-Cultural Science Teaching. </w:t>
      </w:r>
      <w:r w:rsidRPr="00DA69D7">
        <w:rPr>
          <w:rFonts w:asciiTheme="majorBidi" w:eastAsia="Aptos" w:hAnsiTheme="majorBidi" w:cstheme="majorBidi"/>
          <w:i/>
          <w:iCs/>
          <w:sz w:val="24"/>
          <w:szCs w:val="24"/>
          <w:lang w:val="en-US"/>
        </w:rPr>
        <w:t>Research in Science Education,</w:t>
      </w:r>
      <w:r w:rsidRPr="00DA69D7">
        <w:rPr>
          <w:rFonts w:asciiTheme="majorBidi" w:eastAsia="Aptos" w:hAnsiTheme="majorBidi" w:cstheme="majorBidi"/>
          <w:sz w:val="24"/>
          <w:szCs w:val="24"/>
          <w:lang w:val="en-US"/>
        </w:rPr>
        <w:t xml:space="preserve"> 31(3), 180–188.</w:t>
      </w:r>
    </w:p>
    <w:p w14:paraId="27DC43CE" w14:textId="77777777" w:rsidR="00D80693" w:rsidRPr="00E85A7F" w:rsidRDefault="00D80693" w:rsidP="00D92213">
      <w:pPr>
        <w:spacing w:before="120"/>
        <w:ind w:left="851" w:hanging="851"/>
        <w:jc w:val="both"/>
        <w:rPr>
          <w:rFonts w:eastAsia="Aptos"/>
          <w:sz w:val="24"/>
          <w:szCs w:val="24"/>
          <w:lang w:val="fr-SN"/>
        </w:rPr>
      </w:pPr>
      <w:r w:rsidRPr="00DA69D7">
        <w:rPr>
          <w:rFonts w:asciiTheme="majorBidi" w:eastAsia="Aptos" w:hAnsiTheme="majorBidi" w:cstheme="majorBidi"/>
          <w:sz w:val="24"/>
          <w:szCs w:val="24"/>
          <w:lang w:val="en-US"/>
        </w:rPr>
        <w:t xml:space="preserve">Aikenhead, G. (2001). Students’ ease in crossing cultural borders into school science. </w:t>
      </w:r>
      <w:r w:rsidRPr="00E85A7F">
        <w:rPr>
          <w:rFonts w:asciiTheme="majorBidi" w:eastAsia="Aptos" w:hAnsiTheme="majorBidi" w:cstheme="majorBidi"/>
          <w:i/>
          <w:iCs/>
          <w:sz w:val="24"/>
          <w:szCs w:val="24"/>
          <w:lang w:val="fr-SN"/>
        </w:rPr>
        <w:t xml:space="preserve">Science Education, </w:t>
      </w:r>
      <w:r w:rsidRPr="00E85A7F">
        <w:rPr>
          <w:rFonts w:asciiTheme="majorBidi" w:eastAsia="Aptos" w:hAnsiTheme="majorBidi" w:cstheme="majorBidi"/>
          <w:sz w:val="24"/>
          <w:szCs w:val="24"/>
          <w:lang w:val="fr-SN"/>
        </w:rPr>
        <w:t>85(2), 180–188.</w:t>
      </w:r>
    </w:p>
    <w:p w14:paraId="4821F440" w14:textId="77777777" w:rsidR="00D80693" w:rsidRDefault="00D80693" w:rsidP="00D92213">
      <w:pPr>
        <w:spacing w:before="120"/>
        <w:ind w:left="851" w:hanging="851"/>
        <w:jc w:val="both"/>
        <w:rPr>
          <w:rFonts w:eastAsia="Aptos"/>
          <w:sz w:val="24"/>
          <w:szCs w:val="24"/>
          <w:lang w:val="fr-SN"/>
        </w:rPr>
      </w:pPr>
      <w:r w:rsidRPr="00A07A46">
        <w:rPr>
          <w:rFonts w:asciiTheme="majorBidi" w:eastAsia="Aptos" w:hAnsiTheme="majorBidi" w:cstheme="majorBidi"/>
          <w:sz w:val="24"/>
          <w:szCs w:val="24"/>
          <w:lang w:val="fr-SN"/>
        </w:rPr>
        <w:t>Aikenhead, G</w:t>
      </w:r>
      <w:r>
        <w:rPr>
          <w:rFonts w:asciiTheme="majorBidi" w:eastAsia="Aptos" w:hAnsiTheme="majorBidi" w:cstheme="majorBidi"/>
          <w:sz w:val="24"/>
          <w:szCs w:val="24"/>
          <w:lang w:val="fr-SN"/>
        </w:rPr>
        <w:t>. (</w:t>
      </w:r>
      <w:r w:rsidRPr="00A07A46">
        <w:rPr>
          <w:rFonts w:asciiTheme="majorBidi" w:eastAsia="Aptos" w:hAnsiTheme="majorBidi" w:cstheme="majorBidi"/>
          <w:sz w:val="24"/>
          <w:szCs w:val="24"/>
          <w:lang w:val="fr-SN"/>
        </w:rPr>
        <w:t>1996</w:t>
      </w:r>
      <w:r>
        <w:rPr>
          <w:rFonts w:asciiTheme="majorBidi" w:eastAsia="Aptos" w:hAnsiTheme="majorBidi" w:cstheme="majorBidi"/>
          <w:sz w:val="24"/>
          <w:szCs w:val="24"/>
          <w:lang w:val="fr-SN"/>
        </w:rPr>
        <w:t>)</w:t>
      </w:r>
      <w:r w:rsidRPr="00A07A46">
        <w:rPr>
          <w:rFonts w:asciiTheme="majorBidi" w:eastAsia="Aptos" w:hAnsiTheme="majorBidi" w:cstheme="majorBidi"/>
          <w:sz w:val="24"/>
          <w:szCs w:val="24"/>
          <w:lang w:val="fr-SN"/>
        </w:rPr>
        <w:t>. « Franchissement des frontières : culture, sciences à l’école, assimilation des élèves ». Dans </w:t>
      </w:r>
      <w:r w:rsidRPr="00A07A46">
        <w:rPr>
          <w:rFonts w:asciiTheme="majorBidi" w:eastAsia="Aptos" w:hAnsiTheme="majorBidi" w:cstheme="majorBidi"/>
          <w:i/>
          <w:iCs/>
          <w:sz w:val="24"/>
          <w:szCs w:val="24"/>
          <w:lang w:val="fr-SN"/>
        </w:rPr>
        <w:t>Les multiples significations d’une matière scolaire : essais sur les sciences et les programmes scolaires</w:t>
      </w:r>
      <w:r w:rsidRPr="00A07A46">
        <w:rPr>
          <w:rFonts w:asciiTheme="majorBidi" w:eastAsia="Aptos" w:hAnsiTheme="majorBidi" w:cstheme="majorBidi"/>
          <w:sz w:val="24"/>
          <w:szCs w:val="24"/>
          <w:lang w:val="fr-SN"/>
        </w:rPr>
        <w:t xml:space="preserve">, édité par Roberts, DA et Östman, L. New York : </w:t>
      </w:r>
      <w:proofErr w:type="spellStart"/>
      <w:r w:rsidRPr="00A07A46">
        <w:rPr>
          <w:rFonts w:asciiTheme="majorBidi" w:eastAsia="Aptos" w:hAnsiTheme="majorBidi" w:cstheme="majorBidi"/>
          <w:sz w:val="24"/>
          <w:szCs w:val="24"/>
          <w:lang w:val="fr-SN"/>
        </w:rPr>
        <w:t>Teachers</w:t>
      </w:r>
      <w:proofErr w:type="spellEnd"/>
      <w:r w:rsidRPr="00A07A46">
        <w:rPr>
          <w:rFonts w:asciiTheme="majorBidi" w:eastAsia="Aptos" w:hAnsiTheme="majorBidi" w:cstheme="majorBidi"/>
          <w:sz w:val="24"/>
          <w:szCs w:val="24"/>
          <w:lang w:val="fr-SN"/>
        </w:rPr>
        <w:t xml:space="preserve"> College Press.</w:t>
      </w:r>
    </w:p>
    <w:p w14:paraId="59A420DA" w14:textId="77777777" w:rsidR="00D80693" w:rsidRPr="001D41DD" w:rsidRDefault="00D80693" w:rsidP="00D92213">
      <w:pPr>
        <w:spacing w:before="120" w:after="120"/>
        <w:ind w:left="851" w:hanging="851"/>
        <w:jc w:val="both"/>
        <w:rPr>
          <w:rFonts w:eastAsia="Calibri"/>
          <w:kern w:val="2"/>
          <w:sz w:val="24"/>
          <w:szCs w:val="24"/>
          <w:lang w:val="fr-SN"/>
          <w14:ligatures w14:val="standardContextual"/>
        </w:rPr>
      </w:pPr>
      <w:r>
        <w:rPr>
          <w:rFonts w:eastAsia="Calibri"/>
          <w:kern w:val="2"/>
          <w:sz w:val="24"/>
          <w:szCs w:val="24"/>
          <w:lang w:val="en-US"/>
          <w14:ligatures w14:val="standardContextual"/>
        </w:rPr>
        <w:t>B</w:t>
      </w:r>
      <w:r w:rsidRPr="00DA69D7">
        <w:rPr>
          <w:rFonts w:eastAsia="Calibri"/>
          <w:kern w:val="2"/>
          <w:sz w:val="24"/>
          <w:szCs w:val="24"/>
          <w:lang w:val="en-US"/>
          <w14:ligatures w14:val="standardContextual"/>
        </w:rPr>
        <w:t xml:space="preserve">anks, J. A. (2008). </w:t>
      </w:r>
      <w:r w:rsidRPr="003E5951">
        <w:rPr>
          <w:rFonts w:eastAsia="Calibri"/>
          <w:i/>
          <w:iCs/>
          <w:kern w:val="2"/>
          <w:sz w:val="24"/>
          <w:szCs w:val="24"/>
          <w:lang w:val="en-US"/>
          <w14:ligatures w14:val="standardContextual"/>
        </w:rPr>
        <w:t>Diversity and Citizenship Education</w:t>
      </w:r>
      <w:r w:rsidRPr="00DA69D7">
        <w:rPr>
          <w:rFonts w:eastAsia="Calibri"/>
          <w:kern w:val="2"/>
          <w:sz w:val="24"/>
          <w:szCs w:val="24"/>
          <w:lang w:val="en-US"/>
          <w14:ligatures w14:val="standardContextual"/>
        </w:rPr>
        <w:t xml:space="preserve">: Global Perspectives. </w:t>
      </w:r>
      <w:r w:rsidRPr="001D41DD">
        <w:rPr>
          <w:rFonts w:eastAsia="Calibri"/>
          <w:kern w:val="2"/>
          <w:sz w:val="24"/>
          <w:szCs w:val="24"/>
          <w:lang w:val="fr-SN"/>
          <w14:ligatures w14:val="standardContextual"/>
        </w:rPr>
        <w:t>Wiley.</w:t>
      </w:r>
    </w:p>
    <w:p w14:paraId="088D30BA" w14:textId="77777777" w:rsidR="00D80693" w:rsidRDefault="00D80693" w:rsidP="00D92213">
      <w:pPr>
        <w:spacing w:before="120" w:after="120"/>
        <w:ind w:left="851" w:hanging="851"/>
        <w:jc w:val="both"/>
        <w:rPr>
          <w:rFonts w:eastAsia="Calibri"/>
          <w:kern w:val="2"/>
          <w:sz w:val="24"/>
          <w:szCs w:val="24"/>
          <w:lang w:val="fr-SN"/>
          <w14:ligatures w14:val="standardContextual"/>
        </w:rPr>
      </w:pPr>
      <w:r w:rsidRPr="001D41DD">
        <w:rPr>
          <w:rFonts w:eastAsia="Calibri"/>
          <w:kern w:val="2"/>
          <w:sz w:val="24"/>
          <w:szCs w:val="24"/>
          <w:lang w:val="fr-SN"/>
          <w14:ligatures w14:val="standardContextual"/>
        </w:rPr>
        <w:t xml:space="preserve">Bardin, L. (2007). </w:t>
      </w:r>
      <w:r w:rsidRPr="003E5951">
        <w:rPr>
          <w:rFonts w:eastAsia="Calibri"/>
          <w:i/>
          <w:iCs/>
          <w:kern w:val="2"/>
          <w:sz w:val="24"/>
          <w:szCs w:val="24"/>
          <w:lang w:val="fr-SN"/>
          <w14:ligatures w14:val="standardContextual"/>
        </w:rPr>
        <w:t>L’analyse de contenu</w:t>
      </w:r>
      <w:r w:rsidRPr="001D41DD">
        <w:rPr>
          <w:rFonts w:eastAsia="Calibri"/>
          <w:kern w:val="2"/>
          <w:sz w:val="24"/>
          <w:szCs w:val="24"/>
          <w:lang w:val="fr-SN"/>
          <w14:ligatures w14:val="standardContextual"/>
        </w:rPr>
        <w:t>. Paris : Presses Universitaires de France.</w:t>
      </w:r>
    </w:p>
    <w:p w14:paraId="2B9307C5" w14:textId="77777777" w:rsidR="00D80693" w:rsidRDefault="00D80693" w:rsidP="00D92213">
      <w:pPr>
        <w:spacing w:before="120"/>
        <w:ind w:left="851" w:hanging="851"/>
        <w:jc w:val="both"/>
        <w:rPr>
          <w:rFonts w:eastAsia="Aptos"/>
          <w:sz w:val="24"/>
          <w:szCs w:val="24"/>
          <w:lang w:val="fr-SN"/>
        </w:rPr>
      </w:pPr>
      <w:r w:rsidRPr="00A1603C">
        <w:rPr>
          <w:rFonts w:asciiTheme="majorBidi" w:eastAsia="Aptos" w:hAnsiTheme="majorBidi" w:cstheme="majorBidi"/>
          <w:sz w:val="24"/>
          <w:szCs w:val="24"/>
          <w:lang w:val="fr-SN"/>
        </w:rPr>
        <w:t xml:space="preserve">Blanchet, A. </w:t>
      </w:r>
      <w:r>
        <w:rPr>
          <w:rFonts w:asciiTheme="majorBidi" w:eastAsia="Aptos" w:hAnsiTheme="majorBidi" w:cstheme="majorBidi"/>
          <w:sz w:val="24"/>
          <w:szCs w:val="24"/>
          <w:lang w:val="fr-SN"/>
        </w:rPr>
        <w:t xml:space="preserve">et </w:t>
      </w:r>
      <w:proofErr w:type="spellStart"/>
      <w:r w:rsidRPr="00A1603C">
        <w:rPr>
          <w:rFonts w:asciiTheme="majorBidi" w:eastAsia="Aptos" w:hAnsiTheme="majorBidi" w:cstheme="majorBidi"/>
          <w:sz w:val="24"/>
          <w:szCs w:val="24"/>
          <w:lang w:val="fr-SN"/>
        </w:rPr>
        <w:t>Gotman</w:t>
      </w:r>
      <w:proofErr w:type="spellEnd"/>
      <w:r w:rsidRPr="00A1603C">
        <w:rPr>
          <w:rFonts w:asciiTheme="majorBidi" w:eastAsia="Aptos" w:hAnsiTheme="majorBidi" w:cstheme="majorBidi"/>
          <w:sz w:val="24"/>
          <w:szCs w:val="24"/>
          <w:lang w:val="fr-SN"/>
        </w:rPr>
        <w:t xml:space="preserve">, A. (2010). </w:t>
      </w:r>
      <w:r w:rsidRPr="00A1603C">
        <w:rPr>
          <w:rFonts w:asciiTheme="majorBidi" w:eastAsia="Aptos" w:hAnsiTheme="majorBidi" w:cstheme="majorBidi"/>
          <w:i/>
          <w:iCs/>
          <w:sz w:val="24"/>
          <w:szCs w:val="24"/>
          <w:lang w:val="fr-SN"/>
        </w:rPr>
        <w:t>L’enquête et ses méthodes : l’entretien</w:t>
      </w:r>
      <w:r w:rsidRPr="00A1603C">
        <w:rPr>
          <w:rFonts w:asciiTheme="majorBidi" w:eastAsia="Aptos" w:hAnsiTheme="majorBidi" w:cstheme="majorBidi"/>
          <w:sz w:val="24"/>
          <w:szCs w:val="24"/>
          <w:lang w:val="fr-SN"/>
        </w:rPr>
        <w:t xml:space="preserve"> (2</w:t>
      </w:r>
      <w:r w:rsidRPr="00A1603C">
        <w:rPr>
          <w:rFonts w:asciiTheme="majorBidi" w:eastAsia="Aptos" w:hAnsiTheme="majorBidi" w:cstheme="majorBidi"/>
          <w:sz w:val="24"/>
          <w:szCs w:val="24"/>
          <w:vertAlign w:val="superscript"/>
          <w:lang w:val="fr-SN"/>
        </w:rPr>
        <w:t>ème</w:t>
      </w:r>
      <w:r w:rsidRPr="00A1603C">
        <w:rPr>
          <w:rFonts w:asciiTheme="majorBidi" w:eastAsia="Aptos" w:hAnsiTheme="majorBidi" w:cstheme="majorBidi"/>
          <w:sz w:val="24"/>
          <w:szCs w:val="24"/>
          <w:lang w:val="fr-SN"/>
        </w:rPr>
        <w:t xml:space="preserve"> édition). Armand Colin. </w:t>
      </w:r>
    </w:p>
    <w:p w14:paraId="429DCCE2" w14:textId="77777777" w:rsidR="00D80693" w:rsidRPr="001D41DD" w:rsidRDefault="00D80693" w:rsidP="00D92213">
      <w:pPr>
        <w:spacing w:before="120"/>
        <w:ind w:left="851" w:hanging="851"/>
        <w:jc w:val="both"/>
        <w:rPr>
          <w:rFonts w:eastAsia="Aptos"/>
          <w:sz w:val="24"/>
          <w:szCs w:val="24"/>
          <w:lang w:val="fr-SN"/>
        </w:rPr>
      </w:pPr>
      <w:r w:rsidRPr="001D41DD">
        <w:rPr>
          <w:rFonts w:asciiTheme="majorBidi" w:eastAsia="Aptos" w:hAnsiTheme="majorBidi" w:cstheme="majorBidi"/>
          <w:sz w:val="24"/>
          <w:szCs w:val="24"/>
          <w:lang w:val="fr-SN"/>
        </w:rPr>
        <w:t xml:space="preserve">Charlot, B. (1997). </w:t>
      </w:r>
      <w:r w:rsidRPr="001D41DD">
        <w:rPr>
          <w:rFonts w:asciiTheme="majorBidi" w:eastAsia="Aptos" w:hAnsiTheme="majorBidi" w:cstheme="majorBidi"/>
          <w:i/>
          <w:iCs/>
          <w:sz w:val="24"/>
          <w:szCs w:val="24"/>
          <w:lang w:val="fr-SN"/>
        </w:rPr>
        <w:t>Du rapport au savoir. Éléments pour une théorie.</w:t>
      </w:r>
      <w:r w:rsidRPr="001D41DD">
        <w:rPr>
          <w:rFonts w:asciiTheme="majorBidi" w:eastAsia="Aptos" w:hAnsiTheme="majorBidi" w:cstheme="majorBidi"/>
          <w:sz w:val="24"/>
          <w:szCs w:val="24"/>
          <w:lang w:val="fr-SN"/>
        </w:rPr>
        <w:t xml:space="preserve"> Paris : Anthropos</w:t>
      </w:r>
      <w:r>
        <w:rPr>
          <w:rFonts w:asciiTheme="majorBidi" w:eastAsia="Aptos" w:hAnsiTheme="majorBidi" w:cstheme="majorBidi"/>
          <w:sz w:val="24"/>
          <w:szCs w:val="24"/>
          <w:lang w:val="fr-SN"/>
        </w:rPr>
        <w:t>, p</w:t>
      </w:r>
      <w:r w:rsidRPr="001D41DD">
        <w:rPr>
          <w:rFonts w:asciiTheme="majorBidi" w:eastAsia="Aptos" w:hAnsiTheme="majorBidi" w:cstheme="majorBidi"/>
          <w:sz w:val="24"/>
          <w:szCs w:val="24"/>
          <w:lang w:val="fr-SN"/>
        </w:rPr>
        <w:t>p. 58-61.</w:t>
      </w:r>
    </w:p>
    <w:p w14:paraId="3AC9DC68" w14:textId="77777777" w:rsidR="00D80693" w:rsidRPr="001D41DD" w:rsidRDefault="00D80693" w:rsidP="00D92213">
      <w:pPr>
        <w:spacing w:before="120"/>
        <w:ind w:left="851" w:hanging="851"/>
        <w:jc w:val="both"/>
        <w:rPr>
          <w:rFonts w:eastAsia="Aptos"/>
          <w:sz w:val="24"/>
          <w:szCs w:val="24"/>
          <w:lang w:val="fr-SN"/>
        </w:rPr>
      </w:pPr>
      <w:r w:rsidRPr="001D41DD">
        <w:rPr>
          <w:rFonts w:asciiTheme="majorBidi" w:eastAsia="Aptos" w:hAnsiTheme="majorBidi" w:cstheme="majorBidi"/>
          <w:sz w:val="24"/>
          <w:szCs w:val="24"/>
          <w:lang w:val="fr-SN"/>
        </w:rPr>
        <w:t xml:space="preserve">Charlot, B. (2001). </w:t>
      </w:r>
      <w:r w:rsidRPr="003E5951">
        <w:rPr>
          <w:rFonts w:asciiTheme="majorBidi" w:eastAsia="Aptos" w:hAnsiTheme="majorBidi" w:cstheme="majorBidi"/>
          <w:i/>
          <w:iCs/>
          <w:sz w:val="24"/>
          <w:szCs w:val="24"/>
          <w:lang w:val="fr-SN"/>
        </w:rPr>
        <w:t>Le rapport au savoir en milieu populaire : une lecture politique</w:t>
      </w:r>
      <w:r w:rsidRPr="001D41DD">
        <w:rPr>
          <w:rFonts w:asciiTheme="majorBidi" w:eastAsia="Aptos" w:hAnsiTheme="majorBidi" w:cstheme="majorBidi"/>
          <w:sz w:val="24"/>
          <w:szCs w:val="24"/>
          <w:lang w:val="fr-SN"/>
        </w:rPr>
        <w:t xml:space="preserve">. </w:t>
      </w:r>
      <w:proofErr w:type="gramStart"/>
      <w:r w:rsidRPr="001D41DD">
        <w:rPr>
          <w:rFonts w:asciiTheme="majorBidi" w:eastAsia="Aptos" w:hAnsiTheme="majorBidi" w:cstheme="majorBidi"/>
          <w:sz w:val="24"/>
          <w:szCs w:val="24"/>
          <w:lang w:val="fr-SN"/>
        </w:rPr>
        <w:t>Bruxelles:</w:t>
      </w:r>
      <w:proofErr w:type="gramEnd"/>
      <w:r w:rsidRPr="001D41DD">
        <w:rPr>
          <w:rFonts w:asciiTheme="majorBidi" w:eastAsia="Aptos" w:hAnsiTheme="majorBidi" w:cstheme="majorBidi"/>
          <w:sz w:val="24"/>
          <w:szCs w:val="24"/>
          <w:lang w:val="fr-SN"/>
        </w:rPr>
        <w:t xml:space="preserve"> De Boeck, pp. 47-50.</w:t>
      </w:r>
    </w:p>
    <w:p w14:paraId="6D19679B" w14:textId="77777777" w:rsidR="00D80693" w:rsidRPr="001D41DD" w:rsidRDefault="00D80693" w:rsidP="00D92213">
      <w:pPr>
        <w:spacing w:before="120"/>
        <w:ind w:left="851" w:hanging="851"/>
        <w:jc w:val="both"/>
        <w:rPr>
          <w:rFonts w:eastAsia="Aptos"/>
          <w:sz w:val="24"/>
          <w:szCs w:val="24"/>
          <w:lang w:val="fr-SN"/>
        </w:rPr>
      </w:pPr>
      <w:r w:rsidRPr="001D41DD">
        <w:rPr>
          <w:rFonts w:asciiTheme="majorBidi" w:eastAsia="Aptos" w:hAnsiTheme="majorBidi" w:cstheme="majorBidi"/>
          <w:sz w:val="24"/>
          <w:szCs w:val="24"/>
          <w:lang w:val="fr-SN"/>
        </w:rPr>
        <w:t xml:space="preserve">Chevallard, Y. (1991). </w:t>
      </w:r>
      <w:r w:rsidRPr="003E5951">
        <w:rPr>
          <w:rFonts w:asciiTheme="majorBidi" w:eastAsia="Aptos" w:hAnsiTheme="majorBidi" w:cstheme="majorBidi"/>
          <w:i/>
          <w:iCs/>
          <w:sz w:val="24"/>
          <w:szCs w:val="24"/>
          <w:lang w:val="fr-SN"/>
        </w:rPr>
        <w:t>La transposition didactique</w:t>
      </w:r>
      <w:r w:rsidRPr="001D41DD">
        <w:rPr>
          <w:rFonts w:asciiTheme="majorBidi" w:eastAsia="Aptos" w:hAnsiTheme="majorBidi" w:cstheme="majorBidi"/>
          <w:sz w:val="24"/>
          <w:szCs w:val="24"/>
          <w:lang w:val="fr-SN"/>
        </w:rPr>
        <w:t>. La Pensée Sauvage.</w:t>
      </w:r>
    </w:p>
    <w:p w14:paraId="02A89FBF" w14:textId="77777777" w:rsidR="00D80693" w:rsidRDefault="00D80693" w:rsidP="00D92213">
      <w:pPr>
        <w:spacing w:before="120"/>
        <w:ind w:left="851" w:hanging="851"/>
        <w:jc w:val="both"/>
        <w:rPr>
          <w:rFonts w:eastAsia="Aptos"/>
          <w:sz w:val="24"/>
          <w:szCs w:val="24"/>
          <w:lang w:val="fr-SN"/>
        </w:rPr>
      </w:pPr>
      <w:r w:rsidRPr="004B42A4">
        <w:rPr>
          <w:rFonts w:asciiTheme="majorBidi" w:eastAsia="Aptos" w:hAnsiTheme="majorBidi" w:cstheme="majorBidi"/>
          <w:sz w:val="24"/>
          <w:szCs w:val="24"/>
          <w:lang w:val="fr-SN"/>
        </w:rPr>
        <w:t xml:space="preserve">Cobern, W.W. </w:t>
      </w:r>
      <w:r>
        <w:rPr>
          <w:rFonts w:asciiTheme="majorBidi" w:eastAsia="Aptos" w:hAnsiTheme="majorBidi" w:cstheme="majorBidi"/>
          <w:sz w:val="24"/>
          <w:szCs w:val="24"/>
          <w:lang w:val="fr-SN"/>
        </w:rPr>
        <w:t>(</w:t>
      </w:r>
      <w:r w:rsidRPr="004B42A4">
        <w:rPr>
          <w:rFonts w:asciiTheme="majorBidi" w:eastAsia="Aptos" w:hAnsiTheme="majorBidi" w:cstheme="majorBidi"/>
          <w:sz w:val="24"/>
          <w:szCs w:val="24"/>
          <w:lang w:val="fr-SN"/>
        </w:rPr>
        <w:t>199</w:t>
      </w:r>
      <w:r>
        <w:rPr>
          <w:rFonts w:asciiTheme="majorBidi" w:eastAsia="Aptos" w:hAnsiTheme="majorBidi" w:cstheme="majorBidi"/>
          <w:sz w:val="24"/>
          <w:szCs w:val="24"/>
          <w:lang w:val="fr-SN"/>
        </w:rPr>
        <w:t>1)</w:t>
      </w:r>
      <w:r w:rsidRPr="004B42A4">
        <w:rPr>
          <w:rFonts w:asciiTheme="majorBidi" w:eastAsia="Aptos" w:hAnsiTheme="majorBidi" w:cstheme="majorBidi"/>
          <w:sz w:val="24"/>
          <w:szCs w:val="24"/>
          <w:lang w:val="fr-SN"/>
        </w:rPr>
        <w:t>. Le constructivisme contextuel : l’influence de la culture sur l’apprentissage et l’enseignement des sciences. Dans K. Tobin</w:t>
      </w:r>
      <w:r>
        <w:rPr>
          <w:rFonts w:asciiTheme="majorBidi" w:eastAsia="Aptos" w:hAnsiTheme="majorBidi" w:cstheme="majorBidi"/>
          <w:sz w:val="24"/>
          <w:szCs w:val="24"/>
          <w:lang w:val="fr-SN"/>
        </w:rPr>
        <w:t xml:space="preserve"> (</w:t>
      </w:r>
      <w:proofErr w:type="spellStart"/>
      <w:r>
        <w:rPr>
          <w:rFonts w:asciiTheme="majorBidi" w:eastAsia="Aptos" w:hAnsiTheme="majorBidi" w:cstheme="majorBidi"/>
          <w:sz w:val="24"/>
          <w:szCs w:val="24"/>
          <w:lang w:val="fr-SN"/>
        </w:rPr>
        <w:t>dir</w:t>
      </w:r>
      <w:proofErr w:type="spellEnd"/>
      <w:r>
        <w:rPr>
          <w:rFonts w:asciiTheme="majorBidi" w:eastAsia="Aptos" w:hAnsiTheme="majorBidi" w:cstheme="majorBidi"/>
          <w:sz w:val="24"/>
          <w:szCs w:val="24"/>
          <w:lang w:val="fr-SN"/>
        </w:rPr>
        <w:t xml:space="preserve">.), </w:t>
      </w:r>
      <w:r w:rsidRPr="004B42A4">
        <w:rPr>
          <w:rFonts w:asciiTheme="majorBidi" w:eastAsia="Aptos" w:hAnsiTheme="majorBidi" w:cstheme="majorBidi"/>
          <w:i/>
          <w:iCs/>
          <w:sz w:val="24"/>
          <w:szCs w:val="24"/>
          <w:lang w:val="fr-SN"/>
        </w:rPr>
        <w:t>La pratique du constructivisme en didactique des sciences</w:t>
      </w:r>
      <w:r w:rsidRPr="004B42A4">
        <w:rPr>
          <w:rFonts w:asciiTheme="majorBidi" w:eastAsia="Aptos" w:hAnsiTheme="majorBidi" w:cstheme="majorBidi"/>
          <w:sz w:val="24"/>
          <w:szCs w:val="24"/>
          <w:lang w:val="fr-SN"/>
        </w:rPr>
        <w:t>, p. 51-69. Washington, DC : Association américaine pour l’avancement des sciences.</w:t>
      </w:r>
    </w:p>
    <w:p w14:paraId="1A050E5F" w14:textId="77777777" w:rsidR="00D80693" w:rsidRPr="003D1949" w:rsidRDefault="00D80693" w:rsidP="00D92213">
      <w:pPr>
        <w:spacing w:before="120"/>
        <w:ind w:left="851" w:hanging="851"/>
        <w:jc w:val="both"/>
        <w:rPr>
          <w:rFonts w:eastAsia="Aptos"/>
          <w:sz w:val="24"/>
          <w:szCs w:val="24"/>
          <w:lang w:val="x-none"/>
        </w:rPr>
      </w:pPr>
      <w:proofErr w:type="spellStart"/>
      <w:r w:rsidRPr="003D1949">
        <w:rPr>
          <w:rFonts w:asciiTheme="majorBidi" w:eastAsia="Aptos" w:hAnsiTheme="majorBidi" w:cstheme="majorBidi"/>
          <w:sz w:val="24"/>
          <w:szCs w:val="24"/>
          <w:lang w:val="x-none"/>
        </w:rPr>
        <w:t>Fourez</w:t>
      </w:r>
      <w:proofErr w:type="spellEnd"/>
      <w:r w:rsidRPr="003D1949">
        <w:rPr>
          <w:rFonts w:asciiTheme="majorBidi" w:eastAsia="Aptos" w:hAnsiTheme="majorBidi" w:cstheme="majorBidi"/>
          <w:sz w:val="24"/>
          <w:szCs w:val="24"/>
          <w:lang w:val="x-none"/>
        </w:rPr>
        <w:t xml:space="preserve">, </w:t>
      </w:r>
      <w:r>
        <w:rPr>
          <w:rFonts w:asciiTheme="majorBidi" w:eastAsia="Aptos" w:hAnsiTheme="majorBidi" w:cstheme="majorBidi"/>
          <w:sz w:val="24"/>
          <w:szCs w:val="24"/>
          <w:lang w:val="x-none"/>
        </w:rPr>
        <w:t xml:space="preserve">G., </w:t>
      </w:r>
      <w:r w:rsidRPr="003D1949">
        <w:rPr>
          <w:rFonts w:asciiTheme="majorBidi" w:eastAsia="Aptos" w:hAnsiTheme="majorBidi" w:cstheme="majorBidi"/>
          <w:sz w:val="24"/>
          <w:szCs w:val="24"/>
          <w:lang w:val="x-none"/>
        </w:rPr>
        <w:t>Englebert</w:t>
      </w:r>
      <w:r>
        <w:rPr>
          <w:rFonts w:asciiTheme="majorBidi" w:eastAsia="Aptos" w:hAnsiTheme="majorBidi" w:cstheme="majorBidi"/>
          <w:sz w:val="24"/>
          <w:szCs w:val="24"/>
          <w:lang w:val="x-none"/>
        </w:rPr>
        <w:t>-</w:t>
      </w:r>
      <w:r w:rsidRPr="003D1949">
        <w:rPr>
          <w:rFonts w:asciiTheme="majorBidi" w:eastAsia="Aptos" w:hAnsiTheme="majorBidi" w:cstheme="majorBidi"/>
          <w:sz w:val="24"/>
          <w:szCs w:val="24"/>
          <w:lang w:val="x-none"/>
        </w:rPr>
        <w:t>Lecomte</w:t>
      </w:r>
      <w:r>
        <w:rPr>
          <w:rFonts w:asciiTheme="majorBidi" w:eastAsia="Aptos" w:hAnsiTheme="majorBidi" w:cstheme="majorBidi"/>
          <w:sz w:val="24"/>
          <w:szCs w:val="24"/>
          <w:lang w:val="x-none"/>
        </w:rPr>
        <w:t xml:space="preserve">, V. et </w:t>
      </w:r>
      <w:proofErr w:type="spellStart"/>
      <w:r w:rsidRPr="003D1949">
        <w:rPr>
          <w:rFonts w:asciiTheme="majorBidi" w:eastAsia="Aptos" w:hAnsiTheme="majorBidi" w:cstheme="majorBidi"/>
          <w:sz w:val="24"/>
          <w:szCs w:val="24"/>
          <w:lang w:val="x-none"/>
        </w:rPr>
        <w:t>Mathy</w:t>
      </w:r>
      <w:proofErr w:type="spellEnd"/>
      <w:r w:rsidRPr="003D1949">
        <w:rPr>
          <w:rFonts w:asciiTheme="majorBidi" w:eastAsia="Aptos" w:hAnsiTheme="majorBidi" w:cstheme="majorBidi"/>
          <w:sz w:val="24"/>
          <w:szCs w:val="24"/>
          <w:lang w:val="x-none"/>
        </w:rPr>
        <w:t xml:space="preserve">, </w:t>
      </w:r>
      <w:r>
        <w:rPr>
          <w:rFonts w:asciiTheme="majorBidi" w:eastAsia="Aptos" w:hAnsiTheme="majorBidi" w:cstheme="majorBidi"/>
          <w:sz w:val="24"/>
          <w:szCs w:val="24"/>
          <w:lang w:val="x-none"/>
        </w:rPr>
        <w:t>Ph. (</w:t>
      </w:r>
      <w:r w:rsidRPr="003D1949">
        <w:rPr>
          <w:rFonts w:asciiTheme="majorBidi" w:eastAsia="Aptos" w:hAnsiTheme="majorBidi" w:cstheme="majorBidi"/>
          <w:sz w:val="24"/>
          <w:szCs w:val="24"/>
          <w:lang w:val="x-none"/>
        </w:rPr>
        <w:t>1997)</w:t>
      </w:r>
      <w:r>
        <w:rPr>
          <w:rFonts w:asciiTheme="majorBidi" w:eastAsia="Aptos" w:hAnsiTheme="majorBidi" w:cstheme="majorBidi"/>
          <w:sz w:val="24"/>
          <w:szCs w:val="24"/>
          <w:lang w:val="x-none"/>
        </w:rPr>
        <w:t xml:space="preserve">. </w:t>
      </w:r>
      <w:r w:rsidRPr="00E61E91">
        <w:rPr>
          <w:rFonts w:asciiTheme="majorBidi" w:eastAsia="Aptos" w:hAnsiTheme="majorBidi" w:cstheme="majorBidi"/>
          <w:i/>
          <w:iCs/>
          <w:sz w:val="24"/>
          <w:szCs w:val="24"/>
          <w:lang w:val="x-none"/>
        </w:rPr>
        <w:t>Nos savoirs sur nos savoirs. Un lexique d’épistémologie pour l’enseignement</w:t>
      </w:r>
      <w:r>
        <w:rPr>
          <w:rFonts w:asciiTheme="majorBidi" w:eastAsia="Aptos" w:hAnsiTheme="majorBidi" w:cstheme="majorBidi"/>
          <w:sz w:val="24"/>
          <w:szCs w:val="24"/>
          <w:lang w:val="x-none"/>
        </w:rPr>
        <w:t xml:space="preserve">. Bruxelles : De Boeck Université. </w:t>
      </w:r>
    </w:p>
    <w:p w14:paraId="4F051DE4" w14:textId="77777777" w:rsidR="00D80693" w:rsidRPr="00D5027E" w:rsidRDefault="00D80693" w:rsidP="00D92213">
      <w:pPr>
        <w:spacing w:before="120"/>
        <w:ind w:left="851" w:hanging="851"/>
        <w:jc w:val="both"/>
        <w:rPr>
          <w:rFonts w:eastAsia="Aptos"/>
          <w:sz w:val="24"/>
          <w:szCs w:val="24"/>
          <w:lang w:val="x-none"/>
        </w:rPr>
      </w:pPr>
      <w:proofErr w:type="spellStart"/>
      <w:r w:rsidRPr="00D5027E">
        <w:rPr>
          <w:rFonts w:asciiTheme="majorBidi" w:eastAsia="Aptos" w:hAnsiTheme="majorBidi" w:cstheme="majorBidi" w:hint="eastAsia"/>
          <w:sz w:val="24"/>
          <w:szCs w:val="24"/>
          <w:lang w:val="x-none"/>
        </w:rPr>
        <w:t>Forissier</w:t>
      </w:r>
      <w:proofErr w:type="spellEnd"/>
      <w:r w:rsidRPr="00D5027E">
        <w:rPr>
          <w:rFonts w:asciiTheme="majorBidi" w:eastAsia="Aptos" w:hAnsiTheme="majorBidi" w:cstheme="majorBidi" w:hint="eastAsia"/>
          <w:sz w:val="24"/>
          <w:szCs w:val="24"/>
          <w:lang w:val="x-none"/>
        </w:rPr>
        <w:t>, Th. (2003).</w:t>
      </w:r>
      <w:r>
        <w:rPr>
          <w:rFonts w:asciiTheme="majorBidi" w:eastAsia="Aptos" w:hAnsiTheme="majorBidi" w:cstheme="majorBidi"/>
          <w:sz w:val="24"/>
          <w:szCs w:val="24"/>
          <w:lang w:val="x-none"/>
        </w:rPr>
        <w:t xml:space="preserve"> </w:t>
      </w:r>
      <w:r w:rsidRPr="00D5027E">
        <w:rPr>
          <w:rFonts w:asciiTheme="majorBidi" w:eastAsia="Aptos" w:hAnsiTheme="majorBidi" w:cstheme="majorBidi"/>
          <w:sz w:val="24"/>
          <w:szCs w:val="24"/>
          <w:lang w:val="x-none"/>
        </w:rPr>
        <w:t>Les valeurs implicites dans l</w:t>
      </w:r>
      <w:r>
        <w:rPr>
          <w:rFonts w:asciiTheme="majorBidi" w:eastAsia="Aptos" w:hAnsiTheme="majorBidi" w:cstheme="majorBidi"/>
          <w:sz w:val="24"/>
          <w:szCs w:val="24"/>
          <w:lang w:val="x-none"/>
        </w:rPr>
        <w:t>’é</w:t>
      </w:r>
      <w:r w:rsidRPr="00D5027E">
        <w:rPr>
          <w:rFonts w:asciiTheme="majorBidi" w:eastAsia="Aptos" w:hAnsiTheme="majorBidi" w:cstheme="majorBidi"/>
          <w:sz w:val="24"/>
          <w:szCs w:val="24"/>
          <w:lang w:val="x-none"/>
        </w:rPr>
        <w:t xml:space="preserve">ducation </w:t>
      </w:r>
      <w:r>
        <w:rPr>
          <w:rFonts w:asciiTheme="majorBidi" w:eastAsia="Aptos" w:hAnsiTheme="majorBidi" w:cstheme="majorBidi"/>
          <w:sz w:val="24"/>
          <w:szCs w:val="24"/>
          <w:lang w:val="x-none"/>
        </w:rPr>
        <w:t>à</w:t>
      </w:r>
      <w:r w:rsidRPr="00D5027E">
        <w:rPr>
          <w:rFonts w:asciiTheme="majorBidi" w:eastAsia="Aptos" w:hAnsiTheme="majorBidi" w:cstheme="majorBidi"/>
          <w:sz w:val="24"/>
          <w:szCs w:val="24"/>
          <w:lang w:val="x-none"/>
        </w:rPr>
        <w:t xml:space="preserve"> </w:t>
      </w:r>
      <w:r>
        <w:rPr>
          <w:rFonts w:asciiTheme="majorBidi" w:eastAsia="Aptos" w:hAnsiTheme="majorBidi" w:cstheme="majorBidi"/>
          <w:sz w:val="24"/>
          <w:szCs w:val="24"/>
          <w:lang w:val="x-none"/>
        </w:rPr>
        <w:t>l’</w:t>
      </w:r>
      <w:r w:rsidRPr="00D5027E">
        <w:rPr>
          <w:rFonts w:asciiTheme="majorBidi" w:eastAsia="Aptos" w:hAnsiTheme="majorBidi" w:cstheme="majorBidi"/>
          <w:sz w:val="24"/>
          <w:szCs w:val="24"/>
          <w:lang w:val="x-none"/>
        </w:rPr>
        <w:t>environnement</w:t>
      </w:r>
      <w:r>
        <w:rPr>
          <w:rFonts w:asciiTheme="majorBidi" w:eastAsia="Aptos" w:hAnsiTheme="majorBidi" w:cstheme="majorBidi"/>
          <w:sz w:val="24"/>
          <w:szCs w:val="24"/>
          <w:lang w:val="x-none"/>
        </w:rPr>
        <w:t>. A</w:t>
      </w:r>
      <w:r w:rsidRPr="00D5027E">
        <w:rPr>
          <w:rFonts w:asciiTheme="majorBidi" w:eastAsia="Aptos" w:hAnsiTheme="majorBidi" w:cstheme="majorBidi" w:hint="eastAsia"/>
          <w:sz w:val="24"/>
          <w:szCs w:val="24"/>
          <w:lang w:val="x-none"/>
        </w:rPr>
        <w:t>nalyse de la formation d</w:t>
      </w:r>
      <w:r w:rsidRPr="00D5027E">
        <w:rPr>
          <w:rFonts w:asciiTheme="majorBidi" w:eastAsia="Aptos" w:hAnsiTheme="majorBidi" w:cstheme="majorBidi" w:hint="eastAsia"/>
          <w:sz w:val="24"/>
          <w:szCs w:val="24"/>
          <w:lang w:val="x-none"/>
        </w:rPr>
        <w:t>’</w:t>
      </w:r>
      <w:r w:rsidRPr="00D5027E">
        <w:rPr>
          <w:rFonts w:asciiTheme="majorBidi" w:eastAsia="Aptos" w:hAnsiTheme="majorBidi" w:cstheme="majorBidi" w:hint="eastAsia"/>
          <w:sz w:val="24"/>
          <w:szCs w:val="24"/>
          <w:lang w:val="x-none"/>
        </w:rPr>
        <w:t xml:space="preserve">enseignants de SVT (Sciences de la Vie et de la Terre) </w:t>
      </w:r>
      <w:r>
        <w:rPr>
          <w:rFonts w:asciiTheme="majorBidi" w:eastAsia="Aptos" w:hAnsiTheme="majorBidi" w:cstheme="majorBidi"/>
          <w:sz w:val="24"/>
          <w:szCs w:val="24"/>
          <w:lang w:val="x-none"/>
        </w:rPr>
        <w:t>e</w:t>
      </w:r>
      <w:r w:rsidRPr="00D5027E">
        <w:rPr>
          <w:rFonts w:asciiTheme="majorBidi" w:eastAsia="Aptos" w:hAnsiTheme="majorBidi" w:cstheme="majorBidi" w:hint="eastAsia"/>
          <w:sz w:val="24"/>
          <w:szCs w:val="24"/>
          <w:lang w:val="x-none"/>
        </w:rPr>
        <w:t>t des conceptions de futurs enseignants français, allemands et portugais.</w:t>
      </w:r>
      <w:r>
        <w:rPr>
          <w:rFonts w:asciiTheme="majorBidi" w:eastAsia="Aptos" w:hAnsiTheme="majorBidi" w:cstheme="majorBidi"/>
          <w:sz w:val="24"/>
          <w:szCs w:val="24"/>
          <w:lang w:val="x-none"/>
        </w:rPr>
        <w:t xml:space="preserve"> </w:t>
      </w:r>
      <w:r w:rsidRPr="00D5027E">
        <w:rPr>
          <w:rFonts w:asciiTheme="majorBidi" w:eastAsia="Aptos" w:hAnsiTheme="majorBidi" w:cstheme="majorBidi" w:hint="eastAsia"/>
          <w:i/>
          <w:iCs/>
          <w:sz w:val="24"/>
          <w:szCs w:val="24"/>
          <w:lang w:val="x-none"/>
        </w:rPr>
        <w:t>Thèse de doctorat non publiée</w:t>
      </w:r>
      <w:r w:rsidRPr="00D5027E">
        <w:rPr>
          <w:rFonts w:asciiTheme="majorBidi" w:eastAsia="Aptos" w:hAnsiTheme="majorBidi" w:cstheme="majorBidi" w:hint="eastAsia"/>
          <w:sz w:val="24"/>
          <w:szCs w:val="24"/>
          <w:lang w:val="x-none"/>
        </w:rPr>
        <w:t>.</w:t>
      </w:r>
      <w:r>
        <w:rPr>
          <w:rFonts w:asciiTheme="majorBidi" w:eastAsia="Aptos" w:hAnsiTheme="majorBidi" w:cstheme="majorBidi"/>
          <w:sz w:val="24"/>
          <w:szCs w:val="24"/>
          <w:lang w:val="x-none"/>
        </w:rPr>
        <w:t xml:space="preserve"> U</w:t>
      </w:r>
      <w:r w:rsidRPr="00D5027E">
        <w:rPr>
          <w:rFonts w:asciiTheme="majorBidi" w:eastAsia="Aptos" w:hAnsiTheme="majorBidi" w:cstheme="majorBidi"/>
          <w:sz w:val="24"/>
          <w:szCs w:val="24"/>
          <w:lang w:val="x-none"/>
        </w:rPr>
        <w:t>niversit</w:t>
      </w:r>
      <w:r>
        <w:rPr>
          <w:rFonts w:asciiTheme="majorBidi" w:eastAsia="Aptos" w:hAnsiTheme="majorBidi" w:cstheme="majorBidi"/>
          <w:sz w:val="24"/>
          <w:szCs w:val="24"/>
          <w:lang w:val="x-none"/>
        </w:rPr>
        <w:t>é</w:t>
      </w:r>
      <w:r w:rsidRPr="00D5027E">
        <w:rPr>
          <w:rFonts w:asciiTheme="majorBidi" w:eastAsia="Aptos" w:hAnsiTheme="majorBidi" w:cstheme="majorBidi"/>
          <w:sz w:val="24"/>
          <w:szCs w:val="24"/>
          <w:lang w:val="x-none"/>
        </w:rPr>
        <w:t xml:space="preserve"> </w:t>
      </w:r>
      <w:r>
        <w:rPr>
          <w:rFonts w:asciiTheme="majorBidi" w:eastAsia="Aptos" w:hAnsiTheme="majorBidi" w:cstheme="majorBidi"/>
          <w:sz w:val="24"/>
          <w:szCs w:val="24"/>
          <w:lang w:val="x-none"/>
        </w:rPr>
        <w:t>C</w:t>
      </w:r>
      <w:r w:rsidRPr="00D5027E">
        <w:rPr>
          <w:rFonts w:asciiTheme="majorBidi" w:eastAsia="Aptos" w:hAnsiTheme="majorBidi" w:cstheme="majorBidi"/>
          <w:sz w:val="24"/>
          <w:szCs w:val="24"/>
          <w:lang w:val="x-none"/>
        </w:rPr>
        <w:t xml:space="preserve">laude </w:t>
      </w:r>
      <w:r>
        <w:rPr>
          <w:rFonts w:asciiTheme="majorBidi" w:eastAsia="Aptos" w:hAnsiTheme="majorBidi" w:cstheme="majorBidi"/>
          <w:sz w:val="24"/>
          <w:szCs w:val="24"/>
          <w:lang w:val="x-none"/>
        </w:rPr>
        <w:t>B</w:t>
      </w:r>
      <w:r w:rsidRPr="00D5027E">
        <w:rPr>
          <w:rFonts w:asciiTheme="majorBidi" w:eastAsia="Aptos" w:hAnsiTheme="majorBidi" w:cstheme="majorBidi"/>
          <w:sz w:val="24"/>
          <w:szCs w:val="24"/>
          <w:lang w:val="x-none"/>
        </w:rPr>
        <w:t xml:space="preserve">ernard _ </w:t>
      </w:r>
      <w:r>
        <w:rPr>
          <w:rFonts w:asciiTheme="majorBidi" w:eastAsia="Aptos" w:hAnsiTheme="majorBidi" w:cstheme="majorBidi"/>
          <w:sz w:val="24"/>
          <w:szCs w:val="24"/>
          <w:lang w:val="x-none"/>
        </w:rPr>
        <w:t>L</w:t>
      </w:r>
      <w:r w:rsidRPr="00D5027E">
        <w:rPr>
          <w:rFonts w:asciiTheme="majorBidi" w:eastAsia="Aptos" w:hAnsiTheme="majorBidi" w:cstheme="majorBidi"/>
          <w:sz w:val="24"/>
          <w:szCs w:val="24"/>
          <w:lang w:val="x-none"/>
        </w:rPr>
        <w:t xml:space="preserve">yon </w:t>
      </w:r>
      <w:r w:rsidRPr="00D5027E">
        <w:rPr>
          <w:rFonts w:asciiTheme="majorBidi" w:eastAsia="Aptos" w:hAnsiTheme="majorBidi" w:cstheme="majorBidi" w:hint="eastAsia"/>
          <w:sz w:val="24"/>
          <w:szCs w:val="24"/>
          <w:lang w:val="x-none"/>
        </w:rPr>
        <w:t>1</w:t>
      </w:r>
      <w:r>
        <w:rPr>
          <w:rFonts w:asciiTheme="majorBidi" w:eastAsia="Aptos" w:hAnsiTheme="majorBidi" w:cstheme="majorBidi"/>
          <w:sz w:val="24"/>
          <w:szCs w:val="24"/>
          <w:lang w:val="x-none"/>
        </w:rPr>
        <w:t xml:space="preserve">. </w:t>
      </w:r>
      <w:r w:rsidRPr="00D5027E">
        <w:rPr>
          <w:rFonts w:asciiTheme="majorBidi" w:eastAsia="Aptos" w:hAnsiTheme="majorBidi" w:cstheme="majorBidi"/>
          <w:sz w:val="24"/>
          <w:szCs w:val="24"/>
          <w:lang w:val="x-none"/>
        </w:rPr>
        <w:t>https://hal.science/tel-02175541v1/document</w:t>
      </w:r>
    </w:p>
    <w:p w14:paraId="12589A55" w14:textId="77777777" w:rsidR="00D80693" w:rsidRDefault="00D80693" w:rsidP="00D92213">
      <w:pPr>
        <w:spacing w:before="120"/>
        <w:ind w:left="851" w:hanging="851"/>
        <w:jc w:val="both"/>
        <w:rPr>
          <w:rFonts w:eastAsia="Aptos"/>
          <w:sz w:val="24"/>
          <w:szCs w:val="24"/>
          <w:lang w:val="fr-SN"/>
        </w:rPr>
      </w:pPr>
      <w:r w:rsidRPr="00D5027E">
        <w:rPr>
          <w:rFonts w:asciiTheme="majorBidi" w:eastAsia="Aptos" w:hAnsiTheme="majorBidi" w:cstheme="majorBidi" w:hint="eastAsia"/>
          <w:sz w:val="24"/>
          <w:szCs w:val="24"/>
          <w:lang w:val="x-none"/>
        </w:rPr>
        <w:t xml:space="preserve"> Gaye, A. (2019). Entre éducation non formelle et informelle, l</w:t>
      </w:r>
      <w:r w:rsidRPr="00D5027E">
        <w:rPr>
          <w:rFonts w:asciiTheme="majorBidi" w:eastAsia="Aptos" w:hAnsiTheme="majorBidi" w:cstheme="majorBidi" w:hint="eastAsia"/>
          <w:sz w:val="24"/>
          <w:szCs w:val="24"/>
          <w:lang w:val="x-none"/>
        </w:rPr>
        <w:t>’</w:t>
      </w:r>
      <w:r w:rsidRPr="00D5027E">
        <w:rPr>
          <w:rFonts w:asciiTheme="majorBidi" w:eastAsia="Aptos" w:hAnsiTheme="majorBidi" w:cstheme="majorBidi" w:hint="eastAsia"/>
          <w:sz w:val="24"/>
          <w:szCs w:val="24"/>
          <w:lang w:val="x-none"/>
        </w:rPr>
        <w:t xml:space="preserve">apprentissage professionnel </w:t>
      </w:r>
      <w:r w:rsidRPr="00D5027E">
        <w:rPr>
          <w:rFonts w:asciiTheme="majorBidi" w:eastAsia="Aptos" w:hAnsiTheme="majorBidi" w:cstheme="majorBidi" w:hint="eastAsia"/>
          <w:sz w:val="24"/>
          <w:szCs w:val="24"/>
          <w:lang w:val="x-none"/>
        </w:rPr>
        <w:t>“</w:t>
      </w:r>
      <w:r w:rsidRPr="00D5027E">
        <w:rPr>
          <w:rFonts w:asciiTheme="majorBidi" w:eastAsia="Aptos" w:hAnsiTheme="majorBidi" w:cstheme="majorBidi" w:hint="eastAsia"/>
          <w:sz w:val="24"/>
          <w:szCs w:val="24"/>
          <w:lang w:val="x-none"/>
        </w:rPr>
        <w:t xml:space="preserve"> traditionnel </w:t>
      </w:r>
      <w:r w:rsidRPr="00D5027E">
        <w:rPr>
          <w:rFonts w:asciiTheme="majorBidi" w:eastAsia="Aptos" w:hAnsiTheme="majorBidi" w:cstheme="majorBidi" w:hint="eastAsia"/>
          <w:sz w:val="24"/>
          <w:szCs w:val="24"/>
          <w:lang w:val="x-none"/>
        </w:rPr>
        <w:t>”</w:t>
      </w:r>
      <w:r w:rsidRPr="00D5027E">
        <w:rPr>
          <w:rFonts w:asciiTheme="majorBidi" w:eastAsia="Aptos" w:hAnsiTheme="majorBidi" w:cstheme="majorBidi" w:hint="eastAsia"/>
          <w:sz w:val="24"/>
          <w:szCs w:val="24"/>
          <w:lang w:val="x-none"/>
        </w:rPr>
        <w:t xml:space="preserve"> au Sénégal : analyse des pratiques des maîtres d</w:t>
      </w:r>
      <w:r w:rsidRPr="00D5027E">
        <w:rPr>
          <w:rFonts w:asciiTheme="majorBidi" w:eastAsia="Aptos" w:hAnsiTheme="majorBidi" w:cstheme="majorBidi" w:hint="eastAsia"/>
          <w:sz w:val="24"/>
          <w:szCs w:val="24"/>
          <w:lang w:val="x-none"/>
        </w:rPr>
        <w:t>’</w:t>
      </w:r>
      <w:r w:rsidRPr="00D5027E">
        <w:rPr>
          <w:rFonts w:asciiTheme="majorBidi" w:eastAsia="Aptos" w:hAnsiTheme="majorBidi" w:cstheme="majorBidi" w:hint="eastAsia"/>
          <w:sz w:val="24"/>
          <w:szCs w:val="24"/>
          <w:lang w:val="x-none"/>
        </w:rPr>
        <w:t>apprentissage et de leurs impacts sur les apprentis.</w:t>
      </w:r>
      <w:r>
        <w:rPr>
          <w:rFonts w:asciiTheme="majorBidi" w:eastAsia="Aptos" w:hAnsiTheme="majorBidi" w:cstheme="majorBidi"/>
          <w:sz w:val="24"/>
          <w:szCs w:val="24"/>
          <w:lang w:val="x-none"/>
        </w:rPr>
        <w:t xml:space="preserve"> </w:t>
      </w:r>
      <w:r w:rsidRPr="00D5027E">
        <w:rPr>
          <w:rFonts w:asciiTheme="majorBidi" w:eastAsia="Aptos" w:hAnsiTheme="majorBidi" w:cstheme="majorBidi" w:hint="eastAsia"/>
          <w:sz w:val="24"/>
          <w:szCs w:val="24"/>
          <w:lang w:val="x-none"/>
        </w:rPr>
        <w:t>Thèse de doctorat non publiée</w:t>
      </w:r>
      <w:r>
        <w:rPr>
          <w:rFonts w:asciiTheme="majorBidi" w:eastAsia="Aptos" w:hAnsiTheme="majorBidi" w:cstheme="majorBidi"/>
          <w:sz w:val="24"/>
          <w:szCs w:val="24"/>
          <w:lang w:val="x-none"/>
        </w:rPr>
        <w:t xml:space="preserve">. </w:t>
      </w:r>
      <w:r w:rsidRPr="00D5027E">
        <w:rPr>
          <w:rFonts w:asciiTheme="majorBidi" w:eastAsia="Aptos" w:hAnsiTheme="majorBidi" w:cstheme="majorBidi" w:hint="eastAsia"/>
          <w:sz w:val="24"/>
          <w:szCs w:val="24"/>
          <w:lang w:val="x-none"/>
        </w:rPr>
        <w:t xml:space="preserve">Université de Lille. </w:t>
      </w:r>
      <w:r>
        <w:fldChar w:fldCharType="begin"/>
      </w:r>
      <w:r>
        <w:instrText>HYPERLINK "https://www.academia.edu/download/123950652/2019LIL3H065.pdf"</w:instrText>
      </w:r>
      <w:r>
        <w:fldChar w:fldCharType="separate"/>
      </w:r>
      <w:r w:rsidRPr="00D5027E">
        <w:rPr>
          <w:rFonts w:asciiTheme="majorBidi" w:eastAsia="Aptos" w:hAnsiTheme="majorBidi" w:cstheme="majorBidi"/>
          <w:color w:val="467886"/>
          <w:sz w:val="24"/>
          <w:szCs w:val="24"/>
          <w:u w:val="single"/>
          <w:lang w:val="x-none"/>
        </w:rPr>
        <w:t>https://www.academia.edu/download/123950652/2019LIL3H065.pdf</w:t>
      </w:r>
      <w:r>
        <w:fldChar w:fldCharType="end"/>
      </w:r>
    </w:p>
    <w:p w14:paraId="7403EEA8" w14:textId="77777777" w:rsidR="00D80693" w:rsidRDefault="00D80693" w:rsidP="00D92213">
      <w:pPr>
        <w:spacing w:before="120"/>
        <w:ind w:left="851" w:hanging="851"/>
        <w:jc w:val="both"/>
        <w:rPr>
          <w:rFonts w:eastAsia="Aptos"/>
          <w:sz w:val="24"/>
          <w:szCs w:val="24"/>
          <w:lang w:val="x-none"/>
        </w:rPr>
      </w:pPr>
      <w:r w:rsidRPr="003D1949">
        <w:rPr>
          <w:rFonts w:asciiTheme="majorBidi" w:eastAsia="Aptos" w:hAnsiTheme="majorBidi" w:cstheme="majorBidi"/>
          <w:sz w:val="24"/>
          <w:szCs w:val="24"/>
          <w:lang w:val="x-none"/>
        </w:rPr>
        <w:t>Jonnaert</w:t>
      </w:r>
      <w:r>
        <w:rPr>
          <w:rFonts w:asciiTheme="majorBidi" w:eastAsia="Aptos" w:hAnsiTheme="majorBidi" w:cstheme="majorBidi"/>
          <w:sz w:val="24"/>
          <w:szCs w:val="24"/>
          <w:lang w:val="x-none"/>
        </w:rPr>
        <w:t xml:space="preserve">, Ph.et </w:t>
      </w:r>
      <w:r w:rsidRPr="003D1949">
        <w:rPr>
          <w:rFonts w:asciiTheme="majorBidi" w:eastAsia="Aptos" w:hAnsiTheme="majorBidi" w:cstheme="majorBidi"/>
          <w:sz w:val="24"/>
          <w:szCs w:val="24"/>
          <w:lang w:val="x-none"/>
        </w:rPr>
        <w:t>Vander Borght</w:t>
      </w:r>
      <w:r>
        <w:rPr>
          <w:rFonts w:asciiTheme="majorBidi" w:eastAsia="Aptos" w:hAnsiTheme="majorBidi" w:cstheme="majorBidi"/>
          <w:sz w:val="24"/>
          <w:szCs w:val="24"/>
          <w:lang w:val="x-none"/>
        </w:rPr>
        <w:t>, C. (</w:t>
      </w:r>
      <w:r w:rsidRPr="003D1949">
        <w:rPr>
          <w:rFonts w:asciiTheme="majorBidi" w:eastAsia="Aptos" w:hAnsiTheme="majorBidi" w:cstheme="majorBidi"/>
          <w:sz w:val="24"/>
          <w:szCs w:val="24"/>
          <w:lang w:val="x-none"/>
        </w:rPr>
        <w:t>2009</w:t>
      </w:r>
      <w:r>
        <w:rPr>
          <w:rFonts w:asciiTheme="majorBidi" w:eastAsia="Aptos" w:hAnsiTheme="majorBidi" w:cstheme="majorBidi"/>
          <w:sz w:val="24"/>
          <w:szCs w:val="24"/>
          <w:lang w:val="x-none"/>
        </w:rPr>
        <w:t xml:space="preserve">). Créer les conditions d’apprentissage. Un cadre de </w:t>
      </w:r>
      <w:proofErr w:type="spellStart"/>
      <w:r>
        <w:rPr>
          <w:rFonts w:asciiTheme="majorBidi" w:eastAsia="Aptos" w:hAnsiTheme="majorBidi" w:cstheme="majorBidi"/>
          <w:sz w:val="24"/>
          <w:szCs w:val="24"/>
          <w:lang w:val="x-none"/>
        </w:rPr>
        <w:t>réfernce</w:t>
      </w:r>
      <w:proofErr w:type="spellEnd"/>
      <w:r>
        <w:rPr>
          <w:rFonts w:asciiTheme="majorBidi" w:eastAsia="Aptos" w:hAnsiTheme="majorBidi" w:cstheme="majorBidi"/>
          <w:sz w:val="24"/>
          <w:szCs w:val="24"/>
          <w:lang w:val="x-none"/>
        </w:rPr>
        <w:t xml:space="preserve"> socioconstructiviste pour une formation didactique des enseignants. Montréal : De Boeck. </w:t>
      </w:r>
    </w:p>
    <w:p w14:paraId="2EB3B17B" w14:textId="77777777" w:rsidR="00D80693" w:rsidRPr="00DA69D7" w:rsidRDefault="00D80693" w:rsidP="00D92213">
      <w:pPr>
        <w:spacing w:before="120"/>
        <w:ind w:left="851" w:hanging="851"/>
        <w:jc w:val="both"/>
        <w:rPr>
          <w:rFonts w:eastAsia="Aptos"/>
          <w:sz w:val="24"/>
          <w:szCs w:val="24"/>
          <w:lang w:val="en-US"/>
        </w:rPr>
      </w:pPr>
      <w:proofErr w:type="spellStart"/>
      <w:r w:rsidRPr="00E85A7F">
        <w:rPr>
          <w:rFonts w:asciiTheme="majorBidi" w:eastAsia="Aptos" w:hAnsiTheme="majorBidi" w:cstheme="majorBidi"/>
          <w:sz w:val="24"/>
          <w:szCs w:val="24"/>
          <w:lang w:val="fr-SN"/>
        </w:rPr>
        <w:t>Kyélem</w:t>
      </w:r>
      <w:proofErr w:type="spellEnd"/>
      <w:r w:rsidRPr="00E85A7F">
        <w:rPr>
          <w:rFonts w:asciiTheme="majorBidi" w:eastAsia="Aptos" w:hAnsiTheme="majorBidi" w:cstheme="majorBidi"/>
          <w:sz w:val="24"/>
          <w:szCs w:val="24"/>
          <w:lang w:val="fr-SN"/>
        </w:rPr>
        <w:t xml:space="preserve">, M. (2011). Formation des enseignants et contextualisation de l’enseignement scientifique en Afrique de l’Ouest. </w:t>
      </w:r>
      <w:r w:rsidRPr="00DA69D7">
        <w:rPr>
          <w:rFonts w:asciiTheme="majorBidi" w:eastAsia="Aptos" w:hAnsiTheme="majorBidi" w:cstheme="majorBidi"/>
          <w:i/>
          <w:iCs/>
          <w:sz w:val="24"/>
          <w:szCs w:val="24"/>
          <w:lang w:val="en-US"/>
        </w:rPr>
        <w:t xml:space="preserve">Revue </w:t>
      </w:r>
      <w:proofErr w:type="spellStart"/>
      <w:r w:rsidRPr="00DA69D7">
        <w:rPr>
          <w:rFonts w:asciiTheme="majorBidi" w:eastAsia="Aptos" w:hAnsiTheme="majorBidi" w:cstheme="majorBidi"/>
          <w:i/>
          <w:iCs/>
          <w:sz w:val="24"/>
          <w:szCs w:val="24"/>
          <w:lang w:val="en-US"/>
        </w:rPr>
        <w:t>Éducation</w:t>
      </w:r>
      <w:proofErr w:type="spellEnd"/>
      <w:r w:rsidRPr="00DA69D7">
        <w:rPr>
          <w:rFonts w:asciiTheme="majorBidi" w:eastAsia="Aptos" w:hAnsiTheme="majorBidi" w:cstheme="majorBidi"/>
          <w:i/>
          <w:iCs/>
          <w:sz w:val="24"/>
          <w:szCs w:val="24"/>
          <w:lang w:val="en-US"/>
        </w:rPr>
        <w:t xml:space="preserve"> </w:t>
      </w:r>
      <w:r>
        <w:rPr>
          <w:rFonts w:asciiTheme="majorBidi" w:eastAsia="Aptos" w:hAnsiTheme="majorBidi" w:cstheme="majorBidi"/>
          <w:i/>
          <w:iCs/>
          <w:sz w:val="24"/>
          <w:szCs w:val="24"/>
          <w:lang w:val="en-US"/>
        </w:rPr>
        <w:t xml:space="preserve">et </w:t>
      </w:r>
      <w:r w:rsidRPr="00DA69D7">
        <w:rPr>
          <w:rFonts w:asciiTheme="majorBidi" w:eastAsia="Aptos" w:hAnsiTheme="majorBidi" w:cstheme="majorBidi"/>
          <w:i/>
          <w:iCs/>
          <w:sz w:val="24"/>
          <w:szCs w:val="24"/>
          <w:lang w:val="en-US"/>
        </w:rPr>
        <w:t>Société</w:t>
      </w:r>
      <w:r>
        <w:rPr>
          <w:rFonts w:asciiTheme="majorBidi" w:eastAsia="Aptos" w:hAnsiTheme="majorBidi" w:cstheme="majorBidi"/>
          <w:i/>
          <w:iCs/>
          <w:sz w:val="24"/>
          <w:szCs w:val="24"/>
          <w:lang w:val="en-US"/>
        </w:rPr>
        <w:t>s</w:t>
      </w:r>
      <w:r w:rsidRPr="00DA69D7">
        <w:rPr>
          <w:rFonts w:asciiTheme="majorBidi" w:eastAsia="Aptos" w:hAnsiTheme="majorBidi" w:cstheme="majorBidi"/>
          <w:sz w:val="24"/>
          <w:szCs w:val="24"/>
          <w:lang w:val="en-US"/>
        </w:rPr>
        <w:t>.</w:t>
      </w:r>
    </w:p>
    <w:p w14:paraId="3EAC8F27" w14:textId="77777777" w:rsidR="00D80693" w:rsidRDefault="00D80693" w:rsidP="00D92213">
      <w:pPr>
        <w:spacing w:before="120"/>
        <w:ind w:left="851" w:hanging="851"/>
        <w:jc w:val="both"/>
        <w:rPr>
          <w:rFonts w:eastAsia="Calibri"/>
          <w:kern w:val="2"/>
          <w:sz w:val="24"/>
          <w:szCs w:val="24"/>
          <w:lang w:val="en-GB"/>
          <w14:ligatures w14:val="standardContextual"/>
        </w:rPr>
      </w:pPr>
      <w:r w:rsidRPr="00DA69D7">
        <w:rPr>
          <w:rFonts w:eastAsia="Calibri"/>
          <w:kern w:val="2"/>
          <w:sz w:val="24"/>
          <w:szCs w:val="24"/>
          <w:lang w:val="en-US"/>
          <w14:ligatures w14:val="standardContextual"/>
        </w:rPr>
        <w:t xml:space="preserve">Lekhu, M. A. (2023). Pre‑Service Science Teachers’ Preparedness for Classroom Teaching: Exploring Aspects of Self‑Efficacy and Pedagogical Content Knowledge for Sustainable Learning Environments. </w:t>
      </w:r>
      <w:r w:rsidRPr="008E4C96">
        <w:rPr>
          <w:rFonts w:eastAsia="Calibri"/>
          <w:i/>
          <w:iCs/>
          <w:kern w:val="2"/>
          <w:sz w:val="24"/>
          <w:szCs w:val="24"/>
          <w:lang w:val="en-GB"/>
          <w14:ligatures w14:val="standardContextual"/>
        </w:rPr>
        <w:t>Journal of Curriculum Studies Research</w:t>
      </w:r>
      <w:r w:rsidRPr="008E4C96">
        <w:rPr>
          <w:rFonts w:eastAsia="Calibri"/>
          <w:kern w:val="2"/>
          <w:sz w:val="24"/>
          <w:szCs w:val="24"/>
          <w:lang w:val="en-GB"/>
          <w14:ligatures w14:val="standardContextual"/>
        </w:rPr>
        <w:t>, 5(1), Article 9.</w:t>
      </w:r>
    </w:p>
    <w:p w14:paraId="0552B862" w14:textId="77777777" w:rsidR="00D80693" w:rsidRPr="008E4C96" w:rsidRDefault="00D80693" w:rsidP="00D92213">
      <w:pPr>
        <w:spacing w:before="120"/>
        <w:ind w:left="851" w:hanging="851"/>
        <w:jc w:val="both"/>
        <w:rPr>
          <w:rFonts w:eastAsia="Aptos"/>
          <w:sz w:val="24"/>
          <w:szCs w:val="24"/>
          <w:lang w:val="en-GB"/>
        </w:rPr>
      </w:pPr>
      <w:r w:rsidRPr="008E4C96">
        <w:rPr>
          <w:rFonts w:asciiTheme="majorBidi" w:eastAsia="Aptos" w:hAnsiTheme="majorBidi" w:cstheme="majorBidi"/>
          <w:sz w:val="24"/>
          <w:szCs w:val="24"/>
          <w:lang w:val="en-GB"/>
        </w:rPr>
        <w:t>Lemke</w:t>
      </w:r>
      <w:r w:rsidRPr="00464300">
        <w:rPr>
          <w:rFonts w:asciiTheme="majorBidi" w:eastAsia="Aptos" w:hAnsiTheme="majorBidi" w:cstheme="majorBidi"/>
          <w:sz w:val="24"/>
          <w:szCs w:val="24"/>
          <w:lang w:val="en-GB"/>
        </w:rPr>
        <w:t>, J. L.</w:t>
      </w:r>
      <w:r w:rsidRPr="008E4C96">
        <w:rPr>
          <w:rFonts w:asciiTheme="majorBidi" w:eastAsia="Aptos" w:hAnsiTheme="majorBidi" w:cstheme="majorBidi"/>
          <w:sz w:val="24"/>
          <w:szCs w:val="24"/>
          <w:lang w:val="en-GB"/>
        </w:rPr>
        <w:t xml:space="preserve"> (2001</w:t>
      </w:r>
      <w:r w:rsidRPr="00837C52">
        <w:rPr>
          <w:rFonts w:asciiTheme="majorBidi" w:eastAsia="Aptos" w:hAnsiTheme="majorBidi" w:cstheme="majorBidi"/>
          <w:sz w:val="24"/>
          <w:szCs w:val="24"/>
          <w:lang w:val="en-GB"/>
        </w:rPr>
        <w:t xml:space="preserve">). </w:t>
      </w:r>
      <w:hyperlink r:id="rId97" w:tgtFrame="_blank" w:tooltip="offsite link" w:history="1">
        <w:proofErr w:type="spellStart"/>
        <w:r w:rsidRPr="008E4C96">
          <w:rPr>
            <w:rFonts w:asciiTheme="majorBidi" w:eastAsia="Aptos" w:hAnsiTheme="majorBidi" w:cstheme="majorBidi"/>
            <w:sz w:val="24"/>
            <w:szCs w:val="24"/>
            <w:lang w:val="x-none"/>
          </w:rPr>
          <w:t>Articulating</w:t>
        </w:r>
        <w:proofErr w:type="spellEnd"/>
        <w:r w:rsidRPr="008E4C96">
          <w:rPr>
            <w:rFonts w:asciiTheme="majorBidi" w:eastAsia="Aptos" w:hAnsiTheme="majorBidi" w:cstheme="majorBidi"/>
            <w:sz w:val="24"/>
            <w:szCs w:val="24"/>
            <w:lang w:val="x-none"/>
          </w:rPr>
          <w:t xml:space="preserve"> </w:t>
        </w:r>
        <w:proofErr w:type="spellStart"/>
        <w:r w:rsidRPr="008E4C96">
          <w:rPr>
            <w:rFonts w:asciiTheme="majorBidi" w:eastAsia="Aptos" w:hAnsiTheme="majorBidi" w:cstheme="majorBidi"/>
            <w:sz w:val="24"/>
            <w:szCs w:val="24"/>
            <w:lang w:val="x-none"/>
          </w:rPr>
          <w:t>communities</w:t>
        </w:r>
        <w:proofErr w:type="spellEnd"/>
        <w:r>
          <w:rPr>
            <w:rFonts w:asciiTheme="majorBidi" w:eastAsia="Aptos" w:hAnsiTheme="majorBidi" w:cstheme="majorBidi"/>
            <w:sz w:val="24"/>
            <w:szCs w:val="24"/>
            <w:lang w:val="x-none"/>
          </w:rPr>
          <w:t xml:space="preserve"> </w:t>
        </w:r>
        <w:r w:rsidRPr="008E4C96">
          <w:rPr>
            <w:rFonts w:asciiTheme="majorBidi" w:eastAsia="Aptos" w:hAnsiTheme="majorBidi" w:cstheme="majorBidi"/>
            <w:sz w:val="24"/>
            <w:szCs w:val="24"/>
            <w:lang w:val="x-none"/>
          </w:rPr>
          <w:t xml:space="preserve">: </w:t>
        </w:r>
        <w:proofErr w:type="spellStart"/>
        <w:r w:rsidRPr="008E4C96">
          <w:rPr>
            <w:rFonts w:asciiTheme="majorBidi" w:eastAsia="Aptos" w:hAnsiTheme="majorBidi" w:cstheme="majorBidi"/>
            <w:sz w:val="24"/>
            <w:szCs w:val="24"/>
            <w:lang w:val="x-none"/>
          </w:rPr>
          <w:t>Sociocultural</w:t>
        </w:r>
        <w:proofErr w:type="spellEnd"/>
        <w:r w:rsidRPr="008E4C96">
          <w:rPr>
            <w:rFonts w:asciiTheme="majorBidi" w:eastAsia="Aptos" w:hAnsiTheme="majorBidi" w:cstheme="majorBidi"/>
            <w:sz w:val="24"/>
            <w:szCs w:val="24"/>
            <w:lang w:val="x-none"/>
          </w:rPr>
          <w:t xml:space="preserve"> perspectives on science </w:t>
        </w:r>
        <w:proofErr w:type="spellStart"/>
        <w:r w:rsidRPr="008E4C96">
          <w:rPr>
            <w:rFonts w:asciiTheme="majorBidi" w:eastAsia="Aptos" w:hAnsiTheme="majorBidi" w:cstheme="majorBidi"/>
            <w:sz w:val="24"/>
            <w:szCs w:val="24"/>
            <w:lang w:val="x-none"/>
          </w:rPr>
          <w:t>education</w:t>
        </w:r>
        <w:proofErr w:type="spellEnd"/>
      </w:hyperlink>
      <w:r w:rsidRPr="00837C52">
        <w:rPr>
          <w:rFonts w:asciiTheme="majorBidi" w:eastAsia="Aptos" w:hAnsiTheme="majorBidi" w:cstheme="majorBidi"/>
          <w:sz w:val="24"/>
          <w:szCs w:val="24"/>
          <w:lang w:val="en-GB"/>
        </w:rPr>
        <w:t xml:space="preserve">. </w:t>
      </w:r>
      <w:r>
        <w:fldChar w:fldCharType="begin"/>
      </w:r>
      <w:r w:rsidRPr="0065773E">
        <w:rPr>
          <w:lang w:val="en-US"/>
        </w:rPr>
        <w:instrText>HYPERLINK "http://www.interscience.wiley.com/jpages/0022-4308/" \o "offsite link to Journal"</w:instrText>
      </w:r>
      <w:r>
        <w:fldChar w:fldCharType="separate"/>
      </w:r>
      <w:r w:rsidRPr="008E4C96">
        <w:rPr>
          <w:rFonts w:asciiTheme="majorBidi" w:eastAsia="Aptos" w:hAnsiTheme="majorBidi" w:cstheme="majorBidi"/>
          <w:i/>
          <w:iCs/>
          <w:sz w:val="24"/>
          <w:szCs w:val="24"/>
          <w:lang w:val="en-GB"/>
        </w:rPr>
        <w:t>Journal of Research in Science Teaching</w:t>
      </w:r>
      <w:r>
        <w:fldChar w:fldCharType="end"/>
      </w:r>
      <w:r w:rsidRPr="00837C52">
        <w:rPr>
          <w:rFonts w:asciiTheme="majorBidi" w:eastAsia="Aptos" w:hAnsiTheme="majorBidi" w:cstheme="majorBidi"/>
          <w:sz w:val="24"/>
          <w:szCs w:val="24"/>
          <w:lang w:val="en-GB"/>
        </w:rPr>
        <w:t xml:space="preserve">, </w:t>
      </w:r>
      <w:r w:rsidRPr="008E4C96">
        <w:rPr>
          <w:rFonts w:asciiTheme="majorBidi" w:eastAsia="Aptos" w:hAnsiTheme="majorBidi" w:cstheme="majorBidi"/>
          <w:sz w:val="24"/>
          <w:szCs w:val="24"/>
          <w:lang w:val="en-GB"/>
        </w:rPr>
        <w:t>38</w:t>
      </w:r>
      <w:r w:rsidRPr="00837C52">
        <w:rPr>
          <w:rFonts w:asciiTheme="majorBidi" w:eastAsia="Aptos" w:hAnsiTheme="majorBidi" w:cstheme="majorBidi"/>
          <w:sz w:val="24"/>
          <w:szCs w:val="24"/>
          <w:lang w:val="en-GB"/>
        </w:rPr>
        <w:t xml:space="preserve"> (</w:t>
      </w:r>
      <w:r w:rsidRPr="008E4C96">
        <w:rPr>
          <w:rFonts w:asciiTheme="majorBidi" w:eastAsia="Aptos" w:hAnsiTheme="majorBidi" w:cstheme="majorBidi"/>
          <w:sz w:val="24"/>
          <w:szCs w:val="24"/>
          <w:lang w:val="en-GB"/>
        </w:rPr>
        <w:t>3</w:t>
      </w:r>
      <w:r w:rsidRPr="00837C52">
        <w:rPr>
          <w:rFonts w:asciiTheme="majorBidi" w:eastAsia="Aptos" w:hAnsiTheme="majorBidi" w:cstheme="majorBidi"/>
          <w:sz w:val="24"/>
          <w:szCs w:val="24"/>
          <w:lang w:val="en-GB"/>
        </w:rPr>
        <w:t>)</w:t>
      </w:r>
      <w:r>
        <w:rPr>
          <w:rFonts w:asciiTheme="majorBidi" w:eastAsia="Aptos" w:hAnsiTheme="majorBidi" w:cstheme="majorBidi"/>
          <w:sz w:val="24"/>
          <w:szCs w:val="24"/>
          <w:lang w:val="en-GB"/>
        </w:rPr>
        <w:t>, p</w:t>
      </w:r>
      <w:r w:rsidRPr="00837C52">
        <w:rPr>
          <w:rFonts w:asciiTheme="majorBidi" w:eastAsia="Aptos" w:hAnsiTheme="majorBidi" w:cstheme="majorBidi"/>
          <w:sz w:val="24"/>
          <w:szCs w:val="24"/>
          <w:lang w:val="en-GB"/>
        </w:rPr>
        <w:t xml:space="preserve">p </w:t>
      </w:r>
      <w:r w:rsidRPr="008E4C96">
        <w:rPr>
          <w:rFonts w:asciiTheme="majorBidi" w:eastAsia="Aptos" w:hAnsiTheme="majorBidi" w:cstheme="majorBidi"/>
          <w:sz w:val="24"/>
          <w:szCs w:val="24"/>
          <w:lang w:val="en-GB"/>
        </w:rPr>
        <w:t>296–316</w:t>
      </w:r>
      <w:r>
        <w:rPr>
          <w:rFonts w:asciiTheme="majorBidi" w:eastAsia="Aptos" w:hAnsiTheme="majorBidi" w:cstheme="majorBidi"/>
          <w:sz w:val="24"/>
          <w:szCs w:val="24"/>
          <w:lang w:val="en-GB"/>
        </w:rPr>
        <w:t>.</w:t>
      </w:r>
    </w:p>
    <w:p w14:paraId="517835FB" w14:textId="77777777" w:rsidR="00D80693" w:rsidRDefault="00D80693" w:rsidP="00D92213">
      <w:pPr>
        <w:spacing w:before="120"/>
        <w:ind w:left="851" w:hanging="851"/>
        <w:jc w:val="both"/>
        <w:rPr>
          <w:rFonts w:eastAsia="Calibri"/>
          <w:i/>
          <w:iCs/>
          <w:kern w:val="2"/>
          <w:sz w:val="24"/>
          <w:szCs w:val="24"/>
          <w:lang w:val="fr-SN"/>
          <w14:ligatures w14:val="standardContextual"/>
        </w:rPr>
      </w:pPr>
      <w:proofErr w:type="spellStart"/>
      <w:r w:rsidRPr="003E461A">
        <w:rPr>
          <w:rFonts w:eastAsia="Calibri"/>
          <w:kern w:val="2"/>
          <w:sz w:val="24"/>
          <w:szCs w:val="24"/>
          <w:lang w:val="fr-SN"/>
          <w14:ligatures w14:val="standardContextual"/>
        </w:rPr>
        <w:t>Mbazogue</w:t>
      </w:r>
      <w:proofErr w:type="spellEnd"/>
      <w:r w:rsidRPr="003E461A">
        <w:rPr>
          <w:rFonts w:eastAsia="Calibri"/>
          <w:kern w:val="2"/>
          <w:sz w:val="24"/>
          <w:szCs w:val="24"/>
          <w:lang w:val="fr-SN"/>
          <w14:ligatures w14:val="standardContextual"/>
        </w:rPr>
        <w:t xml:space="preserve">-Owono, L. (2012). </w:t>
      </w:r>
      <w:r w:rsidRPr="006C103E">
        <w:rPr>
          <w:rFonts w:eastAsia="Calibri"/>
          <w:kern w:val="2"/>
          <w:sz w:val="24"/>
          <w:szCs w:val="24"/>
          <w:lang w:val="fr-SN"/>
          <w14:ligatures w14:val="standardContextual"/>
        </w:rPr>
        <w:t>L’enseignement des questions de société (le cas du sida) et le rapport à la culture d’enseignants et enseignantes de sciences du Gabon</w:t>
      </w:r>
      <w:r>
        <w:rPr>
          <w:rFonts w:eastAsia="Calibri"/>
          <w:kern w:val="2"/>
          <w:sz w:val="24"/>
          <w:szCs w:val="24"/>
          <w:lang w:val="fr-SN"/>
          <w14:ligatures w14:val="standardContextual"/>
        </w:rPr>
        <w:t>.</w:t>
      </w:r>
      <w:r w:rsidRPr="006C103E">
        <w:rPr>
          <w:rFonts w:eastAsia="Calibri"/>
          <w:i/>
          <w:iCs/>
          <w:kern w:val="2"/>
          <w:sz w:val="24"/>
          <w:szCs w:val="24"/>
          <w:lang w:val="fr-SN"/>
          <w14:ligatures w14:val="standardContextual"/>
        </w:rPr>
        <w:t xml:space="preserve"> </w:t>
      </w:r>
      <w:r>
        <w:rPr>
          <w:rFonts w:eastAsia="Calibri"/>
          <w:i/>
          <w:iCs/>
          <w:kern w:val="2"/>
          <w:sz w:val="24"/>
          <w:szCs w:val="24"/>
          <w:lang w:val="fr-SN"/>
          <w14:ligatures w14:val="standardContextual"/>
        </w:rPr>
        <w:t xml:space="preserve">Le rapport aux savoirs, (33). </w:t>
      </w:r>
    </w:p>
    <w:p w14:paraId="3E109303" w14:textId="77777777" w:rsidR="00D80693" w:rsidRDefault="00D80693" w:rsidP="00D92213">
      <w:pPr>
        <w:spacing w:before="120"/>
        <w:ind w:left="851" w:hanging="851"/>
        <w:jc w:val="both"/>
        <w:rPr>
          <w:rFonts w:eastAsia="Calibri"/>
          <w:kern w:val="2"/>
          <w:sz w:val="24"/>
          <w:szCs w:val="24"/>
          <w:lang w:val="fr-SN"/>
          <w14:ligatures w14:val="standardContextual"/>
        </w:rPr>
      </w:pPr>
      <w:proofErr w:type="spellStart"/>
      <w:r w:rsidRPr="001D41DD">
        <w:rPr>
          <w:rFonts w:eastAsia="Calibri"/>
          <w:kern w:val="2"/>
          <w:sz w:val="24"/>
          <w:szCs w:val="24"/>
          <w:lang w:val="fr-SN"/>
          <w14:ligatures w14:val="standardContextual"/>
        </w:rPr>
        <w:t>Moussavou</w:t>
      </w:r>
      <w:proofErr w:type="spellEnd"/>
      <w:r w:rsidRPr="001D41DD">
        <w:rPr>
          <w:rFonts w:eastAsia="Calibri"/>
          <w:kern w:val="2"/>
          <w:sz w:val="24"/>
          <w:szCs w:val="24"/>
          <w:lang w:val="fr-SN"/>
          <w14:ligatures w14:val="standardContextual"/>
        </w:rPr>
        <w:t>, R. (20</w:t>
      </w:r>
      <w:r>
        <w:rPr>
          <w:rFonts w:eastAsia="Calibri"/>
          <w:kern w:val="2"/>
          <w:sz w:val="24"/>
          <w:szCs w:val="24"/>
          <w:lang w:val="fr-SN"/>
          <w14:ligatures w14:val="standardContextual"/>
        </w:rPr>
        <w:t>24</w:t>
      </w:r>
      <w:r w:rsidRPr="001D41DD">
        <w:rPr>
          <w:rFonts w:eastAsia="Calibri"/>
          <w:kern w:val="2"/>
          <w:sz w:val="24"/>
          <w:szCs w:val="24"/>
          <w:lang w:val="fr-SN"/>
          <w14:ligatures w14:val="standardContextual"/>
        </w:rPr>
        <w:t>).</w:t>
      </w:r>
      <w:r>
        <w:rPr>
          <w:rFonts w:eastAsia="Calibri"/>
          <w:kern w:val="2"/>
          <w:sz w:val="24"/>
          <w:szCs w:val="24"/>
          <w:lang w:val="fr-SN"/>
          <w14:ligatures w14:val="standardContextual"/>
        </w:rPr>
        <w:t xml:space="preserve"> </w:t>
      </w:r>
      <w:r w:rsidRPr="00B46162">
        <w:rPr>
          <w:rFonts w:eastAsia="Calibri"/>
          <w:kern w:val="2"/>
          <w:sz w:val="24"/>
          <w:szCs w:val="24"/>
          <w:lang w:val="fr-SN"/>
          <w14:ligatures w14:val="standardContextual"/>
        </w:rPr>
        <w:t>À propos des fondements théoriques de l’enseignement des sciences : le cas de la modélisation comme canevas d’apprentissage en didactique des sciences</w:t>
      </w:r>
      <w:r>
        <w:rPr>
          <w:rFonts w:eastAsia="Calibri"/>
          <w:kern w:val="2"/>
          <w:sz w:val="24"/>
          <w:szCs w:val="24"/>
          <w:lang w:val="fr-SN"/>
          <w14:ligatures w14:val="standardContextual"/>
        </w:rPr>
        <w:t>. Dans O. Thiam (</w:t>
      </w:r>
      <w:proofErr w:type="spellStart"/>
      <w:r>
        <w:rPr>
          <w:rFonts w:eastAsia="Calibri"/>
          <w:kern w:val="2"/>
          <w:sz w:val="24"/>
          <w:szCs w:val="24"/>
          <w:lang w:val="fr-SN"/>
          <w14:ligatures w14:val="standardContextual"/>
        </w:rPr>
        <w:t>dir</w:t>
      </w:r>
      <w:proofErr w:type="spellEnd"/>
      <w:r>
        <w:rPr>
          <w:rFonts w:eastAsia="Calibri"/>
          <w:kern w:val="2"/>
          <w:sz w:val="24"/>
          <w:szCs w:val="24"/>
          <w:lang w:val="fr-SN"/>
          <w14:ligatures w14:val="standardContextual"/>
        </w:rPr>
        <w:t xml:space="preserve">.) </w:t>
      </w:r>
      <w:r w:rsidRPr="001F00EB">
        <w:rPr>
          <w:rFonts w:eastAsia="Calibri"/>
          <w:i/>
          <w:iCs/>
          <w:kern w:val="2"/>
          <w:sz w:val="24"/>
          <w:szCs w:val="24"/>
          <w:lang w:val="fr-SN"/>
          <w14:ligatures w14:val="standardContextual"/>
        </w:rPr>
        <w:t>Actes des Premières Journées Scientifiques</w:t>
      </w:r>
      <w:r w:rsidRPr="001F00EB">
        <w:rPr>
          <w:rFonts w:eastAsia="Calibri"/>
          <w:kern w:val="2"/>
          <w:sz w:val="24"/>
          <w:szCs w:val="24"/>
          <w:lang w:val="fr-SN"/>
          <w14:ligatures w14:val="standardContextual"/>
        </w:rPr>
        <w:t xml:space="preserve"> (En Ligne) Du 01</w:t>
      </w:r>
      <w:r>
        <w:rPr>
          <w:rFonts w:eastAsia="Calibri"/>
          <w:kern w:val="2"/>
          <w:sz w:val="24"/>
          <w:szCs w:val="24"/>
          <w:lang w:val="fr-SN"/>
          <w14:ligatures w14:val="standardContextual"/>
        </w:rPr>
        <w:t xml:space="preserve"> </w:t>
      </w:r>
      <w:r w:rsidRPr="001F00EB">
        <w:rPr>
          <w:rFonts w:eastAsia="Calibri"/>
          <w:kern w:val="2"/>
          <w:sz w:val="24"/>
          <w:szCs w:val="24"/>
          <w:lang w:val="fr-SN"/>
          <w14:ligatures w14:val="standardContextual"/>
        </w:rPr>
        <w:t>au 02 Juin 2023, du Réseau Africain des Chercheurs et Enseignants-Chercheurs en Sciences de l’Éducation (RACESE)</w:t>
      </w:r>
      <w:r>
        <w:rPr>
          <w:rFonts w:eastAsia="Calibri"/>
          <w:kern w:val="2"/>
          <w:sz w:val="24"/>
          <w:szCs w:val="24"/>
          <w:lang w:val="fr-SN"/>
          <w14:ligatures w14:val="standardContextual"/>
        </w:rPr>
        <w:t xml:space="preserve"> (p. 28) </w:t>
      </w:r>
      <w:r w:rsidRPr="001F00EB">
        <w:rPr>
          <w:rFonts w:eastAsia="Calibri"/>
          <w:kern w:val="2"/>
          <w:sz w:val="24"/>
          <w:szCs w:val="24"/>
          <w:lang w:val="fr-SN"/>
          <w14:ligatures w14:val="standardContextual"/>
        </w:rPr>
        <w:t>ISSN 2756-7575 (En ligne)</w:t>
      </w:r>
      <w:r>
        <w:rPr>
          <w:rFonts w:eastAsia="Calibri"/>
          <w:kern w:val="2"/>
          <w:sz w:val="24"/>
          <w:szCs w:val="24"/>
          <w:lang w:val="fr-SN"/>
          <w14:ligatures w14:val="standardContextual"/>
        </w:rPr>
        <w:t>.</w:t>
      </w:r>
    </w:p>
    <w:p w14:paraId="0D0860F0" w14:textId="77777777" w:rsidR="00D80693" w:rsidRPr="006C5A28" w:rsidRDefault="00D80693" w:rsidP="00D92213">
      <w:pPr>
        <w:spacing w:before="120"/>
        <w:ind w:left="851" w:hanging="851"/>
        <w:jc w:val="both"/>
        <w:rPr>
          <w:rFonts w:eastAsia="Calibri"/>
          <w:kern w:val="2"/>
          <w:sz w:val="24"/>
          <w:szCs w:val="24"/>
          <w:lang w:val="fr-SN"/>
          <w14:ligatures w14:val="standardContextual"/>
        </w:rPr>
      </w:pPr>
      <w:proofErr w:type="spellStart"/>
      <w:r w:rsidRPr="006C5A28">
        <w:rPr>
          <w:rFonts w:eastAsia="Calibri"/>
          <w:kern w:val="2"/>
          <w:sz w:val="24"/>
          <w:szCs w:val="24"/>
          <w:lang w:val="fr-SN"/>
          <w14:ligatures w14:val="standardContextual"/>
        </w:rPr>
        <w:t>M</w:t>
      </w:r>
      <w:r>
        <w:rPr>
          <w:rFonts w:eastAsia="Calibri"/>
          <w:kern w:val="2"/>
          <w:sz w:val="24"/>
          <w:szCs w:val="24"/>
          <w:lang w:val="fr-SN"/>
          <w14:ligatures w14:val="standardContextual"/>
        </w:rPr>
        <w:t>oussavou</w:t>
      </w:r>
      <w:proofErr w:type="spellEnd"/>
      <w:r>
        <w:rPr>
          <w:rFonts w:eastAsia="Calibri"/>
          <w:kern w:val="2"/>
          <w:sz w:val="24"/>
          <w:szCs w:val="24"/>
          <w:lang w:val="fr-SN"/>
          <w14:ligatures w14:val="standardContextual"/>
        </w:rPr>
        <w:t>,</w:t>
      </w:r>
      <w:r w:rsidRPr="006C5A28">
        <w:rPr>
          <w:rFonts w:eastAsia="Calibri"/>
          <w:kern w:val="2"/>
          <w:sz w:val="24"/>
          <w:szCs w:val="24"/>
          <w:lang w:val="fr-SN"/>
          <w14:ligatures w14:val="standardContextual"/>
        </w:rPr>
        <w:t xml:space="preserve"> R. (2023). Impact des stages sur les besoins cognitifs, affectifs et idéologiques des enseignants au Gabon. Dans J.J. Demba, M. Essono Ebang et M F. </w:t>
      </w:r>
      <w:proofErr w:type="spellStart"/>
      <w:r w:rsidRPr="006C5A28">
        <w:rPr>
          <w:rFonts w:eastAsia="Calibri"/>
          <w:kern w:val="2"/>
          <w:sz w:val="24"/>
          <w:szCs w:val="24"/>
          <w:lang w:val="fr-SN"/>
          <w14:ligatures w14:val="standardContextual"/>
        </w:rPr>
        <w:t>Minkobame</w:t>
      </w:r>
      <w:proofErr w:type="spellEnd"/>
      <w:r w:rsidRPr="006C5A28">
        <w:rPr>
          <w:rFonts w:eastAsia="Calibri"/>
          <w:kern w:val="2"/>
          <w:sz w:val="24"/>
          <w:szCs w:val="24"/>
          <w:lang w:val="fr-SN"/>
          <w14:ligatures w14:val="standardContextual"/>
        </w:rPr>
        <w:t xml:space="preserve"> Z. (</w:t>
      </w:r>
      <w:proofErr w:type="spellStart"/>
      <w:r w:rsidRPr="006C5A28">
        <w:rPr>
          <w:rFonts w:eastAsia="Calibri"/>
          <w:kern w:val="2"/>
          <w:sz w:val="24"/>
          <w:szCs w:val="24"/>
          <w:lang w:val="fr-SN"/>
          <w14:ligatures w14:val="standardContextual"/>
        </w:rPr>
        <w:t>dir</w:t>
      </w:r>
      <w:proofErr w:type="spellEnd"/>
      <w:r w:rsidRPr="006C5A28">
        <w:rPr>
          <w:rFonts w:eastAsia="Calibri"/>
          <w:kern w:val="2"/>
          <w:sz w:val="24"/>
          <w:szCs w:val="24"/>
          <w:lang w:val="fr-SN"/>
          <w14:ligatures w14:val="standardContextual"/>
        </w:rPr>
        <w:t xml:space="preserve">.), </w:t>
      </w:r>
      <w:r w:rsidRPr="006C5A28">
        <w:rPr>
          <w:rFonts w:eastAsia="Calibri"/>
          <w:i/>
          <w:iCs/>
          <w:kern w:val="2"/>
          <w:sz w:val="24"/>
          <w:szCs w:val="24"/>
          <w:lang w:val="fr-SN"/>
          <w14:ligatures w14:val="standardContextual"/>
        </w:rPr>
        <w:t>Les stages dans tous leurs états</w:t>
      </w:r>
      <w:r w:rsidRPr="006C5A28">
        <w:rPr>
          <w:rFonts w:eastAsia="Calibri"/>
          <w:kern w:val="2"/>
          <w:sz w:val="24"/>
          <w:szCs w:val="24"/>
          <w:lang w:val="fr-SN"/>
          <w14:ligatures w14:val="standardContextual"/>
        </w:rPr>
        <w:t xml:space="preserve"> (pp 153-170). Les éditions </w:t>
      </w:r>
      <w:proofErr w:type="spellStart"/>
      <w:r w:rsidRPr="006C5A28">
        <w:rPr>
          <w:rFonts w:eastAsia="Calibri"/>
          <w:kern w:val="2"/>
          <w:sz w:val="24"/>
          <w:szCs w:val="24"/>
          <w:lang w:val="fr-SN"/>
          <w14:ligatures w14:val="standardContextual"/>
        </w:rPr>
        <w:t>Ntsame</w:t>
      </w:r>
      <w:proofErr w:type="spellEnd"/>
      <w:r w:rsidRPr="006C5A28">
        <w:rPr>
          <w:rFonts w:eastAsia="Calibri"/>
          <w:kern w:val="2"/>
          <w:sz w:val="24"/>
          <w:szCs w:val="24"/>
          <w:lang w:val="fr-SN"/>
          <w14:ligatures w14:val="standardContextual"/>
        </w:rPr>
        <w:t>.</w:t>
      </w:r>
    </w:p>
    <w:p w14:paraId="407202B2" w14:textId="77777777" w:rsidR="00D80693" w:rsidRDefault="00D80693" w:rsidP="00D92213">
      <w:pPr>
        <w:spacing w:before="120"/>
        <w:ind w:left="851" w:hanging="851"/>
        <w:jc w:val="both"/>
        <w:rPr>
          <w:rFonts w:ascii="Aptos" w:eastAsia="Aptos" w:hAnsi="Aptos" w:cs="Arial"/>
          <w:lang w:val="fr-SN"/>
        </w:rPr>
      </w:pPr>
      <w:proofErr w:type="spellStart"/>
      <w:r w:rsidRPr="001F00EB">
        <w:rPr>
          <w:rFonts w:eastAsia="Calibri"/>
          <w:kern w:val="2"/>
          <w:sz w:val="24"/>
          <w:szCs w:val="24"/>
          <w:lang w:val="fr-SN"/>
          <w14:ligatures w14:val="standardContextual"/>
        </w:rPr>
        <w:t>Moussavou</w:t>
      </w:r>
      <w:proofErr w:type="spellEnd"/>
      <w:r>
        <w:rPr>
          <w:rFonts w:eastAsia="Calibri"/>
          <w:kern w:val="2"/>
          <w:sz w:val="24"/>
          <w:szCs w:val="24"/>
          <w:lang w:val="fr-SN"/>
          <w14:ligatures w14:val="standardContextual"/>
        </w:rPr>
        <w:t xml:space="preserve">, </w:t>
      </w:r>
      <w:r w:rsidRPr="001F00EB">
        <w:rPr>
          <w:rFonts w:eastAsia="Calibri"/>
          <w:kern w:val="2"/>
          <w:sz w:val="24"/>
          <w:szCs w:val="24"/>
          <w:lang w:val="fr-SN"/>
          <w14:ligatures w14:val="standardContextual"/>
        </w:rPr>
        <w:t xml:space="preserve">R. (2012). La possibilité d’intégrer les savoirs endogènes dans l’enseignement des sciences au Gabon : points de vue d’enseignants en formation à l’issue d’un entretien collectif. </w:t>
      </w:r>
      <w:r w:rsidRPr="001F00EB">
        <w:rPr>
          <w:rFonts w:eastAsia="Calibri"/>
          <w:i/>
          <w:iCs/>
          <w:kern w:val="2"/>
          <w:sz w:val="24"/>
          <w:szCs w:val="24"/>
          <w:lang w:val="fr-SN"/>
          <w14:ligatures w14:val="standardContextual"/>
        </w:rPr>
        <w:t>Recherches qualitatives</w:t>
      </w:r>
      <w:r w:rsidRPr="001F00EB">
        <w:rPr>
          <w:rFonts w:eastAsia="Calibri"/>
          <w:kern w:val="2"/>
          <w:sz w:val="24"/>
          <w:szCs w:val="24"/>
          <w:lang w:val="fr-SN"/>
          <w14:ligatures w14:val="standardContextual"/>
        </w:rPr>
        <w:t xml:space="preserve">, 31(1), 205–224. </w:t>
      </w:r>
      <w:hyperlink r:id="rId98" w:history="1">
        <w:r w:rsidRPr="009927CF">
          <w:rPr>
            <w:rFonts w:eastAsia="Calibri"/>
            <w:color w:val="467886"/>
            <w:kern w:val="2"/>
            <w:sz w:val="24"/>
            <w:szCs w:val="24"/>
            <w:u w:val="single"/>
            <w:lang w:val="fr-SN"/>
            <w14:ligatures w14:val="standardContextual"/>
          </w:rPr>
          <w:t>https://doi.org/10.7202/1085030ar</w:t>
        </w:r>
      </w:hyperlink>
    </w:p>
    <w:p w14:paraId="19C7C1C1" w14:textId="77777777" w:rsidR="00D80693" w:rsidRDefault="00D80693" w:rsidP="00D92213">
      <w:pPr>
        <w:spacing w:before="120"/>
        <w:ind w:left="851" w:hanging="851"/>
        <w:jc w:val="both"/>
        <w:rPr>
          <w:rFonts w:eastAsia="Calibri"/>
          <w:kern w:val="2"/>
          <w:sz w:val="24"/>
          <w:szCs w:val="24"/>
          <w:lang w:val="fr-SN"/>
          <w14:ligatures w14:val="standardContextual"/>
        </w:rPr>
      </w:pPr>
      <w:proofErr w:type="spellStart"/>
      <w:r w:rsidRPr="001D41DD">
        <w:rPr>
          <w:rFonts w:eastAsia="Calibri"/>
          <w:kern w:val="2"/>
          <w:sz w:val="24"/>
          <w:szCs w:val="24"/>
          <w:lang w:val="fr-SN"/>
          <w14:ligatures w14:val="standardContextual"/>
        </w:rPr>
        <w:t>Ndong</w:t>
      </w:r>
      <w:proofErr w:type="spellEnd"/>
      <w:r w:rsidRPr="001D41DD">
        <w:rPr>
          <w:rFonts w:eastAsia="Calibri"/>
          <w:kern w:val="2"/>
          <w:sz w:val="24"/>
          <w:szCs w:val="24"/>
          <w:lang w:val="fr-SN"/>
          <w14:ligatures w14:val="standardContextual"/>
        </w:rPr>
        <w:t xml:space="preserve"> Angoue, C. (2015). Approche contextuelle de l’environnement minier dans l’enseignement des SVT. Université des Sciences et Techniques de Masuku.</w:t>
      </w:r>
    </w:p>
    <w:p w14:paraId="5D46BD7E" w14:textId="77777777" w:rsidR="00D80693" w:rsidRPr="00DA69D7" w:rsidRDefault="00D80693" w:rsidP="00D92213">
      <w:pPr>
        <w:spacing w:before="120"/>
        <w:ind w:left="851" w:hanging="851"/>
        <w:jc w:val="both"/>
        <w:rPr>
          <w:rFonts w:eastAsia="Aptos"/>
          <w:sz w:val="24"/>
          <w:szCs w:val="24"/>
          <w:lang w:val="en-US"/>
        </w:rPr>
      </w:pPr>
      <w:r w:rsidRPr="00A1603C">
        <w:rPr>
          <w:rFonts w:asciiTheme="majorBidi" w:eastAsia="Aptos" w:hAnsiTheme="majorBidi" w:cstheme="majorBidi"/>
          <w:sz w:val="24"/>
          <w:szCs w:val="24"/>
          <w:lang w:val="fr-SN"/>
        </w:rPr>
        <w:t xml:space="preserve">Paillé, P. </w:t>
      </w:r>
      <w:r>
        <w:rPr>
          <w:rFonts w:asciiTheme="majorBidi" w:eastAsia="Aptos" w:hAnsiTheme="majorBidi" w:cstheme="majorBidi"/>
          <w:sz w:val="24"/>
          <w:szCs w:val="24"/>
          <w:lang w:val="fr-SN"/>
        </w:rPr>
        <w:t xml:space="preserve">et </w:t>
      </w:r>
      <w:r w:rsidRPr="00A1603C">
        <w:rPr>
          <w:rFonts w:asciiTheme="majorBidi" w:eastAsia="Aptos" w:hAnsiTheme="majorBidi" w:cstheme="majorBidi"/>
          <w:sz w:val="24"/>
          <w:szCs w:val="24"/>
          <w:lang w:val="fr-SN"/>
        </w:rPr>
        <w:t xml:space="preserve">Mucchielli, A. (2016). </w:t>
      </w:r>
      <w:r w:rsidRPr="00A1603C">
        <w:rPr>
          <w:rFonts w:asciiTheme="majorBidi" w:eastAsia="Aptos" w:hAnsiTheme="majorBidi" w:cstheme="majorBidi"/>
          <w:i/>
          <w:iCs/>
          <w:sz w:val="24"/>
          <w:szCs w:val="24"/>
          <w:lang w:val="fr-SN"/>
        </w:rPr>
        <w:t>L’analyse qualitative en sciences humaines et sociales</w:t>
      </w:r>
      <w:r w:rsidRPr="00A1603C">
        <w:rPr>
          <w:rFonts w:asciiTheme="majorBidi" w:eastAsia="Aptos" w:hAnsiTheme="majorBidi" w:cstheme="majorBidi"/>
          <w:sz w:val="24"/>
          <w:szCs w:val="24"/>
          <w:lang w:val="fr-SN"/>
        </w:rPr>
        <w:t xml:space="preserve"> (4</w:t>
      </w:r>
      <w:r w:rsidRPr="00A1603C">
        <w:rPr>
          <w:rFonts w:asciiTheme="majorBidi" w:eastAsia="Aptos" w:hAnsiTheme="majorBidi" w:cstheme="majorBidi"/>
          <w:sz w:val="24"/>
          <w:szCs w:val="24"/>
          <w:vertAlign w:val="superscript"/>
          <w:lang w:val="fr-SN"/>
        </w:rPr>
        <w:t>ème</w:t>
      </w:r>
      <w:r w:rsidRPr="00A1603C">
        <w:rPr>
          <w:rFonts w:asciiTheme="majorBidi" w:eastAsia="Aptos" w:hAnsiTheme="majorBidi" w:cstheme="majorBidi"/>
          <w:sz w:val="24"/>
          <w:szCs w:val="24"/>
          <w:lang w:val="fr-SN"/>
        </w:rPr>
        <w:t xml:space="preserve"> édition). </w:t>
      </w:r>
      <w:r w:rsidRPr="00DA69D7">
        <w:rPr>
          <w:rFonts w:asciiTheme="majorBidi" w:eastAsia="Aptos" w:hAnsiTheme="majorBidi" w:cstheme="majorBidi"/>
          <w:sz w:val="24"/>
          <w:szCs w:val="24"/>
          <w:lang w:val="en-US"/>
        </w:rPr>
        <w:t>Armand Colin.</w:t>
      </w:r>
    </w:p>
    <w:p w14:paraId="7DE0698E" w14:textId="77777777" w:rsidR="00D80693" w:rsidRDefault="00D80693" w:rsidP="00D92213">
      <w:pPr>
        <w:spacing w:before="120"/>
        <w:ind w:left="851" w:hanging="851"/>
        <w:jc w:val="both"/>
        <w:rPr>
          <w:rFonts w:eastAsia="Calibri"/>
          <w:kern w:val="2"/>
          <w:sz w:val="24"/>
          <w:szCs w:val="24"/>
          <w:lang w:val="fr-SN"/>
          <w14:ligatures w14:val="standardContextual"/>
        </w:rPr>
      </w:pPr>
      <w:r w:rsidRPr="00DA69D7">
        <w:rPr>
          <w:rFonts w:eastAsia="Calibri"/>
          <w:kern w:val="2"/>
          <w:sz w:val="24"/>
          <w:szCs w:val="24"/>
          <w:lang w:val="en-US"/>
          <w14:ligatures w14:val="standardContextual"/>
        </w:rPr>
        <w:t xml:space="preserve">Patton, M. Q. (1990). </w:t>
      </w:r>
      <w:r w:rsidRPr="003E5951">
        <w:rPr>
          <w:rFonts w:eastAsia="Calibri"/>
          <w:i/>
          <w:iCs/>
          <w:kern w:val="2"/>
          <w:sz w:val="24"/>
          <w:szCs w:val="24"/>
          <w:lang w:val="en-US"/>
          <w14:ligatures w14:val="standardContextual"/>
        </w:rPr>
        <w:t>Qualitative Evaluation and Research Methods</w:t>
      </w:r>
      <w:r w:rsidRPr="00DA69D7">
        <w:rPr>
          <w:rFonts w:eastAsia="Calibri"/>
          <w:kern w:val="2"/>
          <w:sz w:val="24"/>
          <w:szCs w:val="24"/>
          <w:lang w:val="en-US"/>
          <w14:ligatures w14:val="standardContextual"/>
        </w:rPr>
        <w:t xml:space="preserve">. </w:t>
      </w:r>
      <w:r w:rsidRPr="001D41DD">
        <w:rPr>
          <w:rFonts w:eastAsia="Calibri"/>
          <w:kern w:val="2"/>
          <w:sz w:val="24"/>
          <w:szCs w:val="24"/>
          <w:lang w:val="fr-SN"/>
          <w14:ligatures w14:val="standardContextual"/>
        </w:rPr>
        <w:t>Newbury Park : SAGE Publications.</w:t>
      </w:r>
    </w:p>
    <w:p w14:paraId="6595C1ED" w14:textId="77777777" w:rsidR="00D80693" w:rsidRPr="003E461A" w:rsidRDefault="00D80693" w:rsidP="00D92213">
      <w:pPr>
        <w:spacing w:before="120"/>
        <w:ind w:left="851" w:hanging="851"/>
        <w:jc w:val="both"/>
        <w:rPr>
          <w:rFonts w:eastAsia="Calibri"/>
          <w:kern w:val="2"/>
          <w:sz w:val="24"/>
          <w:szCs w:val="24"/>
          <w:lang w:val="en-US"/>
          <w14:ligatures w14:val="standardContextual"/>
        </w:rPr>
      </w:pPr>
      <w:r w:rsidRPr="00C0351C">
        <w:rPr>
          <w:rFonts w:eastAsia="Calibri"/>
          <w:kern w:val="2"/>
          <w:sz w:val="24"/>
          <w:szCs w:val="24"/>
          <w:lang w:val="fr-SN"/>
          <w14:ligatures w14:val="standardContextual"/>
        </w:rPr>
        <w:t>Piaget, J. (1954). Le développement de la notion de temps chez l</w:t>
      </w:r>
      <w:r>
        <w:rPr>
          <w:rFonts w:eastAsia="Calibri"/>
          <w:kern w:val="2"/>
          <w:sz w:val="24"/>
          <w:szCs w:val="24"/>
          <w:lang w:val="fr-SN"/>
          <w14:ligatures w14:val="standardContextual"/>
        </w:rPr>
        <w:t>’</w:t>
      </w:r>
      <w:r w:rsidRPr="00C0351C">
        <w:rPr>
          <w:rFonts w:eastAsia="Calibri"/>
          <w:kern w:val="2"/>
          <w:sz w:val="24"/>
          <w:szCs w:val="24"/>
          <w:lang w:val="fr-SN"/>
          <w14:ligatures w14:val="standardContextual"/>
        </w:rPr>
        <w:t xml:space="preserve">enfant. </w:t>
      </w:r>
      <w:proofErr w:type="gramStart"/>
      <w:r w:rsidRPr="003E461A">
        <w:rPr>
          <w:rFonts w:eastAsia="Calibri"/>
          <w:kern w:val="2"/>
          <w:sz w:val="24"/>
          <w:szCs w:val="24"/>
          <w:lang w:val="en-US"/>
          <w14:ligatures w14:val="standardContextual"/>
        </w:rPr>
        <w:t>Paris :</w:t>
      </w:r>
      <w:proofErr w:type="gramEnd"/>
      <w:r w:rsidRPr="003E461A">
        <w:rPr>
          <w:rFonts w:eastAsia="Calibri"/>
          <w:kern w:val="2"/>
          <w:sz w:val="24"/>
          <w:szCs w:val="24"/>
          <w:lang w:val="en-US"/>
          <w14:ligatures w14:val="standardContextual"/>
        </w:rPr>
        <w:t xml:space="preserve"> Presses </w:t>
      </w:r>
      <w:proofErr w:type="spellStart"/>
      <w:r w:rsidRPr="003E461A">
        <w:rPr>
          <w:rFonts w:eastAsia="Calibri"/>
          <w:kern w:val="2"/>
          <w:sz w:val="24"/>
          <w:szCs w:val="24"/>
          <w:lang w:val="en-US"/>
          <w14:ligatures w14:val="standardContextual"/>
        </w:rPr>
        <w:t>Universitaires</w:t>
      </w:r>
      <w:proofErr w:type="spellEnd"/>
      <w:r w:rsidRPr="003E461A">
        <w:rPr>
          <w:rFonts w:eastAsia="Calibri"/>
          <w:kern w:val="2"/>
          <w:sz w:val="24"/>
          <w:szCs w:val="24"/>
          <w:lang w:val="en-US"/>
          <w14:ligatures w14:val="standardContextual"/>
        </w:rPr>
        <w:t xml:space="preserve"> de France, pp. 79-105.</w:t>
      </w:r>
    </w:p>
    <w:p w14:paraId="7C992439" w14:textId="77777777" w:rsidR="00D80693" w:rsidRDefault="00D80693" w:rsidP="00D92213">
      <w:pPr>
        <w:spacing w:before="120"/>
        <w:ind w:left="851" w:hanging="851"/>
        <w:jc w:val="both"/>
        <w:rPr>
          <w:rFonts w:eastAsia="Aptos"/>
          <w:sz w:val="24"/>
          <w:szCs w:val="24"/>
          <w:lang w:val="en-US"/>
        </w:rPr>
      </w:pPr>
      <w:r w:rsidRPr="00DA69D7">
        <w:rPr>
          <w:rFonts w:asciiTheme="majorBidi" w:eastAsia="Aptos" w:hAnsiTheme="majorBidi" w:cstheme="majorBidi"/>
          <w:sz w:val="24"/>
          <w:szCs w:val="24"/>
          <w:lang w:val="en-US"/>
        </w:rPr>
        <w:t xml:space="preserve">Rogoff, B. (2003). </w:t>
      </w:r>
      <w:r w:rsidRPr="00143643">
        <w:rPr>
          <w:rFonts w:asciiTheme="majorBidi" w:eastAsia="Aptos" w:hAnsiTheme="majorBidi" w:cstheme="majorBidi"/>
          <w:i/>
          <w:iCs/>
          <w:sz w:val="24"/>
          <w:szCs w:val="24"/>
          <w:lang w:val="en-US"/>
        </w:rPr>
        <w:t>The Cultural Nature of Human Development</w:t>
      </w:r>
      <w:r w:rsidRPr="00DA69D7">
        <w:rPr>
          <w:rFonts w:asciiTheme="majorBidi" w:eastAsia="Aptos" w:hAnsiTheme="majorBidi" w:cstheme="majorBidi"/>
          <w:sz w:val="24"/>
          <w:szCs w:val="24"/>
          <w:lang w:val="en-US"/>
        </w:rPr>
        <w:t>. Oxford University Press, pp. 50–68.</w:t>
      </w:r>
    </w:p>
    <w:p w14:paraId="1A0FA62E" w14:textId="77777777" w:rsidR="00D80693" w:rsidRPr="003D1949" w:rsidRDefault="00D80693" w:rsidP="00D92213">
      <w:pPr>
        <w:spacing w:before="120"/>
        <w:ind w:left="851" w:hanging="851"/>
        <w:jc w:val="both"/>
        <w:rPr>
          <w:rFonts w:eastAsia="Aptos"/>
          <w:sz w:val="24"/>
          <w:szCs w:val="24"/>
          <w:lang w:val="x-none"/>
        </w:rPr>
      </w:pPr>
      <w:r w:rsidRPr="003D1949">
        <w:rPr>
          <w:rFonts w:asciiTheme="majorBidi" w:eastAsia="Aptos" w:hAnsiTheme="majorBidi" w:cstheme="majorBidi"/>
          <w:sz w:val="24"/>
          <w:szCs w:val="24"/>
          <w:lang w:val="x-none"/>
        </w:rPr>
        <w:t xml:space="preserve">Savoie </w:t>
      </w:r>
      <w:r>
        <w:rPr>
          <w:rFonts w:asciiTheme="majorBidi" w:eastAsia="Aptos" w:hAnsiTheme="majorBidi" w:cstheme="majorBidi"/>
          <w:sz w:val="24"/>
          <w:szCs w:val="24"/>
          <w:lang w:val="x-none"/>
        </w:rPr>
        <w:t>-</w:t>
      </w:r>
      <w:r w:rsidRPr="003D1949">
        <w:rPr>
          <w:rFonts w:asciiTheme="majorBidi" w:eastAsia="Aptos" w:hAnsiTheme="majorBidi" w:cstheme="majorBidi"/>
          <w:sz w:val="24"/>
          <w:szCs w:val="24"/>
          <w:lang w:val="x-none"/>
        </w:rPr>
        <w:t>Zajc</w:t>
      </w:r>
      <w:r>
        <w:rPr>
          <w:rFonts w:asciiTheme="majorBidi" w:eastAsia="Aptos" w:hAnsiTheme="majorBidi" w:cstheme="majorBidi"/>
          <w:sz w:val="24"/>
          <w:szCs w:val="24"/>
          <w:lang w:val="x-none"/>
        </w:rPr>
        <w:t xml:space="preserve">, L. et </w:t>
      </w:r>
      <w:r w:rsidRPr="003D1949">
        <w:rPr>
          <w:rFonts w:asciiTheme="majorBidi" w:eastAsia="Aptos" w:hAnsiTheme="majorBidi" w:cstheme="majorBidi"/>
          <w:sz w:val="24"/>
          <w:szCs w:val="24"/>
          <w:lang w:val="x-none"/>
        </w:rPr>
        <w:t>Karsenti</w:t>
      </w:r>
      <w:r>
        <w:rPr>
          <w:rFonts w:asciiTheme="majorBidi" w:eastAsia="Aptos" w:hAnsiTheme="majorBidi" w:cstheme="majorBidi"/>
          <w:sz w:val="24"/>
          <w:szCs w:val="24"/>
          <w:lang w:val="x-none"/>
        </w:rPr>
        <w:t>, Th. (</w:t>
      </w:r>
      <w:r w:rsidRPr="003D1949">
        <w:rPr>
          <w:rFonts w:asciiTheme="majorBidi" w:eastAsia="Aptos" w:hAnsiTheme="majorBidi" w:cstheme="majorBidi"/>
          <w:sz w:val="24"/>
          <w:szCs w:val="24"/>
          <w:lang w:val="x-none"/>
        </w:rPr>
        <w:t>2004</w:t>
      </w:r>
      <w:r>
        <w:rPr>
          <w:rFonts w:asciiTheme="majorBidi" w:eastAsia="Aptos" w:hAnsiTheme="majorBidi" w:cstheme="majorBidi"/>
          <w:sz w:val="24"/>
          <w:szCs w:val="24"/>
          <w:lang w:val="x-none"/>
        </w:rPr>
        <w:t xml:space="preserve">). La méthodologie. Dans L. </w:t>
      </w:r>
      <w:r w:rsidRPr="003D1949">
        <w:rPr>
          <w:rFonts w:asciiTheme="majorBidi" w:eastAsia="Aptos" w:hAnsiTheme="majorBidi" w:cstheme="majorBidi"/>
          <w:sz w:val="24"/>
          <w:szCs w:val="24"/>
          <w:lang w:val="x-none"/>
        </w:rPr>
        <w:t xml:space="preserve">Savoie </w:t>
      </w:r>
      <w:r>
        <w:rPr>
          <w:rFonts w:asciiTheme="majorBidi" w:eastAsia="Aptos" w:hAnsiTheme="majorBidi" w:cstheme="majorBidi"/>
          <w:sz w:val="24"/>
          <w:szCs w:val="24"/>
          <w:lang w:val="x-none"/>
        </w:rPr>
        <w:t>-</w:t>
      </w:r>
      <w:r w:rsidRPr="003D1949">
        <w:rPr>
          <w:rFonts w:asciiTheme="majorBidi" w:eastAsia="Aptos" w:hAnsiTheme="majorBidi" w:cstheme="majorBidi"/>
          <w:sz w:val="24"/>
          <w:szCs w:val="24"/>
          <w:lang w:val="x-none"/>
        </w:rPr>
        <w:t>Zajc</w:t>
      </w:r>
      <w:r>
        <w:rPr>
          <w:rFonts w:asciiTheme="majorBidi" w:eastAsia="Aptos" w:hAnsiTheme="majorBidi" w:cstheme="majorBidi"/>
          <w:sz w:val="24"/>
          <w:szCs w:val="24"/>
          <w:lang w:val="x-none"/>
        </w:rPr>
        <w:t xml:space="preserve"> et Th. Karsenti (</w:t>
      </w:r>
      <w:proofErr w:type="spellStart"/>
      <w:r>
        <w:rPr>
          <w:rFonts w:asciiTheme="majorBidi" w:eastAsia="Aptos" w:hAnsiTheme="majorBidi" w:cstheme="majorBidi"/>
          <w:sz w:val="24"/>
          <w:szCs w:val="24"/>
          <w:lang w:val="x-none"/>
        </w:rPr>
        <w:t>dir</w:t>
      </w:r>
      <w:proofErr w:type="spellEnd"/>
      <w:r>
        <w:rPr>
          <w:rFonts w:asciiTheme="majorBidi" w:eastAsia="Aptos" w:hAnsiTheme="majorBidi" w:cstheme="majorBidi"/>
          <w:sz w:val="24"/>
          <w:szCs w:val="24"/>
          <w:lang w:val="x-none"/>
        </w:rPr>
        <w:t>), La recherche en éducation : étapes et approches, Sherbrooke, Editions du CRP, p. 109-122</w:t>
      </w:r>
      <w:r w:rsidRPr="003D1949">
        <w:rPr>
          <w:rFonts w:asciiTheme="majorBidi" w:eastAsia="Aptos" w:hAnsiTheme="majorBidi" w:cstheme="majorBidi"/>
          <w:sz w:val="24"/>
          <w:szCs w:val="24"/>
          <w:lang w:val="x-none"/>
        </w:rPr>
        <w:t>.</w:t>
      </w:r>
    </w:p>
    <w:p w14:paraId="6566F5C5" w14:textId="77777777" w:rsidR="00D80693" w:rsidRDefault="00D80693" w:rsidP="00D92213">
      <w:pPr>
        <w:spacing w:before="120"/>
        <w:ind w:left="851" w:hanging="851"/>
        <w:jc w:val="both"/>
        <w:rPr>
          <w:rFonts w:eastAsia="Aptos"/>
          <w:sz w:val="24"/>
          <w:szCs w:val="24"/>
          <w:lang w:val="en-US"/>
        </w:rPr>
      </w:pPr>
      <w:r w:rsidRPr="003E461A">
        <w:rPr>
          <w:rFonts w:asciiTheme="majorBidi" w:eastAsia="Aptos" w:hAnsiTheme="majorBidi" w:cstheme="majorBidi"/>
          <w:sz w:val="24"/>
          <w:szCs w:val="24"/>
          <w:lang w:val="en-US"/>
        </w:rPr>
        <w:t xml:space="preserve">Shapiro, B. L. (2014). </w:t>
      </w:r>
      <w:r w:rsidRPr="00143643">
        <w:rPr>
          <w:rFonts w:asciiTheme="majorBidi" w:eastAsia="Aptos" w:hAnsiTheme="majorBidi" w:cstheme="majorBidi"/>
          <w:i/>
          <w:iCs/>
          <w:sz w:val="24"/>
          <w:szCs w:val="24"/>
          <w:lang w:val="en-US"/>
        </w:rPr>
        <w:t>Historical Context in Science Education</w:t>
      </w:r>
      <w:r w:rsidRPr="00DA69D7">
        <w:rPr>
          <w:rFonts w:asciiTheme="majorBidi" w:eastAsia="Aptos" w:hAnsiTheme="majorBidi" w:cstheme="majorBidi"/>
          <w:sz w:val="24"/>
          <w:szCs w:val="24"/>
          <w:lang w:val="en-US"/>
        </w:rPr>
        <w:t xml:space="preserve">. Brigham Young University. </w:t>
      </w:r>
    </w:p>
    <w:p w14:paraId="39EF7636" w14:textId="77777777" w:rsidR="00D80693" w:rsidRPr="00DA69D7" w:rsidRDefault="00D80693" w:rsidP="00D92213">
      <w:pPr>
        <w:spacing w:before="120"/>
        <w:ind w:left="851" w:hanging="851"/>
        <w:jc w:val="both"/>
        <w:rPr>
          <w:rFonts w:eastAsia="Calibri"/>
          <w:kern w:val="2"/>
          <w:sz w:val="24"/>
          <w:szCs w:val="24"/>
          <w:lang w:val="en-US"/>
          <w14:ligatures w14:val="standardContextual"/>
        </w:rPr>
      </w:pPr>
      <w:r w:rsidRPr="00DA69D7">
        <w:rPr>
          <w:rFonts w:eastAsia="Calibri"/>
          <w:kern w:val="2"/>
          <w:sz w:val="24"/>
          <w:szCs w:val="24"/>
          <w:lang w:val="en-US"/>
          <w14:ligatures w14:val="standardContextual"/>
        </w:rPr>
        <w:t xml:space="preserve">Trumbull, D. J., Bonney, R., Bascom, D., &amp; Cabral, A. (2000). Thinking scientifically during participation in a citizen-science project. </w:t>
      </w:r>
      <w:r w:rsidRPr="00DA69D7">
        <w:rPr>
          <w:rFonts w:eastAsia="Calibri"/>
          <w:i/>
          <w:iCs/>
          <w:kern w:val="2"/>
          <w:sz w:val="24"/>
          <w:szCs w:val="24"/>
          <w:lang w:val="en-US"/>
          <w14:ligatures w14:val="standardContextual"/>
        </w:rPr>
        <w:t>Science Education</w:t>
      </w:r>
      <w:r w:rsidRPr="00DA69D7">
        <w:rPr>
          <w:rFonts w:eastAsia="Calibri"/>
          <w:kern w:val="2"/>
          <w:sz w:val="24"/>
          <w:szCs w:val="24"/>
          <w:lang w:val="en-US"/>
          <w14:ligatures w14:val="standardContextual"/>
        </w:rPr>
        <w:t>, 84(2), 265–275.</w:t>
      </w:r>
    </w:p>
    <w:p w14:paraId="5C9664B6" w14:textId="77777777" w:rsidR="00D80693" w:rsidRPr="00D200DE" w:rsidRDefault="00D80693" w:rsidP="00D92213">
      <w:pPr>
        <w:spacing w:before="120"/>
        <w:ind w:left="851" w:hanging="851"/>
        <w:jc w:val="both"/>
        <w:rPr>
          <w:rFonts w:eastAsia="Aptos"/>
          <w:sz w:val="24"/>
          <w:szCs w:val="24"/>
          <w:lang w:val="fr-SN"/>
        </w:rPr>
      </w:pPr>
      <w:r w:rsidRPr="00DA69D7">
        <w:rPr>
          <w:rFonts w:asciiTheme="majorBidi" w:eastAsia="Aptos" w:hAnsiTheme="majorBidi" w:cstheme="majorBidi"/>
          <w:sz w:val="24"/>
          <w:szCs w:val="24"/>
          <w:lang w:val="en-US"/>
        </w:rPr>
        <w:t xml:space="preserve">Vygotsky, L. S. (1978). </w:t>
      </w:r>
      <w:r w:rsidRPr="00143643">
        <w:rPr>
          <w:rFonts w:asciiTheme="majorBidi" w:eastAsia="Aptos" w:hAnsiTheme="majorBidi" w:cstheme="majorBidi"/>
          <w:i/>
          <w:iCs/>
          <w:sz w:val="24"/>
          <w:szCs w:val="24"/>
          <w:lang w:val="en-US"/>
        </w:rPr>
        <w:t>Mind in Society: The Development of Higher Psychological Processes</w:t>
      </w:r>
      <w:r w:rsidRPr="00DA69D7">
        <w:rPr>
          <w:rFonts w:asciiTheme="majorBidi" w:eastAsia="Aptos" w:hAnsiTheme="majorBidi" w:cstheme="majorBidi"/>
          <w:sz w:val="24"/>
          <w:szCs w:val="24"/>
          <w:lang w:val="en-US"/>
        </w:rPr>
        <w:t xml:space="preserve">. </w:t>
      </w:r>
      <w:r w:rsidRPr="00D200DE">
        <w:rPr>
          <w:rFonts w:asciiTheme="majorBidi" w:eastAsia="Aptos" w:hAnsiTheme="majorBidi" w:cstheme="majorBidi"/>
          <w:sz w:val="24"/>
          <w:szCs w:val="24"/>
          <w:lang w:val="fr-SN"/>
        </w:rPr>
        <w:t xml:space="preserve">Harvard </w:t>
      </w:r>
      <w:proofErr w:type="spellStart"/>
      <w:r w:rsidRPr="00D200DE">
        <w:rPr>
          <w:rFonts w:asciiTheme="majorBidi" w:eastAsia="Aptos" w:hAnsiTheme="majorBidi" w:cstheme="majorBidi"/>
          <w:sz w:val="24"/>
          <w:szCs w:val="24"/>
          <w:lang w:val="fr-SN"/>
        </w:rPr>
        <w:t>University</w:t>
      </w:r>
      <w:proofErr w:type="spellEnd"/>
      <w:r w:rsidRPr="00D200DE">
        <w:rPr>
          <w:rFonts w:asciiTheme="majorBidi" w:eastAsia="Aptos" w:hAnsiTheme="majorBidi" w:cstheme="majorBidi"/>
          <w:sz w:val="24"/>
          <w:szCs w:val="24"/>
          <w:lang w:val="fr-SN"/>
        </w:rPr>
        <w:t xml:space="preserve"> Press, pp. 86–110.</w:t>
      </w:r>
    </w:p>
    <w:p w14:paraId="10A288A4" w14:textId="77777777" w:rsidR="00D80693" w:rsidRPr="00473A45" w:rsidRDefault="00D80693" w:rsidP="00D92213">
      <w:pPr>
        <w:ind w:left="851" w:hanging="851"/>
        <w:jc w:val="both"/>
        <w:rPr>
          <w:rFonts w:eastAsia="Aptos"/>
          <w:sz w:val="24"/>
          <w:szCs w:val="24"/>
          <w:lang w:val="fr-SN"/>
        </w:rPr>
        <w:sectPr w:rsidR="00D80693" w:rsidRPr="00473A45" w:rsidSect="006C61DE">
          <w:headerReference w:type="default" r:id="rId99"/>
          <w:pgSz w:w="11906" w:h="16838"/>
          <w:pgMar w:top="1417" w:right="1417" w:bottom="1417" w:left="1417" w:header="567" w:footer="954" w:gutter="0"/>
          <w:cols w:space="708"/>
          <w:docGrid w:linePitch="360"/>
        </w:sectPr>
      </w:pPr>
    </w:p>
    <w:p w14:paraId="4660ABFB" w14:textId="1047678D" w:rsidR="00D80693" w:rsidRPr="00D92213" w:rsidRDefault="00D92213" w:rsidP="00D92213">
      <w:pPr>
        <w:pStyle w:val="Titre1"/>
        <w:spacing w:before="120"/>
        <w:ind w:left="164"/>
        <w:rPr>
          <w:i/>
          <w:iCs/>
          <w:lang w:val="fr" w:eastAsia="fr-SN"/>
        </w:rPr>
      </w:pPr>
      <w:bookmarkStart w:id="171" w:name="_Toc219272571"/>
      <w:r w:rsidRPr="00D92213">
        <w:rPr>
          <w:i/>
          <w:iCs/>
          <w:lang w:val="fr" w:eastAsia="fr-SN"/>
        </w:rPr>
        <w:t>Perceptions d’étudiants en licence 3 d’anglais sur les effets d’une pédagogie numérique sur l’amélioration de leurs compétences scripturales</w:t>
      </w:r>
      <w:bookmarkEnd w:id="171"/>
      <w:r w:rsidRPr="00D92213">
        <w:rPr>
          <w:i/>
          <w:iCs/>
          <w:lang w:val="fr" w:eastAsia="fr-SN"/>
        </w:rPr>
        <w:t xml:space="preserve"> </w:t>
      </w:r>
    </w:p>
    <w:p w14:paraId="31265F5A" w14:textId="77777777" w:rsidR="00D80693" w:rsidRPr="00D92213" w:rsidRDefault="00D80693" w:rsidP="00D92213">
      <w:pPr>
        <w:pStyle w:val="Titre1"/>
        <w:spacing w:before="120"/>
        <w:ind w:left="164"/>
        <w:rPr>
          <w:rFonts w:ascii="Arial" w:eastAsia="Arial" w:hAnsi="Arial" w:cs="Arial"/>
          <w:lang w:val="fr" w:eastAsia="fr-SN"/>
        </w:rPr>
      </w:pPr>
      <w:bookmarkStart w:id="172" w:name="_heading=h.cxav86b3ww9y" w:colFirst="0" w:colLast="0"/>
      <w:bookmarkStart w:id="173" w:name="_Toc219272572"/>
      <w:bookmarkEnd w:id="172"/>
      <w:r w:rsidRPr="00D92213">
        <w:rPr>
          <w:rFonts w:eastAsia="Arial" w:cs="Arial"/>
          <w:color w:val="000000"/>
          <w:lang w:val="fr" w:eastAsia="fr-SN"/>
        </w:rPr>
        <w:t>Papa Meïssa COULIBALY</w:t>
      </w:r>
      <w:r w:rsidRPr="00D92213">
        <w:rPr>
          <w:rFonts w:ascii="Arial" w:eastAsia="Arial" w:hAnsi="Arial" w:cs="Arial"/>
          <w:lang w:val="fr" w:eastAsia="fr-SN"/>
        </w:rPr>
        <w:t xml:space="preserve">, </w:t>
      </w:r>
      <w:r w:rsidRPr="00D92213">
        <w:rPr>
          <w:lang w:val="fr" w:eastAsia="fr-SN"/>
        </w:rPr>
        <w:t>Papa Mamour DIOP</w:t>
      </w:r>
      <w:bookmarkEnd w:id="173"/>
    </w:p>
    <w:p w14:paraId="2824BE90" w14:textId="77777777" w:rsidR="00D80693" w:rsidRPr="004D31BF" w:rsidRDefault="00D80693" w:rsidP="00D80693">
      <w:pPr>
        <w:spacing w:line="276" w:lineRule="auto"/>
        <w:rPr>
          <w:rFonts w:ascii="Arial" w:eastAsia="Arial" w:hAnsi="Arial" w:cs="Arial"/>
          <w:bCs/>
          <w:color w:val="000000"/>
          <w:lang w:val="fr" w:eastAsia="fr-SN"/>
        </w:rPr>
      </w:pPr>
    </w:p>
    <w:sdt>
      <w:sdtPr>
        <w:tag w:val="goog_rdk_0"/>
        <w:id w:val="1340545440"/>
      </w:sdtPr>
      <w:sdtContent>
        <w:p w14:paraId="24AF5D00" w14:textId="77777777" w:rsidR="00D80693" w:rsidRDefault="00D80693" w:rsidP="00D80693">
          <w:pPr>
            <w:spacing w:line="276" w:lineRule="auto"/>
            <w:rPr>
              <w:rFonts w:ascii="Arial" w:eastAsia="Arial" w:hAnsi="Arial" w:cs="Arial"/>
              <w:b/>
              <w:bCs/>
              <w:color w:val="000000"/>
              <w:lang w:val="fr" w:eastAsia="fr-SN"/>
            </w:rPr>
          </w:pPr>
          <w:r>
            <w:rPr>
              <w:rFonts w:ascii="Arial" w:eastAsia="Arial" w:hAnsi="Arial" w:cs="Arial"/>
              <w:b/>
              <w:bCs/>
              <w:color w:val="000000"/>
              <w:lang w:val="fr" w:eastAsia="fr-SN"/>
            </w:rPr>
            <w:t>Résumé</w:t>
          </w:r>
        </w:p>
      </w:sdtContent>
    </w:sdt>
    <w:p w14:paraId="768F95CC" w14:textId="77777777" w:rsidR="00D80693" w:rsidRDefault="00D80693" w:rsidP="00D80693">
      <w:pPr>
        <w:ind w:right="-326"/>
        <w:jc w:val="both"/>
        <w:rPr>
          <w:sz w:val="24"/>
          <w:szCs w:val="24"/>
          <w:lang w:val="fr" w:eastAsia="fr-SN"/>
        </w:rPr>
      </w:pPr>
      <w:r>
        <w:rPr>
          <w:sz w:val="24"/>
          <w:szCs w:val="24"/>
          <w:lang w:val="fr" w:eastAsia="fr-SN"/>
        </w:rPr>
        <w:t>La présente étude explore les perceptions d'étudiants en Licence 3 d’anglais ayant suivi un cours expérimental de rédaction académique basé sur une pédagogie numérique socio-constructiviste. Le cours a été préalablement déployé selon deux modalités : le présentiel enrichi et l'enseignement entièrement en ligne (E-learning). Les résultats du questionnaire révèlent une satisfaction élevée pour la pédagogie numérique, indépendamment de la modalité. En effet, les étudiants qui ont suivi le cours en présentiel enrichi ont particulièrement apprécié l'innovation, la collaboration via les outils numériques et le rôle de guide facilitateur de l'enseignant. Ceux en E-learning ont salué la qualité et la clarté des contenus et le développement de leur autonomie. Ces retours confirment la pertinence de l'intégration des TICE dans la didactique de la production écrite. Toutefois, l'efficacité de ces modalités est compromise par des défis infrastructurels majeurs dans le contexte sénégalais, notamment la fracture numérique et les limites techniques de l'équipement.</w:t>
      </w:r>
    </w:p>
    <w:p w14:paraId="7D72BA47" w14:textId="77777777" w:rsidR="00D80693" w:rsidRDefault="00D80693" w:rsidP="00D80693">
      <w:pPr>
        <w:ind w:right="-326"/>
        <w:jc w:val="both"/>
        <w:rPr>
          <w:sz w:val="24"/>
          <w:szCs w:val="24"/>
          <w:lang w:val="fr" w:eastAsia="fr-SN"/>
        </w:rPr>
      </w:pPr>
    </w:p>
    <w:p w14:paraId="356129B5" w14:textId="77777777" w:rsidR="00D80693" w:rsidRDefault="00D80693" w:rsidP="00D80693">
      <w:pPr>
        <w:ind w:right="-326"/>
        <w:jc w:val="both"/>
        <w:rPr>
          <w:sz w:val="24"/>
          <w:szCs w:val="24"/>
          <w:lang w:val="fr" w:eastAsia="fr-SN"/>
        </w:rPr>
      </w:pPr>
      <w:r>
        <w:rPr>
          <w:b/>
          <w:bCs/>
          <w:sz w:val="24"/>
          <w:szCs w:val="24"/>
          <w:lang w:val="fr" w:eastAsia="fr-SN"/>
        </w:rPr>
        <w:t xml:space="preserve">Mots-clés : </w:t>
      </w:r>
      <w:r>
        <w:rPr>
          <w:sz w:val="24"/>
          <w:szCs w:val="24"/>
          <w:lang w:val="fr" w:eastAsia="fr-SN"/>
        </w:rPr>
        <w:t xml:space="preserve">E-Learning - Pédagogie numérique - Présentiel enrichi - Production écrite - TICE </w:t>
      </w:r>
    </w:p>
    <w:p w14:paraId="6B89DE97" w14:textId="77777777" w:rsidR="00D80693" w:rsidRDefault="00D80693" w:rsidP="00D80693">
      <w:pPr>
        <w:ind w:right="-326"/>
        <w:jc w:val="both"/>
        <w:rPr>
          <w:sz w:val="24"/>
          <w:szCs w:val="24"/>
          <w:lang w:val="fr" w:eastAsia="fr-SN"/>
        </w:rPr>
      </w:pPr>
    </w:p>
    <w:p w14:paraId="232D3EE5" w14:textId="77777777" w:rsidR="00D80693" w:rsidRDefault="00D80693" w:rsidP="00D80693">
      <w:pPr>
        <w:ind w:right="-326"/>
        <w:jc w:val="both"/>
        <w:rPr>
          <w:sz w:val="24"/>
          <w:szCs w:val="24"/>
          <w:lang w:val="fr" w:eastAsia="fr-SN"/>
        </w:rPr>
      </w:pPr>
    </w:p>
    <w:bookmarkStart w:id="174" w:name="_heading=h.y5wkenaqfq9m" w:colFirst="0" w:colLast="0" w:displacedByCustomXml="next"/>
    <w:bookmarkEnd w:id="174" w:displacedByCustomXml="next"/>
    <w:sdt>
      <w:sdtPr>
        <w:tag w:val="goog_rdk_1"/>
        <w:id w:val="685064536"/>
      </w:sdtPr>
      <w:sdtContent>
        <w:p w14:paraId="19D28A5F" w14:textId="77777777" w:rsidR="00D80693" w:rsidRPr="004D31BF" w:rsidRDefault="00D80693" w:rsidP="00D80693">
          <w:pPr>
            <w:rPr>
              <w:b/>
              <w:bCs/>
              <w:sz w:val="24"/>
              <w:szCs w:val="24"/>
              <w:lang w:val="en-US" w:eastAsia="fr-SN"/>
            </w:rPr>
          </w:pPr>
          <w:r w:rsidRPr="0065773E">
            <w:rPr>
              <w:b/>
              <w:bCs/>
              <w:sz w:val="24"/>
              <w:szCs w:val="24"/>
              <w:lang w:val="en-US" w:eastAsia="fr-SN"/>
            </w:rPr>
            <w:t>Abstract</w:t>
          </w:r>
        </w:p>
      </w:sdtContent>
    </w:sdt>
    <w:p w14:paraId="3D131450" w14:textId="77777777" w:rsidR="00D80693" w:rsidRPr="004D31BF" w:rsidRDefault="00D80693" w:rsidP="00D80693">
      <w:pPr>
        <w:ind w:right="-326"/>
        <w:jc w:val="both"/>
        <w:rPr>
          <w:sz w:val="24"/>
          <w:szCs w:val="24"/>
          <w:lang w:val="en-US" w:eastAsia="fr-SN"/>
        </w:rPr>
      </w:pPr>
      <w:r w:rsidRPr="004D31BF">
        <w:rPr>
          <w:sz w:val="24"/>
          <w:szCs w:val="24"/>
          <w:lang w:val="en-US" w:eastAsia="fr-SN"/>
        </w:rPr>
        <w:t xml:space="preserve">The present study explores the perceptions of third-year students of English who participated in an experimental academic writing course based on a socio-constructivist digital pedagogy. The course was implemented in two formats: blended learning and fully online learning (E-learning). Results from the questionnaire reveal great satisfaction with </w:t>
      </w:r>
      <w:proofErr w:type="gramStart"/>
      <w:r w:rsidRPr="004D31BF">
        <w:rPr>
          <w:sz w:val="24"/>
          <w:szCs w:val="24"/>
          <w:lang w:val="en-US" w:eastAsia="fr-SN"/>
        </w:rPr>
        <w:t>the digital</w:t>
      </w:r>
      <w:proofErr w:type="gramEnd"/>
      <w:r w:rsidRPr="004D31BF">
        <w:rPr>
          <w:sz w:val="24"/>
          <w:szCs w:val="24"/>
          <w:lang w:val="en-US" w:eastAsia="fr-SN"/>
        </w:rPr>
        <w:t xml:space="preserve"> pedagogy, regardless of the learning mode. As a matter of fact, students who took the blended course particularly appreciated the innovation, collaboration through digital tools, and the teacher’s role as a guiding facilitator. Those in the E-learning format praised the quality and clarity of the course materials as well as the development of their autonomy. These findings confirm the relevance of integrating ICT into the teaching of writing skills. However, the effectiveness of these modalities is hindered by major infrastructural challenges in the Senegalese context, particularly the digital divide and technical limitations of available equipment.</w:t>
      </w:r>
    </w:p>
    <w:p w14:paraId="1FFF0493" w14:textId="77777777" w:rsidR="00D80693" w:rsidRPr="004D31BF" w:rsidRDefault="00D80693" w:rsidP="00D80693">
      <w:pPr>
        <w:ind w:right="-326"/>
        <w:jc w:val="both"/>
        <w:rPr>
          <w:sz w:val="24"/>
          <w:szCs w:val="24"/>
          <w:lang w:val="en-US" w:eastAsia="fr-SN"/>
        </w:rPr>
      </w:pPr>
    </w:p>
    <w:bookmarkStart w:id="175" w:name="_heading=h.xm0smi8tnjq6" w:colFirst="0" w:colLast="0"/>
    <w:bookmarkEnd w:id="175"/>
    <w:p w14:paraId="7B867EC0" w14:textId="77777777" w:rsidR="00D92213" w:rsidRDefault="00D80693" w:rsidP="00D92213">
      <w:pPr>
        <w:rPr>
          <w:b/>
          <w:bCs/>
          <w:sz w:val="24"/>
          <w:szCs w:val="24"/>
          <w:lang w:val="en-US" w:eastAsia="fr-SN"/>
        </w:rPr>
      </w:pPr>
      <w:sdt>
        <w:sdtPr>
          <w:rPr>
            <w:b/>
            <w:bCs/>
          </w:rPr>
          <w:tag w:val="goog_rdk_2"/>
          <w:id w:val="403212551"/>
        </w:sdtPr>
        <w:sdtEndPr>
          <w:rPr>
            <w:b w:val="0"/>
            <w:bCs w:val="0"/>
          </w:rPr>
        </w:sdtEndPr>
        <w:sdtContent>
          <w:r w:rsidRPr="0065773E">
            <w:rPr>
              <w:b/>
              <w:bCs/>
              <w:sz w:val="24"/>
              <w:szCs w:val="24"/>
              <w:lang w:val="en-US" w:eastAsia="fr-SN"/>
            </w:rPr>
            <w:t>Keywords:</w:t>
          </w:r>
          <w:r w:rsidRPr="0065773E">
            <w:rPr>
              <w:rFonts w:ascii="Arial" w:eastAsia="Arial" w:hAnsi="Arial" w:cs="Arial"/>
              <w:b/>
              <w:bCs/>
              <w:sz w:val="34"/>
              <w:szCs w:val="34"/>
              <w:lang w:val="en-US" w:eastAsia="fr-SN"/>
            </w:rPr>
            <w:t xml:space="preserve"> </w:t>
          </w:r>
          <w:r w:rsidRPr="00CF73D0">
            <w:rPr>
              <w:sz w:val="24"/>
              <w:szCs w:val="24"/>
              <w:lang w:val="en-US" w:eastAsia="fr-SN"/>
            </w:rPr>
            <w:t>Blended learning - Digital pedagogy - E-learning - ICTE - Writing skills</w:t>
          </w:r>
        </w:sdtContent>
      </w:sdt>
      <w:bookmarkStart w:id="176" w:name="_heading=h.h2xogu2oz7r3" w:colFirst="0" w:colLast="0"/>
      <w:bookmarkEnd w:id="176"/>
    </w:p>
    <w:p w14:paraId="75BC6713" w14:textId="77777777" w:rsidR="00D92213" w:rsidRDefault="00D92213" w:rsidP="00D92213">
      <w:pPr>
        <w:rPr>
          <w:b/>
          <w:bCs/>
          <w:sz w:val="24"/>
          <w:szCs w:val="24"/>
          <w:lang w:val="en-US" w:eastAsia="fr-SN"/>
        </w:rPr>
      </w:pPr>
    </w:p>
    <w:p w14:paraId="766E3423" w14:textId="77777777" w:rsidR="001947E3" w:rsidRDefault="001947E3">
      <w:pPr>
        <w:rPr>
          <w:b/>
          <w:bCs/>
          <w:sz w:val="24"/>
          <w:szCs w:val="24"/>
          <w:lang w:val="en-US" w:eastAsia="fr-SN"/>
        </w:rPr>
      </w:pPr>
      <w:r>
        <w:rPr>
          <w:b/>
          <w:bCs/>
          <w:sz w:val="24"/>
          <w:szCs w:val="24"/>
          <w:lang w:val="en-US" w:eastAsia="fr-SN"/>
        </w:rPr>
        <w:br w:type="page"/>
      </w:r>
    </w:p>
    <w:p w14:paraId="5299712A" w14:textId="45B2C64C" w:rsidR="00D80693" w:rsidRPr="001928FA" w:rsidRDefault="00D80693" w:rsidP="00D92213">
      <w:pPr>
        <w:rPr>
          <w:b/>
          <w:bCs/>
          <w:sz w:val="24"/>
          <w:szCs w:val="24"/>
          <w:lang w:eastAsia="fr-SN"/>
        </w:rPr>
      </w:pPr>
      <w:r>
        <w:rPr>
          <w:b/>
          <w:bCs/>
          <w:sz w:val="28"/>
          <w:szCs w:val="28"/>
          <w:lang w:val="fr" w:eastAsia="fr-SN"/>
        </w:rPr>
        <w:t>Introduction</w:t>
      </w:r>
    </w:p>
    <w:p w14:paraId="63973FA8" w14:textId="77777777" w:rsidR="00D80693" w:rsidRDefault="00D80693" w:rsidP="00D92213">
      <w:pPr>
        <w:spacing w:before="120"/>
        <w:jc w:val="both"/>
        <w:rPr>
          <w:sz w:val="24"/>
          <w:szCs w:val="24"/>
          <w:lang w:val="fr" w:eastAsia="fr-SN"/>
        </w:rPr>
      </w:pPr>
      <w:r>
        <w:rPr>
          <w:sz w:val="24"/>
          <w:szCs w:val="24"/>
          <w:lang w:val="fr" w:eastAsia="fr-SN"/>
        </w:rPr>
        <w:t xml:space="preserve">Les nouvelles technologies numériques ont transformé de manière drastique les manières d’enseigner, d’apprendre et de communiquer dans les universités africaines (Diouf et Ndiaye, 2021). Elles ont enrichi l’enseignement des langues de nouveaux outils incluant des plateformes collaboratives, des environnements d’apprentissage en ligne ou des logiciels utilisant l’intelligence artificielle (Golan et al. 2023) à l’instar de </w:t>
      </w:r>
      <w:proofErr w:type="spellStart"/>
      <w:r>
        <w:rPr>
          <w:sz w:val="24"/>
          <w:szCs w:val="24"/>
          <w:lang w:val="fr" w:eastAsia="fr-SN"/>
        </w:rPr>
        <w:t>Writeful</w:t>
      </w:r>
      <w:proofErr w:type="spellEnd"/>
      <w:r>
        <w:rPr>
          <w:sz w:val="24"/>
          <w:szCs w:val="24"/>
          <w:lang w:val="fr" w:eastAsia="fr-SN"/>
        </w:rPr>
        <w:t xml:space="preserve">, </w:t>
      </w:r>
      <w:proofErr w:type="spellStart"/>
      <w:r>
        <w:rPr>
          <w:sz w:val="24"/>
          <w:szCs w:val="24"/>
          <w:lang w:val="fr" w:eastAsia="fr-SN"/>
        </w:rPr>
        <w:t>Perplexity</w:t>
      </w:r>
      <w:proofErr w:type="spellEnd"/>
      <w:r>
        <w:rPr>
          <w:sz w:val="24"/>
          <w:szCs w:val="24"/>
          <w:lang w:val="fr" w:eastAsia="fr-SN"/>
        </w:rPr>
        <w:t xml:space="preserve"> ou </w:t>
      </w:r>
      <w:proofErr w:type="spellStart"/>
      <w:r>
        <w:rPr>
          <w:sz w:val="24"/>
          <w:szCs w:val="24"/>
          <w:lang w:val="fr" w:eastAsia="fr-SN"/>
        </w:rPr>
        <w:t>Semantic</w:t>
      </w:r>
      <w:proofErr w:type="spellEnd"/>
      <w:r>
        <w:rPr>
          <w:sz w:val="24"/>
          <w:szCs w:val="24"/>
          <w:lang w:val="fr" w:eastAsia="fr-SN"/>
        </w:rPr>
        <w:t xml:space="preserve"> Scholar. Elles ont aussi facilité l’accès aux ressources pédagogiques, dynamisé les cours en présentiel et à distance et renforcé l’autonomie et la collaboration entre les étudiants (Warschauer, 2009 ; </w:t>
      </w:r>
      <w:proofErr w:type="spellStart"/>
      <w:r>
        <w:rPr>
          <w:sz w:val="24"/>
          <w:szCs w:val="24"/>
          <w:lang w:val="fr" w:eastAsia="fr-SN"/>
        </w:rPr>
        <w:t>Palaigeorgiou</w:t>
      </w:r>
      <w:proofErr w:type="spellEnd"/>
      <w:r>
        <w:rPr>
          <w:sz w:val="24"/>
          <w:szCs w:val="24"/>
          <w:lang w:val="fr" w:eastAsia="fr-SN"/>
        </w:rPr>
        <w:t xml:space="preserve"> et </w:t>
      </w:r>
      <w:proofErr w:type="spellStart"/>
      <w:r>
        <w:rPr>
          <w:sz w:val="24"/>
          <w:szCs w:val="24"/>
          <w:lang w:val="fr" w:eastAsia="fr-SN"/>
        </w:rPr>
        <w:t>Grammatikopoulou</w:t>
      </w:r>
      <w:proofErr w:type="spellEnd"/>
      <w:r>
        <w:rPr>
          <w:sz w:val="24"/>
          <w:szCs w:val="24"/>
          <w:lang w:val="fr" w:eastAsia="fr-SN"/>
        </w:rPr>
        <w:t>, 2016). Dans la sous-branche des sciences de l’éducation qu’est la didactique des langues, les usages de ces outils ont été à l’origine d’une panoplie d’innovations pédagogiques fondamentales au développement de compétences en production écrite académique (Hunter, 2019). Ces innovations ouvrent des perspectives intéressantes pour la correction et l’amélioration de la qualité des écrits des étudiants, tout en posant des questions d’ordre pédagogique, méthodologique et éthique quant à leur mise en œuvre dans les dispositifs d’enseignement-apprentissage (Leighton et Griffioen, 2021).</w:t>
      </w:r>
    </w:p>
    <w:p w14:paraId="3C720359" w14:textId="77777777" w:rsidR="00D80693" w:rsidRDefault="00D80693" w:rsidP="00D92213">
      <w:pPr>
        <w:spacing w:before="120"/>
        <w:jc w:val="both"/>
        <w:rPr>
          <w:sz w:val="24"/>
          <w:szCs w:val="24"/>
          <w:lang w:val="fr" w:eastAsia="fr-SN"/>
        </w:rPr>
      </w:pPr>
      <w:r>
        <w:rPr>
          <w:sz w:val="24"/>
          <w:szCs w:val="24"/>
          <w:lang w:val="fr" w:eastAsia="fr-SN"/>
        </w:rPr>
        <w:t xml:space="preserve">En outre, dans un contexte marqué par la massification des effectifs étudiants et l’omniprésence des outils numériques, l'enseignement supérieur se trouve face à un impératif d'innovation </w:t>
      </w:r>
      <w:proofErr w:type="spellStart"/>
      <w:r>
        <w:rPr>
          <w:sz w:val="24"/>
          <w:szCs w:val="24"/>
          <w:lang w:val="fr" w:eastAsia="fr-SN"/>
        </w:rPr>
        <w:t>technopédagogique</w:t>
      </w:r>
      <w:proofErr w:type="spellEnd"/>
      <w:r>
        <w:rPr>
          <w:sz w:val="24"/>
          <w:szCs w:val="24"/>
          <w:lang w:val="fr" w:eastAsia="fr-SN"/>
        </w:rPr>
        <w:t>. La production écrite, compétence transversale et fondamentale pour la plupart des parcours académiques, constitue l'un des domaines où l'intégration des Technologies de l’Information et de la Communication pour l’Enseignement (TICE) offre des opportunités de revisiter les méthodes pédagogiques et les pratiques didactiques.</w:t>
      </w:r>
    </w:p>
    <w:p w14:paraId="7CF735B6" w14:textId="77777777" w:rsidR="00D80693" w:rsidRDefault="00D80693" w:rsidP="00D92213">
      <w:pPr>
        <w:spacing w:before="120"/>
        <w:jc w:val="both"/>
        <w:rPr>
          <w:sz w:val="24"/>
          <w:szCs w:val="24"/>
          <w:lang w:val="fr" w:eastAsia="fr-SN"/>
        </w:rPr>
      </w:pPr>
      <w:r>
        <w:rPr>
          <w:sz w:val="24"/>
          <w:szCs w:val="24"/>
          <w:lang w:val="fr" w:eastAsia="fr-SN"/>
        </w:rPr>
        <w:t xml:space="preserve">La présente étude tirée d’une thèse de doctorat (Coulibaly, 2025), s'inscrit dans le cadre plus vaste d’une étude quasi expérimentale sur les effets d'une pédagogie numérique socioconstructiviste dans l'acquisition de compétences en production écrite à l’université. De manière spécifique, elle se concentre sur un des objectifs de cette recherche à savoir l'exploration des perceptions des étudiants à l'égard des outils numériques et des modalités pédagogiques auxquels ils ont été exposés pendant un semestre. Corrélativement, l’étude est adossée à l’hypothèse que les perceptions des </w:t>
      </w:r>
      <w:proofErr w:type="gramStart"/>
      <w:r>
        <w:rPr>
          <w:sz w:val="24"/>
          <w:szCs w:val="24"/>
          <w:lang w:val="fr" w:eastAsia="fr-SN"/>
        </w:rPr>
        <w:t>étudiants  de</w:t>
      </w:r>
      <w:proofErr w:type="gramEnd"/>
      <w:r>
        <w:rPr>
          <w:sz w:val="24"/>
          <w:szCs w:val="24"/>
          <w:lang w:val="fr" w:eastAsia="fr-SN"/>
        </w:rPr>
        <w:t xml:space="preserve"> licence sur l’usage des TICE et leur incidence dans l’amélioration de leurs performances scripturales sont globalement positives.  L'objectif est de comprendre comment l'expérience qu’ils ont vécue influence leur engagement et leur apprentissage, pour fournir aux chercheurs et praticiens des données précieuses pour l'optimisation des dispositifs d'enseignement-apprentissage. </w:t>
      </w:r>
    </w:p>
    <w:p w14:paraId="32D472CA" w14:textId="77777777" w:rsidR="00D80693" w:rsidRDefault="00D80693" w:rsidP="00D92213">
      <w:pPr>
        <w:spacing w:before="120"/>
        <w:jc w:val="both"/>
        <w:rPr>
          <w:sz w:val="24"/>
          <w:szCs w:val="24"/>
          <w:lang w:val="fr" w:eastAsia="fr-SN"/>
        </w:rPr>
      </w:pPr>
      <w:r>
        <w:rPr>
          <w:sz w:val="24"/>
          <w:szCs w:val="24"/>
          <w:lang w:val="fr" w:eastAsia="fr-SN"/>
        </w:rPr>
        <w:t xml:space="preserve">Pour ce faire, une expérimentation a été menée dans deux universités publiques sénégalaises sur une durée de six semaines, impliquant des étudiants de Licence 3 d’anglais répartis en deux groupes pédagogiques. Le premier groupe a suivi un enseignement en présentiel enrichi par des outils numériques, tandis que le second groupe a évolué dans un dispositif entièrement en ligne (e-learning). Cette double approche a permis d’analyser les effets différenciés de ces modalités sur la production écrite, ainsi que les perceptions des apprenants à l’égard de ces pratiques innovantes. </w:t>
      </w:r>
    </w:p>
    <w:p w14:paraId="1B4489F9" w14:textId="77777777" w:rsidR="00D80693" w:rsidRDefault="00D80693" w:rsidP="00D92213">
      <w:pPr>
        <w:spacing w:before="120"/>
        <w:jc w:val="both"/>
        <w:rPr>
          <w:sz w:val="24"/>
          <w:szCs w:val="24"/>
          <w:lang w:val="fr" w:eastAsia="fr-SN"/>
        </w:rPr>
      </w:pPr>
      <w:r>
        <w:rPr>
          <w:sz w:val="24"/>
          <w:szCs w:val="24"/>
          <w:lang w:val="fr" w:eastAsia="fr-SN"/>
        </w:rPr>
        <w:t xml:space="preserve">Ainsi, l’article s’articule autour de trois grands axes qui dessinent le parcours de l’étude. La première partie ancre l'étude dans le socle du socioconstructivisme dans un contexte </w:t>
      </w:r>
      <w:proofErr w:type="spellStart"/>
      <w:r>
        <w:rPr>
          <w:sz w:val="24"/>
          <w:szCs w:val="24"/>
          <w:lang w:val="fr" w:eastAsia="fr-SN"/>
        </w:rPr>
        <w:t>technopédagogique</w:t>
      </w:r>
      <w:proofErr w:type="spellEnd"/>
      <w:r>
        <w:rPr>
          <w:sz w:val="24"/>
          <w:szCs w:val="24"/>
          <w:lang w:val="fr" w:eastAsia="fr-SN"/>
        </w:rPr>
        <w:t>. Cette section explore la nécessité d'intégrer les connaissances technologiques, pédagogiques et disciplinaires via le modèle TPACK (Mishra et Koehler, 2006) et d'évaluer l'acceptation technologique à travers le modèle TAM (Davis, 1989). Elle propose une analyse contrastée des modalités Présentiel-Enrichi (PE) et E-learning (EL), tout en examinant les enjeux didactiques de l'Intelligence Artificielle (IA). Enfin, elle expose le design de recherche quasi-expérimental mis en œuvre auprès des étudiants de Licence 3 d'anglais.</w:t>
      </w:r>
    </w:p>
    <w:p w14:paraId="2F6DE016" w14:textId="77777777" w:rsidR="00D80693" w:rsidRDefault="00D80693" w:rsidP="00D92213">
      <w:pPr>
        <w:spacing w:before="120"/>
        <w:jc w:val="both"/>
        <w:rPr>
          <w:sz w:val="24"/>
          <w:szCs w:val="24"/>
          <w:lang w:val="fr" w:eastAsia="fr-SN"/>
        </w:rPr>
      </w:pPr>
      <w:r>
        <w:rPr>
          <w:sz w:val="24"/>
          <w:szCs w:val="24"/>
          <w:lang w:val="fr" w:eastAsia="fr-SN"/>
        </w:rPr>
        <w:t>La deuxième partie qui est au cœur de l'étude se concentre sur les résultats et l’analyse des perceptions des étudiants. Elle présente d'abord les effets comparés des modalités sur la production écrite, puis explore en détail le degré de satisfaction globale des apprenants vis-à-vis de la pédagogie numérique. Elle met en lumière le smartphone comme l'outil numérique privilégié par les étudiants, tout en pointant du doigt les obstacles infrastructurels majeurs à l'efficacité du dispositif, tels que la fracture numérique, le coût des données mobiles, et les limites ergonomiques de cet équipement.</w:t>
      </w:r>
    </w:p>
    <w:p w14:paraId="253A8289" w14:textId="77777777" w:rsidR="00D80693" w:rsidRDefault="00D80693" w:rsidP="00D92213">
      <w:pPr>
        <w:spacing w:before="120"/>
        <w:jc w:val="both"/>
        <w:rPr>
          <w:rFonts w:ascii="Arial" w:eastAsia="Arial" w:hAnsi="Arial" w:cs="Arial"/>
          <w:sz w:val="24"/>
          <w:szCs w:val="24"/>
          <w:lang w:val="fr" w:eastAsia="fr-SN"/>
        </w:rPr>
      </w:pPr>
      <w:r>
        <w:rPr>
          <w:sz w:val="24"/>
          <w:szCs w:val="24"/>
          <w:lang w:val="fr" w:eastAsia="fr-SN"/>
        </w:rPr>
        <w:t>Enfin, la troisième partie conclut l'étude par une discussion synthétisant les implications des résultats, et formule des recommandations concrètes et éclairées destinées aux enseignants et aux décideurs. Elle répond ainsi aux obstacles contextuels sénégalais (fracture numérique, sous-équipement…) pour proposer des perspectives d'optimisation de l'enseignement de la rédaction académique dans le contexte africain.</w:t>
      </w:r>
    </w:p>
    <w:bookmarkStart w:id="177" w:name="_heading=h.m94wb0pgz4kf" w:colFirst="0" w:colLast="0" w:displacedByCustomXml="next"/>
    <w:bookmarkEnd w:id="177" w:displacedByCustomXml="next"/>
    <w:sdt>
      <w:sdtPr>
        <w:rPr>
          <w:rFonts w:eastAsiaTheme="majorEastAsia"/>
          <w:b/>
          <w:bCs/>
          <w:sz w:val="24"/>
          <w:szCs w:val="24"/>
        </w:rPr>
        <w:tag w:val="goog_rdk_3"/>
        <w:id w:val="-358003139"/>
      </w:sdtPr>
      <w:sdtContent>
        <w:p w14:paraId="50AE93BE" w14:textId="77777777" w:rsidR="00D80693" w:rsidRPr="0065773E" w:rsidRDefault="00D80693" w:rsidP="00D92213">
          <w:pPr>
            <w:spacing w:before="120"/>
            <w:rPr>
              <w:rFonts w:eastAsiaTheme="majorEastAsia"/>
              <w:b/>
              <w:bCs/>
              <w:sz w:val="24"/>
              <w:szCs w:val="24"/>
            </w:rPr>
          </w:pPr>
          <w:r w:rsidRPr="0065773E">
            <w:rPr>
              <w:rFonts w:eastAsiaTheme="majorEastAsia"/>
              <w:b/>
              <w:bCs/>
              <w:sz w:val="24"/>
              <w:szCs w:val="24"/>
            </w:rPr>
            <w:t xml:space="preserve">1. Cadre théorique </w:t>
          </w:r>
        </w:p>
      </w:sdtContent>
    </w:sdt>
    <w:bookmarkStart w:id="178" w:name="_heading=h.4wifcrlmnbu4" w:colFirst="0" w:colLast="0" w:displacedByCustomXml="next"/>
    <w:bookmarkEnd w:id="178" w:displacedByCustomXml="next"/>
    <w:sdt>
      <w:sdtPr>
        <w:rPr>
          <w:b/>
          <w:bCs/>
        </w:rPr>
        <w:tag w:val="goog_rdk_4"/>
        <w:id w:val="-2088019690"/>
      </w:sdtPr>
      <w:sdtContent>
        <w:p w14:paraId="5466AEEC" w14:textId="77777777" w:rsidR="00D80693" w:rsidRPr="0065773E" w:rsidRDefault="00D80693" w:rsidP="00D92213">
          <w:pPr>
            <w:spacing w:before="120"/>
            <w:rPr>
              <w:b/>
              <w:bCs/>
              <w:color w:val="000000"/>
              <w:sz w:val="24"/>
              <w:szCs w:val="24"/>
              <w:lang w:val="fr" w:eastAsia="fr-SN"/>
            </w:rPr>
          </w:pPr>
          <w:r w:rsidRPr="0065773E">
            <w:rPr>
              <w:b/>
              <w:bCs/>
              <w:color w:val="000000"/>
              <w:sz w:val="24"/>
              <w:szCs w:val="24"/>
              <w:lang w:val="fr" w:eastAsia="fr-SN"/>
            </w:rPr>
            <w:t>1.1 Fondements théoriques de la didactique numérique</w:t>
          </w:r>
        </w:p>
      </w:sdtContent>
    </w:sdt>
    <w:p w14:paraId="025177D8" w14:textId="77777777" w:rsidR="00D80693" w:rsidRDefault="00D80693" w:rsidP="00D92213">
      <w:pPr>
        <w:spacing w:before="120"/>
        <w:jc w:val="both"/>
        <w:rPr>
          <w:sz w:val="24"/>
          <w:szCs w:val="24"/>
          <w:lang w:val="fr" w:eastAsia="fr-SN"/>
        </w:rPr>
      </w:pPr>
      <w:r>
        <w:rPr>
          <w:sz w:val="24"/>
          <w:szCs w:val="24"/>
          <w:lang w:val="fr" w:eastAsia="fr-SN"/>
        </w:rPr>
        <w:t>L'intégration efficace des technologies numériques nécessite une approche rigoureuse, guidée par une synergie entre les connaissances technologiques, pédagogiques et disciplinaires conformément au modèle TPACK (</w:t>
      </w:r>
      <w:proofErr w:type="spellStart"/>
      <w:r>
        <w:rPr>
          <w:sz w:val="24"/>
          <w:szCs w:val="24"/>
          <w:lang w:val="fr" w:eastAsia="fr-SN"/>
        </w:rPr>
        <w:t>Technological</w:t>
      </w:r>
      <w:proofErr w:type="spellEnd"/>
      <w:r>
        <w:rPr>
          <w:sz w:val="24"/>
          <w:szCs w:val="24"/>
          <w:lang w:val="fr" w:eastAsia="fr-SN"/>
        </w:rPr>
        <w:t xml:space="preserve"> </w:t>
      </w:r>
      <w:proofErr w:type="spellStart"/>
      <w:r>
        <w:rPr>
          <w:sz w:val="24"/>
          <w:szCs w:val="24"/>
          <w:lang w:val="fr" w:eastAsia="fr-SN"/>
        </w:rPr>
        <w:t>Pedagogical</w:t>
      </w:r>
      <w:proofErr w:type="spellEnd"/>
      <w:r>
        <w:rPr>
          <w:sz w:val="24"/>
          <w:szCs w:val="24"/>
          <w:lang w:val="fr" w:eastAsia="fr-SN"/>
        </w:rPr>
        <w:t xml:space="preserve"> Content Knowledge) (Mishra et Koehler, 2006 ; Karsenti et </w:t>
      </w:r>
      <w:proofErr w:type="spellStart"/>
      <w:r>
        <w:rPr>
          <w:sz w:val="24"/>
          <w:szCs w:val="24"/>
          <w:lang w:val="fr" w:eastAsia="fr-SN"/>
        </w:rPr>
        <w:t>Bugmann</w:t>
      </w:r>
      <w:proofErr w:type="spellEnd"/>
      <w:r>
        <w:rPr>
          <w:sz w:val="24"/>
          <w:szCs w:val="24"/>
          <w:lang w:val="fr" w:eastAsia="fr-SN"/>
        </w:rPr>
        <w:t xml:space="preserve">, 2018). Dans le contexte de la présente étude, cette approche s'inscrit dans un cadre théorique socio-constructiviste (Vygotsky, 1978) qui stipule que les compétences en rédaction académique se construisent par la collaboration et les interactions sociales médiatisées. Les outils numériques agissent ici comme des médiateurs pour étendre la Zone Proximale de Développement (ZPD) des étudiants (Vygotski, 2003), favorisant ainsi la co-construction des savoirs (Diakhate, 2023) et la différenciation pédagogique (Diallo, 2022). </w:t>
      </w:r>
    </w:p>
    <w:p w14:paraId="0A6F405C" w14:textId="77777777" w:rsidR="00D80693" w:rsidRDefault="00D80693" w:rsidP="00D92213">
      <w:pPr>
        <w:spacing w:before="120"/>
        <w:jc w:val="both"/>
        <w:rPr>
          <w:sz w:val="24"/>
          <w:szCs w:val="24"/>
          <w:lang w:val="fr" w:eastAsia="fr-SN"/>
        </w:rPr>
      </w:pPr>
      <w:r>
        <w:rPr>
          <w:sz w:val="24"/>
          <w:szCs w:val="24"/>
          <w:lang w:val="fr" w:eastAsia="fr-SN"/>
        </w:rPr>
        <w:t>De plus, la nature d'activité cognitive complexe de la production écrite (Levy et Olive, 2001) constitue un impératif pour revisiter sa didactique. Il est donc crucial de gérer la charge cognitive dans les environnements numériques pour assurer l'engagement mental nécessaire à un apprentissage efficace (Karsenti, 2018 ; Ndiaye, 2019). La réussite de l'intégration des TIC est également conditionnée par l'acceptation des outils par les apprenants, nécessitant cet équilibre prescrit par le modèle TAM (</w:t>
      </w:r>
      <w:proofErr w:type="spellStart"/>
      <w:r>
        <w:rPr>
          <w:sz w:val="24"/>
          <w:szCs w:val="24"/>
          <w:lang w:val="fr" w:eastAsia="fr-SN"/>
        </w:rPr>
        <w:t>Technology</w:t>
      </w:r>
      <w:proofErr w:type="spellEnd"/>
      <w:r>
        <w:rPr>
          <w:sz w:val="24"/>
          <w:szCs w:val="24"/>
          <w:lang w:val="fr" w:eastAsia="fr-SN"/>
        </w:rPr>
        <w:t xml:space="preserve"> Acceptance Model) de Davis (1989) entre leur utilité perçue et leur facilité d'usage. </w:t>
      </w:r>
    </w:p>
    <w:p w14:paraId="6904C750" w14:textId="77777777" w:rsidR="00D80693" w:rsidRDefault="00D80693" w:rsidP="00D92213">
      <w:pPr>
        <w:spacing w:before="120"/>
        <w:jc w:val="both"/>
        <w:rPr>
          <w:b/>
          <w:bCs/>
          <w:sz w:val="24"/>
          <w:szCs w:val="24"/>
          <w:lang w:val="fr" w:eastAsia="fr-SN"/>
        </w:rPr>
      </w:pPr>
      <w:r>
        <w:rPr>
          <w:b/>
          <w:bCs/>
          <w:sz w:val="24"/>
          <w:szCs w:val="24"/>
          <w:lang w:val="fr" w:eastAsia="fr-SN"/>
        </w:rPr>
        <w:t xml:space="preserve">1.2 Modèles d'apprentissage </w:t>
      </w:r>
    </w:p>
    <w:p w14:paraId="775F3A3E" w14:textId="77777777" w:rsidR="00D80693" w:rsidRDefault="00D80693" w:rsidP="00D92213">
      <w:pPr>
        <w:spacing w:before="120"/>
        <w:jc w:val="both"/>
        <w:rPr>
          <w:sz w:val="24"/>
          <w:szCs w:val="24"/>
          <w:lang w:val="fr" w:eastAsia="fr-SN"/>
        </w:rPr>
      </w:pPr>
      <w:r>
        <w:rPr>
          <w:sz w:val="24"/>
          <w:szCs w:val="24"/>
          <w:lang w:val="fr" w:eastAsia="fr-SN"/>
        </w:rPr>
        <w:t xml:space="preserve">L'émergence de nouveaux outils d'Intelligence Artificielle (IA) tels que Gemini, </w:t>
      </w:r>
      <w:proofErr w:type="spellStart"/>
      <w:r>
        <w:rPr>
          <w:sz w:val="24"/>
          <w:szCs w:val="24"/>
          <w:lang w:val="fr" w:eastAsia="fr-SN"/>
        </w:rPr>
        <w:t>ChatGPT</w:t>
      </w:r>
      <w:proofErr w:type="spellEnd"/>
      <w:r>
        <w:rPr>
          <w:sz w:val="24"/>
          <w:szCs w:val="24"/>
          <w:lang w:val="fr" w:eastAsia="fr-SN"/>
        </w:rPr>
        <w:t xml:space="preserve"> ou Grammarly ouvre la voie à un accompagnement personnalisé et à une rétroaction instantanée pour les étudiants (Golan et al, 2023). Khalifa et </w:t>
      </w:r>
      <w:proofErr w:type="spellStart"/>
      <w:r>
        <w:rPr>
          <w:sz w:val="24"/>
          <w:szCs w:val="24"/>
          <w:lang w:val="fr" w:eastAsia="fr-SN"/>
        </w:rPr>
        <w:t>Albadawy</w:t>
      </w:r>
      <w:proofErr w:type="spellEnd"/>
      <w:r>
        <w:rPr>
          <w:sz w:val="24"/>
          <w:szCs w:val="24"/>
          <w:lang w:val="fr" w:eastAsia="fr-SN"/>
        </w:rPr>
        <w:t xml:space="preserve"> (2024) préconisent d'ailleurs un recours accru à ces technologies dans le milieu universitaire pour rehausser la qualité des travaux de recherche, en particulier en optimisant leur clarté, leur exactitude et leurs canaux de diffusion. Ils insistent aussi sur la nécessité de maintenir une supervision humaine et d'instaurer un cadre éthique rigoureux. Leur étude identifie six domaines académiques précis où l'IA pourrait renforcer les fonctions traditionnelles :</w:t>
      </w:r>
    </w:p>
    <w:p w14:paraId="1B4A468D" w14:textId="77777777" w:rsidR="00D80693" w:rsidRDefault="00D80693" w:rsidP="00D92213">
      <w:pPr>
        <w:widowControl/>
        <w:numPr>
          <w:ilvl w:val="0"/>
          <w:numId w:val="171"/>
        </w:numPr>
        <w:autoSpaceDE/>
        <w:autoSpaceDN/>
        <w:spacing w:before="120"/>
        <w:jc w:val="both"/>
        <w:rPr>
          <w:sz w:val="24"/>
          <w:szCs w:val="24"/>
          <w:lang w:val="fr" w:eastAsia="fr-SN"/>
        </w:rPr>
      </w:pPr>
      <w:proofErr w:type="gramStart"/>
      <w:r>
        <w:rPr>
          <w:sz w:val="24"/>
          <w:szCs w:val="24"/>
          <w:lang w:val="fr" w:eastAsia="fr-SN"/>
        </w:rPr>
        <w:t>développement</w:t>
      </w:r>
      <w:proofErr w:type="gramEnd"/>
      <w:r>
        <w:rPr>
          <w:sz w:val="24"/>
          <w:szCs w:val="24"/>
          <w:lang w:val="fr" w:eastAsia="fr-SN"/>
        </w:rPr>
        <w:t xml:space="preserve"> d’idées et la conception de la recherche ;</w:t>
      </w:r>
    </w:p>
    <w:p w14:paraId="0B81439A" w14:textId="77777777" w:rsidR="00D80693" w:rsidRDefault="00D80693" w:rsidP="00D92213">
      <w:pPr>
        <w:widowControl/>
        <w:numPr>
          <w:ilvl w:val="0"/>
          <w:numId w:val="171"/>
        </w:numPr>
        <w:autoSpaceDE/>
        <w:autoSpaceDN/>
        <w:spacing w:before="120"/>
        <w:jc w:val="both"/>
        <w:rPr>
          <w:sz w:val="24"/>
          <w:szCs w:val="24"/>
          <w:lang w:val="fr" w:eastAsia="fr-SN"/>
        </w:rPr>
      </w:pPr>
      <w:proofErr w:type="gramStart"/>
      <w:r>
        <w:rPr>
          <w:sz w:val="24"/>
          <w:szCs w:val="24"/>
          <w:lang w:val="fr" w:eastAsia="fr-SN"/>
        </w:rPr>
        <w:t>développement</w:t>
      </w:r>
      <w:proofErr w:type="gramEnd"/>
      <w:r>
        <w:rPr>
          <w:sz w:val="24"/>
          <w:szCs w:val="24"/>
          <w:lang w:val="fr" w:eastAsia="fr-SN"/>
        </w:rPr>
        <w:t xml:space="preserve"> et la structuration des contenus ;</w:t>
      </w:r>
    </w:p>
    <w:p w14:paraId="790B1D25" w14:textId="77777777" w:rsidR="00D80693" w:rsidRDefault="00D80693" w:rsidP="00D92213">
      <w:pPr>
        <w:widowControl/>
        <w:numPr>
          <w:ilvl w:val="0"/>
          <w:numId w:val="171"/>
        </w:numPr>
        <w:autoSpaceDE/>
        <w:autoSpaceDN/>
        <w:spacing w:before="120"/>
        <w:jc w:val="both"/>
        <w:rPr>
          <w:sz w:val="24"/>
          <w:szCs w:val="24"/>
          <w:lang w:val="fr" w:eastAsia="fr-SN"/>
        </w:rPr>
      </w:pPr>
      <w:proofErr w:type="gramStart"/>
      <w:r>
        <w:rPr>
          <w:sz w:val="24"/>
          <w:szCs w:val="24"/>
          <w:lang w:val="fr" w:eastAsia="fr-SN"/>
        </w:rPr>
        <w:t>revue</w:t>
      </w:r>
      <w:proofErr w:type="gramEnd"/>
      <w:r>
        <w:rPr>
          <w:sz w:val="24"/>
          <w:szCs w:val="24"/>
          <w:lang w:val="fr" w:eastAsia="fr-SN"/>
        </w:rPr>
        <w:t xml:space="preserve"> de la littérature et la synthèse ;</w:t>
      </w:r>
    </w:p>
    <w:p w14:paraId="3A6A091B" w14:textId="77777777" w:rsidR="00D80693" w:rsidRDefault="00D80693" w:rsidP="00D92213">
      <w:pPr>
        <w:widowControl/>
        <w:numPr>
          <w:ilvl w:val="0"/>
          <w:numId w:val="171"/>
        </w:numPr>
        <w:autoSpaceDE/>
        <w:autoSpaceDN/>
        <w:spacing w:before="120"/>
        <w:jc w:val="both"/>
        <w:rPr>
          <w:sz w:val="24"/>
          <w:szCs w:val="24"/>
          <w:lang w:val="fr" w:eastAsia="fr-SN"/>
        </w:rPr>
      </w:pPr>
      <w:proofErr w:type="gramStart"/>
      <w:r>
        <w:rPr>
          <w:sz w:val="24"/>
          <w:szCs w:val="24"/>
          <w:lang w:val="fr" w:eastAsia="fr-SN"/>
        </w:rPr>
        <w:t>analyse</w:t>
      </w:r>
      <w:proofErr w:type="gramEnd"/>
      <w:r>
        <w:rPr>
          <w:sz w:val="24"/>
          <w:szCs w:val="24"/>
          <w:lang w:val="fr" w:eastAsia="fr-SN"/>
        </w:rPr>
        <w:t xml:space="preserve"> et la gestion des données ;</w:t>
      </w:r>
    </w:p>
    <w:p w14:paraId="10EC239C" w14:textId="77777777" w:rsidR="00D80693" w:rsidRDefault="00D80693" w:rsidP="00D92213">
      <w:pPr>
        <w:widowControl/>
        <w:numPr>
          <w:ilvl w:val="0"/>
          <w:numId w:val="171"/>
        </w:numPr>
        <w:autoSpaceDE/>
        <w:autoSpaceDN/>
        <w:spacing w:before="120"/>
        <w:jc w:val="both"/>
        <w:rPr>
          <w:sz w:val="24"/>
          <w:szCs w:val="24"/>
          <w:lang w:val="fr" w:eastAsia="fr-SN"/>
        </w:rPr>
      </w:pPr>
      <w:proofErr w:type="gramStart"/>
      <w:r>
        <w:rPr>
          <w:sz w:val="24"/>
          <w:szCs w:val="24"/>
          <w:lang w:val="fr" w:eastAsia="fr-SN"/>
        </w:rPr>
        <w:t>aide</w:t>
      </w:r>
      <w:proofErr w:type="gramEnd"/>
      <w:r>
        <w:rPr>
          <w:sz w:val="24"/>
          <w:szCs w:val="24"/>
          <w:lang w:val="fr" w:eastAsia="fr-SN"/>
        </w:rPr>
        <w:t xml:space="preserve"> à l'édition, à la révision et à la publication ;</w:t>
      </w:r>
    </w:p>
    <w:p w14:paraId="4E1EC022" w14:textId="77777777" w:rsidR="00D80693" w:rsidRDefault="00D80693" w:rsidP="00D92213">
      <w:pPr>
        <w:widowControl/>
        <w:numPr>
          <w:ilvl w:val="0"/>
          <w:numId w:val="171"/>
        </w:numPr>
        <w:autoSpaceDE/>
        <w:autoSpaceDN/>
        <w:spacing w:before="120"/>
        <w:jc w:val="both"/>
        <w:rPr>
          <w:sz w:val="24"/>
          <w:szCs w:val="24"/>
          <w:lang w:val="fr" w:eastAsia="fr-SN"/>
        </w:rPr>
      </w:pPr>
      <w:proofErr w:type="gramStart"/>
      <w:r>
        <w:rPr>
          <w:sz w:val="24"/>
          <w:szCs w:val="24"/>
          <w:lang w:val="fr" w:eastAsia="fr-SN"/>
        </w:rPr>
        <w:t>sensibilisation</w:t>
      </w:r>
      <w:proofErr w:type="gramEnd"/>
      <w:r>
        <w:rPr>
          <w:sz w:val="24"/>
          <w:szCs w:val="24"/>
          <w:lang w:val="fr" w:eastAsia="fr-SN"/>
        </w:rPr>
        <w:t>, la communication et le respect de l'éthique.</w:t>
      </w:r>
    </w:p>
    <w:p w14:paraId="0CBDB57E" w14:textId="77777777" w:rsidR="00D80693" w:rsidRDefault="00D80693" w:rsidP="00D92213">
      <w:pPr>
        <w:spacing w:before="120"/>
        <w:jc w:val="both"/>
        <w:rPr>
          <w:sz w:val="24"/>
          <w:szCs w:val="24"/>
          <w:lang w:val="fr" w:eastAsia="fr-SN"/>
        </w:rPr>
      </w:pPr>
      <w:r>
        <w:rPr>
          <w:sz w:val="24"/>
          <w:szCs w:val="24"/>
          <w:lang w:val="fr" w:eastAsia="fr-SN"/>
        </w:rPr>
        <w:t>Ces différents domaines sont synthétisés dans la figure ci-après.</w:t>
      </w:r>
    </w:p>
    <w:p w14:paraId="64E84DC8" w14:textId="77777777" w:rsidR="00D80693" w:rsidRDefault="00D80693" w:rsidP="00D92213">
      <w:pPr>
        <w:spacing w:before="120"/>
        <w:jc w:val="center"/>
        <w:rPr>
          <w:sz w:val="24"/>
          <w:szCs w:val="24"/>
          <w:lang w:val="fr" w:eastAsia="fr-SN"/>
        </w:rPr>
      </w:pPr>
      <w:r>
        <w:rPr>
          <w:noProof/>
          <w:sz w:val="24"/>
          <w:szCs w:val="24"/>
          <w:lang w:val="fr-SN" w:eastAsia="fr-SN"/>
        </w:rPr>
        <w:drawing>
          <wp:inline distT="114300" distB="114300" distL="114300" distR="114300" wp14:anchorId="53EDFDAE" wp14:editId="5203B131">
            <wp:extent cx="5734050" cy="3055620"/>
            <wp:effectExtent l="0" t="0" r="0" b="0"/>
            <wp:docPr id="65881397" name="image2.png"/>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0"/>
                    <a:srcRect b="3076"/>
                    <a:stretch>
                      <a:fillRect/>
                    </a:stretch>
                  </pic:blipFill>
                  <pic:spPr>
                    <a:xfrm>
                      <a:off x="0" y="0"/>
                      <a:ext cx="5734050" cy="3055620"/>
                    </a:xfrm>
                    <a:prstGeom prst="rect">
                      <a:avLst/>
                    </a:prstGeom>
                  </pic:spPr>
                </pic:pic>
              </a:graphicData>
            </a:graphic>
          </wp:inline>
        </w:drawing>
      </w:r>
    </w:p>
    <w:bookmarkStart w:id="179" w:name="_heading=h.j83nz4jfvace" w:colFirst="0" w:colLast="0" w:displacedByCustomXml="next"/>
    <w:bookmarkEnd w:id="179" w:displacedByCustomXml="next"/>
    <w:sdt>
      <w:sdtPr>
        <w:tag w:val="goog_rdk_5"/>
        <w:id w:val="2029270599"/>
      </w:sdtPr>
      <w:sdtContent>
        <w:p w14:paraId="3EFCD589" w14:textId="77777777" w:rsidR="00D80693" w:rsidRDefault="00D80693" w:rsidP="00D92213">
          <w:pPr>
            <w:spacing w:before="120"/>
            <w:rPr>
              <w:b/>
              <w:bCs/>
              <w:i/>
              <w:iCs/>
              <w:color w:val="000000"/>
              <w:lang w:val="fr" w:eastAsia="fr-SN"/>
            </w:rPr>
          </w:pPr>
          <w:r>
            <w:rPr>
              <w:b/>
              <w:bCs/>
              <w:i/>
              <w:iCs/>
              <w:color w:val="000000"/>
              <w:lang w:val="fr" w:eastAsia="fr-SN"/>
            </w:rPr>
            <w:t xml:space="preserve">Figure n° 1 : Les six domaines où l’IA pourrait améliorer la production écrite académique </w:t>
          </w:r>
        </w:p>
      </w:sdtContent>
    </w:sdt>
    <w:p w14:paraId="0498C77C" w14:textId="77777777" w:rsidR="00D80693" w:rsidRDefault="00D80693" w:rsidP="00D92213">
      <w:pPr>
        <w:spacing w:before="120"/>
        <w:jc w:val="both"/>
        <w:rPr>
          <w:sz w:val="24"/>
          <w:szCs w:val="24"/>
          <w:lang w:val="fr" w:eastAsia="fr-SN"/>
        </w:rPr>
      </w:pPr>
      <w:r>
        <w:rPr>
          <w:sz w:val="24"/>
          <w:szCs w:val="24"/>
          <w:lang w:val="fr" w:eastAsia="fr-SN"/>
        </w:rPr>
        <w:t>C'est dans cette optique que la présente thèse s'inscrit dans l'évaluation des effets d'une pédagogie numérique socio-constructiviste sur l'acquisition de compétences en production écrite chez des étudiants de Licence 3 d'anglais. Elle mène une étude quasi-expérimentale comparant deux modèles d'apprentissage numérique : le Présentiel Enrichi (PE), mis en œuvre à l'Université Gaston Berger (UGB), et l'E-learning (EL), dispensé à l'Université Numérique Cheikh Hamidou Kane (UNCHK). Le choix de ces modalités est stratégique, cherchant à créer un équilibre didactique entre l'instantanéité des interactions physiques et la flexibilité de l'apprentissage à distance, afin d'optimiser l'atteinte des objectifs pédagogiques.</w:t>
      </w:r>
    </w:p>
    <w:p w14:paraId="742983EF" w14:textId="77777777" w:rsidR="00D80693" w:rsidRDefault="00D80693" w:rsidP="00D92213">
      <w:pPr>
        <w:spacing w:before="120"/>
        <w:jc w:val="both"/>
        <w:rPr>
          <w:sz w:val="24"/>
          <w:szCs w:val="24"/>
          <w:lang w:val="fr" w:eastAsia="fr-SN"/>
        </w:rPr>
      </w:pPr>
      <w:r>
        <w:rPr>
          <w:sz w:val="24"/>
          <w:szCs w:val="24"/>
          <w:lang w:val="fr" w:eastAsia="fr-SN"/>
        </w:rPr>
        <w:t>Le modèle du Présentiel Enrichi (PE) se définit par une modalité hybride où les interactions physiques en classe sont complétées et intensifiées par l'usage d'outils numériques. Ce type de dispositif met l'accent sur la dynamique synchrone et la médiation pédagogique directe de l'enseignant (Johnson et al., 1998), dont le rôle est réaffirmé comme celui d'un guide facilitateur (Coulibaly et Coulibaly, 2016). Cette approche vise à favoriser l'appropriation progressive des normes académiques. Les outils numériques mobilisés incluent des plateformes LMS, ainsi que des outils collaboratifs asynchrones tels que Google Docs pour la co-construction et les rétroactions (</w:t>
      </w:r>
      <w:proofErr w:type="spellStart"/>
      <w:r>
        <w:rPr>
          <w:sz w:val="24"/>
          <w:szCs w:val="24"/>
          <w:lang w:val="fr" w:eastAsia="fr-SN"/>
        </w:rPr>
        <w:t>Fall</w:t>
      </w:r>
      <w:proofErr w:type="spellEnd"/>
      <w:r>
        <w:rPr>
          <w:sz w:val="24"/>
          <w:szCs w:val="24"/>
          <w:lang w:val="fr" w:eastAsia="fr-SN"/>
        </w:rPr>
        <w:t>, 2020) et des outils synchrones comme Google Meet ou Microsoft Teams.</w:t>
      </w:r>
    </w:p>
    <w:p w14:paraId="77B76840" w14:textId="77777777" w:rsidR="00D80693" w:rsidRDefault="00D80693" w:rsidP="00D92213">
      <w:pPr>
        <w:spacing w:before="120"/>
        <w:jc w:val="both"/>
        <w:rPr>
          <w:sz w:val="24"/>
          <w:szCs w:val="24"/>
          <w:lang w:val="fr" w:eastAsia="fr-SN"/>
        </w:rPr>
      </w:pPr>
      <w:r>
        <w:rPr>
          <w:sz w:val="24"/>
          <w:szCs w:val="24"/>
          <w:lang w:val="fr" w:eastAsia="fr-SN"/>
        </w:rPr>
        <w:t>Parallèlement, le modèle de l'E-learning (EL) privilégie l'apprentissage à distance, insistant sur la flexibilité et l'autonomie de l'apprenant (</w:t>
      </w:r>
      <w:proofErr w:type="spellStart"/>
      <w:r>
        <w:rPr>
          <w:sz w:val="24"/>
          <w:szCs w:val="24"/>
          <w:lang w:val="fr" w:eastAsia="fr-SN"/>
        </w:rPr>
        <w:t>Portine</w:t>
      </w:r>
      <w:proofErr w:type="spellEnd"/>
      <w:r>
        <w:rPr>
          <w:sz w:val="24"/>
          <w:szCs w:val="24"/>
          <w:lang w:val="fr" w:eastAsia="fr-SN"/>
        </w:rPr>
        <w:t>, 1998). Ce dispositif s'appuie sur le fonctionnement de communautés d'apprentissage virtuelles. En plus des plateformes LMS et d'autres outils collaboratifs (comme Google Docs), la modalité EL se distingue par l'intégration d'outils basés sur l'Intelligence Artificielle (IA). L'usage de cette nouvelle technologie soutient spécifiquement le développement de la méthodologie et de l'autonomie de travail des étudiants.</w:t>
      </w:r>
    </w:p>
    <w:p w14:paraId="522745FA" w14:textId="77777777" w:rsidR="00D80693" w:rsidRDefault="00D80693" w:rsidP="00D92213">
      <w:pPr>
        <w:spacing w:before="120"/>
        <w:jc w:val="both"/>
        <w:rPr>
          <w:sz w:val="24"/>
          <w:szCs w:val="24"/>
          <w:lang w:val="fr" w:eastAsia="fr-SN"/>
        </w:rPr>
      </w:pPr>
      <w:r>
        <w:rPr>
          <w:sz w:val="24"/>
          <w:szCs w:val="24"/>
          <w:lang w:val="fr" w:eastAsia="fr-SN"/>
        </w:rPr>
        <w:t>Quelle que soit la modalité choisie, l'approche pédagogique repose sur l'intégration des Technologies de l'Information et de la Communication (TIC). Dans les deux groupes (PE et EL), le recours à des outils collaboratifs tels que Google Docs a été un levier essentiel pour faciliter la co-construction effective des connaissances et pour instaurer des mécanismes de rétroaction formative par les pairs (</w:t>
      </w:r>
      <w:proofErr w:type="spellStart"/>
      <w:r>
        <w:rPr>
          <w:sz w:val="24"/>
          <w:szCs w:val="24"/>
          <w:lang w:val="fr" w:eastAsia="fr-SN"/>
        </w:rPr>
        <w:t>Fall</w:t>
      </w:r>
      <w:proofErr w:type="spellEnd"/>
      <w:r>
        <w:rPr>
          <w:sz w:val="24"/>
          <w:szCs w:val="24"/>
          <w:lang w:val="fr" w:eastAsia="fr-SN"/>
        </w:rPr>
        <w:t>, 2020), éléments fondamentaux de la pédagogie socio-constructiviste mise en œuvre.</w:t>
      </w:r>
    </w:p>
    <w:p w14:paraId="47B462DC" w14:textId="77777777" w:rsidR="00D80693" w:rsidRDefault="00D80693" w:rsidP="00D92213">
      <w:pPr>
        <w:spacing w:before="120"/>
        <w:jc w:val="both"/>
        <w:rPr>
          <w:sz w:val="24"/>
          <w:szCs w:val="24"/>
          <w:lang w:val="fr" w:eastAsia="fr-SN"/>
        </w:rPr>
      </w:pPr>
      <w:r>
        <w:rPr>
          <w:sz w:val="24"/>
          <w:szCs w:val="24"/>
          <w:lang w:val="fr" w:eastAsia="fr-SN"/>
        </w:rPr>
        <w:t xml:space="preserve">En résumé, le cadre théorique de cette recherche est une synthèse intégrative, promouvant une démarche socio-constructiviste et l'adoption raisonnée des nouveaux outils technologiques, tout en tenant compte des contraintes contextuelles africaines (Traoré, 2019). </w:t>
      </w:r>
    </w:p>
    <w:bookmarkStart w:id="180" w:name="_heading=h.wyec44qryl0" w:colFirst="0" w:colLast="0" w:displacedByCustomXml="next"/>
    <w:bookmarkEnd w:id="180" w:displacedByCustomXml="next"/>
    <w:sdt>
      <w:sdtPr>
        <w:rPr>
          <w:b/>
          <w:bCs/>
        </w:rPr>
        <w:tag w:val="goog_rdk_6"/>
        <w:id w:val="595595461"/>
      </w:sdtPr>
      <w:sdtContent>
        <w:p w14:paraId="5D0C9DD0" w14:textId="77777777" w:rsidR="00D80693" w:rsidRPr="0065773E" w:rsidRDefault="00D80693" w:rsidP="00D92213">
          <w:pPr>
            <w:spacing w:before="120"/>
            <w:rPr>
              <w:b/>
              <w:bCs/>
              <w:sz w:val="28"/>
              <w:szCs w:val="28"/>
              <w:lang w:val="fr" w:eastAsia="fr-SN"/>
            </w:rPr>
          </w:pPr>
          <w:r w:rsidRPr="0065773E">
            <w:rPr>
              <w:b/>
              <w:bCs/>
              <w:sz w:val="28"/>
              <w:szCs w:val="28"/>
              <w:lang w:val="fr" w:eastAsia="fr-SN"/>
            </w:rPr>
            <w:t>2. Objectifs, méthodologie et protocole de recherche</w:t>
          </w:r>
        </w:p>
      </w:sdtContent>
    </w:sdt>
    <w:bookmarkStart w:id="181" w:name="_heading=h.z2zuhnlrwpi" w:colFirst="0" w:colLast="0" w:displacedByCustomXml="next"/>
    <w:bookmarkEnd w:id="181" w:displacedByCustomXml="next"/>
    <w:sdt>
      <w:sdtPr>
        <w:rPr>
          <w:b/>
          <w:bCs/>
        </w:rPr>
        <w:tag w:val="goog_rdk_7"/>
        <w:id w:val="-1894661460"/>
      </w:sdtPr>
      <w:sdtContent>
        <w:p w14:paraId="480F2F38" w14:textId="77777777" w:rsidR="00D80693" w:rsidRPr="0065773E" w:rsidRDefault="00D80693" w:rsidP="00D92213">
          <w:pPr>
            <w:spacing w:before="120"/>
            <w:rPr>
              <w:rFonts w:asciiTheme="minorHAnsi" w:hAnsiTheme="minorHAnsi"/>
              <w:b/>
              <w:bCs/>
            </w:rPr>
          </w:pPr>
          <w:r w:rsidRPr="0065773E">
            <w:rPr>
              <w:rFonts w:asciiTheme="minorHAnsi" w:hAnsiTheme="minorHAnsi"/>
              <w:b/>
              <w:bCs/>
            </w:rPr>
            <w:t>2.1 Objectifs et design de recherche</w:t>
          </w:r>
        </w:p>
      </w:sdtContent>
    </w:sdt>
    <w:p w14:paraId="09935E73" w14:textId="77777777" w:rsidR="00D80693" w:rsidRDefault="00D80693" w:rsidP="00D92213">
      <w:pPr>
        <w:spacing w:before="120"/>
        <w:jc w:val="both"/>
        <w:rPr>
          <w:sz w:val="24"/>
          <w:szCs w:val="24"/>
          <w:lang w:val="fr" w:eastAsia="fr-SN"/>
        </w:rPr>
      </w:pPr>
      <w:r>
        <w:rPr>
          <w:sz w:val="24"/>
          <w:szCs w:val="24"/>
          <w:lang w:val="fr" w:eastAsia="fr-SN"/>
        </w:rPr>
        <w:t>Cette recherche vise à évaluer les perceptions des étudiants de Licence 3 d'anglais de deux universités publiques sénégalaises relativement à l'influence d'une pédagogie numérique socio-constructiviste sur l'acquisition de compétences en production écrite académique. L'étude adopte dans un premier temps un design de recherche quasi-expérimental (Campbell et Stanley, 1963 ; Cook et Campbell, 1979 ; Sylla, 2022), permettant de comparer l'influence des deux modalités pédagogiques, présentiel enrichi et E-learning, sur les compétences rédactionnelles.</w:t>
      </w:r>
    </w:p>
    <w:p w14:paraId="759B12DA" w14:textId="77777777" w:rsidR="00D80693" w:rsidRDefault="00D80693" w:rsidP="00D92213">
      <w:pPr>
        <w:spacing w:before="120"/>
        <w:jc w:val="both"/>
        <w:rPr>
          <w:sz w:val="24"/>
          <w:szCs w:val="24"/>
          <w:lang w:val="fr" w:eastAsia="fr-SN"/>
        </w:rPr>
      </w:pPr>
      <w:r>
        <w:rPr>
          <w:sz w:val="24"/>
          <w:szCs w:val="24"/>
          <w:lang w:val="fr" w:eastAsia="fr-SN"/>
        </w:rPr>
        <w:t>L'objectif est double : d'une part, fournir des données sur l'impact et la pertinence d'une pédagogie numérique socio-constructiviste sur l'acquisition des capacités rédactionnelles des étudiants et analyser leur appréciation de cet outil ; d'autre part, identifier les défis d'intégration spécifiques des outils numériques dans l'enseignement supérieur africain (</w:t>
      </w:r>
      <w:proofErr w:type="spellStart"/>
      <w:r>
        <w:rPr>
          <w:sz w:val="24"/>
          <w:szCs w:val="24"/>
          <w:lang w:val="fr" w:eastAsia="fr-SN"/>
        </w:rPr>
        <w:t>Poudiougo</w:t>
      </w:r>
      <w:proofErr w:type="spellEnd"/>
      <w:r>
        <w:rPr>
          <w:sz w:val="24"/>
          <w:szCs w:val="24"/>
          <w:lang w:val="fr" w:eastAsia="fr-SN"/>
        </w:rPr>
        <w:t>, 2020) à travers le cas du Sénégal.</w:t>
      </w:r>
    </w:p>
    <w:p w14:paraId="592F346C" w14:textId="77777777" w:rsidR="00D80693" w:rsidRDefault="00D80693" w:rsidP="00D92213">
      <w:pPr>
        <w:spacing w:before="120"/>
        <w:jc w:val="both"/>
        <w:rPr>
          <w:sz w:val="24"/>
          <w:szCs w:val="24"/>
          <w:lang w:val="fr" w:eastAsia="fr-SN"/>
        </w:rPr>
      </w:pPr>
      <w:r>
        <w:rPr>
          <w:sz w:val="24"/>
          <w:szCs w:val="24"/>
          <w:lang w:val="fr" w:eastAsia="fr-SN"/>
        </w:rPr>
        <w:t xml:space="preserve">Les résultats contribueront au débat scientifique sur l'enseignement hybride et l'innovation pédagogique (Faye, 2023), offrant des recommandations pour l'usage futur des TICE y compris l'IA dans la rédaction académique (Smith et al., 2022 ; Khalifa et </w:t>
      </w:r>
      <w:proofErr w:type="spellStart"/>
      <w:r>
        <w:rPr>
          <w:sz w:val="24"/>
          <w:szCs w:val="24"/>
          <w:lang w:val="fr" w:eastAsia="fr-SN"/>
        </w:rPr>
        <w:t>Albadawy</w:t>
      </w:r>
      <w:proofErr w:type="spellEnd"/>
      <w:r>
        <w:rPr>
          <w:sz w:val="24"/>
          <w:szCs w:val="24"/>
          <w:lang w:val="fr" w:eastAsia="fr-SN"/>
        </w:rPr>
        <w:t>, 2024).</w:t>
      </w:r>
    </w:p>
    <w:bookmarkStart w:id="182" w:name="_heading=h.9nuunm5ptarp" w:colFirst="0" w:colLast="0" w:displacedByCustomXml="next"/>
    <w:bookmarkEnd w:id="182" w:displacedByCustomXml="next"/>
    <w:sdt>
      <w:sdtPr>
        <w:rPr>
          <w:b/>
          <w:bCs/>
        </w:rPr>
        <w:tag w:val="goog_rdk_8"/>
        <w:id w:val="1019813733"/>
      </w:sdtPr>
      <w:sdtContent>
        <w:p w14:paraId="02FAFD90" w14:textId="77777777" w:rsidR="00D80693" w:rsidRPr="0065773E" w:rsidRDefault="00D80693" w:rsidP="00D92213">
          <w:pPr>
            <w:spacing w:before="120"/>
            <w:rPr>
              <w:rFonts w:ascii="Cambria" w:hAnsi="Cambria"/>
              <w:b/>
              <w:bCs/>
            </w:rPr>
          </w:pPr>
          <w:r w:rsidRPr="0065773E">
            <w:rPr>
              <w:rFonts w:ascii="Cambria" w:hAnsi="Cambria"/>
              <w:b/>
              <w:bCs/>
            </w:rPr>
            <w:t>2.2 Population et protocole d'intervention</w:t>
          </w:r>
        </w:p>
      </w:sdtContent>
    </w:sdt>
    <w:p w14:paraId="71DE271F" w14:textId="77777777" w:rsidR="00D80693" w:rsidRDefault="00D80693" w:rsidP="00D92213">
      <w:pPr>
        <w:spacing w:before="120"/>
        <w:jc w:val="both"/>
        <w:rPr>
          <w:sz w:val="24"/>
          <w:szCs w:val="24"/>
          <w:lang w:val="fr" w:eastAsia="fr-SN"/>
        </w:rPr>
      </w:pPr>
      <w:r>
        <w:rPr>
          <w:sz w:val="24"/>
          <w:szCs w:val="24"/>
          <w:lang w:val="fr" w:eastAsia="fr-SN"/>
        </w:rPr>
        <w:t>Sur une période d'un semestre, une intervention pédagogique a été menée auprès de 198 étudiants de Licence 3 d'anglais répartis dans deux grandes universités publiques du Sénégal. Dans le cadre de l’enquête, l'échantillon a été scindé en deux groupes distincts :</w:t>
      </w:r>
    </w:p>
    <w:p w14:paraId="728FB7BD" w14:textId="77777777" w:rsidR="00D80693" w:rsidRDefault="00D80693" w:rsidP="00D92213">
      <w:pPr>
        <w:widowControl/>
        <w:numPr>
          <w:ilvl w:val="0"/>
          <w:numId w:val="172"/>
        </w:numPr>
        <w:autoSpaceDE/>
        <w:autoSpaceDN/>
        <w:spacing w:before="120"/>
        <w:jc w:val="both"/>
        <w:rPr>
          <w:sz w:val="24"/>
          <w:szCs w:val="24"/>
          <w:lang w:val="fr" w:eastAsia="fr-SN"/>
        </w:rPr>
      </w:pPr>
      <w:r>
        <w:rPr>
          <w:sz w:val="24"/>
          <w:szCs w:val="24"/>
          <w:lang w:val="fr" w:eastAsia="fr-SN"/>
        </w:rPr>
        <w:t>Groupe 1 : Il s’agit du groupe témoin du Présentiel Enrichi (PE) constitué de 98 étudiants de l’Université Gaston Berger de Saint-Louis (UGB) ayant suivi un enseignement en salle de cours complété par le recours à des outils collaboratifs (Google Classroom, Google Docs, Zotero) pour la production et la révision collectives.</w:t>
      </w:r>
    </w:p>
    <w:p w14:paraId="0E88B896" w14:textId="77777777" w:rsidR="00D80693" w:rsidRDefault="00D80693" w:rsidP="00D92213">
      <w:pPr>
        <w:widowControl/>
        <w:numPr>
          <w:ilvl w:val="0"/>
          <w:numId w:val="172"/>
        </w:numPr>
        <w:autoSpaceDE/>
        <w:autoSpaceDN/>
        <w:spacing w:before="120"/>
        <w:jc w:val="both"/>
        <w:rPr>
          <w:sz w:val="24"/>
          <w:szCs w:val="24"/>
          <w:lang w:val="fr" w:eastAsia="fr-SN"/>
        </w:rPr>
      </w:pPr>
      <w:r>
        <w:rPr>
          <w:sz w:val="24"/>
          <w:szCs w:val="24"/>
          <w:lang w:val="fr" w:eastAsia="fr-SN"/>
        </w:rPr>
        <w:t>Groupe 2 :  Il s’agit du groupe expérimental E-learning (EL) composé de 100 étudiants de l’Université Numérique Cheikh Hamidou Kane (UNCHK) ayant suivi un cursus intégralement à distance via la plateforme institutionnelle Moodle (outils de communication asynchrone et autonome), enrichi de tutoriels vidéo et d'outils d'IA (</w:t>
      </w:r>
      <w:proofErr w:type="spellStart"/>
      <w:r>
        <w:rPr>
          <w:sz w:val="24"/>
          <w:szCs w:val="24"/>
          <w:lang w:val="fr" w:eastAsia="fr-SN"/>
        </w:rPr>
        <w:t>Writefull</w:t>
      </w:r>
      <w:proofErr w:type="spellEnd"/>
      <w:r>
        <w:rPr>
          <w:sz w:val="24"/>
          <w:szCs w:val="24"/>
          <w:lang w:val="fr" w:eastAsia="fr-SN"/>
        </w:rPr>
        <w:t xml:space="preserve">, </w:t>
      </w:r>
      <w:proofErr w:type="spellStart"/>
      <w:r>
        <w:rPr>
          <w:sz w:val="24"/>
          <w:szCs w:val="24"/>
          <w:lang w:val="fr" w:eastAsia="fr-SN"/>
        </w:rPr>
        <w:t>Quillbot</w:t>
      </w:r>
      <w:proofErr w:type="spellEnd"/>
      <w:r>
        <w:rPr>
          <w:sz w:val="24"/>
          <w:szCs w:val="24"/>
          <w:lang w:val="fr" w:eastAsia="fr-SN"/>
        </w:rPr>
        <w:t>) (Golan et al., 2023).</w:t>
      </w:r>
    </w:p>
    <w:p w14:paraId="2E1E0DC3" w14:textId="77777777" w:rsidR="00D80693" w:rsidRDefault="00D80693" w:rsidP="00D92213">
      <w:pPr>
        <w:spacing w:before="120"/>
        <w:jc w:val="both"/>
        <w:rPr>
          <w:b/>
          <w:bCs/>
          <w:sz w:val="24"/>
          <w:szCs w:val="24"/>
          <w:lang w:val="fr" w:eastAsia="fr-SN"/>
        </w:rPr>
      </w:pPr>
      <w:r>
        <w:rPr>
          <w:b/>
          <w:bCs/>
          <w:sz w:val="24"/>
          <w:szCs w:val="24"/>
          <w:lang w:val="fr" w:eastAsia="fr-SN"/>
        </w:rPr>
        <w:t>2.3 Instruments et analyse des données</w:t>
      </w:r>
    </w:p>
    <w:p w14:paraId="5202BF51" w14:textId="77777777" w:rsidR="00D80693" w:rsidRDefault="00D80693" w:rsidP="00D92213">
      <w:pPr>
        <w:spacing w:before="120"/>
        <w:jc w:val="both"/>
        <w:rPr>
          <w:sz w:val="24"/>
          <w:szCs w:val="24"/>
          <w:lang w:val="fr" w:eastAsia="fr-SN"/>
        </w:rPr>
      </w:pPr>
      <w:r>
        <w:rPr>
          <w:sz w:val="24"/>
          <w:szCs w:val="24"/>
          <w:lang w:val="fr" w:eastAsia="fr-SN"/>
        </w:rPr>
        <w:t>L'évolution des compétences a été mesurée dans un premier temps à travers un pré-test standardisé administré avant le cours expérimental de rédaction académique, puis un post-test après le déroulement du cours. Les pré-tests, administrés avant le cours expérimental de rédaction académique, ont eu pour rôle essentiel d'établir un diagnostic initial des étudiants et de quantifier leur niveau de départ sur les critères clés de la production écrite, incluant le vocabulaire, la cohérence, la pertinence argumentative et l'organisation du texte. Ces données ont servi de base de référence indispensable à l'étude quasi-expérimentale. Par la suite, le post-test a été administré à la fin du semestre dans le but de mesurer l'évolution des compétences acquises après l'intervention pédagogique. L'analyse contrastée des performances entre le pré-test et le post-test a ainsi permis d'évaluer l'efficacité de la pédagogie numérique socio-constructiviste et de l'intégration des outils numériques dans les deux modalités comparées (Présentiel Enrichi et E-learning).</w:t>
      </w:r>
    </w:p>
    <w:p w14:paraId="4E725939" w14:textId="77777777" w:rsidR="00D80693" w:rsidRDefault="00D80693" w:rsidP="00D92213">
      <w:pPr>
        <w:spacing w:before="120"/>
        <w:jc w:val="both"/>
        <w:rPr>
          <w:sz w:val="24"/>
          <w:szCs w:val="24"/>
          <w:lang w:val="fr" w:eastAsia="fr-SN"/>
        </w:rPr>
      </w:pPr>
    </w:p>
    <w:p w14:paraId="13D5AE89" w14:textId="77777777" w:rsidR="00D80693" w:rsidRDefault="00D80693" w:rsidP="00D92213">
      <w:pPr>
        <w:spacing w:before="120"/>
        <w:jc w:val="both"/>
        <w:rPr>
          <w:sz w:val="24"/>
          <w:szCs w:val="24"/>
          <w:lang w:val="fr" w:eastAsia="fr-SN"/>
        </w:rPr>
      </w:pPr>
    </w:p>
    <w:p w14:paraId="0795748C" w14:textId="77777777" w:rsidR="00D80693" w:rsidRDefault="00D80693" w:rsidP="00D92213">
      <w:pPr>
        <w:spacing w:before="120"/>
        <w:jc w:val="both"/>
        <w:rPr>
          <w:sz w:val="24"/>
          <w:szCs w:val="24"/>
          <w:lang w:val="fr" w:eastAsia="fr-SN"/>
        </w:rPr>
      </w:pPr>
    </w:p>
    <w:p w14:paraId="63771170" w14:textId="7CDC6398" w:rsidR="00D80693" w:rsidRDefault="00D80693" w:rsidP="001B1B8E">
      <w:pPr>
        <w:spacing w:before="120"/>
        <w:jc w:val="both"/>
        <w:rPr>
          <w:i/>
          <w:iCs/>
          <w:sz w:val="24"/>
          <w:szCs w:val="24"/>
          <w:lang w:val="fr" w:eastAsia="fr-SN"/>
        </w:rPr>
      </w:pPr>
      <w:r>
        <w:rPr>
          <w:noProof/>
          <w:lang w:val="fr-SN" w:eastAsia="fr-SN"/>
        </w:rPr>
        <w:drawing>
          <wp:anchor distT="0" distB="0" distL="0" distR="0" simplePos="0" relativeHeight="487590400" behindDoc="0" locked="0" layoutInCell="1" allowOverlap="1" wp14:anchorId="1AD4D01B" wp14:editId="71405DAB">
            <wp:simplePos x="0" y="0"/>
            <wp:positionH relativeFrom="column">
              <wp:posOffset>142875</wp:posOffset>
            </wp:positionH>
            <wp:positionV relativeFrom="paragraph">
              <wp:posOffset>9525</wp:posOffset>
            </wp:positionV>
            <wp:extent cx="5641975" cy="2915652"/>
            <wp:effectExtent l="25400" t="25400" r="25400" b="25400"/>
            <wp:wrapSquare wrapText="bothSides"/>
            <wp:docPr id="17" name="image8.png"/>
            <wp:cNvGraphicFramePr/>
            <a:graphic xmlns:a="http://schemas.openxmlformats.org/drawingml/2006/main">
              <a:graphicData uri="http://schemas.openxmlformats.org/drawingml/2006/picture">
                <pic:pic xmlns:pic="http://schemas.openxmlformats.org/drawingml/2006/picture">
                  <pic:nvPicPr>
                    <pic:cNvPr id="17" name="image8.png"/>
                    <pic:cNvPicPr/>
                  </pic:nvPicPr>
                  <pic:blipFill>
                    <a:blip r:embed="rId101"/>
                    <a:srcRect t="8208" b="4610"/>
                    <a:stretch>
                      <a:fillRect/>
                    </a:stretch>
                  </pic:blipFill>
                  <pic:spPr>
                    <a:xfrm>
                      <a:off x="0" y="0"/>
                      <a:ext cx="5641975" cy="2915652"/>
                    </a:xfrm>
                    <a:prstGeom prst="rect">
                      <a:avLst/>
                    </a:prstGeom>
                    <a:ln w="25400">
                      <a:solidFill>
                        <a:srgbClr val="000000"/>
                      </a:solidFill>
                      <a:prstDash val="solid"/>
                    </a:ln>
                  </pic:spPr>
                </pic:pic>
              </a:graphicData>
            </a:graphic>
          </wp:anchor>
        </w:drawing>
      </w:r>
      <w:r>
        <w:rPr>
          <w:b/>
          <w:bCs/>
          <w:i/>
          <w:iCs/>
          <w:lang w:val="fr" w:eastAsia="fr-SN"/>
        </w:rPr>
        <w:t xml:space="preserve">Figure n° 2 : Grille d’évaluation critériée de productions d’écrits d’étudiants </w:t>
      </w:r>
    </w:p>
    <w:p w14:paraId="09CC41CA" w14:textId="77777777" w:rsidR="00D80693" w:rsidRDefault="00D80693" w:rsidP="00D92213">
      <w:pPr>
        <w:spacing w:before="120"/>
        <w:jc w:val="both"/>
        <w:rPr>
          <w:sz w:val="24"/>
          <w:szCs w:val="24"/>
          <w:lang w:val="fr" w:eastAsia="fr-SN"/>
        </w:rPr>
      </w:pPr>
      <w:r>
        <w:rPr>
          <w:sz w:val="24"/>
          <w:szCs w:val="24"/>
          <w:lang w:val="fr" w:eastAsia="fr-SN"/>
        </w:rPr>
        <w:t>Les productions des étudiants ont été évaluées via une grille critériée (Stevens et Levi, 2013) intégrant des critères spécifiques (cohérence, organisation des idées, richesse lexicale, pertinence argumentative).</w:t>
      </w:r>
    </w:p>
    <w:p w14:paraId="7C048A9E" w14:textId="77777777" w:rsidR="00D80693" w:rsidRDefault="00D80693" w:rsidP="00D92213">
      <w:pPr>
        <w:spacing w:before="120"/>
        <w:jc w:val="both"/>
        <w:rPr>
          <w:sz w:val="24"/>
          <w:szCs w:val="24"/>
          <w:lang w:val="fr" w:eastAsia="fr-SN"/>
        </w:rPr>
      </w:pPr>
      <w:r>
        <w:rPr>
          <w:sz w:val="24"/>
          <w:szCs w:val="24"/>
          <w:lang w:val="fr" w:eastAsia="fr-SN"/>
        </w:rPr>
        <w:t xml:space="preserve">Ensuite, les données de perception qui sont au centre de l'analyse, ont été collectées via un questionnaire en ligne dénommé </w:t>
      </w:r>
      <w:r>
        <w:rPr>
          <w:i/>
          <w:iCs/>
          <w:sz w:val="24"/>
          <w:szCs w:val="24"/>
          <w:lang w:val="fr" w:eastAsia="fr-SN"/>
        </w:rPr>
        <w:t xml:space="preserve">Academic </w:t>
      </w:r>
      <w:proofErr w:type="spellStart"/>
      <w:r>
        <w:rPr>
          <w:i/>
          <w:iCs/>
          <w:sz w:val="24"/>
          <w:szCs w:val="24"/>
          <w:lang w:val="fr" w:eastAsia="fr-SN"/>
        </w:rPr>
        <w:t>Writing</w:t>
      </w:r>
      <w:proofErr w:type="spellEnd"/>
      <w:r>
        <w:rPr>
          <w:i/>
          <w:iCs/>
          <w:sz w:val="24"/>
          <w:szCs w:val="24"/>
          <w:lang w:val="fr" w:eastAsia="fr-SN"/>
        </w:rPr>
        <w:t xml:space="preserve"> Course Evaluation Form</w:t>
      </w:r>
      <w:r>
        <w:rPr>
          <w:sz w:val="24"/>
          <w:szCs w:val="24"/>
          <w:lang w:val="fr" w:eastAsia="fr-SN"/>
        </w:rPr>
        <w:t xml:space="preserve"> implémenté sur l’outil de création de formulaires en ligne Google Forms. Le questionnaire visait à recueillir le ressenti des étudiants sur les méthodes, les supports et les modalités d’enseignement-apprentissage. Les questions qui leur ont été soumises ont porté sur l’évaluation de leur degré de satisfaction ou d’insatisfaction, ainsi que leur expérience d’usager du cours expérimental. Elles se sont focalisées principalement sur les quatre axes ci-après : aspect technique et matériel (outils utilisés, temps de téléchargement, supports…), qualité et pertinence du contenu et de la didactique mise en œuvre (correspondance aux attentes, points forts/faibles, évaluation globale de la qualité, composantes didactiques…), préférences pédagogiques et modalités d'apprentissage, difficultés rencontrées et suggestions d'amélioration pour le cours et le dispositif techno-pédagogique mis en place.</w:t>
      </w:r>
      <w:r>
        <w:rPr>
          <w:rFonts w:ascii="Arial" w:eastAsia="Arial" w:hAnsi="Arial" w:cs="Arial"/>
          <w:sz w:val="24"/>
          <w:szCs w:val="24"/>
          <w:lang w:val="fr" w:eastAsia="fr-SN"/>
        </w:rPr>
        <w:t xml:space="preserve"> </w:t>
      </w:r>
      <w:r>
        <w:rPr>
          <w:sz w:val="24"/>
          <w:szCs w:val="24"/>
          <w:lang w:val="fr" w:eastAsia="fr-SN"/>
        </w:rPr>
        <w:t>Les données quantitatives ont été analysées à l'aide de logiciels statistiques (SPSS) et les données qualitatives ont fait l'objet d'une codification thématique rigoureuse.</w:t>
      </w:r>
    </w:p>
    <w:bookmarkStart w:id="183" w:name="_heading=h.6alqy3ltreiu" w:colFirst="0" w:colLast="0" w:displacedByCustomXml="next"/>
    <w:bookmarkEnd w:id="183" w:displacedByCustomXml="next"/>
    <w:sdt>
      <w:sdtPr>
        <w:rPr>
          <w:b/>
          <w:bCs/>
          <w:sz w:val="28"/>
          <w:szCs w:val="28"/>
        </w:rPr>
        <w:tag w:val="goog_rdk_9"/>
        <w:id w:val="-2145023406"/>
      </w:sdtPr>
      <w:sdtContent>
        <w:p w14:paraId="5546BDFE" w14:textId="77777777" w:rsidR="00D80693" w:rsidRPr="0065773E" w:rsidRDefault="00D80693" w:rsidP="00D92213">
          <w:pPr>
            <w:spacing w:before="120"/>
            <w:rPr>
              <w:rFonts w:asciiTheme="minorHAnsi" w:hAnsiTheme="minorHAnsi"/>
              <w:b/>
              <w:bCs/>
              <w:sz w:val="28"/>
              <w:szCs w:val="28"/>
            </w:rPr>
          </w:pPr>
          <w:r w:rsidRPr="0065773E">
            <w:rPr>
              <w:rFonts w:asciiTheme="minorHAnsi" w:hAnsiTheme="minorHAnsi"/>
              <w:b/>
              <w:bCs/>
              <w:sz w:val="28"/>
              <w:szCs w:val="28"/>
            </w:rPr>
            <w:t>3. Résultats et analyse des perceptions des étudiants</w:t>
          </w:r>
        </w:p>
      </w:sdtContent>
    </w:sdt>
    <w:bookmarkStart w:id="184" w:name="_heading=h.iw03ljqnzdra" w:colFirst="0" w:colLast="0" w:displacedByCustomXml="next"/>
    <w:bookmarkEnd w:id="184" w:displacedByCustomXml="next"/>
    <w:sdt>
      <w:sdtPr>
        <w:rPr>
          <w:b/>
          <w:bCs/>
        </w:rPr>
        <w:tag w:val="goog_rdk_10"/>
        <w:id w:val="749880510"/>
      </w:sdtPr>
      <w:sdtContent>
        <w:p w14:paraId="15F39703" w14:textId="77777777" w:rsidR="00D80693" w:rsidRPr="0065773E" w:rsidRDefault="00D80693" w:rsidP="00D92213">
          <w:pPr>
            <w:spacing w:before="120"/>
            <w:rPr>
              <w:b/>
              <w:bCs/>
              <w:color w:val="000000"/>
              <w:sz w:val="24"/>
              <w:szCs w:val="24"/>
              <w:lang w:val="fr" w:eastAsia="fr-SN"/>
            </w:rPr>
          </w:pPr>
          <w:r w:rsidRPr="0065773E">
            <w:rPr>
              <w:b/>
              <w:bCs/>
              <w:color w:val="000000"/>
              <w:sz w:val="24"/>
              <w:szCs w:val="24"/>
              <w:lang w:val="fr" w:eastAsia="fr-SN"/>
            </w:rPr>
            <w:t>3.1 Effets comparés des modalités sur la production écrite</w:t>
          </w:r>
        </w:p>
      </w:sdtContent>
    </w:sdt>
    <w:p w14:paraId="3CF50A7C" w14:textId="77777777" w:rsidR="00D80693" w:rsidRDefault="00D80693" w:rsidP="00D92213">
      <w:pPr>
        <w:spacing w:before="120"/>
        <w:jc w:val="both"/>
        <w:rPr>
          <w:sz w:val="24"/>
          <w:szCs w:val="24"/>
          <w:lang w:val="fr" w:eastAsia="fr-SN"/>
        </w:rPr>
      </w:pPr>
      <w:r>
        <w:rPr>
          <w:sz w:val="24"/>
          <w:szCs w:val="24"/>
          <w:lang w:val="fr" w:eastAsia="fr-SN"/>
        </w:rPr>
        <w:t>Une analyse contrastée des performances en production écrite des deux groupes d’étudiants révèle des dynamiques d'apprentissage spécifiques. Le groupe en modalité du présentiel enrichi (PE) a surpassé le groupe de l’E-learning (EL) concernant des aspects qualitatifs tels que la cohérence globale, l'étendue lexicale et la qualité argumentative. Ce gain de performance est principalement attribué à l'interaction synchrone et à la médiation pédagogique directe de l'enseignant, qui stimulent une dynamique socio-constructiviste de l'apprentissage (Johnson et al, 1998).</w:t>
      </w:r>
    </w:p>
    <w:p w14:paraId="1F9FF9F6" w14:textId="77777777" w:rsidR="00D80693" w:rsidRDefault="00D80693" w:rsidP="00D92213">
      <w:pPr>
        <w:spacing w:before="120"/>
        <w:jc w:val="both"/>
        <w:rPr>
          <w:sz w:val="24"/>
          <w:szCs w:val="24"/>
          <w:lang w:val="fr" w:eastAsia="fr-SN"/>
        </w:rPr>
      </w:pPr>
      <w:r>
        <w:rPr>
          <w:sz w:val="24"/>
          <w:szCs w:val="24"/>
          <w:lang w:val="fr" w:eastAsia="fr-SN"/>
        </w:rPr>
        <w:t>Le groupe EL a devancé le groupe PE dans l'autonomie et la méthodologie d'apprentissage, notamment par l'intégration d'outils basés sur l'Intelligence Artificielle (IA). Dans les deux modalités, le recours aux outils numériques collaboratifs comme Google Docs a facilité une co-construction effective des connaissances et suscité des rétroactions formatives par les pairs (</w:t>
      </w:r>
      <w:proofErr w:type="spellStart"/>
      <w:r>
        <w:rPr>
          <w:sz w:val="24"/>
          <w:szCs w:val="24"/>
          <w:lang w:val="fr" w:eastAsia="fr-SN"/>
        </w:rPr>
        <w:t>Fall</w:t>
      </w:r>
      <w:proofErr w:type="spellEnd"/>
      <w:r>
        <w:rPr>
          <w:sz w:val="24"/>
          <w:szCs w:val="24"/>
          <w:lang w:val="fr" w:eastAsia="fr-SN"/>
        </w:rPr>
        <w:t xml:space="preserve">, 2020). Ce mode de partage d'expérience est essentiel pour maintenir la motivation des apprenants (Song et Song, 2023) et faciliter l'internalisation des conventions rédactionnelles. </w:t>
      </w:r>
    </w:p>
    <w:p w14:paraId="57450DB6" w14:textId="77777777" w:rsidR="00D80693" w:rsidRDefault="00D80693" w:rsidP="00D92213">
      <w:pPr>
        <w:spacing w:before="120"/>
        <w:jc w:val="both"/>
        <w:rPr>
          <w:b/>
          <w:bCs/>
          <w:sz w:val="24"/>
          <w:szCs w:val="24"/>
          <w:lang w:val="fr" w:eastAsia="fr-SN"/>
        </w:rPr>
      </w:pPr>
      <w:r>
        <w:rPr>
          <w:b/>
          <w:bCs/>
          <w:sz w:val="24"/>
          <w:szCs w:val="24"/>
          <w:lang w:val="fr" w:eastAsia="fr-SN"/>
        </w:rPr>
        <w:t>3.2 Satisfaction et défis contextuels</w:t>
      </w:r>
    </w:p>
    <w:p w14:paraId="0F2BD391" w14:textId="77777777" w:rsidR="00D80693" w:rsidRDefault="00D80693" w:rsidP="00D92213">
      <w:pPr>
        <w:spacing w:before="120"/>
        <w:jc w:val="both"/>
        <w:rPr>
          <w:sz w:val="24"/>
          <w:szCs w:val="24"/>
          <w:lang w:val="fr" w:eastAsia="fr-SN"/>
        </w:rPr>
      </w:pPr>
      <w:r>
        <w:rPr>
          <w:sz w:val="24"/>
          <w:szCs w:val="24"/>
          <w:lang w:val="fr" w:eastAsia="fr-SN"/>
        </w:rPr>
        <w:t>L'analyse des perceptions des apprenants révèle une satisfaction globale élevée vis-à-vis de la pédagogie numérique mise en œuvre. Le groupe du présentiel enrichi a particulièrement salué l'innovation pédagogique et l'importance du rôle de l'enseignant en tant que guide facilitateur (Coulibaly et Coulibaly, 2016), tout en soulignant l'efficacité des travaux collaboratifs. Le groupe E-learning (EL) a mis en avant la clarté et la qualité des contenus didactiques, ainsi que la manière dont les dispositifs mobiles ont soutenu le développement de leur autonomie.  Néanmoins, l'étude a identifié plusieurs obstacles majeurs entravant le dispositif :</w:t>
      </w:r>
    </w:p>
    <w:p w14:paraId="1F6009FD" w14:textId="77777777" w:rsidR="00D80693" w:rsidRDefault="00D80693" w:rsidP="00D92213">
      <w:pPr>
        <w:widowControl/>
        <w:numPr>
          <w:ilvl w:val="0"/>
          <w:numId w:val="173"/>
        </w:numPr>
        <w:autoSpaceDE/>
        <w:autoSpaceDN/>
        <w:spacing w:before="120"/>
        <w:jc w:val="both"/>
        <w:rPr>
          <w:sz w:val="24"/>
          <w:szCs w:val="24"/>
          <w:lang w:val="fr" w:eastAsia="fr-SN"/>
        </w:rPr>
      </w:pPr>
      <w:r>
        <w:rPr>
          <w:sz w:val="24"/>
          <w:szCs w:val="24"/>
          <w:lang w:val="fr" w:eastAsia="fr-SN"/>
        </w:rPr>
        <w:t xml:space="preserve">Fracture numérique et limitations </w:t>
      </w:r>
      <w:proofErr w:type="gramStart"/>
      <w:r>
        <w:rPr>
          <w:sz w:val="24"/>
          <w:szCs w:val="24"/>
          <w:lang w:val="fr" w:eastAsia="fr-SN"/>
        </w:rPr>
        <w:t>financières:</w:t>
      </w:r>
      <w:proofErr w:type="gramEnd"/>
      <w:r>
        <w:rPr>
          <w:sz w:val="24"/>
          <w:szCs w:val="24"/>
          <w:lang w:val="fr" w:eastAsia="fr-SN"/>
        </w:rPr>
        <w:t xml:space="preserve"> L'accès à une connexion Internet fiable et stable reste problématique. Le coût élevé des données mobiles affecte soixante pour cent (60 %) des étudiants, accentuant la fracture numérique préexistante.</w:t>
      </w:r>
    </w:p>
    <w:p w14:paraId="426BFE1C" w14:textId="77777777" w:rsidR="00D80693" w:rsidRDefault="00D80693" w:rsidP="00D92213">
      <w:pPr>
        <w:widowControl/>
        <w:numPr>
          <w:ilvl w:val="0"/>
          <w:numId w:val="173"/>
        </w:numPr>
        <w:autoSpaceDE/>
        <w:autoSpaceDN/>
        <w:spacing w:before="120"/>
        <w:jc w:val="both"/>
        <w:rPr>
          <w:sz w:val="24"/>
          <w:szCs w:val="24"/>
          <w:lang w:val="fr" w:eastAsia="fr-SN"/>
        </w:rPr>
      </w:pPr>
      <w:r>
        <w:rPr>
          <w:sz w:val="24"/>
          <w:szCs w:val="24"/>
          <w:lang w:val="fr" w:eastAsia="fr-SN"/>
        </w:rPr>
        <w:t xml:space="preserve">Défis liés au smartphone et surcharge </w:t>
      </w:r>
      <w:proofErr w:type="gramStart"/>
      <w:r>
        <w:rPr>
          <w:sz w:val="24"/>
          <w:szCs w:val="24"/>
          <w:lang w:val="fr" w:eastAsia="fr-SN"/>
        </w:rPr>
        <w:t>cognitive:</w:t>
      </w:r>
      <w:proofErr w:type="gramEnd"/>
      <w:r>
        <w:rPr>
          <w:sz w:val="24"/>
          <w:szCs w:val="24"/>
          <w:lang w:val="fr" w:eastAsia="fr-SN"/>
        </w:rPr>
        <w:t xml:space="preserve"> Le smartphone est l'outil principal de soixante-cinq pour cent (65 %) des étudiants, ce qui génère des problèmes ergonomiques et cognitifs spécifiques (Ndoye et al., 2021). Les distractions significatives et la surcharge cognitive sont exacerbées par la fréquence des notifications (</w:t>
      </w:r>
      <w:proofErr w:type="spellStart"/>
      <w:r>
        <w:rPr>
          <w:sz w:val="24"/>
          <w:szCs w:val="24"/>
          <w:lang w:val="fr" w:eastAsia="fr-SN"/>
        </w:rPr>
        <w:t>Sarr</w:t>
      </w:r>
      <w:proofErr w:type="spellEnd"/>
      <w:r>
        <w:rPr>
          <w:sz w:val="24"/>
          <w:szCs w:val="24"/>
          <w:lang w:val="fr" w:eastAsia="fr-SN"/>
        </w:rPr>
        <w:t xml:space="preserve"> et Diop, 2022).</w:t>
      </w:r>
    </w:p>
    <w:p w14:paraId="440051C9" w14:textId="77777777" w:rsidR="00D80693" w:rsidRDefault="00D80693" w:rsidP="00D92213">
      <w:pPr>
        <w:widowControl/>
        <w:numPr>
          <w:ilvl w:val="0"/>
          <w:numId w:val="173"/>
        </w:numPr>
        <w:autoSpaceDE/>
        <w:autoSpaceDN/>
        <w:spacing w:before="120"/>
        <w:jc w:val="both"/>
        <w:rPr>
          <w:sz w:val="24"/>
          <w:szCs w:val="24"/>
          <w:lang w:val="fr" w:eastAsia="fr-SN"/>
        </w:rPr>
      </w:pPr>
      <w:r>
        <w:rPr>
          <w:sz w:val="24"/>
          <w:szCs w:val="24"/>
          <w:lang w:val="fr" w:eastAsia="fr-SN"/>
        </w:rPr>
        <w:t xml:space="preserve">Ressources pédagogiques et charge de </w:t>
      </w:r>
      <w:proofErr w:type="gramStart"/>
      <w:r>
        <w:rPr>
          <w:sz w:val="24"/>
          <w:szCs w:val="24"/>
          <w:lang w:val="fr" w:eastAsia="fr-SN"/>
        </w:rPr>
        <w:t>travail:</w:t>
      </w:r>
      <w:proofErr w:type="gramEnd"/>
      <w:r>
        <w:rPr>
          <w:sz w:val="24"/>
          <w:szCs w:val="24"/>
          <w:lang w:val="fr" w:eastAsia="fr-SN"/>
        </w:rPr>
        <w:t xml:space="preserve"> un manque de ressources didactiques spécifiques adaptées à l'environnement numérique (Ellis et Goodyear, 2016) est constaté.</w:t>
      </w:r>
    </w:p>
    <w:p w14:paraId="5B4E6F26" w14:textId="77777777" w:rsidR="00D80693" w:rsidRDefault="00D80693" w:rsidP="00D92213">
      <w:pPr>
        <w:spacing w:before="120"/>
        <w:jc w:val="both"/>
        <w:rPr>
          <w:sz w:val="24"/>
          <w:szCs w:val="24"/>
          <w:lang w:val="fr" w:eastAsia="fr-SN"/>
        </w:rPr>
      </w:pPr>
      <w:r>
        <w:rPr>
          <w:sz w:val="24"/>
          <w:szCs w:val="24"/>
          <w:lang w:val="fr" w:eastAsia="fr-SN"/>
        </w:rPr>
        <w:t xml:space="preserve">Par ailleurs, la mise en place de la double modalité a imposé une charge de travail additionnelle importante (Smith et al, 2022) à l’enseignant concepteur et responsable du cours qui encourt également un risque de dépendance excessive aux outils de correction automatique (Sow et Diop, 2021). </w:t>
      </w:r>
    </w:p>
    <w:p w14:paraId="6B0AEA8E" w14:textId="77777777" w:rsidR="00D80693" w:rsidRDefault="00D80693" w:rsidP="00D92213">
      <w:pPr>
        <w:spacing w:before="120"/>
        <w:rPr>
          <w:b/>
          <w:bCs/>
          <w:sz w:val="24"/>
          <w:szCs w:val="24"/>
          <w:lang w:val="fr" w:eastAsia="fr-SN"/>
        </w:rPr>
      </w:pPr>
      <w:r>
        <w:rPr>
          <w:b/>
          <w:bCs/>
          <w:sz w:val="24"/>
          <w:szCs w:val="24"/>
          <w:lang w:val="fr" w:eastAsia="fr-SN"/>
        </w:rPr>
        <w:t xml:space="preserve">3.3 Retours de l’enquête de terrain par questionnaire pour le groupe </w:t>
      </w:r>
      <w:proofErr w:type="gramStart"/>
      <w:r>
        <w:rPr>
          <w:b/>
          <w:bCs/>
          <w:sz w:val="24"/>
          <w:szCs w:val="24"/>
          <w:lang w:val="fr" w:eastAsia="fr-SN"/>
        </w:rPr>
        <w:t>du  présentiel</w:t>
      </w:r>
      <w:proofErr w:type="gramEnd"/>
      <w:r>
        <w:rPr>
          <w:b/>
          <w:bCs/>
          <w:sz w:val="24"/>
          <w:szCs w:val="24"/>
          <w:lang w:val="fr" w:eastAsia="fr-SN"/>
        </w:rPr>
        <w:t xml:space="preserve"> enrichi</w:t>
      </w:r>
    </w:p>
    <w:p w14:paraId="1CD53D0E" w14:textId="77777777" w:rsidR="00D80693" w:rsidRDefault="00D80693" w:rsidP="00D92213">
      <w:pPr>
        <w:spacing w:before="120"/>
        <w:jc w:val="both"/>
        <w:rPr>
          <w:sz w:val="24"/>
          <w:szCs w:val="24"/>
          <w:lang w:val="fr" w:eastAsia="fr-SN"/>
        </w:rPr>
      </w:pPr>
      <w:r>
        <w:rPr>
          <w:sz w:val="24"/>
          <w:szCs w:val="24"/>
          <w:lang w:val="fr" w:eastAsia="fr-SN"/>
        </w:rPr>
        <w:t>La composition de l'échantillon analysé est majoritairement masculine, enregistrant soixante-seize (76) hommes pour seulement vingt-deux (22) femmes. Ainsi, la répartition par genre des répondants dans cette catégorie est fortement déséquilibrée en faveur du sexe masculin.</w:t>
      </w:r>
    </w:p>
    <w:p w14:paraId="3B93F21E" w14:textId="77777777" w:rsidR="00D80693" w:rsidRDefault="00D80693" w:rsidP="00D92213">
      <w:pPr>
        <w:spacing w:before="120"/>
        <w:rPr>
          <w:rFonts w:ascii="Cambria" w:eastAsia="Cambria" w:hAnsi="Cambria" w:cs="Cambria"/>
          <w:lang w:val="fr" w:eastAsia="fr-SN"/>
        </w:rPr>
      </w:pPr>
      <w:r>
        <w:rPr>
          <w:rFonts w:ascii="Cambria" w:eastAsia="Cambria" w:hAnsi="Cambria" w:cs="Cambria"/>
          <w:noProof/>
          <w:lang w:val="fr-SN" w:eastAsia="fr-SN"/>
        </w:rPr>
        <w:drawing>
          <wp:inline distT="0" distB="0" distL="114300" distR="114300" wp14:anchorId="4D565C5C" wp14:editId="05221D5A">
            <wp:extent cx="5959800" cy="32258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19" name="image6.png"/>
                    <pic:cNvPicPr/>
                  </pic:nvPicPr>
                  <pic:blipFill>
                    <a:blip r:embed="rId102"/>
                    <a:stretch>
                      <a:fillRect/>
                    </a:stretch>
                  </pic:blipFill>
                  <pic:spPr>
                    <a:xfrm>
                      <a:off x="0" y="0"/>
                      <a:ext cx="5959800" cy="3225800"/>
                    </a:xfrm>
                    <a:prstGeom prst="rect">
                      <a:avLst/>
                    </a:prstGeom>
                  </pic:spPr>
                </pic:pic>
              </a:graphicData>
            </a:graphic>
          </wp:inline>
        </w:drawing>
      </w:r>
    </w:p>
    <w:bookmarkStart w:id="185" w:name="_heading=h.tyqmlrxxe0g8" w:colFirst="0" w:colLast="0" w:displacedByCustomXml="next"/>
    <w:bookmarkEnd w:id="185" w:displacedByCustomXml="next"/>
    <w:sdt>
      <w:sdtPr>
        <w:rPr>
          <w:sz w:val="24"/>
          <w:szCs w:val="24"/>
        </w:rPr>
        <w:tag w:val="goog_rdk_11"/>
        <w:id w:val="79663555"/>
      </w:sdtPr>
      <w:sdtContent>
        <w:p w14:paraId="35BC2CEF" w14:textId="77777777" w:rsidR="00D80693" w:rsidRPr="0065773E" w:rsidRDefault="00D80693" w:rsidP="00D92213">
          <w:pPr>
            <w:spacing w:before="120"/>
            <w:rPr>
              <w:i/>
              <w:iCs/>
              <w:color w:val="000000"/>
              <w:sz w:val="28"/>
              <w:szCs w:val="28"/>
              <w:lang w:val="fr" w:eastAsia="fr-SN"/>
            </w:rPr>
          </w:pPr>
          <w:r w:rsidRPr="0065773E">
            <w:rPr>
              <w:b/>
              <w:bCs/>
              <w:i/>
              <w:iCs/>
              <w:color w:val="000000"/>
              <w:sz w:val="24"/>
              <w:szCs w:val="24"/>
              <w:lang w:val="fr" w:eastAsia="fr-SN"/>
            </w:rPr>
            <w:t xml:space="preserve">Figure n° </w:t>
          </w:r>
          <w:proofErr w:type="gramStart"/>
          <w:r w:rsidRPr="0065773E">
            <w:rPr>
              <w:b/>
              <w:bCs/>
              <w:i/>
              <w:iCs/>
              <w:color w:val="000000"/>
              <w:sz w:val="24"/>
              <w:szCs w:val="24"/>
              <w:lang w:val="fr" w:eastAsia="fr-SN"/>
            </w:rPr>
            <w:t>3:</w:t>
          </w:r>
          <w:proofErr w:type="gramEnd"/>
          <w:r w:rsidRPr="0065773E">
            <w:rPr>
              <w:b/>
              <w:bCs/>
              <w:i/>
              <w:iCs/>
              <w:color w:val="000000"/>
              <w:sz w:val="24"/>
              <w:szCs w:val="24"/>
              <w:lang w:val="fr" w:eastAsia="fr-SN"/>
            </w:rPr>
            <w:t xml:space="preserve"> La répartition par genre</w:t>
          </w:r>
        </w:p>
      </w:sdtContent>
    </w:sdt>
    <w:p w14:paraId="0F14A3F8" w14:textId="77777777" w:rsidR="00D80693" w:rsidRDefault="00D80693" w:rsidP="00D92213">
      <w:pPr>
        <w:spacing w:before="120"/>
        <w:jc w:val="both"/>
        <w:rPr>
          <w:rFonts w:ascii="Arial" w:eastAsia="Arial" w:hAnsi="Arial" w:cs="Arial"/>
          <w:sz w:val="24"/>
          <w:szCs w:val="24"/>
          <w:lang w:val="fr" w:eastAsia="fr-SN"/>
        </w:rPr>
      </w:pPr>
      <w:r>
        <w:rPr>
          <w:sz w:val="24"/>
          <w:szCs w:val="24"/>
          <w:lang w:val="fr" w:eastAsia="fr-SN"/>
        </w:rPr>
        <w:t xml:space="preserve">L'échantillon d'étudiants ayant participé à l'enquête est principalement constitué d'individus âgés entre vingt et un (21) à vingt-cinq (25) ans. La seconde catégorie d'âge la plus représentée est celle des vingt-six (26) à trente (30) ans. Enfin, la catégorie des participants de plus de trente et </w:t>
      </w:r>
      <w:proofErr w:type="gramStart"/>
      <w:r>
        <w:rPr>
          <w:sz w:val="24"/>
          <w:szCs w:val="24"/>
          <w:lang w:val="fr" w:eastAsia="fr-SN"/>
        </w:rPr>
        <w:t>un  ans</w:t>
      </w:r>
      <w:proofErr w:type="gramEnd"/>
      <w:r>
        <w:rPr>
          <w:sz w:val="24"/>
          <w:szCs w:val="24"/>
          <w:lang w:val="fr" w:eastAsia="fr-SN"/>
        </w:rPr>
        <w:t xml:space="preserve"> (31) constitue la tranche d'âge minoritaire de l'étude.</w:t>
      </w:r>
    </w:p>
    <w:p w14:paraId="25E31E16" w14:textId="77777777" w:rsidR="00D80693" w:rsidRDefault="00D80693" w:rsidP="00D92213">
      <w:pPr>
        <w:spacing w:before="120"/>
        <w:rPr>
          <w:rFonts w:ascii="Cambria" w:eastAsia="Cambria" w:hAnsi="Cambria" w:cs="Cambria"/>
          <w:lang w:val="fr" w:eastAsia="fr-SN"/>
        </w:rPr>
      </w:pPr>
      <w:r>
        <w:rPr>
          <w:rFonts w:ascii="Cambria" w:eastAsia="Cambria" w:hAnsi="Cambria" w:cs="Cambria"/>
          <w:noProof/>
          <w:lang w:val="fr-SN" w:eastAsia="fr-SN"/>
        </w:rPr>
        <w:drawing>
          <wp:inline distT="0" distB="0" distL="114300" distR="114300" wp14:anchorId="08CCB6B4" wp14:editId="3089C2ED">
            <wp:extent cx="5810250" cy="2690335"/>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21" name="image7.png"/>
                    <pic:cNvPicPr/>
                  </pic:nvPicPr>
                  <pic:blipFill>
                    <a:blip r:embed="rId103"/>
                    <a:srcRect t="11732"/>
                    <a:stretch>
                      <a:fillRect/>
                    </a:stretch>
                  </pic:blipFill>
                  <pic:spPr>
                    <a:xfrm>
                      <a:off x="0" y="0"/>
                      <a:ext cx="5810250" cy="2690335"/>
                    </a:xfrm>
                    <a:prstGeom prst="rect">
                      <a:avLst/>
                    </a:prstGeom>
                  </pic:spPr>
                </pic:pic>
              </a:graphicData>
            </a:graphic>
          </wp:inline>
        </w:drawing>
      </w:r>
    </w:p>
    <w:bookmarkStart w:id="186" w:name="_heading=h.uz9xhl8u48u" w:colFirst="0" w:colLast="0" w:displacedByCustomXml="next"/>
    <w:bookmarkEnd w:id="186" w:displacedByCustomXml="next"/>
    <w:sdt>
      <w:sdtPr>
        <w:tag w:val="goog_rdk_12"/>
        <w:id w:val="1830317087"/>
      </w:sdtPr>
      <w:sdtContent>
        <w:p w14:paraId="1506064A" w14:textId="77777777" w:rsidR="00D80693" w:rsidRDefault="00D80693" w:rsidP="00D92213">
          <w:pPr>
            <w:spacing w:before="120"/>
            <w:rPr>
              <w:i/>
              <w:iCs/>
              <w:color w:val="000000"/>
              <w:sz w:val="24"/>
              <w:szCs w:val="24"/>
              <w:lang w:val="fr" w:eastAsia="fr-SN"/>
            </w:rPr>
          </w:pPr>
          <w:r>
            <w:rPr>
              <w:b/>
              <w:bCs/>
              <w:i/>
              <w:iCs/>
              <w:color w:val="000000"/>
              <w:lang w:val="fr" w:eastAsia="fr-SN"/>
            </w:rPr>
            <w:t>Figure n° 4 : La répartition par tranche d’âge</w:t>
          </w:r>
        </w:p>
      </w:sdtContent>
    </w:sdt>
    <w:p w14:paraId="232C059F" w14:textId="77777777" w:rsidR="00D80693" w:rsidRDefault="00D80693" w:rsidP="00D92213">
      <w:pPr>
        <w:spacing w:before="120"/>
        <w:jc w:val="both"/>
        <w:rPr>
          <w:rFonts w:ascii="Arial" w:eastAsia="Arial" w:hAnsi="Arial" w:cs="Arial"/>
          <w:lang w:val="fr" w:eastAsia="fr-SN"/>
        </w:rPr>
      </w:pPr>
    </w:p>
    <w:p w14:paraId="6AE07C33" w14:textId="77777777" w:rsidR="00D80693" w:rsidRDefault="00D80693" w:rsidP="00D92213">
      <w:pPr>
        <w:spacing w:before="120"/>
        <w:jc w:val="both"/>
        <w:rPr>
          <w:sz w:val="24"/>
          <w:szCs w:val="24"/>
          <w:lang w:val="fr" w:eastAsia="fr-SN"/>
        </w:rPr>
      </w:pPr>
      <w:r>
        <w:rPr>
          <w:sz w:val="24"/>
          <w:szCs w:val="24"/>
          <w:lang w:val="fr" w:eastAsia="fr-SN"/>
        </w:rPr>
        <w:t>Selon les résultats des enquêtes, le smartphone est l'outil numérique privilégié par les étudiants pour l'apprentissage. Il est suivi en termes de fréquence d'utilisation par l'ordinateur portable, l'ordinateur fixe arrivant en dernière position.</w:t>
      </w:r>
    </w:p>
    <w:p w14:paraId="4109AFC1" w14:textId="77777777" w:rsidR="00D80693" w:rsidRDefault="00D80693" w:rsidP="00D92213">
      <w:pPr>
        <w:spacing w:before="120"/>
        <w:jc w:val="both"/>
        <w:rPr>
          <w:rFonts w:ascii="Cambria" w:eastAsia="Cambria" w:hAnsi="Cambria" w:cs="Cambria"/>
          <w:lang w:val="fr" w:eastAsia="fr-SN"/>
        </w:rPr>
      </w:pPr>
      <w:r>
        <w:rPr>
          <w:noProof/>
          <w:sz w:val="24"/>
          <w:szCs w:val="24"/>
          <w:lang w:val="fr-SN" w:eastAsia="fr-SN"/>
        </w:rPr>
        <w:drawing>
          <wp:inline distT="0" distB="0" distL="114300" distR="114300" wp14:anchorId="3007C608" wp14:editId="3544E2C5">
            <wp:extent cx="5962650" cy="292417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04"/>
                    <a:srcRect t="11527"/>
                    <a:stretch>
                      <a:fillRect/>
                    </a:stretch>
                  </pic:blipFill>
                  <pic:spPr>
                    <a:xfrm>
                      <a:off x="0" y="0"/>
                      <a:ext cx="5962650" cy="2924175"/>
                    </a:xfrm>
                    <a:prstGeom prst="rect">
                      <a:avLst/>
                    </a:prstGeom>
                  </pic:spPr>
                </pic:pic>
              </a:graphicData>
            </a:graphic>
          </wp:inline>
        </w:drawing>
      </w:r>
    </w:p>
    <w:bookmarkStart w:id="187" w:name="_heading=h.ev3tazg4lvus" w:colFirst="0" w:colLast="0" w:displacedByCustomXml="next"/>
    <w:bookmarkEnd w:id="187" w:displacedByCustomXml="next"/>
    <w:sdt>
      <w:sdtPr>
        <w:tag w:val="goog_rdk_13"/>
        <w:id w:val="-1219815848"/>
      </w:sdtPr>
      <w:sdtContent>
        <w:p w14:paraId="2BA86970" w14:textId="77777777" w:rsidR="00D80693" w:rsidRDefault="00D80693" w:rsidP="00D92213">
          <w:pPr>
            <w:spacing w:before="120"/>
            <w:rPr>
              <w:i/>
              <w:iCs/>
              <w:color w:val="000000"/>
              <w:sz w:val="24"/>
              <w:szCs w:val="24"/>
              <w:lang w:val="fr" w:eastAsia="fr-SN"/>
            </w:rPr>
          </w:pPr>
          <w:r>
            <w:rPr>
              <w:b/>
              <w:bCs/>
              <w:i/>
              <w:iCs/>
              <w:color w:val="000000"/>
              <w:lang w:val="fr" w:eastAsia="fr-SN"/>
            </w:rPr>
            <w:t xml:space="preserve">Figure n° </w:t>
          </w:r>
          <w:proofErr w:type="gramStart"/>
          <w:r>
            <w:rPr>
              <w:b/>
              <w:bCs/>
              <w:i/>
              <w:iCs/>
              <w:color w:val="000000"/>
              <w:lang w:val="fr" w:eastAsia="fr-SN"/>
            </w:rPr>
            <w:t>5:</w:t>
          </w:r>
          <w:proofErr w:type="gramEnd"/>
          <w:r>
            <w:rPr>
              <w:b/>
              <w:bCs/>
              <w:i/>
              <w:iCs/>
              <w:color w:val="000000"/>
              <w:lang w:val="fr" w:eastAsia="fr-SN"/>
            </w:rPr>
            <w:t xml:space="preserve"> Les outils numériques utilisés en cours (PE)</w:t>
          </w:r>
        </w:p>
      </w:sdtContent>
    </w:sdt>
    <w:p w14:paraId="76E1BDDC" w14:textId="77777777" w:rsidR="00D80693" w:rsidRDefault="00D80693" w:rsidP="00D92213">
      <w:pPr>
        <w:spacing w:before="120"/>
        <w:jc w:val="both"/>
        <w:rPr>
          <w:rFonts w:ascii="Arial" w:eastAsia="Arial" w:hAnsi="Arial" w:cs="Arial"/>
          <w:sz w:val="24"/>
          <w:szCs w:val="24"/>
          <w:lang w:val="fr" w:eastAsia="fr-SN"/>
        </w:rPr>
      </w:pPr>
      <w:r>
        <w:rPr>
          <w:sz w:val="24"/>
          <w:szCs w:val="24"/>
          <w:lang w:val="fr" w:eastAsia="fr-SN"/>
        </w:rPr>
        <w:t>Dans l'ensemble, les participants à l'enquête ont majoritairement jugé la qualité globale du cours satisfaisante. En effet, plus de cinquante-trois pour cent (53%) des répondants l'ont qualifié de "satisfaisant", tandis que quarante-six pour cent (46%) l'ont jugé "très satisfaisant".</w:t>
      </w:r>
    </w:p>
    <w:p w14:paraId="4D3D8866" w14:textId="77777777" w:rsidR="00D80693" w:rsidRDefault="00D80693" w:rsidP="00D92213">
      <w:pPr>
        <w:spacing w:before="120"/>
        <w:jc w:val="both"/>
        <w:rPr>
          <w:rFonts w:ascii="Cambria" w:eastAsia="Cambria" w:hAnsi="Cambria" w:cs="Cambria"/>
          <w:lang w:val="fr" w:eastAsia="fr-SN"/>
        </w:rPr>
      </w:pPr>
      <w:r>
        <w:rPr>
          <w:rFonts w:ascii="Cambria" w:eastAsia="Cambria" w:hAnsi="Cambria" w:cs="Cambria"/>
          <w:noProof/>
          <w:lang w:val="fr-SN" w:eastAsia="fr-SN"/>
        </w:rPr>
        <w:drawing>
          <wp:inline distT="0" distB="0" distL="114300" distR="114300" wp14:anchorId="2EBC6C72" wp14:editId="4D47BCAE">
            <wp:extent cx="5962650" cy="2778882"/>
            <wp:effectExtent l="0" t="0" r="0" b="0"/>
            <wp:docPr id="23" name="image1.png" descr="Une image contenant texte, capture d’écran, diagramme, cerc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 name="image1.png" descr="Une image contenant texte, capture d’écran, diagramme, cercle&#10;&#10;Le contenu généré par l’IA peut être incorrect."/>
                    <pic:cNvPicPr/>
                  </pic:nvPicPr>
                  <pic:blipFill>
                    <a:blip r:embed="rId105"/>
                    <a:srcRect t="11132" b="11009"/>
                    <a:stretch>
                      <a:fillRect/>
                    </a:stretch>
                  </pic:blipFill>
                  <pic:spPr>
                    <a:xfrm>
                      <a:off x="0" y="0"/>
                      <a:ext cx="5962650" cy="2778882"/>
                    </a:xfrm>
                    <a:prstGeom prst="rect">
                      <a:avLst/>
                    </a:prstGeom>
                  </pic:spPr>
                </pic:pic>
              </a:graphicData>
            </a:graphic>
          </wp:inline>
        </w:drawing>
      </w:r>
    </w:p>
    <w:bookmarkStart w:id="188" w:name="_heading=h.pp307t7ye47g" w:colFirst="0" w:colLast="0" w:displacedByCustomXml="next"/>
    <w:bookmarkEnd w:id="188" w:displacedByCustomXml="next"/>
    <w:sdt>
      <w:sdtPr>
        <w:tag w:val="goog_rdk_14"/>
        <w:id w:val="-2024996537"/>
      </w:sdtPr>
      <w:sdtContent>
        <w:p w14:paraId="4CA6850D" w14:textId="77777777" w:rsidR="00D80693" w:rsidRDefault="00D80693" w:rsidP="00D92213">
          <w:pPr>
            <w:spacing w:before="120"/>
            <w:rPr>
              <w:color w:val="000000"/>
              <w:sz w:val="24"/>
              <w:szCs w:val="24"/>
              <w:lang w:val="fr" w:eastAsia="fr-SN"/>
            </w:rPr>
          </w:pPr>
          <w:r>
            <w:rPr>
              <w:b/>
              <w:bCs/>
              <w:i/>
              <w:iCs/>
              <w:color w:val="000000"/>
              <w:lang w:val="fr" w:eastAsia="fr-SN"/>
            </w:rPr>
            <w:t>Figure n° 6 : La qualité globale du cours</w:t>
          </w:r>
          <w:r>
            <w:rPr>
              <w:i/>
              <w:iCs/>
              <w:color w:val="000000"/>
              <w:sz w:val="24"/>
              <w:szCs w:val="24"/>
              <w:lang w:val="fr" w:eastAsia="fr-SN"/>
            </w:rPr>
            <w:t xml:space="preserve"> </w:t>
          </w:r>
        </w:p>
      </w:sdtContent>
    </w:sdt>
    <w:p w14:paraId="2B4B0EF4" w14:textId="77777777" w:rsidR="00D80693" w:rsidRDefault="00D80693" w:rsidP="00D92213">
      <w:pPr>
        <w:spacing w:before="120"/>
        <w:jc w:val="both"/>
        <w:rPr>
          <w:sz w:val="24"/>
          <w:szCs w:val="24"/>
          <w:lang w:val="fr" w:eastAsia="fr-SN"/>
        </w:rPr>
      </w:pPr>
      <w:r>
        <w:rPr>
          <w:sz w:val="24"/>
          <w:szCs w:val="24"/>
          <w:lang w:val="fr" w:eastAsia="fr-SN"/>
        </w:rPr>
        <w:t>Quant aux défis, ils sont essentiellement liés à aux infrastructures et au contexte socio-économique. L’accès à Internet est limité et peu fiable et le coût élevé des données mobiles constitue un frein majeur qui impacte 60 % des étudiants. Il ressort également que la dépendance au smartphone comme outil principal (outil dominant pour 65 % des étudiants) est une source de fatigue visuelle et complique les tâches de rédaction et de lecture.</w:t>
      </w:r>
    </w:p>
    <w:p w14:paraId="79896833" w14:textId="77777777" w:rsidR="00D80693" w:rsidRDefault="00D80693" w:rsidP="00D92213">
      <w:pPr>
        <w:spacing w:before="120"/>
        <w:jc w:val="both"/>
        <w:rPr>
          <w:b/>
          <w:bCs/>
          <w:sz w:val="24"/>
          <w:szCs w:val="24"/>
          <w:lang w:val="fr" w:eastAsia="fr-SN"/>
        </w:rPr>
      </w:pPr>
      <w:r>
        <w:rPr>
          <w:b/>
          <w:bCs/>
          <w:sz w:val="24"/>
          <w:szCs w:val="24"/>
          <w:lang w:val="fr" w:eastAsia="fr-SN"/>
        </w:rPr>
        <w:t>3.4. Retours de l’enquête de terrain par questionnaire pour la modalité E-learning</w:t>
      </w:r>
    </w:p>
    <w:p w14:paraId="276F6A42" w14:textId="77777777" w:rsidR="00D80693" w:rsidRDefault="00D80693" w:rsidP="00D92213">
      <w:pPr>
        <w:spacing w:before="120"/>
        <w:jc w:val="both"/>
        <w:rPr>
          <w:sz w:val="24"/>
          <w:szCs w:val="24"/>
          <w:lang w:val="fr" w:eastAsia="fr-SN"/>
        </w:rPr>
      </w:pPr>
      <w:r>
        <w:rPr>
          <w:sz w:val="24"/>
          <w:szCs w:val="24"/>
          <w:lang w:val="fr" w:eastAsia="fr-SN"/>
        </w:rPr>
        <w:t>Dans le cadre de l'évaluation du cours en modalité E-learning, un questionnaire de satisfaction en ligne a été administré à cent (100) étudiants de l'Université Numérique Cheikh Hamidou Kane (UNCHK), après le post-test. Cette enquête, comprenant des questions ouvertes et fermées, visait à recueillir des données sur quatre axes principaux : l'équipement et la qualité des TIC, le degré d'appropriation des outils numériques, les effets des méthodes pédagogiques sur les compétences en production écrite, et les propositions d'amélioration du cours. Les analyses des données récoltées mettent l'accent sur les caractéristiques démographiques, le niveau de satisfaction, ainsi que les points forts et les limites du cours. Il est à noter que les répondants sont majoritairement de sexe masculin soixante-dix pour cent (70 %) et se situent principalement dans la tranche d'âge de 21 à 30 ans.</w:t>
      </w:r>
    </w:p>
    <w:bookmarkStart w:id="189" w:name="_heading=h.ucq2ik5wfwys" w:colFirst="0" w:colLast="0" w:displacedByCustomXml="next"/>
    <w:bookmarkEnd w:id="189" w:displacedByCustomXml="next"/>
    <w:sdt>
      <w:sdtPr>
        <w:tag w:val="goog_rdk_15"/>
        <w:id w:val="-434886095"/>
      </w:sdtPr>
      <w:sdtContent>
        <w:p w14:paraId="784C3805" w14:textId="77777777" w:rsidR="00D80693" w:rsidRDefault="00D80693" w:rsidP="00D92213">
          <w:pPr>
            <w:spacing w:before="120"/>
            <w:rPr>
              <w:b/>
              <w:bCs/>
              <w:color w:val="000000"/>
              <w:lang w:val="fr" w:eastAsia="fr-SN"/>
            </w:rPr>
          </w:pPr>
          <w:r>
            <w:rPr>
              <w:b/>
              <w:bCs/>
              <w:color w:val="000000"/>
              <w:lang w:val="fr" w:eastAsia="fr-SN"/>
            </w:rPr>
            <w:t xml:space="preserve">Tableau n° </w:t>
          </w:r>
          <w:proofErr w:type="gramStart"/>
          <w:r>
            <w:rPr>
              <w:b/>
              <w:bCs/>
              <w:color w:val="000000"/>
              <w:lang w:val="fr" w:eastAsia="fr-SN"/>
            </w:rPr>
            <w:t>1:</w:t>
          </w:r>
          <w:proofErr w:type="gramEnd"/>
          <w:r>
            <w:rPr>
              <w:b/>
              <w:bCs/>
              <w:color w:val="000000"/>
              <w:lang w:val="fr" w:eastAsia="fr-SN"/>
            </w:rPr>
            <w:t xml:space="preserve"> Caractéristiques démographiques des étudiants du groupe EL</w:t>
          </w:r>
        </w:p>
      </w:sdtContent>
    </w:sdt>
    <w:tbl>
      <w:tblPr>
        <w:tblStyle w:val="a3"/>
        <w:tblW w:w="9045" w:type="dxa"/>
        <w:tblInd w:w="-115" w:type="dxa"/>
        <w:tblLayout w:type="fixed"/>
        <w:tblLook w:val="0400" w:firstRow="0" w:lastRow="0" w:firstColumn="0" w:lastColumn="0" w:noHBand="0" w:noVBand="1"/>
      </w:tblPr>
      <w:tblGrid>
        <w:gridCol w:w="2880"/>
        <w:gridCol w:w="2880"/>
        <w:gridCol w:w="3285"/>
      </w:tblGrid>
      <w:tr w:rsidR="00D80693" w14:paraId="2A16D4E2" w14:textId="77777777" w:rsidTr="00D72320">
        <w:tc>
          <w:tcPr>
            <w:tcW w:w="2880" w:type="dxa"/>
            <w:tcBorders>
              <w:top w:val="single" w:sz="8" w:space="0" w:color="000000"/>
              <w:left w:val="single" w:sz="8" w:space="0" w:color="000000"/>
              <w:bottom w:val="single" w:sz="8" w:space="0" w:color="000000"/>
              <w:right w:val="single" w:sz="8" w:space="0" w:color="000000"/>
            </w:tcBorders>
          </w:tcPr>
          <w:p w14:paraId="1F0E140D" w14:textId="77777777" w:rsidR="00D80693" w:rsidRDefault="00D80693" w:rsidP="00D92213">
            <w:pPr>
              <w:spacing w:before="120" w:line="240" w:lineRule="auto"/>
              <w:rPr>
                <w:b/>
                <w:bCs/>
                <w:sz w:val="24"/>
                <w:szCs w:val="24"/>
              </w:rPr>
            </w:pPr>
            <w:r>
              <w:rPr>
                <w:b/>
                <w:bCs/>
                <w:sz w:val="24"/>
                <w:szCs w:val="24"/>
              </w:rPr>
              <w:t>Variable</w:t>
            </w:r>
          </w:p>
        </w:tc>
        <w:tc>
          <w:tcPr>
            <w:tcW w:w="2880" w:type="dxa"/>
            <w:tcBorders>
              <w:top w:val="single" w:sz="8" w:space="0" w:color="000000"/>
              <w:left w:val="single" w:sz="8" w:space="0" w:color="000000"/>
              <w:bottom w:val="single" w:sz="8" w:space="0" w:color="000000"/>
              <w:right w:val="single" w:sz="8" w:space="0" w:color="000000"/>
            </w:tcBorders>
          </w:tcPr>
          <w:p w14:paraId="7A23F07D" w14:textId="77777777" w:rsidR="00D80693" w:rsidRDefault="00D80693" w:rsidP="00D92213">
            <w:pPr>
              <w:spacing w:before="120" w:line="240" w:lineRule="auto"/>
              <w:rPr>
                <w:b/>
                <w:bCs/>
                <w:sz w:val="24"/>
                <w:szCs w:val="24"/>
              </w:rPr>
            </w:pPr>
            <w:r>
              <w:rPr>
                <w:b/>
                <w:bCs/>
                <w:sz w:val="24"/>
                <w:szCs w:val="24"/>
              </w:rPr>
              <w:t>Catégorie</w:t>
            </w:r>
          </w:p>
        </w:tc>
        <w:tc>
          <w:tcPr>
            <w:tcW w:w="3285" w:type="dxa"/>
            <w:tcBorders>
              <w:top w:val="single" w:sz="8" w:space="0" w:color="000000"/>
              <w:left w:val="single" w:sz="8" w:space="0" w:color="000000"/>
              <w:bottom w:val="single" w:sz="8" w:space="0" w:color="000000"/>
              <w:right w:val="single" w:sz="8" w:space="0" w:color="000000"/>
            </w:tcBorders>
          </w:tcPr>
          <w:p w14:paraId="4FCDED56" w14:textId="77777777" w:rsidR="00D80693" w:rsidRDefault="00D80693" w:rsidP="00D92213">
            <w:pPr>
              <w:spacing w:before="120" w:line="240" w:lineRule="auto"/>
              <w:rPr>
                <w:b/>
                <w:bCs/>
                <w:sz w:val="24"/>
                <w:szCs w:val="24"/>
              </w:rPr>
            </w:pPr>
            <w:r>
              <w:rPr>
                <w:b/>
                <w:bCs/>
                <w:sz w:val="24"/>
                <w:szCs w:val="24"/>
              </w:rPr>
              <w:t>Effectif</w:t>
            </w:r>
          </w:p>
        </w:tc>
      </w:tr>
      <w:tr w:rsidR="00D80693" w14:paraId="082E12F1" w14:textId="77777777" w:rsidTr="00D72320">
        <w:trPr>
          <w:trHeight w:val="240"/>
        </w:trPr>
        <w:tc>
          <w:tcPr>
            <w:tcW w:w="2880" w:type="dxa"/>
            <w:vMerge w:val="restart"/>
            <w:tcBorders>
              <w:top w:val="single" w:sz="8" w:space="0" w:color="000000"/>
              <w:left w:val="single" w:sz="8" w:space="0" w:color="000000"/>
              <w:bottom w:val="single" w:sz="8" w:space="0" w:color="000000"/>
              <w:right w:val="single" w:sz="8" w:space="0" w:color="000000"/>
            </w:tcBorders>
          </w:tcPr>
          <w:p w14:paraId="48F1B75F" w14:textId="77777777" w:rsidR="00D80693" w:rsidRDefault="00D80693" w:rsidP="00D92213">
            <w:pPr>
              <w:spacing w:before="120" w:line="240" w:lineRule="auto"/>
              <w:rPr>
                <w:b/>
                <w:bCs/>
                <w:sz w:val="24"/>
                <w:szCs w:val="24"/>
              </w:rPr>
            </w:pPr>
            <w:r>
              <w:rPr>
                <w:b/>
                <w:bCs/>
                <w:sz w:val="24"/>
                <w:szCs w:val="24"/>
              </w:rPr>
              <w:t>Genre</w:t>
            </w:r>
          </w:p>
        </w:tc>
        <w:tc>
          <w:tcPr>
            <w:tcW w:w="2880" w:type="dxa"/>
            <w:tcBorders>
              <w:top w:val="single" w:sz="8" w:space="0" w:color="000000"/>
              <w:left w:val="single" w:sz="8" w:space="0" w:color="000000"/>
              <w:bottom w:val="single" w:sz="8" w:space="0" w:color="000000"/>
              <w:right w:val="single" w:sz="8" w:space="0" w:color="000000"/>
            </w:tcBorders>
          </w:tcPr>
          <w:p w14:paraId="7C14861C" w14:textId="77777777" w:rsidR="00D80693" w:rsidRDefault="00D80693" w:rsidP="00D92213">
            <w:pPr>
              <w:spacing w:before="120" w:line="240" w:lineRule="auto"/>
              <w:rPr>
                <w:b/>
                <w:bCs/>
                <w:sz w:val="24"/>
                <w:szCs w:val="24"/>
              </w:rPr>
            </w:pPr>
            <w:r>
              <w:rPr>
                <w:b/>
                <w:bCs/>
                <w:sz w:val="24"/>
                <w:szCs w:val="24"/>
              </w:rPr>
              <w:t>Femme</w:t>
            </w:r>
          </w:p>
        </w:tc>
        <w:tc>
          <w:tcPr>
            <w:tcW w:w="3285" w:type="dxa"/>
            <w:tcBorders>
              <w:top w:val="single" w:sz="8" w:space="0" w:color="000000"/>
              <w:left w:val="single" w:sz="8" w:space="0" w:color="000000"/>
              <w:bottom w:val="single" w:sz="8" w:space="0" w:color="000000"/>
              <w:right w:val="single" w:sz="8" w:space="0" w:color="000000"/>
            </w:tcBorders>
          </w:tcPr>
          <w:p w14:paraId="3A69CEC4" w14:textId="77777777" w:rsidR="00D80693" w:rsidRDefault="00D80693" w:rsidP="00D92213">
            <w:pPr>
              <w:spacing w:before="120" w:line="240" w:lineRule="auto"/>
              <w:rPr>
                <w:b/>
                <w:bCs/>
                <w:sz w:val="24"/>
                <w:szCs w:val="24"/>
              </w:rPr>
            </w:pPr>
            <w:r>
              <w:rPr>
                <w:b/>
                <w:bCs/>
                <w:sz w:val="24"/>
                <w:szCs w:val="24"/>
              </w:rPr>
              <w:t>30 %</w:t>
            </w:r>
          </w:p>
        </w:tc>
      </w:tr>
      <w:tr w:rsidR="00D80693" w14:paraId="1D87C2DE" w14:textId="77777777" w:rsidTr="00D72320">
        <w:trPr>
          <w:trHeight w:val="209"/>
        </w:trPr>
        <w:tc>
          <w:tcPr>
            <w:tcW w:w="2880" w:type="dxa"/>
            <w:vMerge/>
            <w:tcBorders>
              <w:top w:val="single" w:sz="8" w:space="0" w:color="000000"/>
              <w:left w:val="single" w:sz="8" w:space="0" w:color="000000"/>
              <w:bottom w:val="single" w:sz="8" w:space="0" w:color="000000"/>
              <w:right w:val="single" w:sz="8" w:space="0" w:color="000000"/>
            </w:tcBorders>
          </w:tcPr>
          <w:p w14:paraId="6A9963F1" w14:textId="77777777" w:rsidR="00D80693" w:rsidRDefault="00D80693" w:rsidP="00D92213">
            <w:pPr>
              <w:widowControl w:val="0"/>
              <w:pBdr>
                <w:top w:val="nil"/>
                <w:left w:val="nil"/>
                <w:bottom w:val="nil"/>
                <w:right w:val="nil"/>
                <w:between w:val="nil"/>
              </w:pBdr>
              <w:spacing w:before="120" w:line="240" w:lineRule="auto"/>
              <w:rPr>
                <w:b/>
                <w:bCs/>
                <w:sz w:val="24"/>
                <w:szCs w:val="24"/>
              </w:rPr>
            </w:pPr>
          </w:p>
        </w:tc>
        <w:tc>
          <w:tcPr>
            <w:tcW w:w="2880" w:type="dxa"/>
            <w:tcBorders>
              <w:top w:val="single" w:sz="8" w:space="0" w:color="000000"/>
              <w:left w:val="single" w:sz="8" w:space="0" w:color="000000"/>
              <w:bottom w:val="single" w:sz="8" w:space="0" w:color="000000"/>
              <w:right w:val="single" w:sz="8" w:space="0" w:color="000000"/>
            </w:tcBorders>
          </w:tcPr>
          <w:p w14:paraId="199BFDD4" w14:textId="77777777" w:rsidR="00D80693" w:rsidRDefault="00D80693" w:rsidP="00D92213">
            <w:pPr>
              <w:spacing w:before="120" w:line="240" w:lineRule="auto"/>
              <w:rPr>
                <w:b/>
                <w:bCs/>
                <w:sz w:val="24"/>
                <w:szCs w:val="24"/>
              </w:rPr>
            </w:pPr>
            <w:r>
              <w:rPr>
                <w:b/>
                <w:bCs/>
                <w:sz w:val="24"/>
                <w:szCs w:val="24"/>
              </w:rPr>
              <w:t>Homme</w:t>
            </w:r>
          </w:p>
        </w:tc>
        <w:tc>
          <w:tcPr>
            <w:tcW w:w="3285" w:type="dxa"/>
            <w:tcBorders>
              <w:top w:val="single" w:sz="8" w:space="0" w:color="000000"/>
              <w:left w:val="single" w:sz="8" w:space="0" w:color="000000"/>
              <w:bottom w:val="single" w:sz="8" w:space="0" w:color="000000"/>
              <w:right w:val="single" w:sz="8" w:space="0" w:color="000000"/>
            </w:tcBorders>
          </w:tcPr>
          <w:p w14:paraId="1065695D" w14:textId="77777777" w:rsidR="00D80693" w:rsidRDefault="00D80693" w:rsidP="00D92213">
            <w:pPr>
              <w:spacing w:before="120" w:line="240" w:lineRule="auto"/>
              <w:rPr>
                <w:b/>
                <w:bCs/>
                <w:sz w:val="24"/>
                <w:szCs w:val="24"/>
              </w:rPr>
            </w:pPr>
            <w:r>
              <w:rPr>
                <w:b/>
                <w:bCs/>
                <w:sz w:val="24"/>
                <w:szCs w:val="24"/>
              </w:rPr>
              <w:t>70 %</w:t>
            </w:r>
          </w:p>
        </w:tc>
      </w:tr>
    </w:tbl>
    <w:p w14:paraId="7C4B8D52" w14:textId="77777777" w:rsidR="00D80693" w:rsidRDefault="00D80693" w:rsidP="00D92213">
      <w:pPr>
        <w:keepLines/>
        <w:spacing w:before="120"/>
        <w:rPr>
          <w:sz w:val="24"/>
          <w:szCs w:val="24"/>
          <w:lang w:val="fr" w:eastAsia="fr-SN"/>
        </w:rPr>
      </w:pPr>
    </w:p>
    <w:p w14:paraId="79797859" w14:textId="77777777" w:rsidR="00D80693" w:rsidRDefault="00D80693" w:rsidP="00D92213">
      <w:pPr>
        <w:keepLines/>
        <w:spacing w:before="120"/>
        <w:rPr>
          <w:sz w:val="24"/>
          <w:szCs w:val="24"/>
          <w:lang w:val="fr" w:eastAsia="fr-SN"/>
        </w:rPr>
      </w:pPr>
      <w:r>
        <w:rPr>
          <w:sz w:val="24"/>
          <w:szCs w:val="24"/>
          <w:lang w:val="fr" w:eastAsia="fr-SN"/>
        </w:rPr>
        <w:t>La distribution des types d'outils numériques utilisés par les étudiants pour suivre le cours en ligne est présentée dans le graphique ci-</w:t>
      </w:r>
      <w:proofErr w:type="gramStart"/>
      <w:r>
        <w:rPr>
          <w:sz w:val="24"/>
          <w:szCs w:val="24"/>
          <w:lang w:val="fr" w:eastAsia="fr-SN"/>
        </w:rPr>
        <w:t>après:</w:t>
      </w:r>
      <w:proofErr w:type="gramEnd"/>
      <w:r>
        <w:rPr>
          <w:sz w:val="24"/>
          <w:szCs w:val="24"/>
          <w:lang w:val="fr" w:eastAsia="fr-SN"/>
        </w:rPr>
        <w:t xml:space="preserve"> </w:t>
      </w:r>
    </w:p>
    <w:p w14:paraId="440AEE62" w14:textId="77777777" w:rsidR="00D80693" w:rsidRDefault="00D80693" w:rsidP="00D92213">
      <w:pPr>
        <w:spacing w:before="120"/>
        <w:rPr>
          <w:rFonts w:ascii="Cambria" w:eastAsia="Cambria" w:hAnsi="Cambria" w:cs="Cambria"/>
          <w:lang w:val="fr" w:eastAsia="fr-SN"/>
        </w:rPr>
      </w:pPr>
      <w:r>
        <w:rPr>
          <w:rFonts w:ascii="Cambria" w:eastAsia="Cambria" w:hAnsi="Cambria" w:cs="Cambria"/>
          <w:noProof/>
          <w:lang w:val="fr-SN" w:eastAsia="fr-SN"/>
        </w:rPr>
        <w:drawing>
          <wp:inline distT="0" distB="0" distL="114300" distR="114300" wp14:anchorId="44741872" wp14:editId="541E37A0">
            <wp:extent cx="5781675" cy="3045737"/>
            <wp:effectExtent l="0" t="0" r="0" b="0"/>
            <wp:docPr id="22" name="image3.png" descr="Une image contenant texte, diagramme, capture d’écran, lign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2" name="image3.png" descr="Une image contenant texte, diagramme, capture d’écran, ligne&#10;&#10;Le contenu généré par l’IA peut être incorrect."/>
                    <pic:cNvPicPr/>
                  </pic:nvPicPr>
                  <pic:blipFill>
                    <a:blip r:embed="rId106"/>
                    <a:srcRect t="6125" b="6103"/>
                    <a:stretch>
                      <a:fillRect/>
                    </a:stretch>
                  </pic:blipFill>
                  <pic:spPr>
                    <a:xfrm>
                      <a:off x="0" y="0"/>
                      <a:ext cx="5781675" cy="3045737"/>
                    </a:xfrm>
                    <a:prstGeom prst="rect">
                      <a:avLst/>
                    </a:prstGeom>
                  </pic:spPr>
                </pic:pic>
              </a:graphicData>
            </a:graphic>
          </wp:inline>
        </w:drawing>
      </w:r>
    </w:p>
    <w:bookmarkStart w:id="190" w:name="_heading=h.hn9dti72a1r8" w:colFirst="0" w:colLast="0" w:displacedByCustomXml="next"/>
    <w:bookmarkEnd w:id="190" w:displacedByCustomXml="next"/>
    <w:sdt>
      <w:sdtPr>
        <w:tag w:val="goog_rdk_16"/>
        <w:id w:val="-569638630"/>
      </w:sdtPr>
      <w:sdtContent>
        <w:p w14:paraId="72680FC6" w14:textId="77777777" w:rsidR="00D80693" w:rsidRDefault="00D80693" w:rsidP="00D92213">
          <w:pPr>
            <w:spacing w:before="120"/>
            <w:rPr>
              <w:i/>
              <w:iCs/>
              <w:color w:val="000000"/>
              <w:sz w:val="24"/>
              <w:szCs w:val="24"/>
              <w:lang w:val="fr" w:eastAsia="fr-SN"/>
            </w:rPr>
          </w:pPr>
          <w:r>
            <w:rPr>
              <w:b/>
              <w:bCs/>
              <w:i/>
              <w:iCs/>
              <w:color w:val="000000"/>
              <w:lang w:val="fr" w:eastAsia="fr-SN"/>
            </w:rPr>
            <w:t>Figure n° 7 : Distribution des outils numériques utilisés en cours (EL)</w:t>
          </w:r>
        </w:p>
      </w:sdtContent>
    </w:sdt>
    <w:p w14:paraId="1D320788" w14:textId="77777777" w:rsidR="00D80693" w:rsidRDefault="00D80693" w:rsidP="00D92213">
      <w:pPr>
        <w:keepLines/>
        <w:spacing w:before="120"/>
        <w:jc w:val="both"/>
        <w:rPr>
          <w:sz w:val="24"/>
          <w:szCs w:val="24"/>
          <w:lang w:val="fr" w:eastAsia="fr-SN"/>
        </w:rPr>
      </w:pPr>
    </w:p>
    <w:p w14:paraId="2357B5C3" w14:textId="77777777" w:rsidR="00D80693" w:rsidRDefault="00D80693" w:rsidP="00D92213">
      <w:pPr>
        <w:keepLines/>
        <w:spacing w:before="120"/>
        <w:jc w:val="both"/>
        <w:rPr>
          <w:sz w:val="24"/>
          <w:szCs w:val="24"/>
          <w:lang w:val="fr" w:eastAsia="fr-SN"/>
        </w:rPr>
      </w:pPr>
      <w:r>
        <w:rPr>
          <w:sz w:val="24"/>
          <w:szCs w:val="24"/>
          <w:lang w:val="fr" w:eastAsia="fr-SN"/>
        </w:rPr>
        <w:t>L'analyse des données du groupe E-learning révèle une nette préférence des étudiants pour les appareils mobiles : le smartphone est l'outil numérique le plus utilisé pour suivre le cours, cité par cinquante-et-un (51) étudiants. Cette domination suggère que les étudiants privilégient les dispositifs nomades offrant une accessibilité facilitée aux contenus. L'ordinateur portable arrive en seconde position (20 répondants), tandis que l'usage de la tablette (15 étudiants) et de l'ordinateur fixe (14 répondants) est moins fréquent.</w:t>
      </w:r>
    </w:p>
    <w:p w14:paraId="76E4CD02" w14:textId="77777777" w:rsidR="00D80693" w:rsidRDefault="00D80693" w:rsidP="00D92213">
      <w:pPr>
        <w:keepLines/>
        <w:spacing w:before="120"/>
        <w:jc w:val="both"/>
        <w:rPr>
          <w:sz w:val="24"/>
          <w:szCs w:val="24"/>
          <w:lang w:val="fr" w:eastAsia="fr-SN"/>
        </w:rPr>
      </w:pPr>
    </w:p>
    <w:p w14:paraId="4299B765" w14:textId="77777777" w:rsidR="00D80693" w:rsidRDefault="00D80693" w:rsidP="00D92213">
      <w:pPr>
        <w:keepLines/>
        <w:spacing w:before="120"/>
        <w:ind w:left="720"/>
        <w:jc w:val="center"/>
        <w:rPr>
          <w:rFonts w:ascii="Cambria" w:eastAsia="Cambria" w:hAnsi="Cambria" w:cs="Cambria"/>
          <w:lang w:val="fr" w:eastAsia="fr-SN"/>
        </w:rPr>
      </w:pPr>
      <w:r>
        <w:rPr>
          <w:rFonts w:ascii="Cambria" w:eastAsia="Cambria" w:hAnsi="Cambria" w:cs="Cambria"/>
          <w:noProof/>
          <w:lang w:val="fr-SN" w:eastAsia="fr-SN"/>
        </w:rPr>
        <w:drawing>
          <wp:inline distT="0" distB="0" distL="114300" distR="114300" wp14:anchorId="435AB9C5" wp14:editId="2648DBDB">
            <wp:extent cx="5962650" cy="3152775"/>
            <wp:effectExtent l="0" t="0" r="0" b="0"/>
            <wp:docPr id="24" name="image4.png" descr="Une image contenant texte, diagramme, lign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4" name="image4.png" descr="Une image contenant texte, diagramme, ligne, capture d’écran&#10;&#10;Le contenu généré par l’IA peut être incorrect."/>
                    <pic:cNvPicPr/>
                  </pic:nvPicPr>
                  <pic:blipFill>
                    <a:blip r:embed="rId107"/>
                    <a:srcRect t="6509" b="5576"/>
                    <a:stretch>
                      <a:fillRect/>
                    </a:stretch>
                  </pic:blipFill>
                  <pic:spPr>
                    <a:xfrm>
                      <a:off x="0" y="0"/>
                      <a:ext cx="5962650" cy="3152775"/>
                    </a:xfrm>
                    <a:prstGeom prst="rect">
                      <a:avLst/>
                    </a:prstGeom>
                  </pic:spPr>
                </pic:pic>
              </a:graphicData>
            </a:graphic>
          </wp:inline>
        </w:drawing>
      </w:r>
    </w:p>
    <w:bookmarkStart w:id="191" w:name="_heading=h.3hggvi6z765z" w:colFirst="0" w:colLast="0" w:displacedByCustomXml="next"/>
    <w:bookmarkEnd w:id="191" w:displacedByCustomXml="next"/>
    <w:sdt>
      <w:sdtPr>
        <w:tag w:val="goog_rdk_17"/>
        <w:id w:val="-279508541"/>
      </w:sdtPr>
      <w:sdtContent>
        <w:p w14:paraId="1E1D664D" w14:textId="77777777" w:rsidR="00D80693" w:rsidRDefault="00D80693" w:rsidP="00D92213">
          <w:pPr>
            <w:spacing w:before="120"/>
            <w:rPr>
              <w:i/>
              <w:iCs/>
              <w:color w:val="000000"/>
              <w:sz w:val="24"/>
              <w:szCs w:val="24"/>
              <w:lang w:val="fr" w:eastAsia="fr-SN"/>
            </w:rPr>
          </w:pPr>
          <w:r>
            <w:rPr>
              <w:b/>
              <w:bCs/>
              <w:i/>
              <w:iCs/>
              <w:color w:val="000000"/>
              <w:lang w:val="fr" w:eastAsia="fr-SN"/>
            </w:rPr>
            <w:t>Figure n° 8 : Evaluation de la qualité globale du cours par les étudiants</w:t>
          </w:r>
        </w:p>
      </w:sdtContent>
    </w:sdt>
    <w:p w14:paraId="68EA4BD2" w14:textId="77777777" w:rsidR="00D80693" w:rsidRDefault="00D80693" w:rsidP="00D92213">
      <w:pPr>
        <w:keepLines/>
        <w:spacing w:before="120"/>
        <w:jc w:val="both"/>
        <w:rPr>
          <w:sz w:val="24"/>
          <w:szCs w:val="24"/>
          <w:lang w:val="fr" w:eastAsia="fr-SN"/>
        </w:rPr>
      </w:pPr>
      <w:r>
        <w:rPr>
          <w:sz w:val="24"/>
          <w:szCs w:val="24"/>
          <w:lang w:val="fr" w:eastAsia="fr-SN"/>
        </w:rPr>
        <w:t>Quant à la qualité globale du cours, la majorité des étudiants, cinquante-quatre pour cent (54%) ont jugé le cours satisfaisant, tandis que quarante-six pour cent (46%) ont estimé que la qualité du cours était très satisfaisante. Cela indique un niveau élevé de satisfaction parmi les participants. Le graphique ci-dessous montre la distribution des évaluations de la qualité globale du cours par les étudiants.</w:t>
      </w:r>
    </w:p>
    <w:p w14:paraId="7F6BABCD" w14:textId="77777777" w:rsidR="00D80693" w:rsidRDefault="00D80693" w:rsidP="00D92213">
      <w:pPr>
        <w:spacing w:before="120"/>
        <w:jc w:val="both"/>
        <w:rPr>
          <w:sz w:val="24"/>
          <w:szCs w:val="24"/>
          <w:lang w:val="fr" w:eastAsia="fr-SN"/>
        </w:rPr>
      </w:pPr>
      <w:r>
        <w:rPr>
          <w:sz w:val="24"/>
          <w:szCs w:val="24"/>
          <w:lang w:val="fr" w:eastAsia="fr-SN"/>
        </w:rPr>
        <w:t xml:space="preserve">Tout comme le présentiel enrichi, les défis sont principalement liés aux infrastructures et au contexte socio-économique des étudiants. La fracture numérique et le coût de l'Internet affectent aussi les étudiants de la modalité E-learning. La dépendance au smartphone est commune aux deux modalités mais exacerbée en EL, car l'écran de petite taille et les plateformes non optimales rendent l'interaction complexe. </w:t>
      </w:r>
    </w:p>
    <w:p w14:paraId="60AAC29E" w14:textId="77777777" w:rsidR="00D80693" w:rsidRDefault="00D80693" w:rsidP="00D92213">
      <w:pPr>
        <w:spacing w:before="120"/>
        <w:jc w:val="both"/>
        <w:rPr>
          <w:sz w:val="24"/>
          <w:szCs w:val="24"/>
          <w:lang w:val="fr" w:eastAsia="fr-SN"/>
        </w:rPr>
      </w:pPr>
    </w:p>
    <w:bookmarkStart w:id="192" w:name="_heading=h.10jw1sd1h4b0" w:colFirst="0" w:colLast="0" w:displacedByCustomXml="next"/>
    <w:bookmarkEnd w:id="192" w:displacedByCustomXml="next"/>
    <w:sdt>
      <w:sdtPr>
        <w:rPr>
          <w:b/>
          <w:bCs/>
        </w:rPr>
        <w:tag w:val="goog_rdk_18"/>
        <w:id w:val="-829667507"/>
      </w:sdtPr>
      <w:sdtContent>
        <w:p w14:paraId="11F91E03" w14:textId="77777777" w:rsidR="00D80693" w:rsidRPr="0065773E" w:rsidRDefault="00D80693" w:rsidP="00D92213">
          <w:pPr>
            <w:spacing w:before="120"/>
            <w:rPr>
              <w:b/>
              <w:bCs/>
              <w:sz w:val="24"/>
              <w:szCs w:val="24"/>
              <w:lang w:val="fr" w:eastAsia="fr-SN"/>
            </w:rPr>
          </w:pPr>
          <w:r w:rsidRPr="0065773E">
            <w:rPr>
              <w:b/>
              <w:bCs/>
              <w:sz w:val="24"/>
              <w:szCs w:val="24"/>
              <w:lang w:val="fr" w:eastAsia="fr-SN"/>
            </w:rPr>
            <w:t>4. Discussions, recommandations et perspectives</w:t>
          </w:r>
        </w:p>
      </w:sdtContent>
    </w:sdt>
    <w:p w14:paraId="1D01212C" w14:textId="77777777" w:rsidR="00D80693" w:rsidRDefault="00D80693" w:rsidP="00D92213">
      <w:pPr>
        <w:keepLines/>
        <w:spacing w:before="120"/>
        <w:jc w:val="both"/>
        <w:rPr>
          <w:sz w:val="24"/>
          <w:szCs w:val="24"/>
          <w:lang w:val="fr" w:eastAsia="fr-SN"/>
        </w:rPr>
      </w:pPr>
      <w:r>
        <w:rPr>
          <w:sz w:val="24"/>
          <w:szCs w:val="24"/>
          <w:lang w:val="fr" w:eastAsia="fr-SN"/>
        </w:rPr>
        <w:t xml:space="preserve">Les résultats du questionnaire fournissent des éléments importants pour orienter l'évolution des pratiques pédagogiques. Les retours des étudiants mettent en évidence les atouts du dispositif, notamment la variété des outils mis en œuvre et les dynamiques collaboratives qu'ils ont créées. Ils révèlent des éléments qui inspirent à revisiter les théories de l'apprentissage afin de proposer des recommandations concrètes pour les praticiens. </w:t>
      </w:r>
    </w:p>
    <w:bookmarkStart w:id="193" w:name="_heading=h.ku31bzttfou7" w:colFirst="0" w:colLast="0" w:displacedByCustomXml="next"/>
    <w:bookmarkEnd w:id="193" w:displacedByCustomXml="next"/>
    <w:sdt>
      <w:sdtPr>
        <w:rPr>
          <w:b/>
          <w:bCs/>
        </w:rPr>
        <w:tag w:val="goog_rdk_19"/>
        <w:id w:val="1972783660"/>
      </w:sdtPr>
      <w:sdtContent>
        <w:p w14:paraId="4F6264C8" w14:textId="77777777" w:rsidR="00D80693" w:rsidRPr="0065773E" w:rsidRDefault="00D80693" w:rsidP="00D92213">
          <w:pPr>
            <w:spacing w:before="120"/>
            <w:rPr>
              <w:b/>
              <w:bCs/>
              <w:sz w:val="24"/>
              <w:szCs w:val="24"/>
              <w:lang w:val="fr" w:eastAsia="fr-SN"/>
            </w:rPr>
          </w:pPr>
          <w:r w:rsidRPr="0065773E">
            <w:rPr>
              <w:b/>
              <w:bCs/>
              <w:sz w:val="24"/>
              <w:szCs w:val="24"/>
              <w:lang w:val="fr" w:eastAsia="fr-SN"/>
            </w:rPr>
            <w:t xml:space="preserve">4.1 Discussions </w:t>
          </w:r>
        </w:p>
      </w:sdtContent>
    </w:sdt>
    <w:p w14:paraId="0CC137A8" w14:textId="77777777" w:rsidR="00D80693" w:rsidRDefault="00D80693" w:rsidP="00D92213">
      <w:pPr>
        <w:keepLines/>
        <w:spacing w:before="120"/>
        <w:jc w:val="both"/>
        <w:rPr>
          <w:sz w:val="24"/>
          <w:szCs w:val="24"/>
          <w:lang w:val="fr" w:eastAsia="fr-SN"/>
        </w:rPr>
      </w:pPr>
      <w:r>
        <w:rPr>
          <w:sz w:val="24"/>
          <w:szCs w:val="24"/>
          <w:lang w:val="fr" w:eastAsia="fr-SN"/>
        </w:rPr>
        <w:t xml:space="preserve">Une analyse qualitative de ces retours a permis de dégager les points forts spécifiques du cours dispensé en modalité hybride. </w:t>
      </w:r>
    </w:p>
    <w:p w14:paraId="6B80EA31" w14:textId="77777777" w:rsidR="00D80693" w:rsidRDefault="00D80693" w:rsidP="00D92213">
      <w:pPr>
        <w:spacing w:before="120"/>
        <w:jc w:val="both"/>
        <w:rPr>
          <w:sz w:val="24"/>
          <w:szCs w:val="24"/>
          <w:lang w:val="fr" w:eastAsia="fr-SN"/>
        </w:rPr>
      </w:pPr>
      <w:r>
        <w:rPr>
          <w:sz w:val="24"/>
          <w:szCs w:val="24"/>
          <w:lang w:val="fr" w:eastAsia="fr-SN"/>
        </w:rPr>
        <w:t>Les étudiants ont manifesté une appréciation positive pour la pertinence des outils employés dans l'approche de l'enseignement hybride combinant présentiel et en ligne, une pratique de plus en plus courante chez les enseignants. Ces outils entrent dans les catégorisés ci-après :</w:t>
      </w:r>
    </w:p>
    <w:p w14:paraId="4BA5428D" w14:textId="77777777" w:rsidR="00D80693" w:rsidRDefault="00D80693" w:rsidP="00D92213">
      <w:pPr>
        <w:widowControl/>
        <w:numPr>
          <w:ilvl w:val="0"/>
          <w:numId w:val="174"/>
        </w:numPr>
        <w:autoSpaceDE/>
        <w:autoSpaceDN/>
        <w:spacing w:before="120"/>
        <w:jc w:val="both"/>
        <w:rPr>
          <w:sz w:val="24"/>
          <w:szCs w:val="24"/>
          <w:lang w:val="fr" w:eastAsia="fr-SN"/>
        </w:rPr>
      </w:pPr>
      <w:r>
        <w:rPr>
          <w:sz w:val="24"/>
          <w:szCs w:val="24"/>
          <w:lang w:val="fr" w:eastAsia="fr-SN"/>
        </w:rPr>
        <w:t xml:space="preserve">Plateformes de gestion de l'apprentissage ou </w:t>
      </w:r>
      <w:r>
        <w:rPr>
          <w:i/>
          <w:iCs/>
          <w:sz w:val="24"/>
          <w:szCs w:val="24"/>
          <w:lang w:val="fr" w:eastAsia="fr-SN"/>
        </w:rPr>
        <w:t xml:space="preserve">Learning Management </w:t>
      </w:r>
      <w:proofErr w:type="spellStart"/>
      <w:proofErr w:type="gramStart"/>
      <w:r>
        <w:rPr>
          <w:i/>
          <w:iCs/>
          <w:sz w:val="24"/>
          <w:szCs w:val="24"/>
          <w:lang w:val="fr" w:eastAsia="fr-SN"/>
        </w:rPr>
        <w:t>Systems</w:t>
      </w:r>
      <w:proofErr w:type="spellEnd"/>
      <w:r>
        <w:rPr>
          <w:sz w:val="24"/>
          <w:szCs w:val="24"/>
          <w:lang w:val="fr" w:eastAsia="fr-SN"/>
        </w:rPr>
        <w:t xml:space="preserve">  (</w:t>
      </w:r>
      <w:proofErr w:type="gramEnd"/>
      <w:r>
        <w:rPr>
          <w:sz w:val="24"/>
          <w:szCs w:val="24"/>
          <w:lang w:val="fr" w:eastAsia="fr-SN"/>
        </w:rPr>
        <w:t xml:space="preserve">LMS) en anglais : Moodle et Google Classroom ont joué un rôle central en facilitant la gestion des contenus, le suivi des progressions, la collaboration asynchrone et les interactions en temps réel, assurant ainsi une articulation cohérente entre les composantes en ligne et en présentiel. </w:t>
      </w:r>
    </w:p>
    <w:p w14:paraId="1DF6F2AB" w14:textId="77777777" w:rsidR="00D80693" w:rsidRDefault="00D80693" w:rsidP="00D92213">
      <w:pPr>
        <w:widowControl/>
        <w:numPr>
          <w:ilvl w:val="0"/>
          <w:numId w:val="174"/>
        </w:numPr>
        <w:autoSpaceDE/>
        <w:autoSpaceDN/>
        <w:spacing w:before="120"/>
        <w:jc w:val="both"/>
        <w:rPr>
          <w:sz w:val="24"/>
          <w:szCs w:val="24"/>
          <w:lang w:val="fr" w:eastAsia="fr-SN"/>
        </w:rPr>
      </w:pPr>
      <w:r>
        <w:rPr>
          <w:sz w:val="24"/>
          <w:szCs w:val="24"/>
          <w:lang w:val="fr" w:eastAsia="fr-SN"/>
        </w:rPr>
        <w:t>Ressources multimédias : Principalement des vidéos éducatives de YouTube, ces ressources enrichissent le cours en complément du présentiel et favorisent l'apprentissage autonome. Elles sont déterminantes dans la diversification des modalités et rendent les cours plus accessibles et attrayants (Coulibaly &amp; Coulibaly, 2016).</w:t>
      </w:r>
    </w:p>
    <w:p w14:paraId="25C83CA0" w14:textId="77777777" w:rsidR="00D80693" w:rsidRDefault="00D80693" w:rsidP="00D92213">
      <w:pPr>
        <w:widowControl/>
        <w:numPr>
          <w:ilvl w:val="0"/>
          <w:numId w:val="174"/>
        </w:numPr>
        <w:autoSpaceDE/>
        <w:autoSpaceDN/>
        <w:spacing w:before="120"/>
        <w:jc w:val="both"/>
        <w:rPr>
          <w:sz w:val="24"/>
          <w:szCs w:val="24"/>
          <w:lang w:val="fr" w:eastAsia="fr-SN"/>
        </w:rPr>
      </w:pPr>
      <w:r>
        <w:rPr>
          <w:sz w:val="24"/>
          <w:szCs w:val="24"/>
          <w:lang w:val="fr" w:eastAsia="fr-SN"/>
        </w:rPr>
        <w:t>Outils numériques d’évaluation des apprentissages : des outils comme Google Forms ont été utilisés pour des tests en ligne, permettant une évaluation formative continue, une mesure des acquis, et une remédiation rapide, contribuant ainsi à une meilleure personnalisation de l’apprentissage.</w:t>
      </w:r>
    </w:p>
    <w:p w14:paraId="0DCA89F0" w14:textId="77777777" w:rsidR="00D80693" w:rsidRDefault="00D80693" w:rsidP="00D92213">
      <w:pPr>
        <w:spacing w:before="120"/>
        <w:jc w:val="both"/>
        <w:rPr>
          <w:sz w:val="24"/>
          <w:szCs w:val="24"/>
          <w:lang w:val="fr" w:eastAsia="fr-SN"/>
        </w:rPr>
      </w:pPr>
      <w:r>
        <w:rPr>
          <w:sz w:val="24"/>
          <w:szCs w:val="24"/>
          <w:lang w:val="fr" w:eastAsia="fr-SN"/>
        </w:rPr>
        <w:t>La pertinence de ces outils est corrélée aux objectifs pédagogiques et à la qualité de la scénarisation du cours. Leurs usages induisent une mutation du rôle de l'enseignant, qui passe d'un rôle de "guru omniscient" à celui de "facilitateur de l'apprentissage" (Bourke, 2008). Une sélection pertinente et équilibrée de ces outils, basée sur la compréhension de leurs fonctionnalités, est cruciale pour l'optimisation de l'engagement et la réussite de l'enseignement en présentiel enrichi.</w:t>
      </w:r>
    </w:p>
    <w:p w14:paraId="2E1A7E6D" w14:textId="77777777" w:rsidR="00D80693" w:rsidRDefault="00D80693" w:rsidP="00D92213">
      <w:pPr>
        <w:spacing w:before="120"/>
        <w:jc w:val="both"/>
        <w:rPr>
          <w:sz w:val="24"/>
          <w:szCs w:val="24"/>
          <w:lang w:val="fr" w:eastAsia="fr-SN"/>
        </w:rPr>
      </w:pPr>
      <w:r>
        <w:rPr>
          <w:sz w:val="24"/>
          <w:szCs w:val="24"/>
          <w:lang w:val="fr" w:eastAsia="fr-SN"/>
        </w:rPr>
        <w:t>Les travaux de groupe constituent aussi un aspect fortement apprécié par les étudiants dans le contexte du cours en présentiel enrichi. Ils jouent un rôle central dans la stimulation de la collaboration, de la motivation et de l'acquisition de connaissances et compétences langagières.</w:t>
      </w:r>
    </w:p>
    <w:p w14:paraId="4970E4F4" w14:textId="77777777" w:rsidR="00D80693" w:rsidRDefault="00D80693" w:rsidP="00D92213">
      <w:pPr>
        <w:spacing w:before="120"/>
        <w:jc w:val="both"/>
        <w:rPr>
          <w:sz w:val="24"/>
          <w:szCs w:val="24"/>
          <w:lang w:val="fr" w:eastAsia="fr-SN"/>
        </w:rPr>
      </w:pPr>
      <w:r>
        <w:rPr>
          <w:sz w:val="24"/>
          <w:szCs w:val="24"/>
          <w:lang w:val="fr" w:eastAsia="fr-SN"/>
        </w:rPr>
        <w:t>Dans un environnement hybride, l'enseignant qui crée des opportunités de travail collaboratif encourage le partage d'idées et la résolution collective de problèmes. La plateforme LMS Google Classroom est un espace dédié pour concrétiser cette collaboration, à travers les fils de discussion, flux et documents partagés. L'enseignant doit structurer et guider les activités collaboratives pour encourager l'engagement actif et permettre aux apprenants de bénéficier de la diversité des perspectives et de mieux comprendre les concepts. Des outils de communication synchrone comme Google Meet ou Microsoft Teams aussi utilisés dans le déroulement du cours expérimental facilitent la coordination et les interactions à distance, assurant la cohésion du groupe et une implication de tous. Le sentiment d'appartenance et la responsabilité partagée renforcent l'implication des étudiants, faisant d'eux les responsables principaux de leur propre apprentissage.</w:t>
      </w:r>
    </w:p>
    <w:p w14:paraId="0B0C37D1" w14:textId="77777777" w:rsidR="00D80693" w:rsidRDefault="00D80693" w:rsidP="00D92213">
      <w:pPr>
        <w:spacing w:before="120"/>
        <w:jc w:val="both"/>
        <w:rPr>
          <w:sz w:val="24"/>
          <w:szCs w:val="24"/>
          <w:lang w:val="fr" w:eastAsia="fr-SN"/>
        </w:rPr>
      </w:pPr>
      <w:r>
        <w:rPr>
          <w:sz w:val="24"/>
          <w:szCs w:val="24"/>
          <w:lang w:val="fr" w:eastAsia="fr-SN"/>
        </w:rPr>
        <w:t>De plus, les travaux de groupe en contexte hybride sont un levier pour le développement de compétences essentielles du XXIe siècle (</w:t>
      </w:r>
      <w:proofErr w:type="spellStart"/>
      <w:r>
        <w:rPr>
          <w:sz w:val="24"/>
          <w:szCs w:val="24"/>
          <w:lang w:val="fr" w:eastAsia="fr-SN"/>
        </w:rPr>
        <w:t>Nnene</w:t>
      </w:r>
      <w:proofErr w:type="spellEnd"/>
      <w:r>
        <w:rPr>
          <w:sz w:val="24"/>
          <w:szCs w:val="24"/>
          <w:lang w:val="fr" w:eastAsia="fr-SN"/>
        </w:rPr>
        <w:t xml:space="preserve">, 2014), incluant la communication, la maîtrise des outils numériques, la résolution de problèmes, la gestion du temps et la pensée critique. En gérant les dynamiques de groupe et la négociation pour atteindre des objectifs communs, les étudiants se préparent efficacement au monde professionnel. </w:t>
      </w:r>
    </w:p>
    <w:p w14:paraId="6EC5F1DD" w14:textId="77777777" w:rsidR="00D80693" w:rsidRDefault="00D80693" w:rsidP="00D92213">
      <w:pPr>
        <w:spacing w:before="120"/>
        <w:jc w:val="both"/>
        <w:rPr>
          <w:sz w:val="24"/>
          <w:szCs w:val="24"/>
          <w:lang w:val="fr" w:eastAsia="fr-SN"/>
        </w:rPr>
      </w:pPr>
      <w:r>
        <w:rPr>
          <w:sz w:val="24"/>
          <w:szCs w:val="24"/>
          <w:lang w:val="fr" w:eastAsia="fr-SN"/>
        </w:rPr>
        <w:t xml:space="preserve">Les outils numériques du web offrent d’innombrables opportunités pour appliquer le socioconstructivisme à l'enseignement de la production écrite en anglais. La plateforme Google Docs a été particulièrement efficace dans le cadre de la co-construction et la révision de documents aussi bien en synchrone qu’en asynchrone. Ses fonctionnalités renforcent la capacité des étudiants à utiliser la langue anglaise dans un cadre collaboratif. </w:t>
      </w:r>
    </w:p>
    <w:p w14:paraId="3ADC9A2E" w14:textId="77777777" w:rsidR="00D80693" w:rsidRDefault="00D80693" w:rsidP="00D92213">
      <w:pPr>
        <w:spacing w:before="120"/>
        <w:jc w:val="both"/>
        <w:rPr>
          <w:sz w:val="24"/>
          <w:szCs w:val="24"/>
          <w:lang w:val="fr" w:eastAsia="fr-SN"/>
        </w:rPr>
      </w:pPr>
      <w:r>
        <w:rPr>
          <w:sz w:val="24"/>
          <w:szCs w:val="24"/>
          <w:lang w:val="fr" w:eastAsia="fr-SN"/>
        </w:rPr>
        <w:t>De tels dispositifs permettent de personnaliser l'apprentissage et favorisent une exposition accrue et autonome à la langue cible en dehors de la salle de classe, ce qui renforce la confiance, l'autonomie et mène à un apprentissage plus naturel et durable.</w:t>
      </w:r>
    </w:p>
    <w:p w14:paraId="3C13A9F5" w14:textId="77777777" w:rsidR="00D80693" w:rsidRDefault="00D80693" w:rsidP="00D92213">
      <w:pPr>
        <w:spacing w:before="120"/>
        <w:jc w:val="both"/>
        <w:rPr>
          <w:sz w:val="24"/>
          <w:szCs w:val="24"/>
          <w:lang w:val="fr" w:eastAsia="fr-SN"/>
        </w:rPr>
      </w:pPr>
      <w:r>
        <w:rPr>
          <w:sz w:val="24"/>
          <w:szCs w:val="24"/>
          <w:lang w:val="fr" w:eastAsia="fr-SN"/>
        </w:rPr>
        <w:t xml:space="preserve">Sur un autre registre, le questionnaire a mis en évidence le manque de matériel didactique adéquat comme une limite majeure du cours de rédaction académique en mode hybride. Ce déficit de matériel didactique entrave l'efficacité de l'enseignement et la capacité des étudiants à maîtriser l’écrit, une compétence essentielle pour la réussite universitaire et la recherche (Graham, 2019). Bien que le présentiel enrichi offre des atouts (ressources disponibles en ligne, flexibilité, </w:t>
      </w:r>
      <w:proofErr w:type="spellStart"/>
      <w:r>
        <w:rPr>
          <w:sz w:val="24"/>
          <w:szCs w:val="24"/>
          <w:lang w:val="fr" w:eastAsia="fr-SN"/>
        </w:rPr>
        <w:t>autodirection</w:t>
      </w:r>
      <w:proofErr w:type="spellEnd"/>
      <w:r>
        <w:rPr>
          <w:sz w:val="24"/>
          <w:szCs w:val="24"/>
          <w:lang w:val="fr" w:eastAsia="fr-SN"/>
        </w:rPr>
        <w:t>…), sa transition nécessite une mise en adéquation des outils. Dans le contexte de l'étude, les étudiants ne disposent pas des ressources spécifiques pour l'acquisition des compétences de rédaction académique. Ce déficit crée des écarts dans la qualité de l'apprentissage (Ellis &amp; Goodyear, 2016) principalement dû aux facteurs ci-après :</w:t>
      </w:r>
    </w:p>
    <w:p w14:paraId="596BEE46" w14:textId="77777777" w:rsidR="00D80693" w:rsidRDefault="00D80693" w:rsidP="00D92213">
      <w:pPr>
        <w:widowControl/>
        <w:numPr>
          <w:ilvl w:val="0"/>
          <w:numId w:val="175"/>
        </w:numPr>
        <w:autoSpaceDE/>
        <w:autoSpaceDN/>
        <w:spacing w:before="120"/>
        <w:jc w:val="both"/>
        <w:rPr>
          <w:sz w:val="24"/>
          <w:szCs w:val="24"/>
          <w:lang w:val="fr" w:eastAsia="fr-SN"/>
        </w:rPr>
      </w:pPr>
      <w:proofErr w:type="gramStart"/>
      <w:r>
        <w:rPr>
          <w:sz w:val="24"/>
          <w:szCs w:val="24"/>
          <w:lang w:val="fr" w:eastAsia="fr-SN"/>
        </w:rPr>
        <w:t>absence</w:t>
      </w:r>
      <w:proofErr w:type="gramEnd"/>
      <w:r>
        <w:rPr>
          <w:sz w:val="24"/>
          <w:szCs w:val="24"/>
          <w:lang w:val="fr" w:eastAsia="fr-SN"/>
        </w:rPr>
        <w:t xml:space="preserve"> de matériel dédié répondant spécifiquement aux exigences didactiques de la rédaction académique dans la mesure où les ressources disponibles sont souvent génériques, mal alignées avec les objectifs pédagogiques et/ou non adaptées aux étudiants non natifs évoluant dans des contextes linguistiques négro-africains (Kandji, 2014).</w:t>
      </w:r>
    </w:p>
    <w:p w14:paraId="1CA0DE34" w14:textId="77777777" w:rsidR="00D80693" w:rsidRDefault="00D80693" w:rsidP="00D92213">
      <w:pPr>
        <w:widowControl/>
        <w:numPr>
          <w:ilvl w:val="0"/>
          <w:numId w:val="176"/>
        </w:numPr>
        <w:autoSpaceDE/>
        <w:autoSpaceDN/>
        <w:spacing w:before="120"/>
        <w:jc w:val="both"/>
        <w:rPr>
          <w:sz w:val="24"/>
          <w:szCs w:val="24"/>
          <w:lang w:val="fr" w:eastAsia="fr-SN"/>
        </w:rPr>
      </w:pPr>
      <w:proofErr w:type="gramStart"/>
      <w:r>
        <w:rPr>
          <w:sz w:val="24"/>
          <w:szCs w:val="24"/>
          <w:lang w:val="fr" w:eastAsia="fr-SN"/>
        </w:rPr>
        <w:t>ressources</w:t>
      </w:r>
      <w:proofErr w:type="gramEnd"/>
      <w:r>
        <w:rPr>
          <w:sz w:val="24"/>
          <w:szCs w:val="24"/>
          <w:lang w:val="fr" w:eastAsia="fr-SN"/>
        </w:rPr>
        <w:t xml:space="preserve"> existantes souvent conçues pour le présentiel, ne tenant pas compte des spécificités du présentiel enrichi (interaction en ligne, travail asynchrone, suivi individualisé) (Reinders &amp; White, 2016).</w:t>
      </w:r>
    </w:p>
    <w:p w14:paraId="62794482" w14:textId="77777777" w:rsidR="00D80693" w:rsidRDefault="00D80693" w:rsidP="00D92213">
      <w:pPr>
        <w:spacing w:before="120"/>
        <w:jc w:val="both"/>
        <w:rPr>
          <w:sz w:val="24"/>
          <w:szCs w:val="24"/>
          <w:lang w:val="fr" w:eastAsia="fr-SN"/>
        </w:rPr>
      </w:pPr>
      <w:r>
        <w:rPr>
          <w:sz w:val="24"/>
          <w:szCs w:val="24"/>
          <w:lang w:val="fr" w:eastAsia="fr-SN"/>
        </w:rPr>
        <w:t xml:space="preserve">L'absence de matériel didactique adapté </w:t>
      </w:r>
      <w:proofErr w:type="gramStart"/>
      <w:r>
        <w:rPr>
          <w:sz w:val="24"/>
          <w:szCs w:val="24"/>
          <w:lang w:val="fr" w:eastAsia="fr-SN"/>
        </w:rPr>
        <w:t>a</w:t>
      </w:r>
      <w:proofErr w:type="gramEnd"/>
      <w:r>
        <w:rPr>
          <w:sz w:val="24"/>
          <w:szCs w:val="24"/>
          <w:lang w:val="fr" w:eastAsia="fr-SN"/>
        </w:rPr>
        <w:t xml:space="preserve"> aussi des conséquences directes sur la qualité de l'apprentissage. Les étudiants peinent à comprendre le cours, à structurer leurs idées et à appliquer les règles de la rédaction académique. Ils se retrouvent isolés, privés d'accès aux bonnes pratiques, aux exercices interactifs et aux outils de feedback automatisé, compromettant l'aspect d'apprentissage autonome essentiel de la modalité hybride (Garrison &amp; Vaughan, 2008). Cela peut entraîner démotivation, une baisse de la qualité des productions écrites, voire l'échec des objectifs d'apprentissage (Hyland, 2018).</w:t>
      </w:r>
    </w:p>
    <w:p w14:paraId="61462456" w14:textId="77777777" w:rsidR="00D80693" w:rsidRDefault="00D80693" w:rsidP="00D92213">
      <w:pPr>
        <w:spacing w:before="120"/>
        <w:jc w:val="both"/>
        <w:rPr>
          <w:sz w:val="24"/>
          <w:szCs w:val="24"/>
          <w:lang w:val="fr" w:eastAsia="fr-SN"/>
        </w:rPr>
      </w:pPr>
      <w:r>
        <w:rPr>
          <w:sz w:val="24"/>
          <w:szCs w:val="24"/>
          <w:lang w:val="fr" w:eastAsia="fr-SN"/>
        </w:rPr>
        <w:t xml:space="preserve">Une autre limite dans le contexte sénégalais est le manque de formation des enseignants en </w:t>
      </w:r>
      <w:proofErr w:type="spellStart"/>
      <w:r>
        <w:rPr>
          <w:sz w:val="24"/>
          <w:szCs w:val="24"/>
          <w:lang w:val="fr" w:eastAsia="fr-SN"/>
        </w:rPr>
        <w:t>technopédagogie</w:t>
      </w:r>
      <w:proofErr w:type="spellEnd"/>
      <w:r>
        <w:rPr>
          <w:sz w:val="24"/>
          <w:szCs w:val="24"/>
          <w:lang w:val="fr" w:eastAsia="fr-SN"/>
        </w:rPr>
        <w:t xml:space="preserve">. Ce manque les empêche d'acquérir les compétences nécessaires pour concevoir et produire des ressources numériques spécifiquement adaptées à la modalité, les obligeant souvent recourir à un bricolage en adaptant des ressources traditionnelles souvent de manière </w:t>
      </w:r>
      <w:proofErr w:type="gramStart"/>
      <w:r>
        <w:rPr>
          <w:sz w:val="24"/>
          <w:szCs w:val="24"/>
          <w:lang w:val="fr" w:eastAsia="fr-SN"/>
        </w:rPr>
        <w:t>inefficace  (</w:t>
      </w:r>
      <w:proofErr w:type="gramEnd"/>
      <w:r>
        <w:rPr>
          <w:sz w:val="24"/>
          <w:szCs w:val="24"/>
          <w:lang w:val="fr" w:eastAsia="fr-SN"/>
        </w:rPr>
        <w:t>Bates, 2015).</w:t>
      </w:r>
    </w:p>
    <w:p w14:paraId="5AECF3C6" w14:textId="77777777" w:rsidR="00D80693" w:rsidRDefault="00D80693" w:rsidP="00D92213">
      <w:pPr>
        <w:spacing w:before="120"/>
        <w:jc w:val="both"/>
        <w:rPr>
          <w:sz w:val="24"/>
          <w:szCs w:val="24"/>
          <w:lang w:val="fr" w:eastAsia="fr-SN"/>
        </w:rPr>
      </w:pPr>
      <w:r>
        <w:rPr>
          <w:sz w:val="24"/>
          <w:szCs w:val="24"/>
          <w:lang w:val="fr" w:eastAsia="fr-SN"/>
        </w:rPr>
        <w:t>Les apprenants ont soulevé des contraintes de temps majeures associées à l'enseignement hybride, affectant leur expérience d'apprentissage. En effet, la flexibilité des cours en ligne, bien qu'avantageuse, peut induire une tendance à la procrastination ou à une mauvaise gestion du temps qui rattrapent la plupart du temps les étudiants qui sous-estiment la durée nécessaire pour compléter les cours en ligne (Clark et Kaw, 2021). Par ailleurs, l'obligation de participer activement aux deux modes (présentiel et en ligne) crée une pression supplémentaire sur l'emploi du temps, notamment pour les professionnels qui doivent concilier études, responsabilités professionnelles et familiales (Green et McKenzie, 2023). Sous cette contrainte, les étudiants sont susceptibles de survoler les contenus ou de remettre des travaux sans approfondissement suffisant, ce qui dégrade la qualité de l'apprentissage et impacte la réussite académique (Adams et Meyer, 2022).</w:t>
      </w:r>
    </w:p>
    <w:p w14:paraId="4F50C86C" w14:textId="77777777" w:rsidR="00D80693" w:rsidRDefault="00D80693" w:rsidP="00D92213">
      <w:pPr>
        <w:spacing w:before="120"/>
        <w:jc w:val="both"/>
        <w:rPr>
          <w:sz w:val="24"/>
          <w:szCs w:val="24"/>
          <w:lang w:val="fr" w:eastAsia="fr-SN"/>
        </w:rPr>
      </w:pPr>
      <w:r>
        <w:rPr>
          <w:sz w:val="24"/>
          <w:szCs w:val="24"/>
          <w:lang w:val="fr" w:eastAsia="fr-SN"/>
        </w:rPr>
        <w:t>L'enseignement en présentiel enrichi va également de pair avec des contraintes de temps pour les enseignants, qui doivent cumuler la préparation des séances en présentiel avec la création et la gestion de contenus en ligne (Anderson, 2021). Cette double modalité est chronophage dans la mesure où les enseignants investissent en moyenne trente pour cent (30 %) de temps supplémentaire à la préparation des cours par rapport à l'enseignement traditionnel (Smith et al, 2022). Ce temps est consacré à la création de matériel, à la gestion des plateformes et à la communication.</w:t>
      </w:r>
    </w:p>
    <w:p w14:paraId="6925BABD" w14:textId="77777777" w:rsidR="00D80693" w:rsidRDefault="00D80693" w:rsidP="00D92213">
      <w:pPr>
        <w:spacing w:before="120"/>
        <w:jc w:val="both"/>
        <w:rPr>
          <w:sz w:val="24"/>
          <w:szCs w:val="24"/>
          <w:lang w:val="fr" w:eastAsia="fr-SN"/>
        </w:rPr>
      </w:pPr>
      <w:r>
        <w:rPr>
          <w:sz w:val="24"/>
          <w:szCs w:val="24"/>
          <w:lang w:val="fr" w:eastAsia="fr-SN"/>
        </w:rPr>
        <w:t>De surcroît, l'environnement hybride rend l'enseignement plus accessible. Les attentes des étudiants en matière de disponibilité sont accrues, pouvant entraîner des sollicitations permanentes (y compris la nuit ou pendant les vacances) ainsi que des contraintes de temps supplémentaires (Johnson et Aragon, 2020). Les enseignants doivent ainsi s'organiser pour gérer leur communication (</w:t>
      </w:r>
      <w:proofErr w:type="gramStart"/>
      <w:r>
        <w:rPr>
          <w:sz w:val="24"/>
          <w:szCs w:val="24"/>
          <w:lang w:val="fr" w:eastAsia="fr-SN"/>
        </w:rPr>
        <w:t>e-mails</w:t>
      </w:r>
      <w:proofErr w:type="gramEnd"/>
      <w:r>
        <w:rPr>
          <w:sz w:val="24"/>
          <w:szCs w:val="24"/>
          <w:lang w:val="fr" w:eastAsia="fr-SN"/>
        </w:rPr>
        <w:t>, chats, forums…) et l'évaluation des apprentissages en ligne, ce qui peut réduire leur disponibilité ou créer des déséquilibres dans leurs autres tâches et responsabilités socioprofessionnelles.</w:t>
      </w:r>
    </w:p>
    <w:p w14:paraId="6779C6E4" w14:textId="77777777" w:rsidR="00D80693" w:rsidRDefault="00D80693" w:rsidP="00D92213">
      <w:pPr>
        <w:pBdr>
          <w:top w:val="nil"/>
          <w:left w:val="nil"/>
          <w:bottom w:val="nil"/>
          <w:right w:val="nil"/>
          <w:between w:val="nil"/>
        </w:pBdr>
        <w:spacing w:before="120"/>
        <w:jc w:val="both"/>
        <w:rPr>
          <w:sz w:val="24"/>
          <w:szCs w:val="24"/>
          <w:lang w:val="fr" w:eastAsia="fr-SN"/>
        </w:rPr>
      </w:pPr>
      <w:r>
        <w:rPr>
          <w:sz w:val="24"/>
          <w:szCs w:val="24"/>
          <w:lang w:val="fr" w:eastAsia="fr-SN"/>
        </w:rPr>
        <w:t>La montée en puissance de l'enseignement en présentiel enrichi, accélérée par la pandémie de la COVID-19, se heurte à un accès limité et inégal à Internet au Sénégal. Environ quarante pour cent (40 %) des étudiants en zones rurales n'ont pas un accès régulier, ce qui exacerbe les disparités avec les zones urbaines mieux desservies (Dakar, Thiès, etc.). Cette fracture est due au coût élevé des infrastructures en zones éloignées et au faible pouvoir d'achat des populations. Par exemple, près de soixante-cinq pour cent (65 %) des ménages ruraux n'ont pas de connexion Internet à domicile et subissent des connexions lentes ou intermittentes (Faye, 2023).</w:t>
      </w:r>
    </w:p>
    <w:p w14:paraId="45CFF7B0" w14:textId="77777777" w:rsidR="00D80693" w:rsidRDefault="00D80693" w:rsidP="00D92213">
      <w:pPr>
        <w:pBdr>
          <w:top w:val="nil"/>
          <w:left w:val="nil"/>
          <w:bottom w:val="nil"/>
          <w:right w:val="nil"/>
          <w:between w:val="nil"/>
        </w:pBdr>
        <w:spacing w:before="120"/>
        <w:jc w:val="both"/>
        <w:rPr>
          <w:sz w:val="24"/>
          <w:szCs w:val="24"/>
          <w:lang w:val="fr" w:eastAsia="fr-SN"/>
        </w:rPr>
      </w:pPr>
      <w:r>
        <w:rPr>
          <w:sz w:val="24"/>
          <w:szCs w:val="24"/>
          <w:lang w:val="fr" w:eastAsia="fr-SN"/>
        </w:rPr>
        <w:t>En outre, le coût élevé des données mobiles est un obstacle financier majeur. Plus de soixante pour cent (60 %) des étudiants interrogés ont déclaré rencontrer des difficultés à suivre régulièrement les cours en ligne à cause de ces dépenses. Les étudiants adoptent des stratégies telles que la réduction du temps de connexion pour faire des économies, ce qui peut altérer la qualité de leur apprentissage et limiter l'accès à des ressources et activités pédagogiques essentielles (vidéos, visioconférences, forums).</w:t>
      </w:r>
    </w:p>
    <w:p w14:paraId="565DF321" w14:textId="77777777" w:rsidR="00D80693" w:rsidRDefault="00D80693" w:rsidP="00D92213">
      <w:pPr>
        <w:spacing w:before="120"/>
        <w:jc w:val="both"/>
        <w:rPr>
          <w:sz w:val="24"/>
          <w:szCs w:val="24"/>
          <w:lang w:val="fr" w:eastAsia="fr-SN"/>
        </w:rPr>
      </w:pPr>
      <w:r>
        <w:rPr>
          <w:sz w:val="24"/>
          <w:szCs w:val="24"/>
          <w:lang w:val="fr" w:eastAsia="fr-SN"/>
        </w:rPr>
        <w:t>Le smartphone est l’outil privilégié des étudiants. Leur usage comme principal outil d'apprentissage en contexte hybride présente des défis techniques, pédagogiques et socio-économiques notamment :</w:t>
      </w:r>
    </w:p>
    <w:p w14:paraId="6D450ACF" w14:textId="77777777" w:rsidR="00D80693" w:rsidRDefault="00D80693" w:rsidP="00D92213">
      <w:pPr>
        <w:widowControl/>
        <w:numPr>
          <w:ilvl w:val="0"/>
          <w:numId w:val="177"/>
        </w:numPr>
        <w:autoSpaceDE/>
        <w:autoSpaceDN/>
        <w:spacing w:before="120"/>
        <w:jc w:val="both"/>
        <w:rPr>
          <w:sz w:val="24"/>
          <w:szCs w:val="24"/>
          <w:lang w:val="fr" w:eastAsia="fr-SN"/>
        </w:rPr>
      </w:pPr>
      <w:proofErr w:type="gramStart"/>
      <w:r>
        <w:rPr>
          <w:sz w:val="24"/>
          <w:szCs w:val="24"/>
          <w:lang w:val="fr" w:eastAsia="fr-SN"/>
        </w:rPr>
        <w:t>des</w:t>
      </w:r>
      <w:proofErr w:type="gramEnd"/>
      <w:r>
        <w:rPr>
          <w:sz w:val="24"/>
          <w:szCs w:val="24"/>
          <w:lang w:val="fr" w:eastAsia="fr-SN"/>
        </w:rPr>
        <w:t xml:space="preserve"> contraintes techniques et ergonomiques : la taille réduite de l'écran rend difficile la lecture prolongée et la participation aux visioconférences. Soixante-cinq pour cent 65 % des étudiants ont souffert de fatigue visuelle ou ont rencontré des difficultés avec les interfaces de plateformes pédagogiques mal optimisées pour les mobiles (Ndoye et al., 2021). Ces contraintes limitent la pleine participation aux sessions en ligne et affectent la performance.</w:t>
      </w:r>
    </w:p>
    <w:p w14:paraId="0CBC8E87" w14:textId="77777777" w:rsidR="00D80693" w:rsidRDefault="00D80693" w:rsidP="00D92213">
      <w:pPr>
        <w:widowControl/>
        <w:numPr>
          <w:ilvl w:val="0"/>
          <w:numId w:val="177"/>
        </w:numPr>
        <w:autoSpaceDE/>
        <w:autoSpaceDN/>
        <w:spacing w:before="120"/>
        <w:jc w:val="both"/>
        <w:rPr>
          <w:sz w:val="24"/>
          <w:szCs w:val="24"/>
          <w:lang w:val="fr" w:eastAsia="fr-SN"/>
        </w:rPr>
      </w:pPr>
      <w:proofErr w:type="gramStart"/>
      <w:r>
        <w:rPr>
          <w:sz w:val="24"/>
          <w:szCs w:val="24"/>
          <w:lang w:val="fr" w:eastAsia="fr-SN"/>
        </w:rPr>
        <w:t>une</w:t>
      </w:r>
      <w:proofErr w:type="gramEnd"/>
      <w:r>
        <w:rPr>
          <w:sz w:val="24"/>
          <w:szCs w:val="24"/>
          <w:lang w:val="fr" w:eastAsia="fr-SN"/>
        </w:rPr>
        <w:t xml:space="preserve"> surcharge cognitive : l'usage du smartphone favorise la surcharge cognitive, car les étudiants doivent gérer simultanément le suivi de cours, la prise de notes et les échanges sur un petit écran. La fragmentation de l'attention due aux notifications constantes des réseaux sociaux et des applications tierces est un frein majeur à la concentration lors de l'apprentissage en ligne (</w:t>
      </w:r>
      <w:proofErr w:type="spellStart"/>
      <w:r>
        <w:rPr>
          <w:sz w:val="24"/>
          <w:szCs w:val="24"/>
          <w:lang w:val="fr" w:eastAsia="fr-SN"/>
        </w:rPr>
        <w:t>Sarr</w:t>
      </w:r>
      <w:proofErr w:type="spellEnd"/>
      <w:r>
        <w:rPr>
          <w:sz w:val="24"/>
          <w:szCs w:val="24"/>
          <w:lang w:val="fr" w:eastAsia="fr-SN"/>
        </w:rPr>
        <w:t xml:space="preserve"> et Diop, 2022).</w:t>
      </w:r>
    </w:p>
    <w:p w14:paraId="38B4971A" w14:textId="77777777" w:rsidR="00D80693" w:rsidRDefault="00D80693" w:rsidP="00D92213">
      <w:pPr>
        <w:widowControl/>
        <w:numPr>
          <w:ilvl w:val="0"/>
          <w:numId w:val="177"/>
        </w:numPr>
        <w:autoSpaceDE/>
        <w:autoSpaceDN/>
        <w:spacing w:before="120"/>
        <w:jc w:val="both"/>
        <w:rPr>
          <w:sz w:val="24"/>
          <w:szCs w:val="24"/>
          <w:lang w:val="fr" w:eastAsia="fr-SN"/>
        </w:rPr>
      </w:pPr>
      <w:proofErr w:type="gramStart"/>
      <w:r>
        <w:rPr>
          <w:sz w:val="24"/>
          <w:szCs w:val="24"/>
          <w:lang w:val="fr" w:eastAsia="fr-SN"/>
        </w:rPr>
        <w:t>des</w:t>
      </w:r>
      <w:proofErr w:type="gramEnd"/>
      <w:r>
        <w:rPr>
          <w:sz w:val="24"/>
          <w:szCs w:val="24"/>
          <w:lang w:val="fr" w:eastAsia="fr-SN"/>
        </w:rPr>
        <w:t xml:space="preserve"> défis d’ordre pédagogique et </w:t>
      </w:r>
      <w:proofErr w:type="gramStart"/>
      <w:r>
        <w:rPr>
          <w:sz w:val="24"/>
          <w:szCs w:val="24"/>
          <w:lang w:val="fr" w:eastAsia="fr-SN"/>
        </w:rPr>
        <w:t>ergonomiques:</w:t>
      </w:r>
      <w:proofErr w:type="gramEnd"/>
      <w:r>
        <w:rPr>
          <w:sz w:val="24"/>
          <w:szCs w:val="24"/>
          <w:lang w:val="fr" w:eastAsia="fr-SN"/>
        </w:rPr>
        <w:t xml:space="preserve"> les enseignants manquent souvent des compétences </w:t>
      </w:r>
      <w:proofErr w:type="spellStart"/>
      <w:r>
        <w:rPr>
          <w:sz w:val="24"/>
          <w:szCs w:val="24"/>
          <w:lang w:val="fr" w:eastAsia="fr-SN"/>
        </w:rPr>
        <w:t>technopédagogiques</w:t>
      </w:r>
      <w:proofErr w:type="spellEnd"/>
      <w:r>
        <w:rPr>
          <w:sz w:val="24"/>
          <w:szCs w:val="24"/>
          <w:lang w:val="fr" w:eastAsia="fr-SN"/>
        </w:rPr>
        <w:t xml:space="preserve"> nécessaires pour scénariser leurs cours. De plus, la plupart des plateformes et contenus ne sont pas adaptés à une utilisation mobile optimale, ce qui rend la navigation complexe.</w:t>
      </w:r>
    </w:p>
    <w:p w14:paraId="031593EB" w14:textId="77777777" w:rsidR="00D80693" w:rsidRDefault="00D80693" w:rsidP="00D92213">
      <w:pPr>
        <w:widowControl/>
        <w:numPr>
          <w:ilvl w:val="0"/>
          <w:numId w:val="177"/>
        </w:numPr>
        <w:autoSpaceDE/>
        <w:autoSpaceDN/>
        <w:spacing w:before="120"/>
        <w:jc w:val="both"/>
        <w:rPr>
          <w:sz w:val="24"/>
          <w:szCs w:val="24"/>
          <w:lang w:val="fr" w:eastAsia="fr-SN"/>
        </w:rPr>
      </w:pPr>
      <w:proofErr w:type="gramStart"/>
      <w:r>
        <w:rPr>
          <w:sz w:val="24"/>
          <w:szCs w:val="24"/>
          <w:lang w:val="fr" w:eastAsia="fr-SN"/>
        </w:rPr>
        <w:t>des</w:t>
      </w:r>
      <w:proofErr w:type="gramEnd"/>
      <w:r>
        <w:rPr>
          <w:sz w:val="24"/>
          <w:szCs w:val="24"/>
          <w:lang w:val="fr" w:eastAsia="fr-SN"/>
        </w:rPr>
        <w:t xml:space="preserve"> contraintes socio-économiques : Le problème est exacerbé par le coût élevé des appareils et des données mobiles. De nombreux étudiants partagent leur smartphone ou vivent dans des environnements domestiques peu propices à la concentration (encombrement, responsabilités familiales), créant des inégalités d'accès en défaveur des étudiants disposant de ressources insuffisantes. </w:t>
      </w:r>
    </w:p>
    <w:p w14:paraId="6DD85F2E" w14:textId="77777777" w:rsidR="00D80693" w:rsidRDefault="00D80693" w:rsidP="00D92213">
      <w:pPr>
        <w:keepLines/>
        <w:pBdr>
          <w:top w:val="nil"/>
          <w:left w:val="nil"/>
          <w:bottom w:val="nil"/>
          <w:right w:val="nil"/>
          <w:between w:val="nil"/>
        </w:pBdr>
        <w:spacing w:before="120"/>
        <w:jc w:val="both"/>
        <w:rPr>
          <w:sz w:val="24"/>
          <w:szCs w:val="24"/>
          <w:lang w:val="fr" w:eastAsia="fr-SN"/>
        </w:rPr>
      </w:pPr>
      <w:r>
        <w:rPr>
          <w:sz w:val="24"/>
          <w:szCs w:val="24"/>
          <w:lang w:val="fr" w:eastAsia="fr-SN"/>
        </w:rPr>
        <w:t>Les données recueillies confirment une nette préférence pour les dispositifs mobiles chez les étudiants pour suivre le cours en ligne : le smartphone est ici encore l'outil le plus plébiscité par 51 répondants (plus de la moitié), témoignant d'une volonté d'accès facile et nomade aux contenus multimédias et du web. Cette tendance vers le mobile reflète la flexibilité et la mobilité recherchées par les apprenants.</w:t>
      </w:r>
    </w:p>
    <w:p w14:paraId="20C86C7D" w14:textId="77777777" w:rsidR="00D80693" w:rsidRDefault="00D80693" w:rsidP="00D92213">
      <w:pPr>
        <w:keepLines/>
        <w:pBdr>
          <w:top w:val="nil"/>
          <w:left w:val="nil"/>
          <w:bottom w:val="nil"/>
          <w:right w:val="nil"/>
          <w:between w:val="nil"/>
        </w:pBdr>
        <w:spacing w:before="120"/>
        <w:jc w:val="both"/>
        <w:rPr>
          <w:sz w:val="24"/>
          <w:szCs w:val="24"/>
          <w:lang w:val="fr" w:eastAsia="fr-SN"/>
        </w:rPr>
      </w:pPr>
      <w:r>
        <w:rPr>
          <w:sz w:val="24"/>
          <w:szCs w:val="24"/>
          <w:lang w:val="fr" w:eastAsia="fr-SN"/>
        </w:rPr>
        <w:t xml:space="preserve">Dans le contexte sénégalais, le recours aux dispositifs mobiles est pertinent dans la mesure où ils permettent de contourner les obstacles économiques, géographiques ou sociaux qui compromettent l’accès universel à l'éducation formelle (Friedrich &amp; Hron, 2011). Pour les étudiants, ils sont un moyen d’apprendre de manière autonome et à son propre rythme grâce à l'accès en continu aux ressources. Ils stimulent la collaboration à travers les plateformes de partage, la messagerie instantanée ou la visioconférence. Ces formes de collaboration sont particulièrement bénéfiques pour l'acquisition des compétences en production écrite, dans la mesure où l'interaction entre pairs devient un moyen de pallier le manque d'encadrement académique formel. </w:t>
      </w:r>
    </w:p>
    <w:p w14:paraId="43F6BCDE" w14:textId="77777777" w:rsidR="00D80693" w:rsidRDefault="00D80693" w:rsidP="00D92213">
      <w:pPr>
        <w:keepLines/>
        <w:pBdr>
          <w:top w:val="nil"/>
          <w:left w:val="nil"/>
          <w:bottom w:val="nil"/>
          <w:right w:val="nil"/>
          <w:between w:val="nil"/>
        </w:pBdr>
        <w:spacing w:before="120"/>
        <w:jc w:val="both"/>
        <w:rPr>
          <w:sz w:val="24"/>
          <w:szCs w:val="24"/>
          <w:lang w:val="fr" w:eastAsia="fr-SN"/>
        </w:rPr>
      </w:pPr>
      <w:r>
        <w:rPr>
          <w:sz w:val="24"/>
          <w:szCs w:val="24"/>
          <w:lang w:val="fr" w:eastAsia="fr-SN"/>
        </w:rPr>
        <w:t>Toutefois, l'utilisation efficace des outils numériques nomades dans le cadre des cours en rédaction académique se heurte à un certain nombre d’obstacles notamment :</w:t>
      </w:r>
    </w:p>
    <w:p w14:paraId="6BB87919" w14:textId="77777777" w:rsidR="00D80693" w:rsidRDefault="00D80693" w:rsidP="00D92213">
      <w:pPr>
        <w:keepLines/>
        <w:widowControl/>
        <w:numPr>
          <w:ilvl w:val="0"/>
          <w:numId w:val="178"/>
        </w:numPr>
        <w:pBdr>
          <w:top w:val="nil"/>
          <w:left w:val="nil"/>
          <w:bottom w:val="nil"/>
          <w:right w:val="nil"/>
          <w:between w:val="nil"/>
        </w:pBdr>
        <w:autoSpaceDE/>
        <w:autoSpaceDN/>
        <w:spacing w:before="120"/>
        <w:jc w:val="both"/>
        <w:rPr>
          <w:sz w:val="24"/>
          <w:szCs w:val="24"/>
          <w:lang w:val="fr" w:eastAsia="fr-SN"/>
        </w:rPr>
      </w:pPr>
      <w:proofErr w:type="gramStart"/>
      <w:r>
        <w:rPr>
          <w:sz w:val="24"/>
          <w:szCs w:val="24"/>
          <w:lang w:val="fr" w:eastAsia="fr-SN"/>
        </w:rPr>
        <w:t>les</w:t>
      </w:r>
      <w:proofErr w:type="gramEnd"/>
      <w:r>
        <w:rPr>
          <w:sz w:val="24"/>
          <w:szCs w:val="24"/>
          <w:lang w:val="fr" w:eastAsia="fr-SN"/>
        </w:rPr>
        <w:t xml:space="preserve"> problèmes d’accessibilité et d'inégalités : Malgré la croissance du taux de pénétration des téléphones intelligents au Sénégal, d'importantes disparités demeurent entre les zones urbaines et rurales en termes d'accès à Internet et aux technologies mobiles, limitant ainsi les bénéfices pour les étudiants des zones rurales (Diouf, 2019).</w:t>
      </w:r>
    </w:p>
    <w:p w14:paraId="1F0A95DE" w14:textId="77777777" w:rsidR="00D80693" w:rsidRDefault="00D80693" w:rsidP="00D92213">
      <w:pPr>
        <w:keepLines/>
        <w:widowControl/>
        <w:numPr>
          <w:ilvl w:val="0"/>
          <w:numId w:val="178"/>
        </w:numPr>
        <w:pBdr>
          <w:top w:val="nil"/>
          <w:left w:val="nil"/>
          <w:bottom w:val="nil"/>
          <w:right w:val="nil"/>
          <w:between w:val="nil"/>
        </w:pBdr>
        <w:autoSpaceDE/>
        <w:autoSpaceDN/>
        <w:spacing w:before="120"/>
        <w:jc w:val="both"/>
        <w:rPr>
          <w:sz w:val="24"/>
          <w:szCs w:val="24"/>
          <w:lang w:val="fr" w:eastAsia="fr-SN"/>
        </w:rPr>
      </w:pPr>
      <w:proofErr w:type="gramStart"/>
      <w:r>
        <w:rPr>
          <w:sz w:val="24"/>
          <w:szCs w:val="24"/>
          <w:lang w:val="fr" w:eastAsia="fr-SN"/>
        </w:rPr>
        <w:t>le</w:t>
      </w:r>
      <w:proofErr w:type="gramEnd"/>
      <w:r>
        <w:rPr>
          <w:sz w:val="24"/>
          <w:szCs w:val="24"/>
          <w:lang w:val="fr" w:eastAsia="fr-SN"/>
        </w:rPr>
        <w:t xml:space="preserve"> manque de compétences numériques : nombre d’étudiants ne maîtrisent pas les compétences numériques de base nécessaires pour tirer efficacement profit des atouts des applications mobiles dans le cadre de la rédaction académique (Sow et Diop, 2021).</w:t>
      </w:r>
    </w:p>
    <w:p w14:paraId="74241AC5" w14:textId="77777777" w:rsidR="00D80693" w:rsidRDefault="00D80693" w:rsidP="00D92213">
      <w:pPr>
        <w:keepLines/>
        <w:widowControl/>
        <w:numPr>
          <w:ilvl w:val="0"/>
          <w:numId w:val="178"/>
        </w:numPr>
        <w:pBdr>
          <w:top w:val="nil"/>
          <w:left w:val="nil"/>
          <w:bottom w:val="nil"/>
          <w:right w:val="nil"/>
          <w:between w:val="nil"/>
        </w:pBdr>
        <w:autoSpaceDE/>
        <w:autoSpaceDN/>
        <w:spacing w:before="120"/>
        <w:jc w:val="both"/>
        <w:rPr>
          <w:sz w:val="24"/>
          <w:szCs w:val="24"/>
          <w:lang w:val="fr" w:eastAsia="fr-SN"/>
        </w:rPr>
      </w:pPr>
      <w:proofErr w:type="gramStart"/>
      <w:r>
        <w:rPr>
          <w:sz w:val="24"/>
          <w:szCs w:val="24"/>
          <w:lang w:val="fr" w:eastAsia="fr-SN"/>
        </w:rPr>
        <w:t>la</w:t>
      </w:r>
      <w:proofErr w:type="gramEnd"/>
      <w:r>
        <w:rPr>
          <w:sz w:val="24"/>
          <w:szCs w:val="24"/>
          <w:lang w:val="fr" w:eastAsia="fr-SN"/>
        </w:rPr>
        <w:t xml:space="preserve"> </w:t>
      </w:r>
      <w:proofErr w:type="gramStart"/>
      <w:r>
        <w:rPr>
          <w:sz w:val="24"/>
          <w:szCs w:val="24"/>
          <w:lang w:val="fr" w:eastAsia="fr-SN"/>
        </w:rPr>
        <w:t>distraction:</w:t>
      </w:r>
      <w:proofErr w:type="gramEnd"/>
      <w:r>
        <w:rPr>
          <w:sz w:val="24"/>
          <w:szCs w:val="24"/>
          <w:lang w:val="fr" w:eastAsia="fr-SN"/>
        </w:rPr>
        <w:t xml:space="preserve"> les dispositifs mobiles peuvent avoir des effets distracteurs, l’étudiant est tenté de consulter des contenus en dehors du contexte du cours, ce qui peut réduire le temps à consacrer à l'apprentissage (</w:t>
      </w:r>
      <w:proofErr w:type="spellStart"/>
      <w:r>
        <w:rPr>
          <w:sz w:val="24"/>
          <w:szCs w:val="24"/>
          <w:lang w:val="fr" w:eastAsia="fr-SN"/>
        </w:rPr>
        <w:t>Fall</w:t>
      </w:r>
      <w:proofErr w:type="spellEnd"/>
      <w:r>
        <w:rPr>
          <w:sz w:val="24"/>
          <w:szCs w:val="24"/>
          <w:lang w:val="fr" w:eastAsia="fr-SN"/>
        </w:rPr>
        <w:t>, 2020).</w:t>
      </w:r>
    </w:p>
    <w:p w14:paraId="2823EF74" w14:textId="77777777" w:rsidR="00D80693" w:rsidRDefault="00D80693" w:rsidP="00D92213">
      <w:pPr>
        <w:keepLines/>
        <w:widowControl/>
        <w:numPr>
          <w:ilvl w:val="0"/>
          <w:numId w:val="178"/>
        </w:numPr>
        <w:pBdr>
          <w:top w:val="nil"/>
          <w:left w:val="nil"/>
          <w:bottom w:val="nil"/>
          <w:right w:val="nil"/>
          <w:between w:val="nil"/>
        </w:pBdr>
        <w:autoSpaceDE/>
        <w:autoSpaceDN/>
        <w:spacing w:before="120"/>
        <w:jc w:val="both"/>
        <w:rPr>
          <w:sz w:val="24"/>
          <w:szCs w:val="24"/>
          <w:lang w:val="fr" w:eastAsia="fr-SN"/>
        </w:rPr>
      </w:pPr>
      <w:r>
        <w:rPr>
          <w:sz w:val="24"/>
          <w:szCs w:val="24"/>
          <w:lang w:val="fr" w:eastAsia="fr-SN"/>
        </w:rPr>
        <w:t xml:space="preserve">La dépendance à la </w:t>
      </w:r>
      <w:proofErr w:type="gramStart"/>
      <w:r>
        <w:rPr>
          <w:sz w:val="24"/>
          <w:szCs w:val="24"/>
          <w:lang w:val="fr" w:eastAsia="fr-SN"/>
        </w:rPr>
        <w:t>technologie:</w:t>
      </w:r>
      <w:proofErr w:type="gramEnd"/>
      <w:r>
        <w:rPr>
          <w:sz w:val="24"/>
          <w:szCs w:val="24"/>
          <w:lang w:val="fr" w:eastAsia="fr-SN"/>
        </w:rPr>
        <w:t xml:space="preserve"> une dépendance excessive aux outils de correction automatique peut compromettre le développement des compétences fondamentales en expression écrite.</w:t>
      </w:r>
    </w:p>
    <w:p w14:paraId="05A60099" w14:textId="77777777" w:rsidR="00D80693" w:rsidRDefault="00D80693" w:rsidP="00D92213">
      <w:pPr>
        <w:keepLines/>
        <w:widowControl/>
        <w:numPr>
          <w:ilvl w:val="0"/>
          <w:numId w:val="178"/>
        </w:numPr>
        <w:pBdr>
          <w:top w:val="nil"/>
          <w:left w:val="nil"/>
          <w:bottom w:val="nil"/>
          <w:right w:val="nil"/>
          <w:between w:val="nil"/>
        </w:pBdr>
        <w:autoSpaceDE/>
        <w:autoSpaceDN/>
        <w:spacing w:before="120"/>
        <w:jc w:val="both"/>
        <w:rPr>
          <w:sz w:val="24"/>
          <w:szCs w:val="24"/>
          <w:lang w:val="fr" w:eastAsia="fr-SN"/>
        </w:rPr>
      </w:pPr>
      <w:proofErr w:type="gramStart"/>
      <w:r>
        <w:rPr>
          <w:sz w:val="24"/>
          <w:szCs w:val="24"/>
          <w:lang w:val="fr" w:eastAsia="fr-SN"/>
        </w:rPr>
        <w:t>la</w:t>
      </w:r>
      <w:proofErr w:type="gramEnd"/>
      <w:r>
        <w:rPr>
          <w:sz w:val="24"/>
          <w:szCs w:val="24"/>
          <w:lang w:val="fr" w:eastAsia="fr-SN"/>
        </w:rPr>
        <w:t xml:space="preserve"> formation des </w:t>
      </w:r>
      <w:proofErr w:type="gramStart"/>
      <w:r>
        <w:rPr>
          <w:sz w:val="24"/>
          <w:szCs w:val="24"/>
          <w:lang w:val="fr" w:eastAsia="fr-SN"/>
        </w:rPr>
        <w:t>enseignants:</w:t>
      </w:r>
      <w:proofErr w:type="gramEnd"/>
      <w:r>
        <w:rPr>
          <w:sz w:val="24"/>
          <w:szCs w:val="24"/>
          <w:lang w:val="fr" w:eastAsia="fr-SN"/>
        </w:rPr>
        <w:t xml:space="preserve"> Le manque de formation adéquate des enseignants sur l'intégration pédagogique des technologies mobiles demeure une limite majeure.</w:t>
      </w:r>
    </w:p>
    <w:p w14:paraId="4C719DB0" w14:textId="77777777" w:rsidR="00D80693" w:rsidRDefault="00D80693" w:rsidP="00D92213">
      <w:pPr>
        <w:spacing w:before="120"/>
        <w:jc w:val="both"/>
        <w:rPr>
          <w:sz w:val="24"/>
          <w:szCs w:val="24"/>
          <w:lang w:val="fr" w:eastAsia="fr-SN"/>
        </w:rPr>
      </w:pPr>
      <w:r>
        <w:rPr>
          <w:sz w:val="24"/>
          <w:szCs w:val="24"/>
          <w:lang w:val="fr" w:eastAsia="fr-SN"/>
        </w:rPr>
        <w:t xml:space="preserve">L'analyse des retours met en lumière une perception très favorable du cours par les étudiants du groupe E-learning, avec peu de critiques substantielles. Elle met en évidence une forte appréciation pour l'intégration technologique et la structuration des contenus. Les étudiants ont exprimé une appréciation positive pour plusieurs aspects du cours : ils ont particulièrement salué l'adaptation et l'intérêt du contenu, de même que la clarté et l'originalité de ce dernier. L'utilisation de la technologie pour rendre le cours plus vivant et engageant a été perçue positivement, tout comme la motivation générale suscitée par l'enseignement. Enfin, ils ont souligné la contribution bénéfique des travaux de groupe et des outils collaboratifs en ligne à l'amélioration de leur compréhension. </w:t>
      </w:r>
    </w:p>
    <w:p w14:paraId="3DBB33F1" w14:textId="77777777" w:rsidR="00D80693" w:rsidRDefault="00D80693" w:rsidP="00D92213">
      <w:pPr>
        <w:spacing w:before="120"/>
        <w:jc w:val="both"/>
        <w:rPr>
          <w:sz w:val="24"/>
          <w:szCs w:val="24"/>
          <w:lang w:val="fr" w:eastAsia="fr-SN"/>
        </w:rPr>
      </w:pPr>
      <w:r>
        <w:rPr>
          <w:sz w:val="24"/>
          <w:szCs w:val="24"/>
          <w:lang w:val="fr" w:eastAsia="fr-SN"/>
        </w:rPr>
        <w:t>Bien que le niveau de satisfaction général soit élevé, les rares critiques exprimées ont permis de dégager trois limites principales. Les étudiants ont principalement mentionné des problèmes de communication, des difficultés liées à la connexion Internet et des contraintes de temps, suggérant que le cours requiert une gestion personnelle exigeante.</w:t>
      </w:r>
    </w:p>
    <w:p w14:paraId="51C47792" w14:textId="77777777" w:rsidR="00D80693" w:rsidRDefault="00D80693" w:rsidP="00D92213">
      <w:pPr>
        <w:spacing w:before="120"/>
        <w:jc w:val="both"/>
        <w:rPr>
          <w:sz w:val="24"/>
          <w:szCs w:val="24"/>
          <w:lang w:val="fr" w:eastAsia="fr-SN"/>
        </w:rPr>
      </w:pPr>
      <w:r>
        <w:rPr>
          <w:sz w:val="24"/>
          <w:szCs w:val="24"/>
          <w:lang w:val="fr" w:eastAsia="fr-SN"/>
        </w:rPr>
        <w:t>Globalement, la quasi-absence de difficultés majeures rapportées conforte le niveau élevé de satisfaction exprimé par les participants.</w:t>
      </w:r>
    </w:p>
    <w:bookmarkStart w:id="194" w:name="_heading=h.m3ox7fxtsqwo" w:colFirst="0" w:colLast="0" w:displacedByCustomXml="next"/>
    <w:bookmarkEnd w:id="194" w:displacedByCustomXml="next"/>
    <w:sdt>
      <w:sdtPr>
        <w:rPr>
          <w:b/>
          <w:bCs/>
        </w:rPr>
        <w:tag w:val="goog_rdk_20"/>
        <w:id w:val="589686639"/>
      </w:sdtPr>
      <w:sdtContent>
        <w:p w14:paraId="792BFFC4" w14:textId="77777777" w:rsidR="00D80693" w:rsidRPr="0065773E" w:rsidRDefault="00D80693" w:rsidP="00D92213">
          <w:pPr>
            <w:spacing w:before="120"/>
            <w:rPr>
              <w:b/>
              <w:bCs/>
              <w:sz w:val="24"/>
              <w:szCs w:val="24"/>
              <w:lang w:val="fr" w:eastAsia="fr-SN"/>
            </w:rPr>
          </w:pPr>
          <w:r w:rsidRPr="0065773E">
            <w:rPr>
              <w:b/>
              <w:bCs/>
              <w:sz w:val="24"/>
              <w:szCs w:val="24"/>
              <w:lang w:val="fr" w:eastAsia="fr-SN"/>
            </w:rPr>
            <w:t>4.2 Recommandations et Perspectives</w:t>
          </w:r>
        </w:p>
      </w:sdtContent>
    </w:sdt>
    <w:p w14:paraId="27FFF957" w14:textId="77777777" w:rsidR="00D80693" w:rsidRDefault="00D80693" w:rsidP="00D92213">
      <w:pPr>
        <w:spacing w:before="120"/>
        <w:jc w:val="both"/>
        <w:rPr>
          <w:sz w:val="24"/>
          <w:szCs w:val="24"/>
          <w:lang w:val="fr" w:eastAsia="fr-SN"/>
        </w:rPr>
      </w:pPr>
      <w:r>
        <w:rPr>
          <w:sz w:val="24"/>
          <w:szCs w:val="24"/>
          <w:lang w:val="fr" w:eastAsia="fr-SN"/>
        </w:rPr>
        <w:t>À la lumière de la présente étude, il est vivement recommandé aux enseignants d'opter pour l'approche hybride du présentiel enrichi.   Il est également nécessaire d'intégrer davantage d'outils numériques collaboratifs dans l'enseignement de l'expression écrite. Pour la modalité E-learning, le maintien d'une qualité et clarté élevées des supports est indispensable pour soutenir l'autonomie des apprenants. L’enseignant doit être en mesure de capitaliser sur les atouts des deux modalités.</w:t>
      </w:r>
    </w:p>
    <w:p w14:paraId="220D5141" w14:textId="77777777" w:rsidR="00D80693" w:rsidRDefault="00D80693" w:rsidP="00D92213">
      <w:pPr>
        <w:spacing w:before="120"/>
        <w:jc w:val="both"/>
        <w:rPr>
          <w:sz w:val="24"/>
          <w:szCs w:val="24"/>
          <w:lang w:val="fr" w:eastAsia="fr-SN"/>
        </w:rPr>
      </w:pPr>
      <w:r>
        <w:rPr>
          <w:sz w:val="24"/>
          <w:szCs w:val="24"/>
          <w:lang w:val="fr" w:eastAsia="fr-SN"/>
        </w:rPr>
        <w:t>L'étude exhorte les décideurs à prendre les mesures suivantes :</w:t>
      </w:r>
    </w:p>
    <w:p w14:paraId="73F2EB80" w14:textId="77777777" w:rsidR="00D80693" w:rsidRDefault="00D80693" w:rsidP="00D92213">
      <w:pPr>
        <w:widowControl/>
        <w:numPr>
          <w:ilvl w:val="0"/>
          <w:numId w:val="179"/>
        </w:numPr>
        <w:autoSpaceDE/>
        <w:autoSpaceDN/>
        <w:spacing w:before="120"/>
        <w:jc w:val="both"/>
        <w:rPr>
          <w:rFonts w:ascii="Arial" w:eastAsia="Arial" w:hAnsi="Arial" w:cs="Arial"/>
          <w:color w:val="000000"/>
          <w:sz w:val="24"/>
          <w:szCs w:val="24"/>
          <w:lang w:val="fr" w:eastAsia="fr-SN"/>
        </w:rPr>
      </w:pPr>
      <w:r>
        <w:rPr>
          <w:sz w:val="24"/>
          <w:szCs w:val="24"/>
          <w:lang w:val="fr" w:eastAsia="fr-SN"/>
        </w:rPr>
        <w:t>Renforcer les infrastructures numériques : Améliorer la connectivité et l'accès à des équipements adéquats est un préalable indispensable à la réussite de l'enseignement-apprentissage hybride ou à distance.</w:t>
      </w:r>
    </w:p>
    <w:p w14:paraId="494172E1" w14:textId="77777777" w:rsidR="00D80693" w:rsidRDefault="00D80693" w:rsidP="00D92213">
      <w:pPr>
        <w:widowControl/>
        <w:numPr>
          <w:ilvl w:val="0"/>
          <w:numId w:val="179"/>
        </w:numPr>
        <w:autoSpaceDE/>
        <w:autoSpaceDN/>
        <w:spacing w:before="120"/>
        <w:jc w:val="both"/>
        <w:rPr>
          <w:rFonts w:ascii="Arial" w:eastAsia="Arial" w:hAnsi="Arial" w:cs="Arial"/>
          <w:color w:val="000000"/>
          <w:sz w:val="24"/>
          <w:szCs w:val="24"/>
          <w:lang w:val="fr" w:eastAsia="fr-SN"/>
        </w:rPr>
      </w:pPr>
      <w:r>
        <w:rPr>
          <w:sz w:val="24"/>
          <w:szCs w:val="24"/>
          <w:lang w:val="fr" w:eastAsia="fr-SN"/>
        </w:rPr>
        <w:t xml:space="preserve">Former les enseignants en </w:t>
      </w:r>
      <w:proofErr w:type="spellStart"/>
      <w:r>
        <w:rPr>
          <w:sz w:val="24"/>
          <w:szCs w:val="24"/>
          <w:lang w:val="fr" w:eastAsia="fr-SN"/>
        </w:rPr>
        <w:t>technopédagogie</w:t>
      </w:r>
      <w:proofErr w:type="spellEnd"/>
      <w:r>
        <w:rPr>
          <w:sz w:val="24"/>
          <w:szCs w:val="24"/>
          <w:lang w:val="fr" w:eastAsia="fr-SN"/>
        </w:rPr>
        <w:t xml:space="preserve"> : Il est crucial de renforcer la formation initiale et continue en matière de médiation numérique et d'éthique de l'usage de l'intelligence artificielle (IA) (Smith et al., 2022). Étant donné le faible nombre de retours d'expériences documentés dans la littérature scientifique sur l'usage des outils d'IA pour optimiser les compétences en production écrite, cette nouvelle technologie soulève des questions éthiques (dépendance, créativité, originalité) et didactiques (usage critique et réflexif, évaluation), nécessitant de former les enseignants à des usages responsables (Leighton et Griffioen, 2021).</w:t>
      </w:r>
    </w:p>
    <w:p w14:paraId="6EE0F26F" w14:textId="77777777" w:rsidR="00D80693" w:rsidRDefault="00D80693" w:rsidP="00D92213">
      <w:pPr>
        <w:widowControl/>
        <w:numPr>
          <w:ilvl w:val="0"/>
          <w:numId w:val="179"/>
        </w:numPr>
        <w:autoSpaceDE/>
        <w:autoSpaceDN/>
        <w:spacing w:before="120"/>
        <w:jc w:val="both"/>
        <w:rPr>
          <w:rFonts w:ascii="Arial" w:eastAsia="Arial" w:hAnsi="Arial" w:cs="Arial"/>
          <w:color w:val="000000"/>
          <w:sz w:val="24"/>
          <w:szCs w:val="24"/>
          <w:lang w:val="fr" w:eastAsia="fr-SN"/>
        </w:rPr>
      </w:pPr>
      <w:r>
        <w:rPr>
          <w:sz w:val="24"/>
          <w:szCs w:val="24"/>
          <w:lang w:val="fr" w:eastAsia="fr-SN"/>
        </w:rPr>
        <w:t>Sensibiliser les étudiants à l'usage critique de l'IA : Un encadrement de l'usage de l'IA générative (Golan et al., 2023) est nécessaire pour cultiver la pensée critique (Leighton et Griffioen, 2021).</w:t>
      </w:r>
    </w:p>
    <w:p w14:paraId="46C17E37" w14:textId="77777777" w:rsidR="00D80693" w:rsidRDefault="00D80693" w:rsidP="00D92213">
      <w:pPr>
        <w:widowControl/>
        <w:numPr>
          <w:ilvl w:val="0"/>
          <w:numId w:val="179"/>
        </w:numPr>
        <w:autoSpaceDE/>
        <w:autoSpaceDN/>
        <w:spacing w:before="120"/>
        <w:jc w:val="both"/>
        <w:rPr>
          <w:rFonts w:ascii="Arial" w:eastAsia="Arial" w:hAnsi="Arial" w:cs="Arial"/>
          <w:color w:val="000000"/>
          <w:sz w:val="24"/>
          <w:szCs w:val="24"/>
          <w:lang w:val="fr" w:eastAsia="fr-SN"/>
        </w:rPr>
      </w:pPr>
      <w:r>
        <w:rPr>
          <w:sz w:val="24"/>
          <w:szCs w:val="24"/>
          <w:lang w:val="fr" w:eastAsia="fr-SN"/>
        </w:rPr>
        <w:t>Développer des ressources pédagogiques locales (Kandji, 2014) : Concevoir et mutualiser des ressources numériques spécifiquement adaptées au contexte linguistique et académique sénégalais.</w:t>
      </w:r>
    </w:p>
    <w:p w14:paraId="0813E16B" w14:textId="77777777" w:rsidR="00D80693" w:rsidRDefault="00D80693" w:rsidP="00D92213">
      <w:pPr>
        <w:widowControl/>
        <w:numPr>
          <w:ilvl w:val="0"/>
          <w:numId w:val="179"/>
        </w:numPr>
        <w:autoSpaceDE/>
        <w:autoSpaceDN/>
        <w:spacing w:before="120"/>
        <w:jc w:val="both"/>
        <w:rPr>
          <w:rFonts w:ascii="Arial" w:eastAsia="Arial" w:hAnsi="Arial" w:cs="Arial"/>
          <w:color w:val="000000"/>
          <w:sz w:val="24"/>
          <w:szCs w:val="24"/>
          <w:lang w:val="fr" w:eastAsia="fr-SN"/>
        </w:rPr>
      </w:pPr>
      <w:r>
        <w:rPr>
          <w:sz w:val="24"/>
          <w:szCs w:val="24"/>
          <w:lang w:val="fr" w:eastAsia="fr-SN"/>
        </w:rPr>
        <w:t>Mettre en place des politiques éducatives publiques et des partenariats proactifs : Impliquer les pouvoirs publics, les universités et le secteur privé pour réduire la fracture numérique.</w:t>
      </w:r>
    </w:p>
    <w:p w14:paraId="7DBB8CC0" w14:textId="77777777" w:rsidR="00D80693" w:rsidRDefault="00D80693" w:rsidP="00D92213">
      <w:pPr>
        <w:spacing w:before="120"/>
        <w:jc w:val="both"/>
        <w:rPr>
          <w:sz w:val="24"/>
          <w:szCs w:val="24"/>
          <w:lang w:val="fr" w:eastAsia="fr-SN"/>
        </w:rPr>
      </w:pPr>
      <w:r>
        <w:rPr>
          <w:sz w:val="24"/>
          <w:szCs w:val="24"/>
          <w:lang w:val="fr" w:eastAsia="fr-SN"/>
        </w:rPr>
        <w:t>Enfin, en termes de perspectives de recherche, des études futures pourraient se concentrer sur l'influence des différences individuelles telles que les styles d'apprentissage sur la perception et les résultats des apprenants.</w:t>
      </w:r>
    </w:p>
    <w:bookmarkStart w:id="195" w:name="_heading=h.nhatdnrsk79p" w:colFirst="0" w:colLast="0" w:displacedByCustomXml="next"/>
    <w:bookmarkEnd w:id="195" w:displacedByCustomXml="next"/>
    <w:sdt>
      <w:sdtPr>
        <w:rPr>
          <w:b/>
          <w:bCs/>
        </w:rPr>
        <w:tag w:val="goog_rdk_21"/>
        <w:id w:val="2124628758"/>
      </w:sdtPr>
      <w:sdtContent>
        <w:p w14:paraId="1F139B83" w14:textId="77777777" w:rsidR="00D80693" w:rsidRPr="0065773E" w:rsidRDefault="00D80693" w:rsidP="00D92213">
          <w:pPr>
            <w:spacing w:before="120"/>
            <w:rPr>
              <w:b/>
              <w:bCs/>
              <w:sz w:val="28"/>
              <w:szCs w:val="28"/>
              <w:lang w:val="fr" w:eastAsia="fr-SN"/>
            </w:rPr>
          </w:pPr>
          <w:r w:rsidRPr="0065773E">
            <w:rPr>
              <w:b/>
              <w:bCs/>
              <w:sz w:val="28"/>
              <w:szCs w:val="28"/>
              <w:lang w:val="fr" w:eastAsia="fr-SN"/>
            </w:rPr>
            <w:t>Conclusion</w:t>
          </w:r>
        </w:p>
      </w:sdtContent>
    </w:sdt>
    <w:p w14:paraId="4E41AA82" w14:textId="77777777" w:rsidR="00D80693" w:rsidRDefault="00D80693" w:rsidP="00D92213">
      <w:pPr>
        <w:spacing w:before="120"/>
        <w:jc w:val="both"/>
        <w:rPr>
          <w:sz w:val="24"/>
          <w:szCs w:val="24"/>
          <w:lang w:val="fr" w:eastAsia="fr-SN"/>
        </w:rPr>
      </w:pPr>
      <w:r>
        <w:rPr>
          <w:sz w:val="24"/>
          <w:szCs w:val="24"/>
          <w:lang w:val="fr" w:eastAsia="fr-SN"/>
        </w:rPr>
        <w:t>Cette étude a exploré les perceptions d'étudiants sénégalais en Licence 3 d'anglais concernant un cours expérimental de rédaction académique, validant ainsi la pertinence d'une pédagogie numérique ancrée dans le socio-constructivisme (Vygotsky, 1978). Les résultats démontrent que l'intégration des technologies numériques agit comme un catalyseur pour l'apprentissage de l'écrit, en créant une zone proximale de développement élargie où les interactions et les outils médiatisés jouent un rôle clé. Le dispositif, déployé selon deux modalités distinctes, le Présentiel Enrichi (PE) et l'E-learning (EL), a généré une satisfaction globale élevée chez les participants, confirmant l'adéquation de ce paradigme pédagogique avec les besoins des apprenants du supérieur.</w:t>
      </w:r>
    </w:p>
    <w:p w14:paraId="483726BA" w14:textId="77777777" w:rsidR="00D80693" w:rsidRDefault="00D80693" w:rsidP="00D92213">
      <w:pPr>
        <w:spacing w:before="120"/>
        <w:jc w:val="both"/>
        <w:rPr>
          <w:sz w:val="24"/>
          <w:szCs w:val="24"/>
          <w:lang w:val="fr" w:eastAsia="fr-SN"/>
        </w:rPr>
      </w:pPr>
      <w:r>
        <w:rPr>
          <w:sz w:val="24"/>
          <w:szCs w:val="24"/>
          <w:lang w:val="fr" w:eastAsia="fr-SN"/>
        </w:rPr>
        <w:t>L'analyse comparative des deux modalités a fait émerger une complémentarité stratégique. D'un côté, le Présentiel Enrichi (PE) s'est distingué dans le développement des aspects qualitatifs de l'écriture, tels que la finesse de l'argumentation, la cohérence logique et la nuance stylistique. Cette performance s'explique par la richesse des interactions synchrones, qui ont favorisé une dynamique collaborative et des feedbacks correctifs immédiats, tant de la part de l'enseignant, dont le rôle a évolué vers celui de guide facilitateur, que des pairs. De l'autre côté, la modalité E-learning (EL) a excellé dans le renforcement de l'autonomie des apprenants et l'amélioration de la structuration textuelle (Warschauer, 2009). Son cadre d'apprentissage asynchrone a offert un environnement propice à la révision réflexive et à la maîtrise des conventions formelles de l'écrit académique, les étudiants saluant la clarté et l'accessibilité permanente des ressources pédagogiques.</w:t>
      </w:r>
    </w:p>
    <w:p w14:paraId="06D57DD3" w14:textId="77777777" w:rsidR="00D80693" w:rsidRDefault="00D80693" w:rsidP="00D92213">
      <w:pPr>
        <w:spacing w:before="120"/>
        <w:jc w:val="both"/>
        <w:rPr>
          <w:sz w:val="24"/>
          <w:szCs w:val="24"/>
          <w:lang w:val="fr" w:eastAsia="fr-SN"/>
        </w:rPr>
      </w:pPr>
      <w:r>
        <w:rPr>
          <w:sz w:val="24"/>
          <w:szCs w:val="24"/>
          <w:lang w:val="fr" w:eastAsia="fr-SN"/>
        </w:rPr>
        <w:t>Néanmoins, ce potentiel pédagogique prometteur se heurte à des défis contextuels profonds, typiques de nombreux écosystèmes éducatifs africains, dont le Sénégal (Dieng, 2017). Au-delà des obstacles structurels bien connus que sont l'irrégularité de la connexion internet, la fracture numérique et le coût prohibitif des données, se posent des défis d'ordre cognitif. L'usage dominant du smartphone comme unique outil d'accès au numérique peut engendrer une surcharge cognitive, limitant la capacité des étudiants à se consacrer pleinement à des tâches d'écriture complexes. Ces contraintes compromettent l'équité d'accès et l'efficacité pédagogique du dispositif, créant un risque de marginalisation pour les étudiants les moins équipés.</w:t>
      </w:r>
    </w:p>
    <w:p w14:paraId="4748A95F" w14:textId="77777777" w:rsidR="00D80693" w:rsidRDefault="00D80693" w:rsidP="00D92213">
      <w:pPr>
        <w:spacing w:before="120"/>
        <w:jc w:val="both"/>
        <w:rPr>
          <w:sz w:val="24"/>
          <w:szCs w:val="24"/>
          <w:lang w:val="fr" w:eastAsia="fr-SN"/>
        </w:rPr>
      </w:pPr>
      <w:r>
        <w:rPr>
          <w:sz w:val="24"/>
          <w:szCs w:val="24"/>
          <w:lang w:val="fr" w:eastAsia="fr-SN"/>
        </w:rPr>
        <w:t xml:space="preserve">Face à ce constat, les recommandations qui découlent de cette étude sont doubles. Sur le plan pédagogique, l'adoption de modèles hybrides souples et contextualisés apparaît comme la voie la plus prometteuse. Ces modèles permettent de doser stratégiquement les séances en présentiel enrichi, dédiées aux interactions complexes et à la co-construction des savoirs, et les activités en ligne, centrées sur l'appropriation autonome des savoir-faire et l'entraînement. Sur le plan structurel, cette transition numérique ne saurait aboutir sans un engagement politique fort se traduisant par un investissement massif dans les infrastructures numériques des universités et par la mise en place de programmes de formation systématiques en </w:t>
      </w:r>
      <w:proofErr w:type="spellStart"/>
      <w:r>
        <w:rPr>
          <w:sz w:val="24"/>
          <w:szCs w:val="24"/>
          <w:lang w:val="fr" w:eastAsia="fr-SN"/>
        </w:rPr>
        <w:t>technopédagogie</w:t>
      </w:r>
      <w:proofErr w:type="spellEnd"/>
      <w:r>
        <w:rPr>
          <w:sz w:val="24"/>
          <w:szCs w:val="24"/>
          <w:lang w:val="fr" w:eastAsia="fr-SN"/>
        </w:rPr>
        <w:t xml:space="preserve"> pour les enseignants. C'est à cette condition que l'intégration du numérique dans l'enseignement supérieur africain pourra pleinement libérer son potentiel transformateur, en passant du stade de l'innovation expérimentale à celui d'un levier durable d'amélioration de la qualité.</w:t>
      </w:r>
    </w:p>
    <w:p w14:paraId="4996714F" w14:textId="77777777" w:rsidR="00D80693" w:rsidRDefault="00D80693" w:rsidP="00D92213">
      <w:pPr>
        <w:spacing w:before="120"/>
        <w:jc w:val="both"/>
        <w:rPr>
          <w:sz w:val="24"/>
          <w:szCs w:val="24"/>
          <w:lang w:val="fr" w:eastAsia="fr-SN"/>
        </w:rPr>
      </w:pPr>
    </w:p>
    <w:bookmarkStart w:id="196" w:name="_heading=h.2fbi79q3s1nh" w:colFirst="0" w:colLast="0" w:displacedByCustomXml="next"/>
    <w:bookmarkEnd w:id="196" w:displacedByCustomXml="next"/>
    <w:sdt>
      <w:sdtPr>
        <w:tag w:val="goog_rdk_22"/>
        <w:id w:val="394429781"/>
      </w:sdtPr>
      <w:sdtContent>
        <w:p w14:paraId="47576B30" w14:textId="0E467C7B" w:rsidR="00D80693" w:rsidRDefault="00204D12" w:rsidP="00D92213">
          <w:pPr>
            <w:spacing w:before="120"/>
            <w:rPr>
              <w:sz w:val="24"/>
              <w:szCs w:val="24"/>
              <w:lang w:val="fr" w:eastAsia="fr-SN"/>
            </w:rPr>
          </w:pPr>
          <w:r>
            <w:rPr>
              <w:b/>
              <w:bCs/>
              <w:sz w:val="28"/>
              <w:szCs w:val="28"/>
              <w:lang w:val="fr" w:eastAsia="fr-SN"/>
            </w:rPr>
            <w:t>Références b</w:t>
          </w:r>
          <w:r w:rsidR="00D80693">
            <w:rPr>
              <w:b/>
              <w:bCs/>
              <w:sz w:val="28"/>
              <w:szCs w:val="28"/>
              <w:lang w:val="fr" w:eastAsia="fr-SN"/>
            </w:rPr>
            <w:t>ibliographi</w:t>
          </w:r>
          <w:r>
            <w:rPr>
              <w:b/>
              <w:bCs/>
              <w:sz w:val="28"/>
              <w:szCs w:val="28"/>
              <w:lang w:val="fr" w:eastAsia="fr-SN"/>
            </w:rPr>
            <w:t>qu</w:t>
          </w:r>
          <w:r w:rsidR="00D80693">
            <w:rPr>
              <w:b/>
              <w:bCs/>
              <w:sz w:val="28"/>
              <w:szCs w:val="28"/>
              <w:lang w:val="fr" w:eastAsia="fr-SN"/>
            </w:rPr>
            <w:t>e</w:t>
          </w:r>
          <w:r>
            <w:rPr>
              <w:b/>
              <w:bCs/>
              <w:sz w:val="28"/>
              <w:szCs w:val="28"/>
              <w:lang w:val="fr" w:eastAsia="fr-SN"/>
            </w:rPr>
            <w:t>s</w:t>
          </w:r>
        </w:p>
      </w:sdtContent>
    </w:sdt>
    <w:tbl>
      <w:tblPr>
        <w:tblStyle w:val="a4"/>
        <w:tblW w:w="942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9420"/>
      </w:tblGrid>
      <w:tr w:rsidR="00D80693" w14:paraId="78A11645" w14:textId="77777777" w:rsidTr="00D72320">
        <w:trPr>
          <w:trHeight w:val="345"/>
        </w:trPr>
        <w:tc>
          <w:tcPr>
            <w:tcW w:w="9420" w:type="dxa"/>
            <w:tcBorders>
              <w:top w:val="nil"/>
              <w:left w:val="nil"/>
              <w:bottom w:val="nil"/>
              <w:right w:val="nil"/>
            </w:tcBorders>
            <w:tcMar>
              <w:top w:w="40" w:type="dxa"/>
              <w:left w:w="0" w:type="dxa"/>
              <w:bottom w:w="40" w:type="dxa"/>
              <w:right w:w="0" w:type="dxa"/>
            </w:tcMar>
            <w:vAlign w:val="bottom"/>
          </w:tcPr>
          <w:p w14:paraId="7FB7F92F"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Adams, M., &amp; Meyer, R. (2022). Time Management in Hybrid Learning Environments. </w:t>
            </w:r>
            <w:r w:rsidRPr="004D31BF">
              <w:rPr>
                <w:i/>
                <w:iCs/>
                <w:kern w:val="0"/>
                <w:sz w:val="24"/>
                <w:szCs w:val="24"/>
                <w:lang w:val="en-US"/>
                <w14:ligatures w14:val="none"/>
              </w:rPr>
              <w:t>Journal of Educational Technology</w:t>
            </w:r>
            <w:r w:rsidRPr="004D31BF">
              <w:rPr>
                <w:kern w:val="0"/>
                <w:sz w:val="24"/>
                <w:szCs w:val="24"/>
                <w:lang w:val="en-US"/>
                <w14:ligatures w14:val="none"/>
              </w:rPr>
              <w:t xml:space="preserve">, </w:t>
            </w:r>
            <w:r w:rsidRPr="004D31BF">
              <w:rPr>
                <w:i/>
                <w:iCs/>
                <w:kern w:val="0"/>
                <w:sz w:val="24"/>
                <w:szCs w:val="24"/>
                <w:lang w:val="en-US"/>
                <w14:ligatures w14:val="none"/>
              </w:rPr>
              <w:t>45</w:t>
            </w:r>
            <w:r w:rsidRPr="004D31BF">
              <w:rPr>
                <w:kern w:val="0"/>
                <w:sz w:val="24"/>
                <w:szCs w:val="24"/>
                <w:lang w:val="en-US"/>
                <w14:ligatures w14:val="none"/>
              </w:rPr>
              <w:t>(3), 112-129.</w:t>
            </w:r>
          </w:p>
          <w:p w14:paraId="4BE739F0"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Anderson, T. (2021). </w:t>
            </w:r>
            <w:r w:rsidRPr="004D31BF">
              <w:rPr>
                <w:i/>
                <w:iCs/>
                <w:kern w:val="0"/>
                <w:sz w:val="24"/>
                <w:szCs w:val="24"/>
                <w:lang w:val="en-US"/>
                <w14:ligatures w14:val="none"/>
              </w:rPr>
              <w:t>Blended Learning: Research Perspectives, Volume 3</w:t>
            </w:r>
            <w:r w:rsidRPr="004D31BF">
              <w:rPr>
                <w:kern w:val="0"/>
                <w:sz w:val="24"/>
                <w:szCs w:val="24"/>
                <w:lang w:val="en-US"/>
                <w14:ligatures w14:val="none"/>
              </w:rPr>
              <w:t>. Athabasca University Press.</w:t>
            </w:r>
          </w:p>
          <w:p w14:paraId="0E6AF7FD"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Bates, A. W. (2015). </w:t>
            </w:r>
            <w:r w:rsidRPr="004D31BF">
              <w:rPr>
                <w:i/>
                <w:iCs/>
                <w:kern w:val="0"/>
                <w:sz w:val="24"/>
                <w:szCs w:val="24"/>
                <w:lang w:val="en-US"/>
                <w14:ligatures w14:val="none"/>
              </w:rPr>
              <w:t>Teaching in a digital age: Guidelines for designing teaching and learning</w:t>
            </w:r>
            <w:r w:rsidRPr="004D31BF">
              <w:rPr>
                <w:kern w:val="0"/>
                <w:sz w:val="24"/>
                <w:szCs w:val="24"/>
                <w:lang w:val="en-US"/>
                <w14:ligatures w14:val="none"/>
              </w:rPr>
              <w:t>. Tony Bates Associates Ltd.</w:t>
            </w:r>
          </w:p>
          <w:p w14:paraId="11C7DACA"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Campbell, D. T., &amp; Stanley, J. C. (1963). </w:t>
            </w:r>
            <w:r w:rsidRPr="004D31BF">
              <w:rPr>
                <w:i/>
                <w:iCs/>
                <w:kern w:val="0"/>
                <w:sz w:val="24"/>
                <w:szCs w:val="24"/>
                <w:lang w:val="en-US"/>
                <w14:ligatures w14:val="none"/>
              </w:rPr>
              <w:t>Experimental and quasi-experimental designs for research</w:t>
            </w:r>
            <w:r w:rsidRPr="004D31BF">
              <w:rPr>
                <w:kern w:val="0"/>
                <w:sz w:val="24"/>
                <w:szCs w:val="24"/>
                <w:lang w:val="en-US"/>
                <w14:ligatures w14:val="none"/>
              </w:rPr>
              <w:t>. Houghton Mifflin.</w:t>
            </w:r>
          </w:p>
          <w:p w14:paraId="79FA2837" w14:textId="56D8A22A"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Clark, J., &amp; Kaw, R. (2021). Student Time Management and Procrastination in Online Learning. </w:t>
            </w:r>
            <w:r w:rsidRPr="004D31BF">
              <w:rPr>
                <w:i/>
                <w:iCs/>
                <w:kern w:val="0"/>
                <w:sz w:val="24"/>
                <w:szCs w:val="24"/>
                <w:lang w:val="en-US"/>
                <w14:ligatures w14:val="none"/>
              </w:rPr>
              <w:t>International Journal of Educational Research</w:t>
            </w:r>
            <w:r w:rsidRPr="004D31BF">
              <w:rPr>
                <w:kern w:val="0"/>
                <w:sz w:val="24"/>
                <w:szCs w:val="24"/>
                <w:lang w:val="en-US"/>
                <w14:ligatures w14:val="none"/>
              </w:rPr>
              <w:t xml:space="preserve">, </w:t>
            </w:r>
            <w:r w:rsidRPr="004D31BF">
              <w:rPr>
                <w:i/>
                <w:iCs/>
                <w:kern w:val="0"/>
                <w:sz w:val="24"/>
                <w:szCs w:val="24"/>
                <w:lang w:val="en-US"/>
                <w14:ligatures w14:val="none"/>
              </w:rPr>
              <w:t>99</w:t>
            </w:r>
            <w:r w:rsidRPr="004D31BF">
              <w:rPr>
                <w:kern w:val="0"/>
                <w:sz w:val="24"/>
                <w:szCs w:val="24"/>
                <w:lang w:val="en-US"/>
                <w14:ligatures w14:val="none"/>
              </w:rPr>
              <w:t>(2), 34-48.</w:t>
            </w:r>
          </w:p>
          <w:p w14:paraId="0CE5D120" w14:textId="77777777" w:rsidR="00D80693" w:rsidRDefault="00D80693" w:rsidP="00204D12">
            <w:pPr>
              <w:widowControl w:val="0"/>
              <w:spacing w:before="120" w:after="0" w:line="240" w:lineRule="auto"/>
              <w:ind w:left="781" w:hanging="781"/>
              <w:jc w:val="both"/>
              <w:rPr>
                <w:kern w:val="0"/>
                <w:sz w:val="24"/>
                <w:szCs w:val="24"/>
                <w14:ligatures w14:val="none"/>
              </w:rPr>
            </w:pPr>
            <w:r w:rsidRPr="004D31BF">
              <w:rPr>
                <w:kern w:val="0"/>
                <w:sz w:val="24"/>
                <w:szCs w:val="24"/>
                <w:lang w:val="en-US"/>
                <w14:ligatures w14:val="none"/>
              </w:rPr>
              <w:t xml:space="preserve">Cook, T. D., &amp; Campbell, D. T. (1979). </w:t>
            </w:r>
            <w:r w:rsidRPr="004D31BF">
              <w:rPr>
                <w:i/>
                <w:iCs/>
                <w:kern w:val="0"/>
                <w:sz w:val="24"/>
                <w:szCs w:val="24"/>
                <w:lang w:val="en-US"/>
                <w14:ligatures w14:val="none"/>
              </w:rPr>
              <w:t>Quasi-experimentation: Design and analysis issues for field settings</w:t>
            </w:r>
            <w:r w:rsidRPr="004D31BF">
              <w:rPr>
                <w:kern w:val="0"/>
                <w:sz w:val="24"/>
                <w:szCs w:val="24"/>
                <w:lang w:val="en-US"/>
                <w14:ligatures w14:val="none"/>
              </w:rPr>
              <w:t xml:space="preserve">. </w:t>
            </w:r>
            <w:r>
              <w:rPr>
                <w:kern w:val="0"/>
                <w:sz w:val="24"/>
                <w:szCs w:val="24"/>
                <w14:ligatures w14:val="none"/>
              </w:rPr>
              <w:t>Rand McNally.</w:t>
            </w:r>
          </w:p>
          <w:p w14:paraId="45CA1EAF"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Coulibaly, P. M. (2025). </w:t>
            </w:r>
            <w:r>
              <w:rPr>
                <w:i/>
                <w:iCs/>
                <w:kern w:val="0"/>
                <w:sz w:val="24"/>
                <w:szCs w:val="24"/>
                <w14:ligatures w14:val="none"/>
              </w:rPr>
              <w:t>Effets d'une pédagogie numérique socio-constructiviste sur l'acquisition de compétences en production écrite : Étude quasi expérimentale auprès d'étudiants en Licence 3 d'anglais</w:t>
            </w:r>
            <w:r>
              <w:rPr>
                <w:kern w:val="0"/>
                <w:sz w:val="24"/>
                <w:szCs w:val="24"/>
                <w14:ligatures w14:val="none"/>
              </w:rPr>
              <w:t>. [Thèse de doctorat, Université Gaston Berger de Saint-Louis].</w:t>
            </w:r>
          </w:p>
          <w:p w14:paraId="2B0F2826" w14:textId="77777777" w:rsidR="00D80693" w:rsidRDefault="00D80693" w:rsidP="00204D12">
            <w:pPr>
              <w:widowControl w:val="0"/>
              <w:spacing w:before="120" w:after="0" w:line="240" w:lineRule="auto"/>
              <w:ind w:left="781" w:hanging="781"/>
              <w:jc w:val="both"/>
              <w:rPr>
                <w:kern w:val="0"/>
                <w:sz w:val="24"/>
                <w:szCs w:val="24"/>
                <w14:ligatures w14:val="none"/>
              </w:rPr>
            </w:pPr>
            <w:r w:rsidRPr="001928FA">
              <w:rPr>
                <w:kern w:val="0"/>
                <w:sz w:val="24"/>
                <w:szCs w:val="24"/>
                <w14:ligatures w14:val="none"/>
              </w:rPr>
              <w:t xml:space="preserve">Coulibaly, Y., &amp; Coulibaly, P. M. (2016). </w:t>
            </w:r>
            <w:r>
              <w:rPr>
                <w:kern w:val="0"/>
                <w:sz w:val="24"/>
                <w:szCs w:val="24"/>
                <w14:ligatures w14:val="none"/>
              </w:rPr>
              <w:t xml:space="preserve">L’apport du français à l’enseignement et l’apprentissage de l’anglais. </w:t>
            </w:r>
            <w:proofErr w:type="gramStart"/>
            <w:r>
              <w:rPr>
                <w:i/>
                <w:iCs/>
                <w:kern w:val="0"/>
                <w:sz w:val="24"/>
                <w:szCs w:val="24"/>
                <w14:ligatures w14:val="none"/>
              </w:rPr>
              <w:t>SAFARA:</w:t>
            </w:r>
            <w:proofErr w:type="gramEnd"/>
            <w:r>
              <w:rPr>
                <w:i/>
                <w:iCs/>
                <w:kern w:val="0"/>
                <w:sz w:val="24"/>
                <w:szCs w:val="24"/>
                <w14:ligatures w14:val="none"/>
              </w:rPr>
              <w:t xml:space="preserve"> Revue internationale de langues, littératures et cultures</w:t>
            </w:r>
            <w:r>
              <w:rPr>
                <w:kern w:val="0"/>
                <w:sz w:val="24"/>
                <w:szCs w:val="24"/>
                <w14:ligatures w14:val="none"/>
              </w:rPr>
              <w:t>, (15), 171–186.</w:t>
            </w:r>
          </w:p>
          <w:p w14:paraId="03F62C0A"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Davis, F. D. (1989). </w:t>
            </w:r>
            <w:r w:rsidRPr="004D31BF">
              <w:rPr>
                <w:kern w:val="0"/>
                <w:sz w:val="24"/>
                <w:szCs w:val="24"/>
                <w:lang w:val="en-US"/>
                <w14:ligatures w14:val="none"/>
              </w:rPr>
              <w:t xml:space="preserve">Perceived usefulness, perceived ease of use, and user acceptance of information technology. </w:t>
            </w:r>
            <w:r>
              <w:rPr>
                <w:i/>
                <w:iCs/>
                <w:kern w:val="0"/>
                <w:sz w:val="24"/>
                <w:szCs w:val="24"/>
                <w14:ligatures w14:val="none"/>
              </w:rPr>
              <w:t xml:space="preserve">MIS </w:t>
            </w:r>
            <w:proofErr w:type="spellStart"/>
            <w:r>
              <w:rPr>
                <w:i/>
                <w:iCs/>
                <w:kern w:val="0"/>
                <w:sz w:val="24"/>
                <w:szCs w:val="24"/>
                <w14:ligatures w14:val="none"/>
              </w:rPr>
              <w:t>Quarterly</w:t>
            </w:r>
            <w:proofErr w:type="spellEnd"/>
            <w:r>
              <w:rPr>
                <w:kern w:val="0"/>
                <w:sz w:val="24"/>
                <w:szCs w:val="24"/>
                <w14:ligatures w14:val="none"/>
              </w:rPr>
              <w:t>.</w:t>
            </w:r>
          </w:p>
          <w:p w14:paraId="37C42B89" w14:textId="77777777" w:rsidR="00D80693" w:rsidRDefault="00D80693" w:rsidP="00204D12">
            <w:pPr>
              <w:widowControl w:val="0"/>
              <w:spacing w:before="120" w:after="0" w:line="240" w:lineRule="auto"/>
              <w:ind w:left="781" w:hanging="781"/>
              <w:jc w:val="both"/>
              <w:rPr>
                <w:kern w:val="0"/>
                <w:sz w:val="24"/>
                <w:szCs w:val="24"/>
                <w14:ligatures w14:val="none"/>
              </w:rPr>
            </w:pPr>
            <w:proofErr w:type="spellStart"/>
            <w:r>
              <w:rPr>
                <w:kern w:val="0"/>
                <w:sz w:val="24"/>
                <w:szCs w:val="24"/>
                <w14:ligatures w14:val="none"/>
              </w:rPr>
              <w:t>Diakhaté</w:t>
            </w:r>
            <w:proofErr w:type="spellEnd"/>
            <w:r>
              <w:rPr>
                <w:kern w:val="0"/>
                <w:sz w:val="24"/>
                <w:szCs w:val="24"/>
                <w14:ligatures w14:val="none"/>
              </w:rPr>
              <w:t xml:space="preserve">, B. (2022). Le sous-équipement en TIC dans l'enseignement supérieur </w:t>
            </w:r>
            <w:proofErr w:type="gramStart"/>
            <w:r>
              <w:rPr>
                <w:kern w:val="0"/>
                <w:sz w:val="24"/>
                <w:szCs w:val="24"/>
                <w14:ligatures w14:val="none"/>
              </w:rPr>
              <w:t>africain:</w:t>
            </w:r>
            <w:proofErr w:type="gramEnd"/>
            <w:r>
              <w:rPr>
                <w:kern w:val="0"/>
                <w:sz w:val="24"/>
                <w:szCs w:val="24"/>
                <w14:ligatures w14:val="none"/>
              </w:rPr>
              <w:t xml:space="preserve"> Un frein à l'innovation. </w:t>
            </w:r>
            <w:r>
              <w:rPr>
                <w:i/>
                <w:iCs/>
                <w:kern w:val="0"/>
                <w:sz w:val="24"/>
                <w:szCs w:val="24"/>
                <w14:ligatures w14:val="none"/>
              </w:rPr>
              <w:t>Journal des Sciences de l'Éducation</w:t>
            </w:r>
            <w:r>
              <w:rPr>
                <w:kern w:val="0"/>
                <w:sz w:val="24"/>
                <w:szCs w:val="24"/>
                <w14:ligatures w14:val="none"/>
              </w:rPr>
              <w:t xml:space="preserve">, </w:t>
            </w:r>
            <w:r>
              <w:rPr>
                <w:i/>
                <w:iCs/>
                <w:kern w:val="0"/>
                <w:sz w:val="24"/>
                <w:szCs w:val="24"/>
                <w14:ligatures w14:val="none"/>
              </w:rPr>
              <w:t>8</w:t>
            </w:r>
            <w:r>
              <w:rPr>
                <w:kern w:val="0"/>
                <w:sz w:val="24"/>
                <w:szCs w:val="24"/>
                <w14:ligatures w14:val="none"/>
              </w:rPr>
              <w:t>(3), 45-60.</w:t>
            </w:r>
          </w:p>
          <w:p w14:paraId="1D71E6B5" w14:textId="77777777" w:rsidR="00D80693" w:rsidRDefault="00D80693" w:rsidP="00204D12">
            <w:pPr>
              <w:widowControl w:val="0"/>
              <w:spacing w:before="120" w:after="0" w:line="240" w:lineRule="auto"/>
              <w:ind w:left="781" w:hanging="781"/>
              <w:jc w:val="both"/>
              <w:rPr>
                <w:kern w:val="0"/>
                <w:sz w:val="24"/>
                <w:szCs w:val="24"/>
                <w14:ligatures w14:val="none"/>
              </w:rPr>
            </w:pPr>
            <w:proofErr w:type="spellStart"/>
            <w:r>
              <w:rPr>
                <w:kern w:val="0"/>
                <w:sz w:val="24"/>
                <w:szCs w:val="24"/>
                <w14:ligatures w14:val="none"/>
              </w:rPr>
              <w:t>Diakhaté</w:t>
            </w:r>
            <w:proofErr w:type="spellEnd"/>
            <w:r>
              <w:rPr>
                <w:kern w:val="0"/>
                <w:sz w:val="24"/>
                <w:szCs w:val="24"/>
                <w14:ligatures w14:val="none"/>
              </w:rPr>
              <w:t xml:space="preserve">, M. (2023). Les forums de discussion comme communautés de pratique pour l’apprentissage du français langue étrangère. </w:t>
            </w:r>
            <w:r>
              <w:rPr>
                <w:i/>
                <w:iCs/>
                <w:kern w:val="0"/>
                <w:sz w:val="24"/>
                <w:szCs w:val="24"/>
                <w14:ligatures w14:val="none"/>
              </w:rPr>
              <w:t>Revue Sénégalaise de Linguistique Appliquée</w:t>
            </w:r>
            <w:r>
              <w:rPr>
                <w:kern w:val="0"/>
                <w:sz w:val="24"/>
                <w:szCs w:val="24"/>
                <w14:ligatures w14:val="none"/>
              </w:rPr>
              <w:t xml:space="preserve">, </w:t>
            </w:r>
            <w:r>
              <w:rPr>
                <w:i/>
                <w:iCs/>
                <w:kern w:val="0"/>
                <w:sz w:val="24"/>
                <w:szCs w:val="24"/>
                <w14:ligatures w14:val="none"/>
              </w:rPr>
              <w:t>15</w:t>
            </w:r>
            <w:r>
              <w:rPr>
                <w:kern w:val="0"/>
                <w:sz w:val="24"/>
                <w:szCs w:val="24"/>
                <w14:ligatures w14:val="none"/>
              </w:rPr>
              <w:t>(1), 112-128.</w:t>
            </w:r>
          </w:p>
          <w:p w14:paraId="32F250E6"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Diallo, A. (2022). </w:t>
            </w:r>
            <w:r>
              <w:rPr>
                <w:i/>
                <w:iCs/>
                <w:kern w:val="0"/>
                <w:sz w:val="24"/>
                <w:szCs w:val="24"/>
                <w14:ligatures w14:val="none"/>
              </w:rPr>
              <w:t>Pédagogies collaboratives et cultures d’apprentissage en Afrique de l’Ouest</w:t>
            </w:r>
            <w:r>
              <w:rPr>
                <w:kern w:val="0"/>
                <w:sz w:val="24"/>
                <w:szCs w:val="24"/>
                <w14:ligatures w14:val="none"/>
              </w:rPr>
              <w:t>. Éditions Terroir.</w:t>
            </w:r>
          </w:p>
          <w:p w14:paraId="13059B02"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Dieng, B. (2017). Perspectives de développement curriculaire à l’Université Gaston Berger : L’intégration des langues locales. </w:t>
            </w:r>
            <w:r>
              <w:rPr>
                <w:i/>
                <w:iCs/>
                <w:kern w:val="0"/>
                <w:sz w:val="24"/>
                <w:szCs w:val="24"/>
                <w14:ligatures w14:val="none"/>
              </w:rPr>
              <w:t>Langues et Savoirs</w:t>
            </w:r>
            <w:r>
              <w:rPr>
                <w:kern w:val="0"/>
                <w:sz w:val="24"/>
                <w:szCs w:val="24"/>
                <w14:ligatures w14:val="none"/>
              </w:rPr>
              <w:t xml:space="preserve">, </w:t>
            </w:r>
            <w:r>
              <w:rPr>
                <w:i/>
                <w:iCs/>
                <w:kern w:val="0"/>
                <w:sz w:val="24"/>
                <w:szCs w:val="24"/>
                <w14:ligatures w14:val="none"/>
              </w:rPr>
              <w:t>15</w:t>
            </w:r>
            <w:r>
              <w:rPr>
                <w:kern w:val="0"/>
                <w:sz w:val="24"/>
                <w:szCs w:val="24"/>
                <w14:ligatures w14:val="none"/>
              </w:rPr>
              <w:t>(1), 89-105.</w:t>
            </w:r>
          </w:p>
          <w:p w14:paraId="17F62949"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Diouf, A. (2019). Taux de pénétration des smartphones au Sénégal : Inégalités urbaines et rurales. </w:t>
            </w:r>
            <w:r>
              <w:rPr>
                <w:i/>
                <w:iCs/>
                <w:kern w:val="0"/>
                <w:sz w:val="24"/>
                <w:szCs w:val="24"/>
                <w14:ligatures w14:val="none"/>
              </w:rPr>
              <w:t>Télécommunications en Afrique</w:t>
            </w:r>
            <w:r>
              <w:rPr>
                <w:kern w:val="0"/>
                <w:sz w:val="24"/>
                <w:szCs w:val="24"/>
                <w14:ligatures w14:val="none"/>
              </w:rPr>
              <w:t xml:space="preserve">, </w:t>
            </w:r>
            <w:r>
              <w:rPr>
                <w:i/>
                <w:iCs/>
                <w:kern w:val="0"/>
                <w:sz w:val="24"/>
                <w:szCs w:val="24"/>
                <w14:ligatures w14:val="none"/>
              </w:rPr>
              <w:t>12</w:t>
            </w:r>
            <w:r>
              <w:rPr>
                <w:kern w:val="0"/>
                <w:sz w:val="24"/>
                <w:szCs w:val="24"/>
                <w14:ligatures w14:val="none"/>
              </w:rPr>
              <w:t>(4), 210-225.</w:t>
            </w:r>
          </w:p>
          <w:p w14:paraId="19A023A3"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Diouf, M., &amp; Ndiaye, A. (2021). Numérique éducatif et plurilinguisme : défis et opportunités pour l’enseignement des langues au Sénégal. </w:t>
            </w:r>
            <w:r>
              <w:rPr>
                <w:i/>
                <w:iCs/>
                <w:kern w:val="0"/>
                <w:sz w:val="24"/>
                <w:szCs w:val="24"/>
                <w14:ligatures w14:val="none"/>
              </w:rPr>
              <w:t>Revue Africaine de Recherche en Éducation</w:t>
            </w:r>
            <w:r>
              <w:rPr>
                <w:kern w:val="0"/>
                <w:sz w:val="24"/>
                <w:szCs w:val="24"/>
                <w14:ligatures w14:val="none"/>
              </w:rPr>
              <w:t xml:space="preserve">, </w:t>
            </w:r>
            <w:r>
              <w:rPr>
                <w:i/>
                <w:iCs/>
                <w:kern w:val="0"/>
                <w:sz w:val="24"/>
                <w:szCs w:val="24"/>
                <w14:ligatures w14:val="none"/>
              </w:rPr>
              <w:t>15</w:t>
            </w:r>
            <w:r>
              <w:rPr>
                <w:kern w:val="0"/>
                <w:sz w:val="24"/>
                <w:szCs w:val="24"/>
                <w14:ligatures w14:val="none"/>
              </w:rPr>
              <w:t>(2), 45-62.</w:t>
            </w:r>
          </w:p>
          <w:p w14:paraId="729CD473"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Ellis, R., &amp; Goodyear, P. (2016). </w:t>
            </w:r>
            <w:r w:rsidRPr="004D31BF">
              <w:rPr>
                <w:i/>
                <w:iCs/>
                <w:kern w:val="0"/>
                <w:sz w:val="24"/>
                <w:szCs w:val="24"/>
                <w:lang w:val="en-US"/>
                <w14:ligatures w14:val="none"/>
              </w:rPr>
              <w:t>Student experiences of e-learning in higher education: The ecology of sustainable innovation</w:t>
            </w:r>
            <w:r w:rsidRPr="004D31BF">
              <w:rPr>
                <w:kern w:val="0"/>
                <w:sz w:val="24"/>
                <w:szCs w:val="24"/>
                <w:lang w:val="en-US"/>
                <w14:ligatures w14:val="none"/>
              </w:rPr>
              <w:t xml:space="preserve">. </w:t>
            </w:r>
            <w:r>
              <w:rPr>
                <w:kern w:val="0"/>
                <w:sz w:val="24"/>
                <w:szCs w:val="24"/>
                <w14:ligatures w14:val="none"/>
              </w:rPr>
              <w:t>Routledge.</w:t>
            </w:r>
          </w:p>
          <w:p w14:paraId="617FA9FC" w14:textId="77777777" w:rsidR="00D80693" w:rsidRDefault="00D80693" w:rsidP="00204D12">
            <w:pPr>
              <w:widowControl w:val="0"/>
              <w:spacing w:before="120" w:after="0" w:line="240" w:lineRule="auto"/>
              <w:ind w:left="781" w:hanging="781"/>
              <w:jc w:val="both"/>
              <w:rPr>
                <w:kern w:val="0"/>
                <w:sz w:val="24"/>
                <w:szCs w:val="24"/>
                <w14:ligatures w14:val="none"/>
              </w:rPr>
            </w:pPr>
            <w:proofErr w:type="spellStart"/>
            <w:r>
              <w:rPr>
                <w:kern w:val="0"/>
                <w:sz w:val="24"/>
                <w:szCs w:val="24"/>
                <w14:ligatures w14:val="none"/>
              </w:rPr>
              <w:t>Fall</w:t>
            </w:r>
            <w:proofErr w:type="spellEnd"/>
            <w:r>
              <w:rPr>
                <w:kern w:val="0"/>
                <w:sz w:val="24"/>
                <w:szCs w:val="24"/>
                <w14:ligatures w14:val="none"/>
              </w:rPr>
              <w:t xml:space="preserve">, A. (2022). Apprentissage collaboratif en ligne et production écrite en contexte universitaire sénégalais : Potentialités et défis. </w:t>
            </w:r>
            <w:r>
              <w:rPr>
                <w:i/>
                <w:iCs/>
                <w:kern w:val="0"/>
                <w:sz w:val="24"/>
                <w:szCs w:val="24"/>
                <w14:ligatures w14:val="none"/>
              </w:rPr>
              <w:t>Revue des Sciences et Technologies de l’Information et de la Communication pour l’Éducation et la Formation</w:t>
            </w:r>
            <w:r>
              <w:rPr>
                <w:kern w:val="0"/>
                <w:sz w:val="24"/>
                <w:szCs w:val="24"/>
                <w14:ligatures w14:val="none"/>
              </w:rPr>
              <w:t xml:space="preserve">, </w:t>
            </w:r>
            <w:r>
              <w:rPr>
                <w:i/>
                <w:iCs/>
                <w:kern w:val="0"/>
                <w:sz w:val="24"/>
                <w:szCs w:val="24"/>
                <w14:ligatures w14:val="none"/>
              </w:rPr>
              <w:t>25</w:t>
            </w:r>
            <w:r>
              <w:rPr>
                <w:kern w:val="0"/>
                <w:sz w:val="24"/>
                <w:szCs w:val="24"/>
                <w14:ligatures w14:val="none"/>
              </w:rPr>
              <w:t>(1), 78-95.</w:t>
            </w:r>
          </w:p>
          <w:p w14:paraId="64AAB7AD" w14:textId="77777777" w:rsidR="00D80693" w:rsidRDefault="00D80693" w:rsidP="00204D12">
            <w:pPr>
              <w:widowControl w:val="0"/>
              <w:spacing w:before="120" w:after="0" w:line="240" w:lineRule="auto"/>
              <w:ind w:left="781" w:hanging="781"/>
              <w:jc w:val="both"/>
              <w:rPr>
                <w:kern w:val="0"/>
                <w:sz w:val="24"/>
                <w:szCs w:val="24"/>
                <w14:ligatures w14:val="none"/>
              </w:rPr>
            </w:pPr>
            <w:r w:rsidRPr="004D31BF">
              <w:rPr>
                <w:kern w:val="0"/>
                <w:sz w:val="24"/>
                <w:szCs w:val="24"/>
                <w:lang w:val="en-US"/>
                <w14:ligatures w14:val="none"/>
              </w:rPr>
              <w:t xml:space="preserve">Fall, M. (2020). Challenges of mobile learning in academic writing: A case study in Senegal. </w:t>
            </w:r>
            <w:proofErr w:type="spellStart"/>
            <w:r>
              <w:rPr>
                <w:i/>
                <w:iCs/>
                <w:kern w:val="0"/>
                <w:sz w:val="24"/>
                <w:szCs w:val="24"/>
                <w14:ligatures w14:val="none"/>
              </w:rPr>
              <w:t>African</w:t>
            </w:r>
            <w:proofErr w:type="spellEnd"/>
            <w:r>
              <w:rPr>
                <w:i/>
                <w:iCs/>
                <w:kern w:val="0"/>
                <w:sz w:val="24"/>
                <w:szCs w:val="24"/>
                <w14:ligatures w14:val="none"/>
              </w:rPr>
              <w:t xml:space="preserve"> Journal of </w:t>
            </w:r>
            <w:proofErr w:type="spellStart"/>
            <w:r>
              <w:rPr>
                <w:i/>
                <w:iCs/>
                <w:kern w:val="0"/>
                <w:sz w:val="24"/>
                <w:szCs w:val="24"/>
                <w14:ligatures w14:val="none"/>
              </w:rPr>
              <w:t>Educational</w:t>
            </w:r>
            <w:proofErr w:type="spellEnd"/>
            <w:r>
              <w:rPr>
                <w:i/>
                <w:iCs/>
                <w:kern w:val="0"/>
                <w:sz w:val="24"/>
                <w:szCs w:val="24"/>
                <w14:ligatures w14:val="none"/>
              </w:rPr>
              <w:t xml:space="preserve"> </w:t>
            </w:r>
            <w:proofErr w:type="spellStart"/>
            <w:r>
              <w:rPr>
                <w:i/>
                <w:iCs/>
                <w:kern w:val="0"/>
                <w:sz w:val="24"/>
                <w:szCs w:val="24"/>
                <w14:ligatures w14:val="none"/>
              </w:rPr>
              <w:t>Research</w:t>
            </w:r>
            <w:proofErr w:type="spellEnd"/>
            <w:r>
              <w:rPr>
                <w:kern w:val="0"/>
                <w:sz w:val="24"/>
                <w:szCs w:val="24"/>
                <w14:ligatures w14:val="none"/>
              </w:rPr>
              <w:t>.</w:t>
            </w:r>
          </w:p>
          <w:p w14:paraId="59E79F04"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Faye, M. (2023). Innovations pédagogiques hybrides et acquisition de compétences en production écrite. </w:t>
            </w:r>
            <w:r>
              <w:rPr>
                <w:i/>
                <w:iCs/>
                <w:kern w:val="0"/>
                <w:sz w:val="24"/>
                <w:szCs w:val="24"/>
                <w14:ligatures w14:val="none"/>
              </w:rPr>
              <w:t>Revue des Sciences et Technologies de l’Information et de la Communication pour l’Éducation et la Formation</w:t>
            </w:r>
            <w:r>
              <w:rPr>
                <w:kern w:val="0"/>
                <w:sz w:val="24"/>
                <w:szCs w:val="24"/>
                <w14:ligatures w14:val="none"/>
              </w:rPr>
              <w:t>.</w:t>
            </w:r>
          </w:p>
          <w:p w14:paraId="28EC4EA8"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Friedrich, H. F., &amp; Hron, A. (2011). E-Learning in higher education: The challenges of mobile technologies. </w:t>
            </w:r>
            <w:r w:rsidRPr="004D31BF">
              <w:rPr>
                <w:i/>
                <w:iCs/>
                <w:kern w:val="0"/>
                <w:sz w:val="24"/>
                <w:szCs w:val="24"/>
                <w:lang w:val="en-US"/>
                <w14:ligatures w14:val="none"/>
              </w:rPr>
              <w:t xml:space="preserve">International Journal of Mobile Learning and </w:t>
            </w:r>
            <w:proofErr w:type="spellStart"/>
            <w:r w:rsidRPr="004D31BF">
              <w:rPr>
                <w:i/>
                <w:iCs/>
                <w:kern w:val="0"/>
                <w:sz w:val="24"/>
                <w:szCs w:val="24"/>
                <w:lang w:val="en-US"/>
                <w14:ligatures w14:val="none"/>
              </w:rPr>
              <w:t>Organisation</w:t>
            </w:r>
            <w:proofErr w:type="spellEnd"/>
            <w:r w:rsidRPr="004D31BF">
              <w:rPr>
                <w:kern w:val="0"/>
                <w:sz w:val="24"/>
                <w:szCs w:val="24"/>
                <w:lang w:val="en-US"/>
                <w14:ligatures w14:val="none"/>
              </w:rPr>
              <w:t xml:space="preserve">, </w:t>
            </w:r>
            <w:r w:rsidRPr="004D31BF">
              <w:rPr>
                <w:i/>
                <w:iCs/>
                <w:kern w:val="0"/>
                <w:sz w:val="24"/>
                <w:szCs w:val="24"/>
                <w:lang w:val="en-US"/>
                <w14:ligatures w14:val="none"/>
              </w:rPr>
              <w:t>5</w:t>
            </w:r>
            <w:r w:rsidRPr="004D31BF">
              <w:rPr>
                <w:kern w:val="0"/>
                <w:sz w:val="24"/>
                <w:szCs w:val="24"/>
                <w:lang w:val="en-US"/>
                <w14:ligatures w14:val="none"/>
              </w:rPr>
              <w:t>(4), 399-418.</w:t>
            </w:r>
          </w:p>
          <w:p w14:paraId="65273283"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Garrison, D. R., &amp; Vaughan, N. D. (2008). </w:t>
            </w:r>
            <w:r w:rsidRPr="004D31BF">
              <w:rPr>
                <w:i/>
                <w:iCs/>
                <w:kern w:val="0"/>
                <w:sz w:val="24"/>
                <w:szCs w:val="24"/>
                <w:lang w:val="en-US"/>
                <w14:ligatures w14:val="none"/>
              </w:rPr>
              <w:t>Blended learning in higher education: Framework, principles, and guidelines</w:t>
            </w:r>
            <w:r w:rsidRPr="004D31BF">
              <w:rPr>
                <w:kern w:val="0"/>
                <w:sz w:val="24"/>
                <w:szCs w:val="24"/>
                <w:lang w:val="en-US"/>
                <w14:ligatures w14:val="none"/>
              </w:rPr>
              <w:t>. John Wiley &amp; Sons.</w:t>
            </w:r>
          </w:p>
          <w:p w14:paraId="72BC748B"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1928FA">
              <w:rPr>
                <w:kern w:val="0"/>
                <w:sz w:val="24"/>
                <w:szCs w:val="24"/>
                <w:lang w:val="en-US"/>
                <w14:ligatures w14:val="none"/>
              </w:rPr>
              <w:t xml:space="preserve">Golan, R., Reddy, R., et </w:t>
            </w:r>
            <w:proofErr w:type="spellStart"/>
            <w:r w:rsidRPr="001928FA">
              <w:rPr>
                <w:kern w:val="0"/>
                <w:sz w:val="24"/>
                <w:szCs w:val="24"/>
                <w:lang w:val="en-US"/>
                <w14:ligatures w14:val="none"/>
              </w:rPr>
              <w:t>Muthigi</w:t>
            </w:r>
            <w:proofErr w:type="spellEnd"/>
            <w:r w:rsidRPr="001928FA">
              <w:rPr>
                <w:kern w:val="0"/>
                <w:sz w:val="24"/>
                <w:szCs w:val="24"/>
                <w:lang w:val="en-US"/>
                <w14:ligatures w14:val="none"/>
              </w:rPr>
              <w:t xml:space="preserve">, A. et al. </w:t>
            </w:r>
            <w:r w:rsidRPr="004D31BF">
              <w:rPr>
                <w:kern w:val="0"/>
                <w:sz w:val="24"/>
                <w:szCs w:val="24"/>
                <w:lang w:val="en-US"/>
                <w14:ligatures w14:val="none"/>
              </w:rPr>
              <w:t xml:space="preserve">(2023). Artificial intelligence in academic writing: a paradigm-shifting technological advance. </w:t>
            </w:r>
            <w:r w:rsidRPr="004D31BF">
              <w:rPr>
                <w:i/>
                <w:iCs/>
                <w:kern w:val="0"/>
                <w:sz w:val="24"/>
                <w:szCs w:val="24"/>
                <w:lang w:val="en-US"/>
                <w14:ligatures w14:val="none"/>
              </w:rPr>
              <w:t xml:space="preserve">Nat Rev </w:t>
            </w:r>
            <w:proofErr w:type="spellStart"/>
            <w:r w:rsidRPr="004D31BF">
              <w:rPr>
                <w:i/>
                <w:iCs/>
                <w:kern w:val="0"/>
                <w:sz w:val="24"/>
                <w:szCs w:val="24"/>
                <w:lang w:val="en-US"/>
                <w14:ligatures w14:val="none"/>
              </w:rPr>
              <w:t>Urol</w:t>
            </w:r>
            <w:proofErr w:type="spellEnd"/>
            <w:r w:rsidRPr="004D31BF">
              <w:rPr>
                <w:kern w:val="0"/>
                <w:sz w:val="24"/>
                <w:szCs w:val="24"/>
                <w:lang w:val="en-US"/>
                <w14:ligatures w14:val="none"/>
              </w:rPr>
              <w:t xml:space="preserve">, </w:t>
            </w:r>
            <w:r w:rsidRPr="004D31BF">
              <w:rPr>
                <w:i/>
                <w:iCs/>
                <w:kern w:val="0"/>
                <w:sz w:val="24"/>
                <w:szCs w:val="24"/>
                <w:lang w:val="en-US"/>
                <w14:ligatures w14:val="none"/>
              </w:rPr>
              <w:t>20</w:t>
            </w:r>
            <w:r w:rsidRPr="004D31BF">
              <w:rPr>
                <w:kern w:val="0"/>
                <w:sz w:val="24"/>
                <w:szCs w:val="24"/>
                <w:lang w:val="en-US"/>
                <w14:ligatures w14:val="none"/>
              </w:rPr>
              <w:t>, 327-328.</w:t>
            </w:r>
          </w:p>
          <w:p w14:paraId="3D45D6A4"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Graham, C. R. (2019). Blended learning models. In M. G. Moore &amp; W. C. Diehl (Eds.), </w:t>
            </w:r>
            <w:r w:rsidRPr="004D31BF">
              <w:rPr>
                <w:i/>
                <w:iCs/>
                <w:kern w:val="0"/>
                <w:sz w:val="24"/>
                <w:szCs w:val="24"/>
                <w:lang w:val="en-US"/>
                <w14:ligatures w14:val="none"/>
              </w:rPr>
              <w:t>Handbook of distance education</w:t>
            </w:r>
            <w:r w:rsidRPr="004D31BF">
              <w:rPr>
                <w:kern w:val="0"/>
                <w:sz w:val="24"/>
                <w:szCs w:val="24"/>
                <w:lang w:val="en-US"/>
                <w14:ligatures w14:val="none"/>
              </w:rPr>
              <w:t xml:space="preserve"> (4th ed., pp. 247-264). Routledge.</w:t>
            </w:r>
          </w:p>
          <w:p w14:paraId="58B9B06F"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Green, C., &amp; McKenzie, D. (2023). Challenges in Time Management for Students in Hybrid Learning. </w:t>
            </w:r>
            <w:r w:rsidRPr="004D31BF">
              <w:rPr>
                <w:i/>
                <w:iCs/>
                <w:kern w:val="0"/>
                <w:sz w:val="24"/>
                <w:szCs w:val="24"/>
                <w:lang w:val="en-US"/>
                <w14:ligatures w14:val="none"/>
              </w:rPr>
              <w:t>Journal of Higher Education</w:t>
            </w:r>
            <w:r w:rsidRPr="004D31BF">
              <w:rPr>
                <w:kern w:val="0"/>
                <w:sz w:val="24"/>
                <w:szCs w:val="24"/>
                <w:lang w:val="en-US"/>
                <w14:ligatures w14:val="none"/>
              </w:rPr>
              <w:t xml:space="preserve">, </w:t>
            </w:r>
            <w:r w:rsidRPr="004D31BF">
              <w:rPr>
                <w:i/>
                <w:iCs/>
                <w:kern w:val="0"/>
                <w:sz w:val="24"/>
                <w:szCs w:val="24"/>
                <w:lang w:val="en-US"/>
                <w14:ligatures w14:val="none"/>
              </w:rPr>
              <w:t>89</w:t>
            </w:r>
            <w:r w:rsidRPr="004D31BF">
              <w:rPr>
                <w:kern w:val="0"/>
                <w:sz w:val="24"/>
                <w:szCs w:val="24"/>
                <w:lang w:val="en-US"/>
                <w14:ligatures w14:val="none"/>
              </w:rPr>
              <w:t>(4), 223-240.</w:t>
            </w:r>
          </w:p>
          <w:p w14:paraId="65EF38CC"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Hunter, R. (2019). </w:t>
            </w:r>
            <w:r w:rsidRPr="004D31BF">
              <w:rPr>
                <w:i/>
                <w:iCs/>
                <w:kern w:val="0"/>
                <w:sz w:val="24"/>
                <w:szCs w:val="24"/>
                <w:lang w:val="en-US"/>
                <w14:ligatures w14:val="none"/>
              </w:rPr>
              <w:t>Flexible work modalities in academic environments</w:t>
            </w:r>
            <w:r w:rsidRPr="004D31BF">
              <w:rPr>
                <w:kern w:val="0"/>
                <w:sz w:val="24"/>
                <w:szCs w:val="24"/>
                <w:lang w:val="en-US"/>
                <w14:ligatures w14:val="none"/>
              </w:rPr>
              <w:t>. Academic Press.</w:t>
            </w:r>
          </w:p>
          <w:p w14:paraId="5E14789F"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Hyland, K. (2018). </w:t>
            </w:r>
            <w:r w:rsidRPr="004D31BF">
              <w:rPr>
                <w:i/>
                <w:iCs/>
                <w:kern w:val="0"/>
                <w:sz w:val="24"/>
                <w:szCs w:val="24"/>
                <w:lang w:val="en-US"/>
                <w14:ligatures w14:val="none"/>
              </w:rPr>
              <w:t>Second language writing</w:t>
            </w:r>
            <w:r w:rsidRPr="004D31BF">
              <w:rPr>
                <w:kern w:val="0"/>
                <w:sz w:val="24"/>
                <w:szCs w:val="24"/>
                <w:lang w:val="en-US"/>
                <w14:ligatures w14:val="none"/>
              </w:rPr>
              <w:t>. Cambridge University Press.</w:t>
            </w:r>
          </w:p>
          <w:p w14:paraId="6EEB32CB"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Johnson, D., &amp; Aragon, S. (2020). Instructor Workload in Blended Learning Environments: Strategies for Success. </w:t>
            </w:r>
            <w:r w:rsidRPr="004D31BF">
              <w:rPr>
                <w:i/>
                <w:iCs/>
                <w:kern w:val="0"/>
                <w:sz w:val="24"/>
                <w:szCs w:val="24"/>
                <w:lang w:val="en-US"/>
                <w14:ligatures w14:val="none"/>
              </w:rPr>
              <w:t>Online Learning Journal</w:t>
            </w:r>
            <w:r w:rsidRPr="004D31BF">
              <w:rPr>
                <w:kern w:val="0"/>
                <w:sz w:val="24"/>
                <w:szCs w:val="24"/>
                <w:lang w:val="en-US"/>
                <w14:ligatures w14:val="none"/>
              </w:rPr>
              <w:t xml:space="preserve">, </w:t>
            </w:r>
            <w:r w:rsidRPr="004D31BF">
              <w:rPr>
                <w:i/>
                <w:iCs/>
                <w:kern w:val="0"/>
                <w:sz w:val="24"/>
                <w:szCs w:val="24"/>
                <w:lang w:val="en-US"/>
                <w14:ligatures w14:val="none"/>
              </w:rPr>
              <w:t>24</w:t>
            </w:r>
            <w:r w:rsidRPr="004D31BF">
              <w:rPr>
                <w:kern w:val="0"/>
                <w:sz w:val="24"/>
                <w:szCs w:val="24"/>
                <w:lang w:val="en-US"/>
                <w14:ligatures w14:val="none"/>
              </w:rPr>
              <w:t>(1), 56-74.</w:t>
            </w:r>
          </w:p>
          <w:p w14:paraId="7003AFEC" w14:textId="77777777" w:rsidR="00D80693" w:rsidRDefault="00D80693" w:rsidP="00204D12">
            <w:pPr>
              <w:widowControl w:val="0"/>
              <w:spacing w:before="120" w:after="0" w:line="240" w:lineRule="auto"/>
              <w:ind w:left="781" w:hanging="781"/>
              <w:jc w:val="both"/>
              <w:rPr>
                <w:kern w:val="0"/>
                <w:sz w:val="24"/>
                <w:szCs w:val="24"/>
                <w14:ligatures w14:val="none"/>
              </w:rPr>
            </w:pPr>
            <w:r w:rsidRPr="004D31BF">
              <w:rPr>
                <w:kern w:val="0"/>
                <w:sz w:val="24"/>
                <w:szCs w:val="24"/>
                <w:lang w:val="en-US"/>
                <w14:ligatures w14:val="none"/>
              </w:rPr>
              <w:t xml:space="preserve">Johnson, D., Johnson, R., &amp; Holubec, E. (1998). </w:t>
            </w:r>
            <w:r w:rsidRPr="004D31BF">
              <w:rPr>
                <w:i/>
                <w:iCs/>
                <w:kern w:val="0"/>
                <w:sz w:val="24"/>
                <w:szCs w:val="24"/>
                <w:lang w:val="en-US"/>
                <w14:ligatures w14:val="none"/>
              </w:rPr>
              <w:t>Cooperation in the classroom</w:t>
            </w:r>
            <w:r w:rsidRPr="004D31BF">
              <w:rPr>
                <w:kern w:val="0"/>
                <w:sz w:val="24"/>
                <w:szCs w:val="24"/>
                <w:lang w:val="en-US"/>
                <w14:ligatures w14:val="none"/>
              </w:rPr>
              <w:t xml:space="preserve">. </w:t>
            </w:r>
            <w:r>
              <w:rPr>
                <w:kern w:val="0"/>
                <w:sz w:val="24"/>
                <w:szCs w:val="24"/>
                <w14:ligatures w14:val="none"/>
              </w:rPr>
              <w:t>Allyn and Bacon.</w:t>
            </w:r>
          </w:p>
          <w:p w14:paraId="632CB597"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Kandji, M. (2014). Pour un enseignement de l’anglais à partir des langues négro-africaines. </w:t>
            </w:r>
            <w:r>
              <w:rPr>
                <w:i/>
                <w:iCs/>
                <w:kern w:val="0"/>
                <w:sz w:val="24"/>
                <w:szCs w:val="24"/>
                <w14:ligatures w14:val="none"/>
              </w:rPr>
              <w:t>Cahiers de Linguistique et de Didactique</w:t>
            </w:r>
            <w:r>
              <w:rPr>
                <w:kern w:val="0"/>
                <w:sz w:val="24"/>
                <w:szCs w:val="24"/>
                <w14:ligatures w14:val="none"/>
              </w:rPr>
              <w:t xml:space="preserve">, </w:t>
            </w:r>
            <w:r>
              <w:rPr>
                <w:i/>
                <w:iCs/>
                <w:kern w:val="0"/>
                <w:sz w:val="24"/>
                <w:szCs w:val="24"/>
                <w14:ligatures w14:val="none"/>
              </w:rPr>
              <w:t>4</w:t>
            </w:r>
            <w:r>
              <w:rPr>
                <w:kern w:val="0"/>
                <w:sz w:val="24"/>
                <w:szCs w:val="24"/>
                <w14:ligatures w14:val="none"/>
              </w:rPr>
              <w:t>(1), 35-50.</w:t>
            </w:r>
          </w:p>
          <w:p w14:paraId="26690742"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Karsenti, T. (2018). </w:t>
            </w:r>
            <w:r>
              <w:rPr>
                <w:i/>
                <w:iCs/>
                <w:kern w:val="0"/>
                <w:sz w:val="24"/>
                <w:szCs w:val="24"/>
                <w14:ligatures w14:val="none"/>
              </w:rPr>
              <w:t>Le numérique en éducation : Pour développer des compétences</w:t>
            </w:r>
            <w:r>
              <w:rPr>
                <w:kern w:val="0"/>
                <w:sz w:val="24"/>
                <w:szCs w:val="24"/>
                <w14:ligatures w14:val="none"/>
              </w:rPr>
              <w:t>. Presses de l’Université du Québec.</w:t>
            </w:r>
          </w:p>
          <w:p w14:paraId="3DC52F9B"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Pr>
                <w:kern w:val="0"/>
                <w:sz w:val="24"/>
                <w:szCs w:val="24"/>
                <w14:ligatures w14:val="none"/>
              </w:rPr>
              <w:t xml:space="preserve">Karsenti, T., &amp; </w:t>
            </w:r>
            <w:proofErr w:type="spellStart"/>
            <w:r>
              <w:rPr>
                <w:kern w:val="0"/>
                <w:sz w:val="24"/>
                <w:szCs w:val="24"/>
                <w14:ligatures w14:val="none"/>
              </w:rPr>
              <w:t>Bugmann</w:t>
            </w:r>
            <w:proofErr w:type="spellEnd"/>
            <w:r>
              <w:rPr>
                <w:kern w:val="0"/>
                <w:sz w:val="24"/>
                <w:szCs w:val="24"/>
                <w14:ligatures w14:val="none"/>
              </w:rPr>
              <w:t xml:space="preserve">, J. (2018). </w:t>
            </w:r>
            <w:r>
              <w:rPr>
                <w:i/>
                <w:iCs/>
                <w:kern w:val="0"/>
                <w:sz w:val="24"/>
                <w:szCs w:val="24"/>
                <w14:ligatures w14:val="none"/>
              </w:rPr>
              <w:t>Enseigner et apprendre avec le numérique : Défis et opportunités pour l’Afrique</w:t>
            </w:r>
            <w:r>
              <w:rPr>
                <w:kern w:val="0"/>
                <w:sz w:val="24"/>
                <w:szCs w:val="24"/>
                <w14:ligatures w14:val="none"/>
              </w:rPr>
              <w:t xml:space="preserve">. </w:t>
            </w:r>
            <w:r w:rsidRPr="004D31BF">
              <w:rPr>
                <w:kern w:val="0"/>
                <w:sz w:val="24"/>
                <w:szCs w:val="24"/>
                <w:lang w:val="en-US"/>
                <w14:ligatures w14:val="none"/>
              </w:rPr>
              <w:t xml:space="preserve">Presses de </w:t>
            </w:r>
            <w:proofErr w:type="spellStart"/>
            <w:r w:rsidRPr="004D31BF">
              <w:rPr>
                <w:kern w:val="0"/>
                <w:sz w:val="24"/>
                <w:szCs w:val="24"/>
                <w:lang w:val="en-US"/>
                <w14:ligatures w14:val="none"/>
              </w:rPr>
              <w:t>l’Université</w:t>
            </w:r>
            <w:proofErr w:type="spellEnd"/>
            <w:r w:rsidRPr="004D31BF">
              <w:rPr>
                <w:kern w:val="0"/>
                <w:sz w:val="24"/>
                <w:szCs w:val="24"/>
                <w:lang w:val="en-US"/>
                <w14:ligatures w14:val="none"/>
              </w:rPr>
              <w:t xml:space="preserve"> du Québec.</w:t>
            </w:r>
          </w:p>
          <w:p w14:paraId="787F3965"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Khalifa, M., &amp; </w:t>
            </w:r>
            <w:proofErr w:type="spellStart"/>
            <w:r w:rsidRPr="004D31BF">
              <w:rPr>
                <w:kern w:val="0"/>
                <w:sz w:val="24"/>
                <w:szCs w:val="24"/>
                <w:lang w:val="en-US"/>
                <w14:ligatures w14:val="none"/>
              </w:rPr>
              <w:t>Albadawy</w:t>
            </w:r>
            <w:proofErr w:type="spellEnd"/>
            <w:r w:rsidRPr="004D31BF">
              <w:rPr>
                <w:kern w:val="0"/>
                <w:sz w:val="24"/>
                <w:szCs w:val="24"/>
                <w:lang w:val="en-US"/>
                <w14:ligatures w14:val="none"/>
              </w:rPr>
              <w:t xml:space="preserve">, M. (2024). Using artificial intelligence in academic writing and research: An essential productivity tool. </w:t>
            </w:r>
            <w:r w:rsidRPr="004D31BF">
              <w:rPr>
                <w:i/>
                <w:iCs/>
                <w:kern w:val="0"/>
                <w:sz w:val="24"/>
                <w:szCs w:val="24"/>
                <w:lang w:val="en-US"/>
                <w14:ligatures w14:val="none"/>
              </w:rPr>
              <w:t>Computer Methods and Programs in Biomedicine Update</w:t>
            </w:r>
            <w:r w:rsidRPr="004D31BF">
              <w:rPr>
                <w:kern w:val="0"/>
                <w:sz w:val="24"/>
                <w:szCs w:val="24"/>
                <w:lang w:val="en-US"/>
                <w14:ligatures w14:val="none"/>
              </w:rPr>
              <w:t xml:space="preserve">, </w:t>
            </w:r>
            <w:r w:rsidRPr="004D31BF">
              <w:rPr>
                <w:i/>
                <w:iCs/>
                <w:kern w:val="0"/>
                <w:sz w:val="24"/>
                <w:szCs w:val="24"/>
                <w:lang w:val="en-US"/>
                <w14:ligatures w14:val="none"/>
              </w:rPr>
              <w:t>5</w:t>
            </w:r>
            <w:r w:rsidRPr="004D31BF">
              <w:rPr>
                <w:kern w:val="0"/>
                <w:sz w:val="24"/>
                <w:szCs w:val="24"/>
                <w:lang w:val="en-US"/>
                <w14:ligatures w14:val="none"/>
              </w:rPr>
              <w:t>, 100145.</w:t>
            </w:r>
          </w:p>
          <w:p w14:paraId="2E6CC065"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Khalifa, M., &amp; </w:t>
            </w:r>
            <w:proofErr w:type="spellStart"/>
            <w:r w:rsidRPr="004D31BF">
              <w:rPr>
                <w:kern w:val="0"/>
                <w:sz w:val="24"/>
                <w:szCs w:val="24"/>
                <w:lang w:val="en-US"/>
                <w14:ligatures w14:val="none"/>
              </w:rPr>
              <w:t>Albadawy</w:t>
            </w:r>
            <w:proofErr w:type="spellEnd"/>
            <w:r w:rsidRPr="004D31BF">
              <w:rPr>
                <w:kern w:val="0"/>
                <w:sz w:val="24"/>
                <w:szCs w:val="24"/>
                <w:lang w:val="en-US"/>
                <w14:ligatures w14:val="none"/>
              </w:rPr>
              <w:t xml:space="preserve">, R. (2024). Ethical challenges of AI in education. </w:t>
            </w:r>
            <w:r w:rsidRPr="004D31BF">
              <w:rPr>
                <w:i/>
                <w:iCs/>
                <w:kern w:val="0"/>
                <w:sz w:val="24"/>
                <w:szCs w:val="24"/>
                <w:lang w:val="en-US"/>
                <w14:ligatures w14:val="none"/>
              </w:rPr>
              <w:t>Journal of Educational Technology</w:t>
            </w:r>
            <w:r w:rsidRPr="004D31BF">
              <w:rPr>
                <w:kern w:val="0"/>
                <w:sz w:val="24"/>
                <w:szCs w:val="24"/>
                <w:lang w:val="en-US"/>
                <w14:ligatures w14:val="none"/>
              </w:rPr>
              <w:t xml:space="preserve">, </w:t>
            </w:r>
            <w:r w:rsidRPr="004D31BF">
              <w:rPr>
                <w:i/>
                <w:iCs/>
                <w:kern w:val="0"/>
                <w:sz w:val="24"/>
                <w:szCs w:val="24"/>
                <w:lang w:val="en-US"/>
                <w14:ligatures w14:val="none"/>
              </w:rPr>
              <w:t>35</w:t>
            </w:r>
            <w:r w:rsidRPr="004D31BF">
              <w:rPr>
                <w:kern w:val="0"/>
                <w:sz w:val="24"/>
                <w:szCs w:val="24"/>
                <w:lang w:val="en-US"/>
                <w14:ligatures w14:val="none"/>
              </w:rPr>
              <w:t>(1), 55-72.</w:t>
            </w:r>
          </w:p>
          <w:p w14:paraId="16F0B4F0"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Leighton, M., &amp; Griffioen, K. (2021). Multimodal resources in online language education. </w:t>
            </w:r>
            <w:r w:rsidRPr="004D31BF">
              <w:rPr>
                <w:i/>
                <w:iCs/>
                <w:kern w:val="0"/>
                <w:sz w:val="24"/>
                <w:szCs w:val="24"/>
                <w:lang w:val="en-US"/>
                <w14:ligatures w14:val="none"/>
              </w:rPr>
              <w:t>Journal of Educational Technology</w:t>
            </w:r>
            <w:r w:rsidRPr="004D31BF">
              <w:rPr>
                <w:kern w:val="0"/>
                <w:sz w:val="24"/>
                <w:szCs w:val="24"/>
                <w:lang w:val="en-US"/>
                <w14:ligatures w14:val="none"/>
              </w:rPr>
              <w:t xml:space="preserve">, </w:t>
            </w:r>
            <w:r w:rsidRPr="004D31BF">
              <w:rPr>
                <w:i/>
                <w:iCs/>
                <w:kern w:val="0"/>
                <w:sz w:val="24"/>
                <w:szCs w:val="24"/>
                <w:lang w:val="en-US"/>
                <w14:ligatures w14:val="none"/>
              </w:rPr>
              <w:t>29</w:t>
            </w:r>
            <w:r w:rsidRPr="004D31BF">
              <w:rPr>
                <w:kern w:val="0"/>
                <w:sz w:val="24"/>
                <w:szCs w:val="24"/>
                <w:lang w:val="en-US"/>
                <w14:ligatures w14:val="none"/>
              </w:rPr>
              <w:t>(2), 145-161.</w:t>
            </w:r>
          </w:p>
          <w:p w14:paraId="39C337FD"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1928FA">
              <w:rPr>
                <w:kern w:val="0"/>
                <w:sz w:val="24"/>
                <w:szCs w:val="24"/>
                <w:lang w:val="en-US"/>
                <w14:ligatures w14:val="none"/>
              </w:rPr>
              <w:t xml:space="preserve">Levy, C. M., &amp; Olive, T. (2001). </w:t>
            </w:r>
            <w:r w:rsidRPr="004D31BF">
              <w:rPr>
                <w:kern w:val="0"/>
                <w:sz w:val="24"/>
                <w:szCs w:val="24"/>
                <w:lang w:val="en-US"/>
                <w14:ligatures w14:val="none"/>
              </w:rPr>
              <w:t xml:space="preserve">Real Time in Writing Research: Progress and Prospects. In T. Olive &amp; C. M. Levy (Eds.), </w:t>
            </w:r>
            <w:r w:rsidRPr="004D31BF">
              <w:rPr>
                <w:i/>
                <w:iCs/>
                <w:kern w:val="0"/>
                <w:sz w:val="24"/>
                <w:szCs w:val="24"/>
                <w:lang w:val="en-US"/>
                <w14:ligatures w14:val="none"/>
              </w:rPr>
              <w:t>Contemporary Tools and Techniques for Studying Writing</w:t>
            </w:r>
            <w:r w:rsidRPr="004D31BF">
              <w:rPr>
                <w:kern w:val="0"/>
                <w:sz w:val="24"/>
                <w:szCs w:val="24"/>
                <w:lang w:val="en-US"/>
                <w14:ligatures w14:val="none"/>
              </w:rPr>
              <w:t xml:space="preserve"> (pp. 1-8). Kluwer Academic Publishers.</w:t>
            </w:r>
          </w:p>
          <w:p w14:paraId="094533BA" w14:textId="77777777" w:rsidR="00D80693" w:rsidRDefault="00D80693" w:rsidP="00204D12">
            <w:pPr>
              <w:widowControl w:val="0"/>
              <w:spacing w:before="120" w:after="0" w:line="240" w:lineRule="auto"/>
              <w:ind w:left="781" w:hanging="781"/>
              <w:jc w:val="both"/>
              <w:rPr>
                <w:kern w:val="0"/>
                <w:sz w:val="24"/>
                <w:szCs w:val="24"/>
                <w14:ligatures w14:val="none"/>
              </w:rPr>
            </w:pPr>
            <w:r w:rsidRPr="004D31BF">
              <w:rPr>
                <w:kern w:val="0"/>
                <w:sz w:val="24"/>
                <w:szCs w:val="24"/>
                <w:lang w:val="en-US"/>
                <w14:ligatures w14:val="none"/>
              </w:rPr>
              <w:t xml:space="preserve">Mishra, P., &amp; Koehler, M. J. (2006). Technological Pedagogical Content Knowledge: A Framework for Teacher Knowledge. </w:t>
            </w:r>
            <w:proofErr w:type="spellStart"/>
            <w:r>
              <w:rPr>
                <w:i/>
                <w:iCs/>
                <w:kern w:val="0"/>
                <w:sz w:val="24"/>
                <w:szCs w:val="24"/>
                <w14:ligatures w14:val="none"/>
              </w:rPr>
              <w:t>Teachers</w:t>
            </w:r>
            <w:proofErr w:type="spellEnd"/>
            <w:r>
              <w:rPr>
                <w:i/>
                <w:iCs/>
                <w:kern w:val="0"/>
                <w:sz w:val="24"/>
                <w:szCs w:val="24"/>
                <w14:ligatures w14:val="none"/>
              </w:rPr>
              <w:t xml:space="preserve"> College Record</w:t>
            </w:r>
            <w:r>
              <w:rPr>
                <w:kern w:val="0"/>
                <w:sz w:val="24"/>
                <w:szCs w:val="24"/>
                <w14:ligatures w14:val="none"/>
              </w:rPr>
              <w:t xml:space="preserve">, </w:t>
            </w:r>
            <w:r>
              <w:rPr>
                <w:i/>
                <w:iCs/>
                <w:kern w:val="0"/>
                <w:sz w:val="24"/>
                <w:szCs w:val="24"/>
                <w14:ligatures w14:val="none"/>
              </w:rPr>
              <w:t>108</w:t>
            </w:r>
            <w:r>
              <w:rPr>
                <w:kern w:val="0"/>
                <w:sz w:val="24"/>
                <w:szCs w:val="24"/>
                <w14:ligatures w14:val="none"/>
              </w:rPr>
              <w:t>(6), 1017-1054.</w:t>
            </w:r>
          </w:p>
          <w:p w14:paraId="6935748E"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Ndiaye, M. (2019). </w:t>
            </w:r>
            <w:r>
              <w:rPr>
                <w:i/>
                <w:iCs/>
                <w:kern w:val="0"/>
                <w:sz w:val="24"/>
                <w:szCs w:val="24"/>
                <w14:ligatures w14:val="none"/>
              </w:rPr>
              <w:t>Intégration pédagogique des TIC au Sénégal : Enjeux, défis et perspectives</w:t>
            </w:r>
            <w:r>
              <w:rPr>
                <w:kern w:val="0"/>
                <w:sz w:val="24"/>
                <w:szCs w:val="24"/>
                <w14:ligatures w14:val="none"/>
              </w:rPr>
              <w:t>. Éditions Universitaires Européennes.</w:t>
            </w:r>
          </w:p>
          <w:p w14:paraId="295226BD"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1928FA">
              <w:rPr>
                <w:kern w:val="0"/>
                <w:sz w:val="24"/>
                <w:szCs w:val="24"/>
                <w14:ligatures w14:val="none"/>
              </w:rPr>
              <w:t xml:space="preserve">Ndoye, A., </w:t>
            </w:r>
            <w:proofErr w:type="spellStart"/>
            <w:r w:rsidRPr="001928FA">
              <w:rPr>
                <w:kern w:val="0"/>
                <w:sz w:val="24"/>
                <w:szCs w:val="24"/>
                <w14:ligatures w14:val="none"/>
              </w:rPr>
              <w:t>Fall</w:t>
            </w:r>
            <w:proofErr w:type="spellEnd"/>
            <w:r w:rsidRPr="001928FA">
              <w:rPr>
                <w:kern w:val="0"/>
                <w:sz w:val="24"/>
                <w:szCs w:val="24"/>
                <w14:ligatures w14:val="none"/>
              </w:rPr>
              <w:t xml:space="preserve">, M., &amp; Diouf, S. (2021). </w:t>
            </w:r>
            <w:r>
              <w:rPr>
                <w:kern w:val="0"/>
                <w:sz w:val="24"/>
                <w:szCs w:val="24"/>
                <w14:ligatures w14:val="none"/>
              </w:rPr>
              <w:t xml:space="preserve">L’apprentissage hybride et les défis des étudiants sénégalais face à l’utilisation des smartphones. </w:t>
            </w:r>
            <w:r w:rsidRPr="004D31BF">
              <w:rPr>
                <w:i/>
                <w:iCs/>
                <w:kern w:val="0"/>
                <w:sz w:val="24"/>
                <w:szCs w:val="24"/>
                <w:lang w:val="en-US"/>
                <w14:ligatures w14:val="none"/>
              </w:rPr>
              <w:t xml:space="preserve">Revue des Sciences de </w:t>
            </w:r>
            <w:proofErr w:type="spellStart"/>
            <w:r w:rsidRPr="004D31BF">
              <w:rPr>
                <w:i/>
                <w:iCs/>
                <w:kern w:val="0"/>
                <w:sz w:val="24"/>
                <w:szCs w:val="24"/>
                <w:lang w:val="en-US"/>
                <w14:ligatures w14:val="none"/>
              </w:rPr>
              <w:t>l’Éducation</w:t>
            </w:r>
            <w:proofErr w:type="spellEnd"/>
            <w:r w:rsidRPr="004D31BF">
              <w:rPr>
                <w:kern w:val="0"/>
                <w:sz w:val="24"/>
                <w:szCs w:val="24"/>
                <w:lang w:val="en-US"/>
                <w14:ligatures w14:val="none"/>
              </w:rPr>
              <w:t xml:space="preserve">, </w:t>
            </w:r>
            <w:r w:rsidRPr="004D31BF">
              <w:rPr>
                <w:i/>
                <w:iCs/>
                <w:kern w:val="0"/>
                <w:sz w:val="24"/>
                <w:szCs w:val="24"/>
                <w:lang w:val="en-US"/>
                <w14:ligatures w14:val="none"/>
              </w:rPr>
              <w:t>15</w:t>
            </w:r>
            <w:r w:rsidRPr="004D31BF">
              <w:rPr>
                <w:kern w:val="0"/>
                <w:sz w:val="24"/>
                <w:szCs w:val="24"/>
                <w:lang w:val="en-US"/>
                <w14:ligatures w14:val="none"/>
              </w:rPr>
              <w:t>(2), 45-60.</w:t>
            </w:r>
          </w:p>
          <w:p w14:paraId="0647BC64"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proofErr w:type="spellStart"/>
            <w:r w:rsidRPr="004D31BF">
              <w:rPr>
                <w:kern w:val="0"/>
                <w:sz w:val="24"/>
                <w:szCs w:val="24"/>
                <w:lang w:val="en-US"/>
                <w14:ligatures w14:val="none"/>
              </w:rPr>
              <w:t>Nnene</w:t>
            </w:r>
            <w:proofErr w:type="spellEnd"/>
            <w:r w:rsidRPr="004D31BF">
              <w:rPr>
                <w:kern w:val="0"/>
                <w:sz w:val="24"/>
                <w:szCs w:val="24"/>
                <w:lang w:val="en-US"/>
                <w14:ligatures w14:val="none"/>
              </w:rPr>
              <w:t xml:space="preserve">, B. G. (2014). Collaborative Approach in Teaching and Learning of English as a Second Language. </w:t>
            </w:r>
            <w:r w:rsidRPr="004D31BF">
              <w:rPr>
                <w:i/>
                <w:iCs/>
                <w:kern w:val="0"/>
                <w:sz w:val="24"/>
                <w:szCs w:val="24"/>
                <w:lang w:val="en-US"/>
                <w14:ligatures w14:val="none"/>
              </w:rPr>
              <w:t>JELTAN: Journal of the English Language Teachers' Association of Nigeria</w:t>
            </w:r>
            <w:r w:rsidRPr="004D31BF">
              <w:rPr>
                <w:kern w:val="0"/>
                <w:sz w:val="24"/>
                <w:szCs w:val="24"/>
                <w:lang w:val="en-US"/>
                <w14:ligatures w14:val="none"/>
              </w:rPr>
              <w:t xml:space="preserve">, </w:t>
            </w:r>
            <w:r w:rsidRPr="004D31BF">
              <w:rPr>
                <w:i/>
                <w:iCs/>
                <w:kern w:val="0"/>
                <w:sz w:val="24"/>
                <w:szCs w:val="24"/>
                <w:lang w:val="en-US"/>
                <w14:ligatures w14:val="none"/>
              </w:rPr>
              <w:t>4</w:t>
            </w:r>
            <w:r w:rsidRPr="004D31BF">
              <w:rPr>
                <w:kern w:val="0"/>
                <w:sz w:val="24"/>
                <w:szCs w:val="24"/>
                <w:lang w:val="en-US"/>
                <w14:ligatures w14:val="none"/>
              </w:rPr>
              <w:t>, 113-122.</w:t>
            </w:r>
          </w:p>
          <w:p w14:paraId="3B0D6015" w14:textId="77777777" w:rsidR="00D80693" w:rsidRDefault="00D80693" w:rsidP="00204D12">
            <w:pPr>
              <w:widowControl w:val="0"/>
              <w:spacing w:before="120" w:after="0" w:line="240" w:lineRule="auto"/>
              <w:ind w:left="781" w:hanging="781"/>
              <w:jc w:val="both"/>
              <w:rPr>
                <w:kern w:val="0"/>
                <w:sz w:val="24"/>
                <w:szCs w:val="24"/>
                <w14:ligatures w14:val="none"/>
              </w:rPr>
            </w:pPr>
            <w:proofErr w:type="spellStart"/>
            <w:r w:rsidRPr="004D31BF">
              <w:rPr>
                <w:kern w:val="0"/>
                <w:sz w:val="24"/>
                <w:szCs w:val="24"/>
                <w:lang w:val="en-US"/>
                <w14:ligatures w14:val="none"/>
              </w:rPr>
              <w:t>Palaigeorgiou</w:t>
            </w:r>
            <w:proofErr w:type="spellEnd"/>
            <w:r w:rsidRPr="004D31BF">
              <w:rPr>
                <w:kern w:val="0"/>
                <w:sz w:val="24"/>
                <w:szCs w:val="24"/>
                <w:lang w:val="en-US"/>
                <w14:ligatures w14:val="none"/>
              </w:rPr>
              <w:t xml:space="preserve">, G., &amp; </w:t>
            </w:r>
            <w:proofErr w:type="spellStart"/>
            <w:r w:rsidRPr="004D31BF">
              <w:rPr>
                <w:kern w:val="0"/>
                <w:sz w:val="24"/>
                <w:szCs w:val="24"/>
                <w:lang w:val="en-US"/>
                <w14:ligatures w14:val="none"/>
              </w:rPr>
              <w:t>Grammatikopoulou</w:t>
            </w:r>
            <w:proofErr w:type="spellEnd"/>
            <w:r w:rsidRPr="004D31BF">
              <w:rPr>
                <w:kern w:val="0"/>
                <w:sz w:val="24"/>
                <w:szCs w:val="24"/>
                <w:lang w:val="en-US"/>
                <w14:ligatures w14:val="none"/>
              </w:rPr>
              <w:t xml:space="preserve">, A. (2016). The use of Web 2.0 tools in education: Advantages and challenges. </w:t>
            </w:r>
            <w:proofErr w:type="spellStart"/>
            <w:r>
              <w:rPr>
                <w:i/>
                <w:iCs/>
                <w:kern w:val="0"/>
                <w:sz w:val="24"/>
                <w:szCs w:val="24"/>
                <w14:ligatures w14:val="none"/>
              </w:rPr>
              <w:t>Educational</w:t>
            </w:r>
            <w:proofErr w:type="spellEnd"/>
            <w:r>
              <w:rPr>
                <w:i/>
                <w:iCs/>
                <w:kern w:val="0"/>
                <w:sz w:val="24"/>
                <w:szCs w:val="24"/>
                <w14:ligatures w14:val="none"/>
              </w:rPr>
              <w:t xml:space="preserve"> </w:t>
            </w:r>
            <w:proofErr w:type="spellStart"/>
            <w:r>
              <w:rPr>
                <w:i/>
                <w:iCs/>
                <w:kern w:val="0"/>
                <w:sz w:val="24"/>
                <w:szCs w:val="24"/>
                <w14:ligatures w14:val="none"/>
              </w:rPr>
              <w:t>Technology</w:t>
            </w:r>
            <w:proofErr w:type="spellEnd"/>
            <w:r>
              <w:rPr>
                <w:i/>
                <w:iCs/>
                <w:kern w:val="0"/>
                <w:sz w:val="24"/>
                <w:szCs w:val="24"/>
                <w14:ligatures w14:val="none"/>
              </w:rPr>
              <w:t xml:space="preserve"> &amp; Society</w:t>
            </w:r>
            <w:r>
              <w:rPr>
                <w:kern w:val="0"/>
                <w:sz w:val="24"/>
                <w:szCs w:val="24"/>
                <w14:ligatures w14:val="none"/>
              </w:rPr>
              <w:t xml:space="preserve">, </w:t>
            </w:r>
            <w:r>
              <w:rPr>
                <w:i/>
                <w:iCs/>
                <w:kern w:val="0"/>
                <w:sz w:val="24"/>
                <w:szCs w:val="24"/>
                <w14:ligatures w14:val="none"/>
              </w:rPr>
              <w:t>19</w:t>
            </w:r>
            <w:r>
              <w:rPr>
                <w:kern w:val="0"/>
                <w:sz w:val="24"/>
                <w:szCs w:val="24"/>
                <w14:ligatures w14:val="none"/>
              </w:rPr>
              <w:t>(3), 123-135.</w:t>
            </w:r>
          </w:p>
          <w:p w14:paraId="2C7F37E6" w14:textId="77777777" w:rsidR="00D80693" w:rsidRPr="004D31BF" w:rsidRDefault="00D80693" w:rsidP="00204D12">
            <w:pPr>
              <w:widowControl w:val="0"/>
              <w:spacing w:before="120" w:after="0" w:line="240" w:lineRule="auto"/>
              <w:ind w:left="781" w:hanging="781"/>
              <w:jc w:val="both"/>
              <w:rPr>
                <w:kern w:val="0"/>
                <w:sz w:val="24"/>
                <w:szCs w:val="24"/>
                <w:u w:val="single"/>
                <w:lang w:val="en-US"/>
                <w14:ligatures w14:val="none"/>
              </w:rPr>
            </w:pPr>
            <w:proofErr w:type="spellStart"/>
            <w:r>
              <w:rPr>
                <w:kern w:val="0"/>
                <w:sz w:val="24"/>
                <w:szCs w:val="24"/>
                <w14:ligatures w14:val="none"/>
              </w:rPr>
              <w:t>Portine</w:t>
            </w:r>
            <w:proofErr w:type="spellEnd"/>
            <w:r>
              <w:rPr>
                <w:kern w:val="0"/>
                <w:sz w:val="24"/>
                <w:szCs w:val="24"/>
                <w14:ligatures w14:val="none"/>
              </w:rPr>
              <w:t xml:space="preserve">, H. (1998). L'autonomie de l'apprenant </w:t>
            </w:r>
            <w:proofErr w:type="gramStart"/>
            <w:r>
              <w:rPr>
                <w:kern w:val="0"/>
                <w:sz w:val="24"/>
                <w:szCs w:val="24"/>
                <w14:ligatures w14:val="none"/>
              </w:rPr>
              <w:t>en questions</w:t>
            </w:r>
            <w:proofErr w:type="gramEnd"/>
            <w:r>
              <w:rPr>
                <w:kern w:val="0"/>
                <w:sz w:val="24"/>
                <w:szCs w:val="24"/>
                <w14:ligatures w14:val="none"/>
              </w:rPr>
              <w:t xml:space="preserve">. </w:t>
            </w:r>
            <w:proofErr w:type="spellStart"/>
            <w:r w:rsidRPr="004D31BF">
              <w:rPr>
                <w:i/>
                <w:iCs/>
                <w:kern w:val="0"/>
                <w:sz w:val="24"/>
                <w:szCs w:val="24"/>
                <w:lang w:val="en-US"/>
                <w14:ligatures w14:val="none"/>
              </w:rPr>
              <w:t>Alsic</w:t>
            </w:r>
            <w:proofErr w:type="spellEnd"/>
            <w:r w:rsidRPr="004D31BF">
              <w:rPr>
                <w:kern w:val="0"/>
                <w:sz w:val="24"/>
                <w:szCs w:val="24"/>
                <w:lang w:val="en-US"/>
                <w14:ligatures w14:val="none"/>
              </w:rPr>
              <w:t xml:space="preserve">, </w:t>
            </w:r>
            <w:r w:rsidRPr="004D31BF">
              <w:rPr>
                <w:i/>
                <w:iCs/>
                <w:kern w:val="0"/>
                <w:sz w:val="24"/>
                <w:szCs w:val="24"/>
                <w:lang w:val="en-US"/>
                <w14:ligatures w14:val="none"/>
              </w:rPr>
              <w:t>1</w:t>
            </w:r>
            <w:r w:rsidRPr="004D31BF">
              <w:rPr>
                <w:kern w:val="0"/>
                <w:sz w:val="24"/>
                <w:szCs w:val="24"/>
                <w:lang w:val="en-US"/>
                <w14:ligatures w14:val="none"/>
              </w:rPr>
              <w:t>(1).</w:t>
            </w:r>
            <w:hyperlink r:id="rId108">
              <w:r w:rsidRPr="004D31BF">
                <w:rPr>
                  <w:kern w:val="0"/>
                  <w:sz w:val="24"/>
                  <w:szCs w:val="24"/>
                  <w:lang w:val="en-US"/>
                  <w14:ligatures w14:val="none"/>
                </w:rPr>
                <w:t xml:space="preserve"> </w:t>
              </w:r>
            </w:hyperlink>
            <w:hyperlink r:id="rId109">
              <w:r w:rsidRPr="004D31BF">
                <w:rPr>
                  <w:kern w:val="0"/>
                  <w:sz w:val="24"/>
                  <w:szCs w:val="24"/>
                  <w:u w:val="single"/>
                  <w:lang w:val="en-US"/>
                  <w14:ligatures w14:val="none"/>
                </w:rPr>
                <w:t>https://doi.org/10.4000/alsic.1466</w:t>
              </w:r>
            </w:hyperlink>
          </w:p>
          <w:p w14:paraId="61EFDCFB" w14:textId="77777777" w:rsidR="00D80693" w:rsidRDefault="00D80693" w:rsidP="00204D12">
            <w:pPr>
              <w:widowControl w:val="0"/>
              <w:spacing w:before="120" w:after="0" w:line="240" w:lineRule="auto"/>
              <w:ind w:left="781" w:hanging="781"/>
              <w:jc w:val="both"/>
              <w:rPr>
                <w:kern w:val="0"/>
                <w:sz w:val="24"/>
                <w:szCs w:val="24"/>
                <w14:ligatures w14:val="none"/>
              </w:rPr>
            </w:pPr>
            <w:proofErr w:type="spellStart"/>
            <w:r>
              <w:rPr>
                <w:kern w:val="0"/>
                <w:sz w:val="24"/>
                <w:szCs w:val="24"/>
                <w14:ligatures w14:val="none"/>
              </w:rPr>
              <w:t>Poudiougo</w:t>
            </w:r>
            <w:proofErr w:type="spellEnd"/>
            <w:r>
              <w:rPr>
                <w:kern w:val="0"/>
                <w:sz w:val="24"/>
                <w:szCs w:val="24"/>
                <w14:ligatures w14:val="none"/>
              </w:rPr>
              <w:t xml:space="preserve">, M. (2020). Pour une didactique du plurilinguisme ancrée dans les réalités africaines. </w:t>
            </w:r>
            <w:r>
              <w:rPr>
                <w:i/>
                <w:iCs/>
                <w:kern w:val="0"/>
                <w:sz w:val="24"/>
                <w:szCs w:val="24"/>
                <w14:ligatures w14:val="none"/>
              </w:rPr>
              <w:t>Recherches et Applications en Didactique des Langues</w:t>
            </w:r>
            <w:r>
              <w:rPr>
                <w:kern w:val="0"/>
                <w:sz w:val="24"/>
                <w:szCs w:val="24"/>
                <w14:ligatures w14:val="none"/>
              </w:rPr>
              <w:t xml:space="preserve">, </w:t>
            </w:r>
            <w:r>
              <w:rPr>
                <w:i/>
                <w:iCs/>
                <w:kern w:val="0"/>
                <w:sz w:val="24"/>
                <w:szCs w:val="24"/>
                <w14:ligatures w14:val="none"/>
              </w:rPr>
              <w:t>67</w:t>
            </w:r>
            <w:r>
              <w:rPr>
                <w:kern w:val="0"/>
                <w:sz w:val="24"/>
                <w:szCs w:val="24"/>
                <w14:ligatures w14:val="none"/>
              </w:rPr>
              <w:t>, 45-60.</w:t>
            </w:r>
          </w:p>
          <w:p w14:paraId="19148B9F"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Reinders, H., &amp; White, C. (2016). </w:t>
            </w:r>
            <w:r w:rsidRPr="004D31BF">
              <w:rPr>
                <w:i/>
                <w:iCs/>
                <w:kern w:val="0"/>
                <w:sz w:val="24"/>
                <w:szCs w:val="24"/>
                <w:lang w:val="en-US"/>
                <w14:ligatures w14:val="none"/>
              </w:rPr>
              <w:t>The handbook of technology and second language teaching and learning</w:t>
            </w:r>
            <w:r w:rsidRPr="004D31BF">
              <w:rPr>
                <w:kern w:val="0"/>
                <w:sz w:val="24"/>
                <w:szCs w:val="24"/>
                <w:lang w:val="en-US"/>
                <w14:ligatures w14:val="none"/>
              </w:rPr>
              <w:t xml:space="preserve">. </w:t>
            </w:r>
            <w:r>
              <w:rPr>
                <w:kern w:val="0"/>
                <w:sz w:val="24"/>
                <w:szCs w:val="24"/>
                <w14:ligatures w14:val="none"/>
              </w:rPr>
              <w:t>John Wiley &amp; Sons.</w:t>
            </w:r>
          </w:p>
          <w:p w14:paraId="75E2AFC9" w14:textId="77777777" w:rsidR="00D80693" w:rsidRDefault="00D80693" w:rsidP="00204D12">
            <w:pPr>
              <w:widowControl w:val="0"/>
              <w:spacing w:before="120" w:after="0" w:line="240" w:lineRule="auto"/>
              <w:ind w:left="781" w:hanging="781"/>
              <w:jc w:val="both"/>
              <w:rPr>
                <w:kern w:val="0"/>
                <w:sz w:val="24"/>
                <w:szCs w:val="24"/>
                <w14:ligatures w14:val="none"/>
              </w:rPr>
            </w:pPr>
            <w:proofErr w:type="spellStart"/>
            <w:r>
              <w:rPr>
                <w:kern w:val="0"/>
                <w:sz w:val="24"/>
                <w:szCs w:val="24"/>
                <w14:ligatures w14:val="none"/>
              </w:rPr>
              <w:t>Sarr</w:t>
            </w:r>
            <w:proofErr w:type="spellEnd"/>
            <w:r>
              <w:rPr>
                <w:kern w:val="0"/>
                <w:sz w:val="24"/>
                <w:szCs w:val="24"/>
                <w14:ligatures w14:val="none"/>
              </w:rPr>
              <w:t xml:space="preserve">, Y., &amp; Diop, M. (2022). Les impacts des interruptions numériques sur l'apprentissage des étudiants dans un contexte hybride au Sénégal. </w:t>
            </w:r>
            <w:r>
              <w:rPr>
                <w:i/>
                <w:iCs/>
                <w:kern w:val="0"/>
                <w:sz w:val="24"/>
                <w:szCs w:val="24"/>
                <w14:ligatures w14:val="none"/>
              </w:rPr>
              <w:t>Journal Africain de la Pédagogie</w:t>
            </w:r>
            <w:r>
              <w:rPr>
                <w:kern w:val="0"/>
                <w:sz w:val="24"/>
                <w:szCs w:val="24"/>
                <w14:ligatures w14:val="none"/>
              </w:rPr>
              <w:t xml:space="preserve">, </w:t>
            </w:r>
            <w:r>
              <w:rPr>
                <w:i/>
                <w:iCs/>
                <w:kern w:val="0"/>
                <w:sz w:val="24"/>
                <w:szCs w:val="24"/>
                <w14:ligatures w14:val="none"/>
              </w:rPr>
              <w:t>10</w:t>
            </w:r>
            <w:r>
              <w:rPr>
                <w:kern w:val="0"/>
                <w:sz w:val="24"/>
                <w:szCs w:val="24"/>
                <w14:ligatures w14:val="none"/>
              </w:rPr>
              <w:t>(1), 32-48.</w:t>
            </w:r>
          </w:p>
          <w:p w14:paraId="57B99238"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1928FA">
              <w:rPr>
                <w:kern w:val="0"/>
                <w:sz w:val="24"/>
                <w:szCs w:val="24"/>
                <w14:ligatures w14:val="none"/>
              </w:rPr>
              <w:t xml:space="preserve">Smith, E., Okoye, E., &amp; Lawal, S. (2022). </w:t>
            </w:r>
            <w:r w:rsidRPr="004D31BF">
              <w:rPr>
                <w:kern w:val="0"/>
                <w:sz w:val="24"/>
                <w:szCs w:val="24"/>
                <w:lang w:val="en-US"/>
                <w14:ligatures w14:val="none"/>
              </w:rPr>
              <w:t xml:space="preserve">Digital infrastructure and hybrid learning in African universities. </w:t>
            </w:r>
            <w:r w:rsidRPr="004D31BF">
              <w:rPr>
                <w:i/>
                <w:iCs/>
                <w:kern w:val="0"/>
                <w:sz w:val="24"/>
                <w:szCs w:val="24"/>
                <w:lang w:val="en-US"/>
                <w14:ligatures w14:val="none"/>
              </w:rPr>
              <w:t>Education and Society</w:t>
            </w:r>
            <w:r w:rsidRPr="004D31BF">
              <w:rPr>
                <w:kern w:val="0"/>
                <w:sz w:val="24"/>
                <w:szCs w:val="24"/>
                <w:lang w:val="en-US"/>
                <w14:ligatures w14:val="none"/>
              </w:rPr>
              <w:t xml:space="preserve">, </w:t>
            </w:r>
            <w:r w:rsidRPr="004D31BF">
              <w:rPr>
                <w:i/>
                <w:iCs/>
                <w:kern w:val="0"/>
                <w:sz w:val="24"/>
                <w:szCs w:val="24"/>
                <w:lang w:val="en-US"/>
                <w14:ligatures w14:val="none"/>
              </w:rPr>
              <w:t>14</w:t>
            </w:r>
            <w:r w:rsidRPr="004D31BF">
              <w:rPr>
                <w:kern w:val="0"/>
                <w:sz w:val="24"/>
                <w:szCs w:val="24"/>
                <w:lang w:val="en-US"/>
                <w14:ligatures w14:val="none"/>
              </w:rPr>
              <w:t>(2), 65-80.</w:t>
            </w:r>
          </w:p>
          <w:p w14:paraId="6AD009F9"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Song, C., &amp; Song, Y. (2023). Enhancing academic writing skills and motivation: assessing the efficacy of ChatGPT in AI-assisted language learning for EFL students. </w:t>
            </w:r>
            <w:r w:rsidRPr="004D31BF">
              <w:rPr>
                <w:i/>
                <w:iCs/>
                <w:kern w:val="0"/>
                <w:sz w:val="24"/>
                <w:szCs w:val="24"/>
                <w:lang w:val="en-US"/>
                <w14:ligatures w14:val="none"/>
              </w:rPr>
              <w:t>Frontiers in Psychology</w:t>
            </w:r>
            <w:r w:rsidRPr="004D31BF">
              <w:rPr>
                <w:kern w:val="0"/>
                <w:sz w:val="24"/>
                <w:szCs w:val="24"/>
                <w:lang w:val="en-US"/>
                <w14:ligatures w14:val="none"/>
              </w:rPr>
              <w:t xml:space="preserve">, </w:t>
            </w:r>
            <w:r w:rsidRPr="004D31BF">
              <w:rPr>
                <w:i/>
                <w:iCs/>
                <w:kern w:val="0"/>
                <w:sz w:val="24"/>
                <w:szCs w:val="24"/>
                <w:lang w:val="en-US"/>
                <w14:ligatures w14:val="none"/>
              </w:rPr>
              <w:t>14</w:t>
            </w:r>
            <w:r w:rsidRPr="004D31BF">
              <w:rPr>
                <w:kern w:val="0"/>
                <w:sz w:val="24"/>
                <w:szCs w:val="24"/>
                <w:lang w:val="en-US"/>
                <w14:ligatures w14:val="none"/>
              </w:rPr>
              <w:t>.</w:t>
            </w:r>
          </w:p>
          <w:p w14:paraId="1DDC367E"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Sow, M., &amp; Diop, C. (2021). </w:t>
            </w:r>
            <w:r w:rsidRPr="004D31BF">
              <w:rPr>
                <w:i/>
                <w:iCs/>
                <w:kern w:val="0"/>
                <w:sz w:val="24"/>
                <w:szCs w:val="24"/>
                <w:lang w:val="en-US"/>
                <w14:ligatures w14:val="none"/>
              </w:rPr>
              <w:t>Digital literacy and academic writing: The case of mobile learning in Senegal</w:t>
            </w:r>
            <w:r w:rsidRPr="004D31BF">
              <w:rPr>
                <w:kern w:val="0"/>
                <w:sz w:val="24"/>
                <w:szCs w:val="24"/>
                <w:lang w:val="en-US"/>
                <w14:ligatures w14:val="none"/>
              </w:rPr>
              <w:t>. Editions Harmattan.</w:t>
            </w:r>
          </w:p>
          <w:p w14:paraId="79126625" w14:textId="77777777" w:rsidR="00D80693" w:rsidRDefault="00D80693" w:rsidP="00204D12">
            <w:pPr>
              <w:widowControl w:val="0"/>
              <w:spacing w:before="120" w:after="0" w:line="240" w:lineRule="auto"/>
              <w:ind w:left="781" w:hanging="781"/>
              <w:jc w:val="both"/>
              <w:rPr>
                <w:kern w:val="0"/>
                <w:sz w:val="24"/>
                <w:szCs w:val="24"/>
                <w14:ligatures w14:val="none"/>
              </w:rPr>
            </w:pPr>
            <w:r w:rsidRPr="001928FA">
              <w:rPr>
                <w:kern w:val="0"/>
                <w:sz w:val="24"/>
                <w:szCs w:val="24"/>
                <w:lang w:val="en-US"/>
                <w14:ligatures w14:val="none"/>
              </w:rPr>
              <w:t xml:space="preserve">Stevens, D. D., &amp; Levi, A. J. (2013). </w:t>
            </w:r>
            <w:r w:rsidRPr="004D31BF">
              <w:rPr>
                <w:i/>
                <w:iCs/>
                <w:kern w:val="0"/>
                <w:sz w:val="24"/>
                <w:szCs w:val="24"/>
                <w:lang w:val="en-US"/>
                <w14:ligatures w14:val="none"/>
              </w:rPr>
              <w:t>Introduction to rubrics: An assessment tool to save grading time, convey effective feedback, and promote student learning</w:t>
            </w:r>
            <w:r w:rsidRPr="004D31BF">
              <w:rPr>
                <w:kern w:val="0"/>
                <w:sz w:val="24"/>
                <w:szCs w:val="24"/>
                <w:lang w:val="en-US"/>
                <w14:ligatures w14:val="none"/>
              </w:rPr>
              <w:t xml:space="preserve"> (2e </w:t>
            </w:r>
            <w:proofErr w:type="spellStart"/>
            <w:r w:rsidRPr="004D31BF">
              <w:rPr>
                <w:kern w:val="0"/>
                <w:sz w:val="24"/>
                <w:szCs w:val="24"/>
                <w:lang w:val="en-US"/>
                <w14:ligatures w14:val="none"/>
              </w:rPr>
              <w:t>éd</w:t>
            </w:r>
            <w:proofErr w:type="spellEnd"/>
            <w:r w:rsidRPr="004D31BF">
              <w:rPr>
                <w:kern w:val="0"/>
                <w:sz w:val="24"/>
                <w:szCs w:val="24"/>
                <w:lang w:val="en-US"/>
                <w14:ligatures w14:val="none"/>
              </w:rPr>
              <w:t xml:space="preserve">.). </w:t>
            </w:r>
            <w:r>
              <w:rPr>
                <w:kern w:val="0"/>
                <w:sz w:val="24"/>
                <w:szCs w:val="24"/>
                <w14:ligatures w14:val="none"/>
              </w:rPr>
              <w:t xml:space="preserve">Stylus </w:t>
            </w:r>
            <w:proofErr w:type="spellStart"/>
            <w:r>
              <w:rPr>
                <w:kern w:val="0"/>
                <w:sz w:val="24"/>
                <w:szCs w:val="24"/>
                <w14:ligatures w14:val="none"/>
              </w:rPr>
              <w:t>Publishing</w:t>
            </w:r>
            <w:proofErr w:type="spellEnd"/>
            <w:r>
              <w:rPr>
                <w:kern w:val="0"/>
                <w:sz w:val="24"/>
                <w:szCs w:val="24"/>
                <w14:ligatures w14:val="none"/>
              </w:rPr>
              <w:t>.</w:t>
            </w:r>
          </w:p>
          <w:p w14:paraId="71F06D57"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Sylla, A. (2022). </w:t>
            </w:r>
            <w:r>
              <w:rPr>
                <w:i/>
                <w:iCs/>
                <w:kern w:val="0"/>
                <w:sz w:val="24"/>
                <w:szCs w:val="24"/>
                <w14:ligatures w14:val="none"/>
              </w:rPr>
              <w:t>Méthodologie de la recherche en sciences humaines et sociales : Guide pratique</w:t>
            </w:r>
            <w:r>
              <w:rPr>
                <w:kern w:val="0"/>
                <w:sz w:val="24"/>
                <w:szCs w:val="24"/>
                <w14:ligatures w14:val="none"/>
              </w:rPr>
              <w:t xml:space="preserve">. </w:t>
            </w:r>
            <w:proofErr w:type="spellStart"/>
            <w:r>
              <w:rPr>
                <w:kern w:val="0"/>
                <w:sz w:val="24"/>
                <w:szCs w:val="24"/>
                <w14:ligatures w14:val="none"/>
              </w:rPr>
              <w:t>L’Harmattan</w:t>
            </w:r>
            <w:proofErr w:type="spellEnd"/>
            <w:r>
              <w:rPr>
                <w:kern w:val="0"/>
                <w:sz w:val="24"/>
                <w:szCs w:val="24"/>
                <w14:ligatures w14:val="none"/>
              </w:rPr>
              <w:t xml:space="preserve"> Sénégal.</w:t>
            </w:r>
          </w:p>
          <w:p w14:paraId="1A1BD230"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Traoré, S. (2019). </w:t>
            </w:r>
            <w:r>
              <w:rPr>
                <w:i/>
                <w:iCs/>
                <w:kern w:val="0"/>
                <w:sz w:val="24"/>
                <w:szCs w:val="24"/>
                <w14:ligatures w14:val="none"/>
              </w:rPr>
              <w:t>Pédagogie universitaire et numérique : Enjeux et défis pour l’Afrique</w:t>
            </w:r>
            <w:r>
              <w:rPr>
                <w:kern w:val="0"/>
                <w:sz w:val="24"/>
                <w:szCs w:val="24"/>
                <w14:ligatures w14:val="none"/>
              </w:rPr>
              <w:t>. Éditions des Archives Contemporaines.</w:t>
            </w:r>
          </w:p>
          <w:p w14:paraId="1EF8239A" w14:textId="77777777" w:rsidR="00D80693" w:rsidRDefault="00D80693" w:rsidP="00204D12">
            <w:pPr>
              <w:widowControl w:val="0"/>
              <w:spacing w:before="120" w:after="0" w:line="240" w:lineRule="auto"/>
              <w:ind w:left="781" w:hanging="781"/>
              <w:jc w:val="both"/>
              <w:rPr>
                <w:kern w:val="0"/>
                <w:sz w:val="24"/>
                <w:szCs w:val="24"/>
                <w14:ligatures w14:val="none"/>
              </w:rPr>
            </w:pPr>
            <w:r>
              <w:rPr>
                <w:kern w:val="0"/>
                <w:sz w:val="24"/>
                <w:szCs w:val="24"/>
                <w14:ligatures w14:val="none"/>
              </w:rPr>
              <w:t xml:space="preserve">Vygotski, L. S. (2003). </w:t>
            </w:r>
            <w:r>
              <w:rPr>
                <w:i/>
                <w:iCs/>
                <w:kern w:val="0"/>
                <w:sz w:val="24"/>
                <w:szCs w:val="24"/>
                <w14:ligatures w14:val="none"/>
              </w:rPr>
              <w:t>Pensée et langage</w:t>
            </w:r>
            <w:r>
              <w:rPr>
                <w:kern w:val="0"/>
                <w:sz w:val="24"/>
                <w:szCs w:val="24"/>
                <w14:ligatures w14:val="none"/>
              </w:rPr>
              <w:t xml:space="preserve"> (3e éd.). La Dispute. (Ouvrage original publié en 1934).</w:t>
            </w:r>
          </w:p>
          <w:p w14:paraId="69110738" w14:textId="77777777" w:rsidR="00D80693" w:rsidRPr="004D31BF" w:rsidRDefault="00D80693" w:rsidP="00204D12">
            <w:pPr>
              <w:widowControl w:val="0"/>
              <w:spacing w:before="120" w:after="0" w:line="240" w:lineRule="auto"/>
              <w:ind w:left="781" w:hanging="781"/>
              <w:jc w:val="both"/>
              <w:rPr>
                <w:kern w:val="0"/>
                <w:sz w:val="24"/>
                <w:szCs w:val="24"/>
                <w:lang w:val="en-US"/>
                <w14:ligatures w14:val="none"/>
              </w:rPr>
            </w:pPr>
            <w:r w:rsidRPr="004D31BF">
              <w:rPr>
                <w:kern w:val="0"/>
                <w:sz w:val="24"/>
                <w:szCs w:val="24"/>
                <w:lang w:val="en-US"/>
                <w14:ligatures w14:val="none"/>
              </w:rPr>
              <w:t xml:space="preserve">Vygotsky, L. S. (1978). </w:t>
            </w:r>
            <w:r w:rsidRPr="004D31BF">
              <w:rPr>
                <w:i/>
                <w:iCs/>
                <w:kern w:val="0"/>
                <w:sz w:val="24"/>
                <w:szCs w:val="24"/>
                <w:lang w:val="en-US"/>
                <w14:ligatures w14:val="none"/>
              </w:rPr>
              <w:t>Mind in Society: The Development of Higher Psychological Processes</w:t>
            </w:r>
            <w:r w:rsidRPr="004D31BF">
              <w:rPr>
                <w:kern w:val="0"/>
                <w:sz w:val="24"/>
                <w:szCs w:val="24"/>
                <w:lang w:val="en-US"/>
                <w14:ligatures w14:val="none"/>
              </w:rPr>
              <w:t>. Harvard University Press.</w:t>
            </w:r>
          </w:p>
          <w:p w14:paraId="6662D563" w14:textId="77777777" w:rsidR="00D80693" w:rsidRDefault="00D80693" w:rsidP="00204D12">
            <w:pPr>
              <w:widowControl w:val="0"/>
              <w:spacing w:before="120" w:after="0" w:line="240" w:lineRule="auto"/>
              <w:ind w:left="781" w:hanging="781"/>
              <w:jc w:val="both"/>
              <w:rPr>
                <w:kern w:val="0"/>
                <w:sz w:val="24"/>
                <w:szCs w:val="24"/>
                <w14:ligatures w14:val="none"/>
              </w:rPr>
            </w:pPr>
            <w:r w:rsidRPr="004D31BF">
              <w:rPr>
                <w:kern w:val="0"/>
                <w:sz w:val="24"/>
                <w:szCs w:val="24"/>
                <w:lang w:val="en-US"/>
                <w14:ligatures w14:val="none"/>
              </w:rPr>
              <w:t xml:space="preserve">Warschauer, M. (2009). Digital literacy studies: Progress and prospects. In M. Baynham &amp; M. Prinsloo (Eds.), </w:t>
            </w:r>
            <w:r w:rsidRPr="004D31BF">
              <w:rPr>
                <w:i/>
                <w:iCs/>
                <w:kern w:val="0"/>
                <w:sz w:val="24"/>
                <w:szCs w:val="24"/>
                <w:lang w:val="en-US"/>
                <w14:ligatures w14:val="none"/>
              </w:rPr>
              <w:t>The future of literacy studies</w:t>
            </w:r>
            <w:r w:rsidRPr="004D31BF">
              <w:rPr>
                <w:kern w:val="0"/>
                <w:sz w:val="24"/>
                <w:szCs w:val="24"/>
                <w:lang w:val="en-US"/>
                <w14:ligatures w14:val="none"/>
              </w:rPr>
              <w:t xml:space="preserve"> (pp. 123-140). </w:t>
            </w:r>
            <w:proofErr w:type="spellStart"/>
            <w:r>
              <w:rPr>
                <w:kern w:val="0"/>
                <w:sz w:val="24"/>
                <w:szCs w:val="24"/>
                <w14:ligatures w14:val="none"/>
              </w:rPr>
              <w:t>Palgrave</w:t>
            </w:r>
            <w:proofErr w:type="spellEnd"/>
            <w:r>
              <w:rPr>
                <w:kern w:val="0"/>
                <w:sz w:val="24"/>
                <w:szCs w:val="24"/>
                <w14:ligatures w14:val="none"/>
              </w:rPr>
              <w:t xml:space="preserve"> Macmillan.</w:t>
            </w:r>
          </w:p>
        </w:tc>
      </w:tr>
    </w:tbl>
    <w:p w14:paraId="56E05711" w14:textId="77777777" w:rsidR="00D80693" w:rsidRDefault="00D80693" w:rsidP="00D92213">
      <w:pPr>
        <w:spacing w:before="120"/>
        <w:ind w:right="-326"/>
        <w:rPr>
          <w:sz w:val="24"/>
          <w:szCs w:val="24"/>
          <w:lang w:val="fr" w:eastAsia="fr-SN"/>
        </w:rPr>
      </w:pPr>
    </w:p>
    <w:p w14:paraId="777906B5" w14:textId="77777777" w:rsidR="00D80693" w:rsidRDefault="00D80693" w:rsidP="00D92213">
      <w:pPr>
        <w:spacing w:before="120"/>
        <w:ind w:right="-326"/>
        <w:rPr>
          <w:sz w:val="24"/>
          <w:szCs w:val="24"/>
          <w:lang w:val="fr" w:eastAsia="fr-SN"/>
        </w:rPr>
      </w:pPr>
    </w:p>
    <w:p w14:paraId="79033E4B" w14:textId="77777777" w:rsidR="00D80693" w:rsidRDefault="00D80693" w:rsidP="00D80693">
      <w:pPr>
        <w:spacing w:after="240"/>
        <w:ind w:right="-326"/>
        <w:rPr>
          <w:sz w:val="24"/>
          <w:szCs w:val="24"/>
          <w:lang w:val="fr" w:eastAsia="fr-SN"/>
        </w:rPr>
      </w:pPr>
    </w:p>
    <w:p w14:paraId="04423213" w14:textId="77777777" w:rsidR="00D80693" w:rsidRDefault="00D80693" w:rsidP="00D80693">
      <w:pPr>
        <w:spacing w:after="240"/>
        <w:ind w:right="-326"/>
        <w:rPr>
          <w:sz w:val="24"/>
          <w:szCs w:val="24"/>
          <w:lang w:val="fr" w:eastAsia="fr-SN"/>
        </w:rPr>
      </w:pPr>
    </w:p>
    <w:p w14:paraId="7A87C3DD" w14:textId="77777777" w:rsidR="00D80693" w:rsidRDefault="00D80693" w:rsidP="00D80693">
      <w:pPr>
        <w:spacing w:after="240"/>
        <w:ind w:right="-326"/>
        <w:rPr>
          <w:sz w:val="24"/>
          <w:szCs w:val="24"/>
          <w:lang w:val="fr" w:eastAsia="fr-SN"/>
        </w:rPr>
      </w:pPr>
    </w:p>
    <w:p w14:paraId="4571E1A2" w14:textId="77777777" w:rsidR="00D80693" w:rsidRDefault="00D80693" w:rsidP="00D80693">
      <w:pPr>
        <w:spacing w:after="240"/>
        <w:ind w:right="-326"/>
        <w:rPr>
          <w:sz w:val="24"/>
          <w:szCs w:val="24"/>
          <w:lang w:val="fr" w:eastAsia="fr-SN"/>
        </w:rPr>
      </w:pPr>
    </w:p>
    <w:p w14:paraId="3CE9D081" w14:textId="77777777" w:rsidR="00D80693" w:rsidRDefault="00D80693" w:rsidP="00D80693">
      <w:pPr>
        <w:spacing w:after="240"/>
        <w:ind w:right="-326"/>
        <w:rPr>
          <w:sz w:val="24"/>
          <w:szCs w:val="24"/>
          <w:lang w:val="fr" w:eastAsia="fr-SN"/>
        </w:rPr>
      </w:pPr>
    </w:p>
    <w:p w14:paraId="70F0B7BB" w14:textId="77777777" w:rsidR="00D80693" w:rsidRDefault="00D80693" w:rsidP="00D80693">
      <w:pPr>
        <w:spacing w:after="240"/>
        <w:ind w:right="-326"/>
        <w:rPr>
          <w:sz w:val="24"/>
          <w:szCs w:val="24"/>
          <w:lang w:val="fr" w:eastAsia="fr-SN"/>
        </w:rPr>
      </w:pPr>
    </w:p>
    <w:p w14:paraId="5DC57D17" w14:textId="77777777" w:rsidR="00D80693" w:rsidRDefault="00D80693" w:rsidP="00D80693">
      <w:pPr>
        <w:spacing w:after="240"/>
        <w:ind w:right="-326"/>
        <w:rPr>
          <w:sz w:val="24"/>
          <w:szCs w:val="24"/>
          <w:lang w:val="fr" w:eastAsia="fr-SN"/>
        </w:rPr>
      </w:pPr>
    </w:p>
    <w:p w14:paraId="7C5CB471" w14:textId="77777777" w:rsidR="00D80693" w:rsidRDefault="00D80693" w:rsidP="00D80693">
      <w:pPr>
        <w:spacing w:after="240"/>
        <w:ind w:right="-326"/>
        <w:rPr>
          <w:sz w:val="24"/>
          <w:szCs w:val="24"/>
          <w:lang w:val="fr" w:eastAsia="fr-SN"/>
        </w:rPr>
      </w:pPr>
    </w:p>
    <w:p w14:paraId="0B835222" w14:textId="77777777" w:rsidR="00D80693" w:rsidRDefault="00D80693" w:rsidP="00D80693">
      <w:pPr>
        <w:spacing w:after="240"/>
        <w:ind w:right="-326"/>
        <w:rPr>
          <w:sz w:val="24"/>
          <w:szCs w:val="24"/>
          <w:lang w:val="fr" w:eastAsia="fr-SN"/>
        </w:rPr>
      </w:pPr>
    </w:p>
    <w:p w14:paraId="47F2983A" w14:textId="77777777" w:rsidR="00D80693" w:rsidRDefault="00D80693" w:rsidP="00D80693">
      <w:pPr>
        <w:spacing w:after="240"/>
        <w:ind w:right="-326"/>
        <w:rPr>
          <w:sz w:val="24"/>
          <w:szCs w:val="24"/>
          <w:lang w:val="fr" w:eastAsia="fr-SN"/>
        </w:rPr>
      </w:pPr>
    </w:p>
    <w:p w14:paraId="40C6B38D" w14:textId="77777777" w:rsidR="00D80693" w:rsidRDefault="00D80693" w:rsidP="00D80693">
      <w:pPr>
        <w:spacing w:after="240"/>
        <w:ind w:right="-326"/>
        <w:rPr>
          <w:sz w:val="24"/>
          <w:szCs w:val="24"/>
          <w:lang w:val="fr" w:eastAsia="fr-SN"/>
        </w:rPr>
      </w:pPr>
    </w:p>
    <w:p w14:paraId="3A612612" w14:textId="77777777" w:rsidR="00A71921" w:rsidRDefault="00A71921" w:rsidP="00D51032">
      <w:pPr>
        <w:pStyle w:val="Titre1"/>
        <w:spacing w:before="120"/>
        <w:ind w:left="164"/>
        <w:rPr>
          <w:i/>
          <w:iCs/>
          <w:lang w:eastAsia="fr-CA"/>
        </w:rPr>
        <w:sectPr w:rsidR="00A71921" w:rsidSect="00D92213">
          <w:headerReference w:type="default" r:id="rId110"/>
          <w:headerReference w:type="first" r:id="rId111"/>
          <w:footerReference w:type="first" r:id="rId112"/>
          <w:pgSz w:w="11909" w:h="16834"/>
          <w:pgMar w:top="993" w:right="1440" w:bottom="1440" w:left="1080" w:header="426" w:footer="703" w:gutter="0"/>
          <w:cols w:space="720"/>
          <w:titlePg/>
        </w:sectPr>
      </w:pPr>
      <w:bookmarkStart w:id="197" w:name="_Hlk186897657"/>
      <w:bookmarkStart w:id="198" w:name="_Hlk186839343"/>
    </w:p>
    <w:p w14:paraId="1A3DCF3B" w14:textId="77777777" w:rsidR="00D80693" w:rsidRPr="00D51032" w:rsidRDefault="00D80693" w:rsidP="00D51032">
      <w:pPr>
        <w:pStyle w:val="Titre1"/>
        <w:spacing w:before="120"/>
        <w:ind w:left="164"/>
        <w:rPr>
          <w:b w:val="0"/>
          <w:bCs w:val="0"/>
          <w:i/>
          <w:iCs/>
          <w:lang w:eastAsia="fr-CA"/>
        </w:rPr>
      </w:pPr>
      <w:bookmarkStart w:id="199" w:name="_Toc219272573"/>
      <w:r w:rsidRPr="00D51032">
        <w:rPr>
          <w:i/>
          <w:iCs/>
          <w:lang w:eastAsia="fr-CA"/>
        </w:rPr>
        <w:t xml:space="preserve">TIC et didactique en contexte de crise sécuritaire : </w:t>
      </w:r>
      <w:bookmarkStart w:id="200" w:name="_Hlk186832539"/>
      <w:r w:rsidRPr="00D51032">
        <w:rPr>
          <w:i/>
          <w:iCs/>
          <w:lang w:eastAsia="fr-CA"/>
        </w:rPr>
        <w:t>opportunités et défis pour le système éducatif burkinabè</w:t>
      </w:r>
      <w:bookmarkEnd w:id="199"/>
      <w:bookmarkEnd w:id="200"/>
    </w:p>
    <w:p w14:paraId="5043D895" w14:textId="72B7229A" w:rsidR="00D80693" w:rsidRPr="0092006C" w:rsidRDefault="00D80693" w:rsidP="00D51032">
      <w:pPr>
        <w:pStyle w:val="Titre1"/>
        <w:spacing w:before="120"/>
        <w:ind w:left="164"/>
        <w:rPr>
          <w:bCs w:val="0"/>
          <w:sz w:val="24"/>
          <w:szCs w:val="24"/>
          <w:lang w:eastAsia="fr-CA"/>
        </w:rPr>
      </w:pPr>
      <w:bookmarkStart w:id="201" w:name="_Hlk211972334"/>
      <w:bookmarkStart w:id="202" w:name="_Toc219272574"/>
      <w:bookmarkEnd w:id="197"/>
      <w:r w:rsidRPr="0092006C">
        <w:rPr>
          <w:sz w:val="24"/>
          <w:szCs w:val="24"/>
          <w:lang w:eastAsia="fr-CA"/>
        </w:rPr>
        <w:t>Aoua Carole</w:t>
      </w:r>
      <w:r w:rsidR="00D51032" w:rsidRPr="00D51032">
        <w:rPr>
          <w:bCs w:val="0"/>
          <w:sz w:val="24"/>
          <w:szCs w:val="24"/>
          <w:lang w:eastAsia="fr-CA"/>
        </w:rPr>
        <w:t xml:space="preserve"> </w:t>
      </w:r>
      <w:r w:rsidR="00D51032" w:rsidRPr="0092006C">
        <w:rPr>
          <w:sz w:val="24"/>
          <w:szCs w:val="24"/>
          <w:lang w:eastAsia="fr-CA"/>
        </w:rPr>
        <w:t>CONGO</w:t>
      </w:r>
      <w:bookmarkEnd w:id="202"/>
    </w:p>
    <w:p w14:paraId="55D8B746" w14:textId="77777777" w:rsidR="00D80693" w:rsidRPr="0092006C" w:rsidRDefault="00D80693" w:rsidP="00D51032">
      <w:pPr>
        <w:spacing w:before="120"/>
        <w:jc w:val="both"/>
        <w:rPr>
          <w:b/>
        </w:rPr>
      </w:pPr>
      <w:bookmarkStart w:id="203" w:name="_Hlk211972245"/>
      <w:bookmarkEnd w:id="201"/>
      <w:r w:rsidRPr="0092006C">
        <w:rPr>
          <w:b/>
        </w:rPr>
        <w:t>Résumé</w:t>
      </w:r>
    </w:p>
    <w:p w14:paraId="75FBEEE3" w14:textId="77777777" w:rsidR="00D80693" w:rsidRPr="0092006C" w:rsidRDefault="00D80693" w:rsidP="00D51032">
      <w:pPr>
        <w:spacing w:before="120"/>
        <w:jc w:val="both"/>
      </w:pPr>
      <w:r w:rsidRPr="0092006C">
        <w:t xml:space="preserve">La crise sécuritaire qui sévit au Burkina Faso depuis une décennie a profondément affecté tous les aspects de la société. Dans ce contexte de déplacement forcé de populations et de fermeture d’écoles, les technologies de l'information et de la communication (TIC) représentent à la fois des opportunités et des défis pour le système éducatif burkinabè, d’où la problématique de l’adoption d’outils d’enseignements et d’apprentissages numériques. L’étude a fait référence aux travaux de Holling (1973), Christensen (1997), </w:t>
      </w:r>
      <w:proofErr w:type="spellStart"/>
      <w:r w:rsidRPr="0092006C">
        <w:t>Jouët</w:t>
      </w:r>
      <w:proofErr w:type="spellEnd"/>
      <w:r w:rsidRPr="0092006C">
        <w:t xml:space="preserve"> (2000)</w:t>
      </w:r>
      <w:r>
        <w:t>,</w:t>
      </w:r>
      <w:r w:rsidRPr="0092006C">
        <w:t xml:space="preserve"> Folke et al. (2010) </w:t>
      </w:r>
      <w:r>
        <w:t>et Congo (</w:t>
      </w:r>
      <w:r w:rsidRPr="000C599D">
        <w:rPr>
          <w:bCs/>
        </w:rPr>
        <w:t>2021, 2022</w:t>
      </w:r>
      <w:r>
        <w:t xml:space="preserve">) </w:t>
      </w:r>
      <w:r w:rsidRPr="0092006C">
        <w:t>qui offrent des cadres pour comprendre comment les systèmes éducatifs peuvent s'adapter aux perturbations. À partir d'une approche méthodologique mixte et transdisciplinaire, cette étude analyse les perceptions des acteurs éducatifs, identifie les opportunités offertes par les TIC et met en lumière les défis majeurs entravant leur intégration efficace. Les résultats démontrent que, bien que perçues positivement par une majorité d'acteurs, les TIC sont confrontées à des contraintes structurelles, économiques et socioculturelles. L’article met en lumière l'importance des TIC pour l’éducation dans les zones les plus affectées par la crise sécuritaire et les moyens de résilience éducative. Il suggère qu’il est crucial de mettre en place des stratégies adaptées qui tiennent compte des réalités locales. Cela inclut le développement d'infrastructures numériques, la formation des enseignants et des élèves à l'utilisation des TIC, ainsi que la création de plateformes d'apprentissage en ligne mais aussi de contenus éducatifs pertinents et accessibles aux apprenants déplacés ou maintenus dans des zones touchées par la crise. La discussion, éclairée par les théories de l'innovation disruptive, des usages sociaux et de la résilience systémique, ouvre des pistes pour une transformation inclusive, durable et localisée de l’éducation en période de crise.</w:t>
      </w:r>
    </w:p>
    <w:p w14:paraId="5D088156" w14:textId="77777777" w:rsidR="00D80693" w:rsidRPr="0065773E" w:rsidRDefault="00D80693" w:rsidP="00D51032">
      <w:pPr>
        <w:spacing w:before="120"/>
        <w:jc w:val="both"/>
      </w:pPr>
      <w:r w:rsidRPr="0092006C">
        <w:rPr>
          <w:b/>
        </w:rPr>
        <w:t>Mots clés</w:t>
      </w:r>
      <w:r w:rsidRPr="0092006C">
        <w:t xml:space="preserve"> : TIC, éducation, innovation, crise sécuritaire, résilience, </w:t>
      </w:r>
      <w:r w:rsidRPr="0065773E">
        <w:t>innovation pédagogique, Burkina Faso</w:t>
      </w:r>
    </w:p>
    <w:p w14:paraId="2A569849" w14:textId="77777777" w:rsidR="00D80693" w:rsidRPr="0065773E" w:rsidRDefault="00D80693" w:rsidP="00D51032">
      <w:pPr>
        <w:tabs>
          <w:tab w:val="left" w:pos="1108"/>
        </w:tabs>
        <w:spacing w:before="120"/>
        <w:rPr>
          <w:b/>
          <w:bCs/>
          <w:sz w:val="24"/>
          <w:szCs w:val="24"/>
          <w:lang w:val="en-US" w:eastAsia="fr-CA"/>
        </w:rPr>
      </w:pPr>
      <w:r w:rsidRPr="0065773E">
        <w:rPr>
          <w:b/>
          <w:bCs/>
          <w:sz w:val="24"/>
          <w:szCs w:val="24"/>
          <w:lang w:val="en-US" w:eastAsia="fr-CA"/>
        </w:rPr>
        <w:t>Abstract</w:t>
      </w:r>
    </w:p>
    <w:p w14:paraId="571CEC67" w14:textId="77777777" w:rsidR="00D80693" w:rsidRPr="0065773E" w:rsidRDefault="00D80693" w:rsidP="00D51032">
      <w:pPr>
        <w:tabs>
          <w:tab w:val="left" w:pos="1108"/>
        </w:tabs>
        <w:spacing w:before="120"/>
        <w:jc w:val="both"/>
        <w:rPr>
          <w:bCs/>
          <w:sz w:val="24"/>
          <w:szCs w:val="24"/>
          <w:lang w:val="en-US" w:eastAsia="fr-CA"/>
        </w:rPr>
      </w:pPr>
      <w:r w:rsidRPr="0065773E">
        <w:rPr>
          <w:bCs/>
          <w:sz w:val="24"/>
          <w:szCs w:val="24"/>
          <w:lang w:val="en-US" w:eastAsia="fr-CA"/>
        </w:rPr>
        <w:t xml:space="preserve">The security crisis that has been ravaging Burkina Faso for a decade has profoundly affected all aspects of society. Against this backdrop of forced displacement of populations and school closures, information and communication technologies (ICT) represent both opportunities and challenges for the Burkinabe education system, hence the issue of adopting digital teaching and learning tools. The study referred to the work of Holling (1973), Christensen (1997), </w:t>
      </w:r>
      <w:proofErr w:type="spellStart"/>
      <w:r w:rsidRPr="0065773E">
        <w:rPr>
          <w:bCs/>
          <w:sz w:val="24"/>
          <w:szCs w:val="24"/>
          <w:lang w:val="en-US" w:eastAsia="fr-CA"/>
        </w:rPr>
        <w:t>Jouët</w:t>
      </w:r>
      <w:proofErr w:type="spellEnd"/>
      <w:r w:rsidRPr="0065773E">
        <w:rPr>
          <w:bCs/>
          <w:sz w:val="24"/>
          <w:szCs w:val="24"/>
          <w:lang w:val="en-US" w:eastAsia="fr-CA"/>
        </w:rPr>
        <w:t xml:space="preserve"> (2000), Folke et al. (2010) and Congo (2021, 2022), which provide frameworks for understanding how education systems can adapt to disruption. Using a mixed and transdisciplinary methodological approach, this study analyses the perceptions of educational stakeholders, identifies the opportunities offered by ICTs and highlights the major challenges hindering their effective integration. The results show that, although perceived positively by </w:t>
      </w:r>
      <w:proofErr w:type="gramStart"/>
      <w:r w:rsidRPr="0065773E">
        <w:rPr>
          <w:bCs/>
          <w:sz w:val="24"/>
          <w:szCs w:val="24"/>
          <w:lang w:val="en-US" w:eastAsia="fr-CA"/>
        </w:rPr>
        <w:t>a majority of</w:t>
      </w:r>
      <w:proofErr w:type="gramEnd"/>
      <w:r w:rsidRPr="0065773E">
        <w:rPr>
          <w:bCs/>
          <w:sz w:val="24"/>
          <w:szCs w:val="24"/>
          <w:lang w:val="en-US" w:eastAsia="fr-CA"/>
        </w:rPr>
        <w:t xml:space="preserve"> stakeholders, ICTs face structural, economic and socio-cultural constraints. The article highlights the importance of ICT for education in areas most affected by the security crisis and the means of educational resilience. It suggests that it is crucial to put in place appropriate strategies that take local realities into account. This includes developing digital infrastructure, training teachers and students in the use of ICT, and creating online learning platforms as well as relevant educational content that is accessible to learners who have been displaced or remain in crisis-affected areas. The discussion, informed by theories of disruptive innovation, social uses and systemic resilience, </w:t>
      </w:r>
      <w:proofErr w:type="gramStart"/>
      <w:r w:rsidRPr="0065773E">
        <w:rPr>
          <w:bCs/>
          <w:sz w:val="24"/>
          <w:szCs w:val="24"/>
          <w:lang w:val="en-US" w:eastAsia="fr-CA"/>
        </w:rPr>
        <w:t>opens up</w:t>
      </w:r>
      <w:proofErr w:type="gramEnd"/>
      <w:r w:rsidRPr="0065773E">
        <w:rPr>
          <w:bCs/>
          <w:sz w:val="24"/>
          <w:szCs w:val="24"/>
          <w:lang w:val="en-US" w:eastAsia="fr-CA"/>
        </w:rPr>
        <w:t xml:space="preserve"> avenues for inclusive, sustainable and </w:t>
      </w:r>
      <w:proofErr w:type="spellStart"/>
      <w:r w:rsidRPr="0065773E">
        <w:rPr>
          <w:bCs/>
          <w:sz w:val="24"/>
          <w:szCs w:val="24"/>
          <w:lang w:val="en-US" w:eastAsia="fr-CA"/>
        </w:rPr>
        <w:t>localised</w:t>
      </w:r>
      <w:proofErr w:type="spellEnd"/>
      <w:r w:rsidRPr="0065773E">
        <w:rPr>
          <w:bCs/>
          <w:sz w:val="24"/>
          <w:szCs w:val="24"/>
          <w:lang w:val="en-US" w:eastAsia="fr-CA"/>
        </w:rPr>
        <w:t xml:space="preserve"> transformation of education in times of crisis.</w:t>
      </w:r>
    </w:p>
    <w:p w14:paraId="0BA61AFD" w14:textId="77777777" w:rsidR="00D80693" w:rsidRPr="0065773E" w:rsidRDefault="00D80693" w:rsidP="00D51032">
      <w:pPr>
        <w:tabs>
          <w:tab w:val="left" w:pos="1108"/>
        </w:tabs>
        <w:spacing w:before="120"/>
        <w:rPr>
          <w:bCs/>
          <w:sz w:val="24"/>
          <w:szCs w:val="24"/>
          <w:lang w:val="en-US" w:eastAsia="fr-CA"/>
        </w:rPr>
      </w:pPr>
      <w:r w:rsidRPr="0065773E">
        <w:rPr>
          <w:b/>
          <w:bCs/>
          <w:sz w:val="24"/>
          <w:szCs w:val="24"/>
          <w:lang w:val="en-US" w:eastAsia="fr-CA"/>
        </w:rPr>
        <w:t>Keywords:</w:t>
      </w:r>
      <w:r w:rsidRPr="0065773E">
        <w:rPr>
          <w:bCs/>
          <w:sz w:val="24"/>
          <w:szCs w:val="24"/>
          <w:lang w:val="en-US" w:eastAsia="fr-CA"/>
        </w:rPr>
        <w:t xml:space="preserve"> ICT, education, innovation, security crisis, resilience, pedagogical innovation, Burkina Faso.</w:t>
      </w:r>
    </w:p>
    <w:p w14:paraId="7E662124" w14:textId="77777777" w:rsidR="00D80693" w:rsidRPr="0065773E" w:rsidRDefault="00D80693" w:rsidP="00D51032">
      <w:pPr>
        <w:tabs>
          <w:tab w:val="left" w:pos="1108"/>
        </w:tabs>
        <w:spacing w:before="120"/>
        <w:rPr>
          <w:bCs/>
          <w:sz w:val="24"/>
          <w:szCs w:val="24"/>
          <w:lang w:val="en-US" w:eastAsia="fr-CA"/>
        </w:rPr>
      </w:pPr>
    </w:p>
    <w:bookmarkEnd w:id="198"/>
    <w:bookmarkEnd w:id="203"/>
    <w:p w14:paraId="5EE9E435" w14:textId="77777777" w:rsidR="00D51032" w:rsidRPr="001928FA" w:rsidRDefault="00D51032">
      <w:pPr>
        <w:rPr>
          <w:b/>
          <w:bCs/>
          <w:lang w:val="en-US"/>
        </w:rPr>
      </w:pPr>
      <w:r w:rsidRPr="001928FA">
        <w:rPr>
          <w:b/>
          <w:bCs/>
          <w:lang w:val="en-US"/>
        </w:rPr>
        <w:br w:type="page"/>
      </w:r>
    </w:p>
    <w:p w14:paraId="2F125BFD" w14:textId="4B322CB4" w:rsidR="00D80693" w:rsidRPr="00D51032" w:rsidRDefault="00D80693" w:rsidP="00D51032">
      <w:pPr>
        <w:spacing w:before="120"/>
        <w:rPr>
          <w:b/>
          <w:bCs/>
          <w:sz w:val="28"/>
          <w:szCs w:val="28"/>
        </w:rPr>
      </w:pPr>
      <w:r w:rsidRPr="00D51032">
        <w:rPr>
          <w:b/>
          <w:bCs/>
          <w:sz w:val="28"/>
          <w:szCs w:val="28"/>
        </w:rPr>
        <w:t>Introduction</w:t>
      </w:r>
    </w:p>
    <w:p w14:paraId="6E5FC0C4" w14:textId="77777777" w:rsidR="00D80693" w:rsidRPr="00D51032" w:rsidRDefault="00D80693" w:rsidP="00D51032">
      <w:pPr>
        <w:spacing w:before="120"/>
        <w:jc w:val="both"/>
        <w:rPr>
          <w:bCs/>
          <w:sz w:val="24"/>
          <w:szCs w:val="24"/>
        </w:rPr>
      </w:pPr>
      <w:r w:rsidRPr="00D51032">
        <w:rPr>
          <w:bCs/>
          <w:sz w:val="24"/>
          <w:szCs w:val="24"/>
        </w:rPr>
        <w:t>Depuis une décennie, le Burkina Faso, à l’instar de plusieurs pays de la région sahélienne, traverse une crise sécuritaire d’une ampleur sans précédent. Marquée par des attaques terroristes récurrentes, des déplacements massifs de populations, la dégradation des infrastructures et une instabilité socio-économique persistante, cette crise a profondément bouleversé les équilibres sociaux, économiques et éducatifs du pays. Le secteur de l’éducation en subit les effets les plus dévastateurs : des milliers d’écoles ont fermé, les calendriers scolaires ont été désorganisés, le nombre d’enseignants en activité a considérablement diminué et la qualité des apprentissages s’est fortement dégradée. Au 31 mars 2024, on dénombrait 5 319 établissements éducatifs fermés et 440 945 élèves déplacés internes, chiffres qui traduisent l’ampleur d’une situation privant des centaines de milliers d’enfants de leur droit à une éducation formelle et équitable. Même dans les zones où certaines écoles ont rouvert après sécurisation, les conditions d’enseignement demeurent précaires : pénurie d’enseignants qualifiés, manque de ressources pédagogiques, classes surchargées dans les localités d’accueil et insécurité persistante. Malgré les efforts des Forces de défense et de sécurité (FDS) et des Volontaires pour la défense de la patrie (VDP) pour rétablir la normalité, la fragilité du système éducatif burkinabè demeure préoccupante.</w:t>
      </w:r>
    </w:p>
    <w:p w14:paraId="6A730075" w14:textId="77777777" w:rsidR="00D80693" w:rsidRPr="00D51032" w:rsidRDefault="00D80693" w:rsidP="00D51032">
      <w:pPr>
        <w:spacing w:before="120"/>
        <w:jc w:val="both"/>
        <w:rPr>
          <w:bCs/>
          <w:sz w:val="24"/>
          <w:szCs w:val="24"/>
        </w:rPr>
      </w:pPr>
      <w:r w:rsidRPr="00D51032">
        <w:rPr>
          <w:bCs/>
          <w:sz w:val="24"/>
          <w:szCs w:val="24"/>
        </w:rPr>
        <w:t>Cette situation met en lumière une problématique centrale : comment assurer la continuité et la qualité de l’éducation dans un contexte marqué par l’insécurité et les déplacements forcés ? Dans un environnement où l’accès physique à l’école est souvent compromis, il devient impératif d’identifier des alternatives éducatives capables de garantir le droit à l’apprentissage pour tous. Les technologies de l’information et de la communication (TIC) s’imposent alors comme des leviers prometteurs d’innovation, de résilience et d’inclusion. Leur potentiel dépasse la simple numérisation des pratiques pédagogiques : elles offrent des solutions flexibles, accessibles et contextualisées, permettant de maintenir les apprentissages, de soutenir les enseignants, d’accompagner les élèves déplacés et de renforcer la gouvernance éducative dans des environnements fragiles. Cependant, l’intégration des TIC dans un tel contexte soulève plusieurs défis structurels et humains : l’accès inégal aux infrastructures numériques, la faiblesse des compétences techno-pédagogiques, les disparités géographiques et le coût élevé des équipements limitent encore leur adoption à grande échelle. Ces contraintes exigent une réflexion stratégique et contextualisée sur la manière d’articuler innovation technologique et équité éducative dans les politiques publiques.</w:t>
      </w:r>
      <w:r w:rsidRPr="00D51032">
        <w:rPr>
          <w:kern w:val="2"/>
          <w:sz w:val="24"/>
          <w:szCs w:val="24"/>
          <w14:ligatures w14:val="standardContextual"/>
        </w:rPr>
        <w:t xml:space="preserve"> </w:t>
      </w:r>
      <w:r w:rsidRPr="00D51032">
        <w:rPr>
          <w:bCs/>
          <w:sz w:val="24"/>
          <w:szCs w:val="24"/>
        </w:rPr>
        <w:t>Cette réflexion s’inscrit dans le prolongement de travaux antérieurs portant sur l’usage des technologies éducatives en situation de rupture scolaire, notamment lors de la pandémie de Covid-19 au Burkina Faso (Congo, 2020), qui ont mis en évidence le rôle des TIC comme outils de continuité pédagogique dans des contextes de forte vulnérabilité.</w:t>
      </w:r>
    </w:p>
    <w:p w14:paraId="58E58003" w14:textId="77777777" w:rsidR="00D80693" w:rsidRPr="00D51032" w:rsidRDefault="00D80693" w:rsidP="00D51032">
      <w:pPr>
        <w:spacing w:before="120"/>
        <w:jc w:val="both"/>
        <w:rPr>
          <w:bCs/>
          <w:sz w:val="24"/>
          <w:szCs w:val="24"/>
        </w:rPr>
      </w:pPr>
      <w:r w:rsidRPr="00D51032">
        <w:rPr>
          <w:bCs/>
          <w:sz w:val="24"/>
          <w:szCs w:val="24"/>
        </w:rPr>
        <w:t xml:space="preserve">La présente recherche s’inscrit dans cette perspective. Elle vise à analyser le rôle des TIC dans la transformation du système éducatif burkinabè en période de crise sécuritaire, à identifier les opportunités qu’elles offrent pour pallier les perturbations éducatives, à examiner les obstacles liés à leur intégration, et à proposer des pistes concrètes pour renforcer leur contribution à la résilience éducative. L’hypothèse directrice est que les TIC, si elles sont intégrées de manière inclusive et durable, peuvent devenir de véritables outils d’adaptation et d’innovation pédagogique, favorisant la continuité des apprentissages dans les zones à forts défis sécuritaires. Elle s’appuie sur le cadre de la recherche transformative développé par Wittmayer et </w:t>
      </w:r>
      <w:proofErr w:type="spellStart"/>
      <w:r w:rsidRPr="00D51032">
        <w:rPr>
          <w:bCs/>
          <w:sz w:val="24"/>
          <w:szCs w:val="24"/>
        </w:rPr>
        <w:t>Schäpke</w:t>
      </w:r>
      <w:proofErr w:type="spellEnd"/>
      <w:r w:rsidRPr="00D51032">
        <w:rPr>
          <w:bCs/>
          <w:sz w:val="24"/>
          <w:szCs w:val="24"/>
        </w:rPr>
        <w:t xml:space="preserve"> (2014), L’approche adoptée est mixte. </w:t>
      </w:r>
      <w:r w:rsidRPr="00D51032">
        <w:rPr>
          <w:kern w:val="2"/>
          <w:sz w:val="24"/>
          <w:szCs w:val="24"/>
          <w14:ligatures w14:val="standardContextual"/>
        </w:rPr>
        <w:t xml:space="preserve">L'intégration des technologies de l'information et de la communication (TIC) dans l'éducation, en particulier dans des contextes de crises sécuritaires, a donné naissance à plusieurs théories mettant en lumière leur potentiel de transformation. L'innovation disruptive, proposée par Christensen (1997), illustre comment les TIC peuvent redéfinir les systèmes éducatifs en offrant des solutions simples, accessibles et peu coûteuses, adaptées aux environnements instables. Ces technologies permettent de contourner des obstacles structures, répondant aux besoins des populations marginalisées (Christensen, Horn, &amp; Johnson, 2011). La théorie des usages sociaux des technologies, développée par </w:t>
      </w:r>
      <w:proofErr w:type="spellStart"/>
      <w:r w:rsidRPr="00D51032">
        <w:rPr>
          <w:kern w:val="2"/>
          <w:sz w:val="24"/>
          <w:szCs w:val="24"/>
          <w14:ligatures w14:val="standardContextual"/>
        </w:rPr>
        <w:t>Jouët</w:t>
      </w:r>
      <w:proofErr w:type="spellEnd"/>
      <w:r w:rsidRPr="00D51032">
        <w:rPr>
          <w:kern w:val="2"/>
          <w:sz w:val="24"/>
          <w:szCs w:val="24"/>
          <w14:ligatures w14:val="standardContextual"/>
        </w:rPr>
        <w:t xml:space="preserve"> (2000), analyse l'appropriation des TIC par les acteurs éducatifs en fonction de leurs besoins, contraintes et contextes socioculturels. Cette approche met en lumière l'importance des dynamiques locales, où l’adoption des TIC dépend non seulement de l'accès aux infrastructures, mais aussi des pratiques sociales et culturelles. De plus, la résilience systémique, conceptualisée par Holling (1973) et enrichie par Folke et al. (2010), offre un cadre pour comprendre comment les systèmes éducatifs peuvent s'adapter aux perturbations. Dans les crises sécuritaires, les TIC peuvent renforcer cette résilience, en offrant des solutions d'apprentissage flexibles, comme l'enseignement en ligne et les plateformes sécurisées. Enfin, Kozma (2005) a démontré que les TIC ne modernisent pas seulement les pratiques pédagogiques, mais favorisent également des environnements d'apprentissage plus équitables. Des études récentes (UNESCO, 2020 ; Trucano, 2021) confirment que les TIC réduisent les inégalités éducatives, en facilitant l’accès à des contenus diversifiés et personnalisés dans des contextes de crise. Ces théories convergent pour souligner l’importance d’une intégration stratégique des TIC dans les systèmes éducatifs des pays du Sahel. Elles montrent que l’adoption des TIC dépasse le simple déploiement technique et nécessite une transformation systémique qui inclut résilience, accessibilité et inclusion sociale. Notre choix s’est porté sur la théorie de la rech</w:t>
      </w:r>
      <w:r w:rsidRPr="00D51032">
        <w:rPr>
          <w:bCs/>
          <w:sz w:val="24"/>
          <w:szCs w:val="24"/>
        </w:rPr>
        <w:t xml:space="preserve">erche transformative développée par Wittmayer et </w:t>
      </w:r>
      <w:proofErr w:type="spellStart"/>
      <w:r w:rsidRPr="00D51032">
        <w:rPr>
          <w:bCs/>
          <w:sz w:val="24"/>
          <w:szCs w:val="24"/>
        </w:rPr>
        <w:t>Schäpke</w:t>
      </w:r>
      <w:proofErr w:type="spellEnd"/>
      <w:r w:rsidRPr="00D51032">
        <w:rPr>
          <w:bCs/>
          <w:sz w:val="24"/>
          <w:szCs w:val="24"/>
        </w:rPr>
        <w:t xml:space="preserve"> (2014), selon </w:t>
      </w:r>
      <w:proofErr w:type="spellStart"/>
      <w:r w:rsidRPr="00D51032">
        <w:rPr>
          <w:bCs/>
          <w:sz w:val="24"/>
          <w:szCs w:val="24"/>
        </w:rPr>
        <w:t>laquel</w:t>
      </w:r>
      <w:proofErr w:type="spellEnd"/>
      <w:r w:rsidRPr="00D51032">
        <w:rPr>
          <w:bCs/>
          <w:sz w:val="24"/>
          <w:szCs w:val="24"/>
        </w:rPr>
        <w:t xml:space="preserve"> la recherche ne se limite pas à observer ou à expliquer les phénomènes, mais vise à accompagner et catalyser les transformations sociétales. Dans une perspective africaine de didactique contextualisée, plusieurs travaux ont montré que l’efficacité des dispositifs éducatifs dépend étroitement de leur ancrage linguistique, culturel et social (Congo, Youl &amp; Ouali, 2020) ; Congo, (2021, 2022). Cette approche permet de penser l’intégration des TIC non comme une simple modernisation technique, mais comme une médiation pédagogique située. Dans cette perspective, l’éducation est envisagée non seulement comme un champ d’analyse, mais comme un espace d’action où l’innovation technologique peut initier des processus de résilience et de reconstruction sociale.  </w:t>
      </w:r>
    </w:p>
    <w:p w14:paraId="776CE86D" w14:textId="77777777" w:rsidR="00D80693" w:rsidRPr="006C0EF8" w:rsidRDefault="00D80693" w:rsidP="00D51032">
      <w:pPr>
        <w:pStyle w:val="Paragraphedeliste"/>
        <w:widowControl/>
        <w:numPr>
          <w:ilvl w:val="1"/>
          <w:numId w:val="163"/>
        </w:numPr>
        <w:autoSpaceDE/>
        <w:autoSpaceDN/>
        <w:contextualSpacing/>
        <w:rPr>
          <w:b/>
          <w:bCs/>
          <w:sz w:val="28"/>
          <w:szCs w:val="28"/>
          <w:lang w:eastAsia="fr-CA"/>
        </w:rPr>
      </w:pPr>
      <w:r w:rsidRPr="006C0EF8">
        <w:rPr>
          <w:b/>
          <w:bCs/>
          <w:sz w:val="28"/>
          <w:szCs w:val="28"/>
          <w:lang w:eastAsia="fr-CA"/>
        </w:rPr>
        <w:t>Méthodologie</w:t>
      </w:r>
    </w:p>
    <w:p w14:paraId="281D88AC"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 xml:space="preserve">Cette étude s’inscrit dans un </w:t>
      </w:r>
      <w:r w:rsidRPr="00D51032">
        <w:rPr>
          <w:bCs/>
          <w:kern w:val="2"/>
          <w:sz w:val="24"/>
          <w:szCs w:val="24"/>
          <w:lang w:val="x-none"/>
          <w14:ligatures w14:val="standardContextual"/>
        </w:rPr>
        <w:t>paradigme compréhensif et transdisciplinaire</w:t>
      </w:r>
      <w:r w:rsidRPr="00D51032">
        <w:rPr>
          <w:kern w:val="2"/>
          <w:sz w:val="24"/>
          <w:szCs w:val="24"/>
          <w:lang w:val="x-none"/>
          <w14:ligatures w14:val="standardContextual"/>
        </w:rPr>
        <w:t xml:space="preserve">, mobilisant les apports des sciences de l’éducation, de la didactique, des sciences du langage et des études sur les technologies éducatives en contexte de crise. Ce choix s’explique par la complexité de l’objet étudié, qui implique à la fois des dimensions pédagogiques, technologiques, sociolinguistiques et sécuritaires. Conformément à l’approche de la </w:t>
      </w:r>
      <w:r w:rsidRPr="00D51032">
        <w:rPr>
          <w:bCs/>
          <w:kern w:val="2"/>
          <w:sz w:val="24"/>
          <w:szCs w:val="24"/>
          <w:lang w:val="x-none"/>
          <w14:ligatures w14:val="standardContextual"/>
        </w:rPr>
        <w:t>recherche transformative</w:t>
      </w:r>
      <w:r w:rsidRPr="00D51032">
        <w:rPr>
          <w:kern w:val="2"/>
          <w:sz w:val="24"/>
          <w:szCs w:val="24"/>
          <w:lang w:val="x-none"/>
          <w14:ligatures w14:val="standardContextual"/>
        </w:rPr>
        <w:t xml:space="preserve"> (Wittmayer &amp; </w:t>
      </w:r>
      <w:proofErr w:type="spellStart"/>
      <w:r w:rsidRPr="00D51032">
        <w:rPr>
          <w:kern w:val="2"/>
          <w:sz w:val="24"/>
          <w:szCs w:val="24"/>
          <w:lang w:val="x-none"/>
          <w14:ligatures w14:val="standardContextual"/>
        </w:rPr>
        <w:t>Schäpke</w:t>
      </w:r>
      <w:proofErr w:type="spellEnd"/>
      <w:r w:rsidRPr="00D51032">
        <w:rPr>
          <w:kern w:val="2"/>
          <w:sz w:val="24"/>
          <w:szCs w:val="24"/>
          <w:lang w:val="x-none"/>
          <w14:ligatures w14:val="standardContextual"/>
        </w:rPr>
        <w:t>, 2014), la recherche ne vise pas uniquement à décrire les usages des TIC, mais à analyser leur potentiel de transformation des pratiques éducatives dans des contextes de forte vulnérabilité.</w:t>
      </w:r>
    </w:p>
    <w:p w14:paraId="1010F7B1" w14:textId="77777777" w:rsidR="00D80693" w:rsidRPr="00D51032" w:rsidRDefault="00D80693" w:rsidP="00D51032">
      <w:pPr>
        <w:tabs>
          <w:tab w:val="num" w:pos="720"/>
        </w:tabs>
        <w:spacing w:before="120"/>
        <w:jc w:val="both"/>
        <w:rPr>
          <w:kern w:val="2"/>
          <w:sz w:val="24"/>
          <w:szCs w:val="24"/>
          <w:lang w:val="x-none"/>
          <w14:ligatures w14:val="standardContextual"/>
        </w:rPr>
      </w:pPr>
      <w:r w:rsidRPr="00D51032">
        <w:rPr>
          <w:kern w:val="2"/>
          <w:sz w:val="24"/>
          <w:szCs w:val="24"/>
          <w:lang w:val="x-none"/>
          <w14:ligatures w14:val="standardContextual"/>
        </w:rPr>
        <w:t xml:space="preserve">Sur le plan méthodologique, l’étude </w:t>
      </w:r>
      <w:r w:rsidRPr="00D51032">
        <w:rPr>
          <w:kern w:val="2"/>
          <w:sz w:val="24"/>
          <w:szCs w:val="24"/>
          <w14:ligatures w14:val="standardContextual"/>
        </w:rPr>
        <w:t>est mixte</w:t>
      </w:r>
      <w:r w:rsidRPr="00D51032">
        <w:rPr>
          <w:kern w:val="2"/>
          <w:sz w:val="24"/>
          <w:szCs w:val="24"/>
          <w:lang w:val="x-none"/>
          <w14:ligatures w14:val="standardContextual"/>
        </w:rPr>
        <w:t>, permettant de croiser les perceptions, les pratiques et les représentations des acteurs éducatifs avec des données descriptives issues d’enquêtes par questionnaire. Ce choix s’inscrit dans la perspective de la triangulation méthodologique, recommandée pour renforcer la validité interne des recherches en sciences sociales (Creswell, 2014).</w:t>
      </w:r>
      <w:r w:rsidRPr="00D51032">
        <w:rPr>
          <w:kern w:val="2"/>
          <w:sz w:val="24"/>
          <w:szCs w:val="24"/>
          <w14:ligatures w14:val="standardContextual"/>
        </w:rPr>
        <w:t xml:space="preserve"> </w:t>
      </w:r>
      <w:r w:rsidRPr="00D51032">
        <w:rPr>
          <w:kern w:val="2"/>
          <w:sz w:val="24"/>
          <w:szCs w:val="24"/>
          <w:lang w:val="x-none"/>
          <w14:ligatures w14:val="standardContextual"/>
        </w:rPr>
        <w:t xml:space="preserve">La population cible est constituée des </w:t>
      </w:r>
      <w:r w:rsidRPr="00D51032">
        <w:rPr>
          <w:bCs/>
          <w:kern w:val="2"/>
          <w:sz w:val="24"/>
          <w:szCs w:val="24"/>
          <w:lang w:val="x-none"/>
          <w14:ligatures w14:val="standardContextual"/>
        </w:rPr>
        <w:t>principaux acteurs du système éducatif burkinabè</w:t>
      </w:r>
      <w:r w:rsidRPr="00D51032">
        <w:rPr>
          <w:kern w:val="2"/>
          <w:sz w:val="24"/>
          <w:szCs w:val="24"/>
          <w:lang w:val="x-none"/>
          <w14:ligatures w14:val="standardContextual"/>
        </w:rPr>
        <w:t xml:space="preserve"> évoluant dans des zones affectées par la crise sécuritaire, notamment :</w:t>
      </w:r>
      <w:r w:rsidRPr="00D51032">
        <w:rPr>
          <w:kern w:val="2"/>
          <w:sz w:val="24"/>
          <w:szCs w:val="24"/>
          <w14:ligatures w14:val="standardContextual"/>
        </w:rPr>
        <w:t xml:space="preserve"> </w:t>
      </w:r>
      <w:r w:rsidRPr="00D51032">
        <w:rPr>
          <w:kern w:val="2"/>
          <w:sz w:val="24"/>
          <w:szCs w:val="24"/>
          <w:lang w:val="x-none"/>
          <w14:ligatures w14:val="standardContextual"/>
        </w:rPr>
        <w:t>les enseignants du primaire, du secondaire et du supérieur,</w:t>
      </w:r>
      <w:r w:rsidRPr="00D51032">
        <w:rPr>
          <w:kern w:val="2"/>
          <w:sz w:val="24"/>
          <w:szCs w:val="24"/>
          <w14:ligatures w14:val="standardContextual"/>
        </w:rPr>
        <w:t xml:space="preserve"> </w:t>
      </w:r>
      <w:r w:rsidRPr="00D51032">
        <w:rPr>
          <w:kern w:val="2"/>
          <w:sz w:val="24"/>
          <w:szCs w:val="24"/>
          <w:lang w:val="x-none"/>
          <w14:ligatures w14:val="standardContextual"/>
        </w:rPr>
        <w:t>les apprenants (élèves et étudiants),</w:t>
      </w:r>
      <w:r w:rsidRPr="00D51032">
        <w:rPr>
          <w:kern w:val="2"/>
          <w:sz w:val="24"/>
          <w:szCs w:val="24"/>
          <w14:ligatures w14:val="standardContextual"/>
        </w:rPr>
        <w:t xml:space="preserve"> </w:t>
      </w:r>
      <w:r w:rsidRPr="00D51032">
        <w:rPr>
          <w:kern w:val="2"/>
          <w:sz w:val="24"/>
          <w:szCs w:val="24"/>
          <w:lang w:val="x-none"/>
          <w14:ligatures w14:val="standardContextual"/>
        </w:rPr>
        <w:t>les parents d’élèves,</w:t>
      </w:r>
      <w:r w:rsidRPr="00D51032">
        <w:rPr>
          <w:kern w:val="2"/>
          <w:sz w:val="24"/>
          <w:szCs w:val="24"/>
          <w14:ligatures w14:val="standardContextual"/>
        </w:rPr>
        <w:t xml:space="preserve"> </w:t>
      </w:r>
      <w:r w:rsidRPr="00D51032">
        <w:rPr>
          <w:kern w:val="2"/>
          <w:sz w:val="24"/>
          <w:szCs w:val="24"/>
          <w:lang w:val="x-none"/>
          <w14:ligatures w14:val="standardContextual"/>
        </w:rPr>
        <w:t>les professionnels des technologies de l’information et de la communication,</w:t>
      </w:r>
      <w:r w:rsidRPr="00D51032">
        <w:rPr>
          <w:kern w:val="2"/>
          <w:sz w:val="24"/>
          <w:szCs w:val="24"/>
          <w14:ligatures w14:val="standardContextual"/>
        </w:rPr>
        <w:t xml:space="preserve"> </w:t>
      </w:r>
      <w:r w:rsidRPr="00D51032">
        <w:rPr>
          <w:kern w:val="2"/>
          <w:sz w:val="24"/>
          <w:szCs w:val="24"/>
          <w:lang w:val="x-none"/>
          <w14:ligatures w14:val="standardContextual"/>
        </w:rPr>
        <w:t>ainsi que des décideurs éducatifs, chercheurs et responsables d’organisations non gouvernementales.</w:t>
      </w:r>
      <w:r w:rsidRPr="00D51032">
        <w:rPr>
          <w:kern w:val="2"/>
          <w:sz w:val="24"/>
          <w:szCs w:val="24"/>
          <w14:ligatures w14:val="standardContextual"/>
        </w:rPr>
        <w:t xml:space="preserve"> </w:t>
      </w:r>
      <w:r w:rsidRPr="00D51032">
        <w:rPr>
          <w:kern w:val="2"/>
          <w:sz w:val="24"/>
          <w:szCs w:val="24"/>
          <w:lang w:val="x-none"/>
          <w14:ligatures w14:val="standardContextual"/>
        </w:rPr>
        <w:t xml:space="preserve">Le terrain de recherche couvre principalement </w:t>
      </w:r>
      <w:bookmarkStart w:id="204" w:name="_Hlk217462353"/>
      <w:r w:rsidRPr="00D51032">
        <w:rPr>
          <w:kern w:val="2"/>
          <w:sz w:val="24"/>
          <w:szCs w:val="24"/>
          <w:lang w:val="x-none"/>
          <w14:ligatures w14:val="standardContextual"/>
        </w:rPr>
        <w:t xml:space="preserve">les </w:t>
      </w:r>
      <w:r w:rsidRPr="00D51032">
        <w:rPr>
          <w:bCs/>
          <w:kern w:val="2"/>
          <w:sz w:val="24"/>
          <w:szCs w:val="24"/>
          <w:lang w:val="x-none"/>
          <w14:ligatures w14:val="standardContextual"/>
        </w:rPr>
        <w:t xml:space="preserve">régions du </w:t>
      </w:r>
      <w:proofErr w:type="spellStart"/>
      <w:r w:rsidRPr="00D51032">
        <w:rPr>
          <w:bCs/>
          <w:kern w:val="2"/>
          <w:sz w:val="24"/>
          <w:szCs w:val="24"/>
          <w14:ligatures w14:val="standardContextual"/>
        </w:rPr>
        <w:t>Liptako</w:t>
      </w:r>
      <w:proofErr w:type="spellEnd"/>
      <w:r w:rsidRPr="00D51032">
        <w:rPr>
          <w:bCs/>
          <w:kern w:val="2"/>
          <w:sz w:val="24"/>
          <w:szCs w:val="24"/>
          <w:lang w:val="x-none"/>
          <w14:ligatures w14:val="standardContextual"/>
        </w:rPr>
        <w:t xml:space="preserve">, </w:t>
      </w:r>
      <w:r w:rsidRPr="00D51032">
        <w:rPr>
          <w:bCs/>
          <w:kern w:val="2"/>
          <w:sz w:val="24"/>
          <w:szCs w:val="24"/>
          <w14:ligatures w14:val="standardContextual"/>
        </w:rPr>
        <w:t xml:space="preserve">du </w:t>
      </w:r>
      <w:proofErr w:type="spellStart"/>
      <w:r w:rsidRPr="00D51032">
        <w:rPr>
          <w:bCs/>
          <w:kern w:val="2"/>
          <w:sz w:val="24"/>
          <w:szCs w:val="24"/>
          <w14:ligatures w14:val="standardContextual"/>
        </w:rPr>
        <w:t>Goulmou</w:t>
      </w:r>
      <w:proofErr w:type="spellEnd"/>
      <w:r w:rsidRPr="00D51032">
        <w:rPr>
          <w:bCs/>
          <w:kern w:val="2"/>
          <w:sz w:val="24"/>
          <w:szCs w:val="24"/>
          <w:lang w:val="x-none"/>
          <w14:ligatures w14:val="standardContextual"/>
        </w:rPr>
        <w:t xml:space="preserve">, de </w:t>
      </w:r>
      <w:proofErr w:type="spellStart"/>
      <w:r w:rsidRPr="00D51032">
        <w:rPr>
          <w:bCs/>
          <w:kern w:val="2"/>
          <w:sz w:val="24"/>
          <w:szCs w:val="24"/>
          <w14:ligatures w14:val="standardContextual"/>
        </w:rPr>
        <w:t>Bankui</w:t>
      </w:r>
      <w:proofErr w:type="spellEnd"/>
      <w:r w:rsidRPr="00D51032">
        <w:rPr>
          <w:bCs/>
          <w:kern w:val="2"/>
          <w:sz w:val="24"/>
          <w:szCs w:val="24"/>
          <w:lang w:val="x-none"/>
          <w14:ligatures w14:val="standardContextual"/>
        </w:rPr>
        <w:t xml:space="preserve"> et du </w:t>
      </w:r>
      <w:r w:rsidRPr="00D51032">
        <w:rPr>
          <w:bCs/>
          <w:kern w:val="2"/>
          <w:sz w:val="24"/>
          <w:szCs w:val="24"/>
          <w14:ligatures w14:val="standardContextual"/>
        </w:rPr>
        <w:t>Kadiogo</w:t>
      </w:r>
      <w:bookmarkEnd w:id="204"/>
      <w:r w:rsidRPr="00D51032">
        <w:rPr>
          <w:bCs/>
          <w:kern w:val="2"/>
          <w:sz w:val="24"/>
          <w:szCs w:val="24"/>
          <w14:ligatures w14:val="standardContextual"/>
        </w:rPr>
        <w:t xml:space="preserve"> au Burkina Faso</w:t>
      </w:r>
      <w:r w:rsidRPr="00D51032">
        <w:rPr>
          <w:kern w:val="2"/>
          <w:sz w:val="24"/>
          <w:szCs w:val="24"/>
          <w:lang w:val="x-none"/>
          <w14:ligatures w14:val="standardContextual"/>
        </w:rPr>
        <w:t xml:space="preserve">, </w:t>
      </w:r>
      <w:r w:rsidRPr="00D51032">
        <w:rPr>
          <w:kern w:val="2"/>
          <w:sz w:val="24"/>
          <w:szCs w:val="24"/>
          <w14:ligatures w14:val="standardContextual"/>
        </w:rPr>
        <w:t xml:space="preserve">régions </w:t>
      </w:r>
      <w:r w:rsidRPr="00D51032">
        <w:rPr>
          <w:kern w:val="2"/>
          <w:sz w:val="24"/>
          <w:szCs w:val="24"/>
          <w:lang w:val="x-none"/>
          <w14:ligatures w14:val="standardContextual"/>
        </w:rPr>
        <w:t xml:space="preserve">qui accueillent un nombre important de personnes déplacées internes et connaissent des perturbations éducatives majeures liées à l’insécurité. Le choix de ces régions repose sur leur </w:t>
      </w:r>
      <w:r w:rsidRPr="00D51032">
        <w:rPr>
          <w:bCs/>
          <w:kern w:val="2"/>
          <w:sz w:val="24"/>
          <w:szCs w:val="24"/>
          <w:lang w:val="x-none"/>
          <w14:ligatures w14:val="standardContextual"/>
        </w:rPr>
        <w:t>pertinence empirique</w:t>
      </w:r>
      <w:r w:rsidRPr="00D51032">
        <w:rPr>
          <w:kern w:val="2"/>
          <w:sz w:val="24"/>
          <w:szCs w:val="24"/>
          <w:lang w:val="x-none"/>
          <w14:ligatures w14:val="standardContextual"/>
        </w:rPr>
        <w:t>, dans la mesure où elles concentrent à la fois les défis éducatifs les plus aigus et les initiatives les plus significatives en matière d’innovation pédagogique par les TIC.</w:t>
      </w:r>
    </w:p>
    <w:p w14:paraId="75FB0688" w14:textId="77777777" w:rsidR="00D80693" w:rsidRPr="00D51032" w:rsidRDefault="00D80693" w:rsidP="00D51032">
      <w:pPr>
        <w:spacing w:before="120"/>
        <w:jc w:val="both"/>
        <w:rPr>
          <w:b/>
          <w:bCs/>
          <w:kern w:val="2"/>
          <w:sz w:val="24"/>
          <w:szCs w:val="24"/>
          <w:lang w:val="x-none"/>
          <w14:ligatures w14:val="standardContextual"/>
        </w:rPr>
      </w:pPr>
      <w:r w:rsidRPr="00D51032">
        <w:rPr>
          <w:kern w:val="2"/>
          <w:sz w:val="24"/>
          <w:szCs w:val="24"/>
          <w:lang w:val="x-none"/>
          <w14:ligatures w14:val="standardContextual"/>
        </w:rPr>
        <w:t xml:space="preserve">L’étude repose sur un </w:t>
      </w:r>
      <w:r w:rsidRPr="00D51032">
        <w:rPr>
          <w:bCs/>
          <w:kern w:val="2"/>
          <w:sz w:val="24"/>
          <w:szCs w:val="24"/>
          <w:lang w:val="x-none"/>
          <w14:ligatures w14:val="standardContextual"/>
        </w:rPr>
        <w:t>échantillon total de 300 participants</w:t>
      </w:r>
      <w:r w:rsidRPr="00D51032">
        <w:rPr>
          <w:kern w:val="2"/>
          <w:sz w:val="24"/>
          <w:szCs w:val="24"/>
          <w:lang w:val="x-none"/>
          <w14:ligatures w14:val="standardContextual"/>
        </w:rPr>
        <w:t>, répartis en deux sous-échantillons complémentaires, conformément au design méthodologique mixte adopté.</w:t>
      </w:r>
      <w:r w:rsidRPr="00D51032">
        <w:rPr>
          <w:kern w:val="2"/>
          <w:sz w:val="24"/>
          <w:szCs w:val="24"/>
          <w14:ligatures w14:val="standardContextual"/>
        </w:rPr>
        <w:t xml:space="preserve"> </w:t>
      </w:r>
      <w:r w:rsidRPr="00D51032">
        <w:rPr>
          <w:kern w:val="2"/>
          <w:sz w:val="24"/>
          <w:szCs w:val="24"/>
          <w:lang w:val="x-none"/>
          <w14:ligatures w14:val="standardContextual"/>
        </w:rPr>
        <w:t xml:space="preserve">Un </w:t>
      </w:r>
      <w:r w:rsidRPr="00D51032">
        <w:rPr>
          <w:bCs/>
          <w:kern w:val="2"/>
          <w:sz w:val="24"/>
          <w:szCs w:val="24"/>
          <w:lang w:val="x-none"/>
          <w14:ligatures w14:val="standardContextual"/>
        </w:rPr>
        <w:t>échantillon de 240 personnes</w:t>
      </w:r>
      <w:r w:rsidRPr="00D51032">
        <w:rPr>
          <w:kern w:val="2"/>
          <w:sz w:val="24"/>
          <w:szCs w:val="24"/>
          <w:lang w:val="x-none"/>
          <w14:ligatures w14:val="standardContextual"/>
        </w:rPr>
        <w:t xml:space="preserve"> a été constitué pour l’enquête quantitative par questionnaire, réparti comme suit :</w:t>
      </w:r>
      <w:r w:rsidRPr="00D51032">
        <w:rPr>
          <w:kern w:val="2"/>
          <w:sz w:val="24"/>
          <w:szCs w:val="24"/>
          <w14:ligatures w14:val="standardContextual"/>
        </w:rPr>
        <w:t xml:space="preserve"> </w:t>
      </w:r>
      <w:r w:rsidRPr="00D51032">
        <w:rPr>
          <w:kern w:val="2"/>
          <w:sz w:val="24"/>
          <w:szCs w:val="24"/>
          <w:lang w:val="x-none"/>
          <w14:ligatures w14:val="standardContextual"/>
        </w:rPr>
        <w:t>50 enseignants,</w:t>
      </w:r>
      <w:r w:rsidRPr="00D51032">
        <w:rPr>
          <w:kern w:val="2"/>
          <w:sz w:val="24"/>
          <w:szCs w:val="24"/>
          <w14:ligatures w14:val="standardContextual"/>
        </w:rPr>
        <w:t xml:space="preserve"> </w:t>
      </w:r>
      <w:r w:rsidRPr="00D51032">
        <w:rPr>
          <w:kern w:val="2"/>
          <w:sz w:val="24"/>
          <w:szCs w:val="24"/>
          <w:lang w:val="x-none"/>
          <w14:ligatures w14:val="standardContextual"/>
        </w:rPr>
        <w:t>70 apprenants (élèves et étudiants),</w:t>
      </w:r>
      <w:r w:rsidRPr="00D51032">
        <w:rPr>
          <w:kern w:val="2"/>
          <w:sz w:val="24"/>
          <w:szCs w:val="24"/>
          <w14:ligatures w14:val="standardContextual"/>
        </w:rPr>
        <w:t xml:space="preserve"> </w:t>
      </w:r>
      <w:r w:rsidRPr="00D51032">
        <w:rPr>
          <w:kern w:val="2"/>
          <w:sz w:val="24"/>
          <w:szCs w:val="24"/>
          <w:lang w:val="x-none"/>
          <w14:ligatures w14:val="standardContextual"/>
        </w:rPr>
        <w:t>60 parents d’apprenants,</w:t>
      </w:r>
      <w:r w:rsidRPr="00D51032">
        <w:rPr>
          <w:kern w:val="2"/>
          <w:sz w:val="24"/>
          <w:szCs w:val="24"/>
          <w14:ligatures w14:val="standardContextual"/>
        </w:rPr>
        <w:t xml:space="preserve"> </w:t>
      </w:r>
      <w:r w:rsidRPr="00D51032">
        <w:rPr>
          <w:kern w:val="2"/>
          <w:sz w:val="24"/>
          <w:szCs w:val="24"/>
          <w:lang w:val="x-none"/>
          <w14:ligatures w14:val="standardContextual"/>
        </w:rPr>
        <w:t>60 professionnels des TIC.</w:t>
      </w:r>
      <w:r w:rsidRPr="00D51032">
        <w:rPr>
          <w:kern w:val="2"/>
          <w:sz w:val="24"/>
          <w:szCs w:val="24"/>
          <w14:ligatures w14:val="standardContextual"/>
        </w:rPr>
        <w:t xml:space="preserve"> </w:t>
      </w:r>
      <w:r w:rsidRPr="00D51032">
        <w:rPr>
          <w:kern w:val="2"/>
          <w:sz w:val="24"/>
          <w:szCs w:val="24"/>
          <w:lang w:val="x-none"/>
          <w14:ligatures w14:val="standardContextual"/>
        </w:rPr>
        <w:t xml:space="preserve">La taille de cet échantillon n’a pas été déterminée par une formule statistique probabiliste stricte, mais selon une </w:t>
      </w:r>
      <w:r w:rsidRPr="00D51032">
        <w:rPr>
          <w:bCs/>
          <w:kern w:val="2"/>
          <w:sz w:val="24"/>
          <w:szCs w:val="24"/>
          <w:lang w:val="x-none"/>
          <w14:ligatures w14:val="standardContextual"/>
        </w:rPr>
        <w:t>logique d’échantillonnage raisonné</w:t>
      </w:r>
      <w:r w:rsidRPr="00D51032">
        <w:rPr>
          <w:kern w:val="2"/>
          <w:sz w:val="24"/>
          <w:szCs w:val="24"/>
          <w:lang w:val="x-none"/>
          <w14:ligatures w14:val="standardContextual"/>
        </w:rPr>
        <w:t xml:space="preserve">, adaptée aux contextes de crise et aux terrains difficiles d’accès. Ce choix méthodologique se justifie par l’absence de bases de sondage exhaustives et fiables en contexte d’insécurité, ainsi que par la nécessité de cibler des acteurs directement exposés aux usages des TIC en situation de rupture scolaire. L’objectif n’était donc pas la représentativité statistique au sens strict, mais la </w:t>
      </w:r>
      <w:r w:rsidRPr="00D51032">
        <w:rPr>
          <w:bCs/>
          <w:kern w:val="2"/>
          <w:sz w:val="24"/>
          <w:szCs w:val="24"/>
          <w:lang w:val="x-none"/>
          <w14:ligatures w14:val="standardContextual"/>
        </w:rPr>
        <w:t>diversité des profils</w:t>
      </w:r>
      <w:r w:rsidRPr="00D51032">
        <w:rPr>
          <w:kern w:val="2"/>
          <w:sz w:val="24"/>
          <w:szCs w:val="24"/>
          <w:lang w:val="x-none"/>
          <w14:ligatures w14:val="standardContextual"/>
        </w:rPr>
        <w:t xml:space="preserve"> et la </w:t>
      </w:r>
      <w:r w:rsidRPr="00D51032">
        <w:rPr>
          <w:bCs/>
          <w:kern w:val="2"/>
          <w:sz w:val="24"/>
          <w:szCs w:val="24"/>
          <w:lang w:val="x-none"/>
          <w14:ligatures w14:val="standardContextual"/>
        </w:rPr>
        <w:t>pertinence analytique</w:t>
      </w:r>
      <w:r w:rsidRPr="00D51032">
        <w:rPr>
          <w:kern w:val="2"/>
          <w:sz w:val="24"/>
          <w:szCs w:val="24"/>
          <w:lang w:val="x-none"/>
          <w14:ligatures w14:val="standardContextual"/>
        </w:rPr>
        <w:t xml:space="preserve"> des répondants.</w:t>
      </w:r>
      <w:r w:rsidRPr="00D51032">
        <w:rPr>
          <w:kern w:val="2"/>
          <w:sz w:val="24"/>
          <w:szCs w:val="24"/>
          <w14:ligatures w14:val="standardContextual"/>
        </w:rPr>
        <w:t xml:space="preserve"> </w:t>
      </w:r>
      <w:r w:rsidRPr="00D51032">
        <w:rPr>
          <w:kern w:val="2"/>
          <w:sz w:val="24"/>
          <w:szCs w:val="24"/>
          <w:lang w:val="x-none"/>
          <w14:ligatures w14:val="standardContextual"/>
        </w:rPr>
        <w:t xml:space="preserve">Les données qualitatives ont été recueillies à partir de </w:t>
      </w:r>
      <w:r w:rsidRPr="00D51032">
        <w:rPr>
          <w:bCs/>
          <w:kern w:val="2"/>
          <w:sz w:val="24"/>
          <w:szCs w:val="24"/>
          <w:lang w:val="x-none"/>
          <w14:ligatures w14:val="standardContextual"/>
        </w:rPr>
        <w:t>60 entretiens semi-directifs</w:t>
      </w:r>
      <w:r w:rsidRPr="00D51032">
        <w:rPr>
          <w:kern w:val="2"/>
          <w:sz w:val="24"/>
          <w:szCs w:val="24"/>
          <w:lang w:val="x-none"/>
          <w14:ligatures w14:val="standardContextual"/>
        </w:rPr>
        <w:t>, réalisés auprès de</w:t>
      </w:r>
      <w:r w:rsidRPr="00D51032">
        <w:rPr>
          <w:kern w:val="2"/>
          <w:sz w:val="24"/>
          <w:szCs w:val="24"/>
          <w14:ligatures w14:val="standardContextual"/>
        </w:rPr>
        <w:t xml:space="preserve"> </w:t>
      </w:r>
      <w:r w:rsidRPr="00D51032">
        <w:rPr>
          <w:kern w:val="2"/>
          <w:sz w:val="24"/>
          <w:szCs w:val="24"/>
          <w:lang w:val="x-none"/>
          <w14:ligatures w14:val="standardContextual"/>
        </w:rPr>
        <w:t>décideurs éducatifs,</w:t>
      </w:r>
      <w:r w:rsidRPr="00D51032">
        <w:rPr>
          <w:kern w:val="2"/>
          <w:sz w:val="24"/>
          <w:szCs w:val="24"/>
          <w14:ligatures w14:val="standardContextual"/>
        </w:rPr>
        <w:t xml:space="preserve"> </w:t>
      </w:r>
      <w:r w:rsidRPr="00D51032">
        <w:rPr>
          <w:kern w:val="2"/>
          <w:sz w:val="24"/>
          <w:szCs w:val="24"/>
          <w:lang w:val="x-none"/>
          <w14:ligatures w14:val="standardContextual"/>
        </w:rPr>
        <w:t>responsables institutionnels,</w:t>
      </w:r>
      <w:r w:rsidRPr="00D51032">
        <w:rPr>
          <w:kern w:val="2"/>
          <w:sz w:val="24"/>
          <w:szCs w:val="24"/>
          <w14:ligatures w14:val="standardContextual"/>
        </w:rPr>
        <w:t xml:space="preserve"> </w:t>
      </w:r>
      <w:r w:rsidRPr="00D51032">
        <w:rPr>
          <w:kern w:val="2"/>
          <w:sz w:val="24"/>
          <w:szCs w:val="24"/>
          <w:lang w:val="x-none"/>
          <w14:ligatures w14:val="standardContextual"/>
        </w:rPr>
        <w:t>chercheurs,</w:t>
      </w:r>
      <w:r w:rsidRPr="00D51032">
        <w:rPr>
          <w:kern w:val="2"/>
          <w:sz w:val="24"/>
          <w:szCs w:val="24"/>
          <w14:ligatures w14:val="standardContextual"/>
        </w:rPr>
        <w:t xml:space="preserve"> </w:t>
      </w:r>
      <w:r w:rsidRPr="00D51032">
        <w:rPr>
          <w:kern w:val="2"/>
          <w:sz w:val="24"/>
          <w:szCs w:val="24"/>
          <w:lang w:val="x-none"/>
          <w14:ligatures w14:val="standardContextual"/>
        </w:rPr>
        <w:t>responsables d’ONG et d’organisations intervenant dans l’éducation en situation d’urgence.</w:t>
      </w:r>
      <w:r w:rsidRPr="00D51032">
        <w:rPr>
          <w:kern w:val="2"/>
          <w:sz w:val="24"/>
          <w:szCs w:val="24"/>
          <w14:ligatures w14:val="standardContextual"/>
        </w:rPr>
        <w:t xml:space="preserve"> </w:t>
      </w:r>
      <w:r w:rsidRPr="00D51032">
        <w:rPr>
          <w:kern w:val="2"/>
          <w:sz w:val="24"/>
          <w:szCs w:val="24"/>
          <w:lang w:val="x-none"/>
          <w14:ligatures w14:val="standardContextual"/>
        </w:rPr>
        <w:t xml:space="preserve">Le nombre d’entretiens n’a pas été fixé a priori de manière rigide, mais déterminé selon le </w:t>
      </w:r>
      <w:r w:rsidRPr="00D51032">
        <w:rPr>
          <w:bCs/>
          <w:kern w:val="2"/>
          <w:sz w:val="24"/>
          <w:szCs w:val="24"/>
          <w:lang w:val="x-none"/>
          <w14:ligatures w14:val="standardContextual"/>
        </w:rPr>
        <w:t>principe de saturation théorique</w:t>
      </w:r>
      <w:r w:rsidRPr="00D51032">
        <w:rPr>
          <w:kern w:val="2"/>
          <w:sz w:val="24"/>
          <w:szCs w:val="24"/>
          <w:lang w:val="x-none"/>
          <w14:ligatures w14:val="standardContextual"/>
        </w:rPr>
        <w:t>. Les entretiens ont été conduits jusqu’à ce que l’analyse progressive des données révèle une redondance des discours et l’absence d’émergence de nouvelles catégories analytiques, conformément aux standards de la recherche qualitative (Bardin, 2007 ; Creswell, 2014). La saturation a été observée à partir du cinquantième entretien, les dix entretiens supplémentaires ayant permis de confirmer et stabiliser les catégories interprétatives.</w:t>
      </w:r>
    </w:p>
    <w:p w14:paraId="3A368951" w14:textId="77777777" w:rsidR="00D80693" w:rsidRPr="00D51032" w:rsidRDefault="00D80693" w:rsidP="00D51032">
      <w:pPr>
        <w:spacing w:before="120"/>
        <w:jc w:val="both"/>
        <w:rPr>
          <w:b/>
          <w:bCs/>
          <w:kern w:val="2"/>
          <w:sz w:val="24"/>
          <w:szCs w:val="24"/>
          <w:lang w:val="x-none"/>
          <w14:ligatures w14:val="standardContextual"/>
        </w:rPr>
      </w:pPr>
      <w:r w:rsidRPr="00D51032">
        <w:rPr>
          <w:kern w:val="2"/>
          <w:sz w:val="24"/>
          <w:szCs w:val="24"/>
          <w:lang w:val="x-none"/>
          <w14:ligatures w14:val="standardContextual"/>
        </w:rPr>
        <w:t>Trois principaux instruments de collecte ont été mobilisés</w:t>
      </w:r>
      <w:r w:rsidRPr="00D51032">
        <w:rPr>
          <w:kern w:val="2"/>
          <w:sz w:val="24"/>
          <w:szCs w:val="24"/>
          <w14:ligatures w14:val="standardContextual"/>
        </w:rPr>
        <w:t xml:space="preserve">. Le premier instrument est </w:t>
      </w:r>
      <w:proofErr w:type="spellStart"/>
      <w:r w:rsidRPr="00D51032">
        <w:rPr>
          <w:kern w:val="2"/>
          <w:sz w:val="24"/>
          <w:szCs w:val="24"/>
          <w14:ligatures w14:val="standardContextual"/>
        </w:rPr>
        <w:t>u</w:t>
      </w:r>
      <w:r w:rsidRPr="00D51032">
        <w:rPr>
          <w:bCs/>
          <w:kern w:val="2"/>
          <w:sz w:val="24"/>
          <w:szCs w:val="24"/>
          <w:lang w:val="x-none"/>
          <w14:ligatures w14:val="standardContextual"/>
        </w:rPr>
        <w:t>n</w:t>
      </w:r>
      <w:proofErr w:type="spellEnd"/>
      <w:r w:rsidRPr="00D51032">
        <w:rPr>
          <w:bCs/>
          <w:kern w:val="2"/>
          <w:sz w:val="24"/>
          <w:szCs w:val="24"/>
          <w:lang w:val="x-none"/>
          <w14:ligatures w14:val="standardContextual"/>
        </w:rPr>
        <w:t xml:space="preserve"> questionnaire structuré</w:t>
      </w:r>
      <w:r w:rsidRPr="00D51032">
        <w:rPr>
          <w:kern w:val="2"/>
          <w:sz w:val="24"/>
          <w:szCs w:val="24"/>
          <w:lang w:val="x-none"/>
          <w14:ligatures w14:val="standardContextual"/>
        </w:rPr>
        <w:t>, administré aux 240 participants de l’échantillon quantitatif, portant sur l’accès aux TIC,</w:t>
      </w:r>
      <w:r w:rsidRPr="00D51032">
        <w:rPr>
          <w:kern w:val="2"/>
          <w:sz w:val="24"/>
          <w:szCs w:val="24"/>
          <w14:ligatures w14:val="standardContextual"/>
        </w:rPr>
        <w:t xml:space="preserve"> </w:t>
      </w:r>
      <w:r w:rsidRPr="00D51032">
        <w:rPr>
          <w:kern w:val="2"/>
          <w:sz w:val="24"/>
          <w:szCs w:val="24"/>
          <w:lang w:val="x-none"/>
          <w14:ligatures w14:val="standardContextual"/>
        </w:rPr>
        <w:t>les usages pédagogiques des outils numériques,</w:t>
      </w:r>
      <w:r w:rsidRPr="00D51032">
        <w:rPr>
          <w:kern w:val="2"/>
          <w:sz w:val="24"/>
          <w:szCs w:val="24"/>
          <w14:ligatures w14:val="standardContextual"/>
        </w:rPr>
        <w:t xml:space="preserve"> </w:t>
      </w:r>
      <w:r w:rsidRPr="00D51032">
        <w:rPr>
          <w:kern w:val="2"/>
          <w:sz w:val="24"/>
          <w:szCs w:val="24"/>
          <w:lang w:val="x-none"/>
          <w14:ligatures w14:val="standardContextual"/>
        </w:rPr>
        <w:t>les perceptions des TIC en contexte de crise sécuritaire,</w:t>
      </w:r>
      <w:r w:rsidRPr="00D51032">
        <w:rPr>
          <w:kern w:val="2"/>
          <w:sz w:val="24"/>
          <w:szCs w:val="24"/>
          <w14:ligatures w14:val="standardContextual"/>
        </w:rPr>
        <w:t xml:space="preserve"> </w:t>
      </w:r>
      <w:r w:rsidRPr="00D51032">
        <w:rPr>
          <w:kern w:val="2"/>
          <w:sz w:val="24"/>
          <w:szCs w:val="24"/>
          <w:lang w:val="x-none"/>
          <w14:ligatures w14:val="standardContextual"/>
        </w:rPr>
        <w:t>les opportunités et les obstacles liés à leur intégration.</w:t>
      </w:r>
      <w:r w:rsidRPr="00D51032">
        <w:rPr>
          <w:kern w:val="2"/>
          <w:sz w:val="24"/>
          <w:szCs w:val="24"/>
          <w14:ligatures w14:val="standardContextual"/>
        </w:rPr>
        <w:t xml:space="preserve"> Le deuxième instrument est </w:t>
      </w:r>
      <w:proofErr w:type="spellStart"/>
      <w:r w:rsidRPr="00D51032">
        <w:rPr>
          <w:kern w:val="2"/>
          <w:sz w:val="24"/>
          <w:szCs w:val="24"/>
          <w14:ligatures w14:val="standardContextual"/>
        </w:rPr>
        <w:t>u</w:t>
      </w:r>
      <w:r w:rsidRPr="00D51032">
        <w:rPr>
          <w:bCs/>
          <w:kern w:val="2"/>
          <w:sz w:val="24"/>
          <w:szCs w:val="24"/>
          <w:lang w:val="x-none"/>
          <w14:ligatures w14:val="standardContextual"/>
        </w:rPr>
        <w:t>n</w:t>
      </w:r>
      <w:proofErr w:type="spellEnd"/>
      <w:r w:rsidRPr="00D51032">
        <w:rPr>
          <w:bCs/>
          <w:kern w:val="2"/>
          <w:sz w:val="24"/>
          <w:szCs w:val="24"/>
          <w14:ligatures w14:val="standardContextual"/>
        </w:rPr>
        <w:t xml:space="preserve"> guide d’</w:t>
      </w:r>
      <w:r w:rsidRPr="00D51032">
        <w:rPr>
          <w:bCs/>
          <w:kern w:val="2"/>
          <w:sz w:val="24"/>
          <w:szCs w:val="24"/>
          <w:lang w:val="x-none"/>
          <w14:ligatures w14:val="standardContextual"/>
        </w:rPr>
        <w:t>entretiens semi-directifs</w:t>
      </w:r>
      <w:r w:rsidRPr="00D51032">
        <w:rPr>
          <w:kern w:val="2"/>
          <w:sz w:val="24"/>
          <w:szCs w:val="24"/>
          <w14:ligatures w14:val="standardContextual"/>
        </w:rPr>
        <w:t xml:space="preserve"> pour des entretiens </w:t>
      </w:r>
      <w:r w:rsidRPr="00D51032">
        <w:rPr>
          <w:kern w:val="2"/>
          <w:sz w:val="24"/>
          <w:szCs w:val="24"/>
          <w:lang w:val="x-none"/>
          <w14:ligatures w14:val="standardContextual"/>
        </w:rPr>
        <w:t>d’une durée moyenne de 45 à 60 minutes, visant à approfondir les représentations, les pratiques et les stratégies d’adaptation des acteurs éducatifs face à la crise sécuritaire.</w:t>
      </w:r>
      <w:r w:rsidRPr="00D51032">
        <w:rPr>
          <w:kern w:val="2"/>
          <w:sz w:val="24"/>
          <w:szCs w:val="24"/>
          <w14:ligatures w14:val="standardContextual"/>
        </w:rPr>
        <w:t xml:space="preserve"> Le troisième instrument est </w:t>
      </w:r>
      <w:proofErr w:type="spellStart"/>
      <w:r w:rsidRPr="00D51032">
        <w:rPr>
          <w:kern w:val="2"/>
          <w:sz w:val="24"/>
          <w:szCs w:val="24"/>
          <w14:ligatures w14:val="standardContextual"/>
        </w:rPr>
        <w:t>u</w:t>
      </w:r>
      <w:r w:rsidRPr="00D51032">
        <w:rPr>
          <w:bCs/>
          <w:kern w:val="2"/>
          <w:sz w:val="24"/>
          <w:szCs w:val="24"/>
          <w:lang w:val="x-none"/>
          <w14:ligatures w14:val="standardContextual"/>
        </w:rPr>
        <w:t>n</w:t>
      </w:r>
      <w:proofErr w:type="spellEnd"/>
      <w:r w:rsidRPr="00D51032">
        <w:rPr>
          <w:bCs/>
          <w:kern w:val="2"/>
          <w:sz w:val="24"/>
          <w:szCs w:val="24"/>
          <w14:ligatures w14:val="standardContextual"/>
        </w:rPr>
        <w:t xml:space="preserve"> guide pour les </w:t>
      </w:r>
      <w:r w:rsidRPr="00D51032">
        <w:rPr>
          <w:bCs/>
          <w:kern w:val="2"/>
          <w:sz w:val="24"/>
          <w:szCs w:val="24"/>
          <w:lang w:val="x-none"/>
          <w14:ligatures w14:val="standardContextual"/>
        </w:rPr>
        <w:t>observations participantes</w:t>
      </w:r>
      <w:r w:rsidRPr="00D51032">
        <w:rPr>
          <w:kern w:val="2"/>
          <w:sz w:val="24"/>
          <w:szCs w:val="24"/>
          <w:lang w:val="x-none"/>
          <w14:ligatures w14:val="standardContextual"/>
        </w:rPr>
        <w:t>, réalisées dans certains contextes éducatifs et dispositifs numériques, afin de saisir les usages effectifs des TIC dans des situations réelles d’enseignement-apprentissage.</w:t>
      </w:r>
    </w:p>
    <w:p w14:paraId="593EB048"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 xml:space="preserve">Les données quantitatives issues des questionnaires ont fait l’objet d’une </w:t>
      </w:r>
      <w:r w:rsidRPr="00D51032">
        <w:rPr>
          <w:bCs/>
          <w:kern w:val="2"/>
          <w:sz w:val="24"/>
          <w:szCs w:val="24"/>
          <w:lang w:val="x-none"/>
          <w14:ligatures w14:val="standardContextual"/>
        </w:rPr>
        <w:t>analyse statistique descriptive</w:t>
      </w:r>
      <w:r w:rsidRPr="00D51032">
        <w:rPr>
          <w:kern w:val="2"/>
          <w:sz w:val="24"/>
          <w:szCs w:val="24"/>
          <w:lang w:val="x-none"/>
          <w14:ligatures w14:val="standardContextual"/>
        </w:rPr>
        <w:t>, permettant d’identifier les tendances générales relatives aux usages, perceptions et contraintes liées aux TIC.</w:t>
      </w:r>
      <w:r w:rsidRPr="00D51032">
        <w:rPr>
          <w:kern w:val="2"/>
          <w:sz w:val="24"/>
          <w:szCs w:val="24"/>
          <w14:ligatures w14:val="standardContextual"/>
        </w:rPr>
        <w:t xml:space="preserve"> </w:t>
      </w:r>
      <w:r w:rsidRPr="00D51032">
        <w:rPr>
          <w:kern w:val="2"/>
          <w:sz w:val="24"/>
          <w:szCs w:val="24"/>
          <w:lang w:val="x-none"/>
          <w14:ligatures w14:val="standardContextual"/>
        </w:rPr>
        <w:t xml:space="preserve">Les données qualitatives (entretiens et observations) ont été analysées à l’aide d’une </w:t>
      </w:r>
      <w:r w:rsidRPr="00D51032">
        <w:rPr>
          <w:bCs/>
          <w:kern w:val="2"/>
          <w:sz w:val="24"/>
          <w:szCs w:val="24"/>
          <w:lang w:val="x-none"/>
          <w14:ligatures w14:val="standardContextual"/>
        </w:rPr>
        <w:t>analyse thématique de contenu</w:t>
      </w:r>
      <w:r w:rsidRPr="00D51032">
        <w:rPr>
          <w:kern w:val="2"/>
          <w:sz w:val="24"/>
          <w:szCs w:val="24"/>
          <w:lang w:val="x-none"/>
          <w14:ligatures w14:val="standardContextual"/>
        </w:rPr>
        <w:t xml:space="preserve"> (Bardin, 2007). Cette analyse a suivi plusieurs étapes : transcription intégrale des entretiens, codage initial, regroupement des unités de sens, construction de catégories thématiques et interprétation à la lumière du cadre théorique mobilisé. La triangulation des sources (questionnaires, entretiens, observations) a renforcé la crédibilité et la validité des résultats.</w:t>
      </w:r>
      <w:r w:rsidRPr="00D51032">
        <w:rPr>
          <w:kern w:val="2"/>
          <w:sz w:val="24"/>
          <w:szCs w:val="24"/>
          <w14:ligatures w14:val="standardContextual"/>
        </w:rPr>
        <w:t xml:space="preserve"> </w:t>
      </w:r>
      <w:r w:rsidRPr="00D51032">
        <w:rPr>
          <w:kern w:val="2"/>
          <w:sz w:val="24"/>
          <w:szCs w:val="24"/>
          <w:lang w:val="x-none"/>
          <w14:ligatures w14:val="standardContextual"/>
        </w:rPr>
        <w:t xml:space="preserve">L’étude a respecté les principes éthiques de la recherche en sciences sociales. Tous les participants ont été informés des objectifs de la recherche et ont donné leur </w:t>
      </w:r>
      <w:r w:rsidRPr="00D51032">
        <w:rPr>
          <w:bCs/>
          <w:kern w:val="2"/>
          <w:sz w:val="24"/>
          <w:szCs w:val="24"/>
          <w:lang w:val="x-none"/>
          <w14:ligatures w14:val="standardContextual"/>
        </w:rPr>
        <w:t>consentement éclairé</w:t>
      </w:r>
      <w:r w:rsidRPr="00D51032">
        <w:rPr>
          <w:kern w:val="2"/>
          <w:sz w:val="24"/>
          <w:szCs w:val="24"/>
          <w:lang w:val="x-none"/>
          <w14:ligatures w14:val="standardContextual"/>
        </w:rPr>
        <w:t xml:space="preserve"> avant de participer. L’anonymat et la confidentialité des données ont été garantis, et les informations recueillies ont été utilisées exclusivement à des fins scientifiques.</w:t>
      </w:r>
    </w:p>
    <w:p w14:paraId="54FD9B6A" w14:textId="77777777" w:rsidR="00D80693" w:rsidRPr="00EA1A2F" w:rsidRDefault="00D80693" w:rsidP="00D51032">
      <w:pPr>
        <w:tabs>
          <w:tab w:val="left" w:pos="1600"/>
        </w:tabs>
        <w:spacing w:before="120"/>
        <w:jc w:val="both"/>
        <w:rPr>
          <w:b/>
          <w:bCs/>
          <w:kern w:val="2"/>
          <w:sz w:val="2"/>
          <w14:ligatures w14:val="standardContextual"/>
        </w:rPr>
      </w:pPr>
    </w:p>
    <w:p w14:paraId="20400282" w14:textId="38CDE974" w:rsidR="00D80693" w:rsidRPr="00D51032" w:rsidRDefault="00D51032" w:rsidP="00D51032">
      <w:pPr>
        <w:pStyle w:val="Paragraphedeliste"/>
        <w:numPr>
          <w:ilvl w:val="1"/>
          <w:numId w:val="163"/>
        </w:numPr>
        <w:tabs>
          <w:tab w:val="left" w:pos="1600"/>
        </w:tabs>
        <w:rPr>
          <w:b/>
          <w:bCs/>
          <w:kern w:val="2"/>
          <w:sz w:val="28"/>
          <w:szCs w:val="28"/>
          <w14:ligatures w14:val="standardContextual"/>
        </w:rPr>
      </w:pPr>
      <w:r w:rsidRPr="00D51032">
        <w:rPr>
          <w:b/>
          <w:bCs/>
          <w:kern w:val="2"/>
          <w:sz w:val="28"/>
          <w:szCs w:val="28"/>
          <w14:ligatures w14:val="standardContextual"/>
        </w:rPr>
        <w:t xml:space="preserve">Résultats </w:t>
      </w:r>
      <w:r w:rsidR="00D80693" w:rsidRPr="00D51032">
        <w:rPr>
          <w:b/>
          <w:bCs/>
          <w:kern w:val="2"/>
          <w:sz w:val="28"/>
          <w:szCs w:val="28"/>
          <w14:ligatures w14:val="standardContextual"/>
        </w:rPr>
        <w:tab/>
      </w:r>
    </w:p>
    <w:p w14:paraId="52ACF643"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 xml:space="preserve">Dans cette partie, nous présentons les résultats de notre recherche en trois temps : </w:t>
      </w:r>
      <w:bookmarkStart w:id="205" w:name="_Hlk186897914"/>
      <w:r w:rsidRPr="00D51032">
        <w:rPr>
          <w:kern w:val="2"/>
          <w:sz w:val="24"/>
          <w:szCs w:val="24"/>
          <w14:ligatures w14:val="standardContextual"/>
        </w:rPr>
        <w:t>le profil des enquêtés</w:t>
      </w:r>
      <w:bookmarkEnd w:id="205"/>
      <w:r w:rsidRPr="00D51032">
        <w:rPr>
          <w:kern w:val="2"/>
          <w:sz w:val="24"/>
          <w:szCs w:val="24"/>
          <w14:ligatures w14:val="standardContextual"/>
        </w:rPr>
        <w:t xml:space="preserve">, </w:t>
      </w:r>
      <w:bookmarkStart w:id="206" w:name="_Hlk186904341"/>
      <w:bookmarkStart w:id="207" w:name="_Hlk186904183"/>
      <w:r w:rsidRPr="00D51032">
        <w:rPr>
          <w:kern w:val="2"/>
          <w:sz w:val="24"/>
          <w:szCs w:val="24"/>
          <w14:ligatures w14:val="standardContextual"/>
        </w:rPr>
        <w:t>les perceptions des TIC et innovations pédagogiques par les acteurs</w:t>
      </w:r>
      <w:bookmarkEnd w:id="206"/>
      <w:r w:rsidRPr="00D51032">
        <w:rPr>
          <w:kern w:val="2"/>
          <w:sz w:val="24"/>
          <w:szCs w:val="24"/>
          <w14:ligatures w14:val="standardContextual"/>
        </w:rPr>
        <w:t xml:space="preserve">, </w:t>
      </w:r>
      <w:bookmarkStart w:id="208" w:name="_Hlk187922496"/>
      <w:r w:rsidRPr="00D51032">
        <w:rPr>
          <w:kern w:val="2"/>
          <w:sz w:val="24"/>
          <w:szCs w:val="24"/>
          <w14:ligatures w14:val="standardContextual"/>
        </w:rPr>
        <w:t xml:space="preserve">les opportunités des TIC et innovation pour le système éducatif burkinabè </w:t>
      </w:r>
      <w:bookmarkEnd w:id="207"/>
      <w:r w:rsidRPr="00D51032">
        <w:rPr>
          <w:kern w:val="2"/>
          <w:sz w:val="24"/>
          <w:szCs w:val="24"/>
          <w14:ligatures w14:val="standardContextual"/>
        </w:rPr>
        <w:t xml:space="preserve">et les défis des TIC à relever. </w:t>
      </w:r>
    </w:p>
    <w:bookmarkEnd w:id="208"/>
    <w:p w14:paraId="0179046B" w14:textId="77777777" w:rsidR="00D80693" w:rsidRPr="00D51032" w:rsidRDefault="00D80693" w:rsidP="00D51032">
      <w:pPr>
        <w:spacing w:before="120"/>
        <w:rPr>
          <w:b/>
          <w:kern w:val="2"/>
          <w:sz w:val="24"/>
          <w:szCs w:val="24"/>
          <w14:ligatures w14:val="standardContextual"/>
        </w:rPr>
      </w:pPr>
      <w:r w:rsidRPr="00D51032">
        <w:rPr>
          <w:b/>
          <w:kern w:val="2"/>
          <w:sz w:val="24"/>
          <w:szCs w:val="24"/>
          <w14:ligatures w14:val="standardContextual"/>
        </w:rPr>
        <w:t xml:space="preserve">2.1 Le profil des enquêtés </w:t>
      </w:r>
    </w:p>
    <w:p w14:paraId="1AAB1BD2" w14:textId="77777777" w:rsidR="00D80693" w:rsidRPr="00D51032" w:rsidRDefault="00D80693" w:rsidP="00D51032">
      <w:pPr>
        <w:spacing w:before="120"/>
        <w:jc w:val="both"/>
        <w:rPr>
          <w:kern w:val="2"/>
          <w:sz w:val="24"/>
          <w:szCs w:val="24"/>
          <w14:ligatures w14:val="standardContextual"/>
        </w:rPr>
      </w:pPr>
      <w:bookmarkStart w:id="209" w:name="_Hlk186902962"/>
      <w:r w:rsidRPr="00D51032">
        <w:rPr>
          <w:kern w:val="2"/>
          <w:sz w:val="24"/>
          <w:szCs w:val="24"/>
          <w14:ligatures w14:val="standardContextual"/>
        </w:rPr>
        <w:t xml:space="preserve">Un échantillonnage raisonné, fondé sur la pertinence contextuelle et l’accessibilité des acteurs en contexte d’insécurité a été effectué dans </w:t>
      </w:r>
      <w:r w:rsidRPr="00D51032">
        <w:rPr>
          <w:kern w:val="2"/>
          <w:sz w:val="24"/>
          <w:szCs w:val="24"/>
          <w:lang w:val="x-none"/>
          <w14:ligatures w14:val="standardContextual"/>
        </w:rPr>
        <w:t xml:space="preserve">les </w:t>
      </w:r>
      <w:r w:rsidRPr="00D51032">
        <w:rPr>
          <w:bCs/>
          <w:kern w:val="2"/>
          <w:sz w:val="24"/>
          <w:szCs w:val="24"/>
          <w:lang w:val="x-none"/>
          <w14:ligatures w14:val="standardContextual"/>
        </w:rPr>
        <w:t xml:space="preserve">régions du </w:t>
      </w:r>
      <w:proofErr w:type="spellStart"/>
      <w:r w:rsidRPr="00D51032">
        <w:rPr>
          <w:bCs/>
          <w:kern w:val="2"/>
          <w:sz w:val="24"/>
          <w:szCs w:val="24"/>
          <w14:ligatures w14:val="standardContextual"/>
        </w:rPr>
        <w:t>Liptako</w:t>
      </w:r>
      <w:proofErr w:type="spellEnd"/>
      <w:r w:rsidRPr="00D51032">
        <w:rPr>
          <w:bCs/>
          <w:kern w:val="2"/>
          <w:sz w:val="24"/>
          <w:szCs w:val="24"/>
          <w:lang w:val="x-none"/>
          <w14:ligatures w14:val="standardContextual"/>
        </w:rPr>
        <w:t xml:space="preserve">, </w:t>
      </w:r>
      <w:r w:rsidRPr="00D51032">
        <w:rPr>
          <w:bCs/>
          <w:kern w:val="2"/>
          <w:sz w:val="24"/>
          <w:szCs w:val="24"/>
          <w14:ligatures w14:val="standardContextual"/>
        </w:rPr>
        <w:t xml:space="preserve">du </w:t>
      </w:r>
      <w:proofErr w:type="spellStart"/>
      <w:r w:rsidRPr="00D51032">
        <w:rPr>
          <w:bCs/>
          <w:kern w:val="2"/>
          <w:sz w:val="24"/>
          <w:szCs w:val="24"/>
          <w14:ligatures w14:val="standardContextual"/>
        </w:rPr>
        <w:t>Goulmou</w:t>
      </w:r>
      <w:proofErr w:type="spellEnd"/>
      <w:r w:rsidRPr="00D51032">
        <w:rPr>
          <w:bCs/>
          <w:kern w:val="2"/>
          <w:sz w:val="24"/>
          <w:szCs w:val="24"/>
          <w:lang w:val="x-none"/>
          <w14:ligatures w14:val="standardContextual"/>
        </w:rPr>
        <w:t xml:space="preserve">, de </w:t>
      </w:r>
      <w:proofErr w:type="spellStart"/>
      <w:r w:rsidRPr="00D51032">
        <w:rPr>
          <w:bCs/>
          <w:kern w:val="2"/>
          <w:sz w:val="24"/>
          <w:szCs w:val="24"/>
          <w14:ligatures w14:val="standardContextual"/>
        </w:rPr>
        <w:t>Bankui</w:t>
      </w:r>
      <w:proofErr w:type="spellEnd"/>
      <w:r w:rsidRPr="00D51032">
        <w:rPr>
          <w:bCs/>
          <w:kern w:val="2"/>
          <w:sz w:val="24"/>
          <w:szCs w:val="24"/>
          <w:lang w:val="x-none"/>
          <w14:ligatures w14:val="standardContextual"/>
        </w:rPr>
        <w:t xml:space="preserve"> et du </w:t>
      </w:r>
      <w:r w:rsidRPr="00D51032">
        <w:rPr>
          <w:bCs/>
          <w:kern w:val="2"/>
          <w:sz w:val="24"/>
          <w:szCs w:val="24"/>
          <w14:ligatures w14:val="standardContextual"/>
        </w:rPr>
        <w:t>Kadiogo</w:t>
      </w:r>
      <w:r w:rsidRPr="00D51032">
        <w:rPr>
          <w:kern w:val="2"/>
          <w:sz w:val="24"/>
          <w:szCs w:val="24"/>
          <w14:ligatures w14:val="standardContextual"/>
        </w:rPr>
        <w:t xml:space="preserve"> qui accueillent des personnes déplacées internes (PDI) du fait du terrorisme et de la fermeture de leurs structures scolaires. Les apprenants et enseignants de l’étude en font partie. Au total, 240 personnes ont répondu aux enquêtes par </w:t>
      </w:r>
      <w:proofErr w:type="gramStart"/>
      <w:r w:rsidRPr="00D51032">
        <w:rPr>
          <w:kern w:val="2"/>
          <w:sz w:val="24"/>
          <w:szCs w:val="24"/>
          <w14:ligatures w14:val="standardContextual"/>
        </w:rPr>
        <w:t>questionnaires:</w:t>
      </w:r>
      <w:proofErr w:type="gramEnd"/>
      <w:r w:rsidRPr="00D51032">
        <w:rPr>
          <w:kern w:val="2"/>
          <w:sz w:val="24"/>
          <w:szCs w:val="24"/>
          <w14:ligatures w14:val="standardContextual"/>
        </w:rPr>
        <w:t xml:space="preserve">  50 enseignants, 70 apprenants (élèves et étudiants), 60 parents d’apprenants et 60 professionnels des technologies de l’information et de la communication. 60 </w:t>
      </w:r>
      <w:bookmarkEnd w:id="209"/>
      <w:r w:rsidRPr="00D51032">
        <w:rPr>
          <w:kern w:val="2"/>
          <w:sz w:val="24"/>
          <w:szCs w:val="24"/>
          <w14:ligatures w14:val="standardContextual"/>
        </w:rPr>
        <w:t>autres personnes incluant des décideurs, chercheurs, responsables d’ONG se sont prêtées aux entretiens. Sur le total de 300 personnes qui ont répondu, 55% sont des hommes et 45 % sont des femmes ou filles. Le graphique 1 présente l’échantillon.</w:t>
      </w:r>
    </w:p>
    <w:p w14:paraId="3156FB71"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Graphique 1 : Profil des répondants (n</w:t>
      </w:r>
      <w:bookmarkStart w:id="210" w:name="_Hlk211979159"/>
      <w:r w:rsidRPr="00D51032">
        <w:rPr>
          <w:kern w:val="2"/>
          <w:sz w:val="24"/>
          <w:szCs w:val="24"/>
          <w14:ligatures w14:val="standardContextual"/>
        </w:rPr>
        <w:t>=300)</w:t>
      </w:r>
    </w:p>
    <w:p w14:paraId="70F8ED36" w14:textId="77777777" w:rsidR="00D80693" w:rsidRPr="00D51032" w:rsidRDefault="00D80693" w:rsidP="00D51032">
      <w:pPr>
        <w:spacing w:before="120"/>
        <w:jc w:val="both"/>
        <w:rPr>
          <w:kern w:val="2"/>
          <w:sz w:val="24"/>
          <w:szCs w:val="24"/>
          <w14:ligatures w14:val="standardContextual"/>
        </w:rPr>
      </w:pPr>
    </w:p>
    <w:p w14:paraId="18B119EE" w14:textId="77777777" w:rsidR="00D80693" w:rsidRPr="00D51032" w:rsidRDefault="00D80693" w:rsidP="00D51032">
      <w:pPr>
        <w:spacing w:before="120"/>
        <w:rPr>
          <w:kern w:val="2"/>
          <w:sz w:val="24"/>
          <w:szCs w:val="24"/>
          <w14:ligatures w14:val="standardContextual"/>
        </w:rPr>
      </w:pPr>
      <w:r w:rsidRPr="00D51032">
        <w:rPr>
          <w:kern w:val="2"/>
          <w:sz w:val="24"/>
          <w:szCs w:val="24"/>
          <w14:ligatures w14:val="standardContextual"/>
        </w:rPr>
        <w:t xml:space="preserve">       </w:t>
      </w:r>
      <w:r w:rsidRPr="00D51032">
        <w:rPr>
          <w:noProof/>
          <w:sz w:val="24"/>
          <w:szCs w:val="24"/>
        </w:rPr>
        <w:drawing>
          <wp:inline distT="0" distB="0" distL="0" distR="0" wp14:anchorId="24E188AF" wp14:editId="7B455F3D">
            <wp:extent cx="5492262" cy="3200400"/>
            <wp:effectExtent l="0" t="0" r="13335" b="0"/>
            <wp:docPr id="142769479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D3C9182" w14:textId="77777777" w:rsidR="00D80693" w:rsidRPr="00D51032" w:rsidRDefault="00D80693" w:rsidP="00D51032">
      <w:pPr>
        <w:spacing w:before="120"/>
        <w:rPr>
          <w:kern w:val="2"/>
          <w:sz w:val="24"/>
          <w:szCs w:val="24"/>
          <w14:ligatures w14:val="standardContextual"/>
        </w:rPr>
      </w:pPr>
      <w:bookmarkStart w:id="211" w:name="_Hlk217393620"/>
      <w:bookmarkStart w:id="212" w:name="_Hlk211979206"/>
      <w:r w:rsidRPr="00D51032">
        <w:rPr>
          <w:b/>
          <w:kern w:val="2"/>
          <w:sz w:val="24"/>
          <w:szCs w:val="24"/>
          <w14:ligatures w14:val="standardContextual"/>
        </w:rPr>
        <w:t>Source :</w:t>
      </w:r>
      <w:r w:rsidRPr="00D51032">
        <w:rPr>
          <w:kern w:val="2"/>
          <w:sz w:val="24"/>
          <w:szCs w:val="24"/>
          <w14:ligatures w14:val="standardContextual"/>
        </w:rPr>
        <w:t xml:space="preserve"> Enquête de terrain, Mars 2025</w:t>
      </w:r>
    </w:p>
    <w:bookmarkEnd w:id="210"/>
    <w:bookmarkEnd w:id="211"/>
    <w:p w14:paraId="77A6FE17"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Les personnes enquêtées proviennent de zones à fort défi sécuritaire. 35%, soit 105 personnes sont des déplacées internes qui ont fui les attaques terroristes perpétrées dans leurs villages. Un taux de recouvrement de 100% des fiches d’enquêtes a été réalisé et toutes les interviews ont pu être réalisées.</w:t>
      </w:r>
    </w:p>
    <w:p w14:paraId="1F96CD18" w14:textId="77777777" w:rsidR="00D80693" w:rsidRPr="00D51032" w:rsidRDefault="00D80693" w:rsidP="00D51032">
      <w:pPr>
        <w:spacing w:before="120"/>
        <w:rPr>
          <w:b/>
          <w:bCs/>
          <w:kern w:val="2"/>
          <w:sz w:val="24"/>
          <w:szCs w:val="24"/>
          <w14:ligatures w14:val="standardContextual"/>
        </w:rPr>
      </w:pPr>
      <w:r w:rsidRPr="00D51032">
        <w:rPr>
          <w:b/>
          <w:bCs/>
          <w:kern w:val="2"/>
          <w:sz w:val="24"/>
          <w:szCs w:val="24"/>
          <w14:ligatures w14:val="standardContextual"/>
        </w:rPr>
        <w:t xml:space="preserve">2.2 Les perceptions des TIC et innovations pédagogiques par les acteurs </w:t>
      </w:r>
    </w:p>
    <w:p w14:paraId="7746D30E"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Les entretiens ont permis de recueillir les perceptions des 60 personnes, soit 30 femmes et 30 hommes incluant des décideurs, des chercheurs et des responsables d’ONG. L’étude des perceptions visait à comprendre l'acceptabilité et l'adoption des TIC et innovations pédagogiques dans le contexte de la crise sécuritaire au Burkina Faso. Selon le répondant, ses connaissances et compétences en TIC, les perceptions ont varié. Les perceptions positives sont de ceux qui sont favorables aux technologies éducatives et qui encouragent leur adoption et leur intégration dans les pratiques pédagogiques. Les perceptions négatives sont celles exprimées par des personnes techno-sceptiques et qui ont des craintes quant à l’efficacité et le bien-fondé de l’utilisation des TIC en contexte scolaire et universitaire. Il y a aussi des acteurs qui ont des perceptions mitigées ou neutres. Les résultats sont présentés dans le graphique 2.</w:t>
      </w:r>
    </w:p>
    <w:p w14:paraId="731BA8E8"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 xml:space="preserve">Graphique </w:t>
      </w:r>
      <w:bookmarkStart w:id="213" w:name="_Hlk211979245"/>
      <w:r w:rsidRPr="00D51032">
        <w:rPr>
          <w:kern w:val="2"/>
          <w:sz w:val="24"/>
          <w:szCs w:val="24"/>
          <w14:ligatures w14:val="standardContextual"/>
        </w:rPr>
        <w:t xml:space="preserve">2 : perceptions des enquêtés </w:t>
      </w:r>
    </w:p>
    <w:bookmarkEnd w:id="212"/>
    <w:p w14:paraId="072BD0FC" w14:textId="77777777" w:rsidR="00D80693" w:rsidRPr="00D51032" w:rsidRDefault="00D80693" w:rsidP="00D51032">
      <w:pPr>
        <w:spacing w:before="120"/>
        <w:jc w:val="both"/>
        <w:rPr>
          <w:kern w:val="2"/>
          <w:sz w:val="24"/>
          <w:szCs w:val="24"/>
          <w14:ligatures w14:val="standardContextual"/>
        </w:rPr>
      </w:pPr>
    </w:p>
    <w:p w14:paraId="36FCFB09" w14:textId="77777777" w:rsidR="00D80693" w:rsidRPr="00D51032" w:rsidRDefault="00D80693" w:rsidP="00D51032">
      <w:pPr>
        <w:spacing w:before="120"/>
        <w:rPr>
          <w:kern w:val="2"/>
          <w:sz w:val="24"/>
          <w:szCs w:val="24"/>
          <w14:ligatures w14:val="standardContextual"/>
        </w:rPr>
      </w:pPr>
      <w:r w:rsidRPr="00D51032">
        <w:rPr>
          <w:kern w:val="2"/>
          <w:sz w:val="24"/>
          <w:szCs w:val="24"/>
          <w14:ligatures w14:val="standardContextual"/>
        </w:rPr>
        <w:t xml:space="preserve">                               </w:t>
      </w:r>
      <w:r w:rsidRPr="00D51032">
        <w:rPr>
          <w:noProof/>
          <w:sz w:val="24"/>
          <w:szCs w:val="24"/>
        </w:rPr>
        <w:drawing>
          <wp:inline distT="0" distB="0" distL="0" distR="0" wp14:anchorId="2F6393CF" wp14:editId="1A2A2E5D">
            <wp:extent cx="4272915" cy="3078480"/>
            <wp:effectExtent l="0" t="0" r="13335" b="7620"/>
            <wp:docPr id="122180883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237578C" w14:textId="77777777" w:rsidR="00D80693" w:rsidRPr="00D51032" w:rsidRDefault="00D80693" w:rsidP="00D51032">
      <w:pPr>
        <w:spacing w:before="120"/>
        <w:jc w:val="both"/>
        <w:rPr>
          <w:kern w:val="2"/>
          <w:sz w:val="24"/>
          <w:szCs w:val="24"/>
          <w14:ligatures w14:val="standardContextual"/>
        </w:rPr>
      </w:pPr>
      <w:bookmarkStart w:id="214" w:name="_Hlk187957829"/>
      <w:r w:rsidRPr="00D51032">
        <w:rPr>
          <w:b/>
          <w:kern w:val="2"/>
          <w:sz w:val="24"/>
          <w:szCs w:val="24"/>
          <w14:ligatures w14:val="standardContextual"/>
        </w:rPr>
        <w:t>Source :</w:t>
      </w:r>
      <w:r w:rsidRPr="00D51032">
        <w:rPr>
          <w:kern w:val="2"/>
          <w:sz w:val="24"/>
          <w:szCs w:val="24"/>
          <w14:ligatures w14:val="standardContextual"/>
        </w:rPr>
        <w:t xml:space="preserve"> Enquête de terrain, Mars 2025</w:t>
      </w:r>
    </w:p>
    <w:bookmarkEnd w:id="213"/>
    <w:bookmarkEnd w:id="214"/>
    <w:p w14:paraId="40265014"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 xml:space="preserve">70% des répondants ont des perceptions positives des TIC comme support d’enseignement et apprentissage. Plusieurs raisons touchant à la pédagogie, à l'acceptabilité, à l'efficacité, et à la transition numérique dans l'éducation ont été évoquées. Pour T.X, « L’utilité des outils technologiques est indéniable. Ils aident à </w:t>
      </w:r>
      <w:proofErr w:type="gramStart"/>
      <w:r w:rsidRPr="00D51032">
        <w:rPr>
          <w:kern w:val="2"/>
          <w:sz w:val="24"/>
          <w:szCs w:val="24"/>
          <w14:ligatures w14:val="standardContextual"/>
        </w:rPr>
        <w:t>pallier à</w:t>
      </w:r>
      <w:proofErr w:type="gramEnd"/>
      <w:r w:rsidRPr="00D51032">
        <w:rPr>
          <w:kern w:val="2"/>
          <w:sz w:val="24"/>
          <w:szCs w:val="24"/>
          <w14:ligatures w14:val="standardContextual"/>
        </w:rPr>
        <w:t xml:space="preserve"> l’impossibilité d’organiser des cours en présentiel dans les zones où les écoles sont fermées à cause du terrorisme ». O. B apprécie positivement les innovations en TIC pour l’éducation :</w:t>
      </w:r>
    </w:p>
    <w:p w14:paraId="18DAEE47" w14:textId="77777777" w:rsidR="00D80693" w:rsidRPr="00D51032" w:rsidRDefault="00D80693" w:rsidP="00D51032">
      <w:pPr>
        <w:spacing w:before="120"/>
        <w:ind w:left="567" w:right="702"/>
        <w:jc w:val="both"/>
        <w:rPr>
          <w:kern w:val="2"/>
          <w:sz w:val="24"/>
          <w:szCs w:val="24"/>
          <w14:ligatures w14:val="standardContextual"/>
        </w:rPr>
      </w:pPr>
      <w:r w:rsidRPr="00D51032">
        <w:rPr>
          <w:kern w:val="2"/>
          <w:sz w:val="24"/>
          <w:szCs w:val="24"/>
          <w14:ligatures w14:val="standardContextual"/>
        </w:rPr>
        <w:t xml:space="preserve">Les outils numériques sont accessibles et fournissent aux apprenants les mêmes capacités à distance qu’en présentiel ou même mieux. La capacité des technologies à enrichir le pratique pédagogique est immense. On ne peut pas s’en départir en contexte de limitation de la mobilité et d’indisponibilité d’infrastructures scolaires. Depuis la pandémie de Covid 19, l'intégration des technologies dans les stratégies éducatives est salutaire. </w:t>
      </w:r>
      <w:bookmarkStart w:id="215" w:name="_Hlk217393759"/>
      <w:r w:rsidRPr="00D51032">
        <w:rPr>
          <w:kern w:val="2"/>
          <w:sz w:val="24"/>
          <w:szCs w:val="24"/>
          <w14:ligatures w14:val="standardContextual"/>
        </w:rPr>
        <w:t>(</w:t>
      </w:r>
      <w:proofErr w:type="gramStart"/>
      <w:r w:rsidRPr="00D51032">
        <w:rPr>
          <w:kern w:val="2"/>
          <w:sz w:val="24"/>
          <w:szCs w:val="24"/>
          <w14:ligatures w14:val="standardContextual"/>
        </w:rPr>
        <w:t>entretien</w:t>
      </w:r>
      <w:proofErr w:type="gramEnd"/>
      <w:r w:rsidRPr="00D51032">
        <w:rPr>
          <w:kern w:val="2"/>
          <w:sz w:val="24"/>
          <w:szCs w:val="24"/>
          <w14:ligatures w14:val="standardContextual"/>
        </w:rPr>
        <w:t xml:space="preserve"> du 11 mars 2025)</w:t>
      </w:r>
      <w:bookmarkEnd w:id="215"/>
    </w:p>
    <w:p w14:paraId="21F3D98F" w14:textId="77777777" w:rsidR="00D80693" w:rsidRPr="00D51032" w:rsidRDefault="00D80693" w:rsidP="00D51032">
      <w:pPr>
        <w:spacing w:before="120"/>
        <w:ind w:right="702"/>
        <w:jc w:val="both"/>
        <w:rPr>
          <w:kern w:val="2"/>
          <w:sz w:val="24"/>
          <w:szCs w:val="24"/>
          <w14:ligatures w14:val="standardContextual"/>
        </w:rPr>
      </w:pPr>
      <w:r w:rsidRPr="00D51032">
        <w:rPr>
          <w:kern w:val="2"/>
          <w:sz w:val="24"/>
          <w:szCs w:val="24"/>
          <w14:ligatures w14:val="standardContextual"/>
        </w:rPr>
        <w:t xml:space="preserve">S. A. a un avis différent. Pour lui,  </w:t>
      </w:r>
    </w:p>
    <w:p w14:paraId="22EE0C88" w14:textId="77777777" w:rsidR="00D80693" w:rsidRPr="00D51032" w:rsidRDefault="00D80693" w:rsidP="00D51032">
      <w:pPr>
        <w:spacing w:before="120"/>
        <w:ind w:left="567" w:right="1269"/>
        <w:jc w:val="both"/>
        <w:rPr>
          <w:kern w:val="2"/>
          <w:sz w:val="24"/>
          <w:szCs w:val="24"/>
          <w14:ligatures w14:val="standardContextual"/>
        </w:rPr>
      </w:pPr>
      <w:r w:rsidRPr="00D51032">
        <w:rPr>
          <w:kern w:val="2"/>
          <w:sz w:val="24"/>
          <w:szCs w:val="24"/>
          <w14:ligatures w14:val="standardContextual"/>
        </w:rPr>
        <w:t>Les innovations implémentées en éducation à partir de 2019 à cause du COVID sont couteuses pour les parents et les apprenants. De plus, les TIC tendent à remplacer les enseignants et les parents, or, rien ne saura remplacer un enseignant dans une classe et, laisser apprendre seuls les élèves à partir des ordinateurs et téléphones est contreproductif et rend paresseux.  (</w:t>
      </w:r>
      <w:proofErr w:type="gramStart"/>
      <w:r w:rsidRPr="00D51032">
        <w:rPr>
          <w:kern w:val="2"/>
          <w:sz w:val="24"/>
          <w:szCs w:val="24"/>
          <w14:ligatures w14:val="standardContextual"/>
        </w:rPr>
        <w:t>entretien</w:t>
      </w:r>
      <w:proofErr w:type="gramEnd"/>
      <w:r w:rsidRPr="00D51032">
        <w:rPr>
          <w:kern w:val="2"/>
          <w:sz w:val="24"/>
          <w:szCs w:val="24"/>
          <w14:ligatures w14:val="standardContextual"/>
        </w:rPr>
        <w:t xml:space="preserve"> du 11 mars 2025)</w:t>
      </w:r>
    </w:p>
    <w:p w14:paraId="21637F1F" w14:textId="77777777" w:rsidR="00D80693" w:rsidRPr="00D51032" w:rsidRDefault="00D80693" w:rsidP="00D51032">
      <w:pPr>
        <w:spacing w:before="120"/>
        <w:ind w:left="567" w:right="1269"/>
        <w:jc w:val="both"/>
        <w:rPr>
          <w:kern w:val="2"/>
          <w:sz w:val="24"/>
          <w:szCs w:val="24"/>
          <w14:ligatures w14:val="standardContextual"/>
        </w:rPr>
      </w:pPr>
    </w:p>
    <w:p w14:paraId="01108735" w14:textId="77777777" w:rsidR="00D80693" w:rsidRPr="00D51032" w:rsidRDefault="00D80693" w:rsidP="00D51032">
      <w:pPr>
        <w:spacing w:before="120"/>
        <w:ind w:right="702"/>
        <w:jc w:val="both"/>
        <w:rPr>
          <w:kern w:val="2"/>
          <w:sz w:val="24"/>
          <w:szCs w:val="24"/>
          <w14:ligatures w14:val="standardContextual"/>
        </w:rPr>
      </w:pPr>
      <w:r w:rsidRPr="00D51032">
        <w:rPr>
          <w:kern w:val="2"/>
          <w:sz w:val="24"/>
          <w:szCs w:val="24"/>
          <w14:ligatures w14:val="standardContextual"/>
        </w:rPr>
        <w:t xml:space="preserve">Pour C.A, </w:t>
      </w:r>
    </w:p>
    <w:p w14:paraId="721F9F8B" w14:textId="77777777" w:rsidR="00D80693" w:rsidRPr="00D51032" w:rsidRDefault="00D80693" w:rsidP="00D51032">
      <w:pPr>
        <w:spacing w:before="120"/>
        <w:ind w:left="567" w:right="702"/>
        <w:jc w:val="both"/>
        <w:rPr>
          <w:kern w:val="2"/>
          <w:sz w:val="24"/>
          <w:szCs w:val="24"/>
          <w14:ligatures w14:val="standardContextual"/>
        </w:rPr>
      </w:pPr>
      <w:r w:rsidRPr="00D51032">
        <w:rPr>
          <w:kern w:val="2"/>
          <w:sz w:val="24"/>
          <w:szCs w:val="24"/>
          <w14:ligatures w14:val="standardContextual"/>
        </w:rPr>
        <w:t>Les outils TIC permettent d'atteindre les objectifs didactiques et pédagogiques d’adaptation contextualisé et de continuité des apprentissages, en particulier dans les zones de conflits qui imposent l'inclusion ou la personnalisation de l'apprentissage. Ils permettent de limiter les inégalités dans l'accès aux technologies ou dans leur utilisation, notamment pour les groupes marginalisés ou défavorisés. (</w:t>
      </w:r>
      <w:proofErr w:type="gramStart"/>
      <w:r w:rsidRPr="00D51032">
        <w:rPr>
          <w:kern w:val="2"/>
          <w:sz w:val="24"/>
          <w:szCs w:val="24"/>
          <w14:ligatures w14:val="standardContextual"/>
        </w:rPr>
        <w:t>entretien</w:t>
      </w:r>
      <w:proofErr w:type="gramEnd"/>
      <w:r w:rsidRPr="00D51032">
        <w:rPr>
          <w:kern w:val="2"/>
          <w:sz w:val="24"/>
          <w:szCs w:val="24"/>
          <w14:ligatures w14:val="standardContextual"/>
        </w:rPr>
        <w:t xml:space="preserve"> du 11 mars 2025)</w:t>
      </w:r>
    </w:p>
    <w:p w14:paraId="4238868B" w14:textId="77777777" w:rsidR="00D80693" w:rsidRPr="00D51032" w:rsidRDefault="00D80693" w:rsidP="00D51032">
      <w:pPr>
        <w:spacing w:before="120"/>
        <w:ind w:right="702"/>
        <w:jc w:val="both"/>
        <w:rPr>
          <w:kern w:val="2"/>
          <w:sz w:val="24"/>
          <w:szCs w:val="24"/>
          <w14:ligatures w14:val="standardContextual"/>
        </w:rPr>
      </w:pPr>
      <w:r w:rsidRPr="00D51032">
        <w:rPr>
          <w:kern w:val="2"/>
          <w:sz w:val="24"/>
          <w:szCs w:val="24"/>
          <w14:ligatures w14:val="standardContextual"/>
        </w:rPr>
        <w:t>Tenir compte des attentes, des besoins et des moyens nécessaires pour l’adoption des innovation TIC requiert de grands moyens selon ceux qui ont des perceptions négatives des TIC en éducation au Burkina Faso. Pour les uns, les infrastructures technologiques sont insuffisantes en qualité et en quantité. De même les enseignants ne sont pas assez outillés pour assurer des cours à distance. De l’avis de T. S.,</w:t>
      </w:r>
    </w:p>
    <w:p w14:paraId="0D8E48DB" w14:textId="77777777" w:rsidR="00D80693" w:rsidRPr="00D51032" w:rsidRDefault="00D80693" w:rsidP="00D51032">
      <w:pPr>
        <w:spacing w:before="120"/>
        <w:ind w:left="567" w:right="702"/>
        <w:jc w:val="both"/>
        <w:rPr>
          <w:kern w:val="2"/>
          <w:sz w:val="24"/>
          <w:szCs w:val="24"/>
          <w14:ligatures w14:val="standardContextual"/>
        </w:rPr>
      </w:pPr>
      <w:r w:rsidRPr="00D51032">
        <w:rPr>
          <w:kern w:val="2"/>
          <w:sz w:val="24"/>
          <w:szCs w:val="24"/>
          <w14:ligatures w14:val="standardContextual"/>
        </w:rPr>
        <w:t>Vulgariser l’enseignement des TIC en contexte de crise nécessite de gros investissement dans les technologies, notamment dans la mise à la disposition des acteurs un minimum de commodités. La guidance parentale des apprenants est aussi essentielle et la formation des parents et leur dotation en outils tic est nécessaire pour atteindre les objectifs d’enseignement apprentissages à distance.  (</w:t>
      </w:r>
      <w:proofErr w:type="gramStart"/>
      <w:r w:rsidRPr="00D51032">
        <w:rPr>
          <w:kern w:val="2"/>
          <w:sz w:val="24"/>
          <w:szCs w:val="24"/>
          <w14:ligatures w14:val="standardContextual"/>
        </w:rPr>
        <w:t>entretien</w:t>
      </w:r>
      <w:proofErr w:type="gramEnd"/>
      <w:r w:rsidRPr="00D51032">
        <w:rPr>
          <w:kern w:val="2"/>
          <w:sz w:val="24"/>
          <w:szCs w:val="24"/>
          <w14:ligatures w14:val="standardContextual"/>
        </w:rPr>
        <w:t xml:space="preserve"> du 14 mars 2025) </w:t>
      </w:r>
    </w:p>
    <w:p w14:paraId="268DC28A" w14:textId="77777777" w:rsidR="00D80693" w:rsidRPr="00D51032" w:rsidRDefault="00D80693" w:rsidP="00D51032">
      <w:pPr>
        <w:spacing w:before="120"/>
        <w:ind w:right="702"/>
        <w:jc w:val="both"/>
        <w:rPr>
          <w:kern w:val="2"/>
          <w:sz w:val="24"/>
          <w:szCs w:val="24"/>
          <w14:ligatures w14:val="standardContextual"/>
        </w:rPr>
      </w:pPr>
      <w:r w:rsidRPr="00D51032">
        <w:rPr>
          <w:kern w:val="2"/>
          <w:sz w:val="24"/>
          <w:szCs w:val="24"/>
          <w14:ligatures w14:val="standardContextual"/>
        </w:rPr>
        <w:t>Les apprenants de l’étude ont surtout évoqué le manque de moyens logistiques pour télécharger les documents ou pour suivre les cours</w:t>
      </w:r>
      <w:bookmarkStart w:id="216" w:name="_Hlk188017467"/>
      <w:r w:rsidRPr="00D51032">
        <w:rPr>
          <w:kern w:val="2"/>
          <w:sz w:val="24"/>
          <w:szCs w:val="24"/>
          <w14:ligatures w14:val="standardContextual"/>
        </w:rPr>
        <w:t xml:space="preserve"> à </w:t>
      </w:r>
      <w:bookmarkEnd w:id="216"/>
      <w:r w:rsidRPr="00D51032">
        <w:rPr>
          <w:kern w:val="2"/>
          <w:sz w:val="24"/>
          <w:szCs w:val="24"/>
          <w14:ligatures w14:val="standardContextual"/>
        </w:rPr>
        <w:t xml:space="preserve">distance. Si l’accès à la radio est un peu plus facile, la télévision est souvent indisponible. Il en est de même des téléphones où sont partagés les documents pédagogiques par WhatsApp individuellement ou dans des groupes. Quelques élèves et étudiants ont cependant eu la chance que dans leurs zones occupées, ils ont accès aux formations en ligne et aux documents et ont des représentations très positives des TIC en éducation. De l’avis de T. A. un étudiant, </w:t>
      </w:r>
    </w:p>
    <w:p w14:paraId="276CFED4" w14:textId="77777777" w:rsidR="00D80693" w:rsidRPr="00D51032" w:rsidRDefault="00D80693" w:rsidP="00D51032">
      <w:pPr>
        <w:spacing w:before="120"/>
        <w:ind w:left="567" w:right="702"/>
        <w:jc w:val="both"/>
        <w:rPr>
          <w:kern w:val="2"/>
          <w:sz w:val="24"/>
          <w:szCs w:val="24"/>
          <w14:ligatures w14:val="standardContextual"/>
        </w:rPr>
      </w:pPr>
      <w:r w:rsidRPr="00D51032">
        <w:rPr>
          <w:kern w:val="2"/>
          <w:sz w:val="24"/>
          <w:szCs w:val="24"/>
          <w14:ligatures w14:val="standardContextual"/>
        </w:rPr>
        <w:t>Les TIC et innovations en éducation sont incontournables. On gagne en temps car des écoles sont inaccessibles dans les zones de conflits. En plus, aujourd’hui, on n’a pas forcément besoin d’enseignants en face pour apprendre, mais tout dépend des moyens que le gouvernement met en place pour la mise en œuvre.   (</w:t>
      </w:r>
      <w:proofErr w:type="gramStart"/>
      <w:r w:rsidRPr="00D51032">
        <w:rPr>
          <w:kern w:val="2"/>
          <w:sz w:val="24"/>
          <w:szCs w:val="24"/>
          <w14:ligatures w14:val="standardContextual"/>
        </w:rPr>
        <w:t>entretien</w:t>
      </w:r>
      <w:proofErr w:type="gramEnd"/>
      <w:r w:rsidRPr="00D51032">
        <w:rPr>
          <w:kern w:val="2"/>
          <w:sz w:val="24"/>
          <w:szCs w:val="24"/>
          <w14:ligatures w14:val="standardContextual"/>
        </w:rPr>
        <w:t xml:space="preserve"> du 14 mars 2025)</w:t>
      </w:r>
    </w:p>
    <w:p w14:paraId="1B78C490" w14:textId="77777777" w:rsidR="00D80693" w:rsidRPr="00D51032" w:rsidRDefault="00D80693" w:rsidP="00D51032">
      <w:pPr>
        <w:spacing w:before="120"/>
        <w:ind w:right="702"/>
        <w:jc w:val="both"/>
        <w:rPr>
          <w:kern w:val="2"/>
          <w:sz w:val="24"/>
          <w:szCs w:val="24"/>
          <w14:ligatures w14:val="standardContextual"/>
        </w:rPr>
      </w:pPr>
      <w:r w:rsidRPr="00D51032">
        <w:rPr>
          <w:kern w:val="2"/>
          <w:sz w:val="24"/>
          <w:szCs w:val="24"/>
          <w14:ligatures w14:val="standardContextual"/>
        </w:rPr>
        <w:t>Les personnes ayant des avis neutres ne sont ni pour ni contre les TIC innovations technologiques. Pour eux, l’efficacité de l’adoption des innovations technologiques et documents numériques dépend de leur accessibilité. Pour beaucoup d’entre eux, la véritablement une priorité, c’est finir le terrorisme pour que les apprenants retournent dans leurs zones d’origine.</w:t>
      </w:r>
    </w:p>
    <w:p w14:paraId="03198EF9" w14:textId="77777777" w:rsidR="00D80693" w:rsidRPr="00D51032" w:rsidRDefault="00D80693" w:rsidP="00D51032">
      <w:pPr>
        <w:spacing w:before="120"/>
        <w:rPr>
          <w:b/>
          <w:bCs/>
          <w:kern w:val="2"/>
          <w:sz w:val="24"/>
          <w:szCs w:val="24"/>
          <w14:ligatures w14:val="standardContextual"/>
        </w:rPr>
      </w:pPr>
      <w:r w:rsidRPr="00D51032">
        <w:rPr>
          <w:b/>
          <w:bCs/>
          <w:kern w:val="2"/>
          <w:sz w:val="24"/>
          <w:szCs w:val="24"/>
          <w14:ligatures w14:val="standardContextual"/>
        </w:rPr>
        <w:t xml:space="preserve">2.3 Les opportunités des TIC et innovation pour le système éducatif burkinabè </w:t>
      </w:r>
    </w:p>
    <w:p w14:paraId="068EA4F3" w14:textId="77777777" w:rsidR="00D80693" w:rsidRPr="00D51032" w:rsidRDefault="00D80693" w:rsidP="00D51032">
      <w:pPr>
        <w:spacing w:before="120"/>
        <w:jc w:val="both"/>
        <w:rPr>
          <w:sz w:val="24"/>
          <w:szCs w:val="24"/>
          <w:lang w:eastAsia="fr-CA"/>
        </w:rPr>
      </w:pPr>
      <w:r w:rsidRPr="00D51032">
        <w:rPr>
          <w:sz w:val="24"/>
          <w:szCs w:val="24"/>
          <w:lang w:eastAsia="fr-CA"/>
        </w:rPr>
        <w:t>La question des opportunités a été abordée au cours des entretiens et dans les questionnaires d’enquête. Ainsi le public cible de 300 personnes y a répondu. Nous avons recueilli quelques perceptions des TIC avant d’aborder les opportunités et défis.</w:t>
      </w:r>
    </w:p>
    <w:p w14:paraId="295AC47D" w14:textId="77777777" w:rsidR="00D80693" w:rsidRPr="00D51032" w:rsidRDefault="00D80693" w:rsidP="00D51032">
      <w:pPr>
        <w:spacing w:before="120"/>
        <w:jc w:val="both"/>
        <w:rPr>
          <w:sz w:val="24"/>
          <w:szCs w:val="24"/>
          <w:lang w:eastAsia="fr-CA"/>
        </w:rPr>
      </w:pPr>
      <w:r w:rsidRPr="00D51032">
        <w:rPr>
          <w:sz w:val="24"/>
          <w:szCs w:val="24"/>
          <w:lang w:eastAsia="fr-CA"/>
        </w:rPr>
        <w:t>Graphique 3. Perception sur adaptation des TIC et innovations</w:t>
      </w:r>
      <w:bookmarkStart w:id="217" w:name="_Hlk211979473"/>
    </w:p>
    <w:p w14:paraId="1A30C173" w14:textId="77777777" w:rsidR="00D80693" w:rsidRPr="00D51032" w:rsidRDefault="00D80693" w:rsidP="00D51032">
      <w:pPr>
        <w:spacing w:before="120"/>
        <w:jc w:val="both"/>
        <w:rPr>
          <w:sz w:val="24"/>
          <w:szCs w:val="24"/>
          <w:lang w:eastAsia="fr-CA"/>
        </w:rPr>
      </w:pPr>
      <w:r w:rsidRPr="00D51032">
        <w:rPr>
          <w:sz w:val="24"/>
          <w:szCs w:val="24"/>
          <w:lang w:eastAsia="fr-CA"/>
        </w:rPr>
        <w:t xml:space="preserve">         </w:t>
      </w:r>
      <w:r w:rsidRPr="00D51032">
        <w:rPr>
          <w:noProof/>
          <w:sz w:val="24"/>
          <w:szCs w:val="24"/>
        </w:rPr>
        <w:drawing>
          <wp:inline distT="0" distB="0" distL="0" distR="0" wp14:anchorId="5F41682C" wp14:editId="6B463746">
            <wp:extent cx="4770120" cy="2872740"/>
            <wp:effectExtent l="0" t="0" r="11430" b="3810"/>
            <wp:docPr id="75678425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B7A1F65" w14:textId="77777777" w:rsidR="00D80693" w:rsidRPr="00D51032" w:rsidRDefault="00D80693" w:rsidP="00D51032">
      <w:pPr>
        <w:spacing w:before="120"/>
        <w:jc w:val="both"/>
        <w:rPr>
          <w:sz w:val="24"/>
          <w:szCs w:val="24"/>
          <w:lang w:eastAsia="fr-CA"/>
        </w:rPr>
      </w:pPr>
      <w:r w:rsidRPr="00D51032">
        <w:rPr>
          <w:sz w:val="24"/>
          <w:szCs w:val="24"/>
          <w:lang w:eastAsia="fr-CA"/>
        </w:rPr>
        <w:t xml:space="preserve">                      </w:t>
      </w:r>
      <w:r w:rsidRPr="00D51032">
        <w:rPr>
          <w:b/>
          <w:sz w:val="24"/>
          <w:szCs w:val="24"/>
          <w:lang w:eastAsia="fr-CA"/>
        </w:rPr>
        <w:t>Source :</w:t>
      </w:r>
      <w:r w:rsidRPr="00D51032">
        <w:rPr>
          <w:sz w:val="24"/>
          <w:szCs w:val="24"/>
          <w:lang w:eastAsia="fr-CA"/>
        </w:rPr>
        <w:t xml:space="preserve"> Enquête de terrain, Mars 2025</w:t>
      </w:r>
    </w:p>
    <w:p w14:paraId="77135A3D" w14:textId="77777777" w:rsidR="00D80693" w:rsidRPr="00D51032" w:rsidRDefault="00D80693" w:rsidP="00D51032">
      <w:pPr>
        <w:spacing w:before="120"/>
        <w:jc w:val="both"/>
        <w:rPr>
          <w:sz w:val="24"/>
          <w:szCs w:val="24"/>
          <w:lang w:eastAsia="fr-CA"/>
        </w:rPr>
      </w:pPr>
    </w:p>
    <w:p w14:paraId="3C79D7F0" w14:textId="77777777" w:rsidR="00D80693" w:rsidRPr="00D51032" w:rsidRDefault="00D80693" w:rsidP="00D51032">
      <w:pPr>
        <w:spacing w:before="120"/>
        <w:jc w:val="both"/>
        <w:rPr>
          <w:sz w:val="24"/>
          <w:szCs w:val="24"/>
          <w:lang w:eastAsia="fr-CA"/>
        </w:rPr>
      </w:pPr>
      <w:bookmarkStart w:id="218" w:name="_Hlk188049116"/>
      <w:bookmarkEnd w:id="217"/>
      <w:r w:rsidRPr="00D51032">
        <w:rPr>
          <w:sz w:val="24"/>
          <w:szCs w:val="24"/>
          <w:lang w:eastAsia="fr-CA"/>
        </w:rPr>
        <w:t xml:space="preserve">57 % des 300 enquêtés soit 171 personnes, reconnaissent que, dans le contexte de crises sécuritaires vécues par le Burkina Faso, le système éducatif est perturbé profondément et les TIC et les innovations éducatives sont des solutions adaptées au contexte pour atténuer les effets de la crise sécuritaire sur l’éducation et garantir un accès équitable à l’éducation. 31% soit 93 personnes trouvent qu’elles ne sont pas adaptées tandis que 12 % soit 36 personnes sont indécises. </w:t>
      </w:r>
    </w:p>
    <w:bookmarkEnd w:id="218"/>
    <w:p w14:paraId="295DDCBE" w14:textId="77777777" w:rsidR="00D80693" w:rsidRPr="00D51032" w:rsidRDefault="00D80693" w:rsidP="00D51032">
      <w:pPr>
        <w:spacing w:before="120"/>
        <w:jc w:val="both"/>
        <w:rPr>
          <w:sz w:val="24"/>
          <w:szCs w:val="24"/>
          <w:lang w:eastAsia="fr-CA"/>
        </w:rPr>
      </w:pPr>
      <w:r w:rsidRPr="00D51032">
        <w:rPr>
          <w:sz w:val="24"/>
          <w:szCs w:val="24"/>
          <w:lang w:eastAsia="fr-CA"/>
        </w:rPr>
        <w:t xml:space="preserve">A la question pour savoir quelles sont les opportunités offertes par les TIC et innovation technologiques pour le système éducatif burkinabè en contexte de crise sécuritaire, la garantie de la continuité pédagogique à distance, le soutien aux enseignants et personnels éducatifs, les opportunités pour la guidance parentale ; le renforcement de la gestion et de la gouvernance éducative mais aussi le soutien psychologique et social </w:t>
      </w:r>
      <w:proofErr w:type="gramStart"/>
      <w:r w:rsidRPr="00D51032">
        <w:rPr>
          <w:sz w:val="24"/>
          <w:szCs w:val="24"/>
          <w:lang w:eastAsia="fr-CA"/>
        </w:rPr>
        <w:t>ont</w:t>
      </w:r>
      <w:proofErr w:type="gramEnd"/>
      <w:r w:rsidRPr="00D51032">
        <w:rPr>
          <w:sz w:val="24"/>
          <w:szCs w:val="24"/>
          <w:lang w:eastAsia="fr-CA"/>
        </w:rPr>
        <w:t xml:space="preserve"> été relevés.</w:t>
      </w:r>
    </w:p>
    <w:p w14:paraId="10EA349A" w14:textId="77777777" w:rsidR="00D80693" w:rsidRPr="00D51032" w:rsidRDefault="00D80693" w:rsidP="00D51032">
      <w:pPr>
        <w:spacing w:before="120"/>
        <w:rPr>
          <w:b/>
          <w:bCs/>
          <w:sz w:val="24"/>
          <w:szCs w:val="24"/>
          <w:lang w:eastAsia="fr-CA"/>
        </w:rPr>
      </w:pPr>
      <w:r w:rsidRPr="00D51032">
        <w:rPr>
          <w:b/>
          <w:bCs/>
          <w:sz w:val="24"/>
          <w:szCs w:val="24"/>
          <w:lang w:eastAsia="fr-CA"/>
        </w:rPr>
        <w:t xml:space="preserve">2.3.1 </w:t>
      </w:r>
      <w:bookmarkStart w:id="219" w:name="_Hlk187960191"/>
      <w:r w:rsidRPr="00D51032">
        <w:rPr>
          <w:b/>
          <w:bCs/>
          <w:sz w:val="24"/>
          <w:szCs w:val="24"/>
          <w:lang w:eastAsia="fr-CA"/>
        </w:rPr>
        <w:t xml:space="preserve">La </w:t>
      </w:r>
      <w:bookmarkStart w:id="220" w:name="_Hlk187979923"/>
      <w:bookmarkStart w:id="221" w:name="_Hlk187980264"/>
      <w:r w:rsidRPr="00D51032">
        <w:rPr>
          <w:b/>
          <w:bCs/>
          <w:sz w:val="24"/>
          <w:szCs w:val="24"/>
          <w:lang w:eastAsia="fr-CA"/>
        </w:rPr>
        <w:t xml:space="preserve">garantie de la continuité pédagogique </w:t>
      </w:r>
      <w:bookmarkEnd w:id="220"/>
      <w:r w:rsidRPr="00D51032">
        <w:rPr>
          <w:b/>
          <w:bCs/>
          <w:sz w:val="24"/>
          <w:szCs w:val="24"/>
          <w:lang w:eastAsia="fr-CA"/>
        </w:rPr>
        <w:t>à distance</w:t>
      </w:r>
      <w:bookmarkEnd w:id="219"/>
      <w:bookmarkEnd w:id="221"/>
    </w:p>
    <w:p w14:paraId="03F0A7AE" w14:textId="77777777" w:rsidR="00D80693" w:rsidRPr="00D51032" w:rsidRDefault="00D80693" w:rsidP="00D51032">
      <w:pPr>
        <w:spacing w:before="120"/>
        <w:jc w:val="both"/>
        <w:rPr>
          <w:sz w:val="24"/>
          <w:szCs w:val="24"/>
          <w:lang w:eastAsia="fr-CA"/>
        </w:rPr>
      </w:pPr>
      <w:r w:rsidRPr="00D51032">
        <w:rPr>
          <w:sz w:val="24"/>
          <w:szCs w:val="24"/>
          <w:lang w:eastAsia="fr-CA"/>
        </w:rPr>
        <w:t xml:space="preserve">59 % des personnes enquêtées pensent que les TIC permettent de maintenir l’accès à l’éducation, même en cas de fermetures d’écoles dues </w:t>
      </w:r>
      <w:bookmarkStart w:id="222" w:name="_Hlk186917562"/>
      <w:r w:rsidRPr="00D51032">
        <w:rPr>
          <w:sz w:val="24"/>
          <w:szCs w:val="24"/>
          <w:lang w:eastAsia="fr-CA"/>
        </w:rPr>
        <w:t>à</w:t>
      </w:r>
      <w:bookmarkEnd w:id="222"/>
      <w:r w:rsidRPr="00D51032">
        <w:rPr>
          <w:sz w:val="24"/>
          <w:szCs w:val="24"/>
          <w:lang w:eastAsia="fr-CA"/>
        </w:rPr>
        <w:t xml:space="preserve"> l’insécurité ou à des déplacements de populations. 2% de personnes précédemment sceptiques se sont ralliés à l’idée que les TIC et innovations éducatives sont des palliatifs adaptés qui garantissent la continuité pédagogique.</w:t>
      </w:r>
      <w:r w:rsidRPr="00D51032">
        <w:rPr>
          <w:kern w:val="2"/>
          <w:sz w:val="24"/>
          <w:szCs w:val="24"/>
          <w14:ligatures w14:val="standardContextual"/>
        </w:rPr>
        <w:t xml:space="preserve"> </w:t>
      </w:r>
      <w:r w:rsidRPr="00D51032">
        <w:rPr>
          <w:sz w:val="24"/>
          <w:szCs w:val="24"/>
          <w:lang w:eastAsia="fr-CA"/>
        </w:rPr>
        <w:t>Sur le plan didactique, les TIC permettent la reconfiguration des situations d’enseignement-apprentissage en contexte de crise sécuritaire. Elles favorisent le passage d’un modèle transmissif en présentiel à des formes d’apprentissage médiatisées, hybrides ou asynchrones, adaptées aux contraintes de mobilité et d’insécurité. Par exemple, l’usage de WhatsApp comme environnement d’apprentissage informel permet la diffusion de supports didactiques (leçons audio, exercices photographiés, consignes vocales), l’interaction minimale enseignant-apprenant et le maintien d’un cadre pédagogique, même en l’absence de salle de classe. Ces dispositifs, bien que simplifiés, remplissent des fonctions didactiques essentielles : structuration des contenus, guidage de l’apprentissage, rétroaction et maintien du lien pédagogique. Les 41 % regrettent l’indisponibilité des infrastructures numériques et l’insuffisance de possibilités telles que les téléphones, tablettes, ordinateurs, électricité pour la recharge des appareils pour les apprenants afin qu’ils bénéficient des enseignements et formations à distance.</w:t>
      </w:r>
      <w:r w:rsidRPr="00D51032">
        <w:rPr>
          <w:kern w:val="2"/>
          <w:sz w:val="24"/>
          <w:szCs w:val="24"/>
          <w14:ligatures w14:val="standardContextual"/>
        </w:rPr>
        <w:t xml:space="preserve"> </w:t>
      </w:r>
    </w:p>
    <w:p w14:paraId="425D665F" w14:textId="77777777" w:rsidR="00D80693" w:rsidRPr="00D51032" w:rsidRDefault="00D80693" w:rsidP="00D51032">
      <w:pPr>
        <w:spacing w:before="120"/>
        <w:jc w:val="both"/>
        <w:rPr>
          <w:sz w:val="24"/>
          <w:szCs w:val="24"/>
          <w:lang w:eastAsia="fr-CA"/>
        </w:rPr>
      </w:pPr>
      <w:r w:rsidRPr="00D51032">
        <w:rPr>
          <w:sz w:val="24"/>
          <w:szCs w:val="24"/>
          <w:lang w:eastAsia="fr-CA"/>
        </w:rPr>
        <w:t>Des enseignants et les professionnels des TIC apprécient la disponibilité de plateformes d’apprentissage en ligne tels que Google Classroom, Moodle ou les solutions didactiques (manuels, exercices) adaptées, développées par le ministère en charge de l’éducation (MEBAPLN), le ministère en charge de l’information et celui en charge de l’enseignement supérieur et de la recherche, pour offrir des contenus pédagogiques accessibles aux élèves, y compris dans les zones où sévit la crise. Ainsi, l’enseignement par la radio et la télévision se poursuivent depuis la pandémie de COVID 19. Dans l’enseignement supérieur, l’Université virtuelle offre des cours à distance, permettant l’inclusion des étudiants des zones affectées par la crise sécuritaire</w:t>
      </w:r>
      <w:r w:rsidRPr="00D51032">
        <w:rPr>
          <w:b/>
          <w:bCs/>
          <w:sz w:val="24"/>
          <w:szCs w:val="24"/>
          <w:lang w:eastAsia="fr-CA"/>
        </w:rPr>
        <w:t xml:space="preserve"> </w:t>
      </w:r>
      <w:r w:rsidRPr="00D51032">
        <w:rPr>
          <w:sz w:val="24"/>
          <w:szCs w:val="24"/>
          <w:lang w:eastAsia="fr-CA"/>
        </w:rPr>
        <w:t>garantissant la continuité pédagogique à distance.</w:t>
      </w:r>
    </w:p>
    <w:p w14:paraId="142D3224" w14:textId="77777777" w:rsidR="00D80693" w:rsidRPr="00D51032" w:rsidRDefault="00D80693" w:rsidP="00D51032">
      <w:pPr>
        <w:spacing w:before="120"/>
        <w:jc w:val="both"/>
        <w:rPr>
          <w:b/>
          <w:bCs/>
          <w:sz w:val="24"/>
          <w:szCs w:val="24"/>
          <w:lang w:eastAsia="fr-CA"/>
        </w:rPr>
      </w:pPr>
      <w:r w:rsidRPr="00D51032">
        <w:rPr>
          <w:b/>
          <w:bCs/>
          <w:sz w:val="24"/>
          <w:szCs w:val="24"/>
          <w:lang w:eastAsia="fr-CA"/>
        </w:rPr>
        <w:t xml:space="preserve">2.3.2 </w:t>
      </w:r>
      <w:bookmarkStart w:id="223" w:name="_Hlk187960216"/>
      <w:r w:rsidRPr="00D51032">
        <w:rPr>
          <w:b/>
          <w:bCs/>
          <w:sz w:val="24"/>
          <w:szCs w:val="24"/>
          <w:lang w:eastAsia="fr-CA"/>
        </w:rPr>
        <w:t>Le soutien aux enseignants et personnels éducatifs</w:t>
      </w:r>
      <w:bookmarkEnd w:id="223"/>
    </w:p>
    <w:p w14:paraId="24E94A93" w14:textId="77777777" w:rsidR="00D80693" w:rsidRPr="00D51032" w:rsidRDefault="00D80693" w:rsidP="00D51032">
      <w:pPr>
        <w:spacing w:before="120"/>
        <w:jc w:val="both"/>
        <w:rPr>
          <w:sz w:val="24"/>
          <w:szCs w:val="24"/>
          <w:lang w:eastAsia="fr-CA"/>
        </w:rPr>
      </w:pPr>
      <w:r w:rsidRPr="00D51032">
        <w:rPr>
          <w:sz w:val="24"/>
          <w:szCs w:val="24"/>
          <w:lang w:eastAsia="fr-CA"/>
        </w:rPr>
        <w:t xml:space="preserve">Les enquêtés se sont prononcés sur les apports des technologies et les possibilités offertes par les innovations qu’elles portent mais aussi les acquis en termes de renforcement des capacités dans le contexte de crise sécuritaire. Pour les enseignants qui ont fui leurs localités d’enseignements, les plateformes d’échanges telles que WhatsApp, </w:t>
      </w:r>
      <w:proofErr w:type="spellStart"/>
      <w:r w:rsidRPr="00D51032">
        <w:rPr>
          <w:sz w:val="24"/>
          <w:szCs w:val="24"/>
          <w:lang w:eastAsia="fr-CA"/>
        </w:rPr>
        <w:t>Telegram</w:t>
      </w:r>
      <w:proofErr w:type="spellEnd"/>
      <w:r w:rsidRPr="00D51032">
        <w:rPr>
          <w:sz w:val="24"/>
          <w:szCs w:val="24"/>
          <w:lang w:eastAsia="fr-CA"/>
        </w:rPr>
        <w:t>, les groupes de co-construction et forums en ligne offrent des espaces pour échanger et continuer le travail d’éducation. Ces outils favorisent le partage des informations, des bonnes pratiques et des ressources pédagogiques. La résilience des enseignants est renforcée grâce aux possibilités d’innover et adapter leurs pratiques.</w:t>
      </w:r>
      <w:r w:rsidRPr="00D51032">
        <w:rPr>
          <w:b/>
          <w:bCs/>
          <w:sz w:val="24"/>
          <w:szCs w:val="24"/>
          <w:lang w:eastAsia="fr-CA"/>
        </w:rPr>
        <w:t xml:space="preserve"> </w:t>
      </w:r>
    </w:p>
    <w:p w14:paraId="24DEA56C" w14:textId="77777777" w:rsidR="00D80693" w:rsidRPr="00D51032" w:rsidRDefault="00D80693" w:rsidP="00D51032">
      <w:pPr>
        <w:spacing w:before="120"/>
        <w:jc w:val="both"/>
        <w:rPr>
          <w:sz w:val="24"/>
          <w:szCs w:val="24"/>
          <w:lang w:eastAsia="fr-CA"/>
        </w:rPr>
      </w:pPr>
      <w:r w:rsidRPr="00D51032">
        <w:rPr>
          <w:sz w:val="24"/>
          <w:szCs w:val="24"/>
          <w:lang w:eastAsia="fr-CA"/>
        </w:rPr>
        <w:t xml:space="preserve">Selon les professionnels des TIC, les technologies offrent des expériences inclusives, immersives et des simulations pour renforcer l’apprentissage à distance. Ils citent notamment des contenus personnalisés, des plateformes basées sur l’intelligence artificielle qui adaptent les cours aux niveaux et aux rythmes des apprenants. </w:t>
      </w:r>
    </w:p>
    <w:p w14:paraId="0C7CE6AC" w14:textId="77777777" w:rsidR="00D80693" w:rsidRPr="00D51032" w:rsidRDefault="00D80693" w:rsidP="00D51032">
      <w:pPr>
        <w:spacing w:before="120"/>
        <w:rPr>
          <w:b/>
          <w:bCs/>
          <w:sz w:val="24"/>
          <w:szCs w:val="24"/>
          <w:lang w:eastAsia="fr-CA"/>
        </w:rPr>
      </w:pPr>
      <w:r w:rsidRPr="00D51032">
        <w:rPr>
          <w:b/>
          <w:bCs/>
          <w:sz w:val="24"/>
          <w:szCs w:val="24"/>
          <w:lang w:eastAsia="fr-CA"/>
        </w:rPr>
        <w:t xml:space="preserve">2.3.3 Les </w:t>
      </w:r>
      <w:bookmarkStart w:id="224" w:name="_Hlk187960245"/>
      <w:r w:rsidRPr="00D51032">
        <w:rPr>
          <w:b/>
          <w:bCs/>
          <w:sz w:val="24"/>
          <w:szCs w:val="24"/>
          <w:lang w:eastAsia="fr-CA"/>
        </w:rPr>
        <w:t>opportunités pour la guidance parentale</w:t>
      </w:r>
    </w:p>
    <w:bookmarkEnd w:id="224"/>
    <w:p w14:paraId="2EA9FE12" w14:textId="77777777" w:rsidR="00D80693" w:rsidRPr="00D51032" w:rsidRDefault="00D80693" w:rsidP="00D51032">
      <w:pPr>
        <w:spacing w:before="120"/>
        <w:jc w:val="both"/>
        <w:rPr>
          <w:sz w:val="24"/>
          <w:szCs w:val="24"/>
          <w:lang w:eastAsia="fr-CA"/>
        </w:rPr>
      </w:pPr>
      <w:r w:rsidRPr="00D51032">
        <w:rPr>
          <w:sz w:val="24"/>
          <w:szCs w:val="24"/>
          <w:lang w:eastAsia="fr-CA"/>
        </w:rPr>
        <w:t xml:space="preserve">Bien que, pour les parents analphabètes des élèves, l’accès aux TIC est difficile, quasiment tous sont disposés à apprendre à les utiliser pour aider leurs enfants à apprendre. Pour eux, les possibilités de la plateforme WhatsApp leur ont ouvert les yeux sur le monde de la communication et de la sensibilisation en langues nationales, ce qui leur permet déjà </w:t>
      </w:r>
      <w:proofErr w:type="gramStart"/>
      <w:r w:rsidRPr="00D51032">
        <w:rPr>
          <w:sz w:val="24"/>
          <w:szCs w:val="24"/>
          <w:lang w:eastAsia="fr-CA"/>
        </w:rPr>
        <w:t>de faire</w:t>
      </w:r>
      <w:proofErr w:type="gramEnd"/>
      <w:r w:rsidRPr="00D51032">
        <w:rPr>
          <w:sz w:val="24"/>
          <w:szCs w:val="24"/>
          <w:lang w:eastAsia="fr-CA"/>
        </w:rPr>
        <w:t xml:space="preserve"> un travail d’éducation des enfants en famille. K. I., un enseignant et parent d’élève confirme que :</w:t>
      </w:r>
    </w:p>
    <w:p w14:paraId="4A84CB1C" w14:textId="77777777" w:rsidR="00D80693" w:rsidRPr="00D51032" w:rsidRDefault="00D80693" w:rsidP="00D51032">
      <w:pPr>
        <w:tabs>
          <w:tab w:val="num" w:pos="720"/>
        </w:tabs>
        <w:spacing w:before="120"/>
        <w:ind w:left="567"/>
        <w:jc w:val="both"/>
        <w:rPr>
          <w:sz w:val="24"/>
          <w:szCs w:val="24"/>
          <w:lang w:eastAsia="fr-CA"/>
        </w:rPr>
      </w:pPr>
      <w:r w:rsidRPr="00D51032">
        <w:rPr>
          <w:sz w:val="24"/>
          <w:szCs w:val="24"/>
          <w:lang w:eastAsia="fr-CA"/>
        </w:rPr>
        <w:t>Les TIC facilitent le suivi de la progression scolaire et l’évaluation des connaissances. Avec les TIC, les parents peuvent réagir rapidement en cas de besoin urgent, en accédant instantanément aux informations pertinentes, en consultant des spécialistes en ligne, ou en ajustant les stratégies d’enseignement adaptées à la situation de crise sécuritaire. (</w:t>
      </w:r>
      <w:proofErr w:type="gramStart"/>
      <w:r w:rsidRPr="00D51032">
        <w:rPr>
          <w:sz w:val="24"/>
          <w:szCs w:val="24"/>
          <w:lang w:eastAsia="fr-CA"/>
        </w:rPr>
        <w:t>entretien</w:t>
      </w:r>
      <w:proofErr w:type="gramEnd"/>
      <w:r w:rsidRPr="00D51032">
        <w:rPr>
          <w:sz w:val="24"/>
          <w:szCs w:val="24"/>
          <w:lang w:eastAsia="fr-CA"/>
        </w:rPr>
        <w:t xml:space="preserve"> du 14 mars2025)</w:t>
      </w:r>
    </w:p>
    <w:p w14:paraId="6370D174" w14:textId="77777777" w:rsidR="00D80693" w:rsidRPr="00D51032" w:rsidRDefault="00D80693" w:rsidP="00D51032">
      <w:pPr>
        <w:spacing w:before="120"/>
        <w:jc w:val="both"/>
        <w:rPr>
          <w:sz w:val="24"/>
          <w:szCs w:val="24"/>
          <w:lang w:eastAsia="fr-CA"/>
        </w:rPr>
      </w:pPr>
      <w:r w:rsidRPr="00D51032">
        <w:rPr>
          <w:sz w:val="24"/>
          <w:szCs w:val="24"/>
          <w:lang w:eastAsia="fr-CA"/>
        </w:rPr>
        <w:t>Selon trois parents d’élèves, les TIC facilitent l’introduction de nouvelles approches d’éducation à domicile en contexte de crise en langues nationales. « C’est un avantage à approfondir car le gouvernement du Burkina Faso a entrepris d’officialiser les langues nationales et il nous appartient de les valoriser grâce aux innovations technologiques » du point de vue de B. A.</w:t>
      </w:r>
      <w:r w:rsidRPr="00D51032">
        <w:rPr>
          <w:kern w:val="2"/>
          <w:sz w:val="24"/>
          <w:szCs w:val="24"/>
          <w14:ligatures w14:val="standardContextual"/>
        </w:rPr>
        <w:t xml:space="preserve"> </w:t>
      </w:r>
      <w:r w:rsidRPr="00D51032">
        <w:rPr>
          <w:sz w:val="24"/>
          <w:szCs w:val="24"/>
          <w:lang w:eastAsia="fr-CA"/>
        </w:rPr>
        <w:t>(entretien du 14 mars2025)</w:t>
      </w:r>
    </w:p>
    <w:p w14:paraId="7A2038A3" w14:textId="77777777" w:rsidR="00D80693" w:rsidRPr="00D51032" w:rsidRDefault="00D80693" w:rsidP="00D51032">
      <w:pPr>
        <w:spacing w:before="120"/>
        <w:jc w:val="both"/>
        <w:rPr>
          <w:sz w:val="24"/>
          <w:szCs w:val="24"/>
          <w:lang w:eastAsia="fr-CA"/>
        </w:rPr>
      </w:pPr>
      <w:r w:rsidRPr="00D51032">
        <w:rPr>
          <w:sz w:val="24"/>
          <w:szCs w:val="24"/>
          <w:lang w:eastAsia="fr-CA"/>
        </w:rPr>
        <w:t>L’intégration des langues nationales dans les dispositifs numériques constitue un enjeu didactique majeur. En contexte de crise sécuritaire, où l’accompagnement parental devient central, l’usage des langues locales dans les contenus numériques (messages audio, vidéos explicatives, émissions radiophoniques éducatives) facilite la compréhension des consignes et la médiation pédagogique. Cette approche s’inscrit dans une didactique plurilingue et contextualisée, où les TIC servent non seulement de supports techniques, mais aussi de vecteurs de sens, d’appropriation et d’inclusion linguistique.</w:t>
      </w:r>
    </w:p>
    <w:p w14:paraId="4129BBD4" w14:textId="77777777" w:rsidR="00D80693" w:rsidRPr="00D51032" w:rsidRDefault="00D80693" w:rsidP="00D51032">
      <w:pPr>
        <w:spacing w:before="120"/>
        <w:rPr>
          <w:b/>
          <w:bCs/>
          <w:sz w:val="24"/>
          <w:szCs w:val="24"/>
          <w:lang w:eastAsia="fr-CA"/>
        </w:rPr>
      </w:pPr>
      <w:r w:rsidRPr="00D51032">
        <w:rPr>
          <w:b/>
          <w:bCs/>
          <w:sz w:val="24"/>
          <w:szCs w:val="24"/>
          <w:lang w:eastAsia="fr-CA"/>
        </w:rPr>
        <w:t>2.3.4 Le renforcement de la gestion et de la gouvernance éducative</w:t>
      </w:r>
    </w:p>
    <w:p w14:paraId="79177C2B" w14:textId="77777777" w:rsidR="00D80693" w:rsidRPr="00D51032" w:rsidRDefault="00D80693" w:rsidP="00D51032">
      <w:pPr>
        <w:spacing w:before="120"/>
        <w:jc w:val="both"/>
        <w:rPr>
          <w:sz w:val="24"/>
          <w:szCs w:val="24"/>
          <w:lang w:eastAsia="fr-CA"/>
        </w:rPr>
      </w:pPr>
      <w:r w:rsidRPr="00D51032">
        <w:rPr>
          <w:sz w:val="24"/>
          <w:szCs w:val="24"/>
          <w:lang w:eastAsia="fr-CA"/>
        </w:rPr>
        <w:t xml:space="preserve">Pour les autorités éducatives, les TIC renforcent la gestion du système éducatif burkinabè dans le contexte de crise sécuritaire, grâce à des outils performants. « La mise à disposition de systèmes d’information scolaire permettent de collecter et analyser des données sur les élèves, les enseignants et les infrastructures, facilitant ainsi une prise de décision rapide en faveur des apprenants et enseignants des zones où sévit le terrorisme ». Trois autres acquis cités sont la facilitation de la diffusion rapide d’informations critiques, comme les fermetures d’écoles ou les protocoles de </w:t>
      </w:r>
      <w:proofErr w:type="gramStart"/>
      <w:r w:rsidRPr="00D51032">
        <w:rPr>
          <w:sz w:val="24"/>
          <w:szCs w:val="24"/>
          <w:lang w:eastAsia="fr-CA"/>
        </w:rPr>
        <w:t>sécurité;</w:t>
      </w:r>
      <w:proofErr w:type="gramEnd"/>
      <w:r w:rsidRPr="00D51032">
        <w:rPr>
          <w:sz w:val="24"/>
          <w:szCs w:val="24"/>
          <w:lang w:eastAsia="fr-CA"/>
        </w:rPr>
        <w:t xml:space="preserve"> le maintien de la continuité administrative et pédagogique et la gouvernance inclusive de l’éducation. Pour O. N, un des responsables centraux, </w:t>
      </w:r>
    </w:p>
    <w:p w14:paraId="15037AC1" w14:textId="77777777" w:rsidR="00D80693" w:rsidRPr="00D51032" w:rsidRDefault="00D80693" w:rsidP="00D51032">
      <w:pPr>
        <w:tabs>
          <w:tab w:val="left" w:pos="709"/>
        </w:tabs>
        <w:spacing w:before="120"/>
        <w:ind w:left="567"/>
        <w:jc w:val="both"/>
        <w:rPr>
          <w:sz w:val="24"/>
          <w:szCs w:val="24"/>
          <w:lang w:eastAsia="fr-CA"/>
        </w:rPr>
      </w:pPr>
      <w:r w:rsidRPr="00D51032">
        <w:rPr>
          <w:sz w:val="24"/>
          <w:szCs w:val="24"/>
          <w:lang w:eastAsia="fr-CA"/>
        </w:rPr>
        <w:t>Les TIC permettent de centraliser les informations essentielles à la gestion de l'éducation (effectifs scolaires, état des infrastructures, conditions de sécurité, etc.). Cela aide les autorités éducatives à prendre des décisions rapides et basées sur des données actualisées, ce qui est particulièrement important en période de crise où les situations peuvent changer rapidement. (</w:t>
      </w:r>
      <w:proofErr w:type="gramStart"/>
      <w:r w:rsidRPr="00D51032">
        <w:rPr>
          <w:sz w:val="24"/>
          <w:szCs w:val="24"/>
          <w:lang w:eastAsia="fr-CA"/>
        </w:rPr>
        <w:t>entretien</w:t>
      </w:r>
      <w:proofErr w:type="gramEnd"/>
      <w:r w:rsidRPr="00D51032">
        <w:rPr>
          <w:sz w:val="24"/>
          <w:szCs w:val="24"/>
          <w:lang w:eastAsia="fr-CA"/>
        </w:rPr>
        <w:t xml:space="preserve"> du 13 mars2025)</w:t>
      </w:r>
    </w:p>
    <w:p w14:paraId="4188FEC7" w14:textId="77777777" w:rsidR="00D80693" w:rsidRPr="00D51032" w:rsidRDefault="00D80693" w:rsidP="00D51032">
      <w:pPr>
        <w:tabs>
          <w:tab w:val="num" w:pos="720"/>
        </w:tabs>
        <w:spacing w:before="120"/>
        <w:jc w:val="both"/>
        <w:rPr>
          <w:sz w:val="24"/>
          <w:szCs w:val="24"/>
          <w:lang w:eastAsia="fr-CA"/>
        </w:rPr>
      </w:pPr>
      <w:r w:rsidRPr="00D51032">
        <w:rPr>
          <w:sz w:val="24"/>
          <w:szCs w:val="24"/>
          <w:lang w:eastAsia="fr-CA"/>
        </w:rPr>
        <w:t xml:space="preserve">L’utilisation des TIC ont été reconnues comme des outils de communication rapide entre les autorités éducatives et les écoles, les enseignants, les parents et les élèves. « En cas d’urgence comme la fermeture des écoles, déplacements forcés, des alertes instantanées ont pu être envoyées grâce aux applications mobiles, des SMS ou des plateformes en ligne » selon </w:t>
      </w:r>
      <w:proofErr w:type="gramStart"/>
      <w:r w:rsidRPr="00D51032">
        <w:rPr>
          <w:sz w:val="24"/>
          <w:szCs w:val="24"/>
          <w:lang w:eastAsia="fr-CA"/>
        </w:rPr>
        <w:t>B.A .</w:t>
      </w:r>
      <w:proofErr w:type="gramEnd"/>
      <w:r w:rsidRPr="00D51032">
        <w:rPr>
          <w:sz w:val="24"/>
          <w:szCs w:val="24"/>
          <w:lang w:eastAsia="fr-CA"/>
        </w:rPr>
        <w:t xml:space="preserve"> L’inclusion est un autre des atouts des TIC cités : « Les TIC favorisent une gouvernance inclusive en permettant la participation active des communautés éducatives (enseignants, parents, élèves, autorités locales) à la gestion de l’éducation en situation de crise sécuritaire » K.I. (entretien du 13 mars2025)</w:t>
      </w:r>
    </w:p>
    <w:p w14:paraId="3FA2E8C4" w14:textId="77777777" w:rsidR="00D80693" w:rsidRPr="00D51032" w:rsidRDefault="00D80693" w:rsidP="00D51032">
      <w:pPr>
        <w:spacing w:before="120"/>
        <w:jc w:val="both"/>
        <w:rPr>
          <w:sz w:val="24"/>
          <w:szCs w:val="24"/>
          <w:lang w:eastAsia="fr-CA"/>
        </w:rPr>
      </w:pPr>
      <w:r w:rsidRPr="00D51032">
        <w:rPr>
          <w:sz w:val="24"/>
          <w:szCs w:val="24"/>
          <w:lang w:eastAsia="fr-CA"/>
        </w:rPr>
        <w:t>Un aspect non moins important relevés est le soutien psychologique aux élèves et aux enseignants affectés par la crise. La communication et le partage d’expériences et les conseils fournis dans des espaces virtuels de discussion et de soutien, ou les opportunités offertes grâce aux programmes d'accompagnement psychologique à distance font des TIC des outils de réponses aux besoins émotionnels des apprenants et enseignants vivant avec des traumatismes.</w:t>
      </w:r>
    </w:p>
    <w:p w14:paraId="67C88430" w14:textId="77777777" w:rsidR="00D80693" w:rsidRPr="00D51032" w:rsidRDefault="00D80693" w:rsidP="00D51032">
      <w:pPr>
        <w:spacing w:before="120"/>
        <w:jc w:val="both"/>
        <w:rPr>
          <w:b/>
          <w:bCs/>
          <w:kern w:val="2"/>
          <w:sz w:val="24"/>
          <w:szCs w:val="24"/>
          <w:lang w:val="x-none"/>
          <w14:ligatures w14:val="standardContextual"/>
        </w:rPr>
      </w:pPr>
      <w:r w:rsidRPr="00D51032">
        <w:rPr>
          <w:b/>
          <w:bCs/>
          <w:kern w:val="2"/>
          <w:sz w:val="24"/>
          <w:szCs w:val="24"/>
          <w:lang w:val="x-none"/>
          <w14:ligatures w14:val="standardContextual"/>
        </w:rPr>
        <w:t>2.4. Contraintes structurelles, socio-économiques et culturelles de l’intégration des TIC dans le système éducatif</w:t>
      </w:r>
    </w:p>
    <w:p w14:paraId="12840F3D"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Malgré leur potentiel reconnu en matière de continuité pédagogique et de résilience éducative, les technologies de l’information et de la communication (TIC) se heurtent, dans le contexte burkinabè, à un ensemble de contraintes structurelles et systémiques qui limitent leur déploiement effectif, en particulier dans les zones affectées par la crise sécuritaire. Ces contraintes relèvent à la fois de l’insuffisance des infrastructures, du coût économique des technologies, des compétences numériques des acteurs éducatifs, des barrières linguistiques et culturelles, ainsi que des faiblesses en matière de gouvernance et de coordination des initiatives.</w:t>
      </w:r>
    </w:p>
    <w:p w14:paraId="6F495CEA"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 xml:space="preserve">Le déficit d’infrastructures numériques et énergétiques constitue l’un des obstacles majeurs à l’intégration des TIC dans l’éducation. Dans de nombreuses localités des régions du </w:t>
      </w:r>
      <w:proofErr w:type="spellStart"/>
      <w:r w:rsidRPr="00D51032">
        <w:rPr>
          <w:kern w:val="2"/>
          <w:sz w:val="24"/>
          <w:szCs w:val="24"/>
          <w:lang w:val="x-none"/>
          <w14:ligatures w14:val="standardContextual"/>
        </w:rPr>
        <w:t>Liptako</w:t>
      </w:r>
      <w:proofErr w:type="spellEnd"/>
      <w:r w:rsidRPr="00D51032">
        <w:rPr>
          <w:kern w:val="2"/>
          <w:sz w:val="24"/>
          <w:szCs w:val="24"/>
          <w:lang w:val="x-none"/>
          <w14:ligatures w14:val="standardContextual"/>
        </w:rPr>
        <w:t xml:space="preserve">, du </w:t>
      </w:r>
      <w:proofErr w:type="spellStart"/>
      <w:r w:rsidRPr="00D51032">
        <w:rPr>
          <w:kern w:val="2"/>
          <w:sz w:val="24"/>
          <w:szCs w:val="24"/>
          <w:lang w:val="x-none"/>
          <w14:ligatures w14:val="standardContextual"/>
        </w:rPr>
        <w:t>Goulmou</w:t>
      </w:r>
      <w:proofErr w:type="spellEnd"/>
      <w:r w:rsidRPr="00D51032">
        <w:rPr>
          <w:kern w:val="2"/>
          <w:sz w:val="24"/>
          <w:szCs w:val="24"/>
          <w:lang w:val="x-none"/>
          <w14:ligatures w14:val="standardContextual"/>
        </w:rPr>
        <w:t>, de</w:t>
      </w:r>
      <w:r w:rsidRPr="00D51032">
        <w:rPr>
          <w:kern w:val="2"/>
          <w:sz w:val="24"/>
          <w:szCs w:val="24"/>
          <w14:ligatures w14:val="standardContextual"/>
        </w:rPr>
        <w:t xml:space="preserve"> </w:t>
      </w:r>
      <w:proofErr w:type="spellStart"/>
      <w:r w:rsidRPr="00D51032">
        <w:rPr>
          <w:kern w:val="2"/>
          <w:sz w:val="24"/>
          <w:szCs w:val="24"/>
          <w14:ligatures w14:val="standardContextual"/>
        </w:rPr>
        <w:t>Bankui</w:t>
      </w:r>
      <w:proofErr w:type="spellEnd"/>
      <w:r w:rsidRPr="00D51032">
        <w:rPr>
          <w:kern w:val="2"/>
          <w:sz w:val="24"/>
          <w:szCs w:val="24"/>
          <w14:ligatures w14:val="standardContextual"/>
        </w:rPr>
        <w:t xml:space="preserve"> </w:t>
      </w:r>
      <w:r w:rsidRPr="00D51032">
        <w:rPr>
          <w:kern w:val="2"/>
          <w:sz w:val="24"/>
          <w:szCs w:val="24"/>
          <w:lang w:val="x-none"/>
          <w14:ligatures w14:val="standardContextual"/>
        </w:rPr>
        <w:t xml:space="preserve">du </w:t>
      </w:r>
      <w:r w:rsidRPr="00D51032">
        <w:rPr>
          <w:kern w:val="2"/>
          <w:sz w:val="24"/>
          <w:szCs w:val="24"/>
          <w14:ligatures w14:val="standardContextual"/>
        </w:rPr>
        <w:t>Kadiogo</w:t>
      </w:r>
      <w:r w:rsidRPr="00D51032">
        <w:rPr>
          <w:kern w:val="2"/>
          <w:sz w:val="24"/>
          <w:szCs w:val="24"/>
          <w:lang w:val="x-none"/>
          <w14:ligatures w14:val="standardContextual"/>
        </w:rPr>
        <w:t>, les établissements scolaires ne disposent ni d’une connexion Internet fonctionnelle ni d’équipements informatiques adéquats. Les rares ordinateurs disponibles sont souvent vétustes, partagés entre plusieurs enseignants et rendus inopérants par des coupures fréquentes d’électricité. À cette contrainte s’ajoute l’instabilité de la production énergétique, particulièrement marquée dans les zones rurales et les sites d’accueil des personnes déplacées internes, où l’accès au réseau électrique national est inexistant. Comme le souligne un enseignant de Kaya, « nous avons reçu des tablettes pour les apprenants, mais sans électricité ni réseau, elles sont inutilisables ». Cette situation met en évidence la nécessité de solutions alternatives, telles que les équipements solaires, les dispositifs hors ligne et les technologies à faible consommation énergétique.</w:t>
      </w:r>
    </w:p>
    <w:p w14:paraId="6C7E8154"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À ces contraintes techniques s’ajoutent des difficultés d’ordre économique et technologique. Le coût élevé des équipements numériques (ordinateurs, tablettes, routeurs, abonnements Internet) demeure prohibitif pour la majorité des établissements scolaires et des ménages, dans un contexte marqué par l’aggravation de la précarité économique liée à la crise sécuritaire. Les enseignants sont souvent contraints de financer eux-mêmes leurs outils pédagogiques, ce qui accentue les inégalités d’accès aux TIC. Par ailleurs, la forte dépendance vis-à-vis des fournisseurs étrangers pour les logiciels, les plateformes éducatives et l’hébergement des données pose un problème de souveraineté technologique. La majorité des dispositifs utilisés (Google Classroom, Moodle, Zoom, WhatsApp) reposent sur des infrastructures internationales et sur des modèles économiques peu adaptés aux contextes de crise prolongée. Comme l’indique un développeur interrogé, « les projets TIC nécessitent des investissements initiaux importants et un accompagnement durable, sans quoi ils disparaissent après la phase pilote ».</w:t>
      </w:r>
    </w:p>
    <w:p w14:paraId="4C346B53"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Un autre frein important réside dans l’insuffisante littératie numérique des acteurs éducatifs. De nombreux enseignants, notamment au primaire, ne disposent pas des compétences nécessaires pour intégrer les TIC dans une perspective pédagogique structurée. Les technologies sont souvent perçues comme des outils techniques complexes, déconnectés des pratiques didactiques. Les parents d’élèves, en particulier ceux peu ou pas scolarisés, rencontrent également des difficultés à accompagner leurs enfants dans l’usage éducatif des technologies. Une enseignante de Ouagadougou résume cette situation en soulignant que « les enfants comprennent parfois mieux les usages éducatifs des téléphones que les enseignants eux-mêmes ». L’absence de dispositifs de formation initiale et continue adaptés limite ainsi l’appropriation pédagogique des TIC.</w:t>
      </w:r>
    </w:p>
    <w:p w14:paraId="12063A14"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Enfin, les barrières linguistiques et culturelles renforcent ces difficultés. La majorité des contenus numériques éducatifs sont conçus en français ou en anglais, excluant de fait une grande partie des apprenants et des parents dont la maîtrise de ces langues est limitée. La faible présence des langues nationales (</w:t>
      </w:r>
      <w:proofErr w:type="spellStart"/>
      <w:r w:rsidRPr="00D51032">
        <w:rPr>
          <w:kern w:val="2"/>
          <w:sz w:val="24"/>
          <w:szCs w:val="24"/>
          <w:lang w:val="x-none"/>
          <w14:ligatures w14:val="standardContextual"/>
        </w:rPr>
        <w:t>moor</w:t>
      </w:r>
      <w:r w:rsidRPr="00D51032">
        <w:rPr>
          <w:kern w:val="2"/>
          <w:sz w:val="24"/>
          <w:szCs w:val="24"/>
          <w14:ligatures w14:val="standardContextual"/>
        </w:rPr>
        <w:t>e</w:t>
      </w:r>
      <w:proofErr w:type="spellEnd"/>
      <w:r w:rsidRPr="00D51032">
        <w:rPr>
          <w:kern w:val="2"/>
          <w:sz w:val="24"/>
          <w:szCs w:val="24"/>
          <w:lang w:val="x-none"/>
          <w14:ligatures w14:val="standardContextual"/>
        </w:rPr>
        <w:t>, fulfulde, dioula, etc.) dans les supports numériques réduit l’impact des TIC sur les apprentissages de base et limite l’implication parentale. Cette situation est aggravée par une gouvernance fragmentée du secteur, marquée par une multiplicité de projets TIC non coordonnés, souvent limités à des phases expérimentales et dépourvus de mécanismes de suivi, d’évaluation et d’institutionnalisation.</w:t>
      </w:r>
    </w:p>
    <w:p w14:paraId="4B269160" w14:textId="77777777" w:rsidR="00D80693" w:rsidRPr="00D51032" w:rsidRDefault="00D80693" w:rsidP="00D51032">
      <w:pPr>
        <w:spacing w:before="120"/>
        <w:jc w:val="both"/>
        <w:rPr>
          <w:b/>
          <w:bCs/>
          <w:kern w:val="2"/>
          <w:sz w:val="24"/>
          <w:szCs w:val="24"/>
          <w:lang w:val="x-none"/>
          <w14:ligatures w14:val="standardContextual"/>
        </w:rPr>
      </w:pPr>
      <w:r w:rsidRPr="00D51032">
        <w:rPr>
          <w:b/>
          <w:bCs/>
          <w:kern w:val="2"/>
          <w:sz w:val="24"/>
          <w:szCs w:val="24"/>
          <w:lang w:val="x-none"/>
          <w14:ligatures w14:val="standardContextual"/>
        </w:rPr>
        <w:t>2.5. Reconfigurations didactiques et médiation pédagogique par les TIC en contexte de crise sécuritaire</w:t>
      </w:r>
    </w:p>
    <w:p w14:paraId="21A3E6CB"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Dans un contexte de crise sécuritaire prolongée, l’intégration des TIC ne peut être envisagée comme une simple solution technique de substitution à l’enseignement en présentiel. Elle implique une reconfiguration profonde des situations didactiques, des rôles des acteurs éducatifs et des modalités d’accès aux savoirs. Les TIC deviennent alors des instruments de médiation pédagogique, permettant d’assurer une continuité éducative minimale tout en s’adaptant aux contraintes sociales, linguistiques et matérielles des contextes affectés par l’insécurité.</w:t>
      </w:r>
    </w:p>
    <w:p w14:paraId="27D9C833"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Sur le plan didactique, les TIC favorisent le passage d’un modèle d’enseignement essentiellement transmissif à des formes d’apprentissage médiatisées, hybrides ou asynchrones. En situation d’urgence éducative, cette transformation relève davantage d’une logique d’adaptation que d’innovation technologique. Les outils numériques les plus accessibles</w:t>
      </w:r>
      <w:r w:rsidRPr="00D51032">
        <w:rPr>
          <w:kern w:val="2"/>
          <w:sz w:val="24"/>
          <w:szCs w:val="24"/>
          <w14:ligatures w14:val="standardContextual"/>
        </w:rPr>
        <w:t xml:space="preserve"> (</w:t>
      </w:r>
      <w:r w:rsidRPr="00D51032">
        <w:rPr>
          <w:kern w:val="2"/>
          <w:sz w:val="24"/>
          <w:szCs w:val="24"/>
          <w:lang w:val="x-none"/>
          <w14:ligatures w14:val="standardContextual"/>
        </w:rPr>
        <w:t>téléphones portables, applications de messagerie instantanée, messages vocaux, radio éducative</w:t>
      </w:r>
      <w:r w:rsidRPr="00D51032">
        <w:rPr>
          <w:kern w:val="2"/>
          <w:sz w:val="24"/>
          <w:szCs w:val="24"/>
          <w14:ligatures w14:val="standardContextual"/>
        </w:rPr>
        <w:t>)</w:t>
      </w:r>
      <w:r w:rsidRPr="00D51032">
        <w:rPr>
          <w:kern w:val="2"/>
          <w:sz w:val="24"/>
          <w:szCs w:val="24"/>
          <w:lang w:val="x-none"/>
          <w14:ligatures w14:val="standardContextual"/>
        </w:rPr>
        <w:t xml:space="preserve"> permettent de maintenir un cadre pédagogique fonctionnel malgré l’absence de salles de classe formelles. Ces dispositifs assurent des fonctions didactiques essentielles telles que la structuration des contenus en formats courts, le guidage de l’apprentissage à distance, l’interaction minimale enseignant–apprenant et le maintien du lien pédagogique. Ils contribuent ainsi à préserver la continuité cognitive et scolaire des apprenants, en limitant les ruptures prolongées susceptibles d’accentuer les inégalités éducatives.</w:t>
      </w:r>
    </w:p>
    <w:p w14:paraId="68E206D2" w14:textId="77777777" w:rsidR="00D80693" w:rsidRPr="00D51032" w:rsidRDefault="00D80693" w:rsidP="00D51032">
      <w:pPr>
        <w:spacing w:before="120"/>
        <w:jc w:val="both"/>
        <w:rPr>
          <w:kern w:val="2"/>
          <w:sz w:val="24"/>
          <w:szCs w:val="24"/>
          <w:lang w:val="x-none"/>
          <w14:ligatures w14:val="standardContextual"/>
        </w:rPr>
      </w:pPr>
      <w:r w:rsidRPr="00D51032">
        <w:rPr>
          <w:kern w:val="2"/>
          <w:sz w:val="24"/>
          <w:szCs w:val="24"/>
          <w:lang w:val="x-none"/>
          <w14:ligatures w14:val="standardContextual"/>
        </w:rPr>
        <w:t>La médiation pédagogique occupe une place centrale dans ce processus. Les TIC redéfinissent le rôle de l’enseignant, qui devient concepteur de situations d’apprentissage médiatisées et accompagnateur à distance. Cette évolution suppose une adaptation des pratiques didactiques, notamment dans la sélection des contenus, la simplification des supports et la prise en compte des contraintes psychosociales des apprenants. Pour les élèves déplacés internes ou vivant dans des zones à forte insécurité, les dispositifs numériques offrent des formes d’apprentissage plus flexibles et moins exposées aux risques, à travers des capsules pédagogiques courtes, des messages audios ou des programmes radiophoniques éducatifs. Ces modalités favorisent un apprentissage progressif, centré sur l’essentiel, tout en tenant compte des traumatismes, de la fatigue cognitive et de l’environnement familial.</w:t>
      </w:r>
    </w:p>
    <w:p w14:paraId="422C8C44" w14:textId="77777777" w:rsidR="00D80693" w:rsidRPr="00D51032" w:rsidRDefault="00D80693" w:rsidP="00D51032">
      <w:pPr>
        <w:spacing w:before="120"/>
        <w:jc w:val="both"/>
        <w:rPr>
          <w:sz w:val="24"/>
          <w:szCs w:val="24"/>
        </w:rPr>
      </w:pPr>
      <w:r w:rsidRPr="00D51032">
        <w:rPr>
          <w:kern w:val="2"/>
          <w:sz w:val="24"/>
          <w:szCs w:val="24"/>
          <w:lang w:val="x-none"/>
          <w14:ligatures w14:val="standardContextual"/>
        </w:rPr>
        <w:t>Enfin, l’un des apports majeurs des TIC réside dans leur potentiel de contextualisation linguistique et culturelle des contenus éducatifs. Dans un environnement plurilingue comme celui du Burkina Faso, l’intégration des langues nationales dans les supports numériques constitue un levier didactique majeur pour améliorer la compréhension, renforcer l’inclusivité et favoriser l’implication des familles. Les TIC deviennent ainsi des vecteurs d’équité linguistique et de justice éducative, en permettant une médiation plus efficace entre l’école, les apprenants et leur environnement socioculturel.</w:t>
      </w:r>
      <w:r w:rsidRPr="00D51032">
        <w:rPr>
          <w:kern w:val="2"/>
          <w:sz w:val="24"/>
          <w:szCs w:val="24"/>
          <w14:ligatures w14:val="standardContextual"/>
        </w:rPr>
        <w:t xml:space="preserve"> Cependant, m</w:t>
      </w:r>
      <w:r w:rsidRPr="00D51032">
        <w:rPr>
          <w:sz w:val="24"/>
          <w:szCs w:val="24"/>
        </w:rPr>
        <w:t>algré leur potentiel, les TIC présentent également des limites didactiques qu’il convient de reconnaître. Les inégalités d’accès aux équipements, la faiblesse de la connectivité, le manque de formation pédagogique des enseignants et l’absence de dispositifs d’évaluation adaptés peuvent réduire l’efficacité des pratiques numériques. Ces contraintes soulignent la nécessité d’une approche réaliste et progressive de l’intégration des TIC, fondée sur les ressources réellement disponibles et les compétences existantes. Pour que les TIC constituent un levier didactique durable en contexte de crise sécuritaire, plusieurs conditions apparaissent essentielles : la formation des enseignants à la didactique médiatisée, la production de contenus pédagogiques contextualisés et multilingues, l’articulation entre dispositifs numériques et cadres curriculaires officiels, ainsi que l’implication des communautés locales. Ce n’est qu’à ces conditions que les TIC pourront dépasser leur statut de solutions d’urgence pour devenir de véritables instruments pédagogiques au service d’une éducation inclusive et résiliente.</w:t>
      </w:r>
    </w:p>
    <w:p w14:paraId="420DEEB6" w14:textId="34606B69" w:rsidR="00D80693" w:rsidRPr="00D51032" w:rsidRDefault="00D80693" w:rsidP="00D51032">
      <w:pPr>
        <w:spacing w:before="120"/>
        <w:jc w:val="both"/>
        <w:rPr>
          <w:b/>
          <w:bCs/>
          <w:kern w:val="2"/>
          <w:sz w:val="28"/>
          <w:szCs w:val="28"/>
          <w14:ligatures w14:val="standardContextual"/>
        </w:rPr>
      </w:pPr>
      <w:r w:rsidRPr="00D51032">
        <w:rPr>
          <w:b/>
          <w:bCs/>
          <w:kern w:val="2"/>
          <w:sz w:val="28"/>
          <w:szCs w:val="28"/>
          <w14:ligatures w14:val="standardContextual"/>
        </w:rPr>
        <w:t xml:space="preserve">III. </w:t>
      </w:r>
      <w:r w:rsidR="00D51032" w:rsidRPr="00D51032">
        <w:rPr>
          <w:b/>
          <w:bCs/>
          <w:kern w:val="2"/>
          <w:sz w:val="28"/>
          <w:szCs w:val="28"/>
          <w14:ligatures w14:val="standardContextual"/>
        </w:rPr>
        <w:t>Analyse</w:t>
      </w:r>
    </w:p>
    <w:p w14:paraId="2B8B8613" w14:textId="77777777" w:rsidR="00D80693" w:rsidRPr="006239D8" w:rsidRDefault="00D80693" w:rsidP="00D51032">
      <w:pPr>
        <w:spacing w:before="120"/>
        <w:jc w:val="both"/>
        <w:rPr>
          <w:sz w:val="24"/>
          <w:szCs w:val="24"/>
          <w:lang w:val="fr-CA" w:eastAsia="fr-CA"/>
        </w:rPr>
      </w:pPr>
      <w:r w:rsidRPr="006239D8">
        <w:rPr>
          <w:sz w:val="24"/>
          <w:szCs w:val="24"/>
          <w:lang w:val="fr-CA" w:eastAsia="fr-CA"/>
        </w:rPr>
        <w:t xml:space="preserve">Les innovations introduites par les technologies de l’information et de la communication (TIC) dans le système éducatif burkinabè, en contexte de crise sécuritaire, constituent un levier central de résilience éducative. Elles illustrent la pertinence des approches transformatrices pour faire face à des enjeux contemporains complexes et interconnectés, tels que le soulignent Grin, </w:t>
      </w:r>
      <w:proofErr w:type="spellStart"/>
      <w:r w:rsidRPr="006239D8">
        <w:rPr>
          <w:sz w:val="24"/>
          <w:szCs w:val="24"/>
          <w:lang w:val="fr-CA" w:eastAsia="fr-CA"/>
        </w:rPr>
        <w:t>Rotmans</w:t>
      </w:r>
      <w:proofErr w:type="spellEnd"/>
      <w:r w:rsidRPr="006239D8">
        <w:rPr>
          <w:sz w:val="24"/>
          <w:szCs w:val="24"/>
          <w:lang w:val="fr-CA" w:eastAsia="fr-CA"/>
        </w:rPr>
        <w:t xml:space="preserve"> et </w:t>
      </w:r>
      <w:proofErr w:type="spellStart"/>
      <w:r w:rsidRPr="006239D8">
        <w:rPr>
          <w:sz w:val="24"/>
          <w:szCs w:val="24"/>
          <w:lang w:val="fr-CA" w:eastAsia="fr-CA"/>
        </w:rPr>
        <w:t>Schot</w:t>
      </w:r>
      <w:proofErr w:type="spellEnd"/>
      <w:r w:rsidRPr="006239D8">
        <w:rPr>
          <w:sz w:val="24"/>
          <w:szCs w:val="24"/>
          <w:lang w:val="fr-CA" w:eastAsia="fr-CA"/>
        </w:rPr>
        <w:t xml:space="preserve"> (2011). L’intégration des TIC dans l’éducation suscite ainsi un intérêt croissant, tant chez les chercheurs que chez les praticiens, en raison de leur potentiel à proposer des solutions adaptées à des contextes marqués par l’insécurité et la discontinuité scolaire.</w:t>
      </w:r>
    </w:p>
    <w:p w14:paraId="22A34518" w14:textId="77777777" w:rsidR="00D80693" w:rsidRPr="006239D8" w:rsidRDefault="00D80693" w:rsidP="00D51032">
      <w:pPr>
        <w:spacing w:before="120"/>
        <w:jc w:val="both"/>
        <w:rPr>
          <w:sz w:val="24"/>
          <w:szCs w:val="24"/>
          <w:lang w:val="fr-CA" w:eastAsia="fr-CA"/>
        </w:rPr>
      </w:pPr>
      <w:r w:rsidRPr="006239D8">
        <w:rPr>
          <w:sz w:val="24"/>
          <w:szCs w:val="24"/>
          <w:lang w:val="fr-CA" w:eastAsia="fr-CA"/>
        </w:rPr>
        <w:t>Dans un contexte où de nombreuses écoles ont été fermées en raison de la crise sécuritaire, les TIC offrent des alternatives pédagogiques flexibles, accessibles et innovantes, permettant de maintenir une certaine continuité éducative, notamment dans les zones où l’enseignement en présentiel est interrompu. Cette dynamique s’inscrit dans une logique d’innovation disruptive telle que conceptualisée par Christensen (1997), dans la mesure où les technologies numériques ne se contentent pas d’améliorer les pratiques existantes, mais contribuent à transformer en profondeur les modes d’enseignement et d’apprentissage dans des situations de crise.</w:t>
      </w:r>
    </w:p>
    <w:p w14:paraId="6C9E7A6A" w14:textId="77777777" w:rsidR="00D80693" w:rsidRPr="006239D8" w:rsidRDefault="00D80693" w:rsidP="00D51032">
      <w:pPr>
        <w:spacing w:before="120"/>
        <w:jc w:val="both"/>
        <w:rPr>
          <w:sz w:val="24"/>
          <w:szCs w:val="24"/>
          <w:lang w:val="fr-CA" w:eastAsia="fr-CA"/>
        </w:rPr>
      </w:pPr>
      <w:r w:rsidRPr="006239D8">
        <w:rPr>
          <w:sz w:val="24"/>
          <w:szCs w:val="24"/>
          <w:lang w:val="fr-CA" w:eastAsia="fr-CA"/>
        </w:rPr>
        <w:t>Par ailleurs, l’application des TIC dans le secteur éducatif burkinabè peut être analysée comme un processus d’adaptation et de résilience systémique, au sens de Holling (1973). Face aux perturbations engendrées par l’insécurité et, plus récemment, par la pandémie de COVID-19, le système éducatif a démontré une capacité à se réorganiser en mobilisant les technologies numériques pour assurer la continuité des apprentissages. Dans cette perspective, les initiatives gouvernementales, mises en œuvre en collaboration avec des partenaires internationaux, telles que les programmes d’éducation en situation d’urgence et le recours accru aux TIC pour répondre aux besoins éducatifs des enfants déplacés, témoignent d’une volonté d’adaptation structurelle (CNEPT, 2022). La création de centres d’apprentissage temporaires dans des zones plus sûres s’inscrit également dans cette dynamique de résilience éducative.</w:t>
      </w:r>
    </w:p>
    <w:p w14:paraId="16CB2667" w14:textId="77777777" w:rsidR="00D80693" w:rsidRPr="006239D8" w:rsidRDefault="00D80693" w:rsidP="00D51032">
      <w:pPr>
        <w:spacing w:before="120"/>
        <w:jc w:val="both"/>
        <w:rPr>
          <w:sz w:val="24"/>
          <w:szCs w:val="24"/>
          <w:lang w:val="fr-CA" w:eastAsia="fr-CA"/>
        </w:rPr>
      </w:pPr>
      <w:r>
        <w:rPr>
          <w:sz w:val="24"/>
          <w:szCs w:val="24"/>
          <w:lang w:val="fr-CA" w:eastAsia="fr-CA"/>
        </w:rPr>
        <w:t>L</w:t>
      </w:r>
      <w:r w:rsidRPr="006239D8">
        <w:rPr>
          <w:sz w:val="24"/>
          <w:szCs w:val="24"/>
          <w:lang w:val="fr-CA" w:eastAsia="fr-CA"/>
        </w:rPr>
        <w:t xml:space="preserve">’intégration des TIC en contexte de crise sécuritaire ne saurait être réduite à une simple réponse technique à la fermeture des écoles. Elle constitue avant tout un processus de transformation des pratiques d’enseignement-apprentissage, relevant d’une </w:t>
      </w:r>
      <w:r w:rsidRPr="00B57F7B">
        <w:rPr>
          <w:bCs/>
          <w:sz w:val="24"/>
          <w:szCs w:val="24"/>
          <w:lang w:val="fr-CA" w:eastAsia="fr-CA"/>
        </w:rPr>
        <w:t>didactique adaptative</w:t>
      </w:r>
      <w:r w:rsidRPr="006239D8">
        <w:rPr>
          <w:sz w:val="24"/>
          <w:szCs w:val="24"/>
          <w:lang w:val="fr-CA" w:eastAsia="fr-CA"/>
        </w:rPr>
        <w:t>. Les enseignants sont amenés à réorganiser les contenus, les supports et les interactions pédagogiques en fonction des contraintes sécuritaires, matérielles et linguistiques auxquelles ils sont confrontés.</w:t>
      </w:r>
      <w:r>
        <w:rPr>
          <w:sz w:val="24"/>
          <w:szCs w:val="24"/>
          <w:lang w:val="fr-CA" w:eastAsia="fr-CA"/>
        </w:rPr>
        <w:t xml:space="preserve"> </w:t>
      </w:r>
      <w:r w:rsidRPr="006239D8">
        <w:rPr>
          <w:sz w:val="24"/>
          <w:szCs w:val="24"/>
          <w:lang w:val="fr-CA" w:eastAsia="fr-CA"/>
        </w:rPr>
        <w:t>Un premier résultat majeur concerne la reconfiguration des situations didactiques. Les TIC permettent de fragmenter les contenus d’apprentissage en unités pédagogiques plus courtes et plus accessibles, telles que des messages audios, des documents photographiés ou des capsules radiophoniques, mieux adaptées à des contextes d’apprentissage discontinus. Cette fragmentation répond à une exigence didactique de priorisation des savoirs essentiels, en cohérence avec les principes de l’enseignement en situation d’urgence (INEE, 2010). Dans ce cadre, les enseignants privilégient les objectifs d’apprentissage fondamentaux, au détriment de contenus secondaires difficilement exploitables à distance.</w:t>
      </w:r>
      <w:r>
        <w:rPr>
          <w:sz w:val="24"/>
          <w:szCs w:val="24"/>
          <w:lang w:val="fr-CA" w:eastAsia="fr-CA"/>
        </w:rPr>
        <w:t xml:space="preserve">  Les TIC jouent aussi un</w:t>
      </w:r>
      <w:r w:rsidRPr="006239D8">
        <w:rPr>
          <w:sz w:val="24"/>
          <w:szCs w:val="24"/>
          <w:lang w:val="fr-CA" w:eastAsia="fr-CA"/>
        </w:rPr>
        <w:t xml:space="preserve"> rôle central des TIC dans la médiation pédagogique. En l’absence d’interactions présentielles régulières, les outils numériques deviennent des médiateurs entre l’enseignant, l’élève et le savoir. Cette médiation se manifeste notamment par la reformulation orale des consignes, l’usage de supports multimodaux combinant voix, image et texte, ainsi que le maintien d’un minimum de rétroaction pédagogique. Sur le plan didactique, cette évolution transforme profondément le rôle de l’enseignant, qui passe d’un transmetteur direct de savoirs à un concepteur de dispositifs d’apprentissage médiatisés (Perrenoud, 1999; Tardif, 2012).</w:t>
      </w:r>
      <w:r>
        <w:rPr>
          <w:sz w:val="24"/>
          <w:szCs w:val="24"/>
          <w:lang w:val="fr-CA" w:eastAsia="fr-CA"/>
        </w:rPr>
        <w:t xml:space="preserve"> </w:t>
      </w:r>
      <w:r w:rsidRPr="006239D8">
        <w:rPr>
          <w:sz w:val="24"/>
          <w:szCs w:val="24"/>
          <w:lang w:val="fr-CA" w:eastAsia="fr-CA"/>
        </w:rPr>
        <w:t>Un autre résultat significatif concerne la dimension linguistique de l’enseignement médiatisé. Les données soulignent que l’usage des langues nationales dans les dispositifs numériques facilite la compréhension des consignes et renforce l’implication des familles dans le suivi scolaire. Cette pratique s’inscrit dans une didactique plurilingue et contextualisée, dans laquelle les TIC servent de leviers pour réduire la distance linguistique entre l’école et les apprenants (</w:t>
      </w:r>
      <w:proofErr w:type="spellStart"/>
      <w:r w:rsidRPr="006239D8">
        <w:rPr>
          <w:sz w:val="24"/>
          <w:szCs w:val="24"/>
          <w:lang w:val="fr-CA" w:eastAsia="fr-CA"/>
        </w:rPr>
        <w:t>Bamgbose</w:t>
      </w:r>
      <w:proofErr w:type="spellEnd"/>
      <w:r w:rsidRPr="006239D8">
        <w:rPr>
          <w:sz w:val="24"/>
          <w:szCs w:val="24"/>
          <w:lang w:val="fr-CA" w:eastAsia="fr-CA"/>
        </w:rPr>
        <w:t>, 1991 ; Trudell, 2016). Elle apparaît particulièrement pertinente dans les zones rurales et auprès des élèves déplacés internes, pour lesquels le français scolaire peut constituer un obstacle supplémentaire à l’accès aux apprentissages.</w:t>
      </w:r>
    </w:p>
    <w:p w14:paraId="0A8CF47E" w14:textId="77777777" w:rsidR="00D80693" w:rsidRPr="006239D8" w:rsidRDefault="00D80693" w:rsidP="00D51032">
      <w:pPr>
        <w:spacing w:before="120"/>
        <w:jc w:val="both"/>
        <w:rPr>
          <w:sz w:val="24"/>
          <w:szCs w:val="24"/>
          <w:lang w:val="fr-CA" w:eastAsia="fr-CA"/>
        </w:rPr>
      </w:pPr>
      <w:r w:rsidRPr="006239D8">
        <w:rPr>
          <w:sz w:val="24"/>
          <w:szCs w:val="24"/>
          <w:lang w:val="fr-CA" w:eastAsia="fr-CA"/>
        </w:rPr>
        <w:t xml:space="preserve">Enfin, l’analyse met en lumière les limites didactiques de l’intégration des TIC en contexte de crise sécuritaire. Les inégalités d’accès aux équipements numériques, la faible maîtrise pédagogique du numérique par certains enseignants, ainsi que l’absence de dispositifs d’évaluation formative adaptés à l’enseignement à distance constituent des contraintes majeures. Ces limites rappellent que les TIC ne produisent pas mécaniquement des effets positifs sur les apprentissages et que leur efficacité dépend étroitement des conditions didactiques, institutionnelles et politiques de leur mise en œuvre. Elles soulignent la nécessité d’une approche systémique et contextualisée de l’intégration du numérique éducatif, dépassant une vision strictement </w:t>
      </w:r>
      <w:proofErr w:type="spellStart"/>
      <w:r w:rsidRPr="006239D8">
        <w:rPr>
          <w:sz w:val="24"/>
          <w:szCs w:val="24"/>
          <w:lang w:val="fr-CA" w:eastAsia="fr-CA"/>
        </w:rPr>
        <w:t>technocentrée</w:t>
      </w:r>
      <w:proofErr w:type="spellEnd"/>
      <w:r w:rsidRPr="006239D8">
        <w:rPr>
          <w:sz w:val="24"/>
          <w:szCs w:val="24"/>
          <w:lang w:val="fr-CA" w:eastAsia="fr-CA"/>
        </w:rPr>
        <w:t>.</w:t>
      </w:r>
    </w:p>
    <w:p w14:paraId="5C8C4CA7" w14:textId="551B43F0" w:rsidR="00D80693" w:rsidRPr="00D51032" w:rsidRDefault="00D51032" w:rsidP="00D51032">
      <w:pPr>
        <w:pStyle w:val="Paragraphedeliste"/>
        <w:numPr>
          <w:ilvl w:val="1"/>
          <w:numId w:val="163"/>
        </w:numPr>
        <w:rPr>
          <w:b/>
          <w:bCs/>
          <w:sz w:val="28"/>
          <w:szCs w:val="28"/>
          <w:lang w:val="fr-CA" w:eastAsia="fr-CA"/>
        </w:rPr>
      </w:pPr>
      <w:r w:rsidRPr="00D51032">
        <w:rPr>
          <w:b/>
          <w:bCs/>
          <w:sz w:val="28"/>
          <w:szCs w:val="28"/>
          <w:lang w:val="fr-CA" w:eastAsia="fr-CA"/>
        </w:rPr>
        <w:t xml:space="preserve">Discussion </w:t>
      </w:r>
    </w:p>
    <w:p w14:paraId="0D659C6E" w14:textId="77777777" w:rsidR="00D80693" w:rsidRPr="00312731" w:rsidRDefault="00D80693" w:rsidP="00D51032">
      <w:pPr>
        <w:spacing w:before="120"/>
        <w:jc w:val="both"/>
        <w:rPr>
          <w:sz w:val="24"/>
          <w:szCs w:val="24"/>
          <w:lang w:val="fr-CA" w:eastAsia="fr-CA"/>
        </w:rPr>
      </w:pPr>
      <w:r w:rsidRPr="00354BF3">
        <w:rPr>
          <w:sz w:val="24"/>
          <w:szCs w:val="24"/>
          <w:lang w:val="fr-CA" w:eastAsia="fr-CA"/>
        </w:rPr>
        <w:t xml:space="preserve">Les résultats de cette étude confirment que l’intégration des TIC en contexte de crise sécuritaire doit être analysée à travers le prisme de la didactique, et non uniquement sous l’angle technologique. En ce sens, ils rejoignent les travaux qui soulignent que les technologies éducatives ne constituent pas des solutions universelles, mais des outils dont l’efficacité dépend des usages pédagogiques et des contextes socioculturels (Tardif, 2012 ; </w:t>
      </w:r>
      <w:proofErr w:type="spellStart"/>
      <w:r w:rsidRPr="00354BF3">
        <w:rPr>
          <w:sz w:val="24"/>
          <w:szCs w:val="24"/>
          <w:lang w:val="fr-CA" w:eastAsia="fr-CA"/>
        </w:rPr>
        <w:t>Depover</w:t>
      </w:r>
      <w:proofErr w:type="spellEnd"/>
      <w:r w:rsidRPr="00354BF3">
        <w:rPr>
          <w:sz w:val="24"/>
          <w:szCs w:val="24"/>
          <w:lang w:val="fr-CA" w:eastAsia="fr-CA"/>
        </w:rPr>
        <w:t>, Karsenti &amp; Komis, 2015).</w:t>
      </w:r>
      <w:r>
        <w:rPr>
          <w:sz w:val="24"/>
          <w:szCs w:val="24"/>
          <w:lang w:eastAsia="fr-CA"/>
        </w:rPr>
        <w:t xml:space="preserve"> </w:t>
      </w:r>
      <w:r w:rsidRPr="00354BF3">
        <w:rPr>
          <w:sz w:val="24"/>
          <w:szCs w:val="24"/>
          <w:lang w:val="fr-CA" w:eastAsia="fr-CA"/>
        </w:rPr>
        <w:t xml:space="preserve">La reconfiguration des situations d’enseignement-apprentissage observée dans cette étude s’inscrit dans une logique de </w:t>
      </w:r>
      <w:r w:rsidRPr="00312731">
        <w:rPr>
          <w:bCs/>
          <w:sz w:val="24"/>
          <w:szCs w:val="24"/>
          <w:lang w:val="fr-CA" w:eastAsia="fr-CA"/>
        </w:rPr>
        <w:t>didactique de l’urgence</w:t>
      </w:r>
      <w:r w:rsidRPr="00312731">
        <w:rPr>
          <w:sz w:val="24"/>
          <w:szCs w:val="24"/>
          <w:lang w:val="fr-CA" w:eastAsia="fr-CA"/>
        </w:rPr>
        <w:t>, telle que décrite dans les travaux sur l’éducation en situations de crise et de conflits (INEE, 2010 ; UNESCO, 2020). Cette didactique repose sur la priorisation des apprentissages essentiels, la flexibilité des modalités pédagogiques et l’adaptation aux contraintes psychosociales des apprenants. Les TIC apparaissent ici comme des instruments facilitant cette adaptation, en permettant de maintenir un cadre pédagogique minimal malgré l’insécurité.</w:t>
      </w:r>
      <w:r w:rsidRPr="000E2835">
        <w:rPr>
          <w:kern w:val="2"/>
          <w:sz w:val="24"/>
          <w:szCs w:val="24"/>
          <w:lang w:val="fr-CA"/>
          <w14:ligatures w14:val="standardContextual"/>
        </w:rPr>
        <w:t xml:space="preserve"> </w:t>
      </w:r>
      <w:r>
        <w:rPr>
          <w:kern w:val="2"/>
          <w:sz w:val="24"/>
          <w:szCs w:val="24"/>
          <w:lang w:val="fr-CA"/>
          <w14:ligatures w14:val="standardContextual"/>
        </w:rPr>
        <w:t>L</w:t>
      </w:r>
      <w:r w:rsidRPr="000E2835">
        <w:rPr>
          <w:sz w:val="24"/>
          <w:szCs w:val="24"/>
          <w:lang w:val="fr-CA" w:eastAsia="fr-CA"/>
        </w:rPr>
        <w:t>es résultats font écho aux constats formulés lors d’études antérieures sur l’usage des TIC en contexte de crise sanitaire, où les acteurs exprimaient déjà des perceptions ambivalentes, oscillant entre espoir de continuité éducative et contraintes matérielles persistantes (Congo, 2020).</w:t>
      </w:r>
    </w:p>
    <w:p w14:paraId="0E2EE1CF" w14:textId="77777777" w:rsidR="00D80693" w:rsidRPr="00354BF3" w:rsidRDefault="00D80693" w:rsidP="00D51032">
      <w:pPr>
        <w:spacing w:before="120"/>
        <w:jc w:val="both"/>
        <w:rPr>
          <w:sz w:val="24"/>
          <w:szCs w:val="24"/>
          <w:lang w:val="fr-CA" w:eastAsia="fr-CA"/>
        </w:rPr>
      </w:pPr>
      <w:r w:rsidRPr="00312731">
        <w:rPr>
          <w:sz w:val="24"/>
          <w:szCs w:val="24"/>
          <w:lang w:val="fr-CA" w:eastAsia="fr-CA"/>
        </w:rPr>
        <w:t xml:space="preserve">La discussion met également en évidence le rôle central de la </w:t>
      </w:r>
      <w:r w:rsidRPr="00312731">
        <w:rPr>
          <w:bCs/>
          <w:sz w:val="24"/>
          <w:szCs w:val="24"/>
          <w:lang w:val="fr-CA" w:eastAsia="fr-CA"/>
        </w:rPr>
        <w:t>médiation pédagogique</w:t>
      </w:r>
      <w:r w:rsidRPr="00354BF3">
        <w:rPr>
          <w:sz w:val="24"/>
          <w:szCs w:val="24"/>
          <w:lang w:val="fr-CA" w:eastAsia="fr-CA"/>
        </w:rPr>
        <w:t xml:space="preserve"> dans l’enseignement médiatisé. Conformément aux apports de la psychologie socioculturelle (Vygotsky, 1978), l’apprentissage demeure un processus social, même lorsqu’il est médiatisé par des outils numériques. Les TIC ne remplacent pas l’enseignant, mais redéfinissent son rôle comme médiateur, organisateur et accompagnateur des apprentissages. Cette évolution exige le développement de compétences didactiques spécifiques, notamment en matière de scénarisation pédagogique et de communication éducative à distance.</w:t>
      </w:r>
      <w:r>
        <w:rPr>
          <w:sz w:val="24"/>
          <w:szCs w:val="24"/>
          <w:lang w:eastAsia="fr-CA"/>
        </w:rPr>
        <w:t xml:space="preserve"> </w:t>
      </w:r>
      <w:r w:rsidRPr="00354BF3">
        <w:rPr>
          <w:sz w:val="24"/>
          <w:szCs w:val="24"/>
          <w:lang w:val="fr-CA" w:eastAsia="fr-CA"/>
        </w:rPr>
        <w:t xml:space="preserve">La dimension linguistique constitue un apport majeur de cette discussion. L’intégration des langues nationales dans les dispositifs numériques s’inscrit dans une perspective de </w:t>
      </w:r>
      <w:r w:rsidRPr="00354BF3">
        <w:rPr>
          <w:bCs/>
          <w:sz w:val="24"/>
          <w:szCs w:val="24"/>
          <w:lang w:val="fr-CA" w:eastAsia="fr-CA"/>
        </w:rPr>
        <w:t>justice linguistique et didactique</w:t>
      </w:r>
      <w:r w:rsidRPr="00354BF3">
        <w:rPr>
          <w:sz w:val="24"/>
          <w:szCs w:val="24"/>
          <w:lang w:val="fr-CA" w:eastAsia="fr-CA"/>
        </w:rPr>
        <w:t>, largement documentée dans la littérature africaine (</w:t>
      </w:r>
      <w:proofErr w:type="spellStart"/>
      <w:r w:rsidRPr="00354BF3">
        <w:rPr>
          <w:sz w:val="24"/>
          <w:szCs w:val="24"/>
          <w:lang w:val="fr-CA" w:eastAsia="fr-CA"/>
        </w:rPr>
        <w:t>Bamgbose</w:t>
      </w:r>
      <w:proofErr w:type="spellEnd"/>
      <w:r w:rsidRPr="00354BF3">
        <w:rPr>
          <w:sz w:val="24"/>
          <w:szCs w:val="24"/>
          <w:lang w:val="fr-CA" w:eastAsia="fr-CA"/>
        </w:rPr>
        <w:t xml:space="preserve">, 1991 ; </w:t>
      </w:r>
      <w:proofErr w:type="spellStart"/>
      <w:r w:rsidRPr="00354BF3">
        <w:rPr>
          <w:sz w:val="24"/>
          <w:szCs w:val="24"/>
          <w:lang w:val="fr-CA" w:eastAsia="fr-CA"/>
        </w:rPr>
        <w:t>Ouane</w:t>
      </w:r>
      <w:proofErr w:type="spellEnd"/>
      <w:r w:rsidRPr="00354BF3">
        <w:rPr>
          <w:sz w:val="24"/>
          <w:szCs w:val="24"/>
          <w:lang w:val="fr-CA" w:eastAsia="fr-CA"/>
        </w:rPr>
        <w:t xml:space="preserve"> &amp; Glanz, 2011 ; </w:t>
      </w:r>
      <w:proofErr w:type="spellStart"/>
      <w:r w:rsidRPr="00354BF3">
        <w:rPr>
          <w:sz w:val="24"/>
          <w:szCs w:val="24"/>
          <w:lang w:val="fr-CA" w:eastAsia="fr-CA"/>
        </w:rPr>
        <w:t>Heugh</w:t>
      </w:r>
      <w:proofErr w:type="spellEnd"/>
      <w:r w:rsidRPr="00354BF3">
        <w:rPr>
          <w:sz w:val="24"/>
          <w:szCs w:val="24"/>
          <w:lang w:val="fr-CA" w:eastAsia="fr-CA"/>
        </w:rPr>
        <w:t>, 2018). Les TIC offrent des opportunités inédites pour valoriser ces langues comme outils d’enseignement-apprentissage, en particulier à travers des supports oraux et audiovisuels. Cette approche favorise non seulement la compréhension des contenus, mais aussi l’inclusion des familles et la continuité éducative entre l’école et la communauté.</w:t>
      </w:r>
      <w:r>
        <w:rPr>
          <w:sz w:val="24"/>
          <w:szCs w:val="24"/>
          <w:lang w:eastAsia="fr-CA"/>
        </w:rPr>
        <w:t xml:space="preserve"> </w:t>
      </w:r>
      <w:r w:rsidRPr="00354BF3">
        <w:rPr>
          <w:sz w:val="24"/>
          <w:szCs w:val="24"/>
          <w:lang w:val="fr-CA" w:eastAsia="fr-CA"/>
        </w:rPr>
        <w:t xml:space="preserve">Toutefois, la discussion souligne que le potentiel didactique des TIC reste conditionné par des facteurs structurels. L’absence de formation pédagogique des enseignants au numérique, la faiblesse des infrastructures et le manque de cadres institutionnels clairs peuvent limiter l’impact des dispositifs technologiques. Ces constats rejoignent les analyses critiques de </w:t>
      </w:r>
      <w:proofErr w:type="spellStart"/>
      <w:r w:rsidRPr="00354BF3">
        <w:rPr>
          <w:sz w:val="24"/>
          <w:szCs w:val="24"/>
          <w:lang w:val="fr-CA" w:eastAsia="fr-CA"/>
        </w:rPr>
        <w:t>Depover</w:t>
      </w:r>
      <w:proofErr w:type="spellEnd"/>
      <w:r w:rsidRPr="00354BF3">
        <w:rPr>
          <w:sz w:val="24"/>
          <w:szCs w:val="24"/>
          <w:lang w:val="fr-CA" w:eastAsia="fr-CA"/>
        </w:rPr>
        <w:t xml:space="preserve"> et al. (2015), qui insistent sur la nécessité d’une intégration pédagogique réfléchie des TIC, fondée sur les besoins réels des systèmes éducatifs et non sur une logique de transfert technologique.</w:t>
      </w:r>
      <w:r>
        <w:rPr>
          <w:sz w:val="24"/>
          <w:szCs w:val="24"/>
          <w:lang w:eastAsia="fr-CA"/>
        </w:rPr>
        <w:t xml:space="preserve"> C</w:t>
      </w:r>
      <w:proofErr w:type="spellStart"/>
      <w:r w:rsidRPr="00354BF3">
        <w:rPr>
          <w:sz w:val="24"/>
          <w:szCs w:val="24"/>
          <w:lang w:val="fr-CA" w:eastAsia="fr-CA"/>
        </w:rPr>
        <w:t>ette</w:t>
      </w:r>
      <w:proofErr w:type="spellEnd"/>
      <w:r w:rsidRPr="00354BF3">
        <w:rPr>
          <w:sz w:val="24"/>
          <w:szCs w:val="24"/>
          <w:lang w:val="fr-CA" w:eastAsia="fr-CA"/>
        </w:rPr>
        <w:t xml:space="preserve"> discussion plaide pour une approche intégrée des TIC en contexte de crise sécuritaire, articulant </w:t>
      </w:r>
      <w:r w:rsidRPr="000E2835">
        <w:rPr>
          <w:bCs/>
          <w:sz w:val="24"/>
          <w:szCs w:val="24"/>
          <w:lang w:val="fr-CA" w:eastAsia="fr-CA"/>
        </w:rPr>
        <w:t>didactique contextualisée, plurilinguisme et résilience éducative</w:t>
      </w:r>
      <w:r w:rsidRPr="00354BF3">
        <w:rPr>
          <w:sz w:val="24"/>
          <w:szCs w:val="24"/>
          <w:lang w:val="fr-CA" w:eastAsia="fr-CA"/>
        </w:rPr>
        <w:t>. Les TIC apparaissent alors non comme des solutions miracles, mais comme des outils au service d’une pédagogie adaptée, inclusive et culturellement enracinée, capable de soutenir la continuité des apprentissages dans des contextes de forte vulnérabilité.</w:t>
      </w:r>
    </w:p>
    <w:p w14:paraId="37997E5E" w14:textId="77777777" w:rsidR="00D80693" w:rsidRPr="00D51032" w:rsidRDefault="00D80693" w:rsidP="00D51032">
      <w:pPr>
        <w:spacing w:before="120"/>
        <w:rPr>
          <w:b/>
          <w:bCs/>
          <w:kern w:val="2"/>
          <w:sz w:val="28"/>
          <w:szCs w:val="28"/>
          <w14:ligatures w14:val="standardContextual"/>
        </w:rPr>
      </w:pPr>
      <w:r w:rsidRPr="00D51032">
        <w:rPr>
          <w:b/>
          <w:bCs/>
          <w:kern w:val="2"/>
          <w:sz w:val="28"/>
          <w:szCs w:val="28"/>
          <w14:ligatures w14:val="standardContextual"/>
        </w:rPr>
        <w:t>Conclusion</w:t>
      </w:r>
    </w:p>
    <w:p w14:paraId="1691B085"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Cette étude s’est attachée à analyser les enjeux didactiques de l’intégration des technologies de l’information et de la communication (TIC) dans les pratiques éducatives en contexte de crise sécuritaire au Burkina Faso. En s’appuyant sur une approche qualitative et interprétative, elle a mis en évidence que les TIC ne constituent pas de simples solutions techniques de continuité pédagogique, mais qu’elles participent à une reconfiguration profonde des situations d’enseignement-apprentissage, des rôles des acteurs éducatifs et des modalités d’accès aux savoirs.</w:t>
      </w:r>
    </w:p>
    <w:p w14:paraId="6E2DA605"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Les résultats révèlent que, dans des contextes marqués par l’insécurité, les déplacements de populations et la discontinuité scolaire, les TIC permettent de maintenir un cadre pédagogique minimal en favorisant des formes d’apprentissage médiatisées, hybrides ou asynchrones. Sur le plan didactique, ces dispositifs conduisent à une priorisation des apprentissages essentiels, à une fragmentation raisonnée des contenus et à une adaptation des supports pédagogiques aux contraintes matérielles et psychosociales des apprenants. L’enseignant y apparaît moins comme un simple transmetteur de savoirs que comme un médiateur et un concepteur de situations didactiques contextualisées.</w:t>
      </w:r>
    </w:p>
    <w:p w14:paraId="6847077F"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L’analyse met également en lumière le rôle central de la médiation pédagogique dans l’enseignement médiatisé. Même à distance, l’apprentissage demeure un processus fondamentalement social, nécessitant des interactions, des rétroactions et un accompagnement structuré. Les TIC, lorsqu’elles sont intégrées de manière réfléchie, peuvent soutenir cette médiation en diversifiant les canaux de communication pédagogique et en maintenant le lien enseignant–apprenant. Toutefois, leur efficacité didactique dépend étroitement des compétences pédagogiques des enseignants et de leur capacité à scénariser des apprentissages adaptés au numérique.</w:t>
      </w:r>
    </w:p>
    <w:p w14:paraId="07F792BE"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Un apport majeur de cette recherche réside dans la prise en compte de la dimension linguistique de l’enseignement médiatisé. L’intégration des langues nationales dans les dispositifs numériques apparaît comme un levier didactique essentiel pour améliorer la compréhension des consignes, renforcer l’implication des familles et favoriser l’inclusion des apprenants les plus vulnérables. Cette orientation s’inscrit dans une didactique plurilingue et contextualisée, répondant aux réalités sociolinguistiques du Burkina Faso et aux exigences d’équité éducative.</w:t>
      </w:r>
    </w:p>
    <w:p w14:paraId="3FC54350" w14:textId="77777777" w:rsidR="00D80693" w:rsidRP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 xml:space="preserve">Toutefois, la recherche souligne également les limites et les défis liés à l’intégration des TIC en contexte de crise sécuritaire. Les inégalités d’accès aux équipements, la faiblesse des infrastructures numériques, le manque de formation pédagogique au numérique et l’absence de dispositifs d’évaluation adaptés constituent des obstacles majeurs à une intégration didactique durable. Ces contraintes appellent à dépasser une vision </w:t>
      </w:r>
      <w:proofErr w:type="spellStart"/>
      <w:r w:rsidRPr="00D51032">
        <w:rPr>
          <w:kern w:val="2"/>
          <w:sz w:val="24"/>
          <w:szCs w:val="24"/>
          <w14:ligatures w14:val="standardContextual"/>
        </w:rPr>
        <w:t>technocentrée</w:t>
      </w:r>
      <w:proofErr w:type="spellEnd"/>
      <w:r w:rsidRPr="00D51032">
        <w:rPr>
          <w:kern w:val="2"/>
          <w:sz w:val="24"/>
          <w:szCs w:val="24"/>
          <w14:ligatures w14:val="standardContextual"/>
        </w:rPr>
        <w:t xml:space="preserve"> des TIC pour privilégier une approche systémique, articulant formation des enseignants, production de contenus contextualisés, politiques linguistiques éducatives et gouvernance locale.</w:t>
      </w:r>
    </w:p>
    <w:p w14:paraId="0DB4280F" w14:textId="5A38E4B2" w:rsidR="00D51032" w:rsidRDefault="00D80693" w:rsidP="00D51032">
      <w:pPr>
        <w:spacing w:before="120"/>
        <w:jc w:val="both"/>
        <w:rPr>
          <w:kern w:val="2"/>
          <w:sz w:val="24"/>
          <w:szCs w:val="24"/>
          <w14:ligatures w14:val="standardContextual"/>
        </w:rPr>
      </w:pPr>
      <w:r w:rsidRPr="00D51032">
        <w:rPr>
          <w:kern w:val="2"/>
          <w:sz w:val="24"/>
          <w:szCs w:val="24"/>
          <w14:ligatures w14:val="standardContextual"/>
        </w:rPr>
        <w:t xml:space="preserve">En définitive, cette étude plaide pour une conception des TIC comme </w:t>
      </w:r>
      <w:r w:rsidRPr="00D51032">
        <w:rPr>
          <w:bCs/>
          <w:kern w:val="2"/>
          <w:sz w:val="24"/>
          <w:szCs w:val="24"/>
          <w14:ligatures w14:val="standardContextual"/>
        </w:rPr>
        <w:t>outils didactiques au service de la résilience éducative</w:t>
      </w:r>
      <w:r w:rsidRPr="00D51032">
        <w:rPr>
          <w:kern w:val="2"/>
          <w:sz w:val="24"/>
          <w:szCs w:val="24"/>
          <w14:ligatures w14:val="standardContextual"/>
        </w:rPr>
        <w:t>, et non comme des solutions miracles aux crises scolaires. Elle invite les décideurs, les formateurs et les praticiens à inscrire l’intégration du numérique dans une didactique contextualisée, inclusive et culturellement enracinée, capable de soutenir les apprentissages même en situation d’adversité. Des recherches empiriques complémentaires, mobilisant des méthodologies mixtes et longitudinales, seraient toutefois nécessaires pour évaluer plus finement l’impact des dispositifs numériques sur les apprentissages et la réussite scolaire dans les contextes de crise sécuritaire.</w:t>
      </w:r>
    </w:p>
    <w:p w14:paraId="53AA661E" w14:textId="77777777" w:rsidR="00D51032" w:rsidRDefault="00D51032">
      <w:pPr>
        <w:rPr>
          <w:kern w:val="2"/>
          <w:sz w:val="24"/>
          <w:szCs w:val="24"/>
          <w14:ligatures w14:val="standardContextual"/>
        </w:rPr>
      </w:pPr>
      <w:r>
        <w:rPr>
          <w:kern w:val="2"/>
          <w:sz w:val="24"/>
          <w:szCs w:val="24"/>
          <w14:ligatures w14:val="standardContextual"/>
        </w:rPr>
        <w:br w:type="page"/>
      </w:r>
    </w:p>
    <w:p w14:paraId="4714DEC6" w14:textId="733300B5" w:rsidR="00D80693" w:rsidRPr="00D51032" w:rsidRDefault="00D51032" w:rsidP="00D51032">
      <w:pPr>
        <w:spacing w:before="120"/>
        <w:rPr>
          <w:b/>
          <w:bCs/>
          <w:kern w:val="2"/>
          <w:sz w:val="28"/>
          <w:szCs w:val="28"/>
          <w14:ligatures w14:val="standardContextual"/>
        </w:rPr>
      </w:pPr>
      <w:bookmarkStart w:id="225" w:name="_Hlk211981744"/>
      <w:r w:rsidRPr="00D51032">
        <w:rPr>
          <w:b/>
          <w:bCs/>
          <w:kern w:val="2"/>
          <w:sz w:val="28"/>
          <w:szCs w:val="28"/>
          <w14:ligatures w14:val="standardContextual"/>
        </w:rPr>
        <w:t>Références b</w:t>
      </w:r>
      <w:r w:rsidR="00D80693" w:rsidRPr="00D51032">
        <w:rPr>
          <w:b/>
          <w:bCs/>
          <w:kern w:val="2"/>
          <w:sz w:val="28"/>
          <w:szCs w:val="28"/>
          <w14:ligatures w14:val="standardContextual"/>
        </w:rPr>
        <w:t>ibliographi</w:t>
      </w:r>
      <w:r w:rsidRPr="00D51032">
        <w:rPr>
          <w:b/>
          <w:bCs/>
          <w:kern w:val="2"/>
          <w:sz w:val="28"/>
          <w:szCs w:val="28"/>
          <w14:ligatures w14:val="standardContextual"/>
        </w:rPr>
        <w:t>ques</w:t>
      </w:r>
    </w:p>
    <w:bookmarkEnd w:id="225"/>
    <w:p w14:paraId="06B3294D"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14:ligatures w14:val="standardContextual"/>
        </w:rPr>
        <w:t xml:space="preserve">ADEA. (2022). Rapport sur les innovations éducatives en Afrique de l’Ouest. </w:t>
      </w:r>
    </w:p>
    <w:p w14:paraId="22441A82"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14:ligatures w14:val="standardContextual"/>
        </w:rPr>
        <w:t>Bardin, L. (2007). L’analyse de contenu. Presses Universitaires de France.</w:t>
      </w:r>
    </w:p>
    <w:p w14:paraId="29B9B529" w14:textId="77777777" w:rsidR="00D80693" w:rsidRPr="00D51032" w:rsidRDefault="00D80693" w:rsidP="00D51032">
      <w:pPr>
        <w:spacing w:before="120"/>
        <w:ind w:left="1134" w:hanging="1134"/>
        <w:rPr>
          <w:kern w:val="2"/>
          <w:sz w:val="24"/>
          <w:szCs w:val="24"/>
          <w:lang w:val="en-US"/>
          <w14:ligatures w14:val="standardContextual"/>
        </w:rPr>
      </w:pPr>
      <w:proofErr w:type="spellStart"/>
      <w:r w:rsidRPr="00D51032">
        <w:rPr>
          <w:kern w:val="2"/>
          <w:sz w:val="24"/>
          <w:szCs w:val="24"/>
          <w14:ligatures w14:val="standardContextual"/>
        </w:rPr>
        <w:t>Bamgbose</w:t>
      </w:r>
      <w:proofErr w:type="spellEnd"/>
      <w:r w:rsidRPr="00D51032">
        <w:rPr>
          <w:kern w:val="2"/>
          <w:sz w:val="24"/>
          <w:szCs w:val="24"/>
          <w14:ligatures w14:val="standardContextual"/>
        </w:rPr>
        <w:t xml:space="preserve">, A. (1991). </w:t>
      </w:r>
      <w:r w:rsidRPr="00D51032">
        <w:rPr>
          <w:i/>
          <w:iCs/>
          <w:kern w:val="2"/>
          <w:sz w:val="24"/>
          <w:szCs w:val="24"/>
          <w:lang w:val="en-US"/>
          <w14:ligatures w14:val="standardContextual"/>
        </w:rPr>
        <w:t>Language and the nation</w:t>
      </w:r>
      <w:r w:rsidRPr="00D51032">
        <w:rPr>
          <w:kern w:val="2"/>
          <w:sz w:val="24"/>
          <w:szCs w:val="24"/>
          <w:lang w:val="en-US"/>
          <w14:ligatures w14:val="standardContextual"/>
        </w:rPr>
        <w:t>. Edinburgh University Press.</w:t>
      </w:r>
    </w:p>
    <w:p w14:paraId="5467A7C1" w14:textId="77777777" w:rsidR="00D80693" w:rsidRPr="00D51032" w:rsidRDefault="00D80693" w:rsidP="00D51032">
      <w:pPr>
        <w:spacing w:before="120"/>
        <w:ind w:left="1134" w:hanging="1134"/>
        <w:rPr>
          <w:kern w:val="2"/>
          <w:sz w:val="24"/>
          <w:szCs w:val="24"/>
          <w:lang w:val="en-CA"/>
          <w14:ligatures w14:val="standardContextual"/>
        </w:rPr>
      </w:pPr>
      <w:r w:rsidRPr="00D51032">
        <w:rPr>
          <w:kern w:val="2"/>
          <w:sz w:val="24"/>
          <w:szCs w:val="24"/>
          <w:lang w:val="en-CA"/>
          <w14:ligatures w14:val="standardContextual"/>
        </w:rPr>
        <w:t xml:space="preserve">Christensen, C. M. (1997). </w:t>
      </w:r>
      <w:r w:rsidRPr="00D51032">
        <w:rPr>
          <w:i/>
          <w:iCs/>
          <w:kern w:val="2"/>
          <w:sz w:val="24"/>
          <w:szCs w:val="24"/>
          <w:lang w:val="en-CA"/>
          <w14:ligatures w14:val="standardContextual"/>
        </w:rPr>
        <w:t>The Innovator's Dilemma: When New Technologies Cause Great Firms to Fail</w:t>
      </w:r>
      <w:r w:rsidRPr="00D51032">
        <w:rPr>
          <w:kern w:val="2"/>
          <w:sz w:val="24"/>
          <w:szCs w:val="24"/>
          <w:lang w:val="en-CA"/>
          <w14:ligatures w14:val="standardContextual"/>
        </w:rPr>
        <w:t>. Harvard Business Review Press.</w:t>
      </w:r>
    </w:p>
    <w:p w14:paraId="279B8A5B"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lang w:val="en-CA"/>
          <w14:ligatures w14:val="standardContextual"/>
        </w:rPr>
        <w:t xml:space="preserve">Christensen, C. M., Horn, M. B., &amp; Johnson, C. W. (2011). Disrupting class: How disruptive innovation will change the way the world learns. </w:t>
      </w:r>
      <w:r w:rsidRPr="00D51032">
        <w:rPr>
          <w:kern w:val="2"/>
          <w:sz w:val="24"/>
          <w:szCs w:val="24"/>
          <w14:ligatures w14:val="standardContextual"/>
        </w:rPr>
        <w:t>McGraw-Hill.</w:t>
      </w:r>
    </w:p>
    <w:p w14:paraId="15178679"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14:ligatures w14:val="standardContextual"/>
        </w:rPr>
        <w:t xml:space="preserve">CNEPT. (2022). </w:t>
      </w:r>
      <w:r w:rsidRPr="00D51032">
        <w:rPr>
          <w:i/>
          <w:iCs/>
          <w:kern w:val="2"/>
          <w:sz w:val="24"/>
          <w:szCs w:val="24"/>
          <w14:ligatures w14:val="standardContextual"/>
        </w:rPr>
        <w:t>Rapport sur l’éducation en situation d’urgence et les solutions d'apprentissage pour les enfants déplacés au Burkina Faso</w:t>
      </w:r>
      <w:r w:rsidRPr="00D51032">
        <w:rPr>
          <w:kern w:val="2"/>
          <w:sz w:val="24"/>
          <w:szCs w:val="24"/>
          <w14:ligatures w14:val="standardContextual"/>
        </w:rPr>
        <w:t>. CNEPT.</w:t>
      </w:r>
    </w:p>
    <w:p w14:paraId="428E9963"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14:ligatures w14:val="standardContextual"/>
        </w:rPr>
        <w:t xml:space="preserve">Congo, A. C. (2020). Scolarisation en temps de pandémie de covid-19 : défis de l’utilisation des TIC au Burkina Faso. </w:t>
      </w:r>
      <w:proofErr w:type="spellStart"/>
      <w:r w:rsidRPr="00D51032">
        <w:rPr>
          <w:kern w:val="2"/>
          <w:sz w:val="24"/>
          <w:szCs w:val="24"/>
          <w14:ligatures w14:val="standardContextual"/>
        </w:rPr>
        <w:t>Akofena</w:t>
      </w:r>
      <w:proofErr w:type="spellEnd"/>
      <w:r w:rsidRPr="00D51032">
        <w:rPr>
          <w:kern w:val="2"/>
          <w:sz w:val="24"/>
          <w:szCs w:val="24"/>
          <w14:ligatures w14:val="standardContextual"/>
        </w:rPr>
        <w:t>, Revue scientifique des Sciences du Langage, Lettres, Langues &amp; Communication, pp 45-56.</w:t>
      </w:r>
    </w:p>
    <w:p w14:paraId="739F451A" w14:textId="77777777" w:rsidR="00D80693" w:rsidRPr="00D51032" w:rsidRDefault="00D80693" w:rsidP="00D51032">
      <w:pPr>
        <w:spacing w:before="120"/>
        <w:ind w:left="1134" w:hanging="1134"/>
        <w:rPr>
          <w:sz w:val="24"/>
          <w:szCs w:val="24"/>
          <w:lang w:val="fr-CA" w:eastAsia="fr-CA"/>
        </w:rPr>
      </w:pPr>
      <w:r w:rsidRPr="00D51032">
        <w:rPr>
          <w:rFonts w:eastAsiaTheme="majorEastAsia"/>
          <w:bCs/>
          <w:sz w:val="24"/>
          <w:szCs w:val="24"/>
          <w:lang w:val="fr-CA" w:eastAsia="fr-CA"/>
        </w:rPr>
        <w:t>Congo, A. C. (2016).</w:t>
      </w:r>
      <w:r w:rsidRPr="00D51032">
        <w:rPr>
          <w:sz w:val="24"/>
          <w:szCs w:val="24"/>
          <w:lang w:val="fr-CA" w:eastAsia="fr-CA"/>
        </w:rPr>
        <w:t xml:space="preserve"> Problèmes linguistiques et didactiques de l’éducation inclusive de qualité des enfants sourds au Burkina Faso. </w:t>
      </w:r>
      <w:r w:rsidRPr="00D51032">
        <w:rPr>
          <w:rFonts w:eastAsiaTheme="majorEastAsia"/>
          <w:i/>
          <w:iCs/>
          <w:sz w:val="24"/>
          <w:szCs w:val="24"/>
          <w:lang w:val="fr-CA" w:eastAsia="fr-CA"/>
        </w:rPr>
        <w:t>Revue Baobab</w:t>
      </w:r>
      <w:r w:rsidRPr="00D51032">
        <w:rPr>
          <w:sz w:val="24"/>
          <w:szCs w:val="24"/>
          <w:lang w:val="fr-CA" w:eastAsia="fr-CA"/>
        </w:rPr>
        <w:t>, 326-339. ISSN 1996-1898.</w:t>
      </w:r>
    </w:p>
    <w:p w14:paraId="402AE3FE" w14:textId="77777777" w:rsidR="00D80693" w:rsidRPr="00D51032" w:rsidRDefault="00D80693" w:rsidP="00D51032">
      <w:pPr>
        <w:spacing w:before="120"/>
        <w:ind w:left="1134" w:hanging="1134"/>
        <w:rPr>
          <w:sz w:val="24"/>
          <w:szCs w:val="24"/>
          <w:lang w:val="fr-CA" w:eastAsia="fr-CA"/>
        </w:rPr>
      </w:pPr>
      <w:r w:rsidRPr="00D51032">
        <w:rPr>
          <w:rFonts w:eastAsiaTheme="majorEastAsia"/>
          <w:bCs/>
          <w:sz w:val="24"/>
          <w:szCs w:val="24"/>
          <w:lang w:val="fr-CA" w:eastAsia="fr-CA"/>
        </w:rPr>
        <w:t>Congo, A. C., Youl, P. S. I. R., &amp; Ouali, L. M. (2020).</w:t>
      </w:r>
      <w:r w:rsidRPr="00D51032">
        <w:rPr>
          <w:sz w:val="24"/>
          <w:szCs w:val="24"/>
          <w:lang w:val="fr-CA" w:eastAsia="fr-CA"/>
        </w:rPr>
        <w:t xml:space="preserve"> Paradigmes linguistique et didactique de l’éducation inclusive au Burkina Faso : cas des écoles de sourds de la région de l’Est. </w:t>
      </w:r>
      <w:r w:rsidRPr="00D51032">
        <w:rPr>
          <w:rFonts w:eastAsiaTheme="majorEastAsia"/>
          <w:i/>
          <w:iCs/>
          <w:sz w:val="24"/>
          <w:szCs w:val="24"/>
          <w:lang w:val="fr-CA" w:eastAsia="fr-CA"/>
        </w:rPr>
        <w:t>Science et Technique. Revue burkinabè de la recherche, Lettres, Sciences sociales et humaines</w:t>
      </w:r>
      <w:r w:rsidRPr="00D51032">
        <w:rPr>
          <w:sz w:val="24"/>
          <w:szCs w:val="24"/>
          <w:lang w:val="fr-CA" w:eastAsia="fr-CA"/>
        </w:rPr>
        <w:t>, 36(2), 215-237.</w:t>
      </w:r>
    </w:p>
    <w:p w14:paraId="48795054" w14:textId="77777777" w:rsidR="00D80693" w:rsidRPr="00D51032" w:rsidRDefault="00D80693" w:rsidP="00D51032">
      <w:pPr>
        <w:spacing w:before="120"/>
        <w:ind w:left="1134" w:hanging="1134"/>
        <w:rPr>
          <w:sz w:val="24"/>
          <w:szCs w:val="24"/>
          <w:lang w:val="fr-CA" w:eastAsia="fr-CA"/>
        </w:rPr>
      </w:pPr>
      <w:r w:rsidRPr="00D51032">
        <w:rPr>
          <w:rFonts w:eastAsiaTheme="majorEastAsia"/>
          <w:bCs/>
          <w:sz w:val="24"/>
          <w:szCs w:val="24"/>
          <w:lang w:val="fr-CA" w:eastAsia="fr-CA"/>
        </w:rPr>
        <w:t>Congo, A. C. (2020).</w:t>
      </w:r>
      <w:r w:rsidRPr="00D51032">
        <w:rPr>
          <w:sz w:val="24"/>
          <w:szCs w:val="24"/>
          <w:lang w:val="fr-CA" w:eastAsia="fr-CA"/>
        </w:rPr>
        <w:t xml:space="preserve"> Didactique de l’anglais au Burkina Faso : les défis de l’approche communicative. </w:t>
      </w:r>
      <w:r w:rsidRPr="00D51032">
        <w:rPr>
          <w:rFonts w:eastAsiaTheme="majorEastAsia"/>
          <w:i/>
          <w:iCs/>
          <w:sz w:val="24"/>
          <w:szCs w:val="24"/>
          <w:lang w:val="fr-CA" w:eastAsia="fr-CA"/>
        </w:rPr>
        <w:t>Cahiers du CERLESHS. Lettres, Sciences humaines et sociales</w:t>
      </w:r>
      <w:r w:rsidRPr="00D51032">
        <w:rPr>
          <w:sz w:val="24"/>
          <w:szCs w:val="24"/>
          <w:lang w:val="fr-CA" w:eastAsia="fr-CA"/>
        </w:rPr>
        <w:t>, 31(66), 41-61.</w:t>
      </w:r>
    </w:p>
    <w:p w14:paraId="710B842C" w14:textId="77777777" w:rsidR="00D80693" w:rsidRPr="00D51032" w:rsidRDefault="00D80693" w:rsidP="00D51032">
      <w:pPr>
        <w:spacing w:before="120"/>
        <w:ind w:left="1134" w:hanging="1134"/>
        <w:rPr>
          <w:sz w:val="24"/>
          <w:szCs w:val="24"/>
          <w:lang w:val="fr-CA" w:eastAsia="fr-CA"/>
        </w:rPr>
      </w:pPr>
      <w:r w:rsidRPr="00D51032">
        <w:rPr>
          <w:rFonts w:eastAsiaTheme="majorEastAsia"/>
          <w:bCs/>
          <w:sz w:val="24"/>
          <w:szCs w:val="24"/>
          <w:lang w:val="fr-CA" w:eastAsia="fr-CA"/>
        </w:rPr>
        <w:t>Congo, A. C. (2020)</w:t>
      </w:r>
      <w:r w:rsidRPr="00D51032">
        <w:rPr>
          <w:rFonts w:eastAsiaTheme="majorEastAsia"/>
          <w:b/>
          <w:bCs/>
          <w:sz w:val="24"/>
          <w:szCs w:val="24"/>
          <w:lang w:val="fr-CA" w:eastAsia="fr-CA"/>
        </w:rPr>
        <w:t>.</w:t>
      </w:r>
      <w:r w:rsidRPr="00D51032">
        <w:rPr>
          <w:sz w:val="24"/>
          <w:szCs w:val="24"/>
          <w:lang w:val="fr-CA" w:eastAsia="fr-CA"/>
        </w:rPr>
        <w:t xml:space="preserve"> Représentations sociales de la pandémie de Covid-19 en Afrique subsaharienne et problématique d’une riposte collective (avec I. </w:t>
      </w:r>
      <w:proofErr w:type="spellStart"/>
      <w:r w:rsidRPr="00D51032">
        <w:rPr>
          <w:sz w:val="24"/>
          <w:szCs w:val="24"/>
          <w:lang w:val="fr-CA" w:eastAsia="fr-CA"/>
        </w:rPr>
        <w:t>Guiré</w:t>
      </w:r>
      <w:proofErr w:type="spellEnd"/>
      <w:r w:rsidRPr="00D51032">
        <w:rPr>
          <w:sz w:val="24"/>
          <w:szCs w:val="24"/>
          <w:lang w:val="fr-CA" w:eastAsia="fr-CA"/>
        </w:rPr>
        <w:t xml:space="preserve">). </w:t>
      </w:r>
      <w:proofErr w:type="spellStart"/>
      <w:r w:rsidRPr="00D51032">
        <w:rPr>
          <w:rFonts w:eastAsiaTheme="majorEastAsia"/>
          <w:i/>
          <w:iCs/>
          <w:sz w:val="24"/>
          <w:szCs w:val="24"/>
          <w:lang w:val="fr-CA" w:eastAsia="fr-CA"/>
        </w:rPr>
        <w:t>Akofena</w:t>
      </w:r>
      <w:proofErr w:type="spellEnd"/>
      <w:r w:rsidRPr="00D51032">
        <w:rPr>
          <w:rFonts w:eastAsiaTheme="majorEastAsia"/>
          <w:i/>
          <w:iCs/>
          <w:sz w:val="24"/>
          <w:szCs w:val="24"/>
          <w:lang w:val="fr-CA" w:eastAsia="fr-CA"/>
        </w:rPr>
        <w:t>. Revue scientifique des Sciences du Langage, Lettres, Langues &amp; Communication</w:t>
      </w:r>
      <w:r w:rsidRPr="00D51032">
        <w:rPr>
          <w:sz w:val="24"/>
          <w:szCs w:val="24"/>
          <w:lang w:val="fr-CA" w:eastAsia="fr-CA"/>
        </w:rPr>
        <w:t>, Spécial n°3 (L3DL-CI), 492-506.</w:t>
      </w:r>
    </w:p>
    <w:p w14:paraId="61DA8E22" w14:textId="77777777" w:rsidR="00D80693" w:rsidRPr="00D51032" w:rsidRDefault="00D80693" w:rsidP="00D51032">
      <w:pPr>
        <w:spacing w:before="120"/>
        <w:ind w:left="1134" w:hanging="1134"/>
        <w:rPr>
          <w:sz w:val="24"/>
          <w:szCs w:val="24"/>
          <w:lang w:val="fr-CA" w:eastAsia="fr-CA"/>
        </w:rPr>
      </w:pPr>
      <w:r w:rsidRPr="00D51032">
        <w:rPr>
          <w:rFonts w:eastAsiaTheme="majorEastAsia"/>
          <w:bCs/>
          <w:sz w:val="24"/>
          <w:szCs w:val="24"/>
          <w:lang w:val="fr-CA" w:eastAsia="fr-CA"/>
        </w:rPr>
        <w:t>Congo, A. C. (2021).</w:t>
      </w:r>
      <w:r w:rsidRPr="00D51032">
        <w:rPr>
          <w:sz w:val="24"/>
          <w:szCs w:val="24"/>
          <w:lang w:val="fr-CA" w:eastAsia="fr-CA"/>
        </w:rPr>
        <w:t xml:space="preserve"> Scolarisation en temps de pandémie de Covid-19 : défis de l’utilisation des TIC au Burkina Faso. </w:t>
      </w:r>
      <w:proofErr w:type="spellStart"/>
      <w:r w:rsidRPr="00D51032">
        <w:rPr>
          <w:rFonts w:eastAsiaTheme="majorEastAsia"/>
          <w:i/>
          <w:iCs/>
          <w:sz w:val="24"/>
          <w:szCs w:val="24"/>
          <w:lang w:val="fr-CA" w:eastAsia="fr-CA"/>
        </w:rPr>
        <w:t>Akofena</w:t>
      </w:r>
      <w:proofErr w:type="spellEnd"/>
      <w:r w:rsidRPr="00D51032">
        <w:rPr>
          <w:rFonts w:eastAsiaTheme="majorEastAsia"/>
          <w:i/>
          <w:iCs/>
          <w:sz w:val="24"/>
          <w:szCs w:val="24"/>
          <w:lang w:val="fr-CA" w:eastAsia="fr-CA"/>
        </w:rPr>
        <w:t>. Revue scientifique des Sciences du Langage, Lettres, Langues &amp; Communication</w:t>
      </w:r>
      <w:r w:rsidRPr="00D51032">
        <w:rPr>
          <w:sz w:val="24"/>
          <w:szCs w:val="24"/>
          <w:lang w:val="fr-CA" w:eastAsia="fr-CA"/>
        </w:rPr>
        <w:t>, Spécial n°3 (L3DL-CI), 45-56.</w:t>
      </w:r>
    </w:p>
    <w:p w14:paraId="188B9BD3" w14:textId="77777777" w:rsidR="00D80693" w:rsidRPr="00D51032" w:rsidRDefault="00D80693" w:rsidP="00D51032">
      <w:pPr>
        <w:spacing w:before="120"/>
        <w:ind w:left="1134" w:hanging="1134"/>
        <w:rPr>
          <w:sz w:val="24"/>
          <w:szCs w:val="24"/>
          <w:lang w:val="en-US" w:eastAsia="fr-CA"/>
        </w:rPr>
      </w:pPr>
      <w:r w:rsidRPr="00D51032">
        <w:rPr>
          <w:rFonts w:eastAsiaTheme="majorEastAsia"/>
          <w:bCs/>
          <w:sz w:val="24"/>
          <w:szCs w:val="24"/>
          <w:lang w:val="fr-CA" w:eastAsia="fr-CA"/>
        </w:rPr>
        <w:t>Congo, A. C. (2025).</w:t>
      </w:r>
      <w:r w:rsidRPr="00D51032">
        <w:rPr>
          <w:b/>
          <w:sz w:val="24"/>
          <w:szCs w:val="24"/>
          <w:lang w:val="fr-CA" w:eastAsia="fr-CA"/>
        </w:rPr>
        <w:t xml:space="preserve"> </w:t>
      </w:r>
      <w:r w:rsidRPr="00D51032">
        <w:rPr>
          <w:sz w:val="24"/>
          <w:szCs w:val="24"/>
          <w:lang w:val="fr-CA" w:eastAsia="fr-CA"/>
        </w:rPr>
        <w:t xml:space="preserve">Didactique des langues et cultures par les contes et les proverbes : une perspective africaine. </w:t>
      </w:r>
      <w:proofErr w:type="spellStart"/>
      <w:r w:rsidRPr="00D51032">
        <w:rPr>
          <w:rFonts w:eastAsiaTheme="majorEastAsia"/>
          <w:i/>
          <w:iCs/>
          <w:sz w:val="24"/>
          <w:szCs w:val="24"/>
          <w:lang w:val="en-US" w:eastAsia="fr-CA"/>
        </w:rPr>
        <w:t>Akofena</w:t>
      </w:r>
      <w:proofErr w:type="spellEnd"/>
      <w:r w:rsidRPr="00D51032">
        <w:rPr>
          <w:sz w:val="24"/>
          <w:szCs w:val="24"/>
          <w:lang w:val="en-US" w:eastAsia="fr-CA"/>
        </w:rPr>
        <w:t>, 18(2), 303-320. ISSN-L 2706-6312.</w:t>
      </w:r>
    </w:p>
    <w:p w14:paraId="3EE5AF97"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lang w:val="en-CA"/>
          <w14:ligatures w14:val="standardContextual"/>
        </w:rPr>
        <w:t xml:space="preserve">Creswell, J. W. (2014). Research Design: Qualitative, Quantitative, and Mixed Methods Approaches (4th ed.). </w:t>
      </w:r>
      <w:r w:rsidRPr="00D51032">
        <w:rPr>
          <w:kern w:val="2"/>
          <w:sz w:val="24"/>
          <w:szCs w:val="24"/>
          <w14:ligatures w14:val="standardContextual"/>
        </w:rPr>
        <w:t>SAGE.</w:t>
      </w:r>
    </w:p>
    <w:p w14:paraId="0C8E07B4" w14:textId="77777777" w:rsidR="00D80693" w:rsidRPr="00D51032" w:rsidRDefault="00D80693" w:rsidP="00D51032">
      <w:pPr>
        <w:spacing w:before="120"/>
        <w:ind w:left="1134" w:hanging="1134"/>
        <w:rPr>
          <w:sz w:val="24"/>
          <w:szCs w:val="24"/>
        </w:rPr>
      </w:pPr>
      <w:proofErr w:type="spellStart"/>
      <w:r w:rsidRPr="00D51032">
        <w:rPr>
          <w:sz w:val="24"/>
          <w:szCs w:val="24"/>
        </w:rPr>
        <w:t>Depover</w:t>
      </w:r>
      <w:proofErr w:type="spellEnd"/>
      <w:r w:rsidRPr="00D51032">
        <w:rPr>
          <w:sz w:val="24"/>
          <w:szCs w:val="24"/>
        </w:rPr>
        <w:t xml:space="preserve">, C., Karsenti, T., &amp; Komis, V. (2015). </w:t>
      </w:r>
      <w:r w:rsidRPr="00D51032">
        <w:rPr>
          <w:i/>
          <w:iCs/>
          <w:sz w:val="24"/>
          <w:szCs w:val="24"/>
        </w:rPr>
        <w:t>Enseigner avec le numérique</w:t>
      </w:r>
      <w:r w:rsidRPr="00D51032">
        <w:rPr>
          <w:sz w:val="24"/>
          <w:szCs w:val="24"/>
        </w:rPr>
        <w:t>. Presses de l’Université du Québec.</w:t>
      </w:r>
    </w:p>
    <w:p w14:paraId="3FCA41AF" w14:textId="77777777" w:rsidR="00D80693" w:rsidRPr="00D51032" w:rsidRDefault="00D80693" w:rsidP="00D51032">
      <w:pPr>
        <w:spacing w:before="120"/>
        <w:ind w:left="1134" w:hanging="1134"/>
        <w:rPr>
          <w:kern w:val="2"/>
          <w:sz w:val="24"/>
          <w:szCs w:val="24"/>
          <w14:ligatures w14:val="standardContextual"/>
        </w:rPr>
      </w:pPr>
      <w:r w:rsidRPr="00D51032">
        <w:rPr>
          <w:kern w:val="2"/>
          <w:sz w:val="24"/>
          <w:szCs w:val="24"/>
          <w14:ligatures w14:val="standardContextual"/>
        </w:rPr>
        <w:t xml:space="preserve">Donko, K., &amp; </w:t>
      </w:r>
      <w:proofErr w:type="spellStart"/>
      <w:r w:rsidRPr="00D51032">
        <w:rPr>
          <w:kern w:val="2"/>
          <w:sz w:val="24"/>
          <w:szCs w:val="24"/>
          <w14:ligatures w14:val="standardContextual"/>
        </w:rPr>
        <w:t>Doevenspeck</w:t>
      </w:r>
      <w:proofErr w:type="spellEnd"/>
      <w:r w:rsidRPr="00D51032">
        <w:rPr>
          <w:kern w:val="2"/>
          <w:sz w:val="24"/>
          <w:szCs w:val="24"/>
          <w14:ligatures w14:val="standardContextual"/>
        </w:rPr>
        <w:t xml:space="preserve">, M. (2024). Impact du terrorisme sur </w:t>
      </w:r>
      <w:proofErr w:type="gramStart"/>
      <w:r w:rsidRPr="00D51032">
        <w:rPr>
          <w:kern w:val="2"/>
          <w:sz w:val="24"/>
          <w:szCs w:val="24"/>
          <w14:ligatures w14:val="standardContextual"/>
        </w:rPr>
        <w:t>l'éducation:</w:t>
      </w:r>
      <w:proofErr w:type="gramEnd"/>
      <w:r w:rsidRPr="00D51032">
        <w:rPr>
          <w:kern w:val="2"/>
          <w:sz w:val="24"/>
          <w:szCs w:val="24"/>
          <w14:ligatures w14:val="standardContextual"/>
        </w:rPr>
        <w:t xml:space="preserve"> fermeture d'écoles au Burkina Faso, Niger et Nord Benin. </w:t>
      </w:r>
      <w:proofErr w:type="gramStart"/>
      <w:r w:rsidRPr="00D51032">
        <w:rPr>
          <w:i/>
          <w:iCs/>
          <w:kern w:val="2"/>
          <w:sz w:val="24"/>
          <w:szCs w:val="24"/>
          <w14:ligatures w14:val="standardContextual"/>
        </w:rPr>
        <w:t>Zaouli:</w:t>
      </w:r>
      <w:proofErr w:type="gramEnd"/>
      <w:r w:rsidRPr="00D51032">
        <w:rPr>
          <w:i/>
          <w:iCs/>
          <w:kern w:val="2"/>
          <w:sz w:val="24"/>
          <w:szCs w:val="24"/>
          <w14:ligatures w14:val="standardContextual"/>
        </w:rPr>
        <w:t xml:space="preserve"> Revue Ivoirienne des Arts, des Sciences de l’Information et du Patrimoine</w:t>
      </w:r>
      <w:r w:rsidRPr="00D51032">
        <w:rPr>
          <w:kern w:val="2"/>
          <w:sz w:val="24"/>
          <w:szCs w:val="24"/>
          <w14:ligatures w14:val="standardContextual"/>
        </w:rPr>
        <w:t>, </w:t>
      </w:r>
      <w:r w:rsidRPr="00D51032">
        <w:rPr>
          <w:i/>
          <w:iCs/>
          <w:kern w:val="2"/>
          <w:sz w:val="24"/>
          <w:szCs w:val="24"/>
          <w14:ligatures w14:val="standardContextual"/>
        </w:rPr>
        <w:t>7</w:t>
      </w:r>
      <w:r w:rsidRPr="00D51032">
        <w:rPr>
          <w:kern w:val="2"/>
          <w:sz w:val="24"/>
          <w:szCs w:val="24"/>
          <w14:ligatures w14:val="standardContextual"/>
        </w:rPr>
        <w:t>, 108-125.</w:t>
      </w:r>
    </w:p>
    <w:p w14:paraId="4D46A061" w14:textId="77777777" w:rsidR="00D80693" w:rsidRPr="00D51032" w:rsidRDefault="00D80693" w:rsidP="00D51032">
      <w:pPr>
        <w:spacing w:before="120"/>
        <w:ind w:left="1134" w:hanging="1134"/>
        <w:rPr>
          <w:kern w:val="2"/>
          <w:sz w:val="24"/>
          <w:szCs w:val="24"/>
          <w:lang w:val="en-CA"/>
          <w14:ligatures w14:val="standardContextual"/>
        </w:rPr>
      </w:pPr>
      <w:r w:rsidRPr="00D51032">
        <w:rPr>
          <w:kern w:val="2"/>
          <w:sz w:val="24"/>
          <w:szCs w:val="24"/>
          <w:lang w:val="en-CA"/>
          <w14:ligatures w14:val="standardContextual"/>
        </w:rPr>
        <w:t xml:space="preserve">Folke, C., Carpenter, S. R., Walker, B., Scheffer, M., Chapin, T., &amp; </w:t>
      </w:r>
      <w:proofErr w:type="spellStart"/>
      <w:r w:rsidRPr="00D51032">
        <w:rPr>
          <w:kern w:val="2"/>
          <w:sz w:val="24"/>
          <w:szCs w:val="24"/>
          <w:lang w:val="en-CA"/>
          <w14:ligatures w14:val="standardContextual"/>
        </w:rPr>
        <w:t>Rockström</w:t>
      </w:r>
      <w:proofErr w:type="spellEnd"/>
      <w:r w:rsidRPr="00D51032">
        <w:rPr>
          <w:kern w:val="2"/>
          <w:sz w:val="24"/>
          <w:szCs w:val="24"/>
          <w:lang w:val="en-CA"/>
          <w14:ligatures w14:val="standardContextual"/>
        </w:rPr>
        <w:t>, J. (2010). Resilience thinking: Integrating resilience, adaptability and transformability. Ecology and Society, 15(4), 20.</w:t>
      </w:r>
    </w:p>
    <w:p w14:paraId="29837FDB" w14:textId="77777777" w:rsidR="00D80693" w:rsidRPr="00D51032" w:rsidRDefault="00D80693" w:rsidP="00D51032">
      <w:pPr>
        <w:spacing w:before="120"/>
        <w:ind w:left="1134" w:hanging="1134"/>
        <w:rPr>
          <w:kern w:val="2"/>
          <w:sz w:val="24"/>
          <w:szCs w:val="24"/>
          <w:lang w:val="en-CA"/>
          <w14:ligatures w14:val="standardContextual"/>
        </w:rPr>
      </w:pPr>
      <w:r w:rsidRPr="00D51032">
        <w:rPr>
          <w:kern w:val="2"/>
          <w:sz w:val="24"/>
          <w:szCs w:val="24"/>
          <w:lang w:val="en-CA"/>
          <w14:ligatures w14:val="standardContextual"/>
        </w:rPr>
        <w:t xml:space="preserve">Grin, J., </w:t>
      </w:r>
      <w:proofErr w:type="spellStart"/>
      <w:r w:rsidRPr="00D51032">
        <w:rPr>
          <w:kern w:val="2"/>
          <w:sz w:val="24"/>
          <w:szCs w:val="24"/>
          <w:lang w:val="en-CA"/>
          <w14:ligatures w14:val="standardContextual"/>
        </w:rPr>
        <w:t>Rotmans</w:t>
      </w:r>
      <w:proofErr w:type="spellEnd"/>
      <w:r w:rsidRPr="00D51032">
        <w:rPr>
          <w:kern w:val="2"/>
          <w:sz w:val="24"/>
          <w:szCs w:val="24"/>
          <w:lang w:val="en-CA"/>
          <w14:ligatures w14:val="standardContextual"/>
        </w:rPr>
        <w:t xml:space="preserve">, J., &amp; </w:t>
      </w:r>
      <w:proofErr w:type="spellStart"/>
      <w:r w:rsidRPr="00D51032">
        <w:rPr>
          <w:kern w:val="2"/>
          <w:sz w:val="24"/>
          <w:szCs w:val="24"/>
          <w:lang w:val="en-CA"/>
          <w14:ligatures w14:val="standardContextual"/>
        </w:rPr>
        <w:t>Schot</w:t>
      </w:r>
      <w:proofErr w:type="spellEnd"/>
      <w:r w:rsidRPr="00D51032">
        <w:rPr>
          <w:kern w:val="2"/>
          <w:sz w:val="24"/>
          <w:szCs w:val="24"/>
          <w:lang w:val="en-CA"/>
          <w14:ligatures w14:val="standardContextual"/>
        </w:rPr>
        <w:t xml:space="preserve">, J. (2011). </w:t>
      </w:r>
      <w:r w:rsidRPr="00D51032">
        <w:rPr>
          <w:i/>
          <w:iCs/>
          <w:kern w:val="2"/>
          <w:sz w:val="24"/>
          <w:szCs w:val="24"/>
          <w:lang w:val="en-CA"/>
          <w14:ligatures w14:val="standardContextual"/>
        </w:rPr>
        <w:t xml:space="preserve">Transitions to Sustainable Development: New Directions in the Study of </w:t>
      </w:r>
      <w:proofErr w:type="gramStart"/>
      <w:r w:rsidRPr="00D51032">
        <w:rPr>
          <w:i/>
          <w:iCs/>
          <w:kern w:val="2"/>
          <w:sz w:val="24"/>
          <w:szCs w:val="24"/>
          <w:lang w:val="en-CA"/>
          <w14:ligatures w14:val="standardContextual"/>
        </w:rPr>
        <w:t>Long Term</w:t>
      </w:r>
      <w:proofErr w:type="gramEnd"/>
      <w:r w:rsidRPr="00D51032">
        <w:rPr>
          <w:i/>
          <w:iCs/>
          <w:kern w:val="2"/>
          <w:sz w:val="24"/>
          <w:szCs w:val="24"/>
          <w:lang w:val="en-CA"/>
          <w14:ligatures w14:val="standardContextual"/>
        </w:rPr>
        <w:t xml:space="preserve"> Transformative Change</w:t>
      </w:r>
      <w:r w:rsidRPr="00D51032">
        <w:rPr>
          <w:kern w:val="2"/>
          <w:sz w:val="24"/>
          <w:szCs w:val="24"/>
          <w:lang w:val="en-CA"/>
          <w14:ligatures w14:val="standardContextual"/>
        </w:rPr>
        <w:t>. Routledge.</w:t>
      </w:r>
    </w:p>
    <w:p w14:paraId="34CCCD80" w14:textId="77777777" w:rsidR="00D80693" w:rsidRPr="00D51032" w:rsidRDefault="00D80693" w:rsidP="00D51032">
      <w:pPr>
        <w:spacing w:before="120"/>
        <w:ind w:left="1134" w:hanging="1134"/>
        <w:rPr>
          <w:sz w:val="24"/>
          <w:szCs w:val="24"/>
          <w:lang w:val="en-US" w:eastAsia="fr-CA"/>
        </w:rPr>
      </w:pPr>
      <w:r w:rsidRPr="00D51032">
        <w:rPr>
          <w:rFonts w:eastAsiaTheme="majorEastAsia"/>
          <w:sz w:val="24"/>
          <w:szCs w:val="24"/>
          <w:lang w:val="en-US" w:eastAsia="fr-CA"/>
        </w:rPr>
        <w:t xml:space="preserve">Haraway, D. (1988), </w:t>
      </w:r>
      <w:r w:rsidRPr="00D51032">
        <w:rPr>
          <w:rFonts w:eastAsiaTheme="majorEastAsia"/>
          <w:i/>
          <w:iCs/>
          <w:sz w:val="24"/>
          <w:szCs w:val="24"/>
          <w:lang w:val="en-US" w:eastAsia="fr-CA"/>
        </w:rPr>
        <w:t xml:space="preserve">Situated Knowledges: The Science Question in Feminism and the Privilege of Partial Perspective. </w:t>
      </w:r>
      <w:r w:rsidRPr="00D51032">
        <w:rPr>
          <w:sz w:val="24"/>
          <w:szCs w:val="24"/>
          <w:lang w:val="en-US" w:eastAsia="fr-CA"/>
        </w:rPr>
        <w:t>Feminist Studies, 14(3), 575–599.</w:t>
      </w:r>
      <w:r w:rsidRPr="00D51032">
        <w:rPr>
          <w:sz w:val="24"/>
          <w:szCs w:val="24"/>
          <w:lang w:val="en-US" w:eastAsia="fr-CA"/>
        </w:rPr>
        <w:br/>
      </w:r>
      <w:proofErr w:type="gramStart"/>
      <w:r w:rsidRPr="00D51032">
        <w:rPr>
          <w:sz w:val="24"/>
          <w:szCs w:val="24"/>
          <w:lang w:val="en-US" w:eastAsia="fr-CA"/>
        </w:rPr>
        <w:t>DOI :</w:t>
      </w:r>
      <w:proofErr w:type="gramEnd"/>
      <w:r w:rsidRPr="00D51032">
        <w:rPr>
          <w:sz w:val="24"/>
          <w:szCs w:val="24"/>
          <w:lang w:val="en-US" w:eastAsia="fr-CA"/>
        </w:rPr>
        <w:t xml:space="preserve"> 10.2307/3178066</w:t>
      </w:r>
    </w:p>
    <w:p w14:paraId="2FF47248" w14:textId="77777777" w:rsidR="00D80693" w:rsidRPr="00D51032" w:rsidRDefault="00D80693" w:rsidP="00D51032">
      <w:pPr>
        <w:spacing w:before="120"/>
        <w:ind w:left="1134" w:hanging="1134"/>
        <w:rPr>
          <w:sz w:val="24"/>
          <w:szCs w:val="24"/>
          <w:lang w:val="en-US"/>
        </w:rPr>
      </w:pPr>
      <w:r w:rsidRPr="00D51032">
        <w:rPr>
          <w:sz w:val="24"/>
          <w:szCs w:val="24"/>
          <w:lang w:val="en-US"/>
        </w:rPr>
        <w:t xml:space="preserve">Heugh, K. (2018). </w:t>
      </w:r>
      <w:r w:rsidRPr="00D51032">
        <w:rPr>
          <w:i/>
          <w:iCs/>
          <w:sz w:val="24"/>
          <w:szCs w:val="24"/>
          <w:lang w:val="en-US"/>
        </w:rPr>
        <w:t>Multilingual education policy in Africa</w:t>
      </w:r>
      <w:r w:rsidRPr="00D51032">
        <w:rPr>
          <w:sz w:val="24"/>
          <w:szCs w:val="24"/>
          <w:lang w:val="en-US"/>
        </w:rPr>
        <w:t>. Routledge.</w:t>
      </w:r>
    </w:p>
    <w:p w14:paraId="4FD0F245" w14:textId="77777777" w:rsidR="00D80693" w:rsidRPr="00D51032" w:rsidRDefault="00D80693" w:rsidP="00D51032">
      <w:pPr>
        <w:spacing w:before="120"/>
        <w:ind w:left="1134" w:hanging="1134"/>
        <w:rPr>
          <w:kern w:val="2"/>
          <w:sz w:val="24"/>
          <w:szCs w:val="24"/>
          <w:lang w:val="en-CA"/>
          <w14:ligatures w14:val="standardContextual"/>
        </w:rPr>
      </w:pPr>
      <w:r w:rsidRPr="00D51032">
        <w:rPr>
          <w:kern w:val="2"/>
          <w:sz w:val="24"/>
          <w:szCs w:val="24"/>
          <w:lang w:val="en-CA"/>
          <w14:ligatures w14:val="standardContextual"/>
        </w:rPr>
        <w:t xml:space="preserve">Holling, C. S. (1973). </w:t>
      </w:r>
      <w:r w:rsidRPr="00D51032">
        <w:rPr>
          <w:i/>
          <w:kern w:val="2"/>
          <w:sz w:val="24"/>
          <w:szCs w:val="24"/>
          <w:lang w:val="en-CA"/>
          <w14:ligatures w14:val="standardContextual"/>
        </w:rPr>
        <w:t>Resilience and Stability of Ecological Systems.</w:t>
      </w:r>
      <w:r w:rsidRPr="00D51032">
        <w:rPr>
          <w:kern w:val="2"/>
          <w:sz w:val="24"/>
          <w:szCs w:val="24"/>
          <w:lang w:val="en-CA"/>
          <w14:ligatures w14:val="standardContextual"/>
        </w:rPr>
        <w:t xml:space="preserve"> </w:t>
      </w:r>
      <w:r w:rsidRPr="00D51032">
        <w:rPr>
          <w:iCs/>
          <w:kern w:val="2"/>
          <w:sz w:val="24"/>
          <w:szCs w:val="24"/>
          <w:lang w:val="en-CA"/>
          <w14:ligatures w14:val="standardContextual"/>
        </w:rPr>
        <w:t>Annual Review of Ecology and Systematics</w:t>
      </w:r>
      <w:r w:rsidRPr="00D51032">
        <w:rPr>
          <w:kern w:val="2"/>
          <w:sz w:val="24"/>
          <w:szCs w:val="24"/>
          <w:lang w:val="en-CA"/>
          <w14:ligatures w14:val="standardContextual"/>
        </w:rPr>
        <w:t>, 4, 1-23.</w:t>
      </w:r>
    </w:p>
    <w:p w14:paraId="1DEB3129" w14:textId="77777777" w:rsidR="00D80693" w:rsidRPr="00D51032" w:rsidRDefault="00D80693" w:rsidP="00D51032">
      <w:pPr>
        <w:spacing w:before="120"/>
        <w:ind w:left="1134" w:hanging="1134"/>
        <w:rPr>
          <w:sz w:val="24"/>
          <w:szCs w:val="24"/>
          <w:lang w:val="en-US"/>
        </w:rPr>
      </w:pPr>
      <w:r w:rsidRPr="00D51032">
        <w:rPr>
          <w:sz w:val="24"/>
          <w:szCs w:val="24"/>
          <w:lang w:val="en-US"/>
        </w:rPr>
        <w:t xml:space="preserve">INEE. (2010). </w:t>
      </w:r>
      <w:r w:rsidRPr="00D51032">
        <w:rPr>
          <w:i/>
          <w:iCs/>
          <w:sz w:val="24"/>
          <w:szCs w:val="24"/>
          <w:lang w:val="en-US"/>
        </w:rPr>
        <w:t>Minimum standards for education in emergencies</w:t>
      </w:r>
      <w:r w:rsidRPr="00D51032">
        <w:rPr>
          <w:sz w:val="24"/>
          <w:szCs w:val="24"/>
          <w:lang w:val="en-US"/>
        </w:rPr>
        <w:t>. Inter-Agency Network for Education in Emergencies.</w:t>
      </w:r>
    </w:p>
    <w:p w14:paraId="62C9C18B" w14:textId="77777777" w:rsidR="00D80693" w:rsidRPr="00D51032" w:rsidRDefault="00D80693" w:rsidP="00D51032">
      <w:pPr>
        <w:spacing w:before="120"/>
        <w:ind w:left="1134" w:hanging="1134"/>
        <w:rPr>
          <w:kern w:val="2"/>
          <w:sz w:val="24"/>
          <w:szCs w:val="24"/>
          <w:lang w:val="en-CA"/>
          <w14:ligatures w14:val="standardContextual"/>
        </w:rPr>
      </w:pPr>
      <w:proofErr w:type="spellStart"/>
      <w:r w:rsidRPr="00D51032">
        <w:rPr>
          <w:kern w:val="2"/>
          <w:sz w:val="24"/>
          <w:szCs w:val="24"/>
          <w14:ligatures w14:val="standardContextual"/>
        </w:rPr>
        <w:t>Jouët</w:t>
      </w:r>
      <w:proofErr w:type="spellEnd"/>
      <w:r w:rsidRPr="00D51032">
        <w:rPr>
          <w:kern w:val="2"/>
          <w:sz w:val="24"/>
          <w:szCs w:val="24"/>
          <w14:ligatures w14:val="standardContextual"/>
        </w:rPr>
        <w:t xml:space="preserve">, J. (2000). Retour critique sur la sociologie des usages. </w:t>
      </w:r>
      <w:r w:rsidRPr="00D51032">
        <w:rPr>
          <w:kern w:val="2"/>
          <w:sz w:val="24"/>
          <w:szCs w:val="24"/>
          <w:lang w:val="en-CA"/>
          <w14:ligatures w14:val="standardContextual"/>
        </w:rPr>
        <w:t>Réseaux, 18(100), 487–521.</w:t>
      </w:r>
    </w:p>
    <w:p w14:paraId="7112CE8E" w14:textId="77777777" w:rsidR="00D80693" w:rsidRPr="00D51032" w:rsidRDefault="00D80693" w:rsidP="00D51032">
      <w:pPr>
        <w:spacing w:before="120"/>
        <w:ind w:left="1134" w:hanging="1134"/>
        <w:rPr>
          <w:kern w:val="2"/>
          <w:sz w:val="24"/>
          <w:szCs w:val="24"/>
          <w:lang w:val="en-CA"/>
          <w14:ligatures w14:val="standardContextual"/>
        </w:rPr>
      </w:pPr>
      <w:r w:rsidRPr="00D51032">
        <w:rPr>
          <w:kern w:val="2"/>
          <w:sz w:val="24"/>
          <w:szCs w:val="24"/>
          <w:lang w:val="en-CA"/>
          <w14:ligatures w14:val="standardContextual"/>
        </w:rPr>
        <w:t>Kozma, R. B. (2005). National policies that connect ICT-based education reform to economic and social development. Human Technology, 1(2), 117–156.</w:t>
      </w:r>
    </w:p>
    <w:p w14:paraId="798B0E5A" w14:textId="77777777" w:rsidR="00D80693" w:rsidRPr="00D51032" w:rsidRDefault="00D80693" w:rsidP="00D51032">
      <w:pPr>
        <w:spacing w:before="120"/>
        <w:ind w:left="1134" w:hanging="1134"/>
        <w:rPr>
          <w:sz w:val="24"/>
          <w:szCs w:val="24"/>
        </w:rPr>
      </w:pPr>
      <w:r w:rsidRPr="00D51032">
        <w:rPr>
          <w:sz w:val="24"/>
          <w:szCs w:val="24"/>
          <w:lang w:val="en-US"/>
        </w:rPr>
        <w:t xml:space="preserve">Ouane, A., &amp; Glanz, C. (2011). </w:t>
      </w:r>
      <w:proofErr w:type="spellStart"/>
      <w:r w:rsidRPr="00D51032">
        <w:rPr>
          <w:i/>
          <w:iCs/>
          <w:sz w:val="24"/>
          <w:szCs w:val="24"/>
          <w:lang w:val="en-US"/>
        </w:rPr>
        <w:t>Optimising</w:t>
      </w:r>
      <w:proofErr w:type="spellEnd"/>
      <w:r w:rsidRPr="00D51032">
        <w:rPr>
          <w:i/>
          <w:iCs/>
          <w:sz w:val="24"/>
          <w:szCs w:val="24"/>
          <w:lang w:val="en-US"/>
        </w:rPr>
        <w:t xml:space="preserve"> learning, education and publishing in Africa</w:t>
      </w:r>
      <w:r w:rsidRPr="00D51032">
        <w:rPr>
          <w:sz w:val="24"/>
          <w:szCs w:val="24"/>
          <w:lang w:val="en-US"/>
        </w:rPr>
        <w:t xml:space="preserve">. </w:t>
      </w:r>
      <w:r w:rsidRPr="00D51032">
        <w:rPr>
          <w:sz w:val="24"/>
          <w:szCs w:val="24"/>
        </w:rPr>
        <w:t>UNESCO UIL.</w:t>
      </w:r>
    </w:p>
    <w:p w14:paraId="66B27AC5" w14:textId="77777777" w:rsidR="00D80693" w:rsidRPr="00D51032" w:rsidRDefault="00D80693" w:rsidP="00D51032">
      <w:pPr>
        <w:spacing w:before="120"/>
        <w:ind w:left="1134" w:hanging="1134"/>
        <w:rPr>
          <w:sz w:val="24"/>
          <w:szCs w:val="24"/>
        </w:rPr>
      </w:pPr>
      <w:r w:rsidRPr="00D51032">
        <w:rPr>
          <w:sz w:val="24"/>
          <w:szCs w:val="24"/>
        </w:rPr>
        <w:t xml:space="preserve">Perrenoud, P. (1999). </w:t>
      </w:r>
      <w:r w:rsidRPr="00D51032">
        <w:rPr>
          <w:i/>
          <w:iCs/>
          <w:sz w:val="24"/>
          <w:szCs w:val="24"/>
        </w:rPr>
        <w:t>Dix nouvelles compétences pour enseigner</w:t>
      </w:r>
      <w:r w:rsidRPr="00D51032">
        <w:rPr>
          <w:sz w:val="24"/>
          <w:szCs w:val="24"/>
        </w:rPr>
        <w:t>. ESF.</w:t>
      </w:r>
    </w:p>
    <w:p w14:paraId="681CBCF1" w14:textId="77777777" w:rsidR="00D80693" w:rsidRPr="001928FA" w:rsidRDefault="00D80693" w:rsidP="00D51032">
      <w:pPr>
        <w:spacing w:before="120"/>
        <w:ind w:left="1134" w:hanging="1134"/>
        <w:rPr>
          <w:sz w:val="24"/>
          <w:szCs w:val="24"/>
          <w:lang w:eastAsia="fr-CA"/>
        </w:rPr>
      </w:pPr>
      <w:r w:rsidRPr="00D51032">
        <w:rPr>
          <w:rFonts w:eastAsiaTheme="majorEastAsia"/>
          <w:sz w:val="24"/>
          <w:szCs w:val="24"/>
          <w:lang w:val="en-US" w:eastAsia="fr-CA"/>
        </w:rPr>
        <w:t xml:space="preserve">Pohl, C., et al. (2010), </w:t>
      </w:r>
      <w:r w:rsidRPr="00D51032">
        <w:rPr>
          <w:rFonts w:eastAsiaTheme="majorEastAsia"/>
          <w:i/>
          <w:iCs/>
          <w:sz w:val="24"/>
          <w:szCs w:val="24"/>
          <w:lang w:val="en-US" w:eastAsia="fr-CA"/>
        </w:rPr>
        <w:t xml:space="preserve">Researchers’ roles in knowledge co-production: experience from sustainability research in Kenya, Switzerland, Bolivia and Nepal. </w:t>
      </w:r>
      <w:r w:rsidRPr="001928FA">
        <w:rPr>
          <w:sz w:val="24"/>
          <w:szCs w:val="24"/>
          <w:lang w:eastAsia="fr-CA"/>
        </w:rPr>
        <w:t xml:space="preserve">Science and Public Policy, 37(4), 267–281. </w:t>
      </w:r>
    </w:p>
    <w:p w14:paraId="3189608A" w14:textId="77777777" w:rsidR="00D80693" w:rsidRPr="00D51032" w:rsidRDefault="00D80693" w:rsidP="00D51032">
      <w:pPr>
        <w:spacing w:before="120"/>
        <w:ind w:left="1134" w:hanging="1134"/>
        <w:rPr>
          <w:sz w:val="24"/>
          <w:szCs w:val="24"/>
          <w:lang w:val="en-US"/>
        </w:rPr>
      </w:pPr>
      <w:r w:rsidRPr="00D51032">
        <w:rPr>
          <w:sz w:val="24"/>
          <w:szCs w:val="24"/>
        </w:rPr>
        <w:t xml:space="preserve">Tardif, J. (2012). </w:t>
      </w:r>
      <w:r w:rsidRPr="00D51032">
        <w:rPr>
          <w:i/>
          <w:iCs/>
          <w:sz w:val="24"/>
          <w:szCs w:val="24"/>
        </w:rPr>
        <w:t>Pour un enseignement stratégique</w:t>
      </w:r>
      <w:r w:rsidRPr="00D51032">
        <w:rPr>
          <w:sz w:val="24"/>
          <w:szCs w:val="24"/>
        </w:rPr>
        <w:t xml:space="preserve">. </w:t>
      </w:r>
      <w:proofErr w:type="spellStart"/>
      <w:r w:rsidRPr="00D51032">
        <w:rPr>
          <w:sz w:val="24"/>
          <w:szCs w:val="24"/>
          <w:lang w:val="en-US"/>
        </w:rPr>
        <w:t>Logiques</w:t>
      </w:r>
      <w:proofErr w:type="spellEnd"/>
      <w:r w:rsidRPr="00D51032">
        <w:rPr>
          <w:sz w:val="24"/>
          <w:szCs w:val="24"/>
          <w:lang w:val="en-US"/>
        </w:rPr>
        <w:t>.</w:t>
      </w:r>
    </w:p>
    <w:p w14:paraId="7E4952B0" w14:textId="77777777" w:rsidR="00D80693" w:rsidRPr="00D51032" w:rsidRDefault="00D80693" w:rsidP="00D51032">
      <w:pPr>
        <w:spacing w:before="120"/>
        <w:ind w:left="1134" w:hanging="1134"/>
        <w:rPr>
          <w:sz w:val="24"/>
          <w:szCs w:val="24"/>
          <w:lang w:val="en-US"/>
        </w:rPr>
      </w:pPr>
      <w:r w:rsidRPr="00D51032">
        <w:rPr>
          <w:sz w:val="24"/>
          <w:szCs w:val="24"/>
          <w:lang w:val="en-US"/>
        </w:rPr>
        <w:t xml:space="preserve">Trudell, B. (2016). </w:t>
      </w:r>
      <w:r w:rsidRPr="00D51032">
        <w:rPr>
          <w:i/>
          <w:iCs/>
          <w:sz w:val="24"/>
          <w:szCs w:val="24"/>
          <w:lang w:val="en-US"/>
        </w:rPr>
        <w:t>Language choice and education quality in Africa</w:t>
      </w:r>
      <w:r w:rsidRPr="00D51032">
        <w:rPr>
          <w:sz w:val="24"/>
          <w:szCs w:val="24"/>
          <w:lang w:val="en-US"/>
        </w:rPr>
        <w:t>. UNICEF.</w:t>
      </w:r>
    </w:p>
    <w:p w14:paraId="5DF631DB" w14:textId="77777777" w:rsidR="00D80693" w:rsidRPr="00D51032" w:rsidRDefault="00D80693" w:rsidP="00D51032">
      <w:pPr>
        <w:spacing w:before="120"/>
        <w:ind w:left="1134" w:hanging="1134"/>
        <w:rPr>
          <w:sz w:val="24"/>
          <w:szCs w:val="24"/>
          <w:lang w:val="en-US"/>
        </w:rPr>
      </w:pPr>
      <w:r w:rsidRPr="00D51032">
        <w:rPr>
          <w:sz w:val="24"/>
          <w:szCs w:val="24"/>
          <w:lang w:val="en-US"/>
        </w:rPr>
        <w:t xml:space="preserve">UNESCO. (2020). </w:t>
      </w:r>
      <w:r w:rsidRPr="00D51032">
        <w:rPr>
          <w:i/>
          <w:iCs/>
          <w:sz w:val="24"/>
          <w:szCs w:val="24"/>
          <w:lang w:val="en-US"/>
        </w:rPr>
        <w:t>Education in a post-COVID world</w:t>
      </w:r>
      <w:r w:rsidRPr="00D51032">
        <w:rPr>
          <w:sz w:val="24"/>
          <w:szCs w:val="24"/>
          <w:lang w:val="en-US"/>
        </w:rPr>
        <w:t>.</w:t>
      </w:r>
    </w:p>
    <w:p w14:paraId="48E38B94" w14:textId="77777777" w:rsidR="00D80693" w:rsidRPr="00D51032" w:rsidRDefault="00D80693" w:rsidP="00D51032">
      <w:pPr>
        <w:spacing w:before="120"/>
        <w:ind w:left="1134" w:hanging="1134"/>
        <w:rPr>
          <w:kern w:val="2"/>
          <w:sz w:val="24"/>
          <w:szCs w:val="24"/>
          <w:lang w:val="en-US"/>
          <w14:ligatures w14:val="standardContextual"/>
        </w:rPr>
      </w:pPr>
      <w:r w:rsidRPr="00D51032">
        <w:rPr>
          <w:kern w:val="2"/>
          <w:sz w:val="24"/>
          <w:szCs w:val="24"/>
          <w:lang w:val="en-CA"/>
          <w14:ligatures w14:val="standardContextual"/>
        </w:rPr>
        <w:t xml:space="preserve">UNICEF. (2021). </w:t>
      </w:r>
      <w:r w:rsidRPr="00D51032">
        <w:rPr>
          <w:i/>
          <w:iCs/>
          <w:kern w:val="2"/>
          <w:sz w:val="24"/>
          <w:szCs w:val="24"/>
          <w:lang w:val="en-CA"/>
          <w14:ligatures w14:val="standardContextual"/>
        </w:rPr>
        <w:t>Education in emergencies: A situation analysis of the education sector in Burkina Faso</w:t>
      </w:r>
      <w:r w:rsidRPr="00D51032">
        <w:rPr>
          <w:kern w:val="2"/>
          <w:sz w:val="24"/>
          <w:szCs w:val="24"/>
          <w:lang w:val="en-CA"/>
          <w14:ligatures w14:val="standardContextual"/>
        </w:rPr>
        <w:t xml:space="preserve">. </w:t>
      </w:r>
      <w:r w:rsidRPr="00D51032">
        <w:rPr>
          <w:kern w:val="2"/>
          <w:sz w:val="24"/>
          <w:szCs w:val="24"/>
          <w:lang w:val="en-US"/>
          <w14:ligatures w14:val="standardContextual"/>
        </w:rPr>
        <w:t>UNICEF.</w:t>
      </w:r>
    </w:p>
    <w:p w14:paraId="5C6E919E" w14:textId="77777777" w:rsidR="00D80693" w:rsidRPr="00D51032" w:rsidRDefault="00D80693" w:rsidP="00D51032">
      <w:pPr>
        <w:spacing w:before="120"/>
        <w:ind w:left="1134" w:hanging="1134"/>
        <w:rPr>
          <w:sz w:val="24"/>
          <w:szCs w:val="24"/>
          <w:lang w:val="en-US"/>
        </w:rPr>
      </w:pPr>
      <w:r w:rsidRPr="00D51032">
        <w:rPr>
          <w:sz w:val="24"/>
          <w:szCs w:val="24"/>
          <w:lang w:val="en-US"/>
        </w:rPr>
        <w:t xml:space="preserve">Vygotsky, L. S. (1978). </w:t>
      </w:r>
      <w:r w:rsidRPr="00D51032">
        <w:rPr>
          <w:i/>
          <w:iCs/>
          <w:sz w:val="24"/>
          <w:szCs w:val="24"/>
          <w:lang w:val="en-US"/>
        </w:rPr>
        <w:t>Mind in society</w:t>
      </w:r>
      <w:r w:rsidRPr="00D51032">
        <w:rPr>
          <w:sz w:val="24"/>
          <w:szCs w:val="24"/>
          <w:lang w:val="en-US"/>
        </w:rPr>
        <w:t>. Harvard University Press.</w:t>
      </w:r>
    </w:p>
    <w:p w14:paraId="18D546F9" w14:textId="77777777" w:rsidR="00D80693" w:rsidRPr="00D51032" w:rsidRDefault="00D80693" w:rsidP="00D51032">
      <w:pPr>
        <w:spacing w:before="120"/>
        <w:ind w:left="1134" w:hanging="1134"/>
        <w:rPr>
          <w:sz w:val="24"/>
          <w:szCs w:val="24"/>
          <w:lang w:val="en-US" w:eastAsia="fr-CA"/>
        </w:rPr>
      </w:pPr>
      <w:r w:rsidRPr="00D51032">
        <w:rPr>
          <w:rFonts w:eastAsiaTheme="majorEastAsia"/>
          <w:sz w:val="24"/>
          <w:szCs w:val="24"/>
          <w:lang w:val="en-US" w:eastAsia="fr-CA"/>
        </w:rPr>
        <w:t xml:space="preserve">Wittmayer, J. M., &amp; </w:t>
      </w:r>
      <w:proofErr w:type="spellStart"/>
      <w:r w:rsidRPr="00D51032">
        <w:rPr>
          <w:rFonts w:eastAsiaTheme="majorEastAsia"/>
          <w:sz w:val="24"/>
          <w:szCs w:val="24"/>
          <w:lang w:val="en-US" w:eastAsia="fr-CA"/>
        </w:rPr>
        <w:t>Schäpke</w:t>
      </w:r>
      <w:proofErr w:type="spellEnd"/>
      <w:r w:rsidRPr="00D51032">
        <w:rPr>
          <w:rFonts w:eastAsiaTheme="majorEastAsia"/>
          <w:sz w:val="24"/>
          <w:szCs w:val="24"/>
          <w:lang w:val="en-US" w:eastAsia="fr-CA"/>
        </w:rPr>
        <w:t xml:space="preserve">, N. (2014), </w:t>
      </w:r>
      <w:r w:rsidRPr="00D51032">
        <w:rPr>
          <w:rFonts w:eastAsiaTheme="majorEastAsia"/>
          <w:i/>
          <w:iCs/>
          <w:sz w:val="24"/>
          <w:szCs w:val="24"/>
          <w:lang w:val="en-US" w:eastAsia="fr-CA"/>
        </w:rPr>
        <w:t xml:space="preserve">Action, research and participation: roles of researchers in sustainability transitions. </w:t>
      </w:r>
      <w:r w:rsidRPr="00D51032">
        <w:rPr>
          <w:sz w:val="24"/>
          <w:szCs w:val="24"/>
          <w:lang w:val="en-US" w:eastAsia="fr-CA"/>
        </w:rPr>
        <w:t>Sustainability Science, 9(4), 483–496.</w:t>
      </w:r>
    </w:p>
    <w:p w14:paraId="49107980" w14:textId="77777777" w:rsidR="00D80693" w:rsidRPr="00D51032" w:rsidRDefault="00D80693" w:rsidP="00D51032">
      <w:pPr>
        <w:spacing w:before="120"/>
        <w:ind w:left="1134" w:hanging="1134"/>
        <w:rPr>
          <w:sz w:val="24"/>
          <w:szCs w:val="24"/>
          <w:lang w:val="fr-CA" w:eastAsia="fr-CA"/>
        </w:rPr>
      </w:pPr>
      <w:r w:rsidRPr="00D51032">
        <w:rPr>
          <w:sz w:val="24"/>
          <w:szCs w:val="24"/>
          <w:lang w:val="en-CA" w:eastAsia="fr-CA"/>
        </w:rPr>
        <w:t xml:space="preserve">World Bank. (2022). </w:t>
      </w:r>
      <w:r w:rsidRPr="00D51032">
        <w:rPr>
          <w:rFonts w:eastAsiaTheme="majorEastAsia"/>
          <w:i/>
          <w:iCs/>
          <w:sz w:val="24"/>
          <w:szCs w:val="24"/>
          <w:lang w:val="en-CA" w:eastAsia="fr-CA"/>
        </w:rPr>
        <w:t>The role of ICT in education during crises: Case studies from the Sahel region</w:t>
      </w:r>
      <w:r w:rsidRPr="00D51032">
        <w:rPr>
          <w:sz w:val="24"/>
          <w:szCs w:val="24"/>
          <w:lang w:val="en-CA" w:eastAsia="fr-CA"/>
        </w:rPr>
        <w:t xml:space="preserve">. </w:t>
      </w:r>
      <w:r w:rsidRPr="00D51032">
        <w:rPr>
          <w:sz w:val="24"/>
          <w:szCs w:val="24"/>
          <w:lang w:eastAsia="fr-CA"/>
        </w:rPr>
        <w:t>World Bank Group.</w:t>
      </w:r>
      <w:r w:rsidRPr="00D51032">
        <w:rPr>
          <w:rFonts w:hAnsi="Symbol"/>
          <w:sz w:val="24"/>
          <w:szCs w:val="24"/>
          <w:lang w:val="fr-CA" w:eastAsia="fr-CA"/>
        </w:rPr>
        <w:t xml:space="preserve"> </w:t>
      </w:r>
      <w:r w:rsidRPr="00D51032">
        <w:rPr>
          <w:sz w:val="24"/>
          <w:szCs w:val="24"/>
          <w:lang w:val="fr-CA" w:eastAsia="fr-CA"/>
        </w:rPr>
        <w:t xml:space="preserve"> </w:t>
      </w:r>
    </w:p>
    <w:p w14:paraId="18120270" w14:textId="77777777" w:rsidR="00D80693" w:rsidRPr="00D51032" w:rsidRDefault="00D80693" w:rsidP="00D51032">
      <w:pPr>
        <w:spacing w:after="240"/>
        <w:ind w:left="1134" w:right="-326" w:hanging="1134"/>
        <w:rPr>
          <w:sz w:val="24"/>
          <w:szCs w:val="24"/>
          <w:lang w:val="fr" w:eastAsia="fr-SN"/>
        </w:rPr>
        <w:sectPr w:rsidR="00D80693" w:rsidRPr="00D51032" w:rsidSect="00D92213">
          <w:headerReference w:type="default" r:id="rId116"/>
          <w:pgSz w:w="11909" w:h="16834"/>
          <w:pgMar w:top="993" w:right="1440" w:bottom="1440" w:left="1080" w:header="426" w:footer="703" w:gutter="0"/>
          <w:cols w:space="720"/>
          <w:titlePg/>
        </w:sectPr>
      </w:pPr>
    </w:p>
    <w:p w14:paraId="05F43B7D" w14:textId="77777777" w:rsidR="00D80693" w:rsidRDefault="00D80693" w:rsidP="00D80693">
      <w:pPr>
        <w:suppressLineNumbers/>
        <w:spacing w:line="360" w:lineRule="auto"/>
        <w:jc w:val="both"/>
        <w:rPr>
          <w:b/>
          <w:bCs/>
          <w:color w:val="000000"/>
          <w:w w:val="90"/>
          <w:sz w:val="24"/>
          <w:szCs w:val="24"/>
        </w:rPr>
      </w:pPr>
    </w:p>
    <w:p w14:paraId="059AD1C0" w14:textId="77777777" w:rsidR="00D80693" w:rsidRDefault="00D80693" w:rsidP="00D80693">
      <w:pPr>
        <w:suppressLineNumbers/>
        <w:spacing w:line="360" w:lineRule="auto"/>
        <w:jc w:val="both"/>
        <w:rPr>
          <w:b/>
          <w:bCs/>
          <w:color w:val="000000"/>
          <w:w w:val="90"/>
          <w:sz w:val="56"/>
          <w:szCs w:val="56"/>
        </w:rPr>
      </w:pPr>
    </w:p>
    <w:p w14:paraId="1F6D7417" w14:textId="77777777" w:rsidR="00D80693" w:rsidRDefault="00D80693" w:rsidP="00D80693">
      <w:pPr>
        <w:suppressLineNumbers/>
        <w:spacing w:line="360" w:lineRule="auto"/>
        <w:jc w:val="both"/>
        <w:rPr>
          <w:b/>
          <w:bCs/>
          <w:color w:val="000000"/>
          <w:w w:val="90"/>
          <w:sz w:val="56"/>
          <w:szCs w:val="56"/>
        </w:rPr>
      </w:pPr>
    </w:p>
    <w:p w14:paraId="450B58D1" w14:textId="77777777" w:rsidR="00D80693" w:rsidRDefault="00D80693" w:rsidP="00D80693">
      <w:pPr>
        <w:suppressLineNumbers/>
        <w:spacing w:line="360" w:lineRule="auto"/>
        <w:jc w:val="both"/>
        <w:rPr>
          <w:b/>
          <w:bCs/>
          <w:color w:val="000000"/>
          <w:w w:val="90"/>
          <w:sz w:val="56"/>
          <w:szCs w:val="56"/>
        </w:rPr>
      </w:pPr>
    </w:p>
    <w:p w14:paraId="5F5B282F" w14:textId="77777777" w:rsidR="00D80693" w:rsidRDefault="00D80693" w:rsidP="00D80693">
      <w:pPr>
        <w:suppressLineNumbers/>
        <w:spacing w:line="360" w:lineRule="auto"/>
        <w:jc w:val="both"/>
        <w:rPr>
          <w:b/>
          <w:bCs/>
          <w:color w:val="000000"/>
          <w:w w:val="90"/>
          <w:sz w:val="56"/>
          <w:szCs w:val="56"/>
        </w:rPr>
      </w:pPr>
    </w:p>
    <w:p w14:paraId="4721803F" w14:textId="3B6B4E66" w:rsidR="00D80693" w:rsidRPr="0028601D" w:rsidRDefault="00D51032" w:rsidP="00012C2D">
      <w:pPr>
        <w:pStyle w:val="Titre1"/>
        <w:shd w:val="clear" w:color="auto" w:fill="B8CCE4" w:themeFill="accent1" w:themeFillTint="66"/>
        <w:rPr>
          <w:rFonts w:eastAsia="Calibri"/>
          <w:bCs w:val="0"/>
          <w:sz w:val="44"/>
          <w:szCs w:val="44"/>
        </w:rPr>
      </w:pPr>
      <w:bookmarkStart w:id="226" w:name="_Toc219272575"/>
      <w:r w:rsidRPr="0028601D">
        <w:rPr>
          <w:rFonts w:eastAsia="Calibri"/>
          <w:bCs w:val="0"/>
          <w:sz w:val="44"/>
          <w:szCs w:val="44"/>
        </w:rPr>
        <w:t xml:space="preserve">Partie 3 : </w:t>
      </w:r>
      <w:r w:rsidR="00D80693" w:rsidRPr="0028601D">
        <w:rPr>
          <w:rFonts w:eastAsia="Calibri"/>
          <w:bCs w:val="0"/>
          <w:sz w:val="44"/>
          <w:szCs w:val="44"/>
        </w:rPr>
        <w:t xml:space="preserve"> Education, langues et société</w:t>
      </w:r>
      <w:bookmarkEnd w:id="226"/>
    </w:p>
    <w:p w14:paraId="6B41BD50" w14:textId="77777777" w:rsidR="00D80693" w:rsidRDefault="00D80693" w:rsidP="00D80693">
      <w:pPr>
        <w:suppressLineNumbers/>
        <w:spacing w:line="360" w:lineRule="auto"/>
        <w:jc w:val="both"/>
        <w:rPr>
          <w:b/>
          <w:bCs/>
          <w:color w:val="000000"/>
          <w:w w:val="90"/>
          <w:sz w:val="24"/>
          <w:szCs w:val="24"/>
        </w:rPr>
      </w:pPr>
    </w:p>
    <w:p w14:paraId="54088A64" w14:textId="77777777" w:rsidR="00D80693" w:rsidRDefault="00D80693" w:rsidP="00D80693">
      <w:pPr>
        <w:suppressLineNumbers/>
        <w:spacing w:line="360" w:lineRule="auto"/>
        <w:jc w:val="both"/>
        <w:rPr>
          <w:b/>
          <w:bCs/>
          <w:color w:val="000000"/>
          <w:w w:val="90"/>
          <w:sz w:val="24"/>
          <w:szCs w:val="24"/>
        </w:rPr>
      </w:pPr>
    </w:p>
    <w:p w14:paraId="66B2008F" w14:textId="77777777" w:rsidR="00D80693" w:rsidRDefault="00D80693" w:rsidP="00D80693">
      <w:pPr>
        <w:suppressLineNumbers/>
        <w:spacing w:line="360" w:lineRule="auto"/>
        <w:jc w:val="both"/>
        <w:rPr>
          <w:b/>
          <w:bCs/>
          <w:color w:val="000000"/>
          <w:w w:val="90"/>
          <w:sz w:val="24"/>
          <w:szCs w:val="24"/>
        </w:rPr>
      </w:pPr>
    </w:p>
    <w:p w14:paraId="55CC4CCF" w14:textId="77777777" w:rsidR="00D80693" w:rsidRDefault="00D80693" w:rsidP="00D80693">
      <w:pPr>
        <w:suppressLineNumbers/>
        <w:spacing w:line="360" w:lineRule="auto"/>
        <w:jc w:val="both"/>
        <w:rPr>
          <w:b/>
          <w:bCs/>
          <w:color w:val="000000"/>
          <w:w w:val="90"/>
          <w:sz w:val="24"/>
          <w:szCs w:val="24"/>
        </w:rPr>
      </w:pPr>
    </w:p>
    <w:p w14:paraId="19AB7964" w14:textId="77777777" w:rsidR="00D80693" w:rsidRDefault="00D80693" w:rsidP="00D80693">
      <w:pPr>
        <w:suppressLineNumbers/>
        <w:spacing w:line="360" w:lineRule="auto"/>
        <w:jc w:val="both"/>
        <w:rPr>
          <w:b/>
          <w:bCs/>
          <w:color w:val="000000"/>
          <w:w w:val="90"/>
          <w:sz w:val="24"/>
          <w:szCs w:val="24"/>
        </w:rPr>
      </w:pPr>
    </w:p>
    <w:p w14:paraId="625CC326" w14:textId="77777777" w:rsidR="00D80693" w:rsidRDefault="00D80693" w:rsidP="00D80693">
      <w:pPr>
        <w:suppressLineNumbers/>
        <w:spacing w:line="360" w:lineRule="auto"/>
        <w:jc w:val="both"/>
        <w:rPr>
          <w:b/>
          <w:bCs/>
          <w:color w:val="000000"/>
          <w:w w:val="90"/>
          <w:sz w:val="24"/>
          <w:szCs w:val="24"/>
        </w:rPr>
      </w:pPr>
    </w:p>
    <w:p w14:paraId="1BB77022" w14:textId="77777777" w:rsidR="00D80693" w:rsidRDefault="00D80693" w:rsidP="00D80693">
      <w:pPr>
        <w:suppressLineNumbers/>
        <w:spacing w:line="360" w:lineRule="auto"/>
        <w:jc w:val="both"/>
        <w:rPr>
          <w:b/>
          <w:bCs/>
          <w:color w:val="000000"/>
          <w:w w:val="90"/>
          <w:sz w:val="24"/>
          <w:szCs w:val="24"/>
        </w:rPr>
      </w:pPr>
    </w:p>
    <w:p w14:paraId="67558E55" w14:textId="77777777" w:rsidR="00D80693" w:rsidRDefault="00D80693" w:rsidP="00D80693">
      <w:pPr>
        <w:suppressLineNumbers/>
        <w:spacing w:line="360" w:lineRule="auto"/>
        <w:jc w:val="both"/>
        <w:rPr>
          <w:b/>
          <w:bCs/>
          <w:color w:val="000000"/>
          <w:w w:val="90"/>
          <w:sz w:val="24"/>
          <w:szCs w:val="24"/>
        </w:rPr>
      </w:pPr>
    </w:p>
    <w:p w14:paraId="584245BE" w14:textId="77777777" w:rsidR="00D80693" w:rsidRDefault="00D80693" w:rsidP="00D80693">
      <w:pPr>
        <w:suppressLineNumbers/>
        <w:spacing w:line="360" w:lineRule="auto"/>
        <w:jc w:val="both"/>
        <w:rPr>
          <w:b/>
          <w:bCs/>
          <w:color w:val="000000"/>
          <w:w w:val="90"/>
          <w:sz w:val="24"/>
          <w:szCs w:val="24"/>
        </w:rPr>
      </w:pPr>
    </w:p>
    <w:p w14:paraId="017A7553" w14:textId="77777777" w:rsidR="00D80693" w:rsidRDefault="00D80693" w:rsidP="00D80693">
      <w:pPr>
        <w:suppressLineNumbers/>
        <w:spacing w:line="360" w:lineRule="auto"/>
        <w:jc w:val="both"/>
        <w:rPr>
          <w:b/>
          <w:bCs/>
          <w:color w:val="000000"/>
          <w:w w:val="90"/>
          <w:sz w:val="24"/>
          <w:szCs w:val="24"/>
        </w:rPr>
      </w:pPr>
    </w:p>
    <w:p w14:paraId="51F3A8D3" w14:textId="77777777" w:rsidR="00D80693" w:rsidRDefault="00D80693" w:rsidP="00D80693">
      <w:pPr>
        <w:suppressLineNumbers/>
        <w:spacing w:line="360" w:lineRule="auto"/>
        <w:jc w:val="both"/>
        <w:rPr>
          <w:b/>
          <w:bCs/>
          <w:color w:val="000000"/>
          <w:w w:val="90"/>
          <w:sz w:val="24"/>
          <w:szCs w:val="24"/>
        </w:rPr>
      </w:pPr>
    </w:p>
    <w:p w14:paraId="0BA07EEC" w14:textId="77777777" w:rsidR="00D80693" w:rsidRDefault="00D80693" w:rsidP="00D80693">
      <w:pPr>
        <w:suppressLineNumbers/>
        <w:spacing w:line="360" w:lineRule="auto"/>
        <w:jc w:val="both"/>
        <w:rPr>
          <w:b/>
          <w:bCs/>
          <w:color w:val="000000"/>
          <w:w w:val="90"/>
          <w:sz w:val="24"/>
          <w:szCs w:val="24"/>
        </w:rPr>
      </w:pPr>
    </w:p>
    <w:p w14:paraId="2731E1A1" w14:textId="77777777" w:rsidR="00D80693" w:rsidRDefault="00D80693" w:rsidP="00D80693">
      <w:pPr>
        <w:suppressLineNumbers/>
        <w:spacing w:line="360" w:lineRule="auto"/>
        <w:jc w:val="both"/>
        <w:rPr>
          <w:b/>
          <w:bCs/>
          <w:color w:val="000000"/>
          <w:w w:val="90"/>
          <w:sz w:val="24"/>
          <w:szCs w:val="24"/>
        </w:rPr>
      </w:pPr>
    </w:p>
    <w:p w14:paraId="3FA99250" w14:textId="77777777" w:rsidR="00D80693" w:rsidRDefault="00D80693" w:rsidP="00D80693">
      <w:pPr>
        <w:suppressLineNumbers/>
        <w:spacing w:line="360" w:lineRule="auto"/>
        <w:jc w:val="both"/>
        <w:rPr>
          <w:b/>
          <w:bCs/>
          <w:color w:val="000000"/>
          <w:w w:val="90"/>
          <w:sz w:val="24"/>
          <w:szCs w:val="24"/>
        </w:rPr>
      </w:pPr>
    </w:p>
    <w:p w14:paraId="6E5E7D7A" w14:textId="77777777" w:rsidR="00D51032" w:rsidRDefault="00D51032" w:rsidP="00D80693">
      <w:pPr>
        <w:suppressLineNumbers/>
        <w:spacing w:line="360" w:lineRule="auto"/>
        <w:jc w:val="both"/>
        <w:rPr>
          <w:b/>
          <w:bCs/>
          <w:color w:val="000000"/>
          <w:w w:val="90"/>
          <w:sz w:val="24"/>
          <w:szCs w:val="24"/>
        </w:rPr>
        <w:sectPr w:rsidR="00D51032" w:rsidSect="00997948">
          <w:headerReference w:type="default" r:id="rId117"/>
          <w:footerReference w:type="default" r:id="rId118"/>
          <w:footerReference w:type="first" r:id="rId119"/>
          <w:pgSz w:w="11906" w:h="16838"/>
          <w:pgMar w:top="1418" w:right="1418" w:bottom="1418" w:left="1418" w:header="845" w:footer="709" w:gutter="0"/>
          <w:cols w:space="708"/>
          <w:docGrid w:linePitch="360"/>
        </w:sectPr>
      </w:pPr>
    </w:p>
    <w:p w14:paraId="675EE313" w14:textId="77777777" w:rsidR="00D80693" w:rsidRPr="00D51032" w:rsidRDefault="00D80693" w:rsidP="00D51032">
      <w:pPr>
        <w:pStyle w:val="Titre1"/>
        <w:rPr>
          <w:b w:val="0"/>
          <w:i/>
          <w:iCs/>
          <w:color w:val="000000"/>
          <w:w w:val="90"/>
        </w:rPr>
      </w:pPr>
      <w:bookmarkStart w:id="227" w:name="_Toc219272576"/>
      <w:r w:rsidRPr="00D51032">
        <w:rPr>
          <w:i/>
          <w:iCs/>
          <w:color w:val="000000"/>
          <w:w w:val="90"/>
        </w:rPr>
        <w:t>Education à la santé à l’école au Congo : entre manque de ressources et adaptation contextuelle</w:t>
      </w:r>
      <w:bookmarkEnd w:id="227"/>
    </w:p>
    <w:p w14:paraId="3E3A2BD7" w14:textId="77777777" w:rsidR="00D80693" w:rsidRPr="00D51032" w:rsidRDefault="00D80693" w:rsidP="00D51032">
      <w:pPr>
        <w:pStyle w:val="Titre1"/>
        <w:rPr>
          <w:bCs w:val="0"/>
          <w:color w:val="000000"/>
          <w:w w:val="90"/>
        </w:rPr>
      </w:pPr>
      <w:bookmarkStart w:id="228" w:name="_Toc219272577"/>
      <w:r w:rsidRPr="00D51032">
        <w:rPr>
          <w:color w:val="000000"/>
          <w:w w:val="90"/>
        </w:rPr>
        <w:t>Laure Stella GHOMA LINGUISSI, Guy MOUSSAVOU</w:t>
      </w:r>
      <w:bookmarkEnd w:id="228"/>
    </w:p>
    <w:p w14:paraId="58B0AC13" w14:textId="77777777" w:rsidR="00D80693" w:rsidRDefault="00D80693" w:rsidP="00D80693">
      <w:pPr>
        <w:suppressLineNumbers/>
        <w:spacing w:line="360" w:lineRule="auto"/>
        <w:jc w:val="both"/>
        <w:rPr>
          <w:b/>
          <w:color w:val="000000"/>
          <w:w w:val="90"/>
          <w:sz w:val="24"/>
          <w:szCs w:val="24"/>
        </w:rPr>
      </w:pPr>
      <w:r>
        <w:rPr>
          <w:b/>
          <w:color w:val="000000"/>
          <w:w w:val="90"/>
          <w:sz w:val="24"/>
          <w:szCs w:val="24"/>
        </w:rPr>
        <w:t>Résumé</w:t>
      </w:r>
    </w:p>
    <w:p w14:paraId="0CC62DFF" w14:textId="77777777" w:rsidR="00D80693" w:rsidRPr="00AD1A27" w:rsidRDefault="00D80693" w:rsidP="00D80693">
      <w:pPr>
        <w:suppressLineNumbers/>
        <w:spacing w:line="360" w:lineRule="auto"/>
        <w:jc w:val="both"/>
        <w:rPr>
          <w:b/>
          <w:color w:val="000000"/>
          <w:w w:val="90"/>
          <w:sz w:val="24"/>
          <w:szCs w:val="24"/>
        </w:rPr>
      </w:pPr>
      <w:r w:rsidRPr="00B328FE">
        <w:rPr>
          <w:color w:val="000000"/>
          <w:w w:val="90"/>
          <w:sz w:val="24"/>
          <w:szCs w:val="24"/>
        </w:rPr>
        <w:t>Cet article explore les défis et les opportunités de la mise en œuvre de l'éducation à la santé dans les écoles de la République du Congo, un contexte marqué par des barrières structurelles, pédagogiques et culturelles significatives. À travers une approche qualitative basée sur des groupes de discussion avec des enseignants dans des zones urbaines, semi-urbaines et rurales, l'étude met en lumière le manque de formation spécialisée, les ressources pédagogiques obsolètes, les tabous culturels prévalents, la faible intégration institutionnelle et les systèmes de soutien insuffisants.</w:t>
      </w:r>
      <w:r>
        <w:rPr>
          <w:color w:val="000000"/>
          <w:w w:val="90"/>
          <w:sz w:val="24"/>
          <w:szCs w:val="24"/>
        </w:rPr>
        <w:t xml:space="preserve"> </w:t>
      </w:r>
      <w:r w:rsidRPr="00B328FE">
        <w:rPr>
          <w:color w:val="000000"/>
          <w:w w:val="90"/>
          <w:sz w:val="24"/>
          <w:szCs w:val="24"/>
        </w:rPr>
        <w:t>Ces obstacles entravent la professionnalisation des enseignants et limitent l'efficacité de l'éducation à la santé. L'étude propose des stratégies concrètes telles que l'intégration de modules d'éducation à la santé obligatoires dans la formation des enseignants, le développement de matériels pédagogiques adaptés au contexte, le renforcement des partenariats entre les écoles et les services de santé, ainsi qu'une plus grande reconnaissance institutionnelle. Ces recommandations visent à garantir une approche équitable, pertinente et durable de l'éducation à la santé, plaçant les enseignants au cœur des réformes des politiques éducatives et de santé, au profit des générations futures.</w:t>
      </w:r>
    </w:p>
    <w:p w14:paraId="29DF41FD" w14:textId="77777777" w:rsidR="00D80693" w:rsidRPr="003D371D" w:rsidRDefault="00D80693" w:rsidP="00D80693">
      <w:pPr>
        <w:suppressLineNumbers/>
        <w:jc w:val="both"/>
        <w:rPr>
          <w:color w:val="000000"/>
          <w:w w:val="90"/>
          <w:sz w:val="24"/>
          <w:szCs w:val="24"/>
        </w:rPr>
      </w:pPr>
    </w:p>
    <w:p w14:paraId="74F36325" w14:textId="77777777" w:rsidR="00D80693" w:rsidRDefault="00D80693" w:rsidP="00D80693">
      <w:pPr>
        <w:jc w:val="both"/>
        <w:rPr>
          <w:color w:val="000000"/>
          <w:w w:val="90"/>
          <w:sz w:val="24"/>
          <w:szCs w:val="24"/>
        </w:rPr>
      </w:pPr>
      <w:r w:rsidRPr="005E0F7E">
        <w:rPr>
          <w:b/>
          <w:color w:val="000000"/>
          <w:w w:val="90"/>
          <w:sz w:val="24"/>
          <w:szCs w:val="24"/>
        </w:rPr>
        <w:t xml:space="preserve">Mots clés : </w:t>
      </w:r>
      <w:r w:rsidRPr="003D371D">
        <w:rPr>
          <w:color w:val="000000"/>
          <w:w w:val="90"/>
          <w:sz w:val="24"/>
          <w:szCs w:val="24"/>
        </w:rPr>
        <w:t>Éducation à la santé, Professionnalisation des enseignants, République du Congo, Obstacles institutionnels, Approche contextuelle</w:t>
      </w:r>
    </w:p>
    <w:p w14:paraId="382F7349" w14:textId="77777777" w:rsidR="00D80693" w:rsidRPr="005E0F7E" w:rsidRDefault="00D80693" w:rsidP="00D80693">
      <w:pPr>
        <w:jc w:val="both"/>
        <w:rPr>
          <w:b/>
          <w:color w:val="000000"/>
          <w:w w:val="90"/>
          <w:sz w:val="24"/>
          <w:szCs w:val="24"/>
        </w:rPr>
      </w:pPr>
    </w:p>
    <w:p w14:paraId="4F7B74DF" w14:textId="77777777" w:rsidR="00D51032" w:rsidRDefault="00D51032">
      <w:pPr>
        <w:rPr>
          <w:b/>
          <w:color w:val="000000"/>
          <w:w w:val="90"/>
          <w:sz w:val="24"/>
          <w:szCs w:val="24"/>
        </w:rPr>
      </w:pPr>
      <w:r>
        <w:rPr>
          <w:b/>
          <w:color w:val="000000"/>
          <w:w w:val="90"/>
          <w:sz w:val="24"/>
          <w:szCs w:val="24"/>
        </w:rPr>
        <w:br w:type="page"/>
      </w:r>
    </w:p>
    <w:p w14:paraId="0F668047" w14:textId="052AA152" w:rsidR="00D80693" w:rsidRPr="00D51032" w:rsidRDefault="00D80693" w:rsidP="00D51032">
      <w:pPr>
        <w:spacing w:before="120"/>
        <w:jc w:val="both"/>
        <w:rPr>
          <w:b/>
          <w:color w:val="000000"/>
          <w:w w:val="90"/>
          <w:sz w:val="28"/>
          <w:szCs w:val="28"/>
        </w:rPr>
      </w:pPr>
      <w:r w:rsidRPr="00D51032">
        <w:rPr>
          <w:b/>
          <w:color w:val="000000"/>
          <w:w w:val="90"/>
          <w:sz w:val="28"/>
          <w:szCs w:val="28"/>
        </w:rPr>
        <w:t xml:space="preserve">Introduction </w:t>
      </w:r>
    </w:p>
    <w:p w14:paraId="6A53E594" w14:textId="77777777" w:rsidR="00D80693" w:rsidRPr="005E0F7E" w:rsidRDefault="00D80693" w:rsidP="00D51032">
      <w:pPr>
        <w:spacing w:before="120"/>
        <w:jc w:val="both"/>
        <w:rPr>
          <w:color w:val="000000"/>
          <w:w w:val="90"/>
          <w:sz w:val="24"/>
          <w:szCs w:val="24"/>
        </w:rPr>
      </w:pPr>
      <w:r w:rsidRPr="005E0F7E">
        <w:rPr>
          <w:color w:val="000000"/>
          <w:w w:val="90"/>
          <w:sz w:val="24"/>
          <w:szCs w:val="24"/>
        </w:rPr>
        <w:t xml:space="preserve">L’éducation à la santé en milieu scolaire représente un levier stratégique pour la promotion de la santé publique et la réussite éducative des jeunes générations. Elle vise à doter les élèves de compétences permettant de faire des choix éclairés, d’adopter des comportements favorables à leur bien-être et de devenir des acteurs responsables de leur santé </w:t>
      </w:r>
      <w:r w:rsidRPr="00B328FE">
        <w:rPr>
          <w:color w:val="000000"/>
          <w:w w:val="90"/>
          <w:sz w:val="24"/>
          <w:szCs w:val="24"/>
        </w:rPr>
        <w:t xml:space="preserve">ainsi que </w:t>
      </w:r>
      <w:r w:rsidRPr="005E0F7E">
        <w:rPr>
          <w:color w:val="000000"/>
          <w:w w:val="90"/>
          <w:sz w:val="24"/>
          <w:szCs w:val="24"/>
        </w:rPr>
        <w:t xml:space="preserve">celle de leur communauté. Cette mission prend une dimension </w:t>
      </w:r>
      <w:r>
        <w:rPr>
          <w:color w:val="000000"/>
          <w:w w:val="90"/>
          <w:sz w:val="24"/>
          <w:szCs w:val="24"/>
        </w:rPr>
        <w:t>importante</w:t>
      </w:r>
      <w:r w:rsidRPr="005E0F7E">
        <w:rPr>
          <w:color w:val="000000"/>
          <w:w w:val="90"/>
          <w:sz w:val="24"/>
          <w:szCs w:val="24"/>
        </w:rPr>
        <w:t xml:space="preserve"> dans des contextes comme celui de la République du Congo, où persistent de fortes inégalités d’accès à l’information et aux soins, une prévale</w:t>
      </w:r>
      <w:r>
        <w:rPr>
          <w:color w:val="000000"/>
          <w:w w:val="90"/>
          <w:sz w:val="24"/>
          <w:szCs w:val="24"/>
        </w:rPr>
        <w:t>nce élevée de maladies évitables et</w:t>
      </w:r>
      <w:r w:rsidRPr="005E0F7E">
        <w:rPr>
          <w:color w:val="000000"/>
          <w:w w:val="90"/>
          <w:sz w:val="24"/>
          <w:szCs w:val="24"/>
        </w:rPr>
        <w:t xml:space="preserve"> une montée préoccupante des conduites à risque chez les jeunes </w:t>
      </w:r>
      <w:r>
        <w:rPr>
          <w:color w:val="000000"/>
          <w:w w:val="90"/>
          <w:sz w:val="24"/>
          <w:szCs w:val="24"/>
        </w:rPr>
        <w:fldChar w:fldCharType="begin"/>
      </w:r>
      <w:r>
        <w:rPr>
          <w:color w:val="000000"/>
          <w:w w:val="90"/>
          <w:sz w:val="24"/>
          <w:szCs w:val="24"/>
        </w:rPr>
        <w:instrText xml:space="preserve"> ADDIN ZOTERO_ITEM CSL_CITATION {"citationID":"yq7RzNlu","properties":{"formattedCitation":"(1,2)","plainCitation":"(1,2)","noteIndex":0},"citationItems":[{"id":5173,"uris":["http://zotero.org/users/local/417IawLi/items/VKEIL4JA"],"itemData":{"id":5173,"type":"report","event-place":"Paris","language":"Fr","page":"38","publisher":"UNESCO","publisher-place":"Paris","title":"Rapport mondial de suivi sur l’éducation 2021-2022 – Les acteurs non étatiques dans l’éducation : Qui décide ? Qui est perdant ?","author":[{"family":"UNESCO","given":""}],"issued":{"date-parts":[["2021"]]}}},{"id":5174,"uris":["http://zotero.org/users/local/417IawLi/items/QR69HFXA"],"itemData":{"id":5174,"type":"book","note":"DOI: 10.54676/ijtx2481","publisher":"UNESCO","source":"Crossref","title":"Rapport mondial de suivi sur l’éducation – Rapport sur l'égalité des genres : Approfondir le débat sur les enfants et les jeunes encore laissés de côté","title-short":"Rapport mondial de suivi sur l’éducation – Rapport sur l'égalité des genres","URL":"https://unesdoc.unesco.org/ark:/48223/pf0000382496","author":[{"literal":"UNESCO"}],"accessed":{"date-parts":[["2025",7,17]]},"issued":{"date-parts":[["2022",1,1]]}}}],"schema":"https://github.com/citation-style-language/schema/raw/master/csl-citation.json"} </w:instrText>
      </w:r>
      <w:r>
        <w:rPr>
          <w:color w:val="000000"/>
          <w:w w:val="90"/>
          <w:sz w:val="24"/>
          <w:szCs w:val="24"/>
        </w:rPr>
        <w:fldChar w:fldCharType="separate"/>
      </w:r>
      <w:r w:rsidRPr="00DC0E41">
        <w:rPr>
          <w:color w:val="000000"/>
          <w:w w:val="90"/>
          <w:sz w:val="24"/>
          <w:szCs w:val="24"/>
        </w:rPr>
        <w:t>(1,2)</w:t>
      </w:r>
      <w:r>
        <w:rPr>
          <w:color w:val="000000"/>
          <w:w w:val="90"/>
          <w:sz w:val="24"/>
          <w:szCs w:val="24"/>
        </w:rPr>
        <w:fldChar w:fldCharType="end"/>
      </w:r>
      <w:r w:rsidRPr="005E0F7E">
        <w:rPr>
          <w:color w:val="000000"/>
          <w:w w:val="90"/>
          <w:sz w:val="24"/>
          <w:szCs w:val="24"/>
        </w:rPr>
        <w:t xml:space="preserve">. Cependant, l'intégration effective de l'éducation à la santé dans les pratiques scolaires se heurte à de nombreux obstacles structurels et pédagogiques. En République du Congo, comme dans de nombreux pays africains, le système éducatif fait face à des défis persistants : surcharge des classes, inégalités territoriales (urbain/rural), manque de ressources didactiques, absence de politique claire de formation initiale et continue des enseignants dans ce domaine, et marginalisation de la santé dans les curricula </w:t>
      </w:r>
      <w:r>
        <w:rPr>
          <w:color w:val="000000"/>
          <w:w w:val="90"/>
          <w:sz w:val="24"/>
          <w:szCs w:val="24"/>
        </w:rPr>
        <w:fldChar w:fldCharType="begin"/>
      </w:r>
      <w:r>
        <w:rPr>
          <w:color w:val="000000"/>
          <w:w w:val="90"/>
          <w:sz w:val="24"/>
          <w:szCs w:val="24"/>
        </w:rPr>
        <w:instrText xml:space="preserve"> ADDIN ZOTERO_ITEM CSL_CITATION {"citationID":"FRmlfsdW","properties":{"formattedCitation":"(1\\uc0\\u8211{}3)","plainCitation":"(1–3)","noteIndex":0},"citationItems":[{"id":5173,"uris":["http://zotero.org/users/local/417IawLi/items/VKEIL4JA"],"itemData":{"id":5173,"type":"report","event-place":"Paris","language":"Fr","page":"38","publisher":"UNESCO","publisher-place":"Paris","title":"Rapport mondial de suivi sur l’éducation 2021-2022 – Les acteurs non étatiques dans l’éducation : Qui décide ? Qui est perdant ?","author":[{"family":"UNESCO","given":""}],"issued":{"date-parts":[["2021"]]}}},{"id":5174,"uris":["http://zotero.org/users/local/417IawLi/items/QR69HFXA"],"itemData":{"id":5174,"type":"book","note":"DOI: 10.54676/ijtx2481","publisher":"UNESCO","source":"Crossref","title":"Rapport mondial de suivi sur l’éducation – Rapport sur l'égalité des genres : Approfondir le débat sur les enfants et les jeunes encore laissés de côté","title-short":"Rapport mondial de suivi sur l’éducation – Rapport sur l'égalité des genres","URL":"https://unesdoc.unesco.org/ark:/48223/pf0000382496","author":[{"literal":"UNESCO"}],"accessed":{"date-parts":[["2025",7,17]]},"issued":{"date-parts":[["2022",1,1]]}}},{"id":5177,"uris":["http://zotero.org/users/local/417IawLi/items/JTSY4WJY"],"itemData":{"id":5177,"type":"article-journal","abstract":"RésuméAméliorer la connaissance des pratiques et des représentations des enseignants de l’école primaire quant à leur rôle dans le champ de l’éducation à la santé (ES), identifier les résistances individuelles et structurelles ainsi que les besoins en termes de partenariat et de formation constituent des objectifs importants de la recherche en ES. Une étude quantitative sur un échantillon représentatif de la population des enseignants du premier degré en région Auvergne (n = 673) a été réalisée entre avril et décembre 2001. Les résultats montrent que la majorité des enseignants déclare pratiquer l’ES. L’approche est principalement thématique, essentiellement limitée à des séquences pédagogiques puisqu’elle n’est intégrée à un projet que dans 20 % des cas. Un maître sur trois a fait appel à des partenaires issus majoritairement de la santé scolaire, les parents quant à eux, ne sont qu’exceptionnellement associés. Les paramètres influençant les pratiques et les représentations des enseignants sont : (1) le fait de travailler en zones ou réseaux d’éducation prioritaire et en regroupement pédagogique intercommunal ; les enseignants sont plus nombreux à faire de l’ES dans ces écoles que dans les autres, et (2) le fait d’avoir reçu une formation. Ces résultats suggèrent qu’une politique visant la généralisation de la prise en compte de l’ES à l’école doit développer la formation ainsi que soutenir et accompagner les dynamiques collectives au sein des écoles.","archive":"Cairn.info","container-title":"Santé Publique","DOI":"10.3917/spub.024.0403","issue":"4","journalAbbreviation":"Santé Publique","language":"fr","note":"publisher-place: Laxou\npublisher: S.F.S.P.","page":"403-423","title":"Éducation à la santé à l'école : pratiques et représentations des enseignants du primaire","volume":"Vol. 14","author":[{"family":"Jourdan","given":"Didier"},{"family":"Piec","given":"Isabelle"},{"family":"Aublet-Cuvelier","given":"Bruno"},{"family":"Berger","given":"Dominique"},{"family":"Lejeune","given":"Marie-Line"},{"family":"Laquet-Riffaud","given":"Anne"},{"family":"Geneix","given":"Christian"},{"family":"Glanddier","given":"Phyllis Yvonne"}],"issued":{"date-parts":[["2002"]]}}}],"schema":"https://github.com/citation-style-language/schema/raw/master/csl-citation.json"} </w:instrText>
      </w:r>
      <w:r>
        <w:rPr>
          <w:color w:val="000000"/>
          <w:w w:val="90"/>
          <w:sz w:val="24"/>
          <w:szCs w:val="24"/>
        </w:rPr>
        <w:fldChar w:fldCharType="separate"/>
      </w:r>
      <w:r w:rsidRPr="00DC0E41">
        <w:rPr>
          <w:color w:val="000000"/>
          <w:w w:val="90"/>
          <w:sz w:val="24"/>
          <w:szCs w:val="24"/>
        </w:rPr>
        <w:t>(1–3)</w:t>
      </w:r>
      <w:r>
        <w:rPr>
          <w:color w:val="000000"/>
          <w:w w:val="90"/>
          <w:sz w:val="24"/>
          <w:szCs w:val="24"/>
        </w:rPr>
        <w:fldChar w:fldCharType="end"/>
      </w:r>
      <w:r w:rsidRPr="005E0F7E">
        <w:rPr>
          <w:color w:val="000000"/>
          <w:w w:val="90"/>
          <w:sz w:val="24"/>
          <w:szCs w:val="24"/>
        </w:rPr>
        <w:t>. L’éducation à la santé, bien que reconnue dans les discours officiels, reste le plus souvent cantonnée à des approches transversales ou moralisatrices, confiée à des enseignants peu formés, peu accompagnés et souvent mal à l’aise face à des sujets sensibles (sexualité, VIH, addictions, hygiène intime, santé mentale).</w:t>
      </w:r>
      <w:r>
        <w:rPr>
          <w:color w:val="000000"/>
          <w:w w:val="90"/>
          <w:sz w:val="24"/>
          <w:szCs w:val="24"/>
        </w:rPr>
        <w:t xml:space="preserve"> </w:t>
      </w:r>
      <w:r w:rsidRPr="005E0F7E">
        <w:rPr>
          <w:color w:val="000000"/>
          <w:w w:val="90"/>
          <w:sz w:val="24"/>
          <w:szCs w:val="24"/>
        </w:rPr>
        <w:t>Sur le plan théorique, plusieurs approches permettent d’éclairer les enjeux de professionnalisation des enseignants dans ce domaine. La théorie sociale cognitive de Bandura (200</w:t>
      </w:r>
      <w:r>
        <w:rPr>
          <w:color w:val="000000"/>
          <w:w w:val="90"/>
          <w:sz w:val="24"/>
          <w:szCs w:val="24"/>
        </w:rPr>
        <w:t>1</w:t>
      </w:r>
      <w:r w:rsidRPr="005E0F7E">
        <w:rPr>
          <w:color w:val="000000"/>
          <w:w w:val="90"/>
          <w:sz w:val="24"/>
          <w:szCs w:val="24"/>
        </w:rPr>
        <w:t xml:space="preserve">) souligne l’importance de l’apprentissage par observation </w:t>
      </w:r>
      <w:r w:rsidRPr="00B328FE">
        <w:rPr>
          <w:color w:val="000000"/>
          <w:w w:val="90"/>
          <w:sz w:val="24"/>
          <w:szCs w:val="24"/>
        </w:rPr>
        <w:t xml:space="preserve">et du sentiment d’efficacité personnelle </w:t>
      </w:r>
      <w:r w:rsidRPr="005E0F7E">
        <w:rPr>
          <w:color w:val="000000"/>
          <w:w w:val="90"/>
          <w:sz w:val="24"/>
          <w:szCs w:val="24"/>
        </w:rPr>
        <w:t>pour motiver les enseignants à intégrer la santé dans leurs pratiques</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{"citationID":"7jLvZX6O","properties":{"formattedCitation":"(4)","plainCitation":"(4)","noteIndex":0},"citationItems":[{"id":2820,"uris":["http://zotero.org/users/local/417IawLi/items/23ZSXER4"],"itemData":{"id":2820,"type":"article-journal","abstract":"▪ Abstract  The capacity to exercise control over the nature and quality of one's life is the essence of humanness. Human agency is characterized by a number of core features that operate through phenomenal and functional consciousness. These include the temporal extension of agency through intentionality and forethought, self-regulation by self-reactive influence, and self-reflectiveness about one's capabilities, quality of functioning, and the meaning and purpose of one's life pursuits. Personal agency operates within a broad network of sociostructural influences. In these agentic transactions, people are producers as well as products of social systems. Social cognitive theory distinguishes among three modes of agency: direct personal agency, proxy agency that relies on others to act on one's behest to secure desired outcomes, and collective agency exercised through socially coordinative and interdependent effort. Growing transnational embeddedness and interdependence are placing a premium on collective efficacy to exercise control over personal destinies and national life.","container-title":"Annual Review of Psychology","DOI":"10.1146/annurev.psych.52.1.1","ISSN":"0066-4308, 1545-2085","issue":"1","journalAbbreviation":"Annu. Rev. Psychol.","language":"en","page":"1-26","source":"DOI.org (Crossref)","title":"Social Cognitive Theory: An Agentic Perspective","title-short":"Social Cognitive Theory","volume":"52","author":[{"family":"Bandura","given":"Albert"}],"issued":{"date-parts":[["2001",2]]}}}],"schema":"https://github.com/citation-style-language/schema/raw/master/csl-citation.json"} </w:instrText>
      </w:r>
      <w:r>
        <w:rPr>
          <w:color w:val="000000"/>
          <w:w w:val="90"/>
          <w:sz w:val="24"/>
          <w:szCs w:val="24"/>
        </w:rPr>
        <w:fldChar w:fldCharType="separate"/>
      </w:r>
      <w:r w:rsidRPr="00DC0E41">
        <w:rPr>
          <w:color w:val="000000"/>
          <w:w w:val="90"/>
          <w:sz w:val="24"/>
          <w:szCs w:val="24"/>
        </w:rPr>
        <w:t>(4)</w:t>
      </w:r>
      <w:r>
        <w:rPr>
          <w:color w:val="000000"/>
          <w:w w:val="90"/>
          <w:sz w:val="24"/>
          <w:szCs w:val="24"/>
        </w:rPr>
        <w:fldChar w:fldCharType="end"/>
      </w:r>
      <w:r w:rsidRPr="00B328FE">
        <w:rPr>
          <w:color w:val="000000"/>
          <w:w w:val="90"/>
          <w:sz w:val="24"/>
          <w:szCs w:val="24"/>
        </w:rPr>
        <w:t xml:space="preserve"> </w:t>
      </w:r>
      <w:r>
        <w:rPr>
          <w:color w:val="000000"/>
          <w:w w:val="90"/>
          <w:sz w:val="24"/>
          <w:szCs w:val="24"/>
        </w:rPr>
        <w:t xml:space="preserve">Le constructivisme par Piaget </w:t>
      </w:r>
      <w:r w:rsidRPr="00B328FE">
        <w:rPr>
          <w:color w:val="000000"/>
          <w:w w:val="90"/>
          <w:sz w:val="24"/>
          <w:szCs w:val="24"/>
        </w:rPr>
        <w:t>(</w:t>
      </w:r>
      <w:r>
        <w:rPr>
          <w:color w:val="000000"/>
          <w:w w:val="90"/>
          <w:sz w:val="24"/>
          <w:szCs w:val="24"/>
        </w:rPr>
        <w:t>1967</w:t>
      </w:r>
      <w:r w:rsidRPr="00B328FE">
        <w:rPr>
          <w:color w:val="000000"/>
          <w:w w:val="90"/>
          <w:sz w:val="24"/>
          <w:szCs w:val="24"/>
        </w:rPr>
        <w:t xml:space="preserve">) </w:t>
      </w:r>
      <w:r>
        <w:rPr>
          <w:color w:val="000000"/>
          <w:w w:val="90"/>
          <w:sz w:val="24"/>
          <w:szCs w:val="24"/>
        </w:rPr>
        <w:t>et par Vygotsky</w:t>
      </w:r>
      <w:r w:rsidRPr="00B328FE">
        <w:rPr>
          <w:color w:val="000000"/>
          <w:w w:val="90"/>
          <w:sz w:val="24"/>
          <w:szCs w:val="24"/>
        </w:rPr>
        <w:t xml:space="preserve"> (</w:t>
      </w:r>
      <w:r>
        <w:rPr>
          <w:color w:val="000000"/>
          <w:w w:val="90"/>
          <w:sz w:val="24"/>
          <w:szCs w:val="24"/>
        </w:rPr>
        <w:t>1978</w:t>
      </w:r>
      <w:r w:rsidRPr="00B328FE">
        <w:rPr>
          <w:color w:val="000000"/>
          <w:w w:val="90"/>
          <w:sz w:val="24"/>
          <w:szCs w:val="24"/>
        </w:rPr>
        <w:t>)</w:t>
      </w:r>
      <w:r>
        <w:rPr>
          <w:color w:val="000000"/>
          <w:w w:val="90"/>
          <w:sz w:val="24"/>
          <w:szCs w:val="24"/>
        </w:rPr>
        <w:t>,</w:t>
      </w:r>
      <w:r w:rsidRPr="005E0F7E">
        <w:rPr>
          <w:color w:val="000000"/>
          <w:w w:val="90"/>
          <w:sz w:val="24"/>
          <w:szCs w:val="24"/>
        </w:rPr>
        <w:t xml:space="preserve"> montre comment l’enseignant peut favoriser un apprentissage actif, centré sur l’élève et ses représentations</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{"citationID":"45X9CckS","properties":{"formattedCitation":"(5,6)","plainCitation":"(5,6)","noteIndex":0},"citationItems":[{"id":4706,"uris":["http://zotero.org/users/local/417IawLi/items/ZXPHZZAN"],"itemData":{"id":4706,"type":"article-journal","container-title":"Journal of Research in Science Teaching","DOI":"10.1002/tea.3660020306","ISSN":"0022-4308, 1098-2736","issue":"3","journalAbbreviation":"J Res Sci Teach","language":"en","page":"176-186","source":"DOI.org (Crossref)","title":"Part I: Cognitive development in children: Piaget development and learning","title-short":"Part I","volume":"2","author":[{"family":"J. Piaget","given":""}],"issued":{"date-parts":[["1964",9]]}}},{"id":4428,"uris":["http://zotero.org/users/local/417IawLi/items/53D9R6MC"],"itemData":{"id":4428,"type":"chapter","edition":"in gauvain &amp; cole (eds.), readings onthe development of children","page":"34-40","title":"Interaction between learning and development","author":[{"family":"Vygotsky","given":"L. S."}],"issued":{"date-parts":[["1978"]]}}}],"schema":"https://github.com/citation-style-language/schema/raw/master/csl-citation.json"} </w:instrText>
      </w:r>
      <w:r>
        <w:rPr>
          <w:color w:val="000000"/>
          <w:w w:val="90"/>
          <w:sz w:val="24"/>
          <w:szCs w:val="24"/>
        </w:rPr>
        <w:fldChar w:fldCharType="separate"/>
      </w:r>
      <w:r w:rsidRPr="00DC0E41">
        <w:rPr>
          <w:color w:val="000000"/>
          <w:w w:val="90"/>
          <w:sz w:val="24"/>
          <w:szCs w:val="24"/>
        </w:rPr>
        <w:t>(5,6)</w:t>
      </w:r>
      <w:r>
        <w:rPr>
          <w:color w:val="000000"/>
          <w:w w:val="90"/>
          <w:sz w:val="24"/>
          <w:szCs w:val="24"/>
        </w:rPr>
        <w:fldChar w:fldCharType="end"/>
      </w:r>
      <w:r w:rsidRPr="005E0F7E">
        <w:rPr>
          <w:color w:val="000000"/>
          <w:w w:val="90"/>
          <w:sz w:val="24"/>
          <w:szCs w:val="24"/>
        </w:rPr>
        <w:t>. Le modèle des croyances relative</w:t>
      </w:r>
      <w:r>
        <w:rPr>
          <w:color w:val="000000"/>
          <w:w w:val="90"/>
          <w:sz w:val="24"/>
          <w:szCs w:val="24"/>
        </w:rPr>
        <w:t xml:space="preserve">s à la santé de Rosenstock </w:t>
      </w:r>
      <w:r w:rsidRPr="00DC0E41">
        <w:rPr>
          <w:color w:val="000000"/>
          <w:w w:val="90"/>
          <w:sz w:val="24"/>
          <w:szCs w:val="24"/>
        </w:rPr>
        <w:t>(</w:t>
      </w:r>
      <w:r>
        <w:rPr>
          <w:color w:val="000000"/>
          <w:w w:val="90"/>
          <w:sz w:val="24"/>
          <w:szCs w:val="24"/>
        </w:rPr>
        <w:t>1974</w:t>
      </w:r>
      <w:r w:rsidRPr="00DC0E41">
        <w:rPr>
          <w:color w:val="000000"/>
          <w:w w:val="90"/>
          <w:sz w:val="24"/>
          <w:szCs w:val="24"/>
        </w:rPr>
        <w:t xml:space="preserve">) </w:t>
      </w:r>
      <w:r w:rsidRPr="005E0F7E">
        <w:rPr>
          <w:color w:val="000000"/>
          <w:w w:val="90"/>
          <w:sz w:val="24"/>
          <w:szCs w:val="24"/>
        </w:rPr>
        <w:t>offre un cadre pour comprendre les freins et leviers à l’adoption de comportements favorables à la santé chez les élèves</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{"citationID":"5bgKU6b4","properties":{"formattedCitation":"(7)","plainCitation":"(7)","noteIndex":0},"citationItems":[{"id":2606,"uris":["http://zotero.org/users/local/417IawLi/items/HICTNII9"],"itemData":{"id":2606,"type":"article-journal","container-title":"Health Education Monographs","DOI":"10.1177/109019817400200405","ISSN":"0073-1455","issue":"4","journalAbbreviation":"Health Education Monographs","language":"en","license":"http://journals.sagepub.com/page/policies/text-and-data-mining-license","page":"354-386","source":"DOI.org (Crossref)","title":"The Health Belief Model and Preventive Health Behavior","volume":"2","author":[{"family":"Rosenstock","given":"Irwin M."}],"issued":{"date-parts":[["1974",12]]}}}],"schema":"https://github.com/citation-style-language/schema/raw/master/csl-citation.json"} </w:instrText>
      </w:r>
      <w:r>
        <w:rPr>
          <w:color w:val="000000"/>
          <w:w w:val="90"/>
          <w:sz w:val="24"/>
          <w:szCs w:val="24"/>
        </w:rPr>
        <w:fldChar w:fldCharType="separate"/>
      </w:r>
      <w:r w:rsidRPr="00DC0E41">
        <w:rPr>
          <w:color w:val="000000"/>
          <w:w w:val="90"/>
          <w:sz w:val="24"/>
          <w:szCs w:val="24"/>
        </w:rPr>
        <w:t>(7)</w:t>
      </w:r>
      <w:r>
        <w:rPr>
          <w:color w:val="000000"/>
          <w:w w:val="90"/>
          <w:sz w:val="24"/>
          <w:szCs w:val="24"/>
        </w:rPr>
        <w:fldChar w:fldCharType="end"/>
      </w:r>
      <w:r w:rsidRPr="005E0F7E">
        <w:rPr>
          <w:color w:val="000000"/>
          <w:w w:val="90"/>
          <w:sz w:val="24"/>
          <w:szCs w:val="24"/>
        </w:rPr>
        <w:t>. Bronfenbrenner (</w:t>
      </w:r>
      <w:r>
        <w:rPr>
          <w:color w:val="000000"/>
          <w:w w:val="90"/>
          <w:sz w:val="24"/>
          <w:szCs w:val="24"/>
        </w:rPr>
        <w:t>2009</w:t>
      </w:r>
      <w:r w:rsidRPr="005E0F7E">
        <w:rPr>
          <w:color w:val="000000"/>
          <w:w w:val="90"/>
          <w:sz w:val="24"/>
          <w:szCs w:val="24"/>
        </w:rPr>
        <w:t>), à travers la théorie des systèmes écologiques, rappelle l’importance des interactions entre école, famille, communauté et politique publique</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{"citationID":"5KB939uR","properties":{"formattedCitation":"(8)","plainCitation":"(8)","noteIndex":0},"citationItems":[{"id":4423,"uris":["http://zotero.org/users/local/417IawLi/items/GVE38JTS"],"itemData":{"id":4423,"type":"book","abstract":"Intro -- Foreword -- Preface -- Contents -- Part One: An Ecological Orientation -- 1. Purpose and Perspective -- 2. Basic Concepts -- Part Two: Elements of the Setting -- 3. The Nature and Function of Molar Activities -- 4. Interpersonal Structures as Contexts of Human Development -- 5. Roles as Contexts of Human Development -- Part Three: The Analysis of Settings -- 6. The Laboratory as an Ecological Context -- 7. Children's Institutions as Contexts of Human Development -- 8. Day Care and Preschool as Contexts of Human Development -- Part Four: Beyond the Microsystem -- 9. The Mesosystem and Human Development -- 10. The Exosystem and Human Development -- 11. The Macrosystem and Human Development -- Notes -- Bibliography -- Index","event-place":"Cambridge","ISBN":"978-0-674-22457-5","language":"eng","number-of-pages":"352","publisher":"Harvard University Press","publisher-place":"Cambridge","source":"K10plus ISBN","title":"Ecology of Human Development: Experiments by Nature and Design","title-short":"Ecology of Human Development","author":[{"family":"Bronfenbrenner","given":"Urie"}],"issued":{"date-parts":[["2009"]]}}}],"schema":"https://github.com/citation-style-language/schema/raw/master/csl-citation.json"} </w:instrText>
      </w:r>
      <w:r>
        <w:rPr>
          <w:color w:val="000000"/>
          <w:w w:val="90"/>
          <w:sz w:val="24"/>
          <w:szCs w:val="24"/>
        </w:rPr>
        <w:fldChar w:fldCharType="separate"/>
      </w:r>
      <w:r w:rsidRPr="00DC0E41">
        <w:rPr>
          <w:color w:val="000000"/>
          <w:w w:val="90"/>
          <w:sz w:val="24"/>
          <w:szCs w:val="24"/>
        </w:rPr>
        <w:t>(8)</w:t>
      </w:r>
      <w:r>
        <w:rPr>
          <w:color w:val="000000"/>
          <w:w w:val="90"/>
          <w:sz w:val="24"/>
          <w:szCs w:val="24"/>
        </w:rPr>
        <w:fldChar w:fldCharType="end"/>
      </w:r>
      <w:r w:rsidRPr="005E0F7E">
        <w:rPr>
          <w:color w:val="000000"/>
          <w:w w:val="90"/>
          <w:sz w:val="24"/>
          <w:szCs w:val="24"/>
        </w:rPr>
        <w:t>. Enfin, la théorie de l’apprentissage expérientiel de Kolb (1984)</w:t>
      </w:r>
      <w:r w:rsidRPr="00DC0E41">
        <w:rPr>
          <w:color w:val="000000"/>
          <w:w w:val="90"/>
          <w:sz w:val="24"/>
          <w:szCs w:val="24"/>
        </w:rPr>
        <w:t>,</w:t>
      </w:r>
      <w:r w:rsidRPr="005E0F7E">
        <w:rPr>
          <w:color w:val="000000"/>
          <w:w w:val="90"/>
          <w:sz w:val="24"/>
          <w:szCs w:val="24"/>
        </w:rPr>
        <w:t xml:space="preserve"> valorise la pratique réflexive et l’expérimentation comme piliers du développement professionnel</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{"citationID":"5MVGMQyr","properties":{"formattedCitation":"(9)","plainCitation":"(9)","noteIndex":0},"citationItems":[{"id":2834,"uris":["http://zotero.org/users/local/417IawLi/items/B6IWLVSG"],"itemData":{"id":2834,"type":"book","event-place":"Englewood Cliffs, N.J","ISBN":"978-0-13-295261-3","language":"eng","number-of-pages":"256","publisher":"Prentice-Hall","publisher-place":"Englewood Cliffs, N.J","source":"K10plus ISBN","title":"Experimental learning: experience as the source of learning and development","title-short":"Experimental learning","author":[{"family":"Kolb","given":"David A."}],"issued":{"date-parts":[["1984"]]}}}],"schema":"https://github.com/citation-style-language/schema/raw/master/csl-citation.json"} </w:instrText>
      </w:r>
      <w:r>
        <w:rPr>
          <w:color w:val="000000"/>
          <w:w w:val="90"/>
          <w:sz w:val="24"/>
          <w:szCs w:val="24"/>
        </w:rPr>
        <w:fldChar w:fldCharType="separate"/>
      </w:r>
      <w:r w:rsidRPr="00DC0E41">
        <w:rPr>
          <w:color w:val="000000"/>
          <w:w w:val="90"/>
          <w:sz w:val="24"/>
          <w:szCs w:val="24"/>
        </w:rPr>
        <w:t>(9)</w:t>
      </w:r>
      <w:r>
        <w:rPr>
          <w:color w:val="000000"/>
          <w:w w:val="90"/>
          <w:sz w:val="24"/>
          <w:szCs w:val="24"/>
        </w:rPr>
        <w:fldChar w:fldCharType="end"/>
      </w:r>
      <w:r w:rsidRPr="005E0F7E">
        <w:rPr>
          <w:color w:val="000000"/>
          <w:w w:val="90"/>
          <w:sz w:val="24"/>
          <w:szCs w:val="24"/>
        </w:rPr>
        <w:t>.</w:t>
      </w:r>
    </w:p>
    <w:p w14:paraId="2F9B4B0A" w14:textId="77777777" w:rsidR="00D80693" w:rsidRPr="005E0F7E" w:rsidRDefault="00D80693" w:rsidP="00012C2D">
      <w:pPr>
        <w:spacing w:before="120"/>
        <w:jc w:val="both"/>
        <w:rPr>
          <w:color w:val="000000"/>
          <w:w w:val="90"/>
          <w:sz w:val="24"/>
          <w:szCs w:val="24"/>
        </w:rPr>
      </w:pPr>
      <w:r w:rsidRPr="005E0F7E">
        <w:rPr>
          <w:color w:val="000000"/>
          <w:w w:val="90"/>
          <w:sz w:val="24"/>
          <w:szCs w:val="24"/>
        </w:rPr>
        <w:t xml:space="preserve">Les recherches menées en Afrique subsaharienne mettent en lumière une situation paradoxale : les enseignants perçoivent l’éducation à la santé comme une priorité, mais se disent mal préparés, insuffisamment formés, démunis en ressources pédagogiques adaptées, et peu soutenus par leur hiérarchie </w:t>
      </w:r>
      <w:r>
        <w:rPr>
          <w:color w:val="000000"/>
          <w:w w:val="90"/>
          <w:sz w:val="24"/>
          <w:szCs w:val="24"/>
        </w:rPr>
        <w:fldChar w:fldCharType="begin"/>
      </w:r>
      <w:r>
        <w:rPr>
          <w:color w:val="000000"/>
          <w:w w:val="90"/>
          <w:sz w:val="24"/>
          <w:szCs w:val="24"/>
        </w:rPr>
        <w:instrText xml:space="preserve"> ADDIN ZOTERO_ITEM CSL_CITATION {"citationID":"LMliffQO","properties":{"formattedCitation":"(1\\uc0\\u8211{}3,10)","plainCitation":"(1–3,10)","noteIndex":0},"citationItems":[{"id":5173,"uris":["http://zotero.org/users/local/417IawLi/items/VKEIL4JA"],"itemData":{"id":5173,"type":"report","event-place":"Paris","language":"Fr","page":"38","publisher":"UNESCO","publisher-place":"Paris","title":"Rapport mondial de suivi sur l’éducation 2021-2022 – Les acteurs non étatiques dans l’éducation : Qui décide ? Qui est perdant ?","author":[{"family":"UNESCO","given":""}],"issued":{"date-parts":[["2021"]]}}},{"id":5174,"uris":["http://zotero.org/users/local/417IawLi/items/QR69HFXA"],"itemData":{"id":5174,"type":"book","note":"DOI: 10.54676/ijtx2481","publisher":"UNESCO","source":"Crossref","title":"Rapport mondial de suivi sur l’éducation – Rapport sur l'égalité des genres : Approfondir le débat sur les enfants et les jeunes encore laissés de côté","title-short":"Rapport mondial de suivi sur l’éducation – Rapport sur l'égalité des genres","URL":"https://unesdoc.unesco.org/ark:/48223/pf0000382496","author":[{"literal":"UNESCO"}],"accessed":{"date-parts":[["2025",7,17]]},"issued":{"date-parts":[["2022",1,1]]}}},{"id":5177,"uris":["http://zotero.org/users/local/417IawLi/items/JTSY4WJY"],"itemData":{"id":5177,"type":"article-journal","abstract":"RésuméAméliorer la connaissance des pratiques et des représentations des enseignants de l’école primaire quant à leur rôle dans le champ de l’éducation à la santé (ES), identifier les résistances individuelles et structurelles ainsi que les besoins en termes de partenariat et de formation constituent des objectifs importants de la recherche en ES. Une étude quantitative sur un échantillon représentatif de la population des enseignants du premier degré en région Auvergne (n = 673) a été réalisée entre avril et décembre 2001. Les résultats montrent que la majorité des enseignants déclare pratiquer l’ES. L’approche est principalement thématique, essentiellement limitée à des séquences pédagogiques puisqu’elle n’est intégrée à un projet que dans 20 % des cas. Un maître sur trois a fait appel à des partenaires issus majoritairement de la santé scolaire, les parents quant à eux, ne sont qu’exceptionnellement associés. Les paramètres influençant les pratiques et les représentations des enseignants sont : (1) le fait de travailler en zones ou réseaux d’éducation prioritaire et en regroupement pédagogique intercommunal ; les enseignants sont plus nombreux à faire de l’ES dans ces écoles que dans les autres, et (2) le fait d’avoir reçu une formation. Ces résultats suggèrent qu’une politique visant la généralisation de la prise en compte de l’ES à l’école doit développer la formation ainsi que soutenir et accompagner les dynamiques collectives au sein des écoles.","archive":"Cairn.info","container-title":"Santé Publique","DOI":"10.3917/spub.024.0403","issue":"4","journalAbbreviation":"Santé Publique","language":"fr","note":"publisher-place: Laxou\npublisher: S.F.S.P.","page":"403-423","title":"Éducation à la santé à l'école : pratiques et représentations des enseignants du primaire","volume":"Vol. 14","author":[{"family":"Jourdan","given":"Didier"},{"family":"Piec","given":"Isabelle"},{"family":"Aublet-Cuvelier","given":"Bruno"},{"family":"Berger","given":"Dominique"},{"family":"Lejeune","given":"Marie-Line"},{"family":"Laquet-Riffaud","given":"Anne"},{"family":"Geneix","given":"Christian"},{"family":"Glanddier","given":"Phyllis Yvonne"}],"issued":{"date-parts":[["2002"]]}}},{"id":4346,"uris":["http://zotero.org/users/local/417IawLi/items/BVDXAYP4"],"itemData":{"id":4346,"type":"book","edition":"5e Edition","event-place":"Paris : ESF","ISBN":"978-2-7101-2437-5","language":"Fr","number-of-pages":"224","publisher-place":"Paris : ESF","title":"Développer la pratique réflexive dans le métier d'enseignant. Professionnalisation et raison pédagogique","author":[{"family":"Perrenoud","given":"Philippe"}],"issued":{"date-parts":[["2001"]]}}}],"schema":"https://github.com/citation-style-language/schema/raw/master/csl-citation.json"} </w:instrText>
      </w:r>
      <w:r>
        <w:rPr>
          <w:color w:val="000000"/>
          <w:w w:val="90"/>
          <w:sz w:val="24"/>
          <w:szCs w:val="24"/>
        </w:rPr>
        <w:fldChar w:fldCharType="separate"/>
      </w:r>
      <w:r w:rsidRPr="00DC0E41">
        <w:rPr>
          <w:color w:val="000000"/>
          <w:w w:val="90"/>
          <w:sz w:val="24"/>
          <w:szCs w:val="24"/>
        </w:rPr>
        <w:t>(1–3,10)</w:t>
      </w:r>
      <w:r>
        <w:rPr>
          <w:color w:val="000000"/>
          <w:w w:val="90"/>
          <w:sz w:val="24"/>
          <w:szCs w:val="24"/>
        </w:rPr>
        <w:fldChar w:fldCharType="end"/>
      </w:r>
      <w:r w:rsidRPr="005E0F7E">
        <w:rPr>
          <w:color w:val="000000"/>
          <w:w w:val="90"/>
          <w:sz w:val="24"/>
          <w:szCs w:val="24"/>
        </w:rPr>
        <w:t xml:space="preserve">. Le contexte congolais illustre parfaitement cette tension entre la reconnaissance de l’importance de l’éducation à la santé et la faiblesse des moyens mis en œuvre pour la soutenir. Dans ce contexte, une question centrale émerge : comment renforcer la professionnalisation des enseignants pour qu’ils deviennent des acteurs compétents et engagés de l’éducation à la santé en milieu scolaire, dans un système éducatif encore marqué par des insuffisances structurelles et pédagogiques ? Autrement dit, quels sont les leviers à activer – en termes de formation, d’accompagnement, de ressources et de reconnaissance institutionnelle – pour que l’éducation à la santé ne soit plus une mission secondaire, mais une composante intégrée, cohérente et efficace du projet éducatif congolais ? </w:t>
      </w:r>
    </w:p>
    <w:p w14:paraId="739A842A" w14:textId="77777777" w:rsidR="00D80693" w:rsidRPr="005E0F7E" w:rsidRDefault="00D80693" w:rsidP="00012C2D">
      <w:pPr>
        <w:spacing w:before="120"/>
        <w:jc w:val="both"/>
        <w:rPr>
          <w:color w:val="000000"/>
          <w:w w:val="90"/>
          <w:sz w:val="24"/>
          <w:szCs w:val="24"/>
        </w:rPr>
      </w:pPr>
      <w:r>
        <w:rPr>
          <w:color w:val="000000"/>
          <w:w w:val="90"/>
          <w:sz w:val="24"/>
          <w:szCs w:val="24"/>
        </w:rPr>
        <w:t>L’objectif de cette étude est</w:t>
      </w:r>
      <w:r w:rsidRPr="005E0F7E">
        <w:rPr>
          <w:color w:val="000000"/>
          <w:w w:val="90"/>
          <w:sz w:val="24"/>
          <w:szCs w:val="24"/>
        </w:rPr>
        <w:t xml:space="preserve"> d’analyser les compétences spécifiques requises pour enseigner la santé à l’école, d’identifier les obstacles et besoins exprimés par les enseignants congolais dans ce domaine et proposer des pistes concrètes pour une professionnalisation effective, contextualisée et durable de l’éducation à la santé à l’école. </w:t>
      </w:r>
      <w:r>
        <w:rPr>
          <w:color w:val="000000"/>
          <w:w w:val="90"/>
          <w:sz w:val="24"/>
          <w:szCs w:val="24"/>
        </w:rPr>
        <w:t>Ainsi, cette étude</w:t>
      </w:r>
      <w:r w:rsidRPr="005E0F7E">
        <w:rPr>
          <w:color w:val="000000"/>
          <w:w w:val="90"/>
          <w:sz w:val="24"/>
          <w:szCs w:val="24"/>
        </w:rPr>
        <w:t xml:space="preserve"> </w:t>
      </w:r>
      <w:r w:rsidRPr="00B328FE">
        <w:rPr>
          <w:color w:val="000000"/>
          <w:w w:val="90"/>
          <w:sz w:val="24"/>
          <w:szCs w:val="24"/>
        </w:rPr>
        <w:t>vise</w:t>
      </w:r>
      <w:r w:rsidRPr="005E0F7E">
        <w:rPr>
          <w:color w:val="000000"/>
          <w:w w:val="90"/>
          <w:sz w:val="24"/>
          <w:szCs w:val="24"/>
        </w:rPr>
        <w:t xml:space="preserve"> à éclairer les politiques éducatives et de santé publique, en fournissant des données empiriques utiles à l’élaboration de programmes de formation, d’outils pédagogiques et de dispositifs d’accompagnement adaptés aux réalités locales.</w:t>
      </w:r>
    </w:p>
    <w:p w14:paraId="09CD2EAE" w14:textId="78360E6F" w:rsidR="00D80693" w:rsidRPr="00012C2D" w:rsidRDefault="00D80693" w:rsidP="00012C2D">
      <w:pPr>
        <w:pStyle w:val="Paragraphedeliste"/>
        <w:numPr>
          <w:ilvl w:val="1"/>
          <w:numId w:val="162"/>
        </w:numPr>
        <w:rPr>
          <w:color w:val="000000"/>
          <w:w w:val="90"/>
          <w:sz w:val="24"/>
          <w:szCs w:val="24"/>
        </w:rPr>
      </w:pPr>
      <w:r w:rsidRPr="00012C2D">
        <w:rPr>
          <w:b/>
          <w:bCs/>
          <w:color w:val="000000"/>
          <w:w w:val="90"/>
          <w:sz w:val="24"/>
          <w:szCs w:val="24"/>
        </w:rPr>
        <w:t>Méthodologie</w:t>
      </w:r>
    </w:p>
    <w:p w14:paraId="1F848096" w14:textId="77777777" w:rsidR="00D80693" w:rsidRPr="00BD70B6" w:rsidRDefault="00D80693" w:rsidP="00012C2D">
      <w:pPr>
        <w:spacing w:before="120"/>
        <w:jc w:val="both"/>
        <w:rPr>
          <w:color w:val="000000"/>
          <w:w w:val="90"/>
          <w:sz w:val="24"/>
          <w:szCs w:val="24"/>
        </w:rPr>
      </w:pPr>
      <w:r w:rsidRPr="00BD70B6">
        <w:rPr>
          <w:color w:val="000000"/>
          <w:w w:val="90"/>
          <w:sz w:val="24"/>
          <w:szCs w:val="24"/>
        </w:rPr>
        <w:t>Afin de mieux comprendre les représentations, les besoins et les obstacles rencontrés par les enseignants dans la mise en œuvre de l’éducation à la santé en milieu scolaire, cette recherche a adopté une approche qualitative, centrée sur la parole des acteurs de terrain. Nous avons privilégié la méthode des focus groupes, qui permet de faire émerger une intelligence collective, de confronter les points de vue et de révéler les dynamiques professionnelles à l’œuvre.</w:t>
      </w:r>
      <w:r>
        <w:rPr>
          <w:color w:val="000000"/>
          <w:w w:val="90"/>
          <w:sz w:val="24"/>
          <w:szCs w:val="24"/>
        </w:rPr>
        <w:t xml:space="preserve"> </w:t>
      </w:r>
      <w:r w:rsidRPr="001B4A1C">
        <w:rPr>
          <w:color w:val="000000"/>
          <w:w w:val="90"/>
          <w:sz w:val="24"/>
          <w:szCs w:val="24"/>
        </w:rPr>
        <w:t>Bien que l’ensemble des focus groupes se soit tenu à Brazzaville, les participants représentaient diverses localités du pays et étaient présents dans la capitale au moment des entretiens. Au total, trois focus groupes ont été organisés entre février et mars 2025. Ils rassemblaient des acteurs du système éducatif provenant de trois zones géographiques distinctes : une zone urbaine (Brazzaville), une zone semi-urbaine (</w:t>
      </w:r>
      <w:proofErr w:type="spellStart"/>
      <w:r w:rsidRPr="001B4A1C">
        <w:rPr>
          <w:color w:val="000000"/>
          <w:w w:val="90"/>
          <w:sz w:val="24"/>
          <w:szCs w:val="24"/>
        </w:rPr>
        <w:t>Dolisie</w:t>
      </w:r>
      <w:proofErr w:type="spellEnd"/>
      <w:r w:rsidRPr="001B4A1C">
        <w:rPr>
          <w:color w:val="000000"/>
          <w:w w:val="90"/>
          <w:sz w:val="24"/>
          <w:szCs w:val="24"/>
        </w:rPr>
        <w:t>, Oyo) et une zone rura</w:t>
      </w:r>
      <w:r>
        <w:rPr>
          <w:color w:val="000000"/>
          <w:w w:val="90"/>
          <w:sz w:val="24"/>
          <w:szCs w:val="24"/>
        </w:rPr>
        <w:t xml:space="preserve">le (Madingou, </w:t>
      </w:r>
      <w:proofErr w:type="spellStart"/>
      <w:r>
        <w:rPr>
          <w:color w:val="000000"/>
          <w:w w:val="90"/>
          <w:sz w:val="24"/>
          <w:szCs w:val="24"/>
        </w:rPr>
        <w:t>Kingoué</w:t>
      </w:r>
      <w:proofErr w:type="spellEnd"/>
      <w:r>
        <w:rPr>
          <w:color w:val="000000"/>
          <w:w w:val="90"/>
          <w:sz w:val="24"/>
          <w:szCs w:val="24"/>
        </w:rPr>
        <w:t xml:space="preserve">, </w:t>
      </w:r>
      <w:proofErr w:type="spellStart"/>
      <w:r>
        <w:rPr>
          <w:color w:val="000000"/>
          <w:w w:val="90"/>
          <w:sz w:val="24"/>
          <w:szCs w:val="24"/>
        </w:rPr>
        <w:t>Ngabé</w:t>
      </w:r>
      <w:proofErr w:type="spellEnd"/>
      <w:r>
        <w:rPr>
          <w:color w:val="000000"/>
          <w:w w:val="90"/>
          <w:sz w:val="24"/>
          <w:szCs w:val="24"/>
        </w:rPr>
        <w:t xml:space="preserve">).  </w:t>
      </w:r>
      <w:r w:rsidRPr="00BD70B6">
        <w:rPr>
          <w:color w:val="000000"/>
          <w:w w:val="90"/>
          <w:sz w:val="24"/>
          <w:szCs w:val="24"/>
        </w:rPr>
        <w:t>Ce choix de diversité territoriale visait à saisir les spécificités locales et à refléter la pluralité des contextes éducatifs dans lesquels évoluent les enseignants.</w:t>
      </w:r>
    </w:p>
    <w:p w14:paraId="3945B6E3" w14:textId="77777777" w:rsidR="00D80693" w:rsidRPr="00BD70B6" w:rsidRDefault="00D80693" w:rsidP="00012C2D">
      <w:pPr>
        <w:spacing w:before="120"/>
        <w:jc w:val="both"/>
        <w:rPr>
          <w:color w:val="000000"/>
          <w:w w:val="90"/>
          <w:sz w:val="24"/>
          <w:szCs w:val="24"/>
        </w:rPr>
      </w:pPr>
      <w:r w:rsidRPr="00BD70B6">
        <w:rPr>
          <w:color w:val="000000"/>
          <w:w w:val="90"/>
          <w:sz w:val="24"/>
          <w:szCs w:val="24"/>
        </w:rPr>
        <w:t xml:space="preserve">Chaque focus groupe a réuni </w:t>
      </w:r>
      <w:r w:rsidRPr="00066E8B">
        <w:rPr>
          <w:color w:val="000000"/>
          <w:w w:val="90"/>
          <w:sz w:val="24"/>
          <w:szCs w:val="24"/>
        </w:rPr>
        <w:t>6</w:t>
      </w:r>
      <w:r w:rsidRPr="00BD70B6">
        <w:rPr>
          <w:color w:val="000000"/>
          <w:w w:val="90"/>
          <w:sz w:val="24"/>
          <w:szCs w:val="24"/>
        </w:rPr>
        <w:t xml:space="preserve"> participants, sélectionnés selon les critères suivants : être enseignant ou personnel éducatif en exercice dans une école primaire ou collège public, avoir une expérience d’au moins deux ans, et avoir été confronté à l’enseignement de notions liées à la santé (histoire naturelle du corps humain, hygiène, sexualité, nutrition, prévention du VIH/SIDA). L’échantillonnage a été raisonné</w:t>
      </w:r>
      <w:r w:rsidRPr="001B4A1C">
        <w:rPr>
          <w:color w:val="000000"/>
          <w:w w:val="90"/>
          <w:sz w:val="24"/>
          <w:szCs w:val="24"/>
        </w:rPr>
        <w:t>,</w:t>
      </w:r>
      <w:r w:rsidRPr="00BD70B6">
        <w:rPr>
          <w:color w:val="000000"/>
          <w:w w:val="90"/>
          <w:sz w:val="24"/>
          <w:szCs w:val="24"/>
        </w:rPr>
        <w:t xml:space="preserve"> afin d'assurer une diversité de profils (ancienneté, sexe, zone d’exercice).</w:t>
      </w:r>
      <w:r>
        <w:rPr>
          <w:color w:val="000000"/>
          <w:w w:val="90"/>
          <w:sz w:val="24"/>
          <w:szCs w:val="24"/>
        </w:rPr>
        <w:t xml:space="preserve"> </w:t>
      </w:r>
      <w:r w:rsidRPr="00BD70B6">
        <w:rPr>
          <w:color w:val="000000"/>
          <w:w w:val="90"/>
          <w:sz w:val="24"/>
          <w:szCs w:val="24"/>
        </w:rPr>
        <w:t>Les discussions, d’une durée moyenne de 9</w:t>
      </w:r>
      <w:r>
        <w:rPr>
          <w:color w:val="000000"/>
          <w:w w:val="90"/>
          <w:sz w:val="24"/>
          <w:szCs w:val="24"/>
        </w:rPr>
        <w:t xml:space="preserve">0 minutes, ont été modérées par </w:t>
      </w:r>
      <w:r w:rsidRPr="001B4A1C">
        <w:rPr>
          <w:color w:val="000000"/>
          <w:w w:val="90"/>
          <w:sz w:val="24"/>
          <w:szCs w:val="24"/>
        </w:rPr>
        <w:t>le</w:t>
      </w:r>
      <w:r w:rsidRPr="00BD70B6">
        <w:rPr>
          <w:color w:val="000000"/>
          <w:w w:val="90"/>
          <w:sz w:val="24"/>
          <w:szCs w:val="24"/>
        </w:rPr>
        <w:t xml:space="preserve"> chercheur principal</w:t>
      </w:r>
      <w:r>
        <w:rPr>
          <w:color w:val="000000"/>
          <w:w w:val="90"/>
          <w:sz w:val="24"/>
          <w:szCs w:val="24"/>
        </w:rPr>
        <w:t>,</w:t>
      </w:r>
      <w:r w:rsidRPr="00BD70B6">
        <w:rPr>
          <w:color w:val="000000"/>
          <w:w w:val="90"/>
          <w:sz w:val="24"/>
          <w:szCs w:val="24"/>
        </w:rPr>
        <w:t xml:space="preserve"> accompagné d’un assistant </w:t>
      </w:r>
      <w:r w:rsidRPr="001B4A1C">
        <w:rPr>
          <w:color w:val="000000"/>
          <w:w w:val="90"/>
          <w:sz w:val="24"/>
          <w:szCs w:val="24"/>
        </w:rPr>
        <w:t>de</w:t>
      </w:r>
      <w:r>
        <w:rPr>
          <w:color w:val="000000"/>
          <w:w w:val="90"/>
          <w:sz w:val="24"/>
          <w:szCs w:val="24"/>
        </w:rPr>
        <w:t xml:space="preserve"> </w:t>
      </w:r>
      <w:r w:rsidRPr="00BD70B6">
        <w:rPr>
          <w:color w:val="000000"/>
          <w:w w:val="90"/>
          <w:sz w:val="24"/>
          <w:szCs w:val="24"/>
        </w:rPr>
        <w:t>la prise de notes. Une grille d’animation semi-directive a été conçue autour de thématiques clés : perceptions de l’éducation à la santé, expériences vécues, freins rencontrés, stratégies individuelles développées, besoins en formation et en accompagnement, suggestions pour une meilleure intégration de la santé dans les pratiques pédagogiques.</w:t>
      </w:r>
      <w:r>
        <w:rPr>
          <w:color w:val="000000"/>
          <w:w w:val="90"/>
          <w:sz w:val="24"/>
          <w:szCs w:val="24"/>
        </w:rPr>
        <w:t xml:space="preserve"> </w:t>
      </w:r>
      <w:r w:rsidRPr="00BD70B6">
        <w:rPr>
          <w:color w:val="000000"/>
          <w:w w:val="90"/>
          <w:sz w:val="24"/>
          <w:szCs w:val="24"/>
        </w:rPr>
        <w:t>Toutes les séances ont été enregistrées</w:t>
      </w:r>
      <w:r>
        <w:rPr>
          <w:color w:val="000000"/>
          <w:w w:val="90"/>
          <w:sz w:val="24"/>
          <w:szCs w:val="24"/>
        </w:rPr>
        <w:t>, a</w:t>
      </w:r>
      <w:r w:rsidRPr="00BD70B6">
        <w:rPr>
          <w:color w:val="000000"/>
          <w:w w:val="90"/>
          <w:sz w:val="24"/>
          <w:szCs w:val="24"/>
        </w:rPr>
        <w:t>vec le consen</w:t>
      </w:r>
      <w:r>
        <w:rPr>
          <w:color w:val="000000"/>
          <w:w w:val="90"/>
          <w:sz w:val="24"/>
          <w:szCs w:val="24"/>
        </w:rPr>
        <w:t>tement éclairé des participants</w:t>
      </w:r>
      <w:r w:rsidRPr="00BD70B6">
        <w:rPr>
          <w:color w:val="000000"/>
          <w:w w:val="90"/>
          <w:sz w:val="24"/>
          <w:szCs w:val="24"/>
        </w:rPr>
        <w:t>, puis intégralement transcrites. L’analyse des données s’est appuyée sur une analyse thématique inductive, selon l’approche de Braun &amp; Clarke (2006)</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{"citationID":"7RYxPDyN","properties":{"formattedCitation":"(11)","plainCitation":"(11)","noteIndex":0},"citationItems":[{"id":2609,"uris":["http://zotero.org/users/local/417IawLi/items/QETFWMXU"],"itemData":{"id":2609,"type":"article-journal","container-title":"Qualitative Research in Psychology","DOI":"10.1191/1478088706qp063oa","ISSN":"1478-0887, 1478-0895","issue":"2","journalAbbreviation":"Qualitative Research in Psychology","language":"en","page":"77-101","source":"DOI.org (Crossref)","title":"Using thematic analysis in psychology","volume":"3","author":[{"family":"Braun","given":"Virginia"},{"family":"Clarke","given":"Victoria"}],"issued":{"date-parts":[["2006",1]]}}}],"schema":"https://github.com/citation-style-language/schema/raw/master/csl-citation.json"} </w:instrText>
      </w:r>
      <w:r>
        <w:rPr>
          <w:color w:val="000000"/>
          <w:w w:val="90"/>
          <w:sz w:val="24"/>
          <w:szCs w:val="24"/>
        </w:rPr>
        <w:fldChar w:fldCharType="separate"/>
      </w:r>
      <w:r w:rsidRPr="00DC0E41">
        <w:rPr>
          <w:rFonts w:eastAsia="DengXian"/>
          <w:sz w:val="24"/>
          <w:szCs w:val="21"/>
        </w:rPr>
        <w:t>(11)</w:t>
      </w:r>
      <w:r>
        <w:rPr>
          <w:color w:val="000000"/>
          <w:w w:val="90"/>
          <w:sz w:val="24"/>
          <w:szCs w:val="24"/>
        </w:rPr>
        <w:fldChar w:fldCharType="end"/>
      </w:r>
      <w:r w:rsidRPr="00BD70B6">
        <w:rPr>
          <w:color w:val="000000"/>
          <w:w w:val="90"/>
          <w:sz w:val="24"/>
          <w:szCs w:val="24"/>
        </w:rPr>
        <w:t>. Après plusieurs lectures croisées, les verbatims ont été codés manuellement puis regroupés en catégories émergentes, en tenant compte des récurrences, des oppositions et des nuances. Ce processus a permis de faire apparaître des dimensions inattendues, notamment liées aux tabous culturels et à l’absence de légitimité perçue des enseignants sur les sujets sensibles.</w:t>
      </w:r>
      <w:r>
        <w:rPr>
          <w:color w:val="000000"/>
          <w:w w:val="90"/>
          <w:sz w:val="24"/>
          <w:szCs w:val="24"/>
        </w:rPr>
        <w:t xml:space="preserve"> </w:t>
      </w:r>
      <w:r w:rsidRPr="00BD70B6">
        <w:rPr>
          <w:color w:val="000000"/>
          <w:w w:val="90"/>
          <w:sz w:val="24"/>
          <w:szCs w:val="24"/>
        </w:rPr>
        <w:t>Cette méthodologie participative et ancrée dans le réel a ainsi permis de donner la parole à ceux qui, quotidiennement, sont en première ligne face aux défis de l’éducation à la santé. Elle vise à produire une connaissance utile, située et mobilisable, au service de la transformation des pratiques et des politiques éducatives.</w:t>
      </w:r>
    </w:p>
    <w:p w14:paraId="4285E560" w14:textId="728FEEC3" w:rsidR="00D80693" w:rsidRPr="00012C2D" w:rsidRDefault="00D80693" w:rsidP="00012C2D">
      <w:pPr>
        <w:pStyle w:val="Paragraphedeliste"/>
        <w:numPr>
          <w:ilvl w:val="1"/>
          <w:numId w:val="162"/>
        </w:numPr>
        <w:rPr>
          <w:b/>
          <w:color w:val="000000"/>
          <w:w w:val="90"/>
          <w:sz w:val="24"/>
          <w:szCs w:val="24"/>
        </w:rPr>
      </w:pPr>
      <w:r w:rsidRPr="00012C2D">
        <w:rPr>
          <w:b/>
          <w:color w:val="000000"/>
          <w:w w:val="90"/>
          <w:sz w:val="24"/>
          <w:szCs w:val="24"/>
        </w:rPr>
        <w:t xml:space="preserve">Résultats </w:t>
      </w:r>
    </w:p>
    <w:p w14:paraId="30EF800F" w14:textId="77777777" w:rsidR="00012C2D" w:rsidRDefault="00D80693" w:rsidP="00012C2D">
      <w:pPr>
        <w:spacing w:before="120"/>
        <w:jc w:val="both"/>
        <w:rPr>
          <w:color w:val="000000"/>
          <w:w w:val="90"/>
          <w:sz w:val="24"/>
          <w:szCs w:val="24"/>
        </w:rPr>
      </w:pPr>
      <w:r w:rsidRPr="00D512E7">
        <w:rPr>
          <w:color w:val="000000"/>
          <w:w w:val="90"/>
          <w:sz w:val="24"/>
          <w:szCs w:val="24"/>
        </w:rPr>
        <w:t>La Figure 1 synthétise visuellement les principaux obstacles identifiés lors d</w:t>
      </w:r>
      <w:r>
        <w:rPr>
          <w:color w:val="000000"/>
          <w:w w:val="90"/>
          <w:sz w:val="24"/>
          <w:szCs w:val="24"/>
        </w:rPr>
        <w:t>es</w:t>
      </w:r>
      <w:r w:rsidRPr="00D512E7">
        <w:rPr>
          <w:color w:val="000000"/>
          <w:w w:val="90"/>
          <w:sz w:val="24"/>
          <w:szCs w:val="24"/>
        </w:rPr>
        <w:t xml:space="preserve"> focus groupe</w:t>
      </w:r>
      <w:r>
        <w:rPr>
          <w:color w:val="000000"/>
          <w:w w:val="90"/>
          <w:sz w:val="24"/>
          <w:szCs w:val="24"/>
        </w:rPr>
        <w:t>s</w:t>
      </w:r>
      <w:r w:rsidRPr="00D512E7">
        <w:rPr>
          <w:color w:val="000000"/>
          <w:w w:val="90"/>
          <w:sz w:val="24"/>
          <w:szCs w:val="24"/>
        </w:rPr>
        <w:t xml:space="preserve"> portant sur l’éducation à la santé en milieu scolaire au Congo. Placée au centre du schéma, </w:t>
      </w:r>
      <w:r w:rsidRPr="009826B8">
        <w:rPr>
          <w:bCs/>
          <w:color w:val="000000"/>
          <w:w w:val="90"/>
          <w:sz w:val="24"/>
          <w:szCs w:val="24"/>
        </w:rPr>
        <w:t>la professionnalisation insuffisante des enseignants</w:t>
      </w:r>
      <w:r w:rsidRPr="00D512E7">
        <w:rPr>
          <w:color w:val="000000"/>
          <w:w w:val="90"/>
          <w:sz w:val="24"/>
          <w:szCs w:val="24"/>
        </w:rPr>
        <w:t xml:space="preserve"> apparaît comme le nœud central des dysfonctionnements, autour duquel gravitent sept défis majeurs, chacun </w:t>
      </w:r>
      <w:r w:rsidRPr="00B328FE">
        <w:rPr>
          <w:color w:val="000000"/>
          <w:w w:val="90"/>
          <w:sz w:val="24"/>
          <w:szCs w:val="24"/>
        </w:rPr>
        <w:t>étant</w:t>
      </w:r>
      <w:r>
        <w:rPr>
          <w:color w:val="000000"/>
          <w:w w:val="90"/>
          <w:sz w:val="24"/>
          <w:szCs w:val="24"/>
        </w:rPr>
        <w:t xml:space="preserve"> </w:t>
      </w:r>
      <w:r w:rsidRPr="00D512E7">
        <w:rPr>
          <w:color w:val="000000"/>
          <w:w w:val="90"/>
          <w:sz w:val="24"/>
          <w:szCs w:val="24"/>
        </w:rPr>
        <w:t>interrelié.</w:t>
      </w:r>
      <w:r>
        <w:rPr>
          <w:color w:val="000000"/>
          <w:w w:val="90"/>
          <w:sz w:val="24"/>
          <w:szCs w:val="24"/>
        </w:rPr>
        <w:t xml:space="preserve"> </w:t>
      </w:r>
      <w:r w:rsidRPr="00D512E7">
        <w:rPr>
          <w:color w:val="000000"/>
          <w:w w:val="90"/>
          <w:sz w:val="24"/>
          <w:szCs w:val="24"/>
        </w:rPr>
        <w:t xml:space="preserve">Ce manque </w:t>
      </w:r>
      <w:r>
        <w:rPr>
          <w:color w:val="000000"/>
          <w:w w:val="90"/>
          <w:sz w:val="24"/>
          <w:szCs w:val="24"/>
        </w:rPr>
        <w:t xml:space="preserve">de formation spécifique </w:t>
      </w:r>
      <w:r w:rsidRPr="00D512E7">
        <w:rPr>
          <w:color w:val="000000"/>
          <w:w w:val="90"/>
          <w:sz w:val="24"/>
          <w:szCs w:val="24"/>
        </w:rPr>
        <w:t>constitue le fondement des difficultés rencontrées. Sans formation initiale ou continue, les enseignants manquent d’outils, de connaissances scientifiques et de compétences pédagogiques pour aborder efficacement les enjeux de santé.</w:t>
      </w:r>
      <w:r>
        <w:rPr>
          <w:color w:val="000000"/>
          <w:w w:val="90"/>
          <w:sz w:val="24"/>
          <w:szCs w:val="24"/>
        </w:rPr>
        <w:t xml:space="preserve"> </w:t>
      </w:r>
      <w:r w:rsidRPr="00D512E7">
        <w:rPr>
          <w:color w:val="000000"/>
          <w:w w:val="90"/>
          <w:sz w:val="24"/>
          <w:szCs w:val="24"/>
        </w:rPr>
        <w:t>L’absence de matériel actualisé, adapté aux réalités locales et accessible aux enseignants, freine l’utilisation de méthodes actives d’enseignement.</w:t>
      </w:r>
      <w:r>
        <w:rPr>
          <w:color w:val="000000"/>
          <w:w w:val="90"/>
          <w:sz w:val="24"/>
          <w:szCs w:val="24"/>
        </w:rPr>
        <w:t xml:space="preserve"> </w:t>
      </w:r>
      <w:r w:rsidRPr="00D512E7">
        <w:rPr>
          <w:color w:val="000000"/>
          <w:w w:val="90"/>
          <w:sz w:val="24"/>
          <w:szCs w:val="24"/>
        </w:rPr>
        <w:t>Les enseignants doivent souvent composer avec des tabous culturels, des résistances sociales et des contextes communautaires complexes qui rendent certains sujets délicats à aborde</w:t>
      </w:r>
      <w:r>
        <w:rPr>
          <w:color w:val="000000"/>
          <w:w w:val="90"/>
          <w:sz w:val="24"/>
          <w:szCs w:val="24"/>
        </w:rPr>
        <w:t>r (sexualité, hygiène, VIH</w:t>
      </w:r>
      <w:r w:rsidRPr="00D512E7">
        <w:rPr>
          <w:color w:val="000000"/>
          <w:w w:val="90"/>
          <w:sz w:val="24"/>
          <w:szCs w:val="24"/>
        </w:rPr>
        <w:t>).</w:t>
      </w:r>
    </w:p>
    <w:p w14:paraId="68181D1C" w14:textId="77777777" w:rsidR="00012C2D" w:rsidRDefault="00D80693" w:rsidP="00012C2D">
      <w:pPr>
        <w:spacing w:before="120"/>
        <w:jc w:val="both"/>
        <w:rPr>
          <w:bCs/>
          <w:color w:val="000000"/>
          <w:w w:val="90"/>
          <w:sz w:val="24"/>
          <w:szCs w:val="24"/>
          <w:lang w:eastAsia="fr-FR"/>
        </w:rPr>
      </w:pPr>
      <w:r>
        <w:rPr>
          <w:color w:val="000000"/>
          <w:w w:val="90"/>
          <w:sz w:val="24"/>
          <w:szCs w:val="24"/>
        </w:rPr>
        <w:t xml:space="preserve"> </w:t>
      </w:r>
      <w:r w:rsidRPr="00D512E7">
        <w:rPr>
          <w:color w:val="000000"/>
          <w:w w:val="90"/>
          <w:sz w:val="24"/>
          <w:szCs w:val="24"/>
        </w:rPr>
        <w:t>L’éducation à la santé est rarement formalisée dans les curricula officiels. Elle reste périphérique, ce qui affaiblit son impact pédagogique et institutionnel.</w:t>
      </w:r>
      <w:r>
        <w:rPr>
          <w:color w:val="000000"/>
          <w:w w:val="90"/>
          <w:sz w:val="24"/>
          <w:szCs w:val="24"/>
        </w:rPr>
        <w:t xml:space="preserve"> </w:t>
      </w:r>
      <w:r w:rsidRPr="00D512E7">
        <w:rPr>
          <w:color w:val="000000"/>
          <w:w w:val="90"/>
          <w:sz w:val="24"/>
          <w:szCs w:val="24"/>
        </w:rPr>
        <w:t xml:space="preserve">L’absence de dispositifs de suivi des pratiques éducatives et d’indicateurs de résultats empêche d’évaluer l’impact réel des actions </w:t>
      </w:r>
      <w:r w:rsidRPr="00ED46B1">
        <w:rPr>
          <w:bCs/>
          <w:color w:val="000000"/>
          <w:w w:val="90"/>
          <w:sz w:val="24"/>
          <w:szCs w:val="24"/>
          <w:lang w:eastAsia="fr-FR"/>
        </w:rPr>
        <w:t xml:space="preserve">menées et de renforcer les bonnes pratiques. Le manque d’implication des parents dans l’éducation à la santé en milieu scolaire limite la cohérence entre les messages transmis à l’école et ceux reçus à la maison. L’éducation à la santé est perçue comme une mission secondaire, peu valorisée au sein de l’institution scolaire, ce qui démotive les enseignants et limite les ressources qui y sont allouées. </w:t>
      </w:r>
    </w:p>
    <w:p w14:paraId="25BD7595" w14:textId="6F108701" w:rsidR="00D80693" w:rsidRDefault="00D80693" w:rsidP="00012C2D">
      <w:pPr>
        <w:spacing w:before="120"/>
        <w:jc w:val="both"/>
        <w:rPr>
          <w:bCs/>
          <w:color w:val="000000"/>
          <w:w w:val="90"/>
          <w:sz w:val="24"/>
          <w:szCs w:val="24"/>
          <w:lang w:eastAsia="fr-FR"/>
        </w:rPr>
      </w:pPr>
      <w:r w:rsidRPr="00ED46B1">
        <w:rPr>
          <w:bCs/>
          <w:color w:val="000000"/>
          <w:w w:val="90"/>
          <w:sz w:val="24"/>
          <w:szCs w:val="24"/>
          <w:lang w:eastAsia="fr-FR"/>
        </w:rPr>
        <w:t xml:space="preserve">Cette image démontre que les obstacles à une éducation à la santé efficace sont multiples, systémiques et interconnectés. </w:t>
      </w:r>
      <w:r w:rsidRPr="00D512E7">
        <w:rPr>
          <w:bCs/>
          <w:color w:val="000000"/>
          <w:w w:val="90"/>
          <w:sz w:val="24"/>
          <w:szCs w:val="24"/>
          <w:lang w:eastAsia="fr-FR"/>
        </w:rPr>
        <w:t>La professionnalisation des enseignants n’est pas seulement un enjeu individuel, mais le reflet d’un système éducatif qui ne reconnaît pas pleinement la place de la santé dans les apprentissages</w:t>
      </w:r>
      <w:r w:rsidRPr="007010CE">
        <w:rPr>
          <w:bCs/>
          <w:color w:val="000000"/>
          <w:w w:val="90"/>
          <w:sz w:val="24"/>
          <w:szCs w:val="24"/>
          <w:lang w:eastAsia="fr-FR"/>
        </w:rPr>
        <w:t>.</w:t>
      </w:r>
      <w:r w:rsidRPr="00ED46B1">
        <w:rPr>
          <w:bCs/>
          <w:color w:val="000000"/>
          <w:w w:val="90"/>
          <w:sz w:val="24"/>
          <w:szCs w:val="24"/>
          <w:lang w:eastAsia="fr-FR"/>
        </w:rPr>
        <w:t xml:space="preserve"> Chaque segment de la roue pointe vers un domaine d’intervention prioritaire, appelant à une réponse intégrée et multisectorielle.</w:t>
      </w:r>
      <w:r>
        <w:rPr>
          <w:bCs/>
          <w:color w:val="000000"/>
          <w:w w:val="90"/>
          <w:sz w:val="24"/>
          <w:szCs w:val="24"/>
          <w:lang w:eastAsia="fr-FR"/>
        </w:rPr>
        <w:t xml:space="preserve"> </w:t>
      </w:r>
      <w:r w:rsidRPr="00ED46B1">
        <w:rPr>
          <w:bCs/>
          <w:color w:val="000000"/>
          <w:w w:val="90"/>
          <w:sz w:val="24"/>
          <w:szCs w:val="24"/>
          <w:lang w:eastAsia="fr-FR"/>
        </w:rPr>
        <w:t>L’analyse du focus groupe a permis de dégager des défis majeurs à la professionnalisation de l’éducation</w:t>
      </w:r>
      <w:r>
        <w:rPr>
          <w:bCs/>
          <w:color w:val="000000"/>
          <w:w w:val="90"/>
          <w:sz w:val="24"/>
          <w:szCs w:val="24"/>
          <w:lang w:eastAsia="fr-FR"/>
        </w:rPr>
        <w:t xml:space="preserve"> à la santé en milieu scolaire en République d</w:t>
      </w:r>
      <w:r w:rsidRPr="00ED46B1">
        <w:rPr>
          <w:bCs/>
          <w:color w:val="000000"/>
          <w:w w:val="90"/>
          <w:sz w:val="24"/>
          <w:szCs w:val="24"/>
          <w:lang w:eastAsia="fr-FR"/>
        </w:rPr>
        <w:t>u Congo.</w:t>
      </w:r>
      <w:r>
        <w:rPr>
          <w:bCs/>
          <w:color w:val="000000"/>
          <w:w w:val="90"/>
          <w:sz w:val="24"/>
          <w:szCs w:val="24"/>
          <w:lang w:eastAsia="fr-FR"/>
        </w:rPr>
        <w:t xml:space="preserve"> </w:t>
      </w:r>
    </w:p>
    <w:p w14:paraId="7054A992" w14:textId="12248AB6" w:rsidR="00D80693" w:rsidRPr="00E67C4D" w:rsidRDefault="00D80693" w:rsidP="00012C2D">
      <w:pPr>
        <w:spacing w:before="120"/>
        <w:jc w:val="both"/>
        <w:rPr>
          <w:bCs/>
          <w:color w:val="000000"/>
          <w:w w:val="90"/>
          <w:sz w:val="24"/>
          <w:szCs w:val="24"/>
          <w:lang w:eastAsia="fr-FR"/>
        </w:rPr>
      </w:pPr>
      <w:r w:rsidRPr="00E67C4D">
        <w:rPr>
          <w:bCs/>
          <w:color w:val="000000"/>
          <w:w w:val="90"/>
          <w:sz w:val="24"/>
          <w:szCs w:val="24"/>
          <w:lang w:eastAsia="fr-FR"/>
        </w:rPr>
        <w:t xml:space="preserve">Pour illustrer la réalité de ces obstacles et donner une voix aux acteurs de terrain, les verbatims suivants, recueillis lors des groupes de discussion, témoignent directement des défis majeurs rencontrés par les différents acteurs du système </w:t>
      </w:r>
      <w:proofErr w:type="gramStart"/>
      <w:r w:rsidRPr="00E67C4D">
        <w:rPr>
          <w:bCs/>
          <w:color w:val="000000"/>
          <w:w w:val="90"/>
          <w:sz w:val="24"/>
          <w:szCs w:val="24"/>
          <w:lang w:eastAsia="fr-FR"/>
        </w:rPr>
        <w:t>éducatif.</w:t>
      </w:r>
      <w:r w:rsidR="000C3C8C">
        <w:rPr>
          <w:bCs/>
          <w:color w:val="000000"/>
          <w:w w:val="90"/>
          <w:sz w:val="24"/>
          <w:szCs w:val="24"/>
          <w:lang w:eastAsia="fr-FR"/>
        </w:rPr>
        <w:t>.</w:t>
      </w:r>
      <w:proofErr w:type="gramEnd"/>
    </w:p>
    <w:p w14:paraId="7AFA3B13"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xml:space="preserve"> « On nous demande de faire de l’éducation à la santé, mais on n’a jamais été formés pour ça. On fait comme on peut, avec nos propres connaissances, mais on se sent souvent dépassés. » (</w:t>
      </w:r>
      <w:r>
        <w:rPr>
          <w:bCs/>
          <w:i/>
          <w:color w:val="000000"/>
          <w:w w:val="90"/>
          <w:sz w:val="24"/>
          <w:szCs w:val="24"/>
          <w:lang w:eastAsia="fr-FR"/>
        </w:rPr>
        <w:t xml:space="preserve">E3, Masculin, 32 ans, 8 ans d’ancienneté, </w:t>
      </w:r>
      <w:r w:rsidRPr="00ED46B1">
        <w:rPr>
          <w:bCs/>
          <w:i/>
          <w:color w:val="000000"/>
          <w:w w:val="90"/>
          <w:sz w:val="24"/>
          <w:szCs w:val="24"/>
          <w:lang w:eastAsia="fr-FR"/>
        </w:rPr>
        <w:t xml:space="preserve">Enseignant de français, </w:t>
      </w:r>
      <w:proofErr w:type="spellStart"/>
      <w:r w:rsidRPr="00ED46B1">
        <w:rPr>
          <w:bCs/>
          <w:i/>
          <w:color w:val="000000"/>
          <w:w w:val="90"/>
          <w:sz w:val="24"/>
          <w:szCs w:val="24"/>
          <w:lang w:eastAsia="fr-FR"/>
        </w:rPr>
        <w:t>Dolisie</w:t>
      </w:r>
      <w:proofErr w:type="spellEnd"/>
      <w:r w:rsidRPr="00ED46B1">
        <w:rPr>
          <w:bCs/>
          <w:i/>
          <w:color w:val="000000"/>
          <w:w w:val="90"/>
          <w:sz w:val="24"/>
          <w:szCs w:val="24"/>
          <w:lang w:eastAsia="fr-FR"/>
        </w:rPr>
        <w:t>).</w:t>
      </w:r>
    </w:p>
    <w:p w14:paraId="6CB93D9D"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Les manuels scolaires sont souvent obsolètes et ne traitent pas les problèmes de santé actuels. On n’a pas accès à des supports pédagogiques adaptés. » (</w:t>
      </w:r>
      <w:r>
        <w:rPr>
          <w:bCs/>
          <w:i/>
          <w:color w:val="000000"/>
          <w:w w:val="90"/>
          <w:sz w:val="24"/>
          <w:szCs w:val="24"/>
          <w:lang w:eastAsia="fr-FR"/>
        </w:rPr>
        <w:t xml:space="preserve">E5, Masculin, 30 ans, 8 ans d’ancienneté, </w:t>
      </w:r>
      <w:r w:rsidRPr="00ED46B1">
        <w:rPr>
          <w:bCs/>
          <w:i/>
          <w:color w:val="000000"/>
          <w:w w:val="90"/>
          <w:sz w:val="24"/>
          <w:szCs w:val="24"/>
          <w:lang w:eastAsia="fr-FR"/>
        </w:rPr>
        <w:t>Enseignant de S</w:t>
      </w:r>
      <w:r>
        <w:rPr>
          <w:bCs/>
          <w:i/>
          <w:color w:val="000000"/>
          <w:w w:val="90"/>
          <w:sz w:val="24"/>
          <w:szCs w:val="24"/>
          <w:lang w:eastAsia="fr-FR"/>
        </w:rPr>
        <w:t xml:space="preserve">ciences de la </w:t>
      </w:r>
      <w:r w:rsidRPr="00ED46B1">
        <w:rPr>
          <w:bCs/>
          <w:i/>
          <w:color w:val="000000"/>
          <w:w w:val="90"/>
          <w:sz w:val="24"/>
          <w:szCs w:val="24"/>
          <w:lang w:eastAsia="fr-FR"/>
        </w:rPr>
        <w:t>V</w:t>
      </w:r>
      <w:r>
        <w:rPr>
          <w:bCs/>
          <w:i/>
          <w:color w:val="000000"/>
          <w:w w:val="90"/>
          <w:sz w:val="24"/>
          <w:szCs w:val="24"/>
          <w:lang w:eastAsia="fr-FR"/>
        </w:rPr>
        <w:t xml:space="preserve">ie et de la </w:t>
      </w:r>
      <w:r w:rsidRPr="00ED46B1">
        <w:rPr>
          <w:bCs/>
          <w:i/>
          <w:color w:val="000000"/>
          <w:w w:val="90"/>
          <w:sz w:val="24"/>
          <w:szCs w:val="24"/>
          <w:lang w:eastAsia="fr-FR"/>
        </w:rPr>
        <w:t>T</w:t>
      </w:r>
      <w:r>
        <w:rPr>
          <w:bCs/>
          <w:i/>
          <w:color w:val="000000"/>
          <w:w w:val="90"/>
          <w:sz w:val="24"/>
          <w:szCs w:val="24"/>
          <w:lang w:eastAsia="fr-FR"/>
        </w:rPr>
        <w:t>erre</w:t>
      </w:r>
      <w:r w:rsidRPr="00ED46B1">
        <w:rPr>
          <w:bCs/>
          <w:i/>
          <w:color w:val="000000"/>
          <w:w w:val="90"/>
          <w:sz w:val="24"/>
          <w:szCs w:val="24"/>
          <w:lang w:eastAsia="fr-FR"/>
        </w:rPr>
        <w:t>, Brazzaville)</w:t>
      </w:r>
      <w:r>
        <w:rPr>
          <w:bCs/>
          <w:i/>
          <w:color w:val="000000"/>
          <w:w w:val="90"/>
          <w:sz w:val="24"/>
          <w:szCs w:val="24"/>
          <w:lang w:eastAsia="fr-FR"/>
        </w:rPr>
        <w:t>.</w:t>
      </w:r>
    </w:p>
    <w:p w14:paraId="197D97AA"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Dans mon village, il y a beaucoup de tabous autour de la sexualité. C’est difficile d’aborder ces questions avec les élèves, car on risque de choquer les parents. » (</w:t>
      </w:r>
      <w:r>
        <w:rPr>
          <w:bCs/>
          <w:i/>
          <w:color w:val="000000"/>
          <w:w w:val="90"/>
          <w:sz w:val="24"/>
          <w:szCs w:val="24"/>
          <w:lang w:eastAsia="fr-FR"/>
        </w:rPr>
        <w:t xml:space="preserve">E6, Masculin, 42 ans, 16 ans d’ancienneté, </w:t>
      </w:r>
      <w:r w:rsidRPr="00ED46B1">
        <w:rPr>
          <w:bCs/>
          <w:i/>
          <w:color w:val="000000"/>
          <w:w w:val="90"/>
          <w:sz w:val="24"/>
          <w:szCs w:val="24"/>
          <w:lang w:eastAsia="fr-FR"/>
        </w:rPr>
        <w:t>Directeur d’école, Oyo)</w:t>
      </w:r>
      <w:r>
        <w:rPr>
          <w:bCs/>
          <w:i/>
          <w:color w:val="000000"/>
          <w:w w:val="90"/>
          <w:sz w:val="24"/>
          <w:szCs w:val="24"/>
          <w:lang w:eastAsia="fr-FR"/>
        </w:rPr>
        <w:t>.</w:t>
      </w:r>
    </w:p>
    <w:p w14:paraId="02301054"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Ce sont des notions qui ne sont pas souvent abordées. Le programme n’a pas une partie affectée à l’éducation de la santé. » (</w:t>
      </w:r>
      <w:r>
        <w:rPr>
          <w:bCs/>
          <w:i/>
          <w:color w:val="000000"/>
          <w:w w:val="90"/>
          <w:sz w:val="24"/>
          <w:szCs w:val="24"/>
          <w:lang w:eastAsia="fr-FR"/>
        </w:rPr>
        <w:t xml:space="preserve">E1, Masculin, 30 ans, 6 ans d’ancienneté, </w:t>
      </w:r>
      <w:r w:rsidRPr="00ED46B1">
        <w:rPr>
          <w:bCs/>
          <w:i/>
          <w:color w:val="000000"/>
          <w:w w:val="90"/>
          <w:sz w:val="24"/>
          <w:szCs w:val="24"/>
          <w:lang w:eastAsia="fr-FR"/>
        </w:rPr>
        <w:t>Enseignant de Sciences Physiques</w:t>
      </w:r>
      <w:r>
        <w:rPr>
          <w:bCs/>
          <w:i/>
          <w:color w:val="000000"/>
          <w:w w:val="90"/>
          <w:sz w:val="24"/>
          <w:szCs w:val="24"/>
          <w:lang w:eastAsia="fr-FR"/>
        </w:rPr>
        <w:t>, Brazzaville</w:t>
      </w:r>
      <w:r w:rsidRPr="00ED46B1">
        <w:rPr>
          <w:bCs/>
          <w:i/>
          <w:color w:val="000000"/>
          <w:w w:val="90"/>
          <w:sz w:val="24"/>
          <w:szCs w:val="24"/>
          <w:lang w:eastAsia="fr-FR"/>
        </w:rPr>
        <w:t>)</w:t>
      </w:r>
      <w:r>
        <w:rPr>
          <w:bCs/>
          <w:i/>
          <w:color w:val="000000"/>
          <w:w w:val="90"/>
          <w:sz w:val="24"/>
          <w:szCs w:val="24"/>
          <w:lang w:eastAsia="fr-FR"/>
        </w:rPr>
        <w:t>.</w:t>
      </w:r>
    </w:p>
    <w:p w14:paraId="08EF2981"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On se sent souvent seuls face à ces défis. On aimerait avoir plus de soutien de la part des inspecteurs, des professionnels de santé, et des parents d’élèves. » (</w:t>
      </w:r>
      <w:r>
        <w:rPr>
          <w:bCs/>
          <w:i/>
          <w:color w:val="000000"/>
          <w:w w:val="90"/>
          <w:sz w:val="24"/>
          <w:szCs w:val="24"/>
          <w:lang w:eastAsia="fr-FR"/>
        </w:rPr>
        <w:t xml:space="preserve">E7, Masculin 44 ans, 15 ans d’ancienneté, </w:t>
      </w:r>
      <w:r w:rsidRPr="00ED46B1">
        <w:rPr>
          <w:bCs/>
          <w:i/>
          <w:color w:val="000000"/>
          <w:w w:val="90"/>
          <w:sz w:val="24"/>
          <w:szCs w:val="24"/>
          <w:lang w:eastAsia="fr-FR"/>
        </w:rPr>
        <w:t>Inspecteur d’E</w:t>
      </w:r>
      <w:r>
        <w:rPr>
          <w:bCs/>
          <w:i/>
          <w:color w:val="000000"/>
          <w:w w:val="90"/>
          <w:sz w:val="24"/>
          <w:szCs w:val="24"/>
          <w:lang w:eastAsia="fr-FR"/>
        </w:rPr>
        <w:t xml:space="preserve">ducation </w:t>
      </w:r>
      <w:r w:rsidRPr="00ED46B1">
        <w:rPr>
          <w:bCs/>
          <w:i/>
          <w:color w:val="000000"/>
          <w:w w:val="90"/>
          <w:sz w:val="24"/>
          <w:szCs w:val="24"/>
          <w:lang w:eastAsia="fr-FR"/>
        </w:rPr>
        <w:t>P</w:t>
      </w:r>
      <w:r>
        <w:rPr>
          <w:bCs/>
          <w:i/>
          <w:color w:val="000000"/>
          <w:w w:val="90"/>
          <w:sz w:val="24"/>
          <w:szCs w:val="24"/>
          <w:lang w:eastAsia="fr-FR"/>
        </w:rPr>
        <w:t xml:space="preserve">hysique et </w:t>
      </w:r>
      <w:r w:rsidRPr="00ED46B1">
        <w:rPr>
          <w:bCs/>
          <w:i/>
          <w:color w:val="000000"/>
          <w:w w:val="90"/>
          <w:sz w:val="24"/>
          <w:szCs w:val="24"/>
          <w:lang w:eastAsia="fr-FR"/>
        </w:rPr>
        <w:t>S</w:t>
      </w:r>
      <w:r>
        <w:rPr>
          <w:bCs/>
          <w:i/>
          <w:color w:val="000000"/>
          <w:w w:val="90"/>
          <w:sz w:val="24"/>
          <w:szCs w:val="24"/>
          <w:lang w:eastAsia="fr-FR"/>
        </w:rPr>
        <w:t>portive</w:t>
      </w:r>
      <w:r w:rsidRPr="00ED46B1">
        <w:rPr>
          <w:bCs/>
          <w:i/>
          <w:color w:val="000000"/>
          <w:w w:val="90"/>
          <w:sz w:val="24"/>
          <w:szCs w:val="24"/>
          <w:lang w:eastAsia="fr-FR"/>
        </w:rPr>
        <w:t xml:space="preserve">, </w:t>
      </w:r>
      <w:r>
        <w:rPr>
          <w:bCs/>
          <w:i/>
          <w:color w:val="000000"/>
          <w:w w:val="90"/>
          <w:sz w:val="24"/>
          <w:szCs w:val="24"/>
          <w:lang w:eastAsia="fr-FR"/>
        </w:rPr>
        <w:t xml:space="preserve">Département des </w:t>
      </w:r>
      <w:r w:rsidRPr="00ED46B1">
        <w:rPr>
          <w:bCs/>
          <w:i/>
          <w:color w:val="000000"/>
          <w:w w:val="90"/>
          <w:sz w:val="24"/>
          <w:szCs w:val="24"/>
          <w:lang w:eastAsia="fr-FR"/>
        </w:rPr>
        <w:t>Plateaux)</w:t>
      </w:r>
      <w:r>
        <w:rPr>
          <w:bCs/>
          <w:i/>
          <w:color w:val="000000"/>
          <w:w w:val="90"/>
          <w:sz w:val="24"/>
          <w:szCs w:val="24"/>
          <w:lang w:eastAsia="fr-FR"/>
        </w:rPr>
        <w:t>.</w:t>
      </w:r>
    </w:p>
    <w:p w14:paraId="5A17FC2D" w14:textId="77777777" w:rsidR="00D80693" w:rsidRPr="00ED46B1" w:rsidRDefault="00D80693" w:rsidP="00D51032">
      <w:pPr>
        <w:spacing w:before="120"/>
        <w:jc w:val="both"/>
        <w:rPr>
          <w:bCs/>
          <w:color w:val="000000"/>
          <w:w w:val="90"/>
          <w:sz w:val="24"/>
          <w:szCs w:val="24"/>
          <w:lang w:eastAsia="fr-FR"/>
        </w:rPr>
      </w:pPr>
      <w:r w:rsidRPr="00ED46B1">
        <w:rPr>
          <w:bCs/>
          <w:color w:val="000000"/>
          <w:w w:val="90"/>
          <w:sz w:val="24"/>
          <w:szCs w:val="24"/>
          <w:lang w:eastAsia="fr-FR"/>
        </w:rPr>
        <w:t>Les enseignants déplorent l’absence de passerelles entre l’école, les structures de santé et les familles, limitant la cohérence et l’efficacité des interventions.</w:t>
      </w:r>
    </w:p>
    <w:p w14:paraId="653231AA"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Il n’y a pas de vrai partenariat avec les centres de santé locaux. Chacun travaille de son côté. » (</w:t>
      </w:r>
      <w:r>
        <w:rPr>
          <w:bCs/>
          <w:i/>
          <w:color w:val="000000"/>
          <w:w w:val="90"/>
          <w:sz w:val="24"/>
          <w:szCs w:val="24"/>
          <w:lang w:eastAsia="fr-FR"/>
        </w:rPr>
        <w:t xml:space="preserve">E12, Masculin, 35 ans, 8 ans d’ancienneté, </w:t>
      </w:r>
      <w:r w:rsidRPr="00ED46B1">
        <w:rPr>
          <w:bCs/>
          <w:i/>
          <w:color w:val="000000"/>
          <w:w w:val="90"/>
          <w:sz w:val="24"/>
          <w:szCs w:val="24"/>
          <w:lang w:eastAsia="fr-FR"/>
        </w:rPr>
        <w:t>Enseignant</w:t>
      </w:r>
      <w:r>
        <w:rPr>
          <w:bCs/>
          <w:i/>
          <w:color w:val="000000"/>
          <w:w w:val="90"/>
          <w:sz w:val="24"/>
          <w:szCs w:val="24"/>
          <w:lang w:eastAsia="fr-FR"/>
        </w:rPr>
        <w:t xml:space="preserve"> de français</w:t>
      </w:r>
      <w:r w:rsidRPr="00ED46B1">
        <w:rPr>
          <w:bCs/>
          <w:i/>
          <w:color w:val="000000"/>
          <w:w w:val="90"/>
          <w:sz w:val="24"/>
          <w:szCs w:val="24"/>
          <w:lang w:eastAsia="fr-FR"/>
        </w:rPr>
        <w:t>, Brazzaville)</w:t>
      </w:r>
      <w:r>
        <w:rPr>
          <w:bCs/>
          <w:i/>
          <w:color w:val="000000"/>
          <w:w w:val="90"/>
          <w:sz w:val="24"/>
          <w:szCs w:val="24"/>
          <w:lang w:eastAsia="fr-FR"/>
        </w:rPr>
        <w:t>.</w:t>
      </w:r>
    </w:p>
    <w:p w14:paraId="51A823D1" w14:textId="77777777" w:rsidR="00D80693" w:rsidRPr="00ED46B1" w:rsidRDefault="00D80693" w:rsidP="00D51032">
      <w:pPr>
        <w:spacing w:before="120"/>
        <w:jc w:val="both"/>
        <w:rPr>
          <w:bCs/>
          <w:color w:val="000000"/>
          <w:w w:val="90"/>
          <w:sz w:val="24"/>
          <w:szCs w:val="24"/>
          <w:lang w:eastAsia="fr-FR"/>
        </w:rPr>
      </w:pPr>
      <w:r w:rsidRPr="00ED46B1">
        <w:rPr>
          <w:bCs/>
          <w:color w:val="000000"/>
          <w:w w:val="90"/>
          <w:sz w:val="24"/>
          <w:szCs w:val="24"/>
          <w:lang w:eastAsia="fr-FR"/>
        </w:rPr>
        <w:t>L’éducation à la santé est perçue comme une mission secondaire, sans reconnaissance ni incitation spécifique.</w:t>
      </w:r>
    </w:p>
    <w:p w14:paraId="3A72F9B2" w14:textId="77777777" w:rsidR="00D80693" w:rsidRPr="00ED46B1" w:rsidRDefault="00D80693" w:rsidP="00D51032">
      <w:pPr>
        <w:spacing w:before="120"/>
        <w:jc w:val="both"/>
        <w:rPr>
          <w:bCs/>
          <w:i/>
          <w:color w:val="000000"/>
          <w:w w:val="90"/>
          <w:sz w:val="24"/>
          <w:szCs w:val="24"/>
          <w:lang w:eastAsia="fr-FR"/>
        </w:rPr>
      </w:pPr>
      <w:r w:rsidRPr="00ED46B1">
        <w:rPr>
          <w:bCs/>
          <w:i/>
          <w:color w:val="000000"/>
          <w:w w:val="90"/>
          <w:sz w:val="24"/>
          <w:szCs w:val="24"/>
          <w:lang w:eastAsia="fr-FR"/>
        </w:rPr>
        <w:t>« Ce n’est pas une priorité pour l’administration, on ne nous en parle presque jamais lors des réunions pédagogiques. » (</w:t>
      </w:r>
      <w:r>
        <w:rPr>
          <w:bCs/>
          <w:i/>
          <w:color w:val="000000"/>
          <w:w w:val="90"/>
          <w:sz w:val="24"/>
          <w:szCs w:val="24"/>
          <w:lang w:eastAsia="fr-FR"/>
        </w:rPr>
        <w:t xml:space="preserve">E9, Masculin, 28 ans, 5 ans d’ancienneté, </w:t>
      </w:r>
      <w:r w:rsidRPr="00ED46B1">
        <w:rPr>
          <w:bCs/>
          <w:i/>
          <w:color w:val="000000"/>
          <w:w w:val="90"/>
          <w:sz w:val="24"/>
          <w:szCs w:val="24"/>
          <w:lang w:eastAsia="fr-FR"/>
        </w:rPr>
        <w:t>Enseignant</w:t>
      </w:r>
      <w:r>
        <w:rPr>
          <w:bCs/>
          <w:i/>
          <w:color w:val="000000"/>
          <w:w w:val="90"/>
          <w:sz w:val="24"/>
          <w:szCs w:val="24"/>
          <w:lang w:eastAsia="fr-FR"/>
        </w:rPr>
        <w:t xml:space="preserve"> des Sciences de la Vie et de la Terre</w:t>
      </w:r>
      <w:r w:rsidRPr="00ED46B1">
        <w:rPr>
          <w:bCs/>
          <w:i/>
          <w:color w:val="000000"/>
          <w:w w:val="90"/>
          <w:sz w:val="24"/>
          <w:szCs w:val="24"/>
          <w:lang w:eastAsia="fr-FR"/>
        </w:rPr>
        <w:t xml:space="preserve">, </w:t>
      </w:r>
      <w:proofErr w:type="spellStart"/>
      <w:r w:rsidRPr="00ED46B1">
        <w:rPr>
          <w:bCs/>
          <w:i/>
          <w:color w:val="000000"/>
          <w:w w:val="90"/>
          <w:sz w:val="24"/>
          <w:szCs w:val="24"/>
          <w:lang w:eastAsia="fr-FR"/>
        </w:rPr>
        <w:t>Dolisie</w:t>
      </w:r>
      <w:proofErr w:type="spellEnd"/>
      <w:r w:rsidRPr="00ED46B1">
        <w:rPr>
          <w:bCs/>
          <w:i/>
          <w:color w:val="000000"/>
          <w:w w:val="90"/>
          <w:sz w:val="24"/>
          <w:szCs w:val="24"/>
          <w:lang w:eastAsia="fr-FR"/>
        </w:rPr>
        <w:t>).</w:t>
      </w:r>
    </w:p>
    <w:p w14:paraId="67E1E34D" w14:textId="77777777" w:rsidR="00D80693" w:rsidRDefault="00D80693" w:rsidP="00D51032">
      <w:pPr>
        <w:spacing w:before="120"/>
        <w:jc w:val="both"/>
        <w:rPr>
          <w:bCs/>
          <w:color w:val="000000"/>
          <w:w w:val="90"/>
          <w:sz w:val="24"/>
          <w:szCs w:val="24"/>
          <w:lang w:eastAsia="fr-FR"/>
        </w:rPr>
      </w:pPr>
      <w:r w:rsidRPr="00F04816">
        <w:rPr>
          <w:bCs/>
          <w:color w:val="000000"/>
          <w:w w:val="90"/>
          <w:sz w:val="24"/>
          <w:szCs w:val="24"/>
          <w:lang w:eastAsia="fr-FR"/>
        </w:rPr>
        <w:t xml:space="preserve">L’image est conçue comme une </w:t>
      </w:r>
      <w:r w:rsidRPr="00013130">
        <w:rPr>
          <w:bCs/>
          <w:color w:val="000000"/>
          <w:w w:val="90"/>
          <w:sz w:val="24"/>
          <w:szCs w:val="24"/>
          <w:lang w:eastAsia="fr-FR"/>
        </w:rPr>
        <w:t>infographie visuelle</w:t>
      </w:r>
      <w:r w:rsidRPr="00F04816">
        <w:rPr>
          <w:bCs/>
          <w:color w:val="000000"/>
          <w:w w:val="90"/>
          <w:sz w:val="24"/>
          <w:szCs w:val="24"/>
          <w:lang w:eastAsia="fr-FR"/>
        </w:rPr>
        <w:t xml:space="preserve"> qui met en avant, de façon illustrée et synthétique, </w:t>
      </w:r>
      <w:r w:rsidRPr="00013130">
        <w:rPr>
          <w:bCs/>
          <w:color w:val="000000"/>
          <w:w w:val="90"/>
          <w:sz w:val="24"/>
          <w:szCs w:val="24"/>
          <w:lang w:eastAsia="fr-FR"/>
        </w:rPr>
        <w:t>les sept défis majeurs</w:t>
      </w:r>
      <w:r w:rsidRPr="00F04816">
        <w:rPr>
          <w:bCs/>
          <w:color w:val="000000"/>
          <w:w w:val="90"/>
          <w:sz w:val="24"/>
          <w:szCs w:val="24"/>
          <w:lang w:eastAsia="fr-FR"/>
        </w:rPr>
        <w:t xml:space="preserve"> identifiés à partir des propos d’enseignants et</w:t>
      </w:r>
      <w:r w:rsidRPr="00013130">
        <w:rPr>
          <w:bCs/>
          <w:color w:val="000000"/>
          <w:w w:val="90"/>
          <w:sz w:val="24"/>
          <w:szCs w:val="24"/>
          <w:lang w:eastAsia="fr-FR"/>
        </w:rPr>
        <w:t xml:space="preserve"> d’inspecteurs. Chacun de ces défis est représenté par une </w:t>
      </w:r>
      <w:r w:rsidRPr="008062BC">
        <w:rPr>
          <w:bCs/>
          <w:color w:val="000000"/>
          <w:w w:val="90"/>
          <w:sz w:val="24"/>
          <w:szCs w:val="24"/>
          <w:lang w:eastAsia="fr-FR"/>
        </w:rPr>
        <w:t>vignette ou un encadré</w:t>
      </w:r>
      <w:r w:rsidRPr="00013130">
        <w:rPr>
          <w:bCs/>
          <w:color w:val="000000"/>
          <w:w w:val="90"/>
          <w:sz w:val="24"/>
          <w:szCs w:val="24"/>
          <w:lang w:eastAsia="fr-FR"/>
        </w:rPr>
        <w:t>, accompagné d’une citation tirée du focus groupe.</w:t>
      </w:r>
    </w:p>
    <w:p w14:paraId="5FD9DF4E" w14:textId="67474582" w:rsidR="00D80693" w:rsidRPr="00FB2CE1" w:rsidRDefault="00D80693" w:rsidP="00FB2CE1">
      <w:pPr>
        <w:pStyle w:val="Paragraphedeliste"/>
        <w:numPr>
          <w:ilvl w:val="1"/>
          <w:numId w:val="162"/>
        </w:numPr>
        <w:rPr>
          <w:b/>
          <w:color w:val="000000"/>
          <w:w w:val="90"/>
          <w:sz w:val="24"/>
          <w:szCs w:val="24"/>
          <w:lang w:eastAsia="fr-FR"/>
        </w:rPr>
      </w:pPr>
      <w:r w:rsidRPr="00FB2CE1">
        <w:rPr>
          <w:b/>
          <w:color w:val="000000"/>
          <w:w w:val="90"/>
          <w:sz w:val="24"/>
          <w:szCs w:val="24"/>
          <w:lang w:eastAsia="fr-FR"/>
        </w:rPr>
        <w:t>Défis et disparités de l'éducation à la santé en milieu scolaire congolais : analyse comparative entre zones urbaines et rurales.</w:t>
      </w:r>
    </w:p>
    <w:p w14:paraId="4458A77A" w14:textId="77777777" w:rsidR="00D80693" w:rsidRPr="00046A80" w:rsidRDefault="00D80693" w:rsidP="00D51032">
      <w:pPr>
        <w:spacing w:before="120"/>
        <w:jc w:val="both"/>
        <w:rPr>
          <w:color w:val="000000"/>
          <w:w w:val="90"/>
          <w:sz w:val="24"/>
          <w:szCs w:val="24"/>
          <w:lang w:eastAsia="fr-FR"/>
        </w:rPr>
      </w:pPr>
      <w:r w:rsidRPr="00046A80">
        <w:rPr>
          <w:color w:val="000000"/>
          <w:w w:val="90"/>
          <w:sz w:val="24"/>
          <w:szCs w:val="24"/>
          <w:lang w:eastAsia="fr-FR"/>
        </w:rPr>
        <w:t>L’analyse des réalités scolaires congolaises révèle une série de défis structurels, pédagogiques et culturels qui entravent l’éducation à la santé, avec des disparités marquées entre les zones urbaines et rurales. L’ensemble de ces défis met en évidence un système éducatif confronté à de fortes contraintes, dont l’expression varie néanmoins selon les contextes. C’est pourquoi il est essentiel d’examiner comment ces enjeux se manifestent différemment en milieu urbain et en milieu rural.</w:t>
      </w:r>
    </w:p>
    <w:p w14:paraId="181DBBA1" w14:textId="77777777" w:rsidR="00D80693" w:rsidRDefault="00D80693" w:rsidP="00D51032">
      <w:pPr>
        <w:spacing w:before="120"/>
        <w:rPr>
          <w:bCs/>
          <w:i/>
          <w:iCs/>
          <w:color w:val="000000"/>
          <w:w w:val="90"/>
          <w:sz w:val="24"/>
          <w:szCs w:val="24"/>
          <w:lang w:eastAsia="fr-FR"/>
        </w:rPr>
      </w:pPr>
      <w:r w:rsidRPr="008062BC">
        <w:rPr>
          <w:color w:val="000000"/>
          <w:w w:val="90"/>
          <w:sz w:val="24"/>
          <w:szCs w:val="24"/>
          <w:lang w:eastAsia="fr-FR"/>
        </w:rPr>
        <w:t>Défi 1 – Manque de formation spécialisée</w:t>
      </w:r>
      <w:r>
        <w:rPr>
          <w:color w:val="000000"/>
          <w:w w:val="90"/>
          <w:sz w:val="24"/>
          <w:szCs w:val="24"/>
          <w:lang w:eastAsia="fr-FR"/>
        </w:rPr>
        <w:t xml:space="preserve"> : </w:t>
      </w:r>
      <w:r>
        <w:rPr>
          <w:bCs/>
          <w:color w:val="000000"/>
          <w:w w:val="90"/>
          <w:sz w:val="24"/>
          <w:szCs w:val="24"/>
          <w:lang w:eastAsia="fr-FR"/>
        </w:rPr>
        <w:t>l</w:t>
      </w:r>
      <w:r w:rsidRPr="008062BC">
        <w:rPr>
          <w:bCs/>
          <w:color w:val="000000"/>
          <w:w w:val="90"/>
          <w:sz w:val="24"/>
          <w:szCs w:val="24"/>
          <w:lang w:eastAsia="fr-FR"/>
        </w:rPr>
        <w:t>’image montre probablement un enseignant confus ou dépassé face à un tableau, illustrant l’absence de formation spécifique pour enseigner la santé.</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"On fait comme on peut... on se sent souvent dépassés."</w:t>
      </w:r>
      <w:r>
        <w:rPr>
          <w:bCs/>
          <w:i/>
          <w:iCs/>
          <w:color w:val="000000"/>
          <w:w w:val="90"/>
          <w:sz w:val="24"/>
          <w:szCs w:val="24"/>
          <w:lang w:eastAsia="fr-FR"/>
        </w:rPr>
        <w:t xml:space="preserve"> (E12, Masculin, 35 ans, 8 ans d’ancienneté, Enseignant des Sciences de la Vie et de la Terre).</w:t>
      </w:r>
    </w:p>
    <w:p w14:paraId="47B3CDD4" w14:textId="77777777" w:rsidR="00D80693" w:rsidRPr="00046A80" w:rsidRDefault="00D80693" w:rsidP="00D51032">
      <w:pPr>
        <w:spacing w:before="120"/>
        <w:jc w:val="both"/>
        <w:rPr>
          <w:color w:val="000000"/>
          <w:w w:val="90"/>
          <w:sz w:val="24"/>
          <w:szCs w:val="24"/>
          <w:lang w:eastAsia="fr-FR"/>
        </w:rPr>
      </w:pPr>
      <w:r w:rsidRPr="00046A80">
        <w:rPr>
          <w:color w:val="000000"/>
          <w:w w:val="90"/>
          <w:sz w:val="24"/>
          <w:szCs w:val="24"/>
          <w:lang w:eastAsia="fr-FR"/>
        </w:rPr>
        <w:t>Le manque de formation spécialisée limite considérablement la capacité des enseignants à aborder efficacement les contenus de santé, les laissant souvent démunis face aux attentes du programme. Cette insuffisance de compétences entraîne une transmission incomplète ou imprécise des notions de santé, accentuant les inégalités d’apprentissage entre élèves selon le niveau d’initiative de chaque enseignant.</w:t>
      </w:r>
    </w:p>
    <w:p w14:paraId="57EC1CA6" w14:textId="77777777" w:rsidR="00D80693" w:rsidRDefault="00D80693" w:rsidP="00D51032">
      <w:pPr>
        <w:spacing w:before="120"/>
        <w:rPr>
          <w:bCs/>
          <w:i/>
          <w:iCs/>
          <w:color w:val="000000"/>
          <w:w w:val="90"/>
          <w:sz w:val="24"/>
          <w:szCs w:val="24"/>
          <w:lang w:eastAsia="fr-FR"/>
        </w:rPr>
      </w:pPr>
      <w:r w:rsidRPr="008062BC">
        <w:rPr>
          <w:color w:val="000000"/>
          <w:w w:val="90"/>
          <w:sz w:val="24"/>
          <w:szCs w:val="24"/>
          <w:lang w:eastAsia="fr-FR"/>
        </w:rPr>
        <w:t>Défi 2 – Ressources pédagogiques obsolètes</w:t>
      </w:r>
      <w:r>
        <w:rPr>
          <w:color w:val="000000"/>
          <w:w w:val="90"/>
          <w:sz w:val="24"/>
          <w:szCs w:val="24"/>
          <w:lang w:eastAsia="fr-FR"/>
        </w:rPr>
        <w:t xml:space="preserve"> : </w:t>
      </w:r>
      <w:r>
        <w:rPr>
          <w:bCs/>
          <w:color w:val="000000"/>
          <w:w w:val="90"/>
          <w:sz w:val="24"/>
          <w:szCs w:val="24"/>
          <w:lang w:eastAsia="fr-FR"/>
        </w:rPr>
        <w:t>u</w:t>
      </w:r>
      <w:r w:rsidRPr="008062BC">
        <w:rPr>
          <w:bCs/>
          <w:color w:val="000000"/>
          <w:w w:val="90"/>
          <w:sz w:val="24"/>
          <w:szCs w:val="24"/>
          <w:lang w:eastAsia="fr-FR"/>
        </w:rPr>
        <w:t>ne pile de manuels poussiéreux ou un écran vide peut symboliser l’absence de supports actuels.</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"Les manuels scolaires sont souvent obsolètes..."</w:t>
      </w:r>
      <w:r>
        <w:rPr>
          <w:bCs/>
          <w:i/>
          <w:iCs/>
          <w:color w:val="000000"/>
          <w:w w:val="90"/>
          <w:sz w:val="24"/>
          <w:szCs w:val="24"/>
          <w:lang w:eastAsia="fr-FR"/>
        </w:rPr>
        <w:t xml:space="preserve"> (E18, Masculin, 39 ans, 5 ans d’ancienneté, Enseignant des Sciences de la Vie et de la Terre, Brazzaville)</w:t>
      </w:r>
    </w:p>
    <w:p w14:paraId="1813F5F5" w14:textId="77777777" w:rsidR="00D80693" w:rsidRPr="00916DE6" w:rsidRDefault="00D80693" w:rsidP="00D51032">
      <w:pPr>
        <w:spacing w:before="120"/>
        <w:jc w:val="both"/>
        <w:rPr>
          <w:bCs/>
          <w:color w:val="000000"/>
          <w:w w:val="90"/>
          <w:sz w:val="24"/>
          <w:szCs w:val="24"/>
          <w:lang w:eastAsia="fr-FR"/>
        </w:rPr>
      </w:pPr>
      <w:r w:rsidRPr="00916DE6">
        <w:rPr>
          <w:bCs/>
          <w:color w:val="000000"/>
          <w:w w:val="90"/>
          <w:sz w:val="24"/>
          <w:szCs w:val="24"/>
          <w:lang w:eastAsia="fr-FR"/>
        </w:rPr>
        <w:t xml:space="preserve">Les supports pédagogiques disponibles sont souvent obsolètes, insuffisants ou non adaptés aux réalités actuelles des élèves. Cette carence réduit la qualité des apprentissages et prive les enseignants d’outils actualisés pour contextualiser l’éducation à la santé, ce qui limite l’efficacité du message préventif. </w:t>
      </w:r>
    </w:p>
    <w:p w14:paraId="50CF6FD3" w14:textId="77777777" w:rsidR="00D80693" w:rsidRDefault="00D80693" w:rsidP="00D51032">
      <w:pPr>
        <w:spacing w:before="120"/>
        <w:rPr>
          <w:bCs/>
          <w:i/>
          <w:iCs/>
          <w:color w:val="000000"/>
          <w:w w:val="90"/>
          <w:sz w:val="24"/>
          <w:szCs w:val="24"/>
          <w:lang w:eastAsia="fr-FR"/>
        </w:rPr>
      </w:pPr>
      <w:r w:rsidRPr="008062BC">
        <w:rPr>
          <w:color w:val="000000"/>
          <w:w w:val="90"/>
          <w:sz w:val="24"/>
          <w:szCs w:val="24"/>
          <w:lang w:eastAsia="fr-FR"/>
        </w:rPr>
        <w:t>Défi 3 – Tabous culturels</w:t>
      </w:r>
      <w:r>
        <w:rPr>
          <w:color w:val="000000"/>
          <w:w w:val="90"/>
          <w:sz w:val="24"/>
          <w:szCs w:val="24"/>
          <w:lang w:eastAsia="fr-FR"/>
        </w:rPr>
        <w:t xml:space="preserve"> : </w:t>
      </w:r>
      <w:r>
        <w:rPr>
          <w:bCs/>
          <w:color w:val="000000"/>
          <w:w w:val="90"/>
          <w:sz w:val="24"/>
          <w:szCs w:val="24"/>
          <w:lang w:eastAsia="fr-FR"/>
        </w:rPr>
        <w:t>l</w:t>
      </w:r>
      <w:r w:rsidRPr="008062BC">
        <w:rPr>
          <w:bCs/>
          <w:color w:val="000000"/>
          <w:w w:val="90"/>
          <w:sz w:val="24"/>
          <w:szCs w:val="24"/>
          <w:lang w:eastAsia="fr-FR"/>
        </w:rPr>
        <w:t>’image peut représenter un enseignant face à une classe silencieuse, avec des expressions de gêne, ou un mur entre l’élève et le professeur, symbole des interdits culturels.</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"Il y a beaucoup de tabous autour de la sexualité..."</w:t>
      </w:r>
      <w:r>
        <w:rPr>
          <w:bCs/>
          <w:i/>
          <w:iCs/>
          <w:color w:val="000000"/>
          <w:w w:val="90"/>
          <w:sz w:val="24"/>
          <w:szCs w:val="24"/>
          <w:lang w:eastAsia="fr-FR"/>
        </w:rPr>
        <w:t xml:space="preserve"> (E11, Masculin, 25 ans, 4 ans d’ancienneté, Enseignant d’anglais, </w:t>
      </w:r>
      <w:proofErr w:type="spellStart"/>
      <w:r>
        <w:rPr>
          <w:bCs/>
          <w:i/>
          <w:iCs/>
          <w:color w:val="000000"/>
          <w:w w:val="90"/>
          <w:sz w:val="24"/>
          <w:szCs w:val="24"/>
          <w:lang w:eastAsia="fr-FR"/>
        </w:rPr>
        <w:t>Ngabé</w:t>
      </w:r>
      <w:proofErr w:type="spellEnd"/>
      <w:r>
        <w:rPr>
          <w:bCs/>
          <w:i/>
          <w:iCs/>
          <w:color w:val="000000"/>
          <w:w w:val="90"/>
          <w:sz w:val="24"/>
          <w:szCs w:val="24"/>
          <w:lang w:eastAsia="fr-FR"/>
        </w:rPr>
        <w:t>)</w:t>
      </w:r>
    </w:p>
    <w:p w14:paraId="4101D7DB" w14:textId="77777777" w:rsidR="00D80693" w:rsidRPr="00046A80" w:rsidRDefault="00D80693" w:rsidP="00D51032">
      <w:pPr>
        <w:spacing w:before="120"/>
        <w:jc w:val="both"/>
        <w:rPr>
          <w:bCs/>
          <w:color w:val="000000"/>
          <w:w w:val="90"/>
          <w:sz w:val="24"/>
          <w:szCs w:val="24"/>
          <w:lang w:eastAsia="fr-FR"/>
        </w:rPr>
      </w:pPr>
      <w:r w:rsidRPr="00046A80">
        <w:rPr>
          <w:bCs/>
          <w:color w:val="000000"/>
          <w:w w:val="90"/>
          <w:sz w:val="24"/>
          <w:szCs w:val="24"/>
          <w:lang w:eastAsia="fr-FR"/>
        </w:rPr>
        <w:t>Les tabous et normes socioculturelles freinent l’expression, le questionnement et la participation des élèves, en particulier sur les thèmes sensibles comme la sexualité ou la reproduction. Ces barrières culturelles contribuent à maintenir la désinformation et les comportements à risque, en empêchant un dialogue ouver</w:t>
      </w:r>
      <w:r>
        <w:rPr>
          <w:bCs/>
          <w:color w:val="000000"/>
          <w:w w:val="90"/>
          <w:sz w:val="24"/>
          <w:szCs w:val="24"/>
          <w:lang w:eastAsia="fr-FR"/>
        </w:rPr>
        <w:t xml:space="preserve">t entre enseignants et élèves. </w:t>
      </w:r>
    </w:p>
    <w:p w14:paraId="7EC2BD1A" w14:textId="77777777" w:rsidR="00D80693" w:rsidRDefault="00D80693" w:rsidP="00D51032">
      <w:pPr>
        <w:spacing w:before="120"/>
        <w:rPr>
          <w:bCs/>
          <w:color w:val="000000"/>
          <w:w w:val="90"/>
          <w:sz w:val="24"/>
          <w:szCs w:val="24"/>
          <w:lang w:eastAsia="fr-FR"/>
        </w:rPr>
      </w:pPr>
      <w:r w:rsidRPr="008062BC">
        <w:rPr>
          <w:color w:val="000000"/>
          <w:w w:val="90"/>
          <w:sz w:val="24"/>
          <w:szCs w:val="24"/>
          <w:lang w:eastAsia="fr-FR"/>
        </w:rPr>
        <w:t>Défi 4 – Faible intégration curriculaire</w:t>
      </w:r>
      <w:r>
        <w:rPr>
          <w:color w:val="000000"/>
          <w:w w:val="90"/>
          <w:sz w:val="24"/>
          <w:szCs w:val="24"/>
          <w:lang w:eastAsia="fr-FR"/>
        </w:rPr>
        <w:t xml:space="preserve"> : </w:t>
      </w:r>
      <w:r>
        <w:rPr>
          <w:bCs/>
          <w:color w:val="000000"/>
          <w:w w:val="90"/>
          <w:sz w:val="24"/>
          <w:szCs w:val="24"/>
          <w:lang w:eastAsia="fr-FR"/>
        </w:rPr>
        <w:t>p</w:t>
      </w:r>
      <w:r w:rsidRPr="008062BC">
        <w:rPr>
          <w:bCs/>
          <w:color w:val="000000"/>
          <w:w w:val="90"/>
          <w:sz w:val="24"/>
          <w:szCs w:val="24"/>
          <w:lang w:eastAsia="fr-FR"/>
        </w:rPr>
        <w:t>robablement illustré par un programme scolaire fermé ou un agenda surchargé sans mention de la santé.</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"Le programme n’a pas une partie affectée à l’éducation de la santé."</w:t>
      </w:r>
      <w:r>
        <w:rPr>
          <w:bCs/>
          <w:i/>
          <w:iCs/>
          <w:color w:val="000000"/>
          <w:w w:val="90"/>
          <w:sz w:val="24"/>
          <w:szCs w:val="24"/>
          <w:lang w:eastAsia="fr-FR"/>
        </w:rPr>
        <w:t xml:space="preserve"> (E13, Masculin, 31 ans, 2 ans d’ancienneté, Inspecteur d’Education Physique et Sportif, Brazzaville).</w:t>
      </w:r>
    </w:p>
    <w:p w14:paraId="0FDD98C4" w14:textId="77777777" w:rsidR="00D80693" w:rsidRPr="00046A80" w:rsidRDefault="00D80693" w:rsidP="00D51032">
      <w:pPr>
        <w:spacing w:before="120"/>
        <w:jc w:val="both"/>
        <w:rPr>
          <w:bCs/>
          <w:color w:val="000000"/>
          <w:w w:val="90"/>
          <w:sz w:val="24"/>
          <w:szCs w:val="24"/>
          <w:lang w:eastAsia="fr-FR"/>
        </w:rPr>
      </w:pPr>
      <w:r w:rsidRPr="00046A80">
        <w:rPr>
          <w:bCs/>
          <w:color w:val="000000"/>
          <w:w w:val="90"/>
          <w:sz w:val="24"/>
          <w:szCs w:val="24"/>
          <w:lang w:eastAsia="fr-FR"/>
        </w:rPr>
        <w:t xml:space="preserve">L’éducation à la santé occupe une place marginale dans les programmes officiels, souvent traitée de manière ponctuelle ou périphérique. Cette absence d’intégration formelle renforce la perception d’une discipline secondaire et limite son institutionnalisation durable dans les pratiques pédagogiques. </w:t>
      </w:r>
    </w:p>
    <w:p w14:paraId="433A56AB" w14:textId="77777777" w:rsidR="00D80693" w:rsidRDefault="00D80693" w:rsidP="00D51032">
      <w:pPr>
        <w:spacing w:before="120"/>
        <w:rPr>
          <w:bCs/>
          <w:i/>
          <w:iCs/>
          <w:color w:val="000000"/>
          <w:w w:val="90"/>
          <w:sz w:val="24"/>
          <w:szCs w:val="24"/>
          <w:lang w:eastAsia="fr-FR"/>
        </w:rPr>
      </w:pPr>
      <w:r w:rsidRPr="008062BC">
        <w:rPr>
          <w:color w:val="000000"/>
          <w:w w:val="90"/>
          <w:sz w:val="24"/>
          <w:szCs w:val="24"/>
          <w:lang w:eastAsia="fr-FR"/>
        </w:rPr>
        <w:t>Défi 5 – Isolement professionnel</w:t>
      </w:r>
      <w:r>
        <w:rPr>
          <w:color w:val="000000"/>
          <w:w w:val="90"/>
          <w:sz w:val="24"/>
          <w:szCs w:val="24"/>
          <w:lang w:eastAsia="fr-FR"/>
        </w:rPr>
        <w:t xml:space="preserve"> : </w:t>
      </w:r>
      <w:r>
        <w:rPr>
          <w:bCs/>
          <w:color w:val="000000"/>
          <w:w w:val="90"/>
          <w:sz w:val="24"/>
          <w:szCs w:val="24"/>
          <w:lang w:eastAsia="fr-FR"/>
        </w:rPr>
        <w:t>u</w:t>
      </w:r>
      <w:r w:rsidRPr="008062BC">
        <w:rPr>
          <w:bCs/>
          <w:color w:val="000000"/>
          <w:w w:val="90"/>
          <w:sz w:val="24"/>
          <w:szCs w:val="24"/>
          <w:lang w:eastAsia="fr-FR"/>
        </w:rPr>
        <w:t>n enseignant seul, sans collègues ni inspecteurs autour de lui, souligne ce sentiment d’abandon.</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"On se sent souvent seuls face à ces défis."</w:t>
      </w:r>
      <w:r>
        <w:rPr>
          <w:bCs/>
          <w:i/>
          <w:iCs/>
          <w:color w:val="000000"/>
          <w:w w:val="90"/>
          <w:sz w:val="24"/>
          <w:szCs w:val="24"/>
          <w:lang w:eastAsia="fr-FR"/>
        </w:rPr>
        <w:t xml:space="preserve"> (E23, Masculin, 28 ans, 5 ans d’ancienneté, Enseignant des Sciences de la Vie et de la terre, </w:t>
      </w:r>
      <w:proofErr w:type="spellStart"/>
      <w:r>
        <w:rPr>
          <w:bCs/>
          <w:i/>
          <w:iCs/>
          <w:color w:val="000000"/>
          <w:w w:val="90"/>
          <w:sz w:val="24"/>
          <w:szCs w:val="24"/>
          <w:lang w:eastAsia="fr-FR"/>
        </w:rPr>
        <w:t>Dolisie</w:t>
      </w:r>
      <w:proofErr w:type="spellEnd"/>
      <w:r>
        <w:rPr>
          <w:bCs/>
          <w:i/>
          <w:iCs/>
          <w:color w:val="000000"/>
          <w:w w:val="90"/>
          <w:sz w:val="24"/>
          <w:szCs w:val="24"/>
          <w:lang w:eastAsia="fr-FR"/>
        </w:rPr>
        <w:t>).</w:t>
      </w:r>
    </w:p>
    <w:p w14:paraId="301BB231" w14:textId="77777777" w:rsidR="00D80693" w:rsidRPr="00046A80" w:rsidRDefault="00D80693" w:rsidP="00D51032">
      <w:pPr>
        <w:spacing w:before="120"/>
        <w:jc w:val="both"/>
        <w:rPr>
          <w:color w:val="000000"/>
          <w:w w:val="90"/>
          <w:sz w:val="24"/>
          <w:szCs w:val="24"/>
          <w:lang w:eastAsia="fr-FR"/>
        </w:rPr>
      </w:pPr>
      <w:r w:rsidRPr="00046A80">
        <w:rPr>
          <w:color w:val="000000"/>
          <w:w w:val="90"/>
          <w:sz w:val="24"/>
          <w:szCs w:val="24"/>
          <w:lang w:eastAsia="fr-FR"/>
        </w:rPr>
        <w:t>Les enseignants ne bénéficient que rarement d’un accompagnement, de retours professionnels ou de dispositifs de soutien continu pour enseigner la santé. Cet isolement nourrit un sentiment d’abandon et réduit la motivation à innover ou à aborder des thèmes considérés comme délicats.</w:t>
      </w:r>
    </w:p>
    <w:p w14:paraId="318FD400" w14:textId="77777777" w:rsidR="00D80693" w:rsidRDefault="00D80693" w:rsidP="00D51032">
      <w:pPr>
        <w:spacing w:before="120"/>
        <w:rPr>
          <w:bCs/>
          <w:i/>
          <w:iCs/>
          <w:color w:val="000000"/>
          <w:w w:val="90"/>
          <w:sz w:val="24"/>
          <w:szCs w:val="24"/>
          <w:lang w:eastAsia="fr-FR"/>
        </w:rPr>
      </w:pPr>
      <w:r w:rsidRPr="008062BC">
        <w:rPr>
          <w:color w:val="000000"/>
          <w:w w:val="90"/>
          <w:sz w:val="24"/>
          <w:szCs w:val="24"/>
          <w:lang w:eastAsia="fr-FR"/>
        </w:rPr>
        <w:t>Défi 6 – Absence de partenariat santé</w:t>
      </w:r>
      <w:r>
        <w:rPr>
          <w:color w:val="000000"/>
          <w:w w:val="90"/>
          <w:sz w:val="24"/>
          <w:szCs w:val="24"/>
          <w:lang w:eastAsia="fr-FR"/>
        </w:rPr>
        <w:t xml:space="preserve"> : </w:t>
      </w:r>
      <w:r>
        <w:rPr>
          <w:bCs/>
          <w:color w:val="000000"/>
          <w:w w:val="90"/>
          <w:sz w:val="24"/>
          <w:szCs w:val="24"/>
          <w:lang w:eastAsia="fr-FR"/>
        </w:rPr>
        <w:t>p</w:t>
      </w:r>
      <w:r w:rsidRPr="008062BC">
        <w:rPr>
          <w:bCs/>
          <w:color w:val="000000"/>
          <w:w w:val="90"/>
          <w:sz w:val="24"/>
          <w:szCs w:val="24"/>
          <w:lang w:eastAsia="fr-FR"/>
        </w:rPr>
        <w:t>eut-être symbolisé par deux bâtiments (école et centre de santé) éloignés, séparés par un vide ou un mur.</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"Il n’y a pas de vrai partenariat avec les centres de santé..."</w:t>
      </w:r>
      <w:r>
        <w:rPr>
          <w:bCs/>
          <w:i/>
          <w:iCs/>
          <w:color w:val="000000"/>
          <w:w w:val="90"/>
          <w:sz w:val="24"/>
          <w:szCs w:val="24"/>
          <w:lang w:eastAsia="fr-FR"/>
        </w:rPr>
        <w:t xml:space="preserve"> (E10, Féminin, 47 ans, 20 ans d’ancienneté, Directrice des écoles, Brazzaville).</w:t>
      </w:r>
    </w:p>
    <w:p w14:paraId="75C4C170" w14:textId="77777777" w:rsidR="00D80693" w:rsidRPr="00046A80" w:rsidRDefault="00D80693" w:rsidP="00D51032">
      <w:pPr>
        <w:spacing w:before="120"/>
        <w:jc w:val="both"/>
        <w:rPr>
          <w:color w:val="000000"/>
          <w:w w:val="90"/>
          <w:sz w:val="24"/>
          <w:szCs w:val="24"/>
          <w:lang w:eastAsia="fr-FR"/>
        </w:rPr>
      </w:pPr>
      <w:r w:rsidRPr="00046A80">
        <w:rPr>
          <w:color w:val="000000"/>
          <w:w w:val="90"/>
          <w:sz w:val="24"/>
          <w:szCs w:val="24"/>
          <w:lang w:eastAsia="fr-FR"/>
        </w:rPr>
        <w:t>Les collaborations entre établissements scolaires et structures sanitaires sont quasi inexistantes, limitant les interventions conjointes ou l’appui des professionnels de santé. Ce manque de synergie prive les élèves d’informations fiables et actualisées, et empêche la mise en place d’actions de prévention coordonnées et efficaces.</w:t>
      </w:r>
    </w:p>
    <w:p w14:paraId="183DE3CB" w14:textId="77777777" w:rsidR="00D80693" w:rsidRPr="008062BC" w:rsidRDefault="00D80693" w:rsidP="00D51032">
      <w:pPr>
        <w:spacing w:before="120"/>
        <w:rPr>
          <w:bCs/>
          <w:color w:val="000000"/>
          <w:w w:val="90"/>
          <w:sz w:val="24"/>
          <w:szCs w:val="24"/>
          <w:lang w:eastAsia="fr-FR"/>
        </w:rPr>
      </w:pPr>
      <w:r w:rsidRPr="008062BC">
        <w:rPr>
          <w:color w:val="000000"/>
          <w:w w:val="90"/>
          <w:sz w:val="24"/>
          <w:szCs w:val="24"/>
          <w:lang w:eastAsia="fr-FR"/>
        </w:rPr>
        <w:t>Défi 7 – Faible reconnaissance institutionnelle</w:t>
      </w:r>
      <w:r>
        <w:rPr>
          <w:color w:val="000000"/>
          <w:w w:val="90"/>
          <w:sz w:val="24"/>
          <w:szCs w:val="24"/>
          <w:lang w:eastAsia="fr-FR"/>
        </w:rPr>
        <w:t xml:space="preserve"> : </w:t>
      </w:r>
      <w:r>
        <w:rPr>
          <w:bCs/>
          <w:color w:val="000000"/>
          <w:w w:val="90"/>
          <w:sz w:val="24"/>
          <w:szCs w:val="24"/>
          <w:lang w:eastAsia="fr-FR"/>
        </w:rPr>
        <w:t>u</w:t>
      </w:r>
      <w:r w:rsidRPr="008062BC">
        <w:rPr>
          <w:bCs/>
          <w:color w:val="000000"/>
          <w:w w:val="90"/>
          <w:sz w:val="24"/>
          <w:szCs w:val="24"/>
          <w:lang w:eastAsia="fr-FR"/>
        </w:rPr>
        <w:t>ne réunion pédagogique où l’éducation à la santé est ignorée ou un enseignant parlant dans le vide peut représenter ce manque de considération.</w:t>
      </w:r>
      <w:r w:rsidRPr="008062BC">
        <w:rPr>
          <w:bCs/>
          <w:color w:val="000000"/>
          <w:w w:val="90"/>
          <w:sz w:val="24"/>
          <w:szCs w:val="24"/>
          <w:lang w:eastAsia="fr-FR"/>
        </w:rPr>
        <w:br/>
      </w:r>
      <w:r w:rsidRPr="008062BC">
        <w:rPr>
          <w:rFonts w:ascii="Segoe UI Symbol" w:hAnsi="Segoe UI Symbol" w:cs="Segoe UI Symbol"/>
          <w:bCs/>
          <w:color w:val="000000"/>
          <w:w w:val="90"/>
          <w:sz w:val="24"/>
          <w:szCs w:val="24"/>
          <w:lang w:eastAsia="fr-FR"/>
        </w:rPr>
        <w:t>💬</w:t>
      </w:r>
      <w:r w:rsidRPr="008062BC">
        <w:rPr>
          <w:bCs/>
          <w:color w:val="000000"/>
          <w:w w:val="90"/>
          <w:sz w:val="24"/>
          <w:szCs w:val="24"/>
          <w:lang w:eastAsia="fr-FR"/>
        </w:rPr>
        <w:t xml:space="preserve"> </w:t>
      </w:r>
      <w:r w:rsidRPr="008062BC">
        <w:rPr>
          <w:bCs/>
          <w:i/>
          <w:iCs/>
          <w:color w:val="000000"/>
          <w:w w:val="90"/>
          <w:sz w:val="24"/>
          <w:szCs w:val="24"/>
          <w:lang w:eastAsia="fr-FR"/>
        </w:rPr>
        <w:t>"Ce n’est pas une priorité pour l’administration."</w:t>
      </w:r>
      <w:r>
        <w:rPr>
          <w:bCs/>
          <w:i/>
          <w:iCs/>
          <w:color w:val="000000"/>
          <w:w w:val="90"/>
          <w:sz w:val="24"/>
          <w:szCs w:val="24"/>
          <w:lang w:eastAsia="fr-FR"/>
        </w:rPr>
        <w:t xml:space="preserve"> (E14, Masculin, 46 ans, 8 ans d’ancienneté, Enseignant de Français, Brazzaville).</w:t>
      </w:r>
    </w:p>
    <w:p w14:paraId="1958B133" w14:textId="77777777" w:rsidR="00D80693" w:rsidRPr="00046A80" w:rsidRDefault="00D80693" w:rsidP="000268FE">
      <w:pPr>
        <w:spacing w:before="120"/>
        <w:jc w:val="both"/>
        <w:rPr>
          <w:bCs/>
          <w:color w:val="000000"/>
          <w:w w:val="90"/>
          <w:sz w:val="24"/>
          <w:szCs w:val="24"/>
          <w:lang w:eastAsia="fr-FR"/>
        </w:rPr>
      </w:pPr>
      <w:r w:rsidRPr="00046A80">
        <w:rPr>
          <w:bCs/>
          <w:color w:val="000000"/>
          <w:w w:val="90"/>
          <w:sz w:val="24"/>
          <w:szCs w:val="24"/>
          <w:lang w:eastAsia="fr-FR"/>
        </w:rPr>
        <w:t xml:space="preserve">L’éducation à la santé bénéficie d’une reconnaissance institutionnelle limitée, souvent reléguée au second plan des priorités pédagogiques. Cette faible légitimité institutionnelle réduit l’engagement des acteurs éducatifs et empêche l’allocation de ressources nécessaires à une mise en œuvre structurée et durable. </w:t>
      </w:r>
    </w:p>
    <w:p w14:paraId="7A92ABD1" w14:textId="77777777" w:rsidR="00D80693" w:rsidRDefault="00D80693" w:rsidP="000268FE">
      <w:pPr>
        <w:spacing w:before="120"/>
        <w:jc w:val="both"/>
        <w:rPr>
          <w:bCs/>
          <w:color w:val="000000"/>
          <w:w w:val="90"/>
          <w:sz w:val="24"/>
          <w:szCs w:val="24"/>
          <w:lang w:eastAsia="fr-FR"/>
        </w:rPr>
      </w:pPr>
      <w:r w:rsidRPr="008062BC">
        <w:rPr>
          <w:bCs/>
          <w:color w:val="000000"/>
          <w:w w:val="90"/>
          <w:sz w:val="24"/>
          <w:szCs w:val="24"/>
          <w:lang w:eastAsia="fr-FR"/>
        </w:rPr>
        <w:t>L</w:t>
      </w:r>
      <w:r>
        <w:rPr>
          <w:bCs/>
          <w:color w:val="000000"/>
          <w:w w:val="90"/>
          <w:sz w:val="24"/>
          <w:szCs w:val="24"/>
          <w:lang w:eastAsia="fr-FR"/>
        </w:rPr>
        <w:t xml:space="preserve">a figure montre </w:t>
      </w:r>
      <w:r w:rsidRPr="008062BC">
        <w:rPr>
          <w:bCs/>
          <w:color w:val="000000"/>
          <w:w w:val="90"/>
          <w:sz w:val="24"/>
          <w:szCs w:val="24"/>
          <w:lang w:eastAsia="fr-FR"/>
        </w:rPr>
        <w:t xml:space="preserve">le </w:t>
      </w:r>
      <w:r w:rsidRPr="00F04816">
        <w:rPr>
          <w:bCs/>
          <w:color w:val="000000"/>
          <w:w w:val="90"/>
          <w:sz w:val="24"/>
          <w:szCs w:val="24"/>
          <w:lang w:eastAsia="fr-FR"/>
        </w:rPr>
        <w:t>cumul de barrières</w:t>
      </w:r>
      <w:r w:rsidRPr="00F04816">
        <w:rPr>
          <w:color w:val="000000"/>
          <w:w w:val="90"/>
          <w:sz w:val="24"/>
          <w:szCs w:val="24"/>
          <w:lang w:eastAsia="fr-FR"/>
        </w:rPr>
        <w:t xml:space="preserve"> que rencontrent les enseignants congolais lorsqu’il s’agit d’aborder les questions de santé </w:t>
      </w:r>
      <w:r>
        <w:rPr>
          <w:color w:val="000000"/>
          <w:w w:val="90"/>
          <w:sz w:val="24"/>
          <w:szCs w:val="24"/>
          <w:lang w:eastAsia="fr-FR"/>
        </w:rPr>
        <w:t xml:space="preserve">en milieu scolaire. Elle montre, aussi, </w:t>
      </w:r>
      <w:r w:rsidRPr="00F04816">
        <w:rPr>
          <w:color w:val="000000"/>
          <w:w w:val="90"/>
          <w:sz w:val="24"/>
          <w:szCs w:val="24"/>
          <w:lang w:eastAsia="fr-FR"/>
        </w:rPr>
        <w:t xml:space="preserve">que ces défis ne sont pas uniquement pédagogiques, mais aussi </w:t>
      </w:r>
      <w:r w:rsidRPr="00F04816">
        <w:rPr>
          <w:bCs/>
          <w:color w:val="000000"/>
          <w:w w:val="90"/>
          <w:sz w:val="24"/>
          <w:szCs w:val="24"/>
          <w:lang w:eastAsia="fr-FR"/>
        </w:rPr>
        <w:t>institutionnels,</w:t>
      </w:r>
      <w:r w:rsidRPr="00F04816">
        <w:rPr>
          <w:b/>
          <w:bCs/>
          <w:color w:val="000000"/>
          <w:w w:val="90"/>
          <w:sz w:val="24"/>
          <w:szCs w:val="24"/>
          <w:lang w:eastAsia="fr-FR"/>
        </w:rPr>
        <w:t xml:space="preserve"> </w:t>
      </w:r>
      <w:r w:rsidRPr="00F04816">
        <w:rPr>
          <w:bCs/>
          <w:color w:val="000000"/>
          <w:w w:val="90"/>
          <w:sz w:val="24"/>
          <w:szCs w:val="24"/>
          <w:lang w:eastAsia="fr-FR"/>
        </w:rPr>
        <w:t>culturels et structurels</w:t>
      </w:r>
      <w:r>
        <w:rPr>
          <w:color w:val="000000"/>
          <w:w w:val="90"/>
          <w:sz w:val="24"/>
          <w:szCs w:val="24"/>
          <w:lang w:eastAsia="fr-FR"/>
        </w:rPr>
        <w:t xml:space="preserve">, ce qui </w:t>
      </w:r>
      <w:r w:rsidRPr="00F04816">
        <w:rPr>
          <w:color w:val="000000"/>
          <w:w w:val="90"/>
          <w:sz w:val="24"/>
          <w:szCs w:val="24"/>
          <w:lang w:eastAsia="fr-FR"/>
        </w:rPr>
        <w:t>appelle implicitement à</w:t>
      </w:r>
      <w:r>
        <w:rPr>
          <w:color w:val="000000"/>
          <w:w w:val="90"/>
          <w:sz w:val="24"/>
          <w:szCs w:val="24"/>
          <w:lang w:eastAsia="fr-FR"/>
        </w:rPr>
        <w:t xml:space="preserve"> -</w:t>
      </w:r>
      <w:r w:rsidRPr="00F04816">
        <w:rPr>
          <w:color w:val="000000"/>
          <w:w w:val="90"/>
          <w:sz w:val="24"/>
          <w:szCs w:val="24"/>
          <w:lang w:eastAsia="fr-FR"/>
        </w:rPr>
        <w:t xml:space="preserve"> </w:t>
      </w:r>
      <w:r>
        <w:rPr>
          <w:bCs/>
          <w:color w:val="000000"/>
          <w:w w:val="90"/>
          <w:sz w:val="24"/>
          <w:szCs w:val="24"/>
          <w:lang w:eastAsia="fr-FR"/>
        </w:rPr>
        <w:t>f</w:t>
      </w:r>
      <w:r w:rsidRPr="00F04816">
        <w:rPr>
          <w:bCs/>
          <w:color w:val="000000"/>
          <w:w w:val="90"/>
          <w:sz w:val="24"/>
          <w:szCs w:val="24"/>
          <w:lang w:eastAsia="fr-FR"/>
        </w:rPr>
        <w:t xml:space="preserve">ormer les enseignants - </w:t>
      </w:r>
      <w:r>
        <w:rPr>
          <w:bCs/>
          <w:color w:val="000000"/>
          <w:w w:val="90"/>
          <w:sz w:val="24"/>
          <w:szCs w:val="24"/>
          <w:lang w:eastAsia="fr-FR"/>
        </w:rPr>
        <w:t>r</w:t>
      </w:r>
      <w:r w:rsidRPr="00F04816">
        <w:rPr>
          <w:bCs/>
          <w:color w:val="000000"/>
          <w:w w:val="90"/>
          <w:sz w:val="24"/>
          <w:szCs w:val="24"/>
          <w:lang w:eastAsia="fr-FR"/>
        </w:rPr>
        <w:t xml:space="preserve">éformer les programmes - </w:t>
      </w:r>
      <w:r>
        <w:rPr>
          <w:bCs/>
          <w:color w:val="000000"/>
          <w:w w:val="90"/>
          <w:sz w:val="24"/>
          <w:szCs w:val="24"/>
          <w:lang w:eastAsia="fr-FR"/>
        </w:rPr>
        <w:t>r</w:t>
      </w:r>
      <w:r w:rsidRPr="00F04816">
        <w:rPr>
          <w:bCs/>
          <w:color w:val="000000"/>
          <w:w w:val="90"/>
          <w:sz w:val="24"/>
          <w:szCs w:val="24"/>
          <w:lang w:eastAsia="fr-FR"/>
        </w:rPr>
        <w:t xml:space="preserve">enforcer les partenariats école-santé - </w:t>
      </w:r>
      <w:r>
        <w:rPr>
          <w:bCs/>
          <w:color w:val="000000"/>
          <w:w w:val="90"/>
          <w:sz w:val="24"/>
          <w:szCs w:val="24"/>
          <w:lang w:eastAsia="fr-FR"/>
        </w:rPr>
        <w:t>a</w:t>
      </w:r>
      <w:r w:rsidRPr="00F04816">
        <w:rPr>
          <w:bCs/>
          <w:color w:val="000000"/>
          <w:w w:val="90"/>
          <w:sz w:val="24"/>
          <w:szCs w:val="24"/>
          <w:lang w:eastAsia="fr-FR"/>
        </w:rPr>
        <w:t>dapter les outils à la réalité du terrain.</w:t>
      </w:r>
      <w:r>
        <w:rPr>
          <w:bCs/>
          <w:color w:val="000000"/>
          <w:w w:val="90"/>
          <w:sz w:val="24"/>
          <w:szCs w:val="24"/>
          <w:lang w:eastAsia="fr-FR"/>
        </w:rPr>
        <w:t xml:space="preserve"> N</w:t>
      </w:r>
      <w:r w:rsidRPr="006D45BA">
        <w:rPr>
          <w:bCs/>
          <w:color w:val="000000"/>
          <w:w w:val="90"/>
          <w:sz w:val="24"/>
          <w:szCs w:val="24"/>
          <w:lang w:eastAsia="fr-FR"/>
        </w:rPr>
        <w:t>ous avons comparé les milieux urbain (Brazzaville) et rural (Oyo, Madingou, Plateaux) selon cinq critères liés à l’éducation à la santé. En milieu u</w:t>
      </w:r>
      <w:r w:rsidRPr="006D45BA">
        <w:rPr>
          <w:color w:val="000000"/>
          <w:w w:val="90"/>
          <w:sz w:val="24"/>
          <w:szCs w:val="24"/>
          <w:lang w:eastAsia="fr-FR"/>
        </w:rPr>
        <w:t>rbain (Brazzaville)</w:t>
      </w:r>
      <w:r w:rsidRPr="006D45BA">
        <w:rPr>
          <w:bCs/>
          <w:color w:val="000000"/>
          <w:w w:val="90"/>
          <w:sz w:val="24"/>
          <w:szCs w:val="24"/>
          <w:lang w:eastAsia="fr-FR"/>
        </w:rPr>
        <w:t>, les enseignants reçoivent une formation limitée, souvent restreinte à l’éducation sexuelle. Cela indique une certaine sensibilisation, mais très partielle. En milieu ru</w:t>
      </w:r>
      <w:r w:rsidRPr="006D45BA">
        <w:rPr>
          <w:color w:val="000000"/>
          <w:w w:val="90"/>
          <w:sz w:val="24"/>
          <w:szCs w:val="24"/>
          <w:lang w:eastAsia="fr-FR"/>
        </w:rPr>
        <w:t>ral, l</w:t>
      </w:r>
      <w:r w:rsidRPr="006D45BA">
        <w:rPr>
          <w:bCs/>
          <w:color w:val="000000"/>
          <w:w w:val="90"/>
          <w:sz w:val="24"/>
          <w:szCs w:val="24"/>
          <w:lang w:eastAsia="fr-FR"/>
        </w:rPr>
        <w:t>a formation est quasi-inexistante. Les enseignants apprennent souvent par eux-mêmes (« autodidaxie »), ce qui entraîne une grande inégalité en termes de qualité d’enseignement.</w:t>
      </w:r>
    </w:p>
    <w:p w14:paraId="67D67D44" w14:textId="77777777" w:rsidR="00D80693" w:rsidRDefault="00D80693" w:rsidP="000268FE">
      <w:pPr>
        <w:spacing w:before="120"/>
        <w:jc w:val="both"/>
        <w:rPr>
          <w:color w:val="000000"/>
          <w:w w:val="90"/>
          <w:sz w:val="24"/>
          <w:szCs w:val="24"/>
          <w:lang w:eastAsia="fr-FR"/>
        </w:rPr>
      </w:pPr>
      <w:r w:rsidRPr="006D45BA">
        <w:rPr>
          <w:bCs/>
          <w:color w:val="000000"/>
          <w:w w:val="90"/>
          <w:sz w:val="24"/>
          <w:szCs w:val="24"/>
          <w:lang w:eastAsia="fr-FR"/>
        </w:rPr>
        <w:t>L’écart de formation entre les zones montre un déséquilibre criant dans les compétences pédagogiques en santé, accentuant les inégalités éducatives.</w:t>
      </w:r>
      <w:r>
        <w:rPr>
          <w:bCs/>
          <w:color w:val="000000"/>
          <w:w w:val="90"/>
          <w:sz w:val="24"/>
          <w:szCs w:val="24"/>
          <w:lang w:eastAsia="fr-FR"/>
        </w:rPr>
        <w:t xml:space="preserve"> </w:t>
      </w:r>
      <w:r w:rsidRPr="006D45BA">
        <w:rPr>
          <w:color w:val="000000"/>
          <w:w w:val="90"/>
          <w:sz w:val="24"/>
          <w:szCs w:val="24"/>
          <w:lang w:eastAsia="fr-FR"/>
        </w:rPr>
        <w:t>Concernant les ressources pédagogiques, q</w:t>
      </w:r>
      <w:r w:rsidRPr="006D45BA">
        <w:rPr>
          <w:bCs/>
          <w:color w:val="000000"/>
          <w:w w:val="90"/>
          <w:sz w:val="24"/>
          <w:szCs w:val="24"/>
          <w:lang w:eastAsia="fr-FR"/>
        </w:rPr>
        <w:t xml:space="preserve">uelques manuels sont disponibles, mais souvent obsolètes en milieu urbain, </w:t>
      </w:r>
      <w:proofErr w:type="gramStart"/>
      <w:r w:rsidRPr="006D45BA">
        <w:rPr>
          <w:bCs/>
          <w:color w:val="000000"/>
          <w:w w:val="90"/>
          <w:sz w:val="24"/>
          <w:szCs w:val="24"/>
          <w:lang w:eastAsia="fr-FR"/>
        </w:rPr>
        <w:t>par contre</w:t>
      </w:r>
      <w:proofErr w:type="gramEnd"/>
      <w:r w:rsidRPr="006D45BA">
        <w:rPr>
          <w:bCs/>
          <w:color w:val="000000"/>
          <w:w w:val="90"/>
          <w:sz w:val="24"/>
          <w:szCs w:val="24"/>
          <w:lang w:eastAsia="fr-FR"/>
        </w:rPr>
        <w:t xml:space="preserve"> dans le milieu r</w:t>
      </w:r>
      <w:r w:rsidRPr="006D45BA">
        <w:rPr>
          <w:color w:val="000000"/>
          <w:w w:val="90"/>
          <w:sz w:val="24"/>
          <w:szCs w:val="24"/>
          <w:lang w:eastAsia="fr-FR"/>
        </w:rPr>
        <w:t>ural</w:t>
      </w:r>
      <w:r w:rsidRPr="006D45BA">
        <w:rPr>
          <w:bCs/>
          <w:color w:val="000000"/>
          <w:w w:val="90"/>
          <w:sz w:val="24"/>
          <w:szCs w:val="24"/>
          <w:lang w:eastAsia="fr-FR"/>
        </w:rPr>
        <w:t>, l’absence presque totale de supports écrits est palpable. L’enseignement repose principalement sur l’oralité. Le manque de ressources actualisées empêche un enseignement pertinent et efficace, particulièrement en milieu rural où l’oralité ne suffit pas pour traiter des sujets complexes de santé.</w:t>
      </w:r>
      <w:r>
        <w:rPr>
          <w:bCs/>
          <w:color w:val="000000"/>
          <w:w w:val="90"/>
          <w:sz w:val="24"/>
          <w:szCs w:val="24"/>
          <w:lang w:eastAsia="fr-FR"/>
        </w:rPr>
        <w:t xml:space="preserve"> </w:t>
      </w:r>
      <w:r w:rsidRPr="006D45BA">
        <w:rPr>
          <w:color w:val="000000"/>
          <w:w w:val="90"/>
          <w:sz w:val="24"/>
          <w:szCs w:val="24"/>
          <w:lang w:eastAsia="fr-FR"/>
        </w:rPr>
        <w:t>Les tabous culturels sont pr</w:t>
      </w:r>
      <w:r w:rsidRPr="006D45BA">
        <w:rPr>
          <w:bCs/>
          <w:color w:val="000000"/>
          <w:w w:val="90"/>
          <w:sz w:val="24"/>
          <w:szCs w:val="24"/>
          <w:lang w:eastAsia="fr-FR"/>
        </w:rPr>
        <w:t xml:space="preserve">ésents, mais moins pesants dans le milieu rural, certains sujets peuvent être abordés avec prudence. </w:t>
      </w:r>
      <w:proofErr w:type="gramStart"/>
      <w:r w:rsidRPr="006D45BA">
        <w:rPr>
          <w:bCs/>
          <w:color w:val="000000"/>
          <w:w w:val="90"/>
          <w:sz w:val="24"/>
          <w:szCs w:val="24"/>
          <w:lang w:eastAsia="fr-FR"/>
        </w:rPr>
        <w:t>Par contre</w:t>
      </w:r>
      <w:proofErr w:type="gramEnd"/>
      <w:r w:rsidRPr="006D45BA">
        <w:rPr>
          <w:bCs/>
          <w:color w:val="000000"/>
          <w:w w:val="90"/>
          <w:sz w:val="24"/>
          <w:szCs w:val="24"/>
          <w:lang w:eastAsia="fr-FR"/>
        </w:rPr>
        <w:t xml:space="preserve">, ils sont très marqués en milieu urbain. De nombreux sujets, notamment autour de la sexualité, sont perçus comme interdits. Les tabous entravent fortement la transmission de connaissances en </w:t>
      </w:r>
      <w:r w:rsidRPr="00F04816">
        <w:rPr>
          <w:color w:val="000000"/>
          <w:w w:val="90"/>
          <w:sz w:val="24"/>
          <w:szCs w:val="24"/>
          <w:lang w:eastAsia="fr-FR"/>
        </w:rPr>
        <w:t>santé, surtout en zone rurale, où l’éducation à la santé est perçue comme une transgression culturelle.</w:t>
      </w:r>
      <w:r>
        <w:rPr>
          <w:color w:val="000000"/>
          <w:w w:val="90"/>
          <w:sz w:val="24"/>
          <w:szCs w:val="24"/>
          <w:lang w:eastAsia="fr-FR"/>
        </w:rPr>
        <w:t xml:space="preserve"> </w:t>
      </w:r>
      <w:r w:rsidRPr="00F04816">
        <w:rPr>
          <w:color w:val="000000"/>
          <w:w w:val="90"/>
          <w:sz w:val="24"/>
          <w:szCs w:val="24"/>
          <w:lang w:eastAsia="fr-FR"/>
        </w:rPr>
        <w:t>Le soutien institutionnel en milieu u</w:t>
      </w:r>
      <w:r w:rsidRPr="00F04816">
        <w:rPr>
          <w:bCs/>
          <w:color w:val="000000"/>
          <w:w w:val="90"/>
          <w:sz w:val="24"/>
          <w:szCs w:val="24"/>
          <w:lang w:eastAsia="fr-FR"/>
        </w:rPr>
        <w:t>rbain</w:t>
      </w:r>
      <w:r w:rsidRPr="00F04816">
        <w:rPr>
          <w:color w:val="000000"/>
          <w:w w:val="90"/>
          <w:sz w:val="24"/>
          <w:szCs w:val="24"/>
          <w:lang w:eastAsia="fr-FR"/>
        </w:rPr>
        <w:t xml:space="preserve"> est faible, avec peu de visites ou de suivi des inspecteurs. </w:t>
      </w:r>
      <w:proofErr w:type="gramStart"/>
      <w:r w:rsidRPr="00F04816">
        <w:rPr>
          <w:color w:val="000000"/>
          <w:w w:val="90"/>
          <w:sz w:val="24"/>
          <w:szCs w:val="24"/>
          <w:lang w:eastAsia="fr-FR"/>
        </w:rPr>
        <w:t>Par contre</w:t>
      </w:r>
      <w:proofErr w:type="gramEnd"/>
      <w:r w:rsidRPr="00F04816">
        <w:rPr>
          <w:color w:val="000000"/>
          <w:w w:val="90"/>
          <w:sz w:val="24"/>
          <w:szCs w:val="24"/>
          <w:lang w:eastAsia="fr-FR"/>
        </w:rPr>
        <w:t xml:space="preserve"> en milieu r</w:t>
      </w:r>
      <w:r w:rsidRPr="00F04816">
        <w:rPr>
          <w:bCs/>
          <w:color w:val="000000"/>
          <w:w w:val="90"/>
          <w:sz w:val="24"/>
          <w:szCs w:val="24"/>
          <w:lang w:eastAsia="fr-FR"/>
        </w:rPr>
        <w:t>ural, il est p</w:t>
      </w:r>
      <w:r w:rsidRPr="00F04816">
        <w:rPr>
          <w:color w:val="000000"/>
          <w:w w:val="90"/>
          <w:sz w:val="24"/>
          <w:szCs w:val="24"/>
          <w:lang w:eastAsia="fr-FR"/>
        </w:rPr>
        <w:t xml:space="preserve">resque inexistant. Les enseignants sont isolés, sans appui professionnel. </w:t>
      </w:r>
    </w:p>
    <w:p w14:paraId="2A907BC9" w14:textId="77777777" w:rsidR="00D80693" w:rsidRDefault="00D80693" w:rsidP="00D51032">
      <w:pPr>
        <w:spacing w:before="120"/>
        <w:jc w:val="center"/>
        <w:rPr>
          <w:color w:val="000000"/>
          <w:w w:val="90"/>
          <w:sz w:val="24"/>
          <w:szCs w:val="24"/>
        </w:rPr>
      </w:pPr>
      <w:r>
        <w:rPr>
          <w:noProof/>
          <w:color w:val="000000"/>
          <w:w w:val="90"/>
        </w:rPr>
        <w:drawing>
          <wp:inline distT="0" distB="0" distL="0" distR="0" wp14:anchorId="7FC369B8" wp14:editId="06BBAA43">
            <wp:extent cx="3952875" cy="3952875"/>
            <wp:effectExtent l="0" t="0" r="9525" b="9525"/>
            <wp:docPr id="8143634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63464"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3956886" cy="3956886"/>
                    </a:xfrm>
                    <a:prstGeom prst="rect">
                      <a:avLst/>
                    </a:prstGeom>
                    <a:noFill/>
                  </pic:spPr>
                </pic:pic>
              </a:graphicData>
            </a:graphic>
          </wp:inline>
        </w:drawing>
      </w:r>
    </w:p>
    <w:p w14:paraId="03E99EF2" w14:textId="69FED3F4" w:rsidR="00D80693" w:rsidRDefault="00D80693" w:rsidP="00D51032">
      <w:pPr>
        <w:spacing w:before="120"/>
        <w:jc w:val="both"/>
        <w:rPr>
          <w:bCs/>
          <w:color w:val="000000"/>
          <w:w w:val="90"/>
          <w:sz w:val="24"/>
          <w:szCs w:val="24"/>
          <w:lang w:eastAsia="fr-FR"/>
        </w:rPr>
      </w:pPr>
      <w:r w:rsidRPr="00B328FE">
        <w:rPr>
          <w:b/>
          <w:bCs/>
          <w:i/>
          <w:color w:val="000000"/>
          <w:w w:val="90"/>
          <w:sz w:val="24"/>
          <w:szCs w:val="24"/>
          <w:lang w:eastAsia="fr-FR"/>
        </w:rPr>
        <w:t xml:space="preserve">               </w:t>
      </w:r>
      <w:r>
        <w:rPr>
          <w:b/>
          <w:bCs/>
          <w:color w:val="000000"/>
          <w:w w:val="90"/>
          <w:sz w:val="24"/>
          <w:szCs w:val="24"/>
          <w:lang w:eastAsia="fr-FR"/>
        </w:rPr>
        <w:t>Figure</w:t>
      </w:r>
      <w:r w:rsidR="00235995">
        <w:rPr>
          <w:b/>
          <w:bCs/>
          <w:color w:val="000000"/>
          <w:w w:val="90"/>
          <w:sz w:val="24"/>
          <w:szCs w:val="24"/>
          <w:lang w:eastAsia="fr-FR"/>
        </w:rPr>
        <w:t xml:space="preserve"> 1</w:t>
      </w:r>
      <w:r w:rsidRPr="00B328FE">
        <w:rPr>
          <w:b/>
          <w:bCs/>
          <w:color w:val="000000"/>
          <w:w w:val="90"/>
          <w:sz w:val="24"/>
          <w:szCs w:val="24"/>
          <w:lang w:eastAsia="fr-FR"/>
        </w:rPr>
        <w:t> </w:t>
      </w:r>
      <w:r w:rsidRPr="00B328FE">
        <w:rPr>
          <w:bCs/>
          <w:color w:val="000000"/>
          <w:w w:val="90"/>
          <w:sz w:val="24"/>
          <w:szCs w:val="24"/>
          <w:lang w:eastAsia="fr-FR"/>
        </w:rPr>
        <w:t>: Analyse transversale comparative des conditions d'enseignement entre milieu urbain (Brazzaville) et milieu rural (Oyo, Madingou, Plateaux)</w:t>
      </w:r>
      <w:r>
        <w:rPr>
          <w:bCs/>
          <w:color w:val="000000"/>
          <w:w w:val="90"/>
          <w:sz w:val="24"/>
          <w:szCs w:val="24"/>
          <w:lang w:eastAsia="fr-FR"/>
        </w:rPr>
        <w:t xml:space="preserve"> </w:t>
      </w:r>
    </w:p>
    <w:p w14:paraId="348363FC" w14:textId="77777777" w:rsidR="00D80693" w:rsidRPr="00B328FE" w:rsidRDefault="00D80693" w:rsidP="00D51032">
      <w:pPr>
        <w:spacing w:before="120"/>
        <w:jc w:val="both"/>
        <w:rPr>
          <w:bCs/>
          <w:i/>
          <w:color w:val="92D050"/>
          <w:w w:val="90"/>
          <w:sz w:val="24"/>
          <w:szCs w:val="24"/>
          <w:lang w:eastAsia="fr-FR"/>
        </w:rPr>
      </w:pPr>
      <w:r w:rsidRPr="00B328FE">
        <w:rPr>
          <w:b/>
          <w:bCs/>
          <w:i/>
          <w:color w:val="000000"/>
          <w:w w:val="90"/>
          <w:sz w:val="24"/>
          <w:szCs w:val="24"/>
          <w:lang w:eastAsia="fr-FR"/>
        </w:rPr>
        <w:t>Source</w:t>
      </w:r>
      <w:r w:rsidRPr="00B328FE">
        <w:rPr>
          <w:bCs/>
          <w:i/>
          <w:color w:val="000000"/>
          <w:w w:val="90"/>
          <w:sz w:val="24"/>
          <w:szCs w:val="24"/>
          <w:lang w:eastAsia="fr-FR"/>
        </w:rPr>
        <w:t> : Issus de nos données, 2024.</w:t>
      </w:r>
    </w:p>
    <w:p w14:paraId="2F9F8B9F" w14:textId="77777777" w:rsidR="00D80693" w:rsidRPr="006D45BA" w:rsidRDefault="00D80693" w:rsidP="000268FE">
      <w:pPr>
        <w:spacing w:before="120"/>
        <w:jc w:val="both"/>
        <w:rPr>
          <w:color w:val="000000"/>
          <w:w w:val="90"/>
          <w:sz w:val="24"/>
          <w:szCs w:val="24"/>
          <w:lang w:eastAsia="fr-FR"/>
        </w:rPr>
      </w:pPr>
      <w:r w:rsidRPr="00F04816">
        <w:rPr>
          <w:color w:val="000000"/>
          <w:w w:val="90"/>
          <w:sz w:val="24"/>
          <w:szCs w:val="24"/>
          <w:lang w:eastAsia="fr-FR"/>
        </w:rPr>
        <w:t>Ce déficit de soutien affecte la motivation et la qualité du travail des enseignants, qui se sentent abandonnés par leur hiérarchie. Le</w:t>
      </w:r>
      <w:r>
        <w:rPr>
          <w:color w:val="000000"/>
          <w:w w:val="90"/>
          <w:sz w:val="24"/>
          <w:szCs w:val="24"/>
          <w:lang w:eastAsia="fr-FR"/>
        </w:rPr>
        <w:t xml:space="preserve"> p</w:t>
      </w:r>
      <w:r w:rsidRPr="00F04816">
        <w:rPr>
          <w:color w:val="000000"/>
          <w:w w:val="90"/>
          <w:sz w:val="24"/>
          <w:szCs w:val="24"/>
          <w:lang w:eastAsia="fr-FR"/>
        </w:rPr>
        <w:t>artenariat santé, en milieu u</w:t>
      </w:r>
      <w:r w:rsidRPr="00F04816">
        <w:rPr>
          <w:bCs/>
          <w:color w:val="000000"/>
          <w:w w:val="90"/>
          <w:sz w:val="24"/>
          <w:szCs w:val="24"/>
          <w:lang w:eastAsia="fr-FR"/>
        </w:rPr>
        <w:t>rbain</w:t>
      </w:r>
      <w:r w:rsidRPr="00F04816">
        <w:rPr>
          <w:color w:val="000000"/>
          <w:w w:val="90"/>
          <w:sz w:val="24"/>
          <w:szCs w:val="24"/>
          <w:lang w:eastAsia="fr-FR"/>
        </w:rPr>
        <w:t xml:space="preserve"> sont présent de façon occasionnelle, souvent lié à l’initiative individuelle de certains enseignants. Cependant, quasi absent dans le rural. Il manque des relais ou structures pour soutenir la collaboration école-santé. L’absence de lien fonctionnel entre l’école et les centres de santé réduit l’efficacité des messages transmis et empêche une éducation à la santé ancrée dans la réalité locale.</w:t>
      </w:r>
      <w:r>
        <w:rPr>
          <w:color w:val="000000"/>
          <w:w w:val="90"/>
          <w:sz w:val="24"/>
          <w:szCs w:val="24"/>
          <w:lang w:eastAsia="fr-FR"/>
        </w:rPr>
        <w:t xml:space="preserve"> </w:t>
      </w:r>
      <w:r w:rsidRPr="00F04816">
        <w:rPr>
          <w:color w:val="000000"/>
          <w:w w:val="90"/>
          <w:sz w:val="24"/>
          <w:szCs w:val="24"/>
          <w:lang w:eastAsia="fr-FR"/>
        </w:rPr>
        <w:t>Ce tableau met en évidence des inégalités</w:t>
      </w:r>
      <w:r w:rsidRPr="006D45BA">
        <w:rPr>
          <w:bCs/>
          <w:color w:val="000000"/>
          <w:w w:val="90"/>
          <w:sz w:val="24"/>
          <w:szCs w:val="24"/>
          <w:lang w:eastAsia="fr-FR"/>
        </w:rPr>
        <w:t xml:space="preserve"> territoriales</w:t>
      </w:r>
      <w:r w:rsidRPr="006D45BA">
        <w:rPr>
          <w:color w:val="000000"/>
          <w:w w:val="90"/>
          <w:sz w:val="24"/>
          <w:szCs w:val="24"/>
          <w:lang w:eastAsia="fr-FR"/>
        </w:rPr>
        <w:t xml:space="preserve"> importantes dans l’accès à une éducation à la santé de qualité. Le milieu rural cumule les handicaps : </w:t>
      </w:r>
      <w:r w:rsidRPr="006D45BA">
        <w:rPr>
          <w:bCs/>
          <w:color w:val="000000"/>
          <w:w w:val="90"/>
          <w:sz w:val="24"/>
          <w:szCs w:val="24"/>
          <w:lang w:eastAsia="fr-FR"/>
        </w:rPr>
        <w:t>manque de formation, absence de ressources, forte pression culturelle, isolement professionnel et absence de partenariats</w:t>
      </w:r>
      <w:r w:rsidRPr="006D45BA">
        <w:rPr>
          <w:color w:val="000000"/>
          <w:w w:val="90"/>
          <w:sz w:val="24"/>
          <w:szCs w:val="24"/>
          <w:lang w:eastAsia="fr-FR"/>
        </w:rPr>
        <w:t>. Il en résulte une fracture éducative qu’il est urgent de combler pour garantir une éducation à la santé équitable et efficace sur l’ensemble du territoire congolais.</w:t>
      </w:r>
    </w:p>
    <w:p w14:paraId="16BC1AC5" w14:textId="77777777" w:rsidR="00D80693" w:rsidRPr="00E62F9B" w:rsidRDefault="00D80693" w:rsidP="000268FE">
      <w:pPr>
        <w:spacing w:before="120"/>
        <w:jc w:val="both"/>
        <w:rPr>
          <w:color w:val="000000"/>
          <w:w w:val="90"/>
          <w:sz w:val="24"/>
          <w:szCs w:val="24"/>
          <w:lang w:eastAsia="fr-FR"/>
        </w:rPr>
      </w:pPr>
      <w:r w:rsidRPr="006D45BA">
        <w:rPr>
          <w:color w:val="000000"/>
          <w:w w:val="90"/>
          <w:sz w:val="24"/>
          <w:szCs w:val="24"/>
          <w:lang w:eastAsia="fr-FR"/>
        </w:rPr>
        <w:t>L’analyse des entretiens auprès</w:t>
      </w:r>
      <w:r w:rsidRPr="00E62F9B">
        <w:rPr>
          <w:color w:val="000000"/>
          <w:w w:val="90"/>
          <w:sz w:val="24"/>
          <w:szCs w:val="24"/>
          <w:lang w:eastAsia="fr-FR"/>
        </w:rPr>
        <w:t xml:space="preserve"> des enseignants met en lumière des difficultés significatives quant à la mise en œuvre de l’éducation à la santé dans les écoles congolaises. Au primaire, les enseignants expriment une grande difficulté à aborder les sujets sensibles, tels que la sexualité et l’hygiène, et à adapter leur discours à l’âge et au développement des élèves. Au secondaire, bien que les enseignants se sentent parfois plus légitimes pour traiter de ces thématiques, ils déplorent l’absence de modules spécifiques ainsi que le manque d’outils pédagogiques adaptés à l’adolescence. De plus, ils soulignent la contrainte de devoir strictement suivre les programmes officiels et de respecter les temps impartis, ce qui limite la possibilité de traiter en profondeur ces questions sensibles pourtant jugées importantes.</w:t>
      </w:r>
      <w:r>
        <w:rPr>
          <w:color w:val="000000"/>
          <w:w w:val="90"/>
          <w:sz w:val="24"/>
          <w:szCs w:val="24"/>
          <w:lang w:eastAsia="fr-FR"/>
        </w:rPr>
        <w:t xml:space="preserve"> </w:t>
      </w:r>
      <w:r w:rsidRPr="00E62F9B">
        <w:rPr>
          <w:color w:val="000000"/>
          <w:w w:val="90"/>
          <w:sz w:val="24"/>
          <w:szCs w:val="24"/>
          <w:lang w:eastAsia="fr-FR"/>
        </w:rPr>
        <w:t>Les résultats révèlent que la professionnalisation de l’éducation à la santé au Congo reste entravée par de multiples facteurs structurels, institutionnels et culturels. Les enseignants, qu’ils exercent en milieu urbain ou rural, au primaire ou au secondaire, partagent un fort sentiment d’isolement ainsi qu’un manque de moyens. La formation reçue porte essentiellement sur des compétences pédagogiques générales, sans module spécifique consacré à la santé. Par ailleurs, les révisions curriculaires se réalisent rarement et les enseignants, au cœur du dispositif éducatif, ne sont que peu associés à ces processus.</w:t>
      </w:r>
      <w:r>
        <w:rPr>
          <w:color w:val="000000"/>
          <w:w w:val="90"/>
          <w:sz w:val="24"/>
          <w:szCs w:val="24"/>
          <w:lang w:eastAsia="fr-FR"/>
        </w:rPr>
        <w:t xml:space="preserve"> </w:t>
      </w:r>
      <w:r w:rsidRPr="00E62F9B">
        <w:rPr>
          <w:color w:val="000000"/>
          <w:w w:val="90"/>
          <w:sz w:val="24"/>
          <w:szCs w:val="24"/>
          <w:lang w:eastAsia="fr-FR"/>
        </w:rPr>
        <w:t>La situation apparaît particulièrement critique en milieu rural, où les tabous liés à la santé, conjugués à un déficit notable de ressources matérielles et humaines, amplifient les défis rencontrés. L’absence de formation initiale et continue en éducation à la santé, la faible intégration de ce thème dans les programmes scolaires, le manque de soutien institutionnel et de coordination intersectorielle ainsi que la faible reconnaissance institutionnelle, constituent autant d’obstacles majeurs à la mise en place d’une éducation à la santé efficace, cohérente et adaptée aux besoins des élèves.</w:t>
      </w:r>
    </w:p>
    <w:p w14:paraId="495BC065" w14:textId="004DAD0C" w:rsidR="00D80693" w:rsidRPr="00E96848" w:rsidRDefault="00D80693" w:rsidP="001B071B">
      <w:pPr>
        <w:pStyle w:val="Paragraphedeliste"/>
        <w:numPr>
          <w:ilvl w:val="1"/>
          <w:numId w:val="162"/>
        </w:numPr>
        <w:rPr>
          <w:b/>
          <w:color w:val="000000"/>
          <w:w w:val="90"/>
          <w:sz w:val="24"/>
          <w:szCs w:val="24"/>
        </w:rPr>
      </w:pPr>
      <w:r w:rsidRPr="00E96848">
        <w:rPr>
          <w:b/>
          <w:color w:val="000000"/>
          <w:w w:val="90"/>
          <w:sz w:val="24"/>
          <w:szCs w:val="24"/>
        </w:rPr>
        <w:t xml:space="preserve">Discussion </w:t>
      </w:r>
    </w:p>
    <w:p w14:paraId="5FF0D1CF" w14:textId="77777777" w:rsidR="00D80693" w:rsidRPr="00EF7C2B" w:rsidRDefault="00D80693" w:rsidP="001B071B">
      <w:pPr>
        <w:spacing w:before="120"/>
        <w:jc w:val="both"/>
        <w:rPr>
          <w:color w:val="000000"/>
          <w:w w:val="90"/>
          <w:sz w:val="24"/>
          <w:szCs w:val="24"/>
        </w:rPr>
      </w:pPr>
      <w:r w:rsidRPr="00EF7C2B">
        <w:rPr>
          <w:color w:val="000000"/>
          <w:w w:val="90"/>
          <w:sz w:val="24"/>
          <w:szCs w:val="24"/>
        </w:rPr>
        <w:t xml:space="preserve">Cette discussion approfondit les principaux défis identifiés lors du focus groupe et propose des pistes d'amélioration concrètes pour la professionnalisation des enseignants en éducation à la santé au </w:t>
      </w:r>
      <w:r w:rsidRPr="00306D56">
        <w:rPr>
          <w:bCs/>
          <w:color w:val="000000"/>
          <w:w w:val="90"/>
          <w:sz w:val="24"/>
          <w:szCs w:val="24"/>
        </w:rPr>
        <w:t xml:space="preserve">Congo. </w:t>
      </w:r>
      <w:r w:rsidRPr="00EF7C2B">
        <w:rPr>
          <w:bCs/>
          <w:color w:val="000000"/>
          <w:w w:val="90"/>
          <w:sz w:val="24"/>
          <w:szCs w:val="24"/>
        </w:rPr>
        <w:t>Elle s’inscrit dans une perspective interdisciplinaire, mobilisant des cadres théoriques reconnus</w:t>
      </w:r>
      <w:r w:rsidRPr="00306D56">
        <w:rPr>
          <w:bCs/>
          <w:color w:val="000000"/>
          <w:w w:val="90"/>
          <w:sz w:val="24"/>
          <w:szCs w:val="24"/>
        </w:rPr>
        <w:t xml:space="preserve"> (Piaget (1964), Vygotsky (1978), Bronfenbrenner (2009), tout en tenant compte des réalités socioculturelles et institutionnelles du contexte africain </w:t>
      </w:r>
      <w:r w:rsidRPr="00306D56">
        <w:rPr>
          <w:bCs/>
          <w:color w:val="000000"/>
          <w:w w:val="90"/>
          <w:sz w:val="24"/>
          <w:szCs w:val="24"/>
        </w:rPr>
        <w:fldChar w:fldCharType="begin"/>
      </w:r>
      <w:r>
        <w:rPr>
          <w:bCs/>
          <w:color w:val="000000"/>
          <w:w w:val="90"/>
          <w:sz w:val="24"/>
          <w:szCs w:val="24"/>
        </w:rPr>
        <w:instrText xml:space="preserve"> ADDIN ZOTERO_ITEM CSL_CITATION {"citationID":"m2DrsEJa","properties":{"formattedCitation":"(4\\uc0\\u8211{}6,8,12)","plainCitation":"(4–6,8,12)","noteIndex":0},"citationItems":[{"id":2820,"uris":["http://zotero.org/users/local/417IawLi/items/23ZSXER4"],"itemData":{"id":2820,"type":"article-journal","abstract":"▪ Abstract  The capacity to exercise control over the nature and quality of one's life is the essence of humanness. Human agency is characterized by a number of core features that operate through phenomenal and functional consciousness. These include the temporal extension of agency through intentionality and forethought, self-regulation by self-reactive influence, and self-reflectiveness about one's capabilities, quality of functioning, and the meaning and purpose of one's life pursuits. Personal agency operates within a broad network of sociostructural influences. In these agentic transactions, people are producers as well as products of social systems. Social cognitive theory distinguishes among three modes of agency: direct personal agency, proxy agency that relies on others to act on one's behest to secure desired outcomes, and collective agency exercised through socially coordinative and interdependent effort. Growing transnational embeddedness and interdependence are placing a premium on collective efficacy to exercise control over personal destinies and national life.","container-title":"Annual Review of Psychology","DOI":"10.1146/annurev.psych.52.1.1","ISSN":"0066-4308, 1545-2085","issue":"1","journalAbbreviation":"Annu. Rev. Psychol.","language":"en","page":"1-26","source":"DOI.org (Crossref)","title":"Social Cognitive Theory: An Agentic Perspective","title-short":"Social Cognitive Theory","volume":"52","author":[{"family":"Bandura","given":"Albert"}],"issued":{"date-parts":[["2001",2]]}}},{"id":4706,"uris":["http://zotero.org/users/local/417IawLi/items/ZXPHZZAN"],"itemData":{"id":4706,"type":"article-journal","container-title":"Journal of Research in Science Teaching","DOI":"10.1002/tea.3660020306","ISSN":"0022-4308, 1098-2736","issue":"3","journalAbbreviation":"J Res Sci Teach","language":"en","page":"176-186","source":"DOI.org (Crossref)","title":"Part I: Cognitive development in children: Piaget development and learning","title-short":"Part I","volume":"2","author":[{"family":"J. Piaget","given":""}],"issued":{"date-parts":[["1964",9]]}}},{"id":4428,"uris":["http://zotero.org/users/local/417IawLi/items/53D9R6MC"],"itemData":{"id":4428,"type":"chapter","edition":"in gauvain &amp; cole (eds.), readings onthe development of children","page":"34-40","title":"Interaction between learning and development","author":[{"family":"Vygotsky","given":"L. S."}],"issued":{"date-parts":[["1978"]]}}},{"id":4423,"uris":["http://zotero.org/users/local/417IawLi/items/GVE38JTS"],"itemData":{"id":4423,"type":"book","abstract":"Intro -- Foreword -- Preface -- Contents -- Part One: An Ecological Orientation -- 1. Purpose and Perspective -- 2. Basic Concepts -- Part Two: Elements of the Setting -- 3. The Nature and Function of Molar Activities -- 4. Interpersonal Structures as Contexts of Human Development -- 5. Roles as Contexts of Human Development -- Part Three: The Analysis of Settings -- 6. The Laboratory as an Ecological Context -- 7. Children's Institutions as Contexts of Human Development -- 8. Day Care and Preschool as Contexts of Human Development -- Part Four: Beyond the Microsystem -- 9. The Mesosystem and Human Development -- 10. The Exosystem and Human Development -- 11. The Macrosystem and Human Development -- Notes -- Bibliography -- Index","event-place":"Cambridge","ISBN":"978-0-674-22457-5","language":"eng","number-of-pages":"352","publisher":"Harvard University Press","publisher-place":"Cambridge","source":"K10plus ISBN","title":"Ecology of Human Development: Experiments by Nature and Design","title-short":"Ecology of Human Development","author":[{"family":"Bronfenbrenner","given":"Urie"}],"issued":{"date-parts":[["2009"]]}}},{"id":5172,"uris":["http://zotero.org/users/local/417IawLi/items/QYGFQLM7"],"itemData":{"id":5172,"type":"paper-conference","title":"Social Cognitive Theory and Exercise of Control over HIV Infection","URL":"https://api.semanticscholar.org/CorpusID:18719378","author":[{"family":"Bandura","given":"A."}],"issued":{"date-parts":[["1994"]]}}}],"schema":"https://github.com/citation-style-language/schema/raw/master/csl-citation.json"} </w:instrText>
      </w:r>
      <w:r w:rsidRPr="00306D56">
        <w:rPr>
          <w:bCs/>
          <w:color w:val="000000"/>
          <w:w w:val="90"/>
          <w:sz w:val="24"/>
          <w:szCs w:val="24"/>
        </w:rPr>
        <w:fldChar w:fldCharType="separate"/>
      </w:r>
      <w:r w:rsidRPr="00DC0E41">
        <w:rPr>
          <w:rFonts w:eastAsia="DengXian"/>
          <w:sz w:val="24"/>
          <w:szCs w:val="24"/>
        </w:rPr>
        <w:t>(4–6,8,12)</w:t>
      </w:r>
      <w:r w:rsidRPr="00306D56">
        <w:rPr>
          <w:bCs/>
          <w:color w:val="000000"/>
          <w:w w:val="90"/>
          <w:sz w:val="24"/>
          <w:szCs w:val="24"/>
        </w:rPr>
        <w:fldChar w:fldCharType="end"/>
      </w:r>
      <w:r w:rsidRPr="00306D56">
        <w:rPr>
          <w:bCs/>
          <w:color w:val="000000"/>
          <w:w w:val="90"/>
          <w:sz w:val="24"/>
          <w:szCs w:val="24"/>
        </w:rPr>
        <w:t xml:space="preserve">. </w:t>
      </w:r>
      <w:r w:rsidRPr="00EF7C2B">
        <w:rPr>
          <w:bCs/>
          <w:color w:val="000000"/>
          <w:w w:val="90"/>
          <w:sz w:val="24"/>
          <w:szCs w:val="24"/>
        </w:rPr>
        <w:t>La finalité est de proposer des stratégies opérationnelles pour une éducation à la santé plus structurée, mieux intégrée et culturellement adaptée.</w:t>
      </w:r>
      <w:r>
        <w:rPr>
          <w:bCs/>
          <w:color w:val="000000"/>
          <w:w w:val="90"/>
          <w:sz w:val="24"/>
          <w:szCs w:val="24"/>
        </w:rPr>
        <w:t xml:space="preserve"> </w:t>
      </w:r>
      <w:r w:rsidRPr="00306D56">
        <w:rPr>
          <w:bCs/>
          <w:color w:val="000000"/>
          <w:w w:val="90"/>
          <w:sz w:val="24"/>
          <w:szCs w:val="24"/>
        </w:rPr>
        <w:t>Le manque de formation</w:t>
      </w:r>
      <w:r w:rsidRPr="00EF7C2B">
        <w:rPr>
          <w:color w:val="000000"/>
          <w:w w:val="90"/>
          <w:sz w:val="24"/>
          <w:szCs w:val="24"/>
        </w:rPr>
        <w:t xml:space="preserve"> initiale et continue en éducation à la santé est le principal obstacle identifié par les enseignants. Selon la théorie sociale cognitive de Bandura</w:t>
      </w:r>
      <w:r w:rsidRPr="00306D56">
        <w:rPr>
          <w:color w:val="000000"/>
          <w:w w:val="90"/>
          <w:sz w:val="24"/>
          <w:szCs w:val="24"/>
        </w:rPr>
        <w:t xml:space="preserve"> (1977, 1991</w:t>
      </w:r>
      <w:r>
        <w:rPr>
          <w:color w:val="000000"/>
          <w:w w:val="90"/>
          <w:sz w:val="24"/>
          <w:szCs w:val="24"/>
        </w:rPr>
        <w:t>)</w:t>
      </w:r>
      <w:r w:rsidRPr="00EF7C2B">
        <w:rPr>
          <w:color w:val="000000"/>
          <w:w w:val="90"/>
          <w:sz w:val="24"/>
          <w:szCs w:val="24"/>
        </w:rPr>
        <w:t>, l’acquisition de compétences professionnelles suppose l’observation de modèles et le renforcement de l’auto-efficacité</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f3ZOuHbP","properties":{"formattedCitation":"(13,14)","plainCitation":"(13,14)","noteIndex":0},"citationItems":[{"id":1743,"uris":["http://zotero.org/users/local/417IawLi/items/7KY9HT85"],"itemData":{"id":1743,"type":"article-journal","container-title":"Organizational Behavior and Human Decision Processes","DOI":"10.1016/0749-5978(91)90022-L","ISSN":"07495978","issue":"2","journalAbbreviation":"Organizational Behavior and Human Decision Processes","language":"en","page":"248-287","source":"DOI.org (Crossref)","title":"Social cognitive theory of self-regulation","volume":"50","author":[{"family":"Bandura","given":"Albert"}],"issued":{"date-parts":[["1991",12]]}}},{"id":2512,"uris":["http://zotero.org/users/local/417IawLi/items/CRQUZ2V5"],"itemData":{"id":2512,"type":"article-journal","container-title":"Psychological Review","DOI":"10.1037/0033-295X.84.2.191","ISSN":"1939-1471, 0033-295X","issue":"2","journalAbbreviation":"Psychological Review","language":"en","page":"191-215","source":"DOI.org (Crossref)","title":"Self-efficacy: Toward a unifying theory of behavioral change.","title-short":"Self-efficacy","volume":"84","author":[{"family":"Bandura","given":"Albert"}],"issued":{"date-parts":[["1977"]]}}}],"schema":"https://github.com/citation-style-language/schema/raw/master/csl-citation.json"} </w:instrText>
      </w:r>
      <w:r>
        <w:rPr>
          <w:color w:val="000000"/>
          <w:w w:val="90"/>
          <w:sz w:val="24"/>
          <w:szCs w:val="24"/>
        </w:rPr>
        <w:fldChar w:fldCharType="separate"/>
      </w:r>
      <w:r w:rsidRPr="00DC0E41">
        <w:rPr>
          <w:rFonts w:eastAsia="DengXian"/>
          <w:sz w:val="24"/>
          <w:szCs w:val="21"/>
        </w:rPr>
        <w:t>(13,14)</w:t>
      </w:r>
      <w:r>
        <w:rPr>
          <w:color w:val="000000"/>
          <w:w w:val="90"/>
          <w:sz w:val="24"/>
          <w:szCs w:val="24"/>
        </w:rPr>
        <w:fldChar w:fldCharType="end"/>
      </w:r>
      <w:r w:rsidRPr="00EF7C2B">
        <w:rPr>
          <w:color w:val="000000"/>
          <w:w w:val="90"/>
          <w:sz w:val="24"/>
          <w:szCs w:val="24"/>
        </w:rPr>
        <w:t>. Or, les enseignants congolais n’ont pas accès à des modèles de pratiques efficaces ni à des retours structurés, ce qui limite leur capacité à enseigner la santé de façon pertinente.</w:t>
      </w:r>
    </w:p>
    <w:p w14:paraId="34ADDA5A" w14:textId="77777777" w:rsidR="00D80693" w:rsidRPr="00EF7C2B" w:rsidRDefault="00D80693" w:rsidP="00D51032">
      <w:pPr>
        <w:spacing w:before="120"/>
        <w:jc w:val="both"/>
        <w:rPr>
          <w:i/>
          <w:color w:val="000000"/>
          <w:w w:val="90"/>
          <w:sz w:val="24"/>
          <w:szCs w:val="24"/>
        </w:rPr>
      </w:pPr>
      <w:r w:rsidRPr="00EF7C2B">
        <w:rPr>
          <w:i/>
          <w:color w:val="000000"/>
          <w:w w:val="90"/>
          <w:sz w:val="24"/>
          <w:szCs w:val="24"/>
        </w:rPr>
        <w:t xml:space="preserve">« On nous demande de faire de l'éducation à la santé, mais on n'a jamais été formés pour ça. On fait comme on peut, avec nos propres connaissances, mais on se sent souvent dépassés. » (Enseignant de français, </w:t>
      </w:r>
      <w:proofErr w:type="spellStart"/>
      <w:r w:rsidRPr="00EF7C2B">
        <w:rPr>
          <w:i/>
          <w:color w:val="000000"/>
          <w:w w:val="90"/>
          <w:sz w:val="24"/>
          <w:szCs w:val="24"/>
        </w:rPr>
        <w:t>Dolisie</w:t>
      </w:r>
      <w:proofErr w:type="spellEnd"/>
      <w:r w:rsidRPr="00EF7C2B">
        <w:rPr>
          <w:i/>
          <w:color w:val="000000"/>
          <w:w w:val="90"/>
          <w:sz w:val="24"/>
          <w:szCs w:val="24"/>
        </w:rPr>
        <w:t>)</w:t>
      </w:r>
      <w:r>
        <w:rPr>
          <w:i/>
          <w:color w:val="000000"/>
          <w:w w:val="90"/>
          <w:sz w:val="24"/>
          <w:szCs w:val="24"/>
        </w:rPr>
        <w:t>.</w:t>
      </w:r>
    </w:p>
    <w:p w14:paraId="0C9E749B" w14:textId="77777777" w:rsidR="00D80693" w:rsidRPr="00EF7C2B" w:rsidRDefault="00D80693" w:rsidP="001B071B">
      <w:pPr>
        <w:spacing w:before="120"/>
        <w:jc w:val="both"/>
        <w:rPr>
          <w:color w:val="000000"/>
          <w:w w:val="90"/>
          <w:sz w:val="24"/>
          <w:szCs w:val="24"/>
        </w:rPr>
      </w:pPr>
      <w:r w:rsidRPr="00EF7C2B">
        <w:rPr>
          <w:bCs/>
          <w:color w:val="000000"/>
          <w:w w:val="90"/>
          <w:sz w:val="24"/>
          <w:szCs w:val="24"/>
        </w:rPr>
        <w:t>En l’absence de formation ciblée, les enseignants abordent les questions de santé de manière intuitive, ce qui nuit à la rigueur scientifique et à la cohérence pédagogique des messages transmis.</w:t>
      </w:r>
      <w:r>
        <w:rPr>
          <w:bCs/>
          <w:color w:val="000000"/>
          <w:w w:val="90"/>
          <w:sz w:val="24"/>
          <w:szCs w:val="24"/>
        </w:rPr>
        <w:t xml:space="preserve"> </w:t>
      </w:r>
      <w:r w:rsidRPr="00EF7C2B">
        <w:rPr>
          <w:color w:val="000000"/>
          <w:w w:val="90"/>
          <w:sz w:val="24"/>
          <w:szCs w:val="24"/>
        </w:rPr>
        <w:t xml:space="preserve">Des </w:t>
      </w:r>
      <w:r>
        <w:rPr>
          <w:color w:val="000000"/>
          <w:w w:val="90"/>
          <w:sz w:val="24"/>
          <w:szCs w:val="24"/>
        </w:rPr>
        <w:t xml:space="preserve">précédentes </w:t>
      </w:r>
      <w:r w:rsidRPr="00EF7C2B">
        <w:rPr>
          <w:color w:val="000000"/>
          <w:w w:val="90"/>
          <w:sz w:val="24"/>
          <w:szCs w:val="24"/>
        </w:rPr>
        <w:t xml:space="preserve">études confirment ce constat et montrent que l’absence de formation conduit à une approche centrée sur les aspects biologiques, au détriment des dimensions sociales et comportementales </w:t>
      </w:r>
      <w:r>
        <w:rPr>
          <w:color w:val="000000"/>
          <w:w w:val="90"/>
          <w:sz w:val="24"/>
          <w:szCs w:val="24"/>
        </w:rPr>
        <w:fldChar w:fldCharType="begin"/>
      </w:r>
      <w:r>
        <w:rPr>
          <w:color w:val="000000"/>
          <w:w w:val="90"/>
          <w:sz w:val="24"/>
          <w:szCs w:val="24"/>
        </w:rPr>
        <w:instrText xml:space="preserve"> ADDIN ZOTERO_ITEM CSL_CITATION {"citationID":"IQO6kPuV","properties":{"formattedCitation":"(3,15)","plainCitation":"(3,15)","noteIndex":0},"citationItems":[{"id":5177,"uris":["http://zotero.org/users/local/417IawLi/items/JTSY4WJY"],"itemData":{"id":5177,"type":"article-journal","abstract":"RésuméAméliorer la connaissance des pratiques et des représentations des enseignants de l’école primaire quant à leur rôle dans le champ de l’éducation à la santé (ES), identifier les résistances individuelles et structurelles ainsi que les besoins en termes de partenariat et de formation constituent des objectifs importants de la recherche en ES. Une étude quantitative sur un échantillon représentatif de la population des enseignants du premier degré en région Auvergne (n = 673) a été réalisée entre avril et décembre 2001. Les résultats montrent que la majorité des enseignants déclare pratiquer l’ES. L’approche est principalement thématique, essentiellement limitée à des séquences pédagogiques puisqu’elle n’est intégrée à un projet que dans 20 % des cas. Un maître sur trois a fait appel à des partenaires issus majoritairement de la santé scolaire, les parents quant à eux, ne sont qu’exceptionnellement associés. Les paramètres influençant les pratiques et les représentations des enseignants sont : (1) le fait de travailler en zones ou réseaux d’éducation prioritaire et en regroupement pédagogique intercommunal ; les enseignants sont plus nombreux à faire de l’ES dans ces écoles que dans les autres, et (2) le fait d’avoir reçu une formation. Ces résultats suggèrent qu’une politique visant la généralisation de la prise en compte de l’ES à l’école doit développer la formation ainsi que soutenir et accompagner les dynamiques collectives au sein des écoles.","archive":"Cairn.info","container-title":"Santé Publique","DOI":"10.3917/spub.024.0403","issue":"4","journalAbbreviation":"Santé Publique","language":"fr","note":"publisher-place: Laxou\npublisher: S.F.S.P.","page":"403-423","title":"Éducation à la santé à l'école : pratiques et représentations des enseignants du primaire","volume":"Vol. 14","author":[{"family":"Jourdan","given":"Didier"},{"family":"Piec","given":"Isabelle"},{"family":"Aublet-Cuvelier","given":"Bruno"},{"family":"Berger","given":"Dominique"},{"family":"Lejeune","given":"Marie-Line"},{"family":"Laquet-Riffaud","given":"Anne"},{"family":"Geneix","given":"Christian"},{"family":"Glanddier","given":"Phyllis Yvonne"}],"issued":{"date-parts":[["2002"]]}}},{"id":5176,"uris":["http://zotero.org/users/local/417IawLi/items/ILQNLFLF"],"itemData":{"id":5176,"type":"report","event-place":"Geneva, Switzerland","language":"Fr","page":"88","publisher":"OMS","publisher-place":"Geneva, Switzerland","title":"Les indicateurs de la santé des adolescents - recommandés par le groupe consultatif de l’action mondiale pour évaluer la santé des adolescents","URL":"https://iris.who.int/bitstream/handle/10665/376920/9789240095496-fre.pdf?sequence=1","author":[{"family":"OMS","given":""}],"issued":{"date-parts":[["2024"]]}}}],"schema":"https://github.com/citation-style-language/schema/raw/master/csl-citation.json"} </w:instrText>
      </w:r>
      <w:r>
        <w:rPr>
          <w:color w:val="000000"/>
          <w:w w:val="90"/>
          <w:sz w:val="24"/>
          <w:szCs w:val="24"/>
        </w:rPr>
        <w:fldChar w:fldCharType="separate"/>
      </w:r>
      <w:r w:rsidRPr="00DC0E41">
        <w:rPr>
          <w:rFonts w:eastAsia="DengXian"/>
          <w:sz w:val="24"/>
          <w:szCs w:val="21"/>
        </w:rPr>
        <w:t>(3,15)</w:t>
      </w:r>
      <w:r>
        <w:rPr>
          <w:color w:val="000000"/>
          <w:w w:val="90"/>
          <w:sz w:val="24"/>
          <w:szCs w:val="24"/>
        </w:rPr>
        <w:fldChar w:fldCharType="end"/>
      </w:r>
      <w:r w:rsidRPr="00EF7C2B">
        <w:rPr>
          <w:color w:val="000000"/>
          <w:w w:val="90"/>
          <w:sz w:val="24"/>
          <w:szCs w:val="24"/>
        </w:rPr>
        <w:t>.</w:t>
      </w:r>
      <w:r>
        <w:rPr>
          <w:color w:val="000000"/>
          <w:w w:val="90"/>
          <w:sz w:val="24"/>
          <w:szCs w:val="24"/>
        </w:rPr>
        <w:t xml:space="preserve"> </w:t>
      </w:r>
      <w:r w:rsidRPr="00EF7C2B">
        <w:rPr>
          <w:color w:val="000000"/>
          <w:w w:val="90"/>
          <w:sz w:val="24"/>
          <w:szCs w:val="24"/>
        </w:rPr>
        <w:t xml:space="preserve">La pénurie de supports adaptés, de manuels actualisés et d’outils numériques freine l’application </w:t>
      </w:r>
      <w:r>
        <w:rPr>
          <w:color w:val="000000"/>
          <w:w w:val="90"/>
          <w:sz w:val="24"/>
          <w:szCs w:val="24"/>
        </w:rPr>
        <w:t xml:space="preserve">des principes constructivistes de Piaget (1964, 1970) et de </w:t>
      </w:r>
      <w:r w:rsidRPr="00EF7C2B">
        <w:rPr>
          <w:color w:val="000000"/>
          <w:w w:val="90"/>
          <w:sz w:val="24"/>
          <w:szCs w:val="24"/>
        </w:rPr>
        <w:t>Vygotsky</w:t>
      </w:r>
      <w:r>
        <w:rPr>
          <w:color w:val="000000"/>
          <w:w w:val="90"/>
          <w:sz w:val="24"/>
          <w:szCs w:val="24"/>
        </w:rPr>
        <w:t xml:space="preserve"> (1978)</w:t>
      </w:r>
      <w:r w:rsidRPr="00EF7C2B">
        <w:rPr>
          <w:color w:val="000000"/>
          <w:w w:val="90"/>
          <w:sz w:val="24"/>
          <w:szCs w:val="24"/>
        </w:rPr>
        <w:t>, qui valorisent l’apprentissage actif et la contextualisation des savoirs</w:t>
      </w:r>
      <w:r>
        <w:rPr>
          <w:color w:val="000000"/>
          <w:w w:val="90"/>
          <w:sz w:val="24"/>
          <w:szCs w:val="24"/>
        </w:rPr>
        <w:t xml:space="preserve"> </w:t>
      </w:r>
      <w:r w:rsidRPr="00306D56">
        <w:rPr>
          <w:bCs/>
          <w:color w:val="000000"/>
          <w:w w:val="90"/>
          <w:sz w:val="24"/>
          <w:szCs w:val="24"/>
        </w:rPr>
        <w:fldChar w:fldCharType="begin"/>
      </w:r>
      <w:r>
        <w:rPr>
          <w:bCs/>
          <w:color w:val="000000"/>
          <w:w w:val="90"/>
          <w:sz w:val="24"/>
          <w:szCs w:val="24"/>
        </w:rPr>
        <w:instrText xml:space="preserve"> ADDIN ZOTERO_ITEM CSL_CITATION {"citationID":"0dOG9pdw","properties":{"formattedCitation":"(5,6,16,17)","plainCitation":"(5,6,16,17)","noteIndex":0},"citationItems":[{"id":4706,"uris":["http://zotero.org/users/local/417IawLi/items/ZXPHZZAN"],"itemData":{"id":4706,"type":"article-journal","container-title":"Journal of Research in Science Teaching","DOI":"10.1002/tea.3660020306","ISSN":"0022-4308, 1098-2736","issue":"3","journalAbbreviation":"J Res Sci Teach","language":"en","page":"176-186","source":"DOI.org (Crossref)","title":"Part I: Cognitive development in children: Piaget development and learning","title-short":"Part I","volume":"2","author":[{"family":"J. Piaget","given":""}],"issued":{"date-parts":[["1964",9]]}}},{"id":4569,"uris":["http://zotero.org/users/local/417IawLi/items/BL2YDLQ5"],"itemData":{"id":4569,"type":"article-journal","container-title":"Trans. D. Coltman. Orion.","title":"Science of education and the psychology of the child","author":[{"family":"Piaget","given":"J"}],"issued":{"date-parts":[["1970"]]}}},{"id":4428,"uris":["http://zotero.org/users/local/417IawLi/items/53D9R6MC"],"itemData":{"id":4428,"type":"chapter","edition":"in gauvain &amp; cole (eds.), readings onthe development of children","page":"34-40","title":"Interaction between learning and development","author":[{"family":"Vygotsky","given":"L. S."}],"issued":{"date-parts":[["1978"]]}}},{"id":2763,"uris":["http://zotero.org/users/local/417IawLi/items/UUIH3THC"],"itemData":{"id":2763,"type":"book","edition":"Nachdr.","event-place":"Cambridge, Mass.","ISBN":"978-0-674-57629-2","language":"eng","number-of-pages":"159","publisher":"Harvard Univ. Press","publisher-place":"Cambridge, Mass.","source":"K10plus ISBN","title":"Mind in society: the development of higher psychological processes","title-short":"Mind in society","author":[{"family":"Vygotskij","given":"Lev Semenovič"},{"family":"Cole","given":"Michael"}],"issued":{"date-parts":[["1981"]]}}}],"schema":"https://github.com/citation-style-language/schema/raw/master/csl-citation.json"} </w:instrText>
      </w:r>
      <w:r w:rsidRPr="00306D56">
        <w:rPr>
          <w:bCs/>
          <w:color w:val="000000"/>
          <w:w w:val="90"/>
          <w:sz w:val="24"/>
          <w:szCs w:val="24"/>
        </w:rPr>
        <w:fldChar w:fldCharType="separate"/>
      </w:r>
      <w:r w:rsidRPr="00DC0E41">
        <w:rPr>
          <w:rFonts w:eastAsia="DengXian"/>
          <w:sz w:val="24"/>
          <w:szCs w:val="21"/>
        </w:rPr>
        <w:t>(5,6,16,17)</w:t>
      </w:r>
      <w:r w:rsidRPr="00306D56">
        <w:rPr>
          <w:bCs/>
          <w:color w:val="000000"/>
          <w:w w:val="90"/>
          <w:sz w:val="24"/>
          <w:szCs w:val="24"/>
        </w:rPr>
        <w:fldChar w:fldCharType="end"/>
      </w:r>
      <w:r w:rsidRPr="00306D56">
        <w:rPr>
          <w:bCs/>
          <w:color w:val="000000"/>
          <w:w w:val="90"/>
          <w:sz w:val="24"/>
          <w:szCs w:val="24"/>
        </w:rPr>
        <w:t>. Les enseignants peinent à relier les enjeux</w:t>
      </w:r>
      <w:r w:rsidRPr="00EF7C2B">
        <w:rPr>
          <w:color w:val="000000"/>
          <w:w w:val="90"/>
          <w:sz w:val="24"/>
          <w:szCs w:val="24"/>
        </w:rPr>
        <w:t xml:space="preserve"> de santé aux expériences des élèves et à adapter leur discours aux réalités locales.</w:t>
      </w:r>
    </w:p>
    <w:p w14:paraId="35EC23D8" w14:textId="77777777" w:rsidR="00D80693" w:rsidRPr="00EF7C2B" w:rsidRDefault="00D80693" w:rsidP="00D51032">
      <w:pPr>
        <w:spacing w:before="120"/>
        <w:jc w:val="both"/>
        <w:rPr>
          <w:i/>
          <w:color w:val="000000"/>
          <w:w w:val="90"/>
          <w:sz w:val="24"/>
          <w:szCs w:val="24"/>
        </w:rPr>
      </w:pPr>
      <w:r w:rsidRPr="00EF7C2B">
        <w:rPr>
          <w:i/>
          <w:color w:val="000000"/>
          <w:w w:val="90"/>
          <w:sz w:val="24"/>
          <w:szCs w:val="24"/>
        </w:rPr>
        <w:t>« Les manuels scolaires sont souvent obsolètes et ne traitent pas les problèmes de santé actuels. On n'a pas accès à des supports pédagogiques adaptés. » (Enseignant de S</w:t>
      </w:r>
      <w:r>
        <w:rPr>
          <w:i/>
          <w:color w:val="000000"/>
          <w:w w:val="90"/>
          <w:sz w:val="24"/>
          <w:szCs w:val="24"/>
        </w:rPr>
        <w:t xml:space="preserve">ciences de la </w:t>
      </w:r>
      <w:r w:rsidRPr="00EF7C2B">
        <w:rPr>
          <w:i/>
          <w:color w:val="000000"/>
          <w:w w:val="90"/>
          <w:sz w:val="24"/>
          <w:szCs w:val="24"/>
        </w:rPr>
        <w:t>V</w:t>
      </w:r>
      <w:r>
        <w:rPr>
          <w:i/>
          <w:color w:val="000000"/>
          <w:w w:val="90"/>
          <w:sz w:val="24"/>
          <w:szCs w:val="24"/>
        </w:rPr>
        <w:t xml:space="preserve">ie et de la </w:t>
      </w:r>
      <w:r w:rsidRPr="00EF7C2B">
        <w:rPr>
          <w:i/>
          <w:color w:val="000000"/>
          <w:w w:val="90"/>
          <w:sz w:val="24"/>
          <w:szCs w:val="24"/>
        </w:rPr>
        <w:t>T</w:t>
      </w:r>
      <w:r>
        <w:rPr>
          <w:i/>
          <w:color w:val="000000"/>
          <w:w w:val="90"/>
          <w:sz w:val="24"/>
          <w:szCs w:val="24"/>
        </w:rPr>
        <w:t>erre</w:t>
      </w:r>
      <w:r w:rsidRPr="00EF7C2B">
        <w:rPr>
          <w:i/>
          <w:color w:val="000000"/>
          <w:w w:val="90"/>
          <w:sz w:val="24"/>
          <w:szCs w:val="24"/>
        </w:rPr>
        <w:t>, Brazzaville)</w:t>
      </w:r>
      <w:r>
        <w:rPr>
          <w:i/>
          <w:color w:val="000000"/>
          <w:w w:val="90"/>
          <w:sz w:val="24"/>
          <w:szCs w:val="24"/>
        </w:rPr>
        <w:t>.</w:t>
      </w:r>
    </w:p>
    <w:p w14:paraId="3F27DE86" w14:textId="77777777" w:rsidR="00D80693" w:rsidRPr="00EF7C2B" w:rsidRDefault="00D80693" w:rsidP="001B071B">
      <w:pPr>
        <w:spacing w:before="120"/>
        <w:jc w:val="both"/>
        <w:rPr>
          <w:color w:val="000000"/>
          <w:w w:val="90"/>
          <w:sz w:val="24"/>
          <w:szCs w:val="24"/>
        </w:rPr>
      </w:pPr>
      <w:r w:rsidRPr="00EF7C2B">
        <w:rPr>
          <w:bCs/>
          <w:color w:val="000000"/>
          <w:w w:val="90"/>
          <w:sz w:val="24"/>
          <w:szCs w:val="24"/>
        </w:rPr>
        <w:t>Le manque de matériel pédagogique adapté empêche l’innovation pédagogique et freine la participation active des élèves dans les apprentissages liés à la santé.</w:t>
      </w:r>
      <w:r>
        <w:rPr>
          <w:bCs/>
          <w:color w:val="000000"/>
          <w:w w:val="90"/>
          <w:sz w:val="24"/>
          <w:szCs w:val="24"/>
        </w:rPr>
        <w:t xml:space="preserve"> </w:t>
      </w:r>
      <w:r w:rsidRPr="00EF7C2B">
        <w:rPr>
          <w:color w:val="000000"/>
          <w:w w:val="90"/>
          <w:sz w:val="24"/>
          <w:szCs w:val="24"/>
        </w:rPr>
        <w:t>L’éducation à la santé est fortement influencée par les contextes familiaux, co</w:t>
      </w:r>
      <w:r w:rsidRPr="00306D56">
        <w:rPr>
          <w:bCs/>
          <w:color w:val="000000"/>
          <w:w w:val="90"/>
          <w:sz w:val="24"/>
          <w:szCs w:val="24"/>
        </w:rPr>
        <w:t xml:space="preserve">mmunautaires et culturels, conformément à la théorie des systèmes écologiques de Bronfenbrenner (2009) </w:t>
      </w:r>
      <w:r w:rsidRPr="00306D56">
        <w:rPr>
          <w:bCs/>
          <w:color w:val="000000"/>
          <w:w w:val="90"/>
          <w:sz w:val="24"/>
          <w:szCs w:val="24"/>
        </w:rPr>
        <w:fldChar w:fldCharType="begin"/>
      </w:r>
      <w:r>
        <w:rPr>
          <w:bCs/>
          <w:color w:val="000000"/>
          <w:w w:val="90"/>
          <w:sz w:val="24"/>
          <w:szCs w:val="24"/>
        </w:rPr>
        <w:instrText xml:space="preserve"> ADDIN ZOTERO_ITEM CSL_CITATION {"citationID":"xhpMkC6d","properties":{"formattedCitation":"(8)","plainCitation":"(8)","noteIndex":0},"citationItems":[{"id":4423,"uris":["http://zotero.org/users/local/417IawLi/items/GVE38JTS"],"itemData":{"id":4423,"type":"book","abstract":"Intro -- Foreword -- Preface -- Contents -- Part One: An Ecological Orientation -- 1. Purpose and Perspective -- 2. Basic Concepts -- Part Two: Elements of the Setting -- 3. The Nature and Function of Molar Activities -- 4. Interpersonal Structures as Contexts of Human Development -- 5. Roles as Contexts of Human Development -- Part Three: The Analysis of Settings -- 6. The Laboratory as an Ecological Context -- 7. Children's Institutions as Contexts of Human Development -- 8. Day Care and Preschool as Contexts of Human Development -- Part Four: Beyond the Microsystem -- 9. The Mesosystem and Human Development -- 10. The Exosystem and Human Development -- 11. The Macrosystem and Human Development -- Notes -- Bibliography -- Index","event-place":"Cambridge","ISBN":"978-0-674-22457-5","language":"eng","number-of-pages":"352","publisher":"Harvard University Press","publisher-place":"Cambridge","source":"K10plus ISBN","title":"Ecology of Human Development: Experiments by Nature and Design","title-short":"Ecology of Human Development","author":[{"family":"Bronfenbrenner","given":"Urie"}],"issued":{"date-parts":[["2009"]]}}}],"schema":"https://github.com/citation-style-language/schema/raw/master/csl-citation.json"} </w:instrText>
      </w:r>
      <w:r w:rsidRPr="00306D56">
        <w:rPr>
          <w:bCs/>
          <w:color w:val="000000"/>
          <w:w w:val="90"/>
          <w:sz w:val="24"/>
          <w:szCs w:val="24"/>
        </w:rPr>
        <w:fldChar w:fldCharType="separate"/>
      </w:r>
      <w:r w:rsidRPr="00DC0E41">
        <w:rPr>
          <w:rFonts w:eastAsia="DengXian"/>
          <w:sz w:val="24"/>
          <w:szCs w:val="21"/>
        </w:rPr>
        <w:t>(8)</w:t>
      </w:r>
      <w:r w:rsidRPr="00306D56">
        <w:rPr>
          <w:bCs/>
          <w:color w:val="000000"/>
          <w:w w:val="90"/>
          <w:sz w:val="24"/>
          <w:szCs w:val="24"/>
        </w:rPr>
        <w:fldChar w:fldCharType="end"/>
      </w:r>
      <w:r w:rsidRPr="00306D56">
        <w:rPr>
          <w:bCs/>
          <w:color w:val="000000"/>
          <w:w w:val="90"/>
          <w:sz w:val="24"/>
          <w:szCs w:val="24"/>
        </w:rPr>
        <w:t>. Les enseignants, notamment en milieu rural, se heurtent à des tabous persistants</w:t>
      </w:r>
      <w:r w:rsidRPr="00EF7C2B">
        <w:rPr>
          <w:color w:val="000000"/>
          <w:w w:val="90"/>
          <w:sz w:val="24"/>
          <w:szCs w:val="24"/>
        </w:rPr>
        <w:t xml:space="preserve"> et à des résistances sociales, ce qui rend difficile l’abord de certains thèmes (sexualité, hygiène, prévention).</w:t>
      </w:r>
    </w:p>
    <w:p w14:paraId="77909856" w14:textId="77777777" w:rsidR="00D80693" w:rsidRPr="00EF7C2B" w:rsidRDefault="00D80693" w:rsidP="00D51032">
      <w:pPr>
        <w:spacing w:before="120"/>
        <w:jc w:val="both"/>
        <w:rPr>
          <w:i/>
          <w:color w:val="000000"/>
          <w:w w:val="90"/>
          <w:sz w:val="24"/>
          <w:szCs w:val="24"/>
        </w:rPr>
      </w:pPr>
      <w:r w:rsidRPr="00EF7C2B">
        <w:rPr>
          <w:i/>
          <w:color w:val="000000"/>
          <w:w w:val="90"/>
          <w:sz w:val="24"/>
          <w:szCs w:val="24"/>
        </w:rPr>
        <w:t>« Dans mon village, il y a beaucoup de tabous autour de la sexualité. C'est difficile d'aborder ces questions avec les élèves, car on risque de choquer les parents. » (Directeur d’école, Oyo)</w:t>
      </w:r>
      <w:r>
        <w:rPr>
          <w:i/>
          <w:color w:val="000000"/>
          <w:w w:val="90"/>
          <w:sz w:val="24"/>
          <w:szCs w:val="24"/>
        </w:rPr>
        <w:t>.</w:t>
      </w:r>
    </w:p>
    <w:p w14:paraId="01311D66" w14:textId="77777777" w:rsidR="00D80693" w:rsidRPr="00EF7C2B" w:rsidRDefault="00D80693" w:rsidP="001B071B">
      <w:pPr>
        <w:spacing w:before="120"/>
        <w:jc w:val="both"/>
        <w:rPr>
          <w:color w:val="000000"/>
          <w:w w:val="90"/>
          <w:sz w:val="24"/>
          <w:szCs w:val="24"/>
        </w:rPr>
      </w:pPr>
      <w:r w:rsidRPr="00EF7C2B">
        <w:rPr>
          <w:bCs/>
          <w:color w:val="000000"/>
          <w:w w:val="90"/>
          <w:sz w:val="24"/>
          <w:szCs w:val="24"/>
        </w:rPr>
        <w:t>Les enseignants sont ainsi placés dans une posture délicate, entre exigences institutionnelles et attentes communautaires, sans outils ni formation pour gérer ces tensions.</w:t>
      </w:r>
      <w:r>
        <w:rPr>
          <w:color w:val="000000"/>
          <w:w w:val="90"/>
          <w:sz w:val="24"/>
          <w:szCs w:val="24"/>
        </w:rPr>
        <w:t xml:space="preserve"> </w:t>
      </w:r>
      <w:r w:rsidRPr="00EF7C2B">
        <w:rPr>
          <w:color w:val="000000"/>
          <w:w w:val="90"/>
          <w:sz w:val="24"/>
          <w:szCs w:val="24"/>
        </w:rPr>
        <w:t>L’absence de liens explicites entre le curriculum et l’éducation à la santé limite la capacité des enseignants à intégrer ces enjeux dans leurs disciplines. Cela réduit la pertinence des apprentissages et l’impact sur les comportements des élèves.</w:t>
      </w:r>
    </w:p>
    <w:p w14:paraId="544172CC" w14:textId="77777777" w:rsidR="00D80693" w:rsidRPr="00EF7C2B" w:rsidRDefault="00D80693" w:rsidP="00D51032">
      <w:pPr>
        <w:spacing w:before="120"/>
        <w:jc w:val="both"/>
        <w:rPr>
          <w:i/>
          <w:color w:val="000000"/>
          <w:w w:val="90"/>
          <w:sz w:val="24"/>
          <w:szCs w:val="24"/>
        </w:rPr>
      </w:pPr>
      <w:r w:rsidRPr="00EF7C2B">
        <w:rPr>
          <w:i/>
          <w:color w:val="000000"/>
          <w:w w:val="90"/>
          <w:sz w:val="24"/>
          <w:szCs w:val="24"/>
        </w:rPr>
        <w:t>« Le programme n’a pas une partie affectée à l'éducation de la santé. » (Enseignant de Sciences Physiques</w:t>
      </w:r>
      <w:r>
        <w:rPr>
          <w:i/>
          <w:color w:val="000000"/>
          <w:w w:val="90"/>
          <w:sz w:val="24"/>
          <w:szCs w:val="24"/>
        </w:rPr>
        <w:t>, Brazzaville</w:t>
      </w:r>
      <w:r w:rsidRPr="00EF7C2B">
        <w:rPr>
          <w:i/>
          <w:color w:val="000000"/>
          <w:w w:val="90"/>
          <w:sz w:val="24"/>
          <w:szCs w:val="24"/>
        </w:rPr>
        <w:t>)</w:t>
      </w:r>
      <w:r>
        <w:rPr>
          <w:i/>
          <w:color w:val="000000"/>
          <w:w w:val="90"/>
          <w:sz w:val="24"/>
          <w:szCs w:val="24"/>
        </w:rPr>
        <w:t>.</w:t>
      </w:r>
    </w:p>
    <w:p w14:paraId="6DDDE469" w14:textId="77777777" w:rsidR="00D80693" w:rsidRPr="00EF7C2B" w:rsidRDefault="00D80693" w:rsidP="001B071B">
      <w:pPr>
        <w:spacing w:before="120"/>
        <w:jc w:val="both"/>
        <w:rPr>
          <w:color w:val="000000"/>
          <w:w w:val="90"/>
          <w:sz w:val="24"/>
          <w:szCs w:val="24"/>
        </w:rPr>
      </w:pPr>
      <w:r w:rsidRPr="00EF7C2B">
        <w:rPr>
          <w:bCs/>
          <w:color w:val="000000"/>
          <w:w w:val="90"/>
          <w:sz w:val="24"/>
          <w:szCs w:val="24"/>
        </w:rPr>
        <w:t>Cette marginalisation curriculaire traduit un manque de reconnaissance institutionnelle de l’importance de la santé comme levier éducatif transversal.</w:t>
      </w:r>
      <w:r>
        <w:rPr>
          <w:bCs/>
          <w:color w:val="000000"/>
          <w:w w:val="90"/>
          <w:sz w:val="24"/>
          <w:szCs w:val="24"/>
        </w:rPr>
        <w:t xml:space="preserve"> </w:t>
      </w:r>
      <w:r w:rsidRPr="00EF7C2B">
        <w:rPr>
          <w:color w:val="000000"/>
          <w:w w:val="90"/>
          <w:sz w:val="24"/>
          <w:szCs w:val="24"/>
        </w:rPr>
        <w:t>Les enseignants expriment un sentiment d’isolement et un manque de soutien de la part de l’institution, des inspecteurs et des professionnels de santé. Ce déficit d’accompagnement entrave la mise en œuvre de pratiques innovantes et l’adaptation aux besoins des élèves.</w:t>
      </w:r>
    </w:p>
    <w:p w14:paraId="74906F73" w14:textId="77777777" w:rsidR="00D80693" w:rsidRPr="00EF7C2B" w:rsidRDefault="00D80693" w:rsidP="00D51032">
      <w:pPr>
        <w:spacing w:before="120"/>
        <w:jc w:val="both"/>
        <w:rPr>
          <w:i/>
          <w:color w:val="000000"/>
          <w:w w:val="90"/>
          <w:sz w:val="24"/>
          <w:szCs w:val="24"/>
        </w:rPr>
      </w:pPr>
      <w:r w:rsidRPr="00EF7C2B">
        <w:rPr>
          <w:i/>
          <w:color w:val="000000"/>
          <w:w w:val="90"/>
          <w:sz w:val="24"/>
          <w:szCs w:val="24"/>
        </w:rPr>
        <w:t>« On se sent souvent seuls face à ces défis. On aimerait avoir plus de soutien de la part des inspecteurs, des professionnels de santé, et des parents d'élèves. » (Inspecteur d’E</w:t>
      </w:r>
      <w:r>
        <w:rPr>
          <w:i/>
          <w:color w:val="000000"/>
          <w:w w:val="90"/>
          <w:sz w:val="24"/>
          <w:szCs w:val="24"/>
        </w:rPr>
        <w:t xml:space="preserve">ducation </w:t>
      </w:r>
      <w:r w:rsidRPr="00EF7C2B">
        <w:rPr>
          <w:i/>
          <w:color w:val="000000"/>
          <w:w w:val="90"/>
          <w:sz w:val="24"/>
          <w:szCs w:val="24"/>
        </w:rPr>
        <w:t>P</w:t>
      </w:r>
      <w:r>
        <w:rPr>
          <w:i/>
          <w:color w:val="000000"/>
          <w:w w:val="90"/>
          <w:sz w:val="24"/>
          <w:szCs w:val="24"/>
        </w:rPr>
        <w:t xml:space="preserve">hysique et </w:t>
      </w:r>
      <w:r w:rsidRPr="00EF7C2B">
        <w:rPr>
          <w:i/>
          <w:color w:val="000000"/>
          <w:w w:val="90"/>
          <w:sz w:val="24"/>
          <w:szCs w:val="24"/>
        </w:rPr>
        <w:t>S</w:t>
      </w:r>
      <w:r>
        <w:rPr>
          <w:i/>
          <w:color w:val="000000"/>
          <w:w w:val="90"/>
          <w:sz w:val="24"/>
          <w:szCs w:val="24"/>
        </w:rPr>
        <w:t>portive</w:t>
      </w:r>
      <w:r w:rsidRPr="00EF7C2B">
        <w:rPr>
          <w:i/>
          <w:color w:val="000000"/>
          <w:w w:val="90"/>
          <w:sz w:val="24"/>
          <w:szCs w:val="24"/>
        </w:rPr>
        <w:t>,</w:t>
      </w:r>
      <w:r>
        <w:rPr>
          <w:i/>
          <w:color w:val="000000"/>
          <w:w w:val="90"/>
          <w:sz w:val="24"/>
          <w:szCs w:val="24"/>
        </w:rPr>
        <w:t xml:space="preserve"> département des</w:t>
      </w:r>
      <w:r w:rsidRPr="00EF7C2B">
        <w:rPr>
          <w:i/>
          <w:color w:val="000000"/>
          <w:w w:val="90"/>
          <w:sz w:val="24"/>
          <w:szCs w:val="24"/>
        </w:rPr>
        <w:t xml:space="preserve"> Plateaux)</w:t>
      </w:r>
      <w:r>
        <w:rPr>
          <w:i/>
          <w:color w:val="000000"/>
          <w:w w:val="90"/>
          <w:sz w:val="24"/>
          <w:szCs w:val="24"/>
        </w:rPr>
        <w:t>.</w:t>
      </w:r>
    </w:p>
    <w:p w14:paraId="641090C7" w14:textId="77777777" w:rsidR="00D80693" w:rsidRPr="00EF7C2B" w:rsidRDefault="00D80693" w:rsidP="001B071B">
      <w:pPr>
        <w:spacing w:before="120"/>
        <w:jc w:val="both"/>
        <w:rPr>
          <w:color w:val="000000"/>
          <w:w w:val="90"/>
          <w:sz w:val="24"/>
          <w:szCs w:val="24"/>
        </w:rPr>
      </w:pPr>
      <w:r w:rsidRPr="00EF7C2B">
        <w:rPr>
          <w:bCs/>
          <w:color w:val="000000"/>
          <w:w w:val="90"/>
          <w:sz w:val="24"/>
          <w:szCs w:val="24"/>
        </w:rPr>
        <w:t>Une gouvernance éducative plus participative et un accompagnement institutionnel renforcé sont essentiels pour favoriser l’autonomie professionnelle des enseignants.</w:t>
      </w:r>
      <w:r>
        <w:rPr>
          <w:bCs/>
          <w:color w:val="000000"/>
          <w:w w:val="90"/>
          <w:sz w:val="24"/>
          <w:szCs w:val="24"/>
        </w:rPr>
        <w:t xml:space="preserve"> </w:t>
      </w:r>
      <w:r w:rsidRPr="00EF7C2B">
        <w:rPr>
          <w:color w:val="000000"/>
          <w:w w:val="90"/>
          <w:sz w:val="24"/>
          <w:szCs w:val="24"/>
        </w:rPr>
        <w:t xml:space="preserve">Les défis identifiés au Congo sont similaires à ceux rencontrés dans d’autres pays africains à faibles ressources, où le manque de formation, la faiblesse des ressources pédagogiques et l’absence de soutien institutionnel sont des freins majeurs </w:t>
      </w:r>
      <w:r>
        <w:rPr>
          <w:color w:val="000000"/>
          <w:w w:val="90"/>
          <w:sz w:val="24"/>
          <w:szCs w:val="24"/>
        </w:rPr>
        <w:fldChar w:fldCharType="begin"/>
      </w:r>
      <w:r>
        <w:rPr>
          <w:color w:val="000000"/>
          <w:w w:val="90"/>
          <w:sz w:val="24"/>
          <w:szCs w:val="24"/>
        </w:rPr>
        <w:instrText xml:space="preserve"> ADDIN ZOTERO_ITEM CSL_CITATION {"citationID":"rU68dQGg","properties":{"formattedCitation":"(3,15)","plainCitation":"(3,15)","noteIndex":0},"citationItems":[{"id":5177,"uris":["http://zotero.org/users/local/417IawLi/items/JTSY4WJY"],"itemData":{"id":5177,"type":"article-journal","abstract":"RésuméAméliorer la connaissance des pratiques et des représentations des enseignants de l’école primaire quant à leur rôle dans le champ de l’éducation à la santé (ES), identifier les résistances individuelles et structurelles ainsi que les besoins en termes de partenariat et de formation constituent des objectifs importants de la recherche en ES. Une étude quantitative sur un échantillon représentatif de la population des enseignants du premier degré en région Auvergne (n = 673) a été réalisée entre avril et décembre 2001. Les résultats montrent que la majorité des enseignants déclare pratiquer l’ES. L’approche est principalement thématique, essentiellement limitée à des séquences pédagogiques puisqu’elle n’est intégrée à un projet que dans 20 % des cas. Un maître sur trois a fait appel à des partenaires issus majoritairement de la santé scolaire, les parents quant à eux, ne sont qu’exceptionnellement associés. Les paramètres influençant les pratiques et les représentations des enseignants sont : (1) le fait de travailler en zones ou réseaux d’éducation prioritaire et en regroupement pédagogique intercommunal ; les enseignants sont plus nombreux à faire de l’ES dans ces écoles que dans les autres, et (2) le fait d’avoir reçu une formation. Ces résultats suggèrent qu’une politique visant la généralisation de la prise en compte de l’ES à l’école doit développer la formation ainsi que soutenir et accompagner les dynamiques collectives au sein des écoles.","archive":"Cairn.info","container-title":"Santé Publique","DOI":"10.3917/spub.024.0403","issue":"4","journalAbbreviation":"Santé Publique","language":"fr","note":"publisher-place: Laxou\npublisher: S.F.S.P.","page":"403-423","title":"Éducation à la santé à l'école : pratiques et représentations des enseignants du primaire","volume":"Vol. 14","author":[{"family":"Jourdan","given":"Didier"},{"family":"Piec","given":"Isabelle"},{"family":"Aublet-Cuvelier","given":"Bruno"},{"family":"Berger","given":"Dominique"},{"family":"Lejeune","given":"Marie-Line"},{"family":"Laquet-Riffaud","given":"Anne"},{"family":"Geneix","given":"Christian"},{"family":"Glanddier","given":"Phyllis Yvonne"}],"issued":{"date-parts":[["2002"]]}}},{"id":5176,"uris":["http://zotero.org/users/local/417IawLi/items/ILQNLFLF"],"itemData":{"id":5176,"type":"report","event-place":"Geneva, Switzerland","language":"Fr","page":"88","publisher":"OMS","publisher-place":"Geneva, Switzerland","title":"Les indicateurs de la santé des adolescents - recommandés par le groupe consultatif de l’action mondiale pour évaluer la santé des adolescents","URL":"https://iris.who.int/bitstream/handle/10665/376920/9789240095496-fre.pdf?sequence=1","author":[{"family":"OMS","given":""}],"issued":{"date-parts":[["2024"]]}}}],"schema":"https://github.com/citation-style-language/schema/raw/master/csl-citation.json"} </w:instrText>
      </w:r>
      <w:r>
        <w:rPr>
          <w:color w:val="000000"/>
          <w:w w:val="90"/>
          <w:sz w:val="24"/>
          <w:szCs w:val="24"/>
        </w:rPr>
        <w:fldChar w:fldCharType="separate"/>
      </w:r>
      <w:r w:rsidRPr="00DC0E41">
        <w:rPr>
          <w:rFonts w:eastAsia="DengXian"/>
          <w:sz w:val="24"/>
          <w:szCs w:val="21"/>
        </w:rPr>
        <w:t>(3,15)</w:t>
      </w:r>
      <w:r>
        <w:rPr>
          <w:color w:val="000000"/>
          <w:w w:val="90"/>
          <w:sz w:val="24"/>
          <w:szCs w:val="24"/>
        </w:rPr>
        <w:fldChar w:fldCharType="end"/>
      </w:r>
      <w:r w:rsidRPr="00EF7C2B">
        <w:rPr>
          <w:color w:val="000000"/>
          <w:w w:val="90"/>
          <w:sz w:val="24"/>
          <w:szCs w:val="24"/>
        </w:rPr>
        <w:t xml:space="preserve">. À l’inverse, </w:t>
      </w:r>
      <w:r w:rsidRPr="00EF7C2B">
        <w:rPr>
          <w:bCs/>
          <w:color w:val="000000"/>
          <w:w w:val="90"/>
          <w:sz w:val="24"/>
          <w:szCs w:val="24"/>
        </w:rPr>
        <w:t>des initiatives mises en place dans des pays comme le Kenya ont montré qu’une politique volontariste et structurée peut conduire à des résultats tangibles.</w:t>
      </w:r>
      <w:r w:rsidRPr="00EF7C2B">
        <w:rPr>
          <w:color w:val="000000"/>
          <w:w w:val="90"/>
          <w:sz w:val="24"/>
          <w:szCs w:val="24"/>
        </w:rPr>
        <w:t xml:space="preserve"> L’intégration de modules spécifiques à l’éducation à la santé dans la formation initiale et continue, le développement de partenariats intersectoriels et l’adaptation des ressources aux contextes locaux ont permis d’améliorer la qualité des interventions</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{"citationID":"ZnmKOuQL","properties":{"formattedCitation":"(18)","plainCitation":"(18)","noteIndex":0},"citationItems":[{"id":2552,"uris":["http://zotero.org/users/local/417IawLi/items/SH9X3Q49"],"itemData":{"id":2552,"type":"book","event-place":"Institut National de Prévention et d'Education pour la Santé, INPES FRANCE","language":"fr","number-of-pages":"146p","publisher":"Saint Denis INPES","publisher-place":"Institut National de Prévention et d'Education pour la Santé, INPES FRANCE","title":"Éducation à la santé : Quelle formation pour les enseignants ?","URL":"https://www.ac-paris.fr/portail/upload/docs/image/pdf/2015-02/education_a_la_sante_-_quelle_formation_pour_les_enseignants_170_p..pdf","author":[{"family":"Jourdan","given":"Didier"}],"issued":{"date-parts":[["2011"]]}}}],"schema":"https://github.com/citation-style-language/schema/raw/master/csl-citation.json"} </w:instrText>
      </w:r>
      <w:r>
        <w:rPr>
          <w:color w:val="000000"/>
          <w:w w:val="90"/>
          <w:sz w:val="24"/>
          <w:szCs w:val="24"/>
        </w:rPr>
        <w:fldChar w:fldCharType="separate"/>
      </w:r>
      <w:r w:rsidRPr="00DC0E41">
        <w:rPr>
          <w:rFonts w:eastAsia="DengXian"/>
          <w:sz w:val="24"/>
          <w:szCs w:val="21"/>
        </w:rPr>
        <w:t>(18)</w:t>
      </w:r>
      <w:r>
        <w:rPr>
          <w:color w:val="000000"/>
          <w:w w:val="90"/>
          <w:sz w:val="24"/>
          <w:szCs w:val="24"/>
        </w:rPr>
        <w:fldChar w:fldCharType="end"/>
      </w:r>
      <w:r w:rsidRPr="00EF7C2B">
        <w:rPr>
          <w:color w:val="000000"/>
          <w:w w:val="90"/>
          <w:sz w:val="24"/>
          <w:szCs w:val="24"/>
        </w:rPr>
        <w:t>.</w:t>
      </w:r>
      <w:r>
        <w:rPr>
          <w:color w:val="000000"/>
          <w:w w:val="90"/>
          <w:sz w:val="24"/>
          <w:szCs w:val="24"/>
        </w:rPr>
        <w:t xml:space="preserve"> </w:t>
      </w:r>
      <w:r w:rsidRPr="00EF7C2B">
        <w:rPr>
          <w:bCs/>
          <w:color w:val="000000"/>
          <w:w w:val="90"/>
          <w:sz w:val="24"/>
          <w:szCs w:val="24"/>
        </w:rPr>
        <w:t>Ces exemples illustrent l’importance d’une stratégie nationale intégrée, contextualisée et multisectorielle.</w:t>
      </w:r>
    </w:p>
    <w:p w14:paraId="6A8F01D3" w14:textId="77777777" w:rsidR="00D80693" w:rsidRPr="00EF7C2B" w:rsidRDefault="00D80693" w:rsidP="00D51032">
      <w:pPr>
        <w:spacing w:before="120"/>
        <w:jc w:val="both"/>
        <w:rPr>
          <w:b/>
          <w:bCs/>
          <w:color w:val="000000"/>
          <w:w w:val="90"/>
          <w:sz w:val="24"/>
          <w:szCs w:val="24"/>
        </w:rPr>
      </w:pPr>
      <w:r w:rsidRPr="00EF7C2B">
        <w:rPr>
          <w:b/>
          <w:bCs/>
          <w:color w:val="000000"/>
          <w:w w:val="90"/>
          <w:sz w:val="24"/>
          <w:szCs w:val="24"/>
        </w:rPr>
        <w:t>Recommandations concrètes pour la professionnalisation</w:t>
      </w:r>
    </w:p>
    <w:p w14:paraId="0B45EC33" w14:textId="77777777" w:rsidR="00D80693" w:rsidRPr="007C1E66" w:rsidRDefault="00D80693" w:rsidP="00D51032">
      <w:pPr>
        <w:spacing w:before="120"/>
        <w:ind w:firstLine="708"/>
        <w:jc w:val="both"/>
        <w:rPr>
          <w:color w:val="000000"/>
          <w:w w:val="90"/>
          <w:sz w:val="24"/>
          <w:szCs w:val="24"/>
        </w:rPr>
      </w:pPr>
      <w:r w:rsidRPr="007C1E66">
        <w:rPr>
          <w:color w:val="000000"/>
          <w:w w:val="90"/>
          <w:sz w:val="24"/>
          <w:szCs w:val="24"/>
        </w:rPr>
        <w:t>Pour surmonter les obstacles identifiés, plusieurs recommandations stratégiques et opérationnelles sont proposées. Il est essentiel d’intégrer des modules obligatoires d’éducation à la santé dans la formation initiale et continue des enseignants, couvrant un large éventail de thématiques telles que la santé mentale, la nutrition, la sexualité et la prévention des maladies. Le développement de partenariats stratégiques entre les institutions de formation des enseignants, les facultés de médecine, les écoles d’infirmiers et les instituts de santé publique permettra de garantir la qualité et la rigueur des contenus pédagogiques.</w:t>
      </w:r>
    </w:p>
    <w:p w14:paraId="14830D43" w14:textId="77777777" w:rsidR="00D80693" w:rsidRPr="007C1E66" w:rsidRDefault="00D80693" w:rsidP="001B071B">
      <w:pPr>
        <w:spacing w:before="120"/>
        <w:jc w:val="both"/>
        <w:rPr>
          <w:color w:val="000000"/>
          <w:w w:val="90"/>
          <w:sz w:val="24"/>
          <w:szCs w:val="24"/>
        </w:rPr>
      </w:pPr>
      <w:r w:rsidRPr="007C1E66">
        <w:rPr>
          <w:color w:val="000000"/>
          <w:w w:val="90"/>
          <w:sz w:val="24"/>
          <w:szCs w:val="24"/>
        </w:rPr>
        <w:t>La mise en place de programmes de mentorat, de supervision pédagogique et de communautés de pratique favorisera le soutien, le partage d’expériences et l’entraide entre enseignants. Par ailleurs, la création et la diffusion de ressources éducatives variées, sous format imprimé, numérique et vidéo, doivent être priorisées, en veillant à leur accessibilité hors ligne et à leur pertinence contextuelle.</w:t>
      </w:r>
      <w:r>
        <w:rPr>
          <w:color w:val="000000"/>
          <w:w w:val="90"/>
          <w:sz w:val="24"/>
          <w:szCs w:val="24"/>
        </w:rPr>
        <w:t xml:space="preserve"> </w:t>
      </w:r>
      <w:r w:rsidRPr="007C1E66">
        <w:rPr>
          <w:color w:val="000000"/>
          <w:w w:val="90"/>
          <w:sz w:val="24"/>
          <w:szCs w:val="24"/>
        </w:rPr>
        <w:t>Il est également crucial de former les enseignants à la pédagogie interculturelle et à la communication sur les sujets sensibles, en tenant compte des spécificités socioculturelles des communautés scolaires. L’implication active des parents, des leaders communautaires et des associations locales dans la conception, la mise en œuvre et l’évaluation des activités d’éducation à la santé renforcera l’engagement de tous les acteurs.</w:t>
      </w:r>
      <w:r>
        <w:rPr>
          <w:color w:val="000000"/>
          <w:w w:val="90"/>
          <w:sz w:val="24"/>
          <w:szCs w:val="24"/>
        </w:rPr>
        <w:t xml:space="preserve"> </w:t>
      </w:r>
      <w:r w:rsidRPr="007C1E66">
        <w:rPr>
          <w:color w:val="000000"/>
          <w:w w:val="90"/>
          <w:sz w:val="24"/>
          <w:szCs w:val="24"/>
        </w:rPr>
        <w:t>Enfin, il convient de plaider pour une reconnaissance institutionnelle accrue de l’éducation à la santé, ainsi qu’un soutien politique, administratif et budgétaire renforcé à tous les niveaux du système éducatif, afin de garantir des avancées durables dans ce domaine.</w:t>
      </w:r>
    </w:p>
    <w:p w14:paraId="02A087AE" w14:textId="77777777" w:rsidR="00D80693" w:rsidRPr="00EF7C2B" w:rsidRDefault="00D80693" w:rsidP="001B071B">
      <w:pPr>
        <w:spacing w:before="120"/>
        <w:jc w:val="both"/>
        <w:rPr>
          <w:color w:val="000000"/>
          <w:w w:val="90"/>
          <w:sz w:val="24"/>
          <w:szCs w:val="24"/>
        </w:rPr>
      </w:pPr>
      <w:r w:rsidRPr="00EF7C2B">
        <w:rPr>
          <w:bCs/>
          <w:color w:val="000000"/>
          <w:w w:val="90"/>
          <w:sz w:val="24"/>
          <w:szCs w:val="24"/>
        </w:rPr>
        <w:t>L'écoute active des enseignants, la valorisation de leurs savoirs professionnels et la co-construction de solutions avec les communautés éducatives sont les piliers d'une éducation à la santé durable.</w:t>
      </w:r>
      <w:r w:rsidRPr="00EF7C2B">
        <w:rPr>
          <w:color w:val="000000"/>
          <w:w w:val="90"/>
          <w:sz w:val="24"/>
          <w:szCs w:val="24"/>
        </w:rPr>
        <w:t xml:space="preserve"> La professionnalisation passe par une réforme ambitieuse et inclusive de la formation, par la mise à disposition de ressources pertinentes, et par une gouvernance éducative ouverte à l’interdisciplinarité et à la participation. </w:t>
      </w:r>
      <w:r w:rsidRPr="00EF7C2B">
        <w:rPr>
          <w:bCs/>
          <w:color w:val="000000"/>
          <w:w w:val="90"/>
          <w:sz w:val="24"/>
          <w:szCs w:val="24"/>
        </w:rPr>
        <w:t>Ces transformations permettront de mieux répondre aux attentes des enseignants et de favoriser l’émergence d’une génération d’élèves mieux outillés pour prendre en main leur santé et leur avenir.</w:t>
      </w:r>
    </w:p>
    <w:p w14:paraId="6381C47F" w14:textId="77777777" w:rsidR="00D80693" w:rsidRDefault="00D80693" w:rsidP="00D51032">
      <w:pPr>
        <w:spacing w:before="120"/>
        <w:jc w:val="both"/>
        <w:rPr>
          <w:b/>
          <w:color w:val="000000"/>
          <w:w w:val="90"/>
          <w:sz w:val="24"/>
          <w:szCs w:val="24"/>
        </w:rPr>
      </w:pPr>
      <w:r w:rsidRPr="003032C4">
        <w:rPr>
          <w:b/>
          <w:color w:val="000000"/>
          <w:w w:val="90"/>
          <w:sz w:val="24"/>
          <w:szCs w:val="24"/>
        </w:rPr>
        <w:t>Conclusion</w:t>
      </w:r>
    </w:p>
    <w:p w14:paraId="045C3561" w14:textId="77777777" w:rsidR="00D80693" w:rsidRPr="00D512E7" w:rsidRDefault="00D80693" w:rsidP="001B071B">
      <w:pPr>
        <w:spacing w:before="120"/>
        <w:jc w:val="both"/>
        <w:rPr>
          <w:color w:val="000000"/>
          <w:w w:val="90"/>
          <w:sz w:val="24"/>
          <w:szCs w:val="24"/>
        </w:rPr>
      </w:pPr>
      <w:r w:rsidRPr="00D512E7">
        <w:rPr>
          <w:color w:val="000000"/>
          <w:w w:val="90"/>
          <w:sz w:val="24"/>
          <w:szCs w:val="24"/>
        </w:rPr>
        <w:t>La présente étude met en lumière les nombreux défis auxquels sont confrontés les enseignants congolais dans la mise en œuvre de l’éducation à la santé en milieu scolaire. À travers l’analyse des données issues des groupes de discussion, enrichie par des apports théoriques solides (Bandura</w:t>
      </w:r>
      <w:r>
        <w:rPr>
          <w:color w:val="000000"/>
          <w:w w:val="90"/>
          <w:sz w:val="24"/>
          <w:szCs w:val="24"/>
        </w:rPr>
        <w:t xml:space="preserve"> (1994)</w:t>
      </w:r>
      <w:r w:rsidRPr="00D512E7">
        <w:rPr>
          <w:color w:val="000000"/>
          <w:w w:val="90"/>
          <w:sz w:val="24"/>
          <w:szCs w:val="24"/>
        </w:rPr>
        <w:t>, Piaget</w:t>
      </w:r>
      <w:r>
        <w:rPr>
          <w:color w:val="000000"/>
          <w:w w:val="90"/>
          <w:sz w:val="24"/>
          <w:szCs w:val="24"/>
        </w:rPr>
        <w:t xml:space="preserve"> (1964)</w:t>
      </w:r>
      <w:r w:rsidRPr="00D512E7">
        <w:rPr>
          <w:color w:val="000000"/>
          <w:w w:val="90"/>
          <w:sz w:val="24"/>
          <w:szCs w:val="24"/>
        </w:rPr>
        <w:t>, Vygotsky</w:t>
      </w:r>
      <w:r>
        <w:rPr>
          <w:color w:val="000000"/>
          <w:w w:val="90"/>
          <w:sz w:val="24"/>
          <w:szCs w:val="24"/>
        </w:rPr>
        <w:t xml:space="preserve"> (1978)</w:t>
      </w:r>
      <w:r w:rsidRPr="00D512E7">
        <w:rPr>
          <w:color w:val="000000"/>
          <w:w w:val="90"/>
          <w:sz w:val="24"/>
          <w:szCs w:val="24"/>
        </w:rPr>
        <w:t>, Bronfenbrenner</w:t>
      </w:r>
      <w:r>
        <w:rPr>
          <w:color w:val="000000"/>
          <w:w w:val="90"/>
          <w:sz w:val="24"/>
          <w:szCs w:val="24"/>
        </w:rPr>
        <w:t xml:space="preserve"> (2009)</w:t>
      </w:r>
      <w:r w:rsidRPr="00D512E7">
        <w:rPr>
          <w:color w:val="000000"/>
          <w:w w:val="90"/>
          <w:sz w:val="24"/>
          <w:szCs w:val="24"/>
        </w:rPr>
        <w:t>), il apparaît clairement que la professionnalisation de cette mission éducative demeure insuffisante, faute de formation adéquate, de ressources pédagogiques adaptées, de reconnaissance institutionnelle et de soutien intersectoriel</w:t>
      </w:r>
      <w:r>
        <w:rPr>
          <w:color w:val="000000"/>
          <w:w w:val="90"/>
          <w:sz w:val="24"/>
          <w:szCs w:val="24"/>
        </w:rPr>
        <w:t xml:space="preserve"> </w:t>
      </w:r>
      <w:r>
        <w:rPr>
          <w:color w:val="000000"/>
          <w:w w:val="90"/>
          <w:sz w:val="24"/>
          <w:szCs w:val="24"/>
        </w:rPr>
        <w:fldChar w:fldCharType="begin"/>
      </w:r>
      <w:r>
        <w:rPr>
          <w:color w:val="000000"/>
          <w:w w:val="90"/>
          <w:sz w:val="24"/>
          <w:szCs w:val="24"/>
        </w:rPr>
        <w:instrText xml:space="preserve"> ADDIN ZOTERO_ITEM CSL_CITATION {"citationID":"RqfTqBEy","properties":{"formattedCitation":"(5,6,12,13)","plainCitation":"(5,6,12,13)","noteIndex":0},"citationItems":[{"id":4706,"uris":["http://zotero.org/users/local/417IawLi/items/ZXPHZZAN"],"itemData":{"id":4706,"type":"article-journal","container-title":"Journal of Research in Science Teaching","DOI":"10.1002/tea.3660020306","ISSN":"0022-4308, 1098-2736","issue":"3","journalAbbreviation":"J Res Sci Teach","language":"en","page":"176-186","source":"DOI.org (Crossref)","title":"Part I: Cognitive development in children: Piaget development and learning","title-short":"Part I","volume":"2","author":[{"family":"J. Piaget","given":""}],"issued":{"date-parts":[["1964",9]]}}},{"id":4428,"uris":["http://zotero.org/users/local/417IawLi/items/53D9R6MC"],"itemData":{"id":4428,"type":"chapter","edition":"in gauvain &amp; cole (eds.), readings onthe development of children","page":"34-40","title":"Interaction between learning and development","author":[{"family":"Vygotsky","given":"L. S."}],"issued":{"date-parts":[["1978"]]}}},{"id":5172,"uris":["http://zotero.org/users/local/417IawLi/items/QYGFQLM7"],"itemData":{"id":5172,"type":"paper-conference","title":"Social Cognitive Theory and Exercise of Control over HIV Infection","URL":"https://api.semanticscholar.org/CorpusID:18719378","author":[{"family":"Bandura","given":"A."}],"issued":{"date-parts":[["1994"]]}}},{"id":1743,"uris":["http://zotero.org/users/local/417IawLi/items/7KY9HT85"],"itemData":{"id":1743,"type":"article-journal","container-title":"Organizational Behavior and Human Decision Processes","DOI":"10.1016/0749-5978(91)90022-L","ISSN":"07495978","issue":"2","journalAbbreviation":"Organizational Behavior and Human Decision Processes","language":"en","page":"248-287","source":"DOI.org (Crossref)","title":"Social cognitive theory of self-regulation","volume":"50","author":[{"family":"Bandura","given":"Albert"}],"issued":{"date-parts":[["1991",12]]}}}],"schema":"https://github.com/citation-style-language/schema/raw/master/csl-citation.json"} </w:instrText>
      </w:r>
      <w:r>
        <w:rPr>
          <w:color w:val="000000"/>
          <w:w w:val="90"/>
          <w:sz w:val="24"/>
          <w:szCs w:val="24"/>
        </w:rPr>
        <w:fldChar w:fldCharType="separate"/>
      </w:r>
      <w:r w:rsidRPr="00DC0E41">
        <w:rPr>
          <w:rFonts w:eastAsia="DengXian"/>
          <w:sz w:val="24"/>
          <w:szCs w:val="21"/>
        </w:rPr>
        <w:t>(5,6,12,13)</w:t>
      </w:r>
      <w:r>
        <w:rPr>
          <w:color w:val="000000"/>
          <w:w w:val="90"/>
          <w:sz w:val="24"/>
          <w:szCs w:val="24"/>
        </w:rPr>
        <w:fldChar w:fldCharType="end"/>
      </w:r>
      <w:r w:rsidRPr="00D512E7">
        <w:rPr>
          <w:color w:val="000000"/>
          <w:w w:val="90"/>
          <w:sz w:val="24"/>
          <w:szCs w:val="24"/>
        </w:rPr>
        <w:t>.</w:t>
      </w:r>
      <w:r>
        <w:rPr>
          <w:color w:val="000000"/>
          <w:w w:val="90"/>
          <w:sz w:val="24"/>
          <w:szCs w:val="24"/>
        </w:rPr>
        <w:t xml:space="preserve"> </w:t>
      </w:r>
      <w:r w:rsidRPr="00D512E7">
        <w:rPr>
          <w:color w:val="000000"/>
          <w:w w:val="90"/>
          <w:sz w:val="24"/>
          <w:szCs w:val="24"/>
        </w:rPr>
        <w:t>Ces insuffisances ne relèvent pas uniquement des individus, mais renvoient à des lacunes systémiques qu’il convient de corriger. L’éducation à la santé, dans un contexte comme celui du Congo, ne peut être efficace que si elle s’inscrit dans une approche globale, contextualisée et participative. Il est donc urgent de repenser les dispositifs de formation initiale et continue des enseignants, de renforcer les collaborations entre les secteurs de l’éducation et de la santé, et d’adapter les contenus aux réalités socioculturelles locales.</w:t>
      </w:r>
      <w:r>
        <w:rPr>
          <w:color w:val="000000"/>
          <w:w w:val="90"/>
          <w:sz w:val="24"/>
          <w:szCs w:val="24"/>
        </w:rPr>
        <w:t xml:space="preserve"> </w:t>
      </w:r>
      <w:r w:rsidRPr="00D512E7">
        <w:rPr>
          <w:color w:val="000000"/>
          <w:w w:val="90"/>
          <w:sz w:val="24"/>
          <w:szCs w:val="24"/>
        </w:rPr>
        <w:t>En plaçant les enseignants au cœur de la stratégie, en écoutant leurs besoins et en valorisant leur expertise, le Congo peut se doter d’un système éducatif capable de former des élèves informés, responsables et acteurs de leur propre santé. La professionnalisation de l’éducation à la santé représente ainsi un levier majeur pour améliorer non seulement les parcours scolaires, mais aussi les trajectoires de santé des jeunes générations.</w:t>
      </w:r>
    </w:p>
    <w:p w14:paraId="60786A4E" w14:textId="77777777" w:rsidR="00D80693" w:rsidRDefault="00D80693" w:rsidP="00D51032">
      <w:pPr>
        <w:spacing w:before="120"/>
        <w:jc w:val="both"/>
        <w:rPr>
          <w:b/>
          <w:color w:val="000000"/>
          <w:w w:val="90"/>
          <w:sz w:val="24"/>
          <w:szCs w:val="24"/>
        </w:rPr>
      </w:pPr>
      <w:r w:rsidRPr="003032C4">
        <w:rPr>
          <w:b/>
          <w:color w:val="000000"/>
          <w:w w:val="90"/>
          <w:sz w:val="24"/>
          <w:szCs w:val="24"/>
        </w:rPr>
        <w:t>Références</w:t>
      </w:r>
    </w:p>
    <w:p w14:paraId="069328A7" w14:textId="52E906BF" w:rsidR="00D80693" w:rsidRPr="00A03715" w:rsidRDefault="00D80693" w:rsidP="00E82F39">
      <w:pPr>
        <w:spacing w:before="120"/>
        <w:ind w:left="1276" w:hanging="1276"/>
        <w:jc w:val="both"/>
        <w:rPr>
          <w:color w:val="000000"/>
          <w:w w:val="90"/>
          <w:sz w:val="24"/>
          <w:szCs w:val="24"/>
        </w:rPr>
      </w:pPr>
      <w:r w:rsidRPr="00960EDC">
        <w:rPr>
          <w:color w:val="000000"/>
          <w:w w:val="90"/>
          <w:sz w:val="24"/>
          <w:szCs w:val="24"/>
        </w:rPr>
        <w:fldChar w:fldCharType="begin"/>
      </w:r>
      <w:r w:rsidRPr="00A03715">
        <w:rPr>
          <w:color w:val="000000"/>
          <w:w w:val="90"/>
          <w:sz w:val="24"/>
          <w:szCs w:val="24"/>
        </w:rPr>
        <w:instrText xml:space="preserve"> ADDIN ZOTERO_BIBL {"uncited":[],"omitted":[],"custom":[]} CSL_BIBLIOGRAPHY </w:instrText>
      </w:r>
      <w:r w:rsidRPr="00960EDC">
        <w:rPr>
          <w:color w:val="000000"/>
          <w:w w:val="90"/>
          <w:sz w:val="24"/>
          <w:szCs w:val="24"/>
        </w:rPr>
        <w:fldChar w:fldCharType="separate"/>
      </w:r>
      <w:r w:rsidRPr="00A03715">
        <w:rPr>
          <w:color w:val="000000"/>
          <w:w w:val="90"/>
          <w:sz w:val="24"/>
          <w:szCs w:val="24"/>
        </w:rPr>
        <w:t xml:space="preserve">UNESCO. Rapport mondial de suivi sur l’éducation 2021-2022 – Les acteurs non étatiques dans l’éducation : Qui décide ? Qui est perdant ? </w:t>
      </w:r>
      <w:proofErr w:type="gramStart"/>
      <w:r w:rsidRPr="00A03715">
        <w:rPr>
          <w:color w:val="000000"/>
          <w:w w:val="90"/>
          <w:sz w:val="24"/>
          <w:szCs w:val="24"/>
        </w:rPr>
        <w:t>Paris:</w:t>
      </w:r>
      <w:proofErr w:type="gramEnd"/>
      <w:r w:rsidRPr="00A03715">
        <w:rPr>
          <w:color w:val="000000"/>
          <w:w w:val="90"/>
          <w:sz w:val="24"/>
          <w:szCs w:val="24"/>
        </w:rPr>
        <w:t xml:space="preserve"> </w:t>
      </w:r>
      <w:proofErr w:type="gramStart"/>
      <w:r w:rsidRPr="00A03715">
        <w:rPr>
          <w:color w:val="000000"/>
          <w:w w:val="90"/>
          <w:sz w:val="24"/>
          <w:szCs w:val="24"/>
        </w:rPr>
        <w:t>UNESCO;</w:t>
      </w:r>
      <w:proofErr w:type="gramEnd"/>
      <w:r w:rsidRPr="00A03715">
        <w:rPr>
          <w:color w:val="000000"/>
          <w:w w:val="90"/>
          <w:sz w:val="24"/>
          <w:szCs w:val="24"/>
        </w:rPr>
        <w:t xml:space="preserve"> 2021 p. 38. </w:t>
      </w:r>
    </w:p>
    <w:p w14:paraId="568B3AE0" w14:textId="206A658C" w:rsidR="00D80693" w:rsidRPr="00A03715" w:rsidRDefault="00D80693" w:rsidP="00E82F39">
      <w:pPr>
        <w:tabs>
          <w:tab w:val="left" w:pos="384"/>
        </w:tabs>
        <w:spacing w:before="120"/>
        <w:ind w:left="1276" w:hanging="1276"/>
        <w:jc w:val="both"/>
        <w:rPr>
          <w:color w:val="000000"/>
          <w:w w:val="90"/>
          <w:sz w:val="24"/>
          <w:szCs w:val="24"/>
        </w:rPr>
      </w:pPr>
      <w:r w:rsidRPr="00A03715">
        <w:rPr>
          <w:color w:val="000000"/>
          <w:w w:val="90"/>
          <w:sz w:val="24"/>
          <w:szCs w:val="24"/>
        </w:rPr>
        <w:t xml:space="preserve">UNESCO. Rapport mondial de suivi sur l’éducation – Rapport sur l’égalité des genres : Approfondir le débat sur les enfants et les jeunes encore laissés de côté [Internet]. </w:t>
      </w:r>
      <w:proofErr w:type="gramStart"/>
      <w:r w:rsidRPr="00A03715">
        <w:rPr>
          <w:color w:val="000000"/>
          <w:w w:val="90"/>
          <w:sz w:val="24"/>
          <w:szCs w:val="24"/>
        </w:rPr>
        <w:t>UNESCO;</w:t>
      </w:r>
      <w:proofErr w:type="gramEnd"/>
      <w:r w:rsidRPr="00A03715">
        <w:rPr>
          <w:color w:val="000000"/>
          <w:w w:val="90"/>
          <w:sz w:val="24"/>
          <w:szCs w:val="24"/>
        </w:rPr>
        <w:t xml:space="preserve"> 2022 [cité 17 </w:t>
      </w:r>
      <w:proofErr w:type="spellStart"/>
      <w:r w:rsidRPr="00A03715">
        <w:rPr>
          <w:color w:val="000000"/>
          <w:w w:val="90"/>
          <w:sz w:val="24"/>
          <w:szCs w:val="24"/>
        </w:rPr>
        <w:t>juill</w:t>
      </w:r>
      <w:proofErr w:type="spellEnd"/>
      <w:r w:rsidRPr="00A03715">
        <w:rPr>
          <w:color w:val="000000"/>
          <w:w w:val="90"/>
          <w:sz w:val="24"/>
          <w:szCs w:val="24"/>
        </w:rPr>
        <w:t xml:space="preserve"> 2025]. Disponible </w:t>
      </w:r>
      <w:proofErr w:type="gramStart"/>
      <w:r w:rsidRPr="00A03715">
        <w:rPr>
          <w:color w:val="000000"/>
          <w:w w:val="90"/>
          <w:sz w:val="24"/>
          <w:szCs w:val="24"/>
        </w:rPr>
        <w:t>sur:</w:t>
      </w:r>
      <w:proofErr w:type="gramEnd"/>
      <w:r w:rsidRPr="00A03715">
        <w:rPr>
          <w:color w:val="000000"/>
          <w:w w:val="90"/>
          <w:sz w:val="24"/>
          <w:szCs w:val="24"/>
        </w:rPr>
        <w:t xml:space="preserve"> https://unesdoc.unesco.org/ark:/48223/pf0000382496</w:t>
      </w:r>
    </w:p>
    <w:p w14:paraId="365E83A9" w14:textId="32B9A2FD" w:rsidR="00D80693" w:rsidRPr="00A03715" w:rsidRDefault="00D80693" w:rsidP="00E82F39">
      <w:pPr>
        <w:tabs>
          <w:tab w:val="left" w:pos="384"/>
        </w:tabs>
        <w:spacing w:before="120"/>
        <w:ind w:left="1276" w:hanging="1276"/>
        <w:jc w:val="both"/>
        <w:rPr>
          <w:color w:val="000000"/>
          <w:w w:val="90"/>
          <w:sz w:val="24"/>
          <w:szCs w:val="24"/>
        </w:rPr>
      </w:pPr>
      <w:r w:rsidRPr="00A03715">
        <w:rPr>
          <w:color w:val="000000"/>
          <w:w w:val="90"/>
          <w:sz w:val="24"/>
          <w:szCs w:val="24"/>
        </w:rPr>
        <w:t xml:space="preserve">Jourdan D, Piec I, </w:t>
      </w:r>
      <w:proofErr w:type="spellStart"/>
      <w:r w:rsidRPr="00A03715">
        <w:rPr>
          <w:color w:val="000000"/>
          <w:w w:val="90"/>
          <w:sz w:val="24"/>
          <w:szCs w:val="24"/>
        </w:rPr>
        <w:t>Aublet</w:t>
      </w:r>
      <w:proofErr w:type="spellEnd"/>
      <w:r w:rsidRPr="00A03715">
        <w:rPr>
          <w:color w:val="000000"/>
          <w:w w:val="90"/>
          <w:sz w:val="24"/>
          <w:szCs w:val="24"/>
        </w:rPr>
        <w:t>-Cuvelier B, Berger D, Lejeune ML, Laquet-</w:t>
      </w:r>
      <w:proofErr w:type="spellStart"/>
      <w:r w:rsidRPr="00A03715">
        <w:rPr>
          <w:color w:val="000000"/>
          <w:w w:val="90"/>
          <w:sz w:val="24"/>
          <w:szCs w:val="24"/>
        </w:rPr>
        <w:t>Riffaud</w:t>
      </w:r>
      <w:proofErr w:type="spellEnd"/>
      <w:r w:rsidRPr="00A03715">
        <w:rPr>
          <w:color w:val="000000"/>
          <w:w w:val="90"/>
          <w:sz w:val="24"/>
          <w:szCs w:val="24"/>
        </w:rPr>
        <w:t xml:space="preserve"> A, et al. Éducation à la santé à l’école : pratiques et représentations des enseignants du primaire. Santé Publique. </w:t>
      </w:r>
      <w:proofErr w:type="gramStart"/>
      <w:r w:rsidRPr="00A03715">
        <w:rPr>
          <w:color w:val="000000"/>
          <w:w w:val="90"/>
          <w:sz w:val="24"/>
          <w:szCs w:val="24"/>
        </w:rPr>
        <w:t>2002;Vol.</w:t>
      </w:r>
      <w:proofErr w:type="gramEnd"/>
      <w:r w:rsidRPr="00A03715">
        <w:rPr>
          <w:color w:val="000000"/>
          <w:w w:val="90"/>
          <w:sz w:val="24"/>
          <w:szCs w:val="24"/>
        </w:rPr>
        <w:t xml:space="preserve"> 14(4</w:t>
      </w:r>
      <w:proofErr w:type="gramStart"/>
      <w:r w:rsidRPr="00A03715">
        <w:rPr>
          <w:color w:val="000000"/>
          <w:w w:val="90"/>
          <w:sz w:val="24"/>
          <w:szCs w:val="24"/>
        </w:rPr>
        <w:t>):</w:t>
      </w:r>
      <w:proofErr w:type="gramEnd"/>
      <w:r w:rsidRPr="00A03715">
        <w:rPr>
          <w:color w:val="000000"/>
          <w:w w:val="90"/>
          <w:sz w:val="24"/>
          <w:szCs w:val="24"/>
        </w:rPr>
        <w:t xml:space="preserve">403‑23. </w:t>
      </w:r>
    </w:p>
    <w:p w14:paraId="62EDAD87" w14:textId="4E7E6777" w:rsidR="00D80693" w:rsidRPr="00A03715" w:rsidRDefault="00D80693" w:rsidP="00E82F39">
      <w:pPr>
        <w:tabs>
          <w:tab w:val="left" w:pos="384"/>
        </w:tabs>
        <w:spacing w:before="120"/>
        <w:jc w:val="both"/>
        <w:rPr>
          <w:color w:val="000000"/>
          <w:w w:val="90"/>
          <w:sz w:val="24"/>
          <w:szCs w:val="24"/>
        </w:rPr>
      </w:pPr>
      <w:r w:rsidRPr="001928FA">
        <w:rPr>
          <w:color w:val="000000"/>
          <w:w w:val="90"/>
          <w:sz w:val="24"/>
          <w:szCs w:val="24"/>
        </w:rPr>
        <w:t xml:space="preserve">Bandura A. Social Cognitive </w:t>
      </w:r>
      <w:proofErr w:type="gramStart"/>
      <w:r w:rsidRPr="001928FA">
        <w:rPr>
          <w:color w:val="000000"/>
          <w:w w:val="90"/>
          <w:sz w:val="24"/>
          <w:szCs w:val="24"/>
        </w:rPr>
        <w:t>Theory:</w:t>
      </w:r>
      <w:proofErr w:type="gramEnd"/>
      <w:r w:rsidRPr="001928FA">
        <w:rPr>
          <w:color w:val="000000"/>
          <w:w w:val="90"/>
          <w:sz w:val="24"/>
          <w:szCs w:val="24"/>
        </w:rPr>
        <w:t xml:space="preserve"> An </w:t>
      </w:r>
      <w:proofErr w:type="spellStart"/>
      <w:r w:rsidRPr="001928FA">
        <w:rPr>
          <w:color w:val="000000"/>
          <w:w w:val="90"/>
          <w:sz w:val="24"/>
          <w:szCs w:val="24"/>
        </w:rPr>
        <w:t>Agentic</w:t>
      </w:r>
      <w:proofErr w:type="spellEnd"/>
      <w:r w:rsidRPr="001928FA">
        <w:rPr>
          <w:color w:val="000000"/>
          <w:w w:val="90"/>
          <w:sz w:val="24"/>
          <w:szCs w:val="24"/>
        </w:rPr>
        <w:t xml:space="preserve"> Perspective. </w:t>
      </w:r>
      <w:r w:rsidRPr="00A03715">
        <w:rPr>
          <w:color w:val="000000"/>
          <w:w w:val="90"/>
          <w:sz w:val="24"/>
          <w:szCs w:val="24"/>
        </w:rPr>
        <w:t xml:space="preserve">Annu Rev </w:t>
      </w:r>
      <w:proofErr w:type="spellStart"/>
      <w:r w:rsidRPr="00A03715">
        <w:rPr>
          <w:color w:val="000000"/>
          <w:w w:val="90"/>
          <w:sz w:val="24"/>
          <w:szCs w:val="24"/>
        </w:rPr>
        <w:t>Psychol</w:t>
      </w:r>
      <w:proofErr w:type="spellEnd"/>
      <w:r w:rsidRPr="00A03715">
        <w:rPr>
          <w:color w:val="000000"/>
          <w:w w:val="90"/>
          <w:sz w:val="24"/>
          <w:szCs w:val="24"/>
        </w:rPr>
        <w:t xml:space="preserve">. </w:t>
      </w:r>
      <w:proofErr w:type="spellStart"/>
      <w:r w:rsidRPr="00A03715">
        <w:rPr>
          <w:color w:val="000000"/>
          <w:w w:val="90"/>
          <w:sz w:val="24"/>
          <w:szCs w:val="24"/>
        </w:rPr>
        <w:t>févr</w:t>
      </w:r>
      <w:proofErr w:type="spellEnd"/>
      <w:r w:rsidRPr="00A03715">
        <w:rPr>
          <w:color w:val="000000"/>
          <w:w w:val="90"/>
          <w:sz w:val="24"/>
          <w:szCs w:val="24"/>
        </w:rPr>
        <w:t xml:space="preserve"> </w:t>
      </w:r>
      <w:proofErr w:type="gramStart"/>
      <w:r w:rsidRPr="00A03715">
        <w:rPr>
          <w:color w:val="000000"/>
          <w:w w:val="90"/>
          <w:sz w:val="24"/>
          <w:szCs w:val="24"/>
        </w:rPr>
        <w:t>2001;</w:t>
      </w:r>
      <w:proofErr w:type="gramEnd"/>
      <w:r w:rsidRPr="00A03715">
        <w:rPr>
          <w:color w:val="000000"/>
          <w:w w:val="90"/>
          <w:sz w:val="24"/>
          <w:szCs w:val="24"/>
        </w:rPr>
        <w:t>52(1</w:t>
      </w:r>
      <w:proofErr w:type="gramStart"/>
      <w:r w:rsidRPr="00A03715">
        <w:rPr>
          <w:color w:val="000000"/>
          <w:w w:val="90"/>
          <w:sz w:val="24"/>
          <w:szCs w:val="24"/>
        </w:rPr>
        <w:t>):</w:t>
      </w:r>
      <w:proofErr w:type="gramEnd"/>
      <w:r w:rsidRPr="00A03715">
        <w:rPr>
          <w:color w:val="000000"/>
          <w:w w:val="90"/>
          <w:sz w:val="24"/>
          <w:szCs w:val="24"/>
        </w:rPr>
        <w:t xml:space="preserve">1‑26. </w:t>
      </w:r>
    </w:p>
    <w:p w14:paraId="53270AA7" w14:textId="36FA3430"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 xml:space="preserve">J. Piaget. Part I: Cognitive development in children: Piaget development and learning. J Res Sci Teach. sept 1964;2(3):176‑86. </w:t>
      </w:r>
    </w:p>
    <w:p w14:paraId="1BD0971D" w14:textId="2546A36F"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 xml:space="preserve">Vygotsky LS. Interaction between learning and development. In: in </w:t>
      </w:r>
      <w:proofErr w:type="spellStart"/>
      <w:r w:rsidRPr="0065773E">
        <w:rPr>
          <w:color w:val="000000"/>
          <w:w w:val="90"/>
          <w:sz w:val="24"/>
          <w:szCs w:val="24"/>
          <w:lang w:val="en-US"/>
        </w:rPr>
        <w:t>gauvain&amp;cole</w:t>
      </w:r>
      <w:proofErr w:type="spellEnd"/>
      <w:r w:rsidRPr="0065773E">
        <w:rPr>
          <w:color w:val="000000"/>
          <w:w w:val="90"/>
          <w:sz w:val="24"/>
          <w:szCs w:val="24"/>
          <w:lang w:val="en-US"/>
        </w:rPr>
        <w:t xml:space="preserve"> (eds.), readings </w:t>
      </w:r>
      <w:proofErr w:type="spellStart"/>
      <w:proofErr w:type="gramStart"/>
      <w:r w:rsidRPr="0065773E">
        <w:rPr>
          <w:color w:val="000000"/>
          <w:w w:val="90"/>
          <w:sz w:val="24"/>
          <w:szCs w:val="24"/>
          <w:lang w:val="en-US"/>
        </w:rPr>
        <w:t>onthe</w:t>
      </w:r>
      <w:proofErr w:type="spellEnd"/>
      <w:proofErr w:type="gramEnd"/>
      <w:r w:rsidRPr="0065773E">
        <w:rPr>
          <w:color w:val="000000"/>
          <w:w w:val="90"/>
          <w:sz w:val="24"/>
          <w:szCs w:val="24"/>
          <w:lang w:val="en-US"/>
        </w:rPr>
        <w:t xml:space="preserve"> development of children. 1978. p. 34‑40. </w:t>
      </w:r>
    </w:p>
    <w:p w14:paraId="2C420356" w14:textId="13901DDB"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 xml:space="preserve">Rosenstock IM. The Health Belief Model and Preventive Health Behavior. Health Education Monographs. </w:t>
      </w:r>
      <w:proofErr w:type="spellStart"/>
      <w:r w:rsidRPr="0065773E">
        <w:rPr>
          <w:color w:val="000000"/>
          <w:w w:val="90"/>
          <w:sz w:val="24"/>
          <w:szCs w:val="24"/>
          <w:lang w:val="en-US"/>
        </w:rPr>
        <w:t>déc</w:t>
      </w:r>
      <w:proofErr w:type="spellEnd"/>
      <w:r w:rsidRPr="0065773E">
        <w:rPr>
          <w:color w:val="000000"/>
          <w:w w:val="90"/>
          <w:sz w:val="24"/>
          <w:szCs w:val="24"/>
          <w:lang w:val="en-US"/>
        </w:rPr>
        <w:t xml:space="preserve"> 1974;2(4):</w:t>
      </w:r>
      <w:proofErr w:type="gramStart"/>
      <w:r w:rsidRPr="0065773E">
        <w:rPr>
          <w:color w:val="000000"/>
          <w:w w:val="90"/>
          <w:sz w:val="24"/>
          <w:szCs w:val="24"/>
          <w:lang w:val="en-US"/>
        </w:rPr>
        <w:t>354‑86</w:t>
      </w:r>
      <w:proofErr w:type="gramEnd"/>
      <w:r w:rsidRPr="0065773E">
        <w:rPr>
          <w:color w:val="000000"/>
          <w:w w:val="90"/>
          <w:sz w:val="24"/>
          <w:szCs w:val="24"/>
          <w:lang w:val="en-US"/>
        </w:rPr>
        <w:t xml:space="preserve">. </w:t>
      </w:r>
    </w:p>
    <w:p w14:paraId="7B86BEE0" w14:textId="56ECA8F9"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 xml:space="preserve">Bronfenbrenner U. Ecology of Human Development: Experiments by Nature and Design. Cambridge: Harvard University Press; 2009. 352 p. </w:t>
      </w:r>
    </w:p>
    <w:p w14:paraId="7B557FE6" w14:textId="522443A7" w:rsidR="00D80693" w:rsidRPr="00A03715" w:rsidRDefault="00D80693" w:rsidP="00E82F39">
      <w:pPr>
        <w:tabs>
          <w:tab w:val="left" w:pos="384"/>
        </w:tabs>
        <w:spacing w:before="120"/>
        <w:ind w:left="1276" w:hanging="1276"/>
        <w:jc w:val="both"/>
        <w:rPr>
          <w:color w:val="000000"/>
          <w:w w:val="90"/>
          <w:sz w:val="24"/>
          <w:szCs w:val="24"/>
        </w:rPr>
      </w:pPr>
      <w:r w:rsidRPr="0065773E">
        <w:rPr>
          <w:color w:val="000000"/>
          <w:w w:val="90"/>
          <w:sz w:val="24"/>
          <w:szCs w:val="24"/>
          <w:lang w:val="en-US"/>
        </w:rPr>
        <w:t xml:space="preserve">Kolb DA. Experimental learning: experience as the source of learning and development. </w:t>
      </w:r>
      <w:r w:rsidRPr="00A03715">
        <w:rPr>
          <w:color w:val="000000"/>
          <w:w w:val="90"/>
          <w:sz w:val="24"/>
          <w:szCs w:val="24"/>
        </w:rPr>
        <w:t xml:space="preserve">Englewood </w:t>
      </w:r>
      <w:proofErr w:type="spellStart"/>
      <w:r w:rsidRPr="00A03715">
        <w:rPr>
          <w:color w:val="000000"/>
          <w:w w:val="90"/>
          <w:sz w:val="24"/>
          <w:szCs w:val="24"/>
        </w:rPr>
        <w:t>Cliffs</w:t>
      </w:r>
      <w:proofErr w:type="spellEnd"/>
      <w:r w:rsidRPr="00A03715">
        <w:rPr>
          <w:color w:val="000000"/>
          <w:w w:val="90"/>
          <w:sz w:val="24"/>
          <w:szCs w:val="24"/>
        </w:rPr>
        <w:t>, N.J: Prentice-</w:t>
      </w:r>
      <w:proofErr w:type="gramStart"/>
      <w:r w:rsidRPr="00A03715">
        <w:rPr>
          <w:color w:val="000000"/>
          <w:w w:val="90"/>
          <w:sz w:val="24"/>
          <w:szCs w:val="24"/>
        </w:rPr>
        <w:t>Hall;</w:t>
      </w:r>
      <w:proofErr w:type="gramEnd"/>
      <w:r w:rsidRPr="00A03715">
        <w:rPr>
          <w:color w:val="000000"/>
          <w:w w:val="90"/>
          <w:sz w:val="24"/>
          <w:szCs w:val="24"/>
        </w:rPr>
        <w:t xml:space="preserve"> 1984. 256 p. </w:t>
      </w:r>
    </w:p>
    <w:p w14:paraId="1A188362" w14:textId="088FE7A2" w:rsidR="00D80693" w:rsidRPr="00A03715" w:rsidRDefault="00D80693" w:rsidP="00E82F39">
      <w:pPr>
        <w:tabs>
          <w:tab w:val="left" w:pos="384"/>
        </w:tabs>
        <w:spacing w:before="120"/>
        <w:ind w:left="1276" w:hanging="1276"/>
        <w:jc w:val="both"/>
        <w:rPr>
          <w:color w:val="000000"/>
          <w:w w:val="90"/>
          <w:sz w:val="24"/>
          <w:szCs w:val="24"/>
        </w:rPr>
      </w:pPr>
      <w:r w:rsidRPr="00A03715">
        <w:rPr>
          <w:color w:val="000000"/>
          <w:w w:val="90"/>
          <w:sz w:val="24"/>
          <w:szCs w:val="24"/>
        </w:rPr>
        <w:t xml:space="preserve">Perrenoud P. Développer la pratique réflexive dans le métier d’enseignant. Professionnalisation et raison pédagogique. 5e Edition. Paris : </w:t>
      </w:r>
      <w:proofErr w:type="gramStart"/>
      <w:r w:rsidRPr="00A03715">
        <w:rPr>
          <w:color w:val="000000"/>
          <w:w w:val="90"/>
          <w:sz w:val="24"/>
          <w:szCs w:val="24"/>
        </w:rPr>
        <w:t>ESF;</w:t>
      </w:r>
      <w:proofErr w:type="gramEnd"/>
      <w:r w:rsidRPr="00A03715">
        <w:rPr>
          <w:color w:val="000000"/>
          <w:w w:val="90"/>
          <w:sz w:val="24"/>
          <w:szCs w:val="24"/>
        </w:rPr>
        <w:t xml:space="preserve"> 2001. 224 p. </w:t>
      </w:r>
    </w:p>
    <w:p w14:paraId="3974FE93" w14:textId="459F769C" w:rsidR="00D80693" w:rsidRPr="0065773E" w:rsidRDefault="00D80693" w:rsidP="00E82F39">
      <w:pPr>
        <w:tabs>
          <w:tab w:val="left" w:pos="384"/>
        </w:tabs>
        <w:spacing w:before="120"/>
        <w:ind w:left="1276" w:hanging="1276"/>
        <w:jc w:val="both"/>
        <w:rPr>
          <w:color w:val="000000"/>
          <w:w w:val="90"/>
          <w:sz w:val="24"/>
          <w:szCs w:val="24"/>
          <w:lang w:val="en-US"/>
        </w:rPr>
      </w:pPr>
      <w:r w:rsidRPr="001928FA">
        <w:rPr>
          <w:color w:val="000000"/>
          <w:w w:val="90"/>
          <w:sz w:val="24"/>
          <w:szCs w:val="24"/>
        </w:rPr>
        <w:t xml:space="preserve">Braun V, Clarke V. </w:t>
      </w:r>
      <w:proofErr w:type="spellStart"/>
      <w:r w:rsidRPr="001928FA">
        <w:rPr>
          <w:color w:val="000000"/>
          <w:w w:val="90"/>
          <w:sz w:val="24"/>
          <w:szCs w:val="24"/>
        </w:rPr>
        <w:t>Using</w:t>
      </w:r>
      <w:proofErr w:type="spellEnd"/>
      <w:r w:rsidRPr="001928FA">
        <w:rPr>
          <w:color w:val="000000"/>
          <w:w w:val="90"/>
          <w:sz w:val="24"/>
          <w:szCs w:val="24"/>
        </w:rPr>
        <w:t xml:space="preserve"> </w:t>
      </w:r>
      <w:proofErr w:type="spellStart"/>
      <w:r w:rsidRPr="001928FA">
        <w:rPr>
          <w:color w:val="000000"/>
          <w:w w:val="90"/>
          <w:sz w:val="24"/>
          <w:szCs w:val="24"/>
        </w:rPr>
        <w:t>thematic</w:t>
      </w:r>
      <w:proofErr w:type="spellEnd"/>
      <w:r w:rsidRPr="001928FA">
        <w:rPr>
          <w:color w:val="000000"/>
          <w:w w:val="90"/>
          <w:sz w:val="24"/>
          <w:szCs w:val="24"/>
        </w:rPr>
        <w:t xml:space="preserve"> </w:t>
      </w:r>
      <w:proofErr w:type="spellStart"/>
      <w:r w:rsidRPr="001928FA">
        <w:rPr>
          <w:color w:val="000000"/>
          <w:w w:val="90"/>
          <w:sz w:val="24"/>
          <w:szCs w:val="24"/>
        </w:rPr>
        <w:t>analysis</w:t>
      </w:r>
      <w:proofErr w:type="spellEnd"/>
      <w:r w:rsidRPr="001928FA">
        <w:rPr>
          <w:color w:val="000000"/>
          <w:w w:val="90"/>
          <w:sz w:val="24"/>
          <w:szCs w:val="24"/>
        </w:rPr>
        <w:t xml:space="preserve"> in </w:t>
      </w:r>
      <w:proofErr w:type="spellStart"/>
      <w:r w:rsidRPr="001928FA">
        <w:rPr>
          <w:color w:val="000000"/>
          <w:w w:val="90"/>
          <w:sz w:val="24"/>
          <w:szCs w:val="24"/>
        </w:rPr>
        <w:t>psychology</w:t>
      </w:r>
      <w:proofErr w:type="spellEnd"/>
      <w:r w:rsidRPr="001928FA">
        <w:rPr>
          <w:color w:val="000000"/>
          <w:w w:val="90"/>
          <w:sz w:val="24"/>
          <w:szCs w:val="24"/>
        </w:rPr>
        <w:t xml:space="preserve">. </w:t>
      </w:r>
      <w:r w:rsidRPr="0065773E">
        <w:rPr>
          <w:color w:val="000000"/>
          <w:w w:val="90"/>
          <w:sz w:val="24"/>
          <w:szCs w:val="24"/>
          <w:lang w:val="en-US"/>
        </w:rPr>
        <w:t xml:space="preserve">Qualitative Research in Psychology. </w:t>
      </w:r>
      <w:proofErr w:type="spellStart"/>
      <w:r w:rsidRPr="0065773E">
        <w:rPr>
          <w:color w:val="000000"/>
          <w:w w:val="90"/>
          <w:sz w:val="24"/>
          <w:szCs w:val="24"/>
          <w:lang w:val="en-US"/>
        </w:rPr>
        <w:t>janv</w:t>
      </w:r>
      <w:proofErr w:type="spellEnd"/>
      <w:r w:rsidRPr="0065773E">
        <w:rPr>
          <w:color w:val="000000"/>
          <w:w w:val="90"/>
          <w:sz w:val="24"/>
          <w:szCs w:val="24"/>
          <w:lang w:val="en-US"/>
        </w:rPr>
        <w:t xml:space="preserve"> 2006;3(2):77‑101. </w:t>
      </w:r>
    </w:p>
    <w:p w14:paraId="58571B2D" w14:textId="7A13894A"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Bandura A. Social Cognitive Theory and Exercise of Control over HIV Infection. In 1994. Disponible sur: https://api.semanticscholar.org/CorpusID:18719378</w:t>
      </w:r>
    </w:p>
    <w:p w14:paraId="20BA7C05" w14:textId="48D1793D"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 xml:space="preserve">Bandura A. Social cognitive theory of self-regulation. Organizational Behavior and Human Decision Processes. </w:t>
      </w:r>
      <w:proofErr w:type="spellStart"/>
      <w:r w:rsidRPr="0065773E">
        <w:rPr>
          <w:color w:val="000000"/>
          <w:w w:val="90"/>
          <w:sz w:val="24"/>
          <w:szCs w:val="24"/>
          <w:lang w:val="en-US"/>
        </w:rPr>
        <w:t>déc</w:t>
      </w:r>
      <w:proofErr w:type="spellEnd"/>
      <w:r w:rsidRPr="0065773E">
        <w:rPr>
          <w:color w:val="000000"/>
          <w:w w:val="90"/>
          <w:sz w:val="24"/>
          <w:szCs w:val="24"/>
          <w:lang w:val="en-US"/>
        </w:rPr>
        <w:t xml:space="preserve"> 1991;50(2):</w:t>
      </w:r>
      <w:proofErr w:type="gramStart"/>
      <w:r w:rsidRPr="0065773E">
        <w:rPr>
          <w:color w:val="000000"/>
          <w:w w:val="90"/>
          <w:sz w:val="24"/>
          <w:szCs w:val="24"/>
          <w:lang w:val="en-US"/>
        </w:rPr>
        <w:t>248‑87</w:t>
      </w:r>
      <w:proofErr w:type="gramEnd"/>
      <w:r w:rsidRPr="0065773E">
        <w:rPr>
          <w:color w:val="000000"/>
          <w:w w:val="90"/>
          <w:sz w:val="24"/>
          <w:szCs w:val="24"/>
          <w:lang w:val="en-US"/>
        </w:rPr>
        <w:t xml:space="preserve">. </w:t>
      </w:r>
    </w:p>
    <w:p w14:paraId="2D348A29" w14:textId="70F63DD3" w:rsidR="00D80693" w:rsidRPr="00A03715" w:rsidRDefault="00D80693" w:rsidP="00E82F39">
      <w:pPr>
        <w:tabs>
          <w:tab w:val="left" w:pos="384"/>
        </w:tabs>
        <w:spacing w:before="120"/>
        <w:ind w:left="1276" w:hanging="1276"/>
        <w:jc w:val="both"/>
        <w:rPr>
          <w:color w:val="000000"/>
          <w:w w:val="90"/>
          <w:sz w:val="24"/>
          <w:szCs w:val="24"/>
        </w:rPr>
      </w:pPr>
      <w:r w:rsidRPr="0065773E">
        <w:rPr>
          <w:color w:val="000000"/>
          <w:w w:val="90"/>
          <w:sz w:val="24"/>
          <w:szCs w:val="24"/>
          <w:lang w:val="en-US"/>
        </w:rPr>
        <w:t xml:space="preserve">Bandura A. Self-efficacy: Toward a unifying theory of behavioral change. </w:t>
      </w:r>
      <w:proofErr w:type="spellStart"/>
      <w:r w:rsidRPr="00A03715">
        <w:rPr>
          <w:color w:val="000000"/>
          <w:w w:val="90"/>
          <w:sz w:val="24"/>
          <w:szCs w:val="24"/>
        </w:rPr>
        <w:t>Psychological</w:t>
      </w:r>
      <w:proofErr w:type="spellEnd"/>
      <w:r w:rsidRPr="00A03715">
        <w:rPr>
          <w:color w:val="000000"/>
          <w:w w:val="90"/>
          <w:sz w:val="24"/>
          <w:szCs w:val="24"/>
        </w:rPr>
        <w:t xml:space="preserve"> </w:t>
      </w:r>
      <w:proofErr w:type="spellStart"/>
      <w:r w:rsidRPr="00A03715">
        <w:rPr>
          <w:color w:val="000000"/>
          <w:w w:val="90"/>
          <w:sz w:val="24"/>
          <w:szCs w:val="24"/>
        </w:rPr>
        <w:t>Review</w:t>
      </w:r>
      <w:proofErr w:type="spellEnd"/>
      <w:r w:rsidRPr="00A03715">
        <w:rPr>
          <w:color w:val="000000"/>
          <w:w w:val="90"/>
          <w:sz w:val="24"/>
          <w:szCs w:val="24"/>
        </w:rPr>
        <w:t xml:space="preserve">. </w:t>
      </w:r>
      <w:proofErr w:type="gramStart"/>
      <w:r w:rsidRPr="00A03715">
        <w:rPr>
          <w:color w:val="000000"/>
          <w:w w:val="90"/>
          <w:sz w:val="24"/>
          <w:szCs w:val="24"/>
        </w:rPr>
        <w:t>1977;</w:t>
      </w:r>
      <w:proofErr w:type="gramEnd"/>
      <w:r w:rsidRPr="00A03715">
        <w:rPr>
          <w:color w:val="000000"/>
          <w:w w:val="90"/>
          <w:sz w:val="24"/>
          <w:szCs w:val="24"/>
        </w:rPr>
        <w:t>84(2</w:t>
      </w:r>
      <w:proofErr w:type="gramStart"/>
      <w:r w:rsidRPr="00A03715">
        <w:rPr>
          <w:color w:val="000000"/>
          <w:w w:val="90"/>
          <w:sz w:val="24"/>
          <w:szCs w:val="24"/>
        </w:rPr>
        <w:t>):</w:t>
      </w:r>
      <w:proofErr w:type="gramEnd"/>
      <w:r w:rsidRPr="00A03715">
        <w:rPr>
          <w:color w:val="000000"/>
          <w:w w:val="90"/>
          <w:sz w:val="24"/>
          <w:szCs w:val="24"/>
        </w:rPr>
        <w:t xml:space="preserve">191‑215. </w:t>
      </w:r>
    </w:p>
    <w:p w14:paraId="53A4FF2A" w14:textId="2AD0F494" w:rsidR="00D80693" w:rsidRPr="00A03715" w:rsidRDefault="00D80693" w:rsidP="00E82F39">
      <w:pPr>
        <w:tabs>
          <w:tab w:val="left" w:pos="384"/>
        </w:tabs>
        <w:spacing w:before="120"/>
        <w:ind w:left="1276" w:hanging="1276"/>
        <w:jc w:val="both"/>
        <w:rPr>
          <w:color w:val="000000"/>
          <w:w w:val="90"/>
          <w:sz w:val="24"/>
          <w:szCs w:val="24"/>
        </w:rPr>
      </w:pPr>
      <w:r w:rsidRPr="00A03715">
        <w:rPr>
          <w:color w:val="000000"/>
          <w:w w:val="90"/>
          <w:sz w:val="24"/>
          <w:szCs w:val="24"/>
        </w:rPr>
        <w:t xml:space="preserve">OMS. Les indicateurs de la santé des adolescents - recommandés par le groupe consultatif de l’action mondiale pour évaluer la santé des adolescents [Internet]. Geneva, </w:t>
      </w:r>
      <w:proofErr w:type="spellStart"/>
      <w:proofErr w:type="gramStart"/>
      <w:r w:rsidRPr="00A03715">
        <w:rPr>
          <w:color w:val="000000"/>
          <w:w w:val="90"/>
          <w:sz w:val="24"/>
          <w:szCs w:val="24"/>
        </w:rPr>
        <w:t>Switzerland</w:t>
      </w:r>
      <w:proofErr w:type="spellEnd"/>
      <w:r w:rsidRPr="00A03715">
        <w:rPr>
          <w:color w:val="000000"/>
          <w:w w:val="90"/>
          <w:sz w:val="24"/>
          <w:szCs w:val="24"/>
        </w:rPr>
        <w:t>:</w:t>
      </w:r>
      <w:proofErr w:type="gramEnd"/>
      <w:r w:rsidRPr="00A03715">
        <w:rPr>
          <w:color w:val="000000"/>
          <w:w w:val="90"/>
          <w:sz w:val="24"/>
          <w:szCs w:val="24"/>
        </w:rPr>
        <w:t xml:space="preserve"> </w:t>
      </w:r>
      <w:proofErr w:type="gramStart"/>
      <w:r w:rsidRPr="00A03715">
        <w:rPr>
          <w:color w:val="000000"/>
          <w:w w:val="90"/>
          <w:sz w:val="24"/>
          <w:szCs w:val="24"/>
        </w:rPr>
        <w:t>OMS;</w:t>
      </w:r>
      <w:proofErr w:type="gramEnd"/>
      <w:r w:rsidRPr="00A03715">
        <w:rPr>
          <w:color w:val="000000"/>
          <w:w w:val="90"/>
          <w:sz w:val="24"/>
          <w:szCs w:val="24"/>
        </w:rPr>
        <w:t xml:space="preserve"> 2024 p. 88. Disponible </w:t>
      </w:r>
      <w:proofErr w:type="gramStart"/>
      <w:r w:rsidRPr="00A03715">
        <w:rPr>
          <w:color w:val="000000"/>
          <w:w w:val="90"/>
          <w:sz w:val="24"/>
          <w:szCs w:val="24"/>
        </w:rPr>
        <w:t>sur:</w:t>
      </w:r>
      <w:proofErr w:type="gramEnd"/>
      <w:r w:rsidRPr="00A03715">
        <w:rPr>
          <w:color w:val="000000"/>
          <w:w w:val="90"/>
          <w:sz w:val="24"/>
          <w:szCs w:val="24"/>
        </w:rPr>
        <w:t xml:space="preserve"> https://iris.who.int/bitstream/handle/10665/376920/9789240095496-fre.pdf?sequence=1</w:t>
      </w:r>
    </w:p>
    <w:p w14:paraId="7BDDD7E7" w14:textId="4A67AF23" w:rsidR="00D80693" w:rsidRPr="0065773E" w:rsidRDefault="00D80693" w:rsidP="00E82F39">
      <w:pPr>
        <w:tabs>
          <w:tab w:val="left" w:pos="384"/>
        </w:tabs>
        <w:spacing w:before="120"/>
        <w:ind w:left="1276" w:hanging="1276"/>
        <w:jc w:val="both"/>
        <w:rPr>
          <w:color w:val="000000"/>
          <w:w w:val="90"/>
          <w:sz w:val="24"/>
          <w:szCs w:val="24"/>
          <w:lang w:val="en-US"/>
        </w:rPr>
      </w:pPr>
      <w:r w:rsidRPr="0065773E">
        <w:rPr>
          <w:color w:val="000000"/>
          <w:w w:val="90"/>
          <w:sz w:val="24"/>
          <w:szCs w:val="24"/>
          <w:lang w:val="en-US"/>
        </w:rPr>
        <w:t>Piaget J. Science of education and the psychology of the child. Trans D Coltman Orion. 1970.</w:t>
      </w:r>
    </w:p>
    <w:p w14:paraId="08B0BD78" w14:textId="70694FF4" w:rsidR="00D80693" w:rsidRPr="00A03715" w:rsidRDefault="00D80693" w:rsidP="00E82F39">
      <w:pPr>
        <w:tabs>
          <w:tab w:val="left" w:pos="384"/>
        </w:tabs>
        <w:spacing w:before="120"/>
        <w:ind w:left="1276" w:hanging="1276"/>
        <w:jc w:val="both"/>
        <w:rPr>
          <w:color w:val="000000"/>
          <w:w w:val="90"/>
          <w:sz w:val="24"/>
          <w:szCs w:val="24"/>
        </w:rPr>
      </w:pPr>
      <w:proofErr w:type="spellStart"/>
      <w:r w:rsidRPr="0065773E">
        <w:rPr>
          <w:color w:val="000000"/>
          <w:w w:val="90"/>
          <w:sz w:val="24"/>
          <w:szCs w:val="24"/>
          <w:lang w:val="en-US"/>
        </w:rPr>
        <w:t>Vygotskij</w:t>
      </w:r>
      <w:proofErr w:type="spellEnd"/>
      <w:r w:rsidRPr="0065773E">
        <w:rPr>
          <w:color w:val="000000"/>
          <w:w w:val="90"/>
          <w:sz w:val="24"/>
          <w:szCs w:val="24"/>
          <w:lang w:val="en-US"/>
        </w:rPr>
        <w:t xml:space="preserve"> LS, Cole M. Mind in society: the development of higher psychological processes. </w:t>
      </w:r>
      <w:proofErr w:type="spellStart"/>
      <w:r w:rsidRPr="00A03715">
        <w:rPr>
          <w:color w:val="000000"/>
          <w:w w:val="90"/>
          <w:sz w:val="24"/>
          <w:szCs w:val="24"/>
        </w:rPr>
        <w:t>Nachdr</w:t>
      </w:r>
      <w:proofErr w:type="spellEnd"/>
      <w:r w:rsidRPr="00A03715">
        <w:rPr>
          <w:color w:val="000000"/>
          <w:w w:val="90"/>
          <w:sz w:val="24"/>
          <w:szCs w:val="24"/>
        </w:rPr>
        <w:t>. Cambridge, Mass</w:t>
      </w:r>
      <w:proofErr w:type="gramStart"/>
      <w:r w:rsidRPr="00A03715">
        <w:rPr>
          <w:color w:val="000000"/>
          <w:w w:val="90"/>
          <w:sz w:val="24"/>
          <w:szCs w:val="24"/>
        </w:rPr>
        <w:t>.:</w:t>
      </w:r>
      <w:proofErr w:type="gramEnd"/>
      <w:r w:rsidRPr="00A03715">
        <w:rPr>
          <w:color w:val="000000"/>
          <w:w w:val="90"/>
          <w:sz w:val="24"/>
          <w:szCs w:val="24"/>
        </w:rPr>
        <w:t xml:space="preserve"> Harvard Univ. </w:t>
      </w:r>
      <w:proofErr w:type="gramStart"/>
      <w:r w:rsidRPr="00A03715">
        <w:rPr>
          <w:color w:val="000000"/>
          <w:w w:val="90"/>
          <w:sz w:val="24"/>
          <w:szCs w:val="24"/>
        </w:rPr>
        <w:t>Press;</w:t>
      </w:r>
      <w:proofErr w:type="gramEnd"/>
      <w:r w:rsidRPr="00A03715">
        <w:rPr>
          <w:color w:val="000000"/>
          <w:w w:val="90"/>
          <w:sz w:val="24"/>
          <w:szCs w:val="24"/>
        </w:rPr>
        <w:t xml:space="preserve"> 1981. 159 p. </w:t>
      </w:r>
    </w:p>
    <w:p w14:paraId="7F616481" w14:textId="4BFF55CC" w:rsidR="00D80693" w:rsidRPr="00A03715" w:rsidRDefault="00D80693" w:rsidP="00E82F39">
      <w:pPr>
        <w:tabs>
          <w:tab w:val="left" w:pos="384"/>
        </w:tabs>
        <w:spacing w:before="120"/>
        <w:ind w:left="1276" w:hanging="1276"/>
        <w:jc w:val="both"/>
        <w:rPr>
          <w:color w:val="000000"/>
          <w:w w:val="90"/>
          <w:sz w:val="24"/>
          <w:szCs w:val="24"/>
        </w:rPr>
      </w:pPr>
      <w:r w:rsidRPr="00A03715">
        <w:rPr>
          <w:color w:val="000000"/>
          <w:w w:val="90"/>
          <w:sz w:val="24"/>
          <w:szCs w:val="24"/>
        </w:rPr>
        <w:t xml:space="preserve">Jourdan D. Éducation à la santé : Quelle formation pour les enseignants ? [Internet]. Institut National de Prévention et d’Education pour la Santé, INPES </w:t>
      </w:r>
      <w:proofErr w:type="gramStart"/>
      <w:r w:rsidRPr="00A03715">
        <w:rPr>
          <w:color w:val="000000"/>
          <w:w w:val="90"/>
          <w:sz w:val="24"/>
          <w:szCs w:val="24"/>
        </w:rPr>
        <w:t>FRANCE:</w:t>
      </w:r>
      <w:proofErr w:type="gramEnd"/>
      <w:r w:rsidRPr="00A03715">
        <w:rPr>
          <w:color w:val="000000"/>
          <w:w w:val="90"/>
          <w:sz w:val="24"/>
          <w:szCs w:val="24"/>
        </w:rPr>
        <w:t xml:space="preserve"> Saint Denis </w:t>
      </w:r>
      <w:proofErr w:type="gramStart"/>
      <w:r w:rsidRPr="00A03715">
        <w:rPr>
          <w:color w:val="000000"/>
          <w:w w:val="90"/>
          <w:sz w:val="24"/>
          <w:szCs w:val="24"/>
        </w:rPr>
        <w:t>INPES;</w:t>
      </w:r>
      <w:proofErr w:type="gramEnd"/>
      <w:r w:rsidRPr="00A03715">
        <w:rPr>
          <w:color w:val="000000"/>
          <w:w w:val="90"/>
          <w:sz w:val="24"/>
          <w:szCs w:val="24"/>
        </w:rPr>
        <w:t xml:space="preserve"> 2011. 146p p. Disponible </w:t>
      </w:r>
      <w:proofErr w:type="gramStart"/>
      <w:r w:rsidRPr="00A03715">
        <w:rPr>
          <w:color w:val="000000"/>
          <w:w w:val="90"/>
          <w:sz w:val="24"/>
          <w:szCs w:val="24"/>
        </w:rPr>
        <w:t>sur:</w:t>
      </w:r>
      <w:proofErr w:type="gramEnd"/>
      <w:r w:rsidRPr="00A03715">
        <w:rPr>
          <w:color w:val="000000"/>
          <w:w w:val="90"/>
          <w:sz w:val="24"/>
          <w:szCs w:val="24"/>
        </w:rPr>
        <w:t xml:space="preserve"> </w:t>
      </w:r>
      <w:proofErr w:type="gramStart"/>
      <w:r w:rsidRPr="00A03715">
        <w:rPr>
          <w:color w:val="000000"/>
          <w:w w:val="90"/>
          <w:sz w:val="24"/>
          <w:szCs w:val="24"/>
        </w:rPr>
        <w:t>https://www.ac-paris.fr/portail/upload/docs/image/pdf/2015-02/education_a_la_sante_-_quelle_formation_pour_les_enseignants_170_p..</w:t>
      </w:r>
      <w:proofErr w:type="gramEnd"/>
      <w:r w:rsidRPr="00A03715">
        <w:rPr>
          <w:color w:val="000000"/>
          <w:w w:val="90"/>
          <w:sz w:val="24"/>
          <w:szCs w:val="24"/>
        </w:rPr>
        <w:t>pdf</w:t>
      </w:r>
    </w:p>
    <w:p w14:paraId="5659A6BE" w14:textId="77777777" w:rsidR="00D80693" w:rsidRPr="006A0BC8" w:rsidRDefault="00D80693" w:rsidP="00E82F39">
      <w:pPr>
        <w:spacing w:before="120"/>
        <w:ind w:left="1276" w:hanging="1276"/>
        <w:jc w:val="both"/>
        <w:rPr>
          <w:b/>
          <w:color w:val="000000"/>
          <w:w w:val="90"/>
          <w:sz w:val="24"/>
          <w:szCs w:val="24"/>
        </w:rPr>
      </w:pPr>
      <w:r w:rsidRPr="00960EDC">
        <w:rPr>
          <w:color w:val="000000"/>
          <w:w w:val="90"/>
          <w:sz w:val="24"/>
          <w:szCs w:val="24"/>
        </w:rPr>
        <w:fldChar w:fldCharType="end"/>
      </w:r>
    </w:p>
    <w:p w14:paraId="485EA6DB" w14:textId="77777777" w:rsidR="00D80693" w:rsidRDefault="00D80693" w:rsidP="00E82F39">
      <w:pPr>
        <w:spacing w:line="276" w:lineRule="auto"/>
        <w:ind w:left="1276" w:hanging="1276"/>
        <w:rPr>
          <w:rFonts w:ascii="Calibri" w:eastAsia="DengXian" w:hAnsi="Calibri"/>
          <w:sz w:val="0"/>
          <w:szCs w:val="0"/>
        </w:rPr>
        <w:sectPr w:rsidR="00D80693" w:rsidSect="00D51032">
          <w:headerReference w:type="default" r:id="rId121"/>
          <w:pgSz w:w="11906" w:h="16838"/>
          <w:pgMar w:top="1418" w:right="1418" w:bottom="1418" w:left="1418" w:header="851" w:footer="709" w:gutter="0"/>
          <w:cols w:space="708"/>
          <w:docGrid w:linePitch="360"/>
        </w:sectPr>
      </w:pPr>
    </w:p>
    <w:p w14:paraId="7234059C" w14:textId="040D6ED5" w:rsidR="00D80693" w:rsidRPr="00E82F39" w:rsidRDefault="00E82F39" w:rsidP="00E82F39">
      <w:pPr>
        <w:pStyle w:val="Titre1"/>
        <w:spacing w:before="120"/>
        <w:ind w:left="164"/>
        <w:rPr>
          <w:rFonts w:eastAsia="Aptos"/>
          <w:i/>
          <w:iCs/>
          <w:kern w:val="2"/>
          <w:lang w:val="fr-CI"/>
          <w14:ligatures w14:val="standardContextual"/>
        </w:rPr>
      </w:pPr>
      <w:bookmarkStart w:id="229" w:name="_Toc219272578"/>
      <w:r w:rsidRPr="00E82F39">
        <w:rPr>
          <w:rFonts w:eastAsia="Aptos"/>
          <w:i/>
          <w:iCs/>
          <w:kern w:val="2"/>
          <w:lang w:val="fr-CI"/>
          <w14:ligatures w14:val="standardContextual"/>
        </w:rPr>
        <w:t>Influence du milieu familial sur les comportements frauduleux des élèves lors des examens du BEPC et du bac à Abidjan</w:t>
      </w:r>
      <w:bookmarkEnd w:id="229"/>
    </w:p>
    <w:p w14:paraId="50C81AA5" w14:textId="12348636" w:rsidR="00D80693" w:rsidRPr="00E82F39" w:rsidRDefault="00D80693" w:rsidP="00E82F39">
      <w:pPr>
        <w:pStyle w:val="Titre1"/>
        <w:spacing w:before="120"/>
        <w:ind w:left="164"/>
        <w:rPr>
          <w:rFonts w:eastAsia="Aptos"/>
          <w:kern w:val="2"/>
          <w:lang w:val="fr-CI"/>
          <w14:ligatures w14:val="standardContextual"/>
        </w:rPr>
      </w:pPr>
      <w:bookmarkStart w:id="230" w:name="_Toc219272579"/>
      <w:r w:rsidRPr="00E82F39">
        <w:rPr>
          <w:rFonts w:eastAsia="Aptos"/>
          <w:kern w:val="2"/>
          <w:lang w:val="fr-CI"/>
          <w14:ligatures w14:val="standardContextual"/>
        </w:rPr>
        <w:t>N’</w:t>
      </w:r>
      <w:proofErr w:type="spellStart"/>
      <w:r w:rsidRPr="00E82F39">
        <w:rPr>
          <w:rFonts w:eastAsia="Aptos"/>
          <w:kern w:val="2"/>
          <w:lang w:val="fr-CI"/>
          <w14:ligatures w14:val="standardContextual"/>
        </w:rPr>
        <w:t>guessan</w:t>
      </w:r>
      <w:proofErr w:type="spellEnd"/>
      <w:r w:rsidRPr="00E82F39">
        <w:rPr>
          <w:rFonts w:eastAsia="Aptos"/>
          <w:kern w:val="2"/>
          <w:lang w:val="fr-CI"/>
          <w14:ligatures w14:val="standardContextual"/>
        </w:rPr>
        <w:t xml:space="preserve"> Williams</w:t>
      </w:r>
      <w:r w:rsidR="00E82F39" w:rsidRPr="00E82F39">
        <w:rPr>
          <w:rFonts w:eastAsia="Aptos"/>
          <w:kern w:val="2"/>
          <w:lang w:val="fr-CI"/>
          <w14:ligatures w14:val="standardContextual"/>
        </w:rPr>
        <w:t xml:space="preserve"> </w:t>
      </w:r>
      <w:r w:rsidR="00E82F39" w:rsidRPr="00E82F39">
        <w:rPr>
          <w:rFonts w:eastAsia="Aptos"/>
          <w:kern w:val="2"/>
          <w:lang w:val="fr-CI"/>
          <w14:ligatures w14:val="standardContextual"/>
        </w:rPr>
        <w:t>KOFFI</w:t>
      </w:r>
      <w:r w:rsidRPr="00E82F39">
        <w:rPr>
          <w:rFonts w:eastAsia="Aptos"/>
          <w:kern w:val="2"/>
          <w:lang w:val="fr-CI"/>
          <w14:ligatures w14:val="standardContextual"/>
        </w:rPr>
        <w:t xml:space="preserve">, Tanoh épouse </w:t>
      </w:r>
      <w:r w:rsidR="00E82F39" w:rsidRPr="00E82F39">
        <w:rPr>
          <w:rFonts w:eastAsia="Aptos"/>
          <w:kern w:val="2"/>
          <w:lang w:val="fr-CI"/>
          <w14:ligatures w14:val="standardContextual"/>
        </w:rPr>
        <w:t xml:space="preserve">N’DIAMOI </w:t>
      </w:r>
      <w:r w:rsidRPr="00E82F39">
        <w:rPr>
          <w:rFonts w:eastAsia="Aptos"/>
          <w:kern w:val="2"/>
          <w:lang w:val="fr-CI"/>
          <w14:ligatures w14:val="standardContextual"/>
        </w:rPr>
        <w:t xml:space="preserve">KOUAME, Aya Michèle </w:t>
      </w:r>
      <w:r w:rsidR="00E82F39" w:rsidRPr="00E82F39">
        <w:rPr>
          <w:rFonts w:eastAsia="Aptos"/>
          <w:kern w:val="2"/>
          <w:lang w:val="fr-CI"/>
          <w14:ligatures w14:val="standardContextual"/>
        </w:rPr>
        <w:t>KOFFI</w:t>
      </w:r>
      <w:bookmarkEnd w:id="230"/>
    </w:p>
    <w:p w14:paraId="27B31837" w14:textId="77777777" w:rsidR="00D80693" w:rsidRPr="00635094" w:rsidRDefault="00D80693" w:rsidP="00D80693">
      <w:pPr>
        <w:spacing w:line="278" w:lineRule="auto"/>
        <w:rPr>
          <w:rFonts w:eastAsia="Aptos"/>
          <w:b/>
          <w:bCs/>
          <w:kern w:val="2"/>
          <w:sz w:val="28"/>
          <w:szCs w:val="28"/>
          <w:lang w:val="fr-CI"/>
          <w14:ligatures w14:val="standardContextual"/>
        </w:rPr>
      </w:pPr>
      <w:r>
        <w:rPr>
          <w:rFonts w:eastAsia="Aptos"/>
          <w:b/>
          <w:bCs/>
          <w:kern w:val="2"/>
          <w:sz w:val="28"/>
          <w:szCs w:val="28"/>
          <w:lang w:val="fr-CI"/>
          <w14:ligatures w14:val="standardContextual"/>
        </w:rPr>
        <w:t xml:space="preserve">Résumé </w:t>
      </w:r>
    </w:p>
    <w:p w14:paraId="1CB4BB84" w14:textId="77777777" w:rsidR="00D80693" w:rsidRDefault="00D80693" w:rsidP="00D80693">
      <w:pPr>
        <w:spacing w:before="100" w:beforeAutospacing="1" w:after="100" w:afterAutospacing="1"/>
        <w:jc w:val="both"/>
        <w:rPr>
          <w:sz w:val="24"/>
          <w:szCs w:val="24"/>
          <w:lang w:val="fr-CI" w:eastAsia="zh-CN"/>
        </w:rPr>
      </w:pPr>
      <w:bookmarkStart w:id="231" w:name="_Hlk215817172"/>
      <w:r>
        <w:rPr>
          <w:sz w:val="24"/>
          <w:szCs w:val="24"/>
          <w:lang w:val="fr-CI" w:eastAsia="zh-CN"/>
        </w:rPr>
        <w:t xml:space="preserve">Cette étude analyse l’influence du milieu familial sur les pratiques de fraude lors des examens du BEPC et du BAC à Abidjan. Elle s’appuie sur la théorie du capital social (Coleman, J.S. 1988) et la théorie du triangle de la fraude (Cressey. 1953), qui expliquent le comportement frauduleux des élèves selon trois dimensions : pression parentale, opportunité et rationalisation. Une triangulation méthodologique a été adoptée, combinant un échantillon de 300 élèves de troisième et </w:t>
      </w:r>
      <w:proofErr w:type="gramStart"/>
      <w:r>
        <w:rPr>
          <w:sz w:val="24"/>
          <w:szCs w:val="24"/>
          <w:lang w:val="fr-CI" w:eastAsia="zh-CN"/>
        </w:rPr>
        <w:t xml:space="preserve">terminale </w:t>
      </w:r>
      <w:r w:rsidRPr="00D22096">
        <w:rPr>
          <w:rFonts w:eastAsia="DengXian Light"/>
          <w:sz w:val="24"/>
          <w:szCs w:val="24"/>
          <w:lang w:val="fr-CI" w:eastAsia="zh-CN"/>
        </w:rPr>
        <w:t>issus</w:t>
      </w:r>
      <w:proofErr w:type="gramEnd"/>
      <w:r w:rsidRPr="00D22096">
        <w:rPr>
          <w:rFonts w:eastAsia="DengXian Light"/>
          <w:sz w:val="24"/>
          <w:szCs w:val="24"/>
          <w:lang w:val="fr-CI" w:eastAsia="zh-CN"/>
        </w:rPr>
        <w:t xml:space="preserve"> de six établissements</w:t>
      </w:r>
      <w:r>
        <w:rPr>
          <w:sz w:val="24"/>
          <w:szCs w:val="24"/>
          <w:lang w:val="fr-CI" w:eastAsia="zh-CN"/>
        </w:rPr>
        <w:t xml:space="preserve"> d’Abidjan et des entretiens semi-directifs avec des parents et enseignants. Les résultats révèlent que la fraude est plus fréquente chez les élèves </w:t>
      </w:r>
      <w:r w:rsidRPr="00D22096">
        <w:rPr>
          <w:rFonts w:eastAsia="DengXian Light"/>
          <w:sz w:val="24"/>
          <w:szCs w:val="24"/>
          <w:lang w:val="fr-CI" w:eastAsia="zh-CN"/>
        </w:rPr>
        <w:t>caractérisés par un faible suivi parental et un niveau socioéconomique bas</w:t>
      </w:r>
      <w:r w:rsidRPr="00D22096">
        <w:rPr>
          <w:b/>
          <w:bCs/>
          <w:sz w:val="24"/>
          <w:szCs w:val="24"/>
          <w:lang w:val="fr-CI" w:eastAsia="zh-CN"/>
        </w:rPr>
        <w:t>.</w:t>
      </w:r>
      <w:r>
        <w:rPr>
          <w:sz w:val="24"/>
          <w:szCs w:val="24"/>
          <w:lang w:val="fr-CI" w:eastAsia="zh-CN"/>
        </w:rPr>
        <w:t xml:space="preserve"> Les discours parentaux ambivalents et la pression pour réussir renforcent ce comportement. Ces résultats suggèrent la nécessité de promouvoir l’intégrité scolaire par l’éducation civique, un suivi parental accru et la sensibilisation des familles.</w:t>
      </w:r>
    </w:p>
    <w:bookmarkEnd w:id="231"/>
    <w:p w14:paraId="5C8A8002" w14:textId="77777777" w:rsidR="00D80693" w:rsidRDefault="00D80693" w:rsidP="00D80693">
      <w:pPr>
        <w:spacing w:before="100" w:beforeAutospacing="1" w:after="100" w:afterAutospacing="1"/>
        <w:rPr>
          <w:sz w:val="24"/>
          <w:szCs w:val="24"/>
          <w:lang w:val="fr-CI" w:eastAsia="zh-CN"/>
        </w:rPr>
      </w:pPr>
      <w:r w:rsidRPr="002E3014">
        <w:rPr>
          <w:rFonts w:eastAsia="DengXian Light"/>
          <w:sz w:val="24"/>
          <w:szCs w:val="24"/>
          <w:lang w:val="fr-CI" w:eastAsia="zh-CN"/>
        </w:rPr>
        <w:t>Mots clés</w:t>
      </w:r>
      <w:r>
        <w:rPr>
          <w:rFonts w:eastAsia="DengXian Light"/>
          <w:b/>
          <w:bCs/>
          <w:sz w:val="24"/>
          <w:szCs w:val="24"/>
          <w:lang w:val="fr-CI" w:eastAsia="zh-CN"/>
        </w:rPr>
        <w:t xml:space="preserve"> :</w:t>
      </w:r>
      <w:r>
        <w:rPr>
          <w:sz w:val="24"/>
          <w:szCs w:val="24"/>
          <w:lang w:val="fr-CI" w:eastAsia="zh-CN"/>
        </w:rPr>
        <w:t xml:space="preserve"> Milieu familial – Fraude scolaire – Examens – Triangulation méthodologique – Abidjan.</w:t>
      </w:r>
    </w:p>
    <w:p w14:paraId="485DAA63" w14:textId="77777777" w:rsidR="00D80693" w:rsidRPr="0065773E" w:rsidRDefault="00D80693" w:rsidP="00D80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eastAsia="zh-CN"/>
        </w:rPr>
      </w:pPr>
      <w:r w:rsidRPr="00635094">
        <w:rPr>
          <w:b/>
          <w:bCs/>
          <w:sz w:val="28"/>
          <w:szCs w:val="28"/>
          <w:lang w:val="en" w:eastAsia="zh-CN"/>
        </w:rPr>
        <w:t>THE INFLUENCE OF FAMILY ENVIRONMENT ON STUDENT CHEATING BEHAVIOR DURING THE BEPC AND BACCALAUREATE EXAMS IN ABIDJAN</w:t>
      </w:r>
    </w:p>
    <w:p w14:paraId="4C5E73C0" w14:textId="77777777" w:rsidR="00D80693" w:rsidRPr="0065773E" w:rsidRDefault="00D80693" w:rsidP="00D80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US" w:eastAsia="zh-CN"/>
        </w:rPr>
      </w:pPr>
      <w:r w:rsidRPr="00D22096">
        <w:rPr>
          <w:sz w:val="24"/>
          <w:szCs w:val="24"/>
          <w:lang w:val="en" w:eastAsia="zh-CN"/>
        </w:rPr>
        <w:t>This study analyzes the influence of family background on cheating practices during the BEPC and BAC exams in Abidjan. It draws on social capital theory (Coleman, J.S. 1988) and the cheating triangle theory (Cressey, 1953), which explain students' fraudulent behavior according to three dimensions: parental pressure, opportunity, and rationalization. A methodological triangulation was adopted, combining a sample of 300 students in their final two years of secondary school from six schools in Abidjan with semi-structured interviews with parents and teachers. The results reveal that cheating is more frequent among students characterized by weak parental involvement and a low socioeconomic level. Ambivalent parental messages and pressure to succeed reinforce this behavior. These results suggest the need to promote academic integrity through civic education, increased parental involvement, and raising awareness among families.</w:t>
      </w:r>
    </w:p>
    <w:p w14:paraId="5E8B7A25" w14:textId="77777777" w:rsidR="00D80693" w:rsidRPr="0065773E" w:rsidRDefault="00D80693" w:rsidP="00D80693">
      <w:pPr>
        <w:spacing w:before="100" w:beforeAutospacing="1" w:after="100" w:afterAutospacing="1"/>
        <w:rPr>
          <w:sz w:val="24"/>
          <w:szCs w:val="24"/>
          <w:lang w:val="en-US" w:eastAsia="zh-CN"/>
        </w:rPr>
      </w:pPr>
    </w:p>
    <w:p w14:paraId="4408ADB2" w14:textId="77777777" w:rsidR="00E82F39" w:rsidRPr="001928FA" w:rsidRDefault="00E82F39">
      <w:pPr>
        <w:rPr>
          <w:b/>
          <w:bCs/>
          <w:sz w:val="28"/>
          <w:szCs w:val="28"/>
          <w:lang w:val="en-US" w:eastAsia="zh-CN"/>
        </w:rPr>
      </w:pPr>
      <w:r w:rsidRPr="001928FA">
        <w:rPr>
          <w:b/>
          <w:bCs/>
          <w:sz w:val="28"/>
          <w:szCs w:val="28"/>
          <w:lang w:val="en-US" w:eastAsia="zh-CN"/>
        </w:rPr>
        <w:br w:type="page"/>
      </w:r>
    </w:p>
    <w:p w14:paraId="27D9BEC6" w14:textId="1261911D" w:rsidR="00D80693" w:rsidRDefault="00D80693" w:rsidP="00D80693">
      <w:pPr>
        <w:spacing w:before="100" w:beforeAutospacing="1" w:after="100" w:afterAutospacing="1"/>
        <w:rPr>
          <w:b/>
          <w:bCs/>
          <w:sz w:val="28"/>
          <w:szCs w:val="28"/>
          <w:lang w:val="fr-CI" w:eastAsia="zh-CN"/>
        </w:rPr>
      </w:pPr>
      <w:r w:rsidRPr="00141761">
        <w:rPr>
          <w:b/>
          <w:bCs/>
          <w:sz w:val="28"/>
          <w:szCs w:val="28"/>
          <w:lang w:val="fr-CI" w:eastAsia="zh-CN"/>
        </w:rPr>
        <w:t>Introduction</w:t>
      </w:r>
    </w:p>
    <w:p w14:paraId="677889E5"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 xml:space="preserve">La famille, principal agent de socialisation et de transmission des valeurs, occupe une place centrale dans la construction des attitudes et des comportements des individus (Koudou, </w:t>
      </w:r>
      <w:r>
        <w:rPr>
          <w:sz w:val="24"/>
          <w:szCs w:val="24"/>
          <w:lang w:val="fr-CI" w:eastAsia="zh-CN"/>
        </w:rPr>
        <w:t>O</w:t>
      </w:r>
      <w:r w:rsidRPr="00FC1BDA">
        <w:rPr>
          <w:sz w:val="24"/>
          <w:szCs w:val="24"/>
          <w:lang w:val="fr-CI" w:eastAsia="zh-CN"/>
        </w:rPr>
        <w:t>., 2021). Elle constitue le cadre où s’élaborent les normes, les croyances et les attentes sociales qui guideront l’enfant dans son rapport à l’école et à la société (Deslandes, R. &amp; Bertrand, R., 2004). On distingue généralement quatre styles parentaux : le style autocratique (contrôle actif et faible sensibilité), peu favorable ; le style désengagé ou négligent (faible contrôle et faible sensibilité) ; le style permissif (forte sensibilité et faible contrôle) ; et le style démocratique (contrôle actif et forte sensibilité), propice à l’acquisition des compétences sociales (Bornstein, M. H., 2002). Lorsque ce cadre éducatif fonctionne harmonieusement, il favorise discipline, responsabilité et intégrité, des valeurs souvent absentes en situation de fraude aux examens.</w:t>
      </w:r>
    </w:p>
    <w:p w14:paraId="164EF979"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La ville d’Abidjan, capitale économique de la Côte d’Ivoire, regorge d’établissements publics et privés et demeure fortement touchée par le phénomène de la fraude aux examens du Brevet d’Études du Premier Cycle (BEPC) et du Baccalauréat (BAC). Des comportements frauduleux sont observés chez les enseignants, les élèves et les parents, avant, pendant et après les épreuves, compromettant la crédibilité des évaluations scolaires.</w:t>
      </w:r>
    </w:p>
    <w:p w14:paraId="6EC56448"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L’évolution de la fraude au cours des quatre dernières années illustre la gravité du phénomène. En 2020, la session du BEPC enregistre 248 cas, contre 16 180 cas au BAC, soit un total de 16 428 cas (Direction des Examens et Concours : DÉCO, 2020). En 2021, on note 865 cas au BEPC et 10 494 au BAC (DÉCO, 2021). En 2022, la tendance à la hausse se poursuit au BEPC avec 1 840 cas, tandis que le BAC connaît une baisse avec 4 152 cas (DÉCO, 2022). En 2023, un total de 16 428 cas est déclaré (DÉCO, 2023), et en 2024, 574 cas au BEPC et 3 045 au BAC sont notifiés (</w:t>
      </w:r>
      <w:proofErr w:type="gramStart"/>
      <w:r w:rsidRPr="00FC1BDA">
        <w:rPr>
          <w:sz w:val="24"/>
          <w:szCs w:val="24"/>
          <w:lang w:val="fr-CI" w:eastAsia="zh-CN"/>
        </w:rPr>
        <w:t>Ministère de l’Éducation</w:t>
      </w:r>
      <w:proofErr w:type="gramEnd"/>
      <w:r w:rsidRPr="00FC1BDA">
        <w:rPr>
          <w:sz w:val="24"/>
          <w:szCs w:val="24"/>
          <w:lang w:val="fr-CI" w:eastAsia="zh-CN"/>
        </w:rPr>
        <w:t xml:space="preserve"> nationale et de l’Alphabétisation, 2024). Abidjan demeure l’épicentre de ce phénomène, avec des réseaux de fraudeurs organisés, notamment dans les communes d’Abobo, d’Anyama, et dans la DREN 3 (Yopougon et Cocody) (DÉCO, 2024).</w:t>
      </w:r>
    </w:p>
    <w:p w14:paraId="25A50961"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Malgré les efforts du ministère pour endiguer la fraude, celle-ci persiste. Selon Dieter, M. (1996), la fraude a toujours existé mais s’est amplifiée ces dernières années. Elle ne s’explique pas uniquement par des failles institutionnelles (Hallak, J. &amp; Poisson, M., 2002), mais trouve aussi ses racines dans des facteurs familiaux et socioculturels (Koffi, N.W., 2024). Certaines familles banalisent la fraude ou exercent une pression intense sur l’élève, tandis que d’autres ne fournissent pas le soutien scolaire nécessaire. La précarité économique limite l’accès aux ressources pédagogiques, renforçant la tentation de tricher. Le déficit d’éducation morale et civique, ainsi que l’absence de suivi parental, normalisent les comportements déviants (</w:t>
      </w:r>
      <w:proofErr w:type="spellStart"/>
      <w:r w:rsidRPr="00FC1BDA">
        <w:rPr>
          <w:sz w:val="24"/>
          <w:szCs w:val="24"/>
          <w:lang w:val="fr-CI" w:eastAsia="zh-CN"/>
        </w:rPr>
        <w:t>Yessoufou</w:t>
      </w:r>
      <w:proofErr w:type="spellEnd"/>
      <w:r w:rsidRPr="00FC1BDA">
        <w:rPr>
          <w:sz w:val="24"/>
          <w:szCs w:val="24"/>
          <w:lang w:val="fr-CI" w:eastAsia="zh-CN"/>
        </w:rPr>
        <w:t xml:space="preserve"> Akime, S. et al., 2023). Comme le souligne Koffi, N. W. (2024), la fraude en milieu scolaire s’explique en grande partie par la forte pression sociale et familiale exercée sur les élèves.</w:t>
      </w:r>
    </w:p>
    <w:p w14:paraId="4765A561"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 xml:space="preserve">Ces constats soulèvent une interrogation centrale : </w:t>
      </w:r>
      <w:r w:rsidRPr="00FC1BDA">
        <w:rPr>
          <w:rFonts w:eastAsia="DengXian Light"/>
          <w:sz w:val="24"/>
          <w:szCs w:val="24"/>
          <w:lang w:val="fr-CI" w:eastAsia="zh-CN"/>
        </w:rPr>
        <w:t>dans quelle mesure et par quels mécanismes le milieu familial influence-t-il les pratiques de fraude aux examens scolaires du BEPC et du BAC à Abidjan ?</w:t>
      </w:r>
      <w:r w:rsidRPr="00FC1BDA">
        <w:rPr>
          <w:sz w:val="24"/>
          <w:szCs w:val="24"/>
          <w:lang w:val="fr-CI" w:eastAsia="zh-CN"/>
        </w:rPr>
        <w:t xml:space="preserve"> Cette question invite à analyser les caractéristiques familiales (niveau d’instruction, conditions économiques, styles éducatifs, encadrement parental, communication et climat familial), les valeurs transmises (intégrité, mérite, effort) et les stratégies parentales liées à la réussite scolaire.</w:t>
      </w:r>
    </w:p>
    <w:p w14:paraId="21865D98"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 xml:space="preserve">L’étude s’appuie sur la </w:t>
      </w:r>
      <w:r w:rsidRPr="00FC1BDA">
        <w:rPr>
          <w:rFonts w:eastAsia="DengXian Light"/>
          <w:sz w:val="24"/>
          <w:szCs w:val="24"/>
          <w:lang w:val="fr-CI" w:eastAsia="zh-CN"/>
        </w:rPr>
        <w:t>théorie du capital social</w:t>
      </w:r>
      <w:r w:rsidRPr="00FC1BDA">
        <w:rPr>
          <w:sz w:val="24"/>
          <w:szCs w:val="24"/>
          <w:lang w:val="fr-CI" w:eastAsia="zh-CN"/>
        </w:rPr>
        <w:t xml:space="preserve"> de Coleman, J. (1988), enrichie par Bourdieu, P. (1986), et sur la </w:t>
      </w:r>
      <w:r w:rsidRPr="00FC1BDA">
        <w:rPr>
          <w:rFonts w:eastAsia="DengXian Light"/>
          <w:sz w:val="24"/>
          <w:szCs w:val="24"/>
          <w:lang w:val="fr-CI" w:eastAsia="zh-CN"/>
        </w:rPr>
        <w:t>théorie du triangle de la fraude</w:t>
      </w:r>
      <w:r w:rsidRPr="00FC1BDA">
        <w:rPr>
          <w:sz w:val="24"/>
          <w:szCs w:val="24"/>
          <w:lang w:val="fr-CI" w:eastAsia="zh-CN"/>
        </w:rPr>
        <w:t xml:space="preserve"> de Cressy, D. (1953). Selon Coleman, les comportements sont façonnés par les réseaux sociaux et les ressources disponibles dans le milieu familial. Le capital social repose sur des relations de confiance, des normes et des obligations réciproques. Pour Cressy, la fraude s’explique par trois dimensions : la </w:t>
      </w:r>
      <w:r w:rsidRPr="00FC1BDA">
        <w:rPr>
          <w:rFonts w:eastAsia="DengXian Light"/>
          <w:sz w:val="24"/>
          <w:szCs w:val="24"/>
          <w:lang w:val="fr-CI" w:eastAsia="zh-CN"/>
        </w:rPr>
        <w:t>pression</w:t>
      </w:r>
      <w:r w:rsidRPr="00FC1BDA">
        <w:rPr>
          <w:b/>
          <w:bCs/>
          <w:sz w:val="24"/>
          <w:szCs w:val="24"/>
          <w:lang w:val="fr-CI" w:eastAsia="zh-CN"/>
        </w:rPr>
        <w:t xml:space="preserve"> </w:t>
      </w:r>
      <w:r w:rsidRPr="00FC1BDA">
        <w:rPr>
          <w:sz w:val="24"/>
          <w:szCs w:val="24"/>
          <w:lang w:val="fr-CI" w:eastAsia="zh-CN"/>
        </w:rPr>
        <w:t>(peur d’échouer, manque de préparation, exigences parentales), l’</w:t>
      </w:r>
      <w:r w:rsidRPr="00FC1BDA">
        <w:rPr>
          <w:rFonts w:eastAsia="DengXian Light"/>
          <w:sz w:val="24"/>
          <w:szCs w:val="24"/>
          <w:lang w:val="fr-CI" w:eastAsia="zh-CN"/>
        </w:rPr>
        <w:t>opportunité</w:t>
      </w:r>
      <w:r w:rsidRPr="00FC1BDA">
        <w:rPr>
          <w:sz w:val="24"/>
          <w:szCs w:val="24"/>
          <w:lang w:val="fr-CI" w:eastAsia="zh-CN"/>
        </w:rPr>
        <w:t xml:space="preserve"> (faible surveillance, complicité, technologies numériques) et la </w:t>
      </w:r>
      <w:r w:rsidRPr="00FC1BDA">
        <w:rPr>
          <w:rFonts w:eastAsia="DengXian Light"/>
          <w:sz w:val="24"/>
          <w:szCs w:val="24"/>
          <w:lang w:val="fr-CI" w:eastAsia="zh-CN"/>
        </w:rPr>
        <w:t>rationalisation</w:t>
      </w:r>
      <w:r w:rsidRPr="00FC1BDA">
        <w:rPr>
          <w:b/>
          <w:bCs/>
          <w:sz w:val="24"/>
          <w:szCs w:val="24"/>
          <w:lang w:val="fr-CI" w:eastAsia="zh-CN"/>
        </w:rPr>
        <w:t xml:space="preserve"> </w:t>
      </w:r>
      <w:r w:rsidRPr="00FC1BDA">
        <w:rPr>
          <w:sz w:val="24"/>
          <w:szCs w:val="24"/>
          <w:lang w:val="fr-CI" w:eastAsia="zh-CN"/>
        </w:rPr>
        <w:t>(« tout le monde triche », « le système est injuste », « je dois réussir »). Un capital social élevé réduit la fraude, tandis qu’un capital social faible accroît la vulnérabilité des élèves (Fan, W. &amp; Chen, M., 2001).</w:t>
      </w:r>
    </w:p>
    <w:p w14:paraId="3AC16484" w14:textId="77777777" w:rsidR="00D80693" w:rsidRPr="00FC1BDA" w:rsidRDefault="00D80693" w:rsidP="00E82F39">
      <w:pPr>
        <w:spacing w:before="120" w:after="100" w:afterAutospacing="1"/>
        <w:jc w:val="both"/>
        <w:rPr>
          <w:sz w:val="24"/>
          <w:szCs w:val="24"/>
          <w:lang w:val="fr-CI" w:eastAsia="zh-CN"/>
        </w:rPr>
      </w:pPr>
      <w:r w:rsidRPr="00FC1BDA">
        <w:rPr>
          <w:sz w:val="24"/>
          <w:szCs w:val="24"/>
          <w:lang w:val="fr-CI" w:eastAsia="zh-CN"/>
        </w:rPr>
        <w:t>Cependant, peu de recherches ont examiné en profondeur l’influence du milieu familial sur l’émergence des comportements frauduleux. Cette lacune constitue le point d’ancrage de la présente étude. L’objectif principal est d’analyser l’influence du milieu familial sur les comportements frauduleux des élèves aux examens du BEPC et du BAC à Abidjan. De façon spécifique, il s’agit d’identifier les profils familiaux les plus exposés, de comprendre le rôle des valeurs et discours parentaux, et de proposer des pistes d’intervention pour renforcer l’éthique scolaire.</w:t>
      </w:r>
    </w:p>
    <w:p w14:paraId="2839DCB1" w14:textId="77777777" w:rsidR="00D80693" w:rsidRPr="009F42F3" w:rsidRDefault="00D80693" w:rsidP="00E82F39">
      <w:pPr>
        <w:spacing w:before="120"/>
        <w:rPr>
          <w:b/>
          <w:bCs/>
          <w:sz w:val="27"/>
          <w:szCs w:val="27"/>
          <w:lang w:val="fr-CI" w:eastAsia="zh-CN"/>
        </w:rPr>
      </w:pPr>
      <w:r w:rsidRPr="009F42F3">
        <w:rPr>
          <w:b/>
          <w:bCs/>
          <w:sz w:val="27"/>
          <w:szCs w:val="27"/>
          <w:lang w:val="fr-CI" w:eastAsia="zh-CN"/>
        </w:rPr>
        <w:t xml:space="preserve">1. </w:t>
      </w:r>
      <w:r w:rsidRPr="00B71132">
        <w:rPr>
          <w:b/>
          <w:bCs/>
          <w:sz w:val="28"/>
          <w:szCs w:val="28"/>
          <w:lang w:val="fr-CI" w:eastAsia="zh-CN"/>
        </w:rPr>
        <w:t>Méthodologie</w:t>
      </w:r>
    </w:p>
    <w:p w14:paraId="4ED449BE"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Cette partie présente la démarche méthodologique adoptée pour mener notre étude. Elle décrit successivement le lieu de réalisation de l’enquête, le profil des participants, les outils utilisés pour la collecte des données ainsi que les techniques retenues pour leur analyse.</w:t>
      </w:r>
    </w:p>
    <w:p w14:paraId="411DD6E3" w14:textId="77777777" w:rsidR="00D80693" w:rsidRPr="009F42F3" w:rsidRDefault="00D80693" w:rsidP="00E82F39">
      <w:pPr>
        <w:spacing w:before="120"/>
        <w:rPr>
          <w:b/>
          <w:bCs/>
          <w:sz w:val="24"/>
          <w:szCs w:val="24"/>
          <w:lang w:val="fr-CI" w:eastAsia="zh-CN"/>
        </w:rPr>
      </w:pPr>
      <w:r w:rsidRPr="009F42F3">
        <w:rPr>
          <w:b/>
          <w:bCs/>
          <w:sz w:val="24"/>
          <w:szCs w:val="24"/>
          <w:lang w:val="fr-CI" w:eastAsia="zh-CN"/>
        </w:rPr>
        <w:t>1.1. Sites et participants de l’enquête</w:t>
      </w:r>
    </w:p>
    <w:p w14:paraId="30C9ACA4"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Cette étude s’est déroulée dans la ville d’Abidjan, plus précisément dans la commune d’Abobo. Cette dernière est l’une des communes les plus touchées par la fraude lors des examens nationaux (DÉCO, 2024). Selon la DÉCO (2024), Abobo occupe la première place dans la ville d’Abidjan en matière de fraude aux examens, un phénomène récurrent chaque année. Les élèves, les parents et les acteurs du système éducatif sont fortement impliqués dans cette pratique. La fraude est devenue une réalité grandissante dans cette commune, alimentée par l’existence de réseaux organisés, parfois soutenus par des enseignants.</w:t>
      </w:r>
    </w:p>
    <w:p w14:paraId="43F0D1D1"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 xml:space="preserve">Face à ce constat, notre choix s’est porté sur la commune d’Abobo. Nous avons sélectionné deux centres d’examen dans des établissements publics ainsi que deux écoles primaires servant de centres d’examen. Les centres retenus sont : le Lycée Moderne d’Abobo 1, le Lycée Municipal d’Abobo, l’EPP Rail 6 et l’EPP </w:t>
      </w:r>
      <w:proofErr w:type="spellStart"/>
      <w:r w:rsidRPr="009F42F3">
        <w:rPr>
          <w:sz w:val="24"/>
          <w:szCs w:val="24"/>
          <w:lang w:val="fr-CI" w:eastAsia="zh-CN"/>
        </w:rPr>
        <w:t>Sagbé</w:t>
      </w:r>
      <w:proofErr w:type="spellEnd"/>
      <w:r w:rsidRPr="009F42F3">
        <w:rPr>
          <w:sz w:val="24"/>
          <w:szCs w:val="24"/>
          <w:lang w:val="fr-CI" w:eastAsia="zh-CN"/>
        </w:rPr>
        <w:t xml:space="preserve">. Les candidats ont été interrogés après chaque épreuve dans ces centres. En 2018, l’EPP </w:t>
      </w:r>
      <w:proofErr w:type="spellStart"/>
      <w:r w:rsidRPr="009F42F3">
        <w:rPr>
          <w:sz w:val="24"/>
          <w:szCs w:val="24"/>
          <w:lang w:val="fr-CI" w:eastAsia="zh-CN"/>
        </w:rPr>
        <w:t>Sagbé</w:t>
      </w:r>
      <w:proofErr w:type="spellEnd"/>
      <w:r w:rsidRPr="009F42F3">
        <w:rPr>
          <w:sz w:val="24"/>
          <w:szCs w:val="24"/>
          <w:lang w:val="fr-CI" w:eastAsia="zh-CN"/>
        </w:rPr>
        <w:t xml:space="preserve"> et l’EPP Rail figuraient parmi les centres d’examen où un grand nombre de candidats au BEPC et au BAC avaient vu la mention « fraude » apposée sur leur relevé de réussite (DÉCO, 2019). Ces constats justifient le choix de ces centres pour la réalisation de notre étude.</w:t>
      </w:r>
    </w:p>
    <w:p w14:paraId="08AE0849"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Pour l’enquête quantitative, un échantillon de 30</w:t>
      </w:r>
      <w:r>
        <w:rPr>
          <w:sz w:val="24"/>
          <w:szCs w:val="24"/>
          <w:lang w:val="fr-CI" w:eastAsia="zh-CN"/>
        </w:rPr>
        <w:t>0</w:t>
      </w:r>
      <w:r w:rsidRPr="009F42F3">
        <w:rPr>
          <w:sz w:val="24"/>
          <w:szCs w:val="24"/>
          <w:lang w:val="fr-CI" w:eastAsia="zh-CN"/>
        </w:rPr>
        <w:t xml:space="preserve"> participants, composé d’élèves candidats au BEPC et au BAC, a été retenu. La méthode d’échantillonnage utilisée est non probabiliste, avec une technique accidentelle. Comme l’explique N’da, P. (2006), dans ce type d’échantillon, tous les individus n’ont pas la même probabilité d’être sélectionnés : le choix repose sur la disponibilité des répondants.</w:t>
      </w:r>
    </w:p>
    <w:p w14:paraId="17808554" w14:textId="77777777" w:rsidR="00D80693" w:rsidRDefault="00D80693" w:rsidP="00E82F39">
      <w:pPr>
        <w:spacing w:before="120" w:after="100" w:afterAutospacing="1"/>
        <w:jc w:val="both"/>
        <w:rPr>
          <w:sz w:val="24"/>
          <w:szCs w:val="24"/>
          <w:lang w:val="fr-CI" w:eastAsia="zh-CN"/>
        </w:rPr>
      </w:pPr>
      <w:r w:rsidRPr="009F42F3">
        <w:rPr>
          <w:sz w:val="24"/>
          <w:szCs w:val="24"/>
          <w:lang w:val="fr-CI" w:eastAsia="zh-CN"/>
        </w:rPr>
        <w:t>Pour l’étude qualitative, 16 parents et 4 enseignants ont été interrogés, soit quatre parents par centre d’examen et un enseignant par centre. Cette approche s’appuie sur la méthode des cas multiples et la technique de la saturation sémantique. Morse, J. (1995) recommande d’inclure également des cas dits « négatifs », c’est-à-dire des personnes susceptibles d’apporter un point de vue différent de celui exprimé par la majorité des participants déjà retenus.</w:t>
      </w:r>
    </w:p>
    <w:p w14:paraId="3887B2D2" w14:textId="77777777" w:rsidR="00D80693" w:rsidRPr="00FA32AA" w:rsidRDefault="00D80693" w:rsidP="00E82F39">
      <w:pPr>
        <w:spacing w:before="120"/>
        <w:jc w:val="both"/>
        <w:rPr>
          <w:rFonts w:eastAsia="Aptos"/>
          <w:b/>
          <w:bCs/>
          <w:i/>
          <w:iCs/>
          <w:kern w:val="2"/>
          <w:lang w:val="fr-CI"/>
          <w14:ligatures w14:val="standardContextual"/>
        </w:rPr>
      </w:pPr>
      <w:r w:rsidRPr="00FA32AA">
        <w:rPr>
          <w:rFonts w:eastAsia="Aptos"/>
          <w:kern w:val="2"/>
          <w:sz w:val="24"/>
          <w:szCs w:val="24"/>
          <w:lang w:val="fr-CI"/>
          <w14:ligatures w14:val="standardContextual"/>
        </w:rPr>
        <w:t xml:space="preserve">                                          </w:t>
      </w:r>
      <w:r w:rsidRPr="00FA32AA">
        <w:rPr>
          <w:rFonts w:eastAsia="Aptos"/>
          <w:b/>
          <w:bCs/>
          <w:i/>
          <w:iCs/>
          <w:kern w:val="2"/>
          <w:lang w:val="fr-CI"/>
          <w14:ligatures w14:val="standardContextual"/>
        </w:rPr>
        <w:t>Tableau 1 : Répartition de l’échantillon</w:t>
      </w:r>
    </w:p>
    <w:tbl>
      <w:tblPr>
        <w:tblStyle w:val="TableGrid02"/>
        <w:tblW w:w="0" w:type="auto"/>
        <w:tblInd w:w="1276" w:type="dxa"/>
        <w:tblLook w:val="04A0" w:firstRow="1" w:lastRow="0" w:firstColumn="1" w:lastColumn="0" w:noHBand="0" w:noVBand="1"/>
      </w:tblPr>
      <w:tblGrid>
        <w:gridCol w:w="2824"/>
        <w:gridCol w:w="906"/>
        <w:gridCol w:w="657"/>
        <w:gridCol w:w="923"/>
        <w:gridCol w:w="896"/>
        <w:gridCol w:w="657"/>
        <w:gridCol w:w="923"/>
      </w:tblGrid>
      <w:tr w:rsidR="00D80693" w14:paraId="40F19168" w14:textId="77777777" w:rsidTr="00D72320">
        <w:trPr>
          <w:trHeight w:val="531"/>
        </w:trPr>
        <w:tc>
          <w:tcPr>
            <w:tcW w:w="2824" w:type="dxa"/>
            <w:vMerge w:val="restart"/>
          </w:tcPr>
          <w:p w14:paraId="48E3EAD2" w14:textId="77777777" w:rsidR="00D80693" w:rsidRPr="00FA32AA" w:rsidRDefault="00D80693" w:rsidP="00E82F39">
            <w:pPr>
              <w:spacing w:before="120"/>
              <w:jc w:val="both"/>
            </w:pPr>
            <w:r w:rsidRPr="00FA32AA">
              <w:rPr>
                <w:lang w:eastAsia="en-US"/>
              </w:rPr>
              <w:t>Centres</w:t>
            </w:r>
          </w:p>
        </w:tc>
        <w:tc>
          <w:tcPr>
            <w:tcW w:w="4962" w:type="dxa"/>
            <w:gridSpan w:val="6"/>
          </w:tcPr>
          <w:p w14:paraId="6AB44D88" w14:textId="77777777" w:rsidR="00D80693" w:rsidRPr="00FA32AA" w:rsidRDefault="00D80693" w:rsidP="00E82F39">
            <w:pPr>
              <w:spacing w:before="120"/>
              <w:jc w:val="center"/>
            </w:pPr>
            <w:r w:rsidRPr="00FA32AA">
              <w:rPr>
                <w:lang w:eastAsia="en-US"/>
              </w:rPr>
              <w:t>Types d’examens</w:t>
            </w:r>
          </w:p>
          <w:p w14:paraId="220F530B" w14:textId="77777777" w:rsidR="00D80693" w:rsidRPr="00FA32AA" w:rsidRDefault="00D80693" w:rsidP="00E82F39">
            <w:pPr>
              <w:spacing w:before="120"/>
              <w:jc w:val="both"/>
            </w:pPr>
          </w:p>
        </w:tc>
      </w:tr>
      <w:tr w:rsidR="00D80693" w14:paraId="5D6686D4" w14:textId="77777777" w:rsidTr="00D72320">
        <w:trPr>
          <w:trHeight w:val="150"/>
        </w:trPr>
        <w:tc>
          <w:tcPr>
            <w:tcW w:w="2824" w:type="dxa"/>
            <w:vMerge/>
          </w:tcPr>
          <w:p w14:paraId="0E641668" w14:textId="77777777" w:rsidR="00D80693" w:rsidRPr="00FA32AA" w:rsidRDefault="00D80693" w:rsidP="00E82F39">
            <w:pPr>
              <w:spacing w:before="120"/>
              <w:jc w:val="both"/>
            </w:pPr>
          </w:p>
        </w:tc>
        <w:tc>
          <w:tcPr>
            <w:tcW w:w="906" w:type="dxa"/>
            <w:vMerge w:val="restart"/>
          </w:tcPr>
          <w:p w14:paraId="30BC3C2B" w14:textId="77777777" w:rsidR="00D80693" w:rsidRPr="00FA32AA" w:rsidRDefault="00D80693" w:rsidP="00E82F39">
            <w:pPr>
              <w:spacing w:before="120"/>
              <w:jc w:val="both"/>
            </w:pPr>
            <w:r w:rsidRPr="00FA32AA">
              <w:rPr>
                <w:lang w:eastAsia="en-US"/>
              </w:rPr>
              <w:t>BEPC</w:t>
            </w:r>
          </w:p>
        </w:tc>
        <w:tc>
          <w:tcPr>
            <w:tcW w:w="657" w:type="dxa"/>
          </w:tcPr>
          <w:p w14:paraId="405D13CA" w14:textId="77777777" w:rsidR="00D80693" w:rsidRPr="00FA32AA" w:rsidRDefault="00D80693" w:rsidP="00E82F39">
            <w:pPr>
              <w:spacing w:before="120"/>
              <w:jc w:val="both"/>
            </w:pPr>
            <w:r w:rsidRPr="00FA32AA">
              <w:rPr>
                <w:lang w:eastAsia="en-US"/>
              </w:rPr>
              <w:t>Fille</w:t>
            </w:r>
          </w:p>
        </w:tc>
        <w:tc>
          <w:tcPr>
            <w:tcW w:w="923" w:type="dxa"/>
          </w:tcPr>
          <w:p w14:paraId="4DCD01E0" w14:textId="77777777" w:rsidR="00D80693" w:rsidRPr="00FA32AA" w:rsidRDefault="00D80693" w:rsidP="00E82F39">
            <w:pPr>
              <w:spacing w:before="120"/>
              <w:jc w:val="both"/>
            </w:pPr>
            <w:r w:rsidRPr="00FA32AA">
              <w:rPr>
                <w:lang w:eastAsia="en-US"/>
              </w:rPr>
              <w:t>Garçon</w:t>
            </w:r>
          </w:p>
        </w:tc>
        <w:tc>
          <w:tcPr>
            <w:tcW w:w="896" w:type="dxa"/>
            <w:vMerge w:val="restart"/>
          </w:tcPr>
          <w:p w14:paraId="4CCDD1E1" w14:textId="77777777" w:rsidR="00D80693" w:rsidRPr="00FA32AA" w:rsidRDefault="00D80693" w:rsidP="00E82F39">
            <w:pPr>
              <w:spacing w:before="120"/>
              <w:jc w:val="both"/>
            </w:pPr>
            <w:r w:rsidRPr="00FA32AA">
              <w:rPr>
                <w:lang w:eastAsia="en-US"/>
              </w:rPr>
              <w:t>BAC</w:t>
            </w:r>
          </w:p>
        </w:tc>
        <w:tc>
          <w:tcPr>
            <w:tcW w:w="657" w:type="dxa"/>
          </w:tcPr>
          <w:p w14:paraId="0EF986F9" w14:textId="77777777" w:rsidR="00D80693" w:rsidRPr="00FA32AA" w:rsidRDefault="00D80693" w:rsidP="00E82F39">
            <w:pPr>
              <w:spacing w:before="120"/>
              <w:jc w:val="both"/>
            </w:pPr>
            <w:r w:rsidRPr="00FA32AA">
              <w:rPr>
                <w:lang w:eastAsia="en-US"/>
              </w:rPr>
              <w:t>Fille</w:t>
            </w:r>
          </w:p>
        </w:tc>
        <w:tc>
          <w:tcPr>
            <w:tcW w:w="923" w:type="dxa"/>
          </w:tcPr>
          <w:p w14:paraId="15BBB6F5" w14:textId="77777777" w:rsidR="00D80693" w:rsidRPr="00FA32AA" w:rsidRDefault="00D80693" w:rsidP="00E82F39">
            <w:pPr>
              <w:spacing w:before="120"/>
              <w:jc w:val="both"/>
            </w:pPr>
            <w:r w:rsidRPr="00FA32AA">
              <w:rPr>
                <w:lang w:eastAsia="en-US"/>
              </w:rPr>
              <w:t>Garçon</w:t>
            </w:r>
          </w:p>
        </w:tc>
      </w:tr>
      <w:tr w:rsidR="00D80693" w14:paraId="6E75A260" w14:textId="77777777" w:rsidTr="00D72320">
        <w:trPr>
          <w:trHeight w:val="120"/>
        </w:trPr>
        <w:tc>
          <w:tcPr>
            <w:tcW w:w="2824" w:type="dxa"/>
            <w:vMerge/>
          </w:tcPr>
          <w:p w14:paraId="414F6B33" w14:textId="77777777" w:rsidR="00D80693" w:rsidRPr="00FA32AA" w:rsidRDefault="00D80693" w:rsidP="00E82F39">
            <w:pPr>
              <w:spacing w:before="120"/>
              <w:jc w:val="both"/>
            </w:pPr>
          </w:p>
        </w:tc>
        <w:tc>
          <w:tcPr>
            <w:tcW w:w="906" w:type="dxa"/>
            <w:vMerge/>
          </w:tcPr>
          <w:p w14:paraId="1ED06ADB" w14:textId="77777777" w:rsidR="00D80693" w:rsidRPr="00FA32AA" w:rsidRDefault="00D80693" w:rsidP="00E82F39">
            <w:pPr>
              <w:spacing w:before="120"/>
              <w:jc w:val="both"/>
            </w:pPr>
          </w:p>
        </w:tc>
        <w:tc>
          <w:tcPr>
            <w:tcW w:w="657" w:type="dxa"/>
          </w:tcPr>
          <w:p w14:paraId="3CA0198B" w14:textId="77777777" w:rsidR="00D80693" w:rsidRPr="00FA32AA" w:rsidRDefault="00D80693" w:rsidP="00E82F39">
            <w:pPr>
              <w:spacing w:before="120"/>
              <w:jc w:val="both"/>
            </w:pPr>
          </w:p>
        </w:tc>
        <w:tc>
          <w:tcPr>
            <w:tcW w:w="923" w:type="dxa"/>
          </w:tcPr>
          <w:p w14:paraId="6500B5FF" w14:textId="77777777" w:rsidR="00D80693" w:rsidRPr="00FA32AA" w:rsidRDefault="00D80693" w:rsidP="00E82F39">
            <w:pPr>
              <w:spacing w:before="120"/>
              <w:jc w:val="both"/>
            </w:pPr>
          </w:p>
        </w:tc>
        <w:tc>
          <w:tcPr>
            <w:tcW w:w="896" w:type="dxa"/>
            <w:vMerge/>
          </w:tcPr>
          <w:p w14:paraId="6752E2EF" w14:textId="77777777" w:rsidR="00D80693" w:rsidRPr="00FA32AA" w:rsidRDefault="00D80693" w:rsidP="00E82F39">
            <w:pPr>
              <w:spacing w:before="120"/>
              <w:jc w:val="both"/>
            </w:pPr>
          </w:p>
        </w:tc>
        <w:tc>
          <w:tcPr>
            <w:tcW w:w="657" w:type="dxa"/>
          </w:tcPr>
          <w:p w14:paraId="71D8C8DB" w14:textId="77777777" w:rsidR="00D80693" w:rsidRPr="00FA32AA" w:rsidRDefault="00D80693" w:rsidP="00E82F39">
            <w:pPr>
              <w:spacing w:before="120"/>
              <w:jc w:val="both"/>
            </w:pPr>
          </w:p>
        </w:tc>
        <w:tc>
          <w:tcPr>
            <w:tcW w:w="923" w:type="dxa"/>
          </w:tcPr>
          <w:p w14:paraId="249E7830" w14:textId="77777777" w:rsidR="00D80693" w:rsidRPr="00FA32AA" w:rsidRDefault="00D80693" w:rsidP="00E82F39">
            <w:pPr>
              <w:spacing w:before="120"/>
              <w:jc w:val="both"/>
            </w:pPr>
          </w:p>
        </w:tc>
      </w:tr>
      <w:tr w:rsidR="00D80693" w14:paraId="6389C58C" w14:textId="77777777" w:rsidTr="00D72320">
        <w:trPr>
          <w:trHeight w:val="466"/>
        </w:trPr>
        <w:tc>
          <w:tcPr>
            <w:tcW w:w="2824" w:type="dxa"/>
          </w:tcPr>
          <w:p w14:paraId="31E32E05" w14:textId="77777777" w:rsidR="00D80693" w:rsidRPr="00FA32AA" w:rsidRDefault="00D80693" w:rsidP="00E82F39">
            <w:pPr>
              <w:spacing w:before="120"/>
              <w:jc w:val="both"/>
            </w:pPr>
            <w:r w:rsidRPr="00FA32AA">
              <w:rPr>
                <w:lang w:eastAsia="en-US"/>
              </w:rPr>
              <w:t>Lycée moderne abobo 1</w:t>
            </w:r>
          </w:p>
        </w:tc>
        <w:tc>
          <w:tcPr>
            <w:tcW w:w="906" w:type="dxa"/>
          </w:tcPr>
          <w:p w14:paraId="73693414" w14:textId="77777777" w:rsidR="00D80693" w:rsidRPr="00FA32AA" w:rsidRDefault="00D80693" w:rsidP="00E82F39">
            <w:pPr>
              <w:spacing w:before="120"/>
              <w:jc w:val="both"/>
            </w:pPr>
            <w:r w:rsidRPr="00FA32AA">
              <w:rPr>
                <w:lang w:eastAsia="en-US"/>
              </w:rPr>
              <w:t>38</w:t>
            </w:r>
          </w:p>
        </w:tc>
        <w:tc>
          <w:tcPr>
            <w:tcW w:w="657" w:type="dxa"/>
          </w:tcPr>
          <w:p w14:paraId="25FFE14C" w14:textId="77777777" w:rsidR="00D80693" w:rsidRPr="00FA32AA" w:rsidRDefault="00D80693" w:rsidP="00E82F39">
            <w:pPr>
              <w:spacing w:before="120"/>
              <w:jc w:val="both"/>
            </w:pPr>
            <w:r w:rsidRPr="00FA32AA">
              <w:rPr>
                <w:lang w:eastAsia="en-US"/>
              </w:rPr>
              <w:t>19</w:t>
            </w:r>
          </w:p>
        </w:tc>
        <w:tc>
          <w:tcPr>
            <w:tcW w:w="923" w:type="dxa"/>
          </w:tcPr>
          <w:p w14:paraId="6472E82A" w14:textId="77777777" w:rsidR="00D80693" w:rsidRPr="00FA32AA" w:rsidRDefault="00D80693" w:rsidP="00E82F39">
            <w:pPr>
              <w:spacing w:before="120"/>
              <w:jc w:val="both"/>
            </w:pPr>
            <w:r w:rsidRPr="00FA32AA">
              <w:rPr>
                <w:lang w:eastAsia="en-US"/>
              </w:rPr>
              <w:t>19</w:t>
            </w:r>
          </w:p>
        </w:tc>
        <w:tc>
          <w:tcPr>
            <w:tcW w:w="896" w:type="dxa"/>
          </w:tcPr>
          <w:p w14:paraId="27417F02" w14:textId="77777777" w:rsidR="00D80693" w:rsidRPr="00FA32AA" w:rsidRDefault="00D80693" w:rsidP="00E82F39">
            <w:pPr>
              <w:spacing w:before="120"/>
              <w:jc w:val="both"/>
            </w:pPr>
            <w:r w:rsidRPr="00FA32AA">
              <w:rPr>
                <w:lang w:eastAsia="en-US"/>
              </w:rPr>
              <w:t>38</w:t>
            </w:r>
          </w:p>
        </w:tc>
        <w:tc>
          <w:tcPr>
            <w:tcW w:w="657" w:type="dxa"/>
          </w:tcPr>
          <w:p w14:paraId="16B22AD9" w14:textId="77777777" w:rsidR="00D80693" w:rsidRPr="00FA32AA" w:rsidRDefault="00D80693" w:rsidP="00E82F39">
            <w:pPr>
              <w:spacing w:before="120"/>
              <w:jc w:val="both"/>
            </w:pPr>
            <w:r w:rsidRPr="00FA32AA">
              <w:rPr>
                <w:lang w:eastAsia="en-US"/>
              </w:rPr>
              <w:t>19</w:t>
            </w:r>
          </w:p>
        </w:tc>
        <w:tc>
          <w:tcPr>
            <w:tcW w:w="923" w:type="dxa"/>
          </w:tcPr>
          <w:p w14:paraId="4C22865F" w14:textId="77777777" w:rsidR="00D80693" w:rsidRPr="00FA32AA" w:rsidRDefault="00D80693" w:rsidP="00E82F39">
            <w:pPr>
              <w:spacing w:before="120"/>
              <w:jc w:val="both"/>
            </w:pPr>
            <w:r w:rsidRPr="00FA32AA">
              <w:rPr>
                <w:lang w:eastAsia="en-US"/>
              </w:rPr>
              <w:t>19</w:t>
            </w:r>
          </w:p>
        </w:tc>
      </w:tr>
      <w:tr w:rsidR="00D80693" w14:paraId="74738DCA" w14:textId="77777777" w:rsidTr="00D72320">
        <w:trPr>
          <w:trHeight w:val="479"/>
        </w:trPr>
        <w:tc>
          <w:tcPr>
            <w:tcW w:w="2824" w:type="dxa"/>
          </w:tcPr>
          <w:p w14:paraId="376C804C" w14:textId="77777777" w:rsidR="00D80693" w:rsidRPr="00FA32AA" w:rsidRDefault="00D80693" w:rsidP="00E82F39">
            <w:pPr>
              <w:spacing w:before="120"/>
              <w:jc w:val="both"/>
            </w:pPr>
            <w:r w:rsidRPr="00FA32AA">
              <w:rPr>
                <w:lang w:eastAsia="en-US"/>
              </w:rPr>
              <w:t>Lycée Municipal</w:t>
            </w:r>
          </w:p>
        </w:tc>
        <w:tc>
          <w:tcPr>
            <w:tcW w:w="906" w:type="dxa"/>
          </w:tcPr>
          <w:p w14:paraId="5882C7CA" w14:textId="77777777" w:rsidR="00D80693" w:rsidRPr="00FA32AA" w:rsidRDefault="00D80693" w:rsidP="00E82F39">
            <w:pPr>
              <w:spacing w:before="120"/>
              <w:jc w:val="both"/>
            </w:pPr>
            <w:r w:rsidRPr="00FA32AA">
              <w:rPr>
                <w:lang w:eastAsia="en-US"/>
              </w:rPr>
              <w:t>38</w:t>
            </w:r>
          </w:p>
        </w:tc>
        <w:tc>
          <w:tcPr>
            <w:tcW w:w="657" w:type="dxa"/>
          </w:tcPr>
          <w:p w14:paraId="2C37649B" w14:textId="77777777" w:rsidR="00D80693" w:rsidRPr="00FA32AA" w:rsidRDefault="00D80693" w:rsidP="00E82F39">
            <w:pPr>
              <w:spacing w:before="120"/>
              <w:jc w:val="both"/>
            </w:pPr>
            <w:r w:rsidRPr="00FA32AA">
              <w:rPr>
                <w:lang w:eastAsia="en-US"/>
              </w:rPr>
              <w:t>19</w:t>
            </w:r>
          </w:p>
        </w:tc>
        <w:tc>
          <w:tcPr>
            <w:tcW w:w="923" w:type="dxa"/>
          </w:tcPr>
          <w:p w14:paraId="641B4814" w14:textId="77777777" w:rsidR="00D80693" w:rsidRPr="00FA32AA" w:rsidRDefault="00D80693" w:rsidP="00E82F39">
            <w:pPr>
              <w:spacing w:before="120"/>
              <w:jc w:val="both"/>
            </w:pPr>
            <w:r w:rsidRPr="00FA32AA">
              <w:rPr>
                <w:lang w:eastAsia="en-US"/>
              </w:rPr>
              <w:t>19</w:t>
            </w:r>
          </w:p>
        </w:tc>
        <w:tc>
          <w:tcPr>
            <w:tcW w:w="896" w:type="dxa"/>
          </w:tcPr>
          <w:p w14:paraId="05A902D5" w14:textId="77777777" w:rsidR="00D80693" w:rsidRPr="00FA32AA" w:rsidRDefault="00D80693" w:rsidP="00E82F39">
            <w:pPr>
              <w:spacing w:before="120"/>
              <w:jc w:val="both"/>
            </w:pPr>
            <w:r w:rsidRPr="00FA32AA">
              <w:rPr>
                <w:lang w:eastAsia="en-US"/>
              </w:rPr>
              <w:t>38</w:t>
            </w:r>
          </w:p>
        </w:tc>
        <w:tc>
          <w:tcPr>
            <w:tcW w:w="657" w:type="dxa"/>
          </w:tcPr>
          <w:p w14:paraId="3FDE5782" w14:textId="77777777" w:rsidR="00D80693" w:rsidRPr="00FA32AA" w:rsidRDefault="00D80693" w:rsidP="00E82F39">
            <w:pPr>
              <w:spacing w:before="120"/>
              <w:jc w:val="both"/>
            </w:pPr>
            <w:r w:rsidRPr="00FA32AA">
              <w:rPr>
                <w:lang w:eastAsia="en-US"/>
              </w:rPr>
              <w:t>19</w:t>
            </w:r>
          </w:p>
        </w:tc>
        <w:tc>
          <w:tcPr>
            <w:tcW w:w="923" w:type="dxa"/>
          </w:tcPr>
          <w:p w14:paraId="4FCFDD8F" w14:textId="77777777" w:rsidR="00D80693" w:rsidRPr="00FA32AA" w:rsidRDefault="00D80693" w:rsidP="00E82F39">
            <w:pPr>
              <w:spacing w:before="120"/>
              <w:jc w:val="both"/>
            </w:pPr>
            <w:r w:rsidRPr="00FA32AA">
              <w:rPr>
                <w:lang w:eastAsia="en-US"/>
              </w:rPr>
              <w:t>19</w:t>
            </w:r>
          </w:p>
        </w:tc>
      </w:tr>
      <w:tr w:rsidR="00D80693" w14:paraId="20C5BBCF" w14:textId="77777777" w:rsidTr="00D72320">
        <w:trPr>
          <w:trHeight w:val="233"/>
        </w:trPr>
        <w:tc>
          <w:tcPr>
            <w:tcW w:w="2824" w:type="dxa"/>
          </w:tcPr>
          <w:p w14:paraId="10136C3B" w14:textId="77777777" w:rsidR="00D80693" w:rsidRPr="00FA32AA" w:rsidRDefault="00D80693" w:rsidP="00E82F39">
            <w:pPr>
              <w:spacing w:before="120"/>
              <w:jc w:val="both"/>
            </w:pPr>
            <w:r w:rsidRPr="00FA32AA">
              <w:rPr>
                <w:lang w:eastAsia="en-US"/>
              </w:rPr>
              <w:t xml:space="preserve">EPP </w:t>
            </w:r>
            <w:proofErr w:type="spellStart"/>
            <w:r w:rsidRPr="00FA32AA">
              <w:rPr>
                <w:lang w:eastAsia="en-US"/>
              </w:rPr>
              <w:t>Sagbé</w:t>
            </w:r>
            <w:proofErr w:type="spellEnd"/>
          </w:p>
        </w:tc>
        <w:tc>
          <w:tcPr>
            <w:tcW w:w="906" w:type="dxa"/>
          </w:tcPr>
          <w:p w14:paraId="542BD1FF" w14:textId="77777777" w:rsidR="00D80693" w:rsidRPr="00FA32AA" w:rsidRDefault="00D80693" w:rsidP="00E82F39">
            <w:pPr>
              <w:spacing w:before="120"/>
              <w:jc w:val="both"/>
            </w:pPr>
            <w:r w:rsidRPr="00FA32AA">
              <w:rPr>
                <w:lang w:eastAsia="en-US"/>
              </w:rPr>
              <w:t>37</w:t>
            </w:r>
          </w:p>
        </w:tc>
        <w:tc>
          <w:tcPr>
            <w:tcW w:w="657" w:type="dxa"/>
          </w:tcPr>
          <w:p w14:paraId="3024172D" w14:textId="77777777" w:rsidR="00D80693" w:rsidRPr="00FA32AA" w:rsidRDefault="00D80693" w:rsidP="00E82F39">
            <w:pPr>
              <w:spacing w:before="120"/>
              <w:jc w:val="both"/>
            </w:pPr>
            <w:r w:rsidRPr="00FA32AA">
              <w:rPr>
                <w:lang w:eastAsia="en-US"/>
              </w:rPr>
              <w:t>18</w:t>
            </w:r>
          </w:p>
        </w:tc>
        <w:tc>
          <w:tcPr>
            <w:tcW w:w="923" w:type="dxa"/>
          </w:tcPr>
          <w:p w14:paraId="7399F6A1" w14:textId="77777777" w:rsidR="00D80693" w:rsidRPr="00FA32AA" w:rsidRDefault="00D80693" w:rsidP="00E82F39">
            <w:pPr>
              <w:spacing w:before="120"/>
              <w:jc w:val="both"/>
            </w:pPr>
            <w:r w:rsidRPr="00FA32AA">
              <w:rPr>
                <w:lang w:eastAsia="en-US"/>
              </w:rPr>
              <w:t>18</w:t>
            </w:r>
          </w:p>
        </w:tc>
        <w:tc>
          <w:tcPr>
            <w:tcW w:w="896" w:type="dxa"/>
          </w:tcPr>
          <w:p w14:paraId="74978428" w14:textId="77777777" w:rsidR="00D80693" w:rsidRPr="00FA32AA" w:rsidRDefault="00D80693" w:rsidP="00E82F39">
            <w:pPr>
              <w:spacing w:before="120"/>
              <w:jc w:val="both"/>
            </w:pPr>
            <w:r w:rsidRPr="00FA32AA">
              <w:rPr>
                <w:lang w:eastAsia="en-US"/>
              </w:rPr>
              <w:t>37</w:t>
            </w:r>
          </w:p>
        </w:tc>
        <w:tc>
          <w:tcPr>
            <w:tcW w:w="657" w:type="dxa"/>
          </w:tcPr>
          <w:p w14:paraId="73B5F487" w14:textId="77777777" w:rsidR="00D80693" w:rsidRPr="00FA32AA" w:rsidRDefault="00D80693" w:rsidP="00E82F39">
            <w:pPr>
              <w:spacing w:before="120"/>
              <w:jc w:val="both"/>
            </w:pPr>
            <w:r w:rsidRPr="00FA32AA">
              <w:rPr>
                <w:lang w:eastAsia="en-US"/>
              </w:rPr>
              <w:t>18</w:t>
            </w:r>
          </w:p>
        </w:tc>
        <w:tc>
          <w:tcPr>
            <w:tcW w:w="923" w:type="dxa"/>
          </w:tcPr>
          <w:p w14:paraId="2672E4F1" w14:textId="77777777" w:rsidR="00D80693" w:rsidRPr="00FA32AA" w:rsidRDefault="00D80693" w:rsidP="00E82F39">
            <w:pPr>
              <w:spacing w:before="120"/>
              <w:jc w:val="both"/>
            </w:pPr>
            <w:r w:rsidRPr="00FA32AA">
              <w:rPr>
                <w:lang w:eastAsia="en-US"/>
              </w:rPr>
              <w:t>18</w:t>
            </w:r>
          </w:p>
        </w:tc>
      </w:tr>
      <w:tr w:rsidR="00D80693" w14:paraId="7455585D" w14:textId="77777777" w:rsidTr="00D72320">
        <w:trPr>
          <w:trHeight w:val="233"/>
        </w:trPr>
        <w:tc>
          <w:tcPr>
            <w:tcW w:w="2824" w:type="dxa"/>
          </w:tcPr>
          <w:p w14:paraId="5CC2A7E6" w14:textId="77777777" w:rsidR="00D80693" w:rsidRPr="00FA32AA" w:rsidRDefault="00D80693" w:rsidP="00E82F39">
            <w:pPr>
              <w:spacing w:before="120"/>
              <w:jc w:val="both"/>
            </w:pPr>
            <w:r w:rsidRPr="00FA32AA">
              <w:rPr>
                <w:lang w:eastAsia="en-US"/>
              </w:rPr>
              <w:t>EPP rail 6</w:t>
            </w:r>
          </w:p>
        </w:tc>
        <w:tc>
          <w:tcPr>
            <w:tcW w:w="906" w:type="dxa"/>
          </w:tcPr>
          <w:p w14:paraId="32B00922" w14:textId="77777777" w:rsidR="00D80693" w:rsidRPr="00FA32AA" w:rsidRDefault="00D80693" w:rsidP="00E82F39">
            <w:pPr>
              <w:spacing w:before="120"/>
              <w:jc w:val="both"/>
            </w:pPr>
            <w:r w:rsidRPr="00FA32AA">
              <w:rPr>
                <w:lang w:eastAsia="en-US"/>
              </w:rPr>
              <w:t>37</w:t>
            </w:r>
          </w:p>
        </w:tc>
        <w:tc>
          <w:tcPr>
            <w:tcW w:w="657" w:type="dxa"/>
          </w:tcPr>
          <w:p w14:paraId="265B2A61" w14:textId="77777777" w:rsidR="00D80693" w:rsidRPr="00FA32AA" w:rsidRDefault="00D80693" w:rsidP="00E82F39">
            <w:pPr>
              <w:spacing w:before="120"/>
              <w:jc w:val="both"/>
            </w:pPr>
            <w:r w:rsidRPr="00FA32AA">
              <w:rPr>
                <w:lang w:eastAsia="en-US"/>
              </w:rPr>
              <w:t>18</w:t>
            </w:r>
          </w:p>
        </w:tc>
        <w:tc>
          <w:tcPr>
            <w:tcW w:w="923" w:type="dxa"/>
          </w:tcPr>
          <w:p w14:paraId="12759A97" w14:textId="77777777" w:rsidR="00D80693" w:rsidRPr="00FA32AA" w:rsidRDefault="00D80693" w:rsidP="00E82F39">
            <w:pPr>
              <w:spacing w:before="120"/>
              <w:jc w:val="both"/>
            </w:pPr>
            <w:r w:rsidRPr="00FA32AA">
              <w:rPr>
                <w:lang w:eastAsia="en-US"/>
              </w:rPr>
              <w:t>18</w:t>
            </w:r>
          </w:p>
        </w:tc>
        <w:tc>
          <w:tcPr>
            <w:tcW w:w="896" w:type="dxa"/>
          </w:tcPr>
          <w:p w14:paraId="44B8540B" w14:textId="77777777" w:rsidR="00D80693" w:rsidRPr="00FA32AA" w:rsidRDefault="00D80693" w:rsidP="00E82F39">
            <w:pPr>
              <w:spacing w:before="120"/>
              <w:jc w:val="both"/>
            </w:pPr>
            <w:r w:rsidRPr="00FA32AA">
              <w:rPr>
                <w:lang w:eastAsia="en-US"/>
              </w:rPr>
              <w:t>37</w:t>
            </w:r>
          </w:p>
        </w:tc>
        <w:tc>
          <w:tcPr>
            <w:tcW w:w="657" w:type="dxa"/>
          </w:tcPr>
          <w:p w14:paraId="6E7D04E2" w14:textId="77777777" w:rsidR="00D80693" w:rsidRPr="00FA32AA" w:rsidRDefault="00D80693" w:rsidP="00E82F39">
            <w:pPr>
              <w:spacing w:before="120"/>
              <w:jc w:val="both"/>
            </w:pPr>
            <w:r w:rsidRPr="00FA32AA">
              <w:rPr>
                <w:lang w:eastAsia="en-US"/>
              </w:rPr>
              <w:t>18</w:t>
            </w:r>
          </w:p>
        </w:tc>
        <w:tc>
          <w:tcPr>
            <w:tcW w:w="923" w:type="dxa"/>
          </w:tcPr>
          <w:p w14:paraId="4D31389A" w14:textId="77777777" w:rsidR="00D80693" w:rsidRPr="00FA32AA" w:rsidRDefault="00D80693" w:rsidP="00E82F39">
            <w:pPr>
              <w:spacing w:before="120"/>
              <w:jc w:val="both"/>
            </w:pPr>
            <w:r w:rsidRPr="00FA32AA">
              <w:rPr>
                <w:lang w:eastAsia="en-US"/>
              </w:rPr>
              <w:t>18</w:t>
            </w:r>
          </w:p>
        </w:tc>
      </w:tr>
      <w:tr w:rsidR="00D80693" w14:paraId="41D80CBE" w14:textId="77777777" w:rsidTr="00D72320">
        <w:trPr>
          <w:trHeight w:val="233"/>
        </w:trPr>
        <w:tc>
          <w:tcPr>
            <w:tcW w:w="2824" w:type="dxa"/>
          </w:tcPr>
          <w:p w14:paraId="092BE19F" w14:textId="77777777" w:rsidR="00D80693" w:rsidRPr="00FA32AA" w:rsidRDefault="00D80693" w:rsidP="00E82F39">
            <w:pPr>
              <w:spacing w:before="120"/>
              <w:jc w:val="both"/>
            </w:pPr>
            <w:r w:rsidRPr="00FA32AA">
              <w:rPr>
                <w:lang w:eastAsia="en-US"/>
              </w:rPr>
              <w:t xml:space="preserve">Total </w:t>
            </w:r>
          </w:p>
        </w:tc>
        <w:tc>
          <w:tcPr>
            <w:tcW w:w="906" w:type="dxa"/>
          </w:tcPr>
          <w:p w14:paraId="737B51B9" w14:textId="77777777" w:rsidR="00D80693" w:rsidRPr="00FA32AA" w:rsidRDefault="00D80693" w:rsidP="00E82F39">
            <w:pPr>
              <w:spacing w:before="120"/>
              <w:jc w:val="both"/>
            </w:pPr>
            <w:r w:rsidRPr="00FA32AA">
              <w:rPr>
                <w:lang w:eastAsia="en-US"/>
              </w:rPr>
              <w:t>150</w:t>
            </w:r>
          </w:p>
        </w:tc>
        <w:tc>
          <w:tcPr>
            <w:tcW w:w="657" w:type="dxa"/>
          </w:tcPr>
          <w:p w14:paraId="5CFB128D" w14:textId="77777777" w:rsidR="00D80693" w:rsidRPr="00FA32AA" w:rsidRDefault="00D80693" w:rsidP="00E82F39">
            <w:pPr>
              <w:spacing w:before="120"/>
              <w:jc w:val="both"/>
            </w:pPr>
            <w:r w:rsidRPr="00FA32AA">
              <w:rPr>
                <w:lang w:eastAsia="en-US"/>
              </w:rPr>
              <w:t>75</w:t>
            </w:r>
          </w:p>
        </w:tc>
        <w:tc>
          <w:tcPr>
            <w:tcW w:w="923" w:type="dxa"/>
          </w:tcPr>
          <w:p w14:paraId="27039E3D" w14:textId="77777777" w:rsidR="00D80693" w:rsidRPr="00FA32AA" w:rsidRDefault="00D80693" w:rsidP="00E82F39">
            <w:pPr>
              <w:spacing w:before="120"/>
              <w:jc w:val="both"/>
            </w:pPr>
            <w:r w:rsidRPr="00FA32AA">
              <w:rPr>
                <w:lang w:eastAsia="en-US"/>
              </w:rPr>
              <w:t>75</w:t>
            </w:r>
          </w:p>
        </w:tc>
        <w:tc>
          <w:tcPr>
            <w:tcW w:w="896" w:type="dxa"/>
          </w:tcPr>
          <w:p w14:paraId="50DA5D08" w14:textId="77777777" w:rsidR="00D80693" w:rsidRPr="00FA32AA" w:rsidRDefault="00D80693" w:rsidP="00E82F39">
            <w:pPr>
              <w:spacing w:before="120"/>
              <w:jc w:val="both"/>
            </w:pPr>
            <w:r w:rsidRPr="00FA32AA">
              <w:rPr>
                <w:lang w:eastAsia="en-US"/>
              </w:rPr>
              <w:t>150</w:t>
            </w:r>
          </w:p>
        </w:tc>
        <w:tc>
          <w:tcPr>
            <w:tcW w:w="657" w:type="dxa"/>
          </w:tcPr>
          <w:p w14:paraId="642FD1B2" w14:textId="77777777" w:rsidR="00D80693" w:rsidRPr="00FA32AA" w:rsidRDefault="00D80693" w:rsidP="00E82F39">
            <w:pPr>
              <w:spacing w:before="120"/>
              <w:jc w:val="both"/>
            </w:pPr>
            <w:r w:rsidRPr="00FA32AA">
              <w:rPr>
                <w:lang w:eastAsia="en-US"/>
              </w:rPr>
              <w:t>75</w:t>
            </w:r>
          </w:p>
        </w:tc>
        <w:tc>
          <w:tcPr>
            <w:tcW w:w="923" w:type="dxa"/>
          </w:tcPr>
          <w:p w14:paraId="198C990B" w14:textId="77777777" w:rsidR="00D80693" w:rsidRPr="00FA32AA" w:rsidRDefault="00D80693" w:rsidP="00E82F39">
            <w:pPr>
              <w:spacing w:before="120"/>
              <w:jc w:val="both"/>
            </w:pPr>
            <w:r w:rsidRPr="00FA32AA">
              <w:rPr>
                <w:lang w:eastAsia="en-US"/>
              </w:rPr>
              <w:t>75</w:t>
            </w:r>
          </w:p>
        </w:tc>
      </w:tr>
    </w:tbl>
    <w:p w14:paraId="186DB562" w14:textId="77777777" w:rsidR="00D80693" w:rsidRPr="00FA32AA" w:rsidRDefault="00D80693" w:rsidP="00E82F39">
      <w:pPr>
        <w:spacing w:before="120"/>
        <w:rPr>
          <w:rFonts w:eastAsia="Aptos"/>
          <w:i/>
          <w:iCs/>
          <w:kern w:val="2"/>
          <w:lang w:val="fr-CI"/>
          <w14:ligatures w14:val="standardContextual"/>
        </w:rPr>
      </w:pPr>
      <w:r w:rsidRPr="00FA32AA">
        <w:rPr>
          <w:rFonts w:eastAsia="Aptos"/>
          <w:i/>
          <w:iCs/>
          <w:kern w:val="2"/>
          <w:sz w:val="24"/>
          <w:szCs w:val="24"/>
          <w:lang w:val="fr-CI"/>
          <w14:ligatures w14:val="standardContextual"/>
        </w:rPr>
        <w:t xml:space="preserve">                                                    </w:t>
      </w:r>
      <w:r w:rsidRPr="00FA32AA">
        <w:rPr>
          <w:rFonts w:eastAsia="Aptos"/>
          <w:i/>
          <w:iCs/>
          <w:kern w:val="2"/>
          <w:lang w:val="fr-CI"/>
          <w14:ligatures w14:val="standardContextual"/>
        </w:rPr>
        <w:t>Source : Koffi n’Guessan Williams, (2025)</w:t>
      </w:r>
    </w:p>
    <w:p w14:paraId="43D43AB5" w14:textId="77777777" w:rsidR="00D80693" w:rsidRDefault="00D80693" w:rsidP="00E82F39">
      <w:pPr>
        <w:spacing w:before="120"/>
        <w:rPr>
          <w:b/>
          <w:bCs/>
          <w:sz w:val="24"/>
          <w:szCs w:val="24"/>
          <w:lang w:val="fr-CI" w:eastAsia="zh-CN"/>
        </w:rPr>
      </w:pPr>
      <w:r w:rsidRPr="009F42F3">
        <w:rPr>
          <w:b/>
          <w:bCs/>
          <w:sz w:val="24"/>
          <w:szCs w:val="24"/>
          <w:lang w:val="fr-CI" w:eastAsia="zh-CN"/>
        </w:rPr>
        <w:t>1.2. Instruments de collecte de données</w:t>
      </w:r>
    </w:p>
    <w:p w14:paraId="3FDCFDE2" w14:textId="77777777" w:rsidR="00D80693" w:rsidRPr="00441890" w:rsidRDefault="00D80693" w:rsidP="00E82F39">
      <w:pPr>
        <w:spacing w:before="120" w:after="100" w:afterAutospacing="1"/>
        <w:jc w:val="both"/>
        <w:rPr>
          <w:sz w:val="24"/>
          <w:szCs w:val="24"/>
          <w:lang w:val="fr-CI" w:eastAsia="zh-CN"/>
        </w:rPr>
      </w:pPr>
      <w:r w:rsidRPr="00441890">
        <w:rPr>
          <w:sz w:val="24"/>
          <w:szCs w:val="24"/>
          <w:lang w:val="fr-CI" w:eastAsia="zh-CN"/>
        </w:rPr>
        <w:t>Dans le cadre de notre étude, deux principaux instruments de collecte de données ont été mobilisés afin de recueillir des informations quantitatives et qualitatives sur les comportements frauduleux des élèves et sur l’influence du milieu familial.</w:t>
      </w:r>
    </w:p>
    <w:p w14:paraId="1C048F8F" w14:textId="77777777" w:rsidR="00D80693" w:rsidRPr="00441890" w:rsidRDefault="00D80693" w:rsidP="00E82F39">
      <w:pPr>
        <w:spacing w:before="120" w:after="100" w:afterAutospacing="1"/>
        <w:jc w:val="both"/>
        <w:rPr>
          <w:sz w:val="24"/>
          <w:szCs w:val="24"/>
          <w:lang w:val="fr-CI" w:eastAsia="zh-CN"/>
        </w:rPr>
      </w:pPr>
      <w:r w:rsidRPr="00441890">
        <w:rPr>
          <w:sz w:val="24"/>
          <w:szCs w:val="24"/>
          <w:lang w:val="fr-CI" w:eastAsia="zh-CN"/>
        </w:rPr>
        <w:t xml:space="preserve">Nous avons administré </w:t>
      </w:r>
      <w:r w:rsidRPr="00441890">
        <w:rPr>
          <w:rFonts w:eastAsia="DengXian Light"/>
          <w:sz w:val="24"/>
          <w:szCs w:val="24"/>
          <w:lang w:val="fr-CI" w:eastAsia="zh-CN"/>
        </w:rPr>
        <w:t>300 questionnaires</w:t>
      </w:r>
      <w:r w:rsidRPr="00441890">
        <w:rPr>
          <w:sz w:val="24"/>
          <w:szCs w:val="24"/>
          <w:lang w:val="fr-CI" w:eastAsia="zh-CN"/>
        </w:rPr>
        <w:t xml:space="preserve">, répartis équitablement entre </w:t>
      </w:r>
      <w:r w:rsidRPr="00441890">
        <w:rPr>
          <w:rFonts w:eastAsia="DengXian Light"/>
          <w:sz w:val="24"/>
          <w:szCs w:val="24"/>
          <w:lang w:val="fr-CI" w:eastAsia="zh-CN"/>
        </w:rPr>
        <w:t>150 élèves de troisième</w:t>
      </w:r>
      <w:r w:rsidRPr="00441890">
        <w:rPr>
          <w:b/>
          <w:bCs/>
          <w:sz w:val="24"/>
          <w:szCs w:val="24"/>
          <w:lang w:val="fr-CI" w:eastAsia="zh-CN"/>
        </w:rPr>
        <w:t xml:space="preserve"> et </w:t>
      </w:r>
      <w:r w:rsidRPr="00441890">
        <w:rPr>
          <w:rFonts w:eastAsia="DengXian Light"/>
          <w:sz w:val="24"/>
          <w:szCs w:val="24"/>
          <w:lang w:val="fr-CI" w:eastAsia="zh-CN"/>
        </w:rPr>
        <w:t>150 élèves de terminale</w:t>
      </w:r>
      <w:r w:rsidRPr="00441890">
        <w:rPr>
          <w:b/>
          <w:bCs/>
          <w:sz w:val="24"/>
          <w:szCs w:val="24"/>
          <w:lang w:val="fr-CI" w:eastAsia="zh-CN"/>
        </w:rPr>
        <w:t>.</w:t>
      </w:r>
      <w:r w:rsidRPr="00441890">
        <w:rPr>
          <w:sz w:val="24"/>
          <w:szCs w:val="24"/>
          <w:lang w:val="fr-CI" w:eastAsia="zh-CN"/>
        </w:rPr>
        <w:t xml:space="preserve"> Le questionnaire, conçu pour les besoins de cette recherche, est un questionnaire fermé structuré autour de quatre axes :</w:t>
      </w:r>
    </w:p>
    <w:p w14:paraId="76042D39" w14:textId="77777777" w:rsidR="00D80693" w:rsidRPr="00441890" w:rsidRDefault="00D80693" w:rsidP="00E82F39">
      <w:pPr>
        <w:widowControl/>
        <w:numPr>
          <w:ilvl w:val="0"/>
          <w:numId w:val="181"/>
        </w:numPr>
        <w:autoSpaceDE/>
        <w:autoSpaceDN/>
        <w:spacing w:before="120" w:after="100" w:afterAutospacing="1"/>
        <w:jc w:val="both"/>
        <w:rPr>
          <w:sz w:val="24"/>
          <w:szCs w:val="24"/>
          <w:lang w:val="fr-CI" w:eastAsia="zh-CN"/>
        </w:rPr>
      </w:pPr>
      <w:r w:rsidRPr="00441890">
        <w:rPr>
          <w:sz w:val="24"/>
          <w:szCs w:val="24"/>
          <w:lang w:val="fr-CI" w:eastAsia="zh-CN"/>
        </w:rPr>
        <w:t>Sexe et fraude,</w:t>
      </w:r>
    </w:p>
    <w:p w14:paraId="1947E077" w14:textId="77777777" w:rsidR="00D80693" w:rsidRPr="00441890" w:rsidRDefault="00D80693" w:rsidP="00E82F39">
      <w:pPr>
        <w:widowControl/>
        <w:numPr>
          <w:ilvl w:val="0"/>
          <w:numId w:val="181"/>
        </w:numPr>
        <w:autoSpaceDE/>
        <w:autoSpaceDN/>
        <w:spacing w:before="120" w:after="100" w:afterAutospacing="1"/>
        <w:jc w:val="both"/>
        <w:rPr>
          <w:sz w:val="24"/>
          <w:szCs w:val="24"/>
          <w:lang w:val="fr-CI" w:eastAsia="zh-CN"/>
        </w:rPr>
      </w:pPr>
      <w:r w:rsidRPr="00441890">
        <w:rPr>
          <w:sz w:val="24"/>
          <w:szCs w:val="24"/>
          <w:lang w:val="fr-CI" w:eastAsia="zh-CN"/>
        </w:rPr>
        <w:t>Niveau socio-économique,</w:t>
      </w:r>
    </w:p>
    <w:p w14:paraId="757AF956" w14:textId="77777777" w:rsidR="00D80693" w:rsidRPr="00441890" w:rsidRDefault="00D80693" w:rsidP="00E82F39">
      <w:pPr>
        <w:widowControl/>
        <w:numPr>
          <w:ilvl w:val="0"/>
          <w:numId w:val="181"/>
        </w:numPr>
        <w:autoSpaceDE/>
        <w:autoSpaceDN/>
        <w:spacing w:before="120" w:after="100" w:afterAutospacing="1"/>
        <w:jc w:val="both"/>
        <w:rPr>
          <w:sz w:val="24"/>
          <w:szCs w:val="24"/>
          <w:lang w:val="fr-CI" w:eastAsia="zh-CN"/>
        </w:rPr>
      </w:pPr>
      <w:r w:rsidRPr="00441890">
        <w:rPr>
          <w:sz w:val="24"/>
          <w:szCs w:val="24"/>
          <w:lang w:val="fr-CI" w:eastAsia="zh-CN"/>
        </w:rPr>
        <w:t>Suivi parental,</w:t>
      </w:r>
    </w:p>
    <w:p w14:paraId="09BC5CB8" w14:textId="77777777" w:rsidR="00D80693" w:rsidRPr="00441890" w:rsidRDefault="00D80693" w:rsidP="00E82F39">
      <w:pPr>
        <w:widowControl/>
        <w:numPr>
          <w:ilvl w:val="0"/>
          <w:numId w:val="181"/>
        </w:numPr>
        <w:autoSpaceDE/>
        <w:autoSpaceDN/>
        <w:spacing w:before="120" w:after="100" w:afterAutospacing="1"/>
        <w:jc w:val="both"/>
        <w:rPr>
          <w:sz w:val="24"/>
          <w:szCs w:val="24"/>
          <w:lang w:val="fr-CI" w:eastAsia="zh-CN"/>
        </w:rPr>
      </w:pPr>
      <w:r w:rsidRPr="00441890">
        <w:rPr>
          <w:sz w:val="24"/>
          <w:szCs w:val="24"/>
          <w:lang w:val="fr-CI" w:eastAsia="zh-CN"/>
        </w:rPr>
        <w:t>Niveau d’instruction.</w:t>
      </w:r>
    </w:p>
    <w:p w14:paraId="1A3DB7B8" w14:textId="77777777" w:rsidR="00D80693" w:rsidRPr="00441890" w:rsidRDefault="00D80693" w:rsidP="00E82F39">
      <w:pPr>
        <w:spacing w:before="120" w:after="100" w:afterAutospacing="1"/>
        <w:jc w:val="both"/>
        <w:rPr>
          <w:sz w:val="24"/>
          <w:szCs w:val="24"/>
          <w:lang w:val="fr-CI" w:eastAsia="zh-CN"/>
        </w:rPr>
      </w:pPr>
      <w:r w:rsidRPr="00441890">
        <w:rPr>
          <w:sz w:val="24"/>
          <w:szCs w:val="24"/>
          <w:lang w:val="fr-CI" w:eastAsia="zh-CN"/>
        </w:rPr>
        <w:t xml:space="preserve">Une </w:t>
      </w:r>
      <w:r w:rsidRPr="00441890">
        <w:rPr>
          <w:rFonts w:eastAsia="DengXian Light"/>
          <w:sz w:val="24"/>
          <w:szCs w:val="24"/>
          <w:lang w:val="fr-CI" w:eastAsia="zh-CN"/>
        </w:rPr>
        <w:t>échelle de Likert à quatre niveaux</w:t>
      </w:r>
      <w:r w:rsidRPr="00441890">
        <w:rPr>
          <w:sz w:val="24"/>
          <w:szCs w:val="24"/>
          <w:lang w:val="fr-CI" w:eastAsia="zh-CN"/>
        </w:rPr>
        <w:t xml:space="preserve"> a été utilisée pour mesurer les attitudes des élèves vis-à-vis de la fraude. </w:t>
      </w:r>
      <w:r w:rsidRPr="00441890">
        <w:rPr>
          <w:rFonts w:eastAsia="DengXian Light"/>
          <w:sz w:val="24"/>
          <w:szCs w:val="24"/>
          <w:lang w:val="fr-CI" w:eastAsia="zh-CN"/>
        </w:rPr>
        <w:t>Par ailleurs</w:t>
      </w:r>
      <w:r w:rsidRPr="00441890">
        <w:rPr>
          <w:sz w:val="24"/>
          <w:szCs w:val="24"/>
          <w:lang w:val="fr-CI" w:eastAsia="zh-CN"/>
        </w:rPr>
        <w:t xml:space="preserve">, un </w:t>
      </w:r>
      <w:r w:rsidRPr="00441890">
        <w:rPr>
          <w:rFonts w:eastAsia="DengXian Light"/>
          <w:sz w:val="24"/>
          <w:szCs w:val="24"/>
          <w:lang w:val="fr-CI" w:eastAsia="zh-CN"/>
        </w:rPr>
        <w:t>guide d’entretien semi-directif</w:t>
      </w:r>
      <w:r w:rsidRPr="00441890">
        <w:rPr>
          <w:sz w:val="24"/>
          <w:szCs w:val="24"/>
          <w:lang w:val="fr-CI" w:eastAsia="zh-CN"/>
        </w:rPr>
        <w:t xml:space="preserve"> a été administré aux parents et aux enseignants. Les questions ouvertes portaient sur les pratiques éducatives familiales, les attentes en matière de réussite scolaire, les discours transmis concernant la tricherie, ainsi que les stratégies mises en place pour accompagner ou surveiller les apprenants.</w:t>
      </w:r>
    </w:p>
    <w:p w14:paraId="4CBDBC26" w14:textId="77777777" w:rsidR="00D80693" w:rsidRDefault="00D80693" w:rsidP="00E82F39">
      <w:pPr>
        <w:spacing w:before="120"/>
        <w:rPr>
          <w:b/>
          <w:bCs/>
          <w:sz w:val="24"/>
          <w:szCs w:val="24"/>
          <w:lang w:val="fr-CI" w:eastAsia="zh-CN"/>
        </w:rPr>
      </w:pPr>
      <w:r w:rsidRPr="009F42F3">
        <w:rPr>
          <w:b/>
          <w:bCs/>
          <w:sz w:val="24"/>
          <w:szCs w:val="24"/>
          <w:lang w:val="fr-CI" w:eastAsia="zh-CN"/>
        </w:rPr>
        <w:t>1.3. Traitement des données</w:t>
      </w:r>
    </w:p>
    <w:p w14:paraId="4BBE55CD" w14:textId="7E19DA03" w:rsidR="00D80693" w:rsidRDefault="00D80693" w:rsidP="00E82F39">
      <w:pPr>
        <w:spacing w:before="120" w:after="100" w:afterAutospacing="1"/>
        <w:jc w:val="both"/>
        <w:rPr>
          <w:sz w:val="24"/>
          <w:szCs w:val="24"/>
          <w:lang w:val="fr-CI" w:eastAsia="zh-CN"/>
        </w:rPr>
      </w:pPr>
      <w:r>
        <w:rPr>
          <w:sz w:val="24"/>
          <w:szCs w:val="24"/>
          <w:lang w:val="fr-CI" w:eastAsia="zh-CN"/>
        </w:rPr>
        <w:t>Dans le cadre de notre étude, nous avons adopté une démarche de traitement des données articulant des approches quantitatives et qualitatives.</w:t>
      </w:r>
      <w:r w:rsidR="00E82F39">
        <w:rPr>
          <w:sz w:val="24"/>
          <w:szCs w:val="24"/>
          <w:lang w:val="fr-CI" w:eastAsia="zh-CN"/>
        </w:rPr>
        <w:t xml:space="preserve"> </w:t>
      </w:r>
      <w:r>
        <w:rPr>
          <w:sz w:val="24"/>
          <w:szCs w:val="24"/>
          <w:lang w:val="fr-CI" w:eastAsia="zh-CN"/>
        </w:rPr>
        <w:br/>
        <w:t>Les données issues des questionnaires administrés aux élèves ont été analysées à l’aide du logiciel SPSS. Nous avons mobilisé des statistiques descriptives afin de mettre en évidence les grandes tendances relatives aux pratiques de fraude, aux perceptions de l’influence familiale et aux attitudes des élèves face aux examens.</w:t>
      </w:r>
    </w:p>
    <w:p w14:paraId="5FEE7436" w14:textId="77777777" w:rsidR="00D80693" w:rsidRDefault="00D80693" w:rsidP="00E82F39">
      <w:pPr>
        <w:spacing w:before="120" w:after="100" w:afterAutospacing="1"/>
        <w:jc w:val="both"/>
        <w:rPr>
          <w:sz w:val="24"/>
          <w:szCs w:val="24"/>
          <w:lang w:val="fr-CI" w:eastAsia="zh-CN"/>
        </w:rPr>
      </w:pPr>
      <w:r>
        <w:rPr>
          <w:sz w:val="24"/>
          <w:szCs w:val="24"/>
          <w:lang w:val="fr-CI" w:eastAsia="zh-CN"/>
        </w:rPr>
        <w:t>Par la suite, nous avons réalisé des analyses croisées, notamment le test du Khi-deux, afin d’examiner l’existence de relations significatives entre le milieu familial et les comportements frauduleux.</w:t>
      </w:r>
    </w:p>
    <w:p w14:paraId="59ED142E" w14:textId="77777777" w:rsidR="00D80693" w:rsidRDefault="00D80693" w:rsidP="00E82F39">
      <w:pPr>
        <w:spacing w:before="120" w:after="100" w:afterAutospacing="1"/>
        <w:jc w:val="both"/>
        <w:rPr>
          <w:sz w:val="24"/>
          <w:szCs w:val="24"/>
          <w:lang w:val="fr-CI" w:eastAsia="zh-CN"/>
        </w:rPr>
      </w:pPr>
      <w:r>
        <w:rPr>
          <w:sz w:val="24"/>
          <w:szCs w:val="24"/>
          <w:lang w:val="fr-CI" w:eastAsia="zh-CN"/>
        </w:rPr>
        <w:t>Les données qualitatives issues des entretiens menés auprès des enseignants et des parents d’élèves ont été intégralement transcrites. Nous avons ensuite conduit une analyse de contenu thématique portant, entre autres, sur :</w:t>
      </w:r>
    </w:p>
    <w:p w14:paraId="772C1D5F" w14:textId="77777777" w:rsidR="00D80693" w:rsidRDefault="00D80693" w:rsidP="00E82F39">
      <w:pPr>
        <w:widowControl/>
        <w:numPr>
          <w:ilvl w:val="0"/>
          <w:numId w:val="182"/>
        </w:numPr>
        <w:autoSpaceDE/>
        <w:autoSpaceDN/>
        <w:spacing w:before="120" w:after="100" w:afterAutospacing="1"/>
        <w:jc w:val="both"/>
        <w:rPr>
          <w:sz w:val="24"/>
          <w:szCs w:val="24"/>
          <w:lang w:val="fr-CI" w:eastAsia="zh-CN"/>
        </w:rPr>
      </w:pPr>
      <w:r>
        <w:rPr>
          <w:sz w:val="24"/>
          <w:szCs w:val="24"/>
          <w:lang w:val="fr-CI" w:eastAsia="zh-CN"/>
        </w:rPr>
        <w:t>Les représentations parentales de la réussite scolaire,</w:t>
      </w:r>
    </w:p>
    <w:p w14:paraId="726FBE98" w14:textId="77777777" w:rsidR="00D80693" w:rsidRDefault="00D80693" w:rsidP="00E82F39">
      <w:pPr>
        <w:widowControl/>
        <w:numPr>
          <w:ilvl w:val="0"/>
          <w:numId w:val="182"/>
        </w:numPr>
        <w:autoSpaceDE/>
        <w:autoSpaceDN/>
        <w:spacing w:before="120" w:after="100" w:afterAutospacing="1"/>
        <w:jc w:val="both"/>
        <w:rPr>
          <w:sz w:val="24"/>
          <w:szCs w:val="24"/>
          <w:lang w:val="fr-CI" w:eastAsia="zh-CN"/>
        </w:rPr>
      </w:pPr>
      <w:r>
        <w:rPr>
          <w:sz w:val="24"/>
          <w:szCs w:val="24"/>
          <w:lang w:val="fr-CI" w:eastAsia="zh-CN"/>
        </w:rPr>
        <w:t>Les discours justifiants ou condamnant la tricherie,</w:t>
      </w:r>
    </w:p>
    <w:p w14:paraId="43EFBB70" w14:textId="77777777" w:rsidR="00D80693" w:rsidRDefault="00D80693" w:rsidP="00E82F39">
      <w:pPr>
        <w:widowControl/>
        <w:numPr>
          <w:ilvl w:val="0"/>
          <w:numId w:val="182"/>
        </w:numPr>
        <w:autoSpaceDE/>
        <w:autoSpaceDN/>
        <w:spacing w:before="120" w:after="100" w:afterAutospacing="1"/>
        <w:jc w:val="both"/>
        <w:rPr>
          <w:sz w:val="24"/>
          <w:szCs w:val="24"/>
          <w:lang w:val="fr-CI" w:eastAsia="zh-CN"/>
        </w:rPr>
      </w:pPr>
      <w:r>
        <w:rPr>
          <w:sz w:val="24"/>
          <w:szCs w:val="24"/>
          <w:lang w:val="fr-CI" w:eastAsia="zh-CN"/>
        </w:rPr>
        <w:t>Les mécanismes implicites de soutien ou de tolérance familiale à la fraude.</w:t>
      </w:r>
    </w:p>
    <w:p w14:paraId="5EF69905" w14:textId="77777777" w:rsidR="00D80693" w:rsidRDefault="00D80693" w:rsidP="00E82F39">
      <w:pPr>
        <w:spacing w:before="120" w:after="100" w:afterAutospacing="1"/>
        <w:jc w:val="both"/>
        <w:rPr>
          <w:sz w:val="24"/>
          <w:szCs w:val="24"/>
          <w:lang w:val="fr-CI" w:eastAsia="zh-CN"/>
        </w:rPr>
      </w:pPr>
      <w:r>
        <w:rPr>
          <w:sz w:val="24"/>
          <w:szCs w:val="24"/>
          <w:lang w:val="fr-CI" w:eastAsia="zh-CN"/>
        </w:rPr>
        <w:t>Afin d’éviter toute confusion entre les propos des parents et ceux des enseignants, chaque verbatim cité a été codé conformément aux indications suivantes :</w:t>
      </w:r>
    </w:p>
    <w:p w14:paraId="35592CC8" w14:textId="77777777" w:rsidR="00D80693" w:rsidRDefault="00D80693" w:rsidP="00E82F39">
      <w:pPr>
        <w:widowControl/>
        <w:numPr>
          <w:ilvl w:val="0"/>
          <w:numId w:val="183"/>
        </w:numPr>
        <w:autoSpaceDE/>
        <w:autoSpaceDN/>
        <w:spacing w:before="120" w:after="100" w:afterAutospacing="1"/>
        <w:jc w:val="both"/>
        <w:rPr>
          <w:sz w:val="24"/>
          <w:szCs w:val="24"/>
          <w:lang w:val="fr-CI" w:eastAsia="zh-CN"/>
        </w:rPr>
      </w:pPr>
      <w:r>
        <w:rPr>
          <w:rFonts w:eastAsia="DengXian Light"/>
          <w:b/>
          <w:bCs/>
          <w:sz w:val="24"/>
          <w:szCs w:val="24"/>
          <w:lang w:val="fr-CI" w:eastAsia="zh-CN"/>
        </w:rPr>
        <w:t>E.P.X</w:t>
      </w:r>
      <w:r>
        <w:rPr>
          <w:sz w:val="24"/>
          <w:szCs w:val="24"/>
          <w:lang w:val="fr-CI" w:eastAsia="zh-CN"/>
        </w:rPr>
        <w:t xml:space="preserve"> : Entretien parent ;</w:t>
      </w:r>
    </w:p>
    <w:p w14:paraId="3917D7F0" w14:textId="77777777" w:rsidR="00D80693" w:rsidRDefault="00D80693" w:rsidP="00E82F39">
      <w:pPr>
        <w:widowControl/>
        <w:numPr>
          <w:ilvl w:val="0"/>
          <w:numId w:val="183"/>
        </w:numPr>
        <w:autoSpaceDE/>
        <w:autoSpaceDN/>
        <w:spacing w:before="120" w:after="100" w:afterAutospacing="1"/>
        <w:jc w:val="both"/>
        <w:rPr>
          <w:sz w:val="24"/>
          <w:szCs w:val="24"/>
          <w:lang w:val="fr-CI" w:eastAsia="zh-CN"/>
        </w:rPr>
      </w:pPr>
      <w:r>
        <w:rPr>
          <w:rFonts w:eastAsia="DengXian Light"/>
          <w:b/>
          <w:bCs/>
          <w:sz w:val="24"/>
          <w:szCs w:val="24"/>
          <w:lang w:val="fr-CI" w:eastAsia="zh-CN"/>
        </w:rPr>
        <w:t>E.E.X</w:t>
      </w:r>
      <w:r>
        <w:rPr>
          <w:sz w:val="24"/>
          <w:szCs w:val="24"/>
          <w:lang w:val="fr-CI" w:eastAsia="zh-CN"/>
        </w:rPr>
        <w:t xml:space="preserve"> : Entretien enseignant.</w:t>
      </w:r>
    </w:p>
    <w:p w14:paraId="62C3DF83" w14:textId="77777777" w:rsidR="00D80693" w:rsidRPr="00F20423" w:rsidRDefault="00D80693" w:rsidP="00E82F39">
      <w:pPr>
        <w:spacing w:before="120" w:after="100" w:afterAutospacing="1"/>
        <w:jc w:val="both"/>
        <w:rPr>
          <w:sz w:val="24"/>
          <w:szCs w:val="24"/>
          <w:lang w:val="fr-CI" w:eastAsia="zh-CN"/>
        </w:rPr>
      </w:pPr>
      <w:r>
        <w:rPr>
          <w:sz w:val="24"/>
          <w:szCs w:val="24"/>
          <w:lang w:val="fr-CI" w:eastAsia="zh-CN"/>
        </w:rPr>
        <w:t>Les codes apparaissent à la fin de chaque citation, permettant au lecteur d’identifier clairement la source du discours. Le croisement des résultats issus des deux volets de l’étude a permis de mettre en œuvre une triangulation méthodologique, renforçant ainsi la validité de nos résultats et de nos interprétations.</w:t>
      </w:r>
    </w:p>
    <w:p w14:paraId="0F628FD1" w14:textId="77777777" w:rsidR="00D80693" w:rsidRPr="009F42F3" w:rsidRDefault="00D80693" w:rsidP="00E82F39">
      <w:pPr>
        <w:spacing w:before="120"/>
        <w:rPr>
          <w:b/>
          <w:bCs/>
          <w:kern w:val="36"/>
          <w:sz w:val="24"/>
          <w:szCs w:val="24"/>
          <w:lang w:val="fr-CI" w:eastAsia="zh-CN"/>
        </w:rPr>
      </w:pPr>
      <w:r w:rsidRPr="009F42F3">
        <w:rPr>
          <w:b/>
          <w:bCs/>
          <w:kern w:val="36"/>
          <w:sz w:val="24"/>
          <w:szCs w:val="24"/>
          <w:lang w:val="fr-CI" w:eastAsia="zh-CN"/>
        </w:rPr>
        <w:t>2. Résultats</w:t>
      </w:r>
    </w:p>
    <w:p w14:paraId="5333F5A1"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Les résultats présentés dans cette partie s’articulent autour de deux grands volets complémentaires. Le premier volet expose les données qualitatives recueillies auprès des parents et des enseignants afin de comprendre leurs perceptions, leurs pratiques d’encadrement et leurs attitudes face à la tricherie scolaire. Le second volet porte sur les analyses quantitatives issues des questionnaires administrés aux élèves et met en évidence les relations entre plusieurs variables telles que le sexe, l’environnement familial, le niveau socio-économique, la qualité du suivi parental, le niveau d’instruction des parents et les comportements de fraude lors des examens du BEPC et du BAC.</w:t>
      </w:r>
    </w:p>
    <w:p w14:paraId="0B62FDE1" w14:textId="77777777" w:rsidR="00D80693" w:rsidRPr="009F42F3" w:rsidRDefault="00D80693" w:rsidP="00E82F39">
      <w:pPr>
        <w:spacing w:before="120"/>
        <w:rPr>
          <w:b/>
          <w:bCs/>
          <w:sz w:val="24"/>
          <w:szCs w:val="24"/>
          <w:lang w:val="fr-CI" w:eastAsia="zh-CN"/>
        </w:rPr>
      </w:pPr>
      <w:r w:rsidRPr="009F42F3">
        <w:rPr>
          <w:b/>
          <w:bCs/>
          <w:sz w:val="24"/>
          <w:szCs w:val="24"/>
          <w:lang w:val="fr-CI" w:eastAsia="zh-CN"/>
        </w:rPr>
        <w:t>2.1. Résultats qualitatifs</w:t>
      </w:r>
    </w:p>
    <w:p w14:paraId="6FB252CA"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Les résultats qualitatifs recueillis auprès des parents et enseignants permettent d’illustrer, à travers plusieurs cas concrets, les perceptions et pratiques liées à l’accompagnement scolaire et à la tricherie des élèves.</w:t>
      </w:r>
    </w:p>
    <w:p w14:paraId="271EF61D" w14:textId="77777777" w:rsidR="00D80693" w:rsidRPr="00536157" w:rsidRDefault="00D80693" w:rsidP="00E82F39">
      <w:pPr>
        <w:spacing w:before="120"/>
        <w:rPr>
          <w:b/>
          <w:bCs/>
          <w:sz w:val="24"/>
          <w:szCs w:val="24"/>
          <w:lang w:val="fr-CI" w:eastAsia="zh-CN"/>
        </w:rPr>
      </w:pPr>
      <w:r w:rsidRPr="00536157">
        <w:rPr>
          <w:b/>
          <w:bCs/>
          <w:sz w:val="24"/>
          <w:szCs w:val="24"/>
          <w:lang w:val="fr-CI" w:eastAsia="zh-CN"/>
        </w:rPr>
        <w:t>Cas 1</w:t>
      </w:r>
    </w:p>
    <w:p w14:paraId="69D46B35"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 xml:space="preserve">La majorité des parents interrogés affirment encourager leurs enfants à réussir, mais plusieurs reconnaissent leur incapacité à les accompagner scolairement en raison du manque de temps ou d’un faible niveau d’instruction. « </w:t>
      </w:r>
      <w:r w:rsidRPr="00536157">
        <w:rPr>
          <w:i/>
          <w:iCs/>
          <w:sz w:val="24"/>
          <w:szCs w:val="24"/>
          <w:lang w:val="fr-CI" w:eastAsia="zh-CN"/>
        </w:rPr>
        <w:t>Certains parents déclarent ne pas avoir fait de longues études,</w:t>
      </w:r>
      <w:r w:rsidRPr="009F42F3">
        <w:rPr>
          <w:sz w:val="24"/>
          <w:szCs w:val="24"/>
          <w:lang w:val="fr-CI" w:eastAsia="zh-CN"/>
        </w:rPr>
        <w:t xml:space="preserve"> donc </w:t>
      </w:r>
      <w:r w:rsidRPr="009F42F3">
        <w:rPr>
          <w:i/>
          <w:iCs/>
          <w:sz w:val="24"/>
          <w:szCs w:val="24"/>
          <w:lang w:val="fr-CI" w:eastAsia="zh-CN"/>
        </w:rPr>
        <w:t>je ne peux pas accompagner mes enfants dans leurs études, mais je leur dis toujours de ne pas tricher</w:t>
      </w:r>
      <w:r w:rsidRPr="009F42F3">
        <w:rPr>
          <w:sz w:val="24"/>
          <w:szCs w:val="24"/>
          <w:lang w:val="fr-CI" w:eastAsia="zh-CN"/>
        </w:rPr>
        <w:t xml:space="preserve"> » (E.P.1).</w:t>
      </w:r>
    </w:p>
    <w:p w14:paraId="1521C4B2" w14:textId="77777777" w:rsidR="00D80693" w:rsidRPr="00536157" w:rsidRDefault="00D80693" w:rsidP="00E82F39">
      <w:pPr>
        <w:spacing w:before="120"/>
        <w:rPr>
          <w:b/>
          <w:bCs/>
          <w:sz w:val="24"/>
          <w:szCs w:val="24"/>
          <w:lang w:val="fr-CI" w:eastAsia="zh-CN"/>
        </w:rPr>
      </w:pPr>
      <w:r w:rsidRPr="00536157">
        <w:rPr>
          <w:b/>
          <w:bCs/>
          <w:sz w:val="24"/>
          <w:szCs w:val="24"/>
          <w:lang w:val="fr-CI" w:eastAsia="zh-CN"/>
        </w:rPr>
        <w:t>Cas 2</w:t>
      </w:r>
    </w:p>
    <w:p w14:paraId="4B839E7B"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 xml:space="preserve">Un consensus fort se dégage autour de l’importance de la réussite comme ascenseur social. Toutefois, cette attente crée parfois une pression implicite qui, selon les enseignants, peut pousser certains élèves à tricher. </w:t>
      </w:r>
      <w:r w:rsidRPr="00536157">
        <w:rPr>
          <w:i/>
          <w:iCs/>
          <w:sz w:val="24"/>
          <w:szCs w:val="24"/>
          <w:lang w:val="fr-CI" w:eastAsia="zh-CN"/>
        </w:rPr>
        <w:t>« Ils veulent que l’enfant réussisse coûte que coûte, et certains ferment les yeux quand on leur parle de tricherie</w:t>
      </w:r>
      <w:r w:rsidRPr="009F42F3">
        <w:rPr>
          <w:sz w:val="24"/>
          <w:szCs w:val="24"/>
          <w:lang w:val="fr-CI" w:eastAsia="zh-CN"/>
        </w:rPr>
        <w:t xml:space="preserve"> » (E.E.2).</w:t>
      </w:r>
    </w:p>
    <w:p w14:paraId="1363A8E8" w14:textId="77777777" w:rsidR="00D80693" w:rsidRPr="008828BB" w:rsidRDefault="00D80693" w:rsidP="00E82F39">
      <w:pPr>
        <w:spacing w:before="120"/>
        <w:rPr>
          <w:b/>
          <w:bCs/>
          <w:i/>
          <w:iCs/>
          <w:sz w:val="24"/>
          <w:szCs w:val="24"/>
          <w:lang w:val="fr-CI" w:eastAsia="zh-CN"/>
        </w:rPr>
      </w:pPr>
      <w:r w:rsidRPr="008828BB">
        <w:rPr>
          <w:b/>
          <w:bCs/>
          <w:i/>
          <w:iCs/>
          <w:sz w:val="24"/>
          <w:szCs w:val="24"/>
          <w:lang w:val="fr-CI" w:eastAsia="zh-CN"/>
        </w:rPr>
        <w:t>Cas 3</w:t>
      </w:r>
    </w:p>
    <w:p w14:paraId="7153860C"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 xml:space="preserve">Les discours parentaux sur la tricherie sont ambivalents : certains condamnent fermement la fraude et affirment sensibiliser leurs enfants aux bonnes pratiques, tandis que d’autres relativisent la gravité de la tricherie, surtout lorsqu’elle semble nécessaire pour réussir. Certains parents interrogés dans des établissements privés déclarent ignorer les méthodes d’évaluation actuelles et pensent que </w:t>
      </w:r>
      <w:r w:rsidRPr="009F42F3">
        <w:rPr>
          <w:i/>
          <w:iCs/>
          <w:sz w:val="24"/>
          <w:szCs w:val="24"/>
          <w:lang w:val="fr-CI" w:eastAsia="zh-CN"/>
        </w:rPr>
        <w:t>« tout le monde triche maintenant »</w:t>
      </w:r>
      <w:r w:rsidRPr="009F42F3">
        <w:rPr>
          <w:sz w:val="24"/>
          <w:szCs w:val="24"/>
          <w:lang w:val="fr-CI" w:eastAsia="zh-CN"/>
        </w:rPr>
        <w:t>. Un parent ajoute :</w:t>
      </w:r>
      <w:r>
        <w:rPr>
          <w:sz w:val="24"/>
          <w:szCs w:val="24"/>
          <w:lang w:val="fr-CI" w:eastAsia="zh-CN"/>
        </w:rPr>
        <w:t xml:space="preserve"> </w:t>
      </w:r>
      <w:r w:rsidRPr="009F42F3">
        <w:rPr>
          <w:sz w:val="24"/>
          <w:szCs w:val="24"/>
          <w:lang w:val="fr-CI" w:eastAsia="zh-CN"/>
        </w:rPr>
        <w:t xml:space="preserve">« </w:t>
      </w:r>
      <w:r w:rsidRPr="008828BB">
        <w:rPr>
          <w:i/>
          <w:iCs/>
          <w:sz w:val="24"/>
          <w:szCs w:val="24"/>
          <w:lang w:val="fr-CI" w:eastAsia="zh-CN"/>
        </w:rPr>
        <w:t xml:space="preserve">Quand j’étais élève, on copiait sur nos voisins, donc je pense que ce n’est pas si grave </w:t>
      </w:r>
      <w:r w:rsidRPr="009F42F3">
        <w:rPr>
          <w:sz w:val="24"/>
          <w:szCs w:val="24"/>
          <w:lang w:val="fr-CI" w:eastAsia="zh-CN"/>
        </w:rPr>
        <w:t>» (E.P.4).</w:t>
      </w:r>
    </w:p>
    <w:p w14:paraId="2C4A7C49" w14:textId="77777777" w:rsidR="00D80693" w:rsidRPr="008828BB" w:rsidRDefault="00D80693" w:rsidP="00E82F39">
      <w:pPr>
        <w:spacing w:before="120"/>
        <w:rPr>
          <w:b/>
          <w:bCs/>
          <w:sz w:val="24"/>
          <w:szCs w:val="24"/>
          <w:lang w:val="fr-CI" w:eastAsia="zh-CN"/>
        </w:rPr>
      </w:pPr>
      <w:r w:rsidRPr="008828BB">
        <w:rPr>
          <w:b/>
          <w:bCs/>
          <w:sz w:val="24"/>
          <w:szCs w:val="24"/>
          <w:lang w:val="fr-CI" w:eastAsia="zh-CN"/>
        </w:rPr>
        <w:t>Cas 4</w:t>
      </w:r>
    </w:p>
    <w:p w14:paraId="408ED529" w14:textId="77777777" w:rsidR="00D80693" w:rsidRDefault="00D80693" w:rsidP="00E82F39">
      <w:pPr>
        <w:spacing w:before="120" w:after="100" w:afterAutospacing="1"/>
        <w:jc w:val="both"/>
        <w:rPr>
          <w:sz w:val="24"/>
          <w:szCs w:val="24"/>
          <w:lang w:val="fr-CI" w:eastAsia="zh-CN"/>
        </w:rPr>
      </w:pPr>
      <w:r w:rsidRPr="009F42F3">
        <w:rPr>
          <w:sz w:val="24"/>
          <w:szCs w:val="24"/>
          <w:lang w:val="fr-CI" w:eastAsia="zh-CN"/>
        </w:rPr>
        <w:t xml:space="preserve">Plusieurs parents assument manquer d’outils pour surveiller ou accompagner efficacement leurs enfants. Les enseignants, quant à eux, notent un désengagement parental croissant, notamment dans les quartiers défavorisés. Toutefois, dans certains établissements privés, des parents mettent en place des stratégies de suivi régulier (cours du soir, répétiteur), comme l’indique un enseignant :« </w:t>
      </w:r>
      <w:r w:rsidRPr="008828BB">
        <w:rPr>
          <w:i/>
          <w:iCs/>
          <w:sz w:val="24"/>
          <w:szCs w:val="24"/>
          <w:lang w:val="fr-CI" w:eastAsia="zh-CN"/>
        </w:rPr>
        <w:t>Dans mon école, les parents viennent rarement aux réunions pédagogiques</w:t>
      </w:r>
      <w:r w:rsidRPr="009F42F3">
        <w:rPr>
          <w:sz w:val="24"/>
          <w:szCs w:val="24"/>
          <w:lang w:val="fr-CI" w:eastAsia="zh-CN"/>
        </w:rPr>
        <w:t xml:space="preserve"> » (E.E.5).</w:t>
      </w:r>
    </w:p>
    <w:p w14:paraId="42945B2A" w14:textId="77777777" w:rsidR="00D80693" w:rsidRPr="008828BB" w:rsidRDefault="00D80693" w:rsidP="00E82F39">
      <w:pPr>
        <w:spacing w:before="120"/>
        <w:rPr>
          <w:b/>
          <w:bCs/>
          <w:kern w:val="36"/>
          <w:sz w:val="24"/>
          <w:szCs w:val="24"/>
          <w:lang w:val="fr-CI" w:eastAsia="zh-CN"/>
        </w:rPr>
      </w:pPr>
      <w:r w:rsidRPr="008828BB">
        <w:rPr>
          <w:b/>
          <w:bCs/>
          <w:kern w:val="36"/>
          <w:sz w:val="24"/>
          <w:szCs w:val="24"/>
          <w:lang w:val="fr-CI" w:eastAsia="zh-CN"/>
        </w:rPr>
        <w:t>2.2. Résultats quantitatifs</w:t>
      </w:r>
    </w:p>
    <w:p w14:paraId="507A28DB" w14:textId="77777777" w:rsidR="00D80693" w:rsidRPr="009B370D" w:rsidRDefault="00D80693" w:rsidP="00E82F39">
      <w:pPr>
        <w:spacing w:before="120" w:after="100" w:afterAutospacing="1"/>
        <w:jc w:val="both"/>
        <w:rPr>
          <w:sz w:val="24"/>
          <w:szCs w:val="24"/>
          <w:lang w:val="fr-CI" w:eastAsia="zh-CN"/>
        </w:rPr>
      </w:pPr>
      <w:r w:rsidRPr="009B370D">
        <w:rPr>
          <w:sz w:val="24"/>
          <w:szCs w:val="24"/>
          <w:lang w:val="fr-CI" w:eastAsia="zh-CN"/>
        </w:rPr>
        <w:t>Les résultats quantitatifs</w:t>
      </w:r>
      <w:r>
        <w:rPr>
          <w:sz w:val="24"/>
          <w:szCs w:val="24"/>
          <w:lang w:val="fr-CI" w:eastAsia="zh-CN"/>
        </w:rPr>
        <w:t xml:space="preserve"> de cette étude </w:t>
      </w:r>
      <w:r w:rsidRPr="009B370D">
        <w:rPr>
          <w:sz w:val="24"/>
          <w:szCs w:val="24"/>
          <w:lang w:val="fr-CI" w:eastAsia="zh-CN"/>
        </w:rPr>
        <w:t>mettent en évidence l’influence de plusieurs variables sur les comportements frauduleux des élèves lors des examens du BEPC et du BAC</w:t>
      </w:r>
      <w:r>
        <w:rPr>
          <w:sz w:val="24"/>
          <w:szCs w:val="24"/>
          <w:lang w:val="fr-CI" w:eastAsia="zh-CN"/>
        </w:rPr>
        <w:t xml:space="preserve"> telles que,</w:t>
      </w:r>
      <w:r w:rsidRPr="009B370D">
        <w:rPr>
          <w:sz w:val="24"/>
          <w:szCs w:val="24"/>
          <w:lang w:val="fr-CI" w:eastAsia="zh-CN"/>
        </w:rPr>
        <w:t xml:space="preserve"> le</w:t>
      </w:r>
      <w:r>
        <w:rPr>
          <w:sz w:val="24"/>
          <w:szCs w:val="24"/>
          <w:lang w:val="fr-CI" w:eastAsia="zh-CN"/>
        </w:rPr>
        <w:t xml:space="preserve"> </w:t>
      </w:r>
      <w:r w:rsidRPr="009B370D">
        <w:rPr>
          <w:sz w:val="24"/>
          <w:szCs w:val="24"/>
          <w:lang w:val="fr-CI" w:eastAsia="zh-CN"/>
        </w:rPr>
        <w:t xml:space="preserve">sexe, </w:t>
      </w:r>
      <w:r>
        <w:rPr>
          <w:sz w:val="24"/>
          <w:szCs w:val="24"/>
          <w:lang w:val="fr-CI" w:eastAsia="zh-CN"/>
        </w:rPr>
        <w:t>l’</w:t>
      </w:r>
      <w:r w:rsidRPr="009B370D">
        <w:rPr>
          <w:sz w:val="24"/>
          <w:szCs w:val="24"/>
          <w:lang w:val="fr-CI" w:eastAsia="zh-CN"/>
        </w:rPr>
        <w:t>environnement familial, le</w:t>
      </w:r>
      <w:r>
        <w:rPr>
          <w:sz w:val="24"/>
          <w:szCs w:val="24"/>
          <w:lang w:val="fr-CI" w:eastAsia="zh-CN"/>
        </w:rPr>
        <w:t xml:space="preserve"> </w:t>
      </w:r>
      <w:r w:rsidRPr="009B370D">
        <w:rPr>
          <w:sz w:val="24"/>
          <w:szCs w:val="24"/>
          <w:lang w:val="fr-CI" w:eastAsia="zh-CN"/>
        </w:rPr>
        <w:t>niveau socioéconomique familial, la</w:t>
      </w:r>
      <w:r>
        <w:rPr>
          <w:sz w:val="24"/>
          <w:szCs w:val="24"/>
          <w:lang w:val="fr-CI" w:eastAsia="zh-CN"/>
        </w:rPr>
        <w:t xml:space="preserve"> </w:t>
      </w:r>
      <w:r w:rsidRPr="009B370D">
        <w:rPr>
          <w:sz w:val="24"/>
          <w:szCs w:val="24"/>
          <w:lang w:val="fr-CI" w:eastAsia="zh-CN"/>
        </w:rPr>
        <w:t>qualité du suivi parental</w:t>
      </w:r>
      <w:r>
        <w:rPr>
          <w:sz w:val="24"/>
          <w:szCs w:val="24"/>
          <w:lang w:val="fr-CI" w:eastAsia="zh-CN"/>
        </w:rPr>
        <w:t>,</w:t>
      </w:r>
      <w:r w:rsidRPr="009B370D">
        <w:rPr>
          <w:sz w:val="24"/>
          <w:szCs w:val="24"/>
          <w:lang w:val="fr-CI" w:eastAsia="zh-CN"/>
        </w:rPr>
        <w:t xml:space="preserve"> et le niveau d’instruction des parents.</w:t>
      </w:r>
    </w:p>
    <w:p w14:paraId="797E4826" w14:textId="77777777" w:rsidR="00D80693" w:rsidRPr="00D70D89" w:rsidRDefault="00D80693" w:rsidP="00E82F39">
      <w:pPr>
        <w:spacing w:before="120"/>
        <w:rPr>
          <w:b/>
          <w:bCs/>
          <w:sz w:val="24"/>
          <w:szCs w:val="24"/>
          <w:lang w:val="fr-CI" w:eastAsia="zh-CN"/>
        </w:rPr>
      </w:pPr>
      <w:r w:rsidRPr="008828BB">
        <w:rPr>
          <w:b/>
          <w:bCs/>
          <w:sz w:val="24"/>
          <w:szCs w:val="24"/>
          <w:lang w:val="fr-CI" w:eastAsia="zh-CN"/>
        </w:rPr>
        <w:t>2.2.1. Sexe et fraude</w:t>
      </w:r>
    </w:p>
    <w:p w14:paraId="7CA2DDE6" w14:textId="77777777" w:rsidR="00D80693" w:rsidRDefault="00D80693" w:rsidP="00E82F39">
      <w:pPr>
        <w:spacing w:before="120"/>
        <w:jc w:val="both"/>
        <w:rPr>
          <w:rFonts w:eastAsia="Aptos"/>
          <w:kern w:val="2"/>
          <w:sz w:val="24"/>
          <w:szCs w:val="24"/>
          <w:lang w:val="fr-CI"/>
          <w14:ligatures w14:val="standardContextual"/>
        </w:rPr>
      </w:pPr>
      <w:r w:rsidRPr="00D70D89">
        <w:rPr>
          <w:rFonts w:eastAsia="Aptos"/>
          <w:kern w:val="2"/>
          <w:sz w:val="24"/>
          <w:szCs w:val="24"/>
          <w:lang w:val="fr-CI"/>
          <w14:ligatures w14:val="standardContextual"/>
        </w:rPr>
        <w:t>Le sexe des élèves peut jouer un rôle important dans l’explication des comportements liés à la fraude scolaire.  Koffi</w:t>
      </w:r>
      <w:r>
        <w:rPr>
          <w:rFonts w:eastAsia="Aptos"/>
          <w:kern w:val="2"/>
          <w:sz w:val="24"/>
          <w:szCs w:val="24"/>
          <w:lang w:val="fr-CI"/>
          <w14:ligatures w14:val="standardContextual"/>
        </w:rPr>
        <w:t>, N.W.</w:t>
      </w:r>
      <w:r w:rsidRPr="00D70D89">
        <w:rPr>
          <w:rFonts w:eastAsia="Aptos"/>
          <w:kern w:val="2"/>
          <w:sz w:val="24"/>
          <w:szCs w:val="24"/>
          <w:lang w:val="fr-CI"/>
          <w14:ligatures w14:val="standardContextual"/>
        </w:rPr>
        <w:t xml:space="preserve"> (2022), la division des rôles sociaux étant en fonction du sexe, les filles et les garçons n’ont pas les mêmes contraintes ni les mêmes attentes. Leurs perceptions peuvent différer à l’égard de la fraude. Le tableau ci-dessous présente la répartition des élèves interrogés selon leur sexe et leur comportement face à la fraude aux examens.</w:t>
      </w:r>
    </w:p>
    <w:p w14:paraId="2A3CD0A2" w14:textId="77777777" w:rsidR="00D80693" w:rsidRPr="0031444D" w:rsidRDefault="00D80693" w:rsidP="00E82F39">
      <w:pPr>
        <w:spacing w:before="120" w:after="100" w:afterAutospacing="1"/>
        <w:rPr>
          <w:b/>
          <w:bCs/>
          <w:i/>
          <w:iCs/>
          <w:lang w:val="fr-CI" w:eastAsia="zh-CN"/>
        </w:rPr>
      </w:pPr>
      <w:r w:rsidRPr="00FD6785">
        <w:rPr>
          <w:b/>
          <w:bCs/>
          <w:i/>
          <w:iCs/>
          <w:sz w:val="24"/>
          <w:szCs w:val="24"/>
          <w:lang w:val="fr-CI" w:eastAsia="zh-CN"/>
        </w:rPr>
        <w:t xml:space="preserve">                    </w:t>
      </w:r>
      <w:r>
        <w:rPr>
          <w:b/>
          <w:bCs/>
          <w:i/>
          <w:iCs/>
          <w:sz w:val="24"/>
          <w:szCs w:val="24"/>
          <w:lang w:val="fr-CI" w:eastAsia="zh-CN"/>
        </w:rPr>
        <w:t xml:space="preserve">            </w:t>
      </w:r>
      <w:r w:rsidRPr="00FD6785">
        <w:rPr>
          <w:b/>
          <w:bCs/>
          <w:i/>
          <w:iCs/>
          <w:sz w:val="24"/>
          <w:szCs w:val="24"/>
          <w:lang w:val="fr-CI" w:eastAsia="zh-CN"/>
        </w:rPr>
        <w:t xml:space="preserve"> </w:t>
      </w:r>
      <w:r w:rsidRPr="00FD6785">
        <w:rPr>
          <w:b/>
          <w:bCs/>
          <w:i/>
          <w:iCs/>
          <w:lang w:val="fr-CI" w:eastAsia="zh-CN"/>
        </w:rPr>
        <w:t>Tableau 2 : Répartition des enquêtés selon le sexe</w:t>
      </w:r>
    </w:p>
    <w:tbl>
      <w:tblPr>
        <w:tblStyle w:val="TableGrid02"/>
        <w:tblW w:w="5917" w:type="dxa"/>
        <w:tblInd w:w="1083" w:type="dxa"/>
        <w:tblLayout w:type="fixed"/>
        <w:tblLook w:val="0000" w:firstRow="0" w:lastRow="0" w:firstColumn="0" w:lastColumn="0" w:noHBand="0" w:noVBand="0"/>
      </w:tblPr>
      <w:tblGrid>
        <w:gridCol w:w="865"/>
        <w:gridCol w:w="1077"/>
        <w:gridCol w:w="1162"/>
        <w:gridCol w:w="1650"/>
        <w:gridCol w:w="1163"/>
      </w:tblGrid>
      <w:tr w:rsidR="00D80693" w14:paraId="38BC1318" w14:textId="77777777" w:rsidTr="00D72320">
        <w:trPr>
          <w:trHeight w:val="333"/>
        </w:trPr>
        <w:tc>
          <w:tcPr>
            <w:tcW w:w="5917" w:type="dxa"/>
            <w:gridSpan w:val="5"/>
          </w:tcPr>
          <w:p w14:paraId="7A1CAA3E" w14:textId="77777777" w:rsidR="00D80693" w:rsidRPr="0031444D" w:rsidRDefault="00D80693" w:rsidP="00E82F39">
            <w:pPr>
              <w:autoSpaceDE w:val="0"/>
              <w:autoSpaceDN w:val="0"/>
              <w:adjustRightInd w:val="0"/>
              <w:spacing w:before="120"/>
              <w:ind w:left="60" w:right="60"/>
              <w:jc w:val="center"/>
              <w:rPr>
                <w:rFonts w:ascii="Arial" w:hAnsi="Arial" w:cs="Arial"/>
                <w:color w:val="010205"/>
              </w:rPr>
            </w:pPr>
          </w:p>
        </w:tc>
      </w:tr>
      <w:tr w:rsidR="00D80693" w14:paraId="7507059E" w14:textId="77777777" w:rsidTr="00D72320">
        <w:trPr>
          <w:trHeight w:val="333"/>
        </w:trPr>
        <w:tc>
          <w:tcPr>
            <w:tcW w:w="5917" w:type="dxa"/>
            <w:gridSpan w:val="5"/>
          </w:tcPr>
          <w:p w14:paraId="22356240" w14:textId="77777777" w:rsidR="00D80693" w:rsidRPr="0031444D" w:rsidRDefault="00D80693" w:rsidP="00E82F39">
            <w:pPr>
              <w:autoSpaceDE w:val="0"/>
              <w:autoSpaceDN w:val="0"/>
              <w:adjustRightInd w:val="0"/>
              <w:spacing w:before="120"/>
            </w:pPr>
            <w:r w:rsidRPr="0031444D">
              <w:rPr>
                <w:rFonts w:ascii="Arial" w:hAnsi="Arial" w:cs="Arial"/>
                <w:color w:val="010205"/>
                <w:sz w:val="18"/>
                <w:szCs w:val="18"/>
                <w:shd w:val="clear" w:color="auto" w:fill="FFFFFF"/>
                <w:lang w:eastAsia="en-US"/>
              </w:rPr>
              <w:t xml:space="preserve">Effectif  </w:t>
            </w:r>
          </w:p>
        </w:tc>
      </w:tr>
      <w:tr w:rsidR="00D80693" w14:paraId="21539D6E" w14:textId="77777777" w:rsidTr="00D72320">
        <w:trPr>
          <w:trHeight w:val="333"/>
        </w:trPr>
        <w:tc>
          <w:tcPr>
            <w:tcW w:w="1942" w:type="dxa"/>
            <w:gridSpan w:val="2"/>
            <w:vMerge w:val="restart"/>
          </w:tcPr>
          <w:p w14:paraId="296F6C78" w14:textId="77777777" w:rsidR="00D80693" w:rsidRPr="0031444D" w:rsidRDefault="00D80693" w:rsidP="00E82F39">
            <w:pPr>
              <w:autoSpaceDE w:val="0"/>
              <w:autoSpaceDN w:val="0"/>
              <w:adjustRightInd w:val="0"/>
              <w:spacing w:before="120"/>
            </w:pPr>
          </w:p>
        </w:tc>
        <w:tc>
          <w:tcPr>
            <w:tcW w:w="2812" w:type="dxa"/>
            <w:gridSpan w:val="2"/>
          </w:tcPr>
          <w:p w14:paraId="32A10AFD" w14:textId="77777777" w:rsidR="00D80693" w:rsidRPr="0031444D" w:rsidRDefault="00D80693" w:rsidP="00E82F39">
            <w:pPr>
              <w:autoSpaceDE w:val="0"/>
              <w:autoSpaceDN w:val="0"/>
              <w:adjustRightInd w:val="0"/>
              <w:spacing w:before="120"/>
              <w:ind w:left="60" w:right="60"/>
              <w:jc w:val="center"/>
              <w:rPr>
                <w:rFonts w:ascii="Arial" w:hAnsi="Arial" w:cs="Arial"/>
                <w:sz w:val="18"/>
                <w:szCs w:val="18"/>
              </w:rPr>
            </w:pPr>
            <w:r w:rsidRPr="0031444D">
              <w:rPr>
                <w:rFonts w:ascii="Arial" w:hAnsi="Arial" w:cs="Arial"/>
                <w:sz w:val="18"/>
                <w:szCs w:val="18"/>
                <w:lang w:eastAsia="en-US"/>
              </w:rPr>
              <w:t>FRAUDE</w:t>
            </w:r>
          </w:p>
        </w:tc>
        <w:tc>
          <w:tcPr>
            <w:tcW w:w="1162" w:type="dxa"/>
            <w:vMerge w:val="restart"/>
          </w:tcPr>
          <w:p w14:paraId="672F6C1E" w14:textId="77777777" w:rsidR="00D80693" w:rsidRPr="0031444D" w:rsidRDefault="00D80693" w:rsidP="00E82F39">
            <w:pPr>
              <w:autoSpaceDE w:val="0"/>
              <w:autoSpaceDN w:val="0"/>
              <w:adjustRightInd w:val="0"/>
              <w:spacing w:before="120"/>
              <w:ind w:left="60" w:right="60"/>
              <w:jc w:val="center"/>
              <w:rPr>
                <w:rFonts w:ascii="Arial" w:hAnsi="Arial" w:cs="Arial"/>
                <w:color w:val="264A60"/>
                <w:sz w:val="18"/>
                <w:szCs w:val="18"/>
              </w:rPr>
            </w:pPr>
            <w:r w:rsidRPr="0031444D">
              <w:rPr>
                <w:rFonts w:ascii="Arial" w:hAnsi="Arial" w:cs="Arial"/>
                <w:sz w:val="18"/>
                <w:szCs w:val="18"/>
                <w:lang w:eastAsia="en-US"/>
              </w:rPr>
              <w:t>Total</w:t>
            </w:r>
          </w:p>
        </w:tc>
      </w:tr>
      <w:tr w:rsidR="00D80693" w14:paraId="7CC3C51F" w14:textId="77777777" w:rsidTr="00D72320">
        <w:trPr>
          <w:trHeight w:val="152"/>
        </w:trPr>
        <w:tc>
          <w:tcPr>
            <w:tcW w:w="1942" w:type="dxa"/>
            <w:gridSpan w:val="2"/>
            <w:vMerge/>
          </w:tcPr>
          <w:p w14:paraId="1FCB5955" w14:textId="77777777" w:rsidR="00D80693" w:rsidRPr="0031444D" w:rsidRDefault="00D80693" w:rsidP="00E82F39">
            <w:pPr>
              <w:autoSpaceDE w:val="0"/>
              <w:autoSpaceDN w:val="0"/>
              <w:adjustRightInd w:val="0"/>
              <w:spacing w:before="120"/>
              <w:rPr>
                <w:rFonts w:ascii="Arial" w:hAnsi="Arial" w:cs="Arial"/>
                <w:color w:val="264A60"/>
                <w:sz w:val="18"/>
                <w:szCs w:val="18"/>
              </w:rPr>
            </w:pPr>
          </w:p>
        </w:tc>
        <w:tc>
          <w:tcPr>
            <w:tcW w:w="1162" w:type="dxa"/>
          </w:tcPr>
          <w:p w14:paraId="572ED996" w14:textId="77777777" w:rsidR="00D80693" w:rsidRPr="0031444D" w:rsidRDefault="00D80693" w:rsidP="00E82F39">
            <w:pPr>
              <w:autoSpaceDE w:val="0"/>
              <w:autoSpaceDN w:val="0"/>
              <w:adjustRightInd w:val="0"/>
              <w:spacing w:before="120"/>
              <w:ind w:left="60" w:right="60"/>
              <w:jc w:val="center"/>
              <w:rPr>
                <w:rFonts w:ascii="Arial" w:hAnsi="Arial" w:cs="Arial"/>
                <w:sz w:val="18"/>
                <w:szCs w:val="18"/>
                <w:shd w:val="pct15" w:color="auto" w:fill="FFFFFF"/>
              </w:rPr>
            </w:pPr>
            <w:r w:rsidRPr="0031444D">
              <w:rPr>
                <w:rFonts w:ascii="Arial" w:hAnsi="Arial" w:cs="Arial"/>
                <w:sz w:val="18"/>
                <w:szCs w:val="18"/>
                <w:lang w:eastAsia="en-US"/>
              </w:rPr>
              <w:t>Fraude</w:t>
            </w:r>
          </w:p>
        </w:tc>
        <w:tc>
          <w:tcPr>
            <w:tcW w:w="1649" w:type="dxa"/>
          </w:tcPr>
          <w:p w14:paraId="3B5E22D0" w14:textId="77777777" w:rsidR="00D80693" w:rsidRPr="0031444D" w:rsidRDefault="00D80693" w:rsidP="00E82F39">
            <w:pPr>
              <w:autoSpaceDE w:val="0"/>
              <w:autoSpaceDN w:val="0"/>
              <w:adjustRightInd w:val="0"/>
              <w:spacing w:before="120"/>
              <w:ind w:left="60" w:right="60"/>
              <w:jc w:val="center"/>
              <w:rPr>
                <w:rFonts w:ascii="Arial" w:hAnsi="Arial" w:cs="Arial"/>
                <w:sz w:val="18"/>
                <w:szCs w:val="18"/>
              </w:rPr>
            </w:pPr>
            <w:r w:rsidRPr="0031444D">
              <w:rPr>
                <w:rFonts w:ascii="Arial" w:hAnsi="Arial" w:cs="Arial"/>
                <w:sz w:val="18"/>
                <w:szCs w:val="18"/>
                <w:lang w:eastAsia="en-US"/>
              </w:rPr>
              <w:t>Ne fraude pas</w:t>
            </w:r>
          </w:p>
        </w:tc>
        <w:tc>
          <w:tcPr>
            <w:tcW w:w="1162" w:type="dxa"/>
            <w:vMerge/>
          </w:tcPr>
          <w:p w14:paraId="256A5ECE" w14:textId="77777777" w:rsidR="00D80693" w:rsidRPr="0031444D" w:rsidRDefault="00D80693" w:rsidP="00E82F39">
            <w:pPr>
              <w:autoSpaceDE w:val="0"/>
              <w:autoSpaceDN w:val="0"/>
              <w:adjustRightInd w:val="0"/>
              <w:spacing w:before="120"/>
              <w:rPr>
                <w:rFonts w:ascii="Arial" w:hAnsi="Arial" w:cs="Arial"/>
                <w:color w:val="264A60"/>
                <w:sz w:val="18"/>
                <w:szCs w:val="18"/>
              </w:rPr>
            </w:pPr>
          </w:p>
        </w:tc>
      </w:tr>
      <w:tr w:rsidR="00D80693" w14:paraId="230A8A0B" w14:textId="77777777" w:rsidTr="00D72320">
        <w:trPr>
          <w:trHeight w:val="333"/>
        </w:trPr>
        <w:tc>
          <w:tcPr>
            <w:tcW w:w="865" w:type="dxa"/>
            <w:vMerge w:val="restart"/>
          </w:tcPr>
          <w:p w14:paraId="7D6E309E" w14:textId="77777777" w:rsidR="00D80693" w:rsidRPr="0031444D" w:rsidRDefault="00D80693" w:rsidP="00E82F39">
            <w:pPr>
              <w:autoSpaceDE w:val="0"/>
              <w:autoSpaceDN w:val="0"/>
              <w:adjustRightInd w:val="0"/>
              <w:spacing w:before="120"/>
              <w:ind w:left="60" w:right="60"/>
              <w:rPr>
                <w:rFonts w:ascii="Arial" w:hAnsi="Arial" w:cs="Arial"/>
                <w:sz w:val="18"/>
                <w:szCs w:val="18"/>
              </w:rPr>
            </w:pPr>
            <w:r w:rsidRPr="0031444D">
              <w:rPr>
                <w:rFonts w:ascii="Arial" w:hAnsi="Arial" w:cs="Arial"/>
                <w:sz w:val="18"/>
                <w:szCs w:val="18"/>
                <w:lang w:eastAsia="en-US"/>
              </w:rPr>
              <w:t>SEXE</w:t>
            </w:r>
          </w:p>
        </w:tc>
        <w:tc>
          <w:tcPr>
            <w:tcW w:w="1076" w:type="dxa"/>
          </w:tcPr>
          <w:p w14:paraId="074C0F12" w14:textId="77777777" w:rsidR="00D80693" w:rsidRPr="0031444D" w:rsidRDefault="00D80693" w:rsidP="00E82F39">
            <w:pPr>
              <w:autoSpaceDE w:val="0"/>
              <w:autoSpaceDN w:val="0"/>
              <w:adjustRightInd w:val="0"/>
              <w:spacing w:before="120"/>
              <w:ind w:left="60" w:right="60"/>
              <w:rPr>
                <w:rFonts w:ascii="Arial" w:hAnsi="Arial" w:cs="Arial"/>
                <w:sz w:val="18"/>
                <w:szCs w:val="18"/>
              </w:rPr>
            </w:pPr>
            <w:r w:rsidRPr="0031444D">
              <w:rPr>
                <w:rFonts w:ascii="Arial" w:hAnsi="Arial" w:cs="Arial"/>
                <w:sz w:val="18"/>
                <w:szCs w:val="18"/>
                <w:lang w:eastAsia="en-US"/>
              </w:rPr>
              <w:t>Garçon</w:t>
            </w:r>
          </w:p>
        </w:tc>
        <w:tc>
          <w:tcPr>
            <w:tcW w:w="1162" w:type="dxa"/>
          </w:tcPr>
          <w:p w14:paraId="0BEAC7C9"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sidRPr="0031444D">
              <w:rPr>
                <w:rFonts w:ascii="Arial" w:hAnsi="Arial" w:cs="Arial"/>
                <w:color w:val="010205"/>
                <w:sz w:val="18"/>
                <w:szCs w:val="18"/>
                <w:lang w:eastAsia="en-US"/>
              </w:rPr>
              <w:t>1</w:t>
            </w:r>
            <w:r>
              <w:rPr>
                <w:rFonts w:ascii="Arial" w:hAnsi="Arial" w:cs="Arial"/>
                <w:color w:val="010205"/>
                <w:sz w:val="18"/>
                <w:szCs w:val="18"/>
                <w:lang w:eastAsia="en-US"/>
              </w:rPr>
              <w:t>19</w:t>
            </w:r>
          </w:p>
        </w:tc>
        <w:tc>
          <w:tcPr>
            <w:tcW w:w="1649" w:type="dxa"/>
          </w:tcPr>
          <w:p w14:paraId="48FF1DDF"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Pr>
                <w:rFonts w:ascii="Arial" w:hAnsi="Arial" w:cs="Arial"/>
                <w:color w:val="010205"/>
                <w:sz w:val="18"/>
                <w:szCs w:val="18"/>
                <w:lang w:eastAsia="en-US"/>
              </w:rPr>
              <w:t>31</w:t>
            </w:r>
          </w:p>
        </w:tc>
        <w:tc>
          <w:tcPr>
            <w:tcW w:w="1162" w:type="dxa"/>
          </w:tcPr>
          <w:p w14:paraId="7E29C229"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sidRPr="0031444D">
              <w:rPr>
                <w:rFonts w:ascii="Arial" w:hAnsi="Arial" w:cs="Arial"/>
                <w:color w:val="010205"/>
                <w:sz w:val="18"/>
                <w:szCs w:val="18"/>
                <w:lang w:eastAsia="en-US"/>
              </w:rPr>
              <w:t>150</w:t>
            </w:r>
          </w:p>
        </w:tc>
      </w:tr>
      <w:tr w:rsidR="00D80693" w14:paraId="44237C19" w14:textId="77777777" w:rsidTr="00D72320">
        <w:trPr>
          <w:trHeight w:val="152"/>
        </w:trPr>
        <w:tc>
          <w:tcPr>
            <w:tcW w:w="865" w:type="dxa"/>
            <w:vMerge/>
          </w:tcPr>
          <w:p w14:paraId="665E983E" w14:textId="77777777" w:rsidR="00D80693" w:rsidRPr="0031444D" w:rsidRDefault="00D80693" w:rsidP="00E82F39">
            <w:pPr>
              <w:autoSpaceDE w:val="0"/>
              <w:autoSpaceDN w:val="0"/>
              <w:adjustRightInd w:val="0"/>
              <w:spacing w:before="120"/>
              <w:rPr>
                <w:rFonts w:ascii="Arial" w:hAnsi="Arial" w:cs="Arial"/>
                <w:sz w:val="18"/>
                <w:szCs w:val="18"/>
              </w:rPr>
            </w:pPr>
          </w:p>
        </w:tc>
        <w:tc>
          <w:tcPr>
            <w:tcW w:w="1076" w:type="dxa"/>
          </w:tcPr>
          <w:p w14:paraId="560370F7" w14:textId="77777777" w:rsidR="00D80693" w:rsidRPr="0031444D" w:rsidRDefault="00D80693" w:rsidP="00E82F39">
            <w:pPr>
              <w:autoSpaceDE w:val="0"/>
              <w:autoSpaceDN w:val="0"/>
              <w:adjustRightInd w:val="0"/>
              <w:spacing w:before="120"/>
              <w:ind w:left="60" w:right="60"/>
              <w:rPr>
                <w:rFonts w:ascii="Arial" w:hAnsi="Arial" w:cs="Arial"/>
                <w:sz w:val="18"/>
                <w:szCs w:val="18"/>
              </w:rPr>
            </w:pPr>
            <w:r w:rsidRPr="0031444D">
              <w:rPr>
                <w:rFonts w:ascii="Arial" w:hAnsi="Arial" w:cs="Arial"/>
                <w:sz w:val="18"/>
                <w:szCs w:val="18"/>
                <w:lang w:eastAsia="en-US"/>
              </w:rPr>
              <w:t>Femme</w:t>
            </w:r>
          </w:p>
        </w:tc>
        <w:tc>
          <w:tcPr>
            <w:tcW w:w="1162" w:type="dxa"/>
          </w:tcPr>
          <w:p w14:paraId="5D11A9E4"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Pr>
                <w:rFonts w:ascii="Arial" w:hAnsi="Arial" w:cs="Arial"/>
                <w:color w:val="010205"/>
                <w:sz w:val="18"/>
                <w:szCs w:val="18"/>
                <w:lang w:eastAsia="en-US"/>
              </w:rPr>
              <w:t>27</w:t>
            </w:r>
          </w:p>
        </w:tc>
        <w:tc>
          <w:tcPr>
            <w:tcW w:w="1649" w:type="dxa"/>
          </w:tcPr>
          <w:p w14:paraId="09AF7AD4"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Pr>
                <w:rFonts w:ascii="Arial" w:hAnsi="Arial" w:cs="Arial"/>
                <w:color w:val="010205"/>
                <w:sz w:val="18"/>
                <w:szCs w:val="18"/>
                <w:lang w:eastAsia="en-US"/>
              </w:rPr>
              <w:t>123</w:t>
            </w:r>
          </w:p>
        </w:tc>
        <w:tc>
          <w:tcPr>
            <w:tcW w:w="1162" w:type="dxa"/>
          </w:tcPr>
          <w:p w14:paraId="2C07D92E"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sidRPr="0031444D">
              <w:rPr>
                <w:rFonts w:ascii="Arial" w:hAnsi="Arial" w:cs="Arial"/>
                <w:color w:val="010205"/>
                <w:sz w:val="18"/>
                <w:szCs w:val="18"/>
                <w:lang w:eastAsia="en-US"/>
              </w:rPr>
              <w:t>150</w:t>
            </w:r>
          </w:p>
        </w:tc>
      </w:tr>
      <w:tr w:rsidR="00D80693" w14:paraId="24754CD3" w14:textId="77777777" w:rsidTr="00D72320">
        <w:trPr>
          <w:trHeight w:val="333"/>
        </w:trPr>
        <w:tc>
          <w:tcPr>
            <w:tcW w:w="1942" w:type="dxa"/>
            <w:gridSpan w:val="2"/>
          </w:tcPr>
          <w:p w14:paraId="205CA260" w14:textId="77777777" w:rsidR="00D80693" w:rsidRPr="0031444D" w:rsidRDefault="00D80693" w:rsidP="00E82F39">
            <w:pPr>
              <w:autoSpaceDE w:val="0"/>
              <w:autoSpaceDN w:val="0"/>
              <w:adjustRightInd w:val="0"/>
              <w:spacing w:before="120"/>
              <w:ind w:left="60" w:right="60"/>
              <w:rPr>
                <w:rFonts w:ascii="Arial" w:hAnsi="Arial" w:cs="Arial"/>
                <w:sz w:val="18"/>
                <w:szCs w:val="18"/>
              </w:rPr>
            </w:pPr>
            <w:r w:rsidRPr="0031444D">
              <w:rPr>
                <w:rFonts w:ascii="Arial" w:hAnsi="Arial" w:cs="Arial"/>
                <w:sz w:val="18"/>
                <w:szCs w:val="18"/>
                <w:lang w:eastAsia="en-US"/>
              </w:rPr>
              <w:t>Total</w:t>
            </w:r>
          </w:p>
        </w:tc>
        <w:tc>
          <w:tcPr>
            <w:tcW w:w="1162" w:type="dxa"/>
          </w:tcPr>
          <w:p w14:paraId="1CCE07CE"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sidRPr="0031444D">
              <w:rPr>
                <w:rFonts w:ascii="Arial" w:hAnsi="Arial" w:cs="Arial"/>
                <w:color w:val="010205"/>
                <w:sz w:val="18"/>
                <w:szCs w:val="18"/>
                <w:lang w:eastAsia="en-US"/>
              </w:rPr>
              <w:t>1</w:t>
            </w:r>
            <w:r>
              <w:rPr>
                <w:rFonts w:ascii="Arial" w:hAnsi="Arial" w:cs="Arial"/>
                <w:color w:val="010205"/>
                <w:sz w:val="18"/>
                <w:szCs w:val="18"/>
                <w:lang w:eastAsia="en-US"/>
              </w:rPr>
              <w:t>46</w:t>
            </w:r>
          </w:p>
        </w:tc>
        <w:tc>
          <w:tcPr>
            <w:tcW w:w="1649" w:type="dxa"/>
          </w:tcPr>
          <w:p w14:paraId="270E35E4"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Pr>
                <w:rFonts w:ascii="Arial" w:hAnsi="Arial" w:cs="Arial"/>
                <w:color w:val="010205"/>
                <w:sz w:val="18"/>
                <w:szCs w:val="18"/>
                <w:lang w:eastAsia="en-US"/>
              </w:rPr>
              <w:t>154</w:t>
            </w:r>
          </w:p>
        </w:tc>
        <w:tc>
          <w:tcPr>
            <w:tcW w:w="1162" w:type="dxa"/>
          </w:tcPr>
          <w:p w14:paraId="67362D50" w14:textId="77777777" w:rsidR="00D80693" w:rsidRPr="0031444D" w:rsidRDefault="00D80693" w:rsidP="00E82F39">
            <w:pPr>
              <w:autoSpaceDE w:val="0"/>
              <w:autoSpaceDN w:val="0"/>
              <w:adjustRightInd w:val="0"/>
              <w:spacing w:before="120"/>
              <w:ind w:left="60" w:right="60"/>
              <w:jc w:val="right"/>
              <w:rPr>
                <w:rFonts w:ascii="Arial" w:hAnsi="Arial" w:cs="Arial"/>
                <w:color w:val="010205"/>
                <w:sz w:val="18"/>
                <w:szCs w:val="18"/>
              </w:rPr>
            </w:pPr>
            <w:r w:rsidRPr="0031444D">
              <w:rPr>
                <w:rFonts w:ascii="Arial" w:hAnsi="Arial" w:cs="Arial"/>
                <w:color w:val="010205"/>
                <w:sz w:val="18"/>
                <w:szCs w:val="18"/>
                <w:lang w:eastAsia="en-US"/>
              </w:rPr>
              <w:t>300</w:t>
            </w:r>
          </w:p>
        </w:tc>
      </w:tr>
    </w:tbl>
    <w:p w14:paraId="431110AC" w14:textId="77777777" w:rsidR="00D80693" w:rsidRPr="002E3014" w:rsidRDefault="00D80693" w:rsidP="00E82F39">
      <w:pPr>
        <w:spacing w:before="120" w:after="100" w:afterAutospacing="1"/>
        <w:rPr>
          <w:lang w:val="fr-CI" w:eastAsia="zh-CN"/>
        </w:rPr>
      </w:pPr>
      <w:r>
        <w:rPr>
          <w:sz w:val="24"/>
          <w:szCs w:val="24"/>
          <w:lang w:val="fr-CI" w:eastAsia="zh-CN"/>
        </w:rPr>
        <w:t xml:space="preserve">                                   </w:t>
      </w:r>
      <w:r w:rsidRPr="002E3014">
        <w:rPr>
          <w:i/>
          <w:iCs/>
          <w:lang w:val="fr-CI" w:eastAsia="zh-CN"/>
        </w:rPr>
        <w:t>Source : Koffi N’Guessan Williams (2025)</w:t>
      </w:r>
    </w:p>
    <w:p w14:paraId="00B95E0C" w14:textId="77777777" w:rsidR="00D80693" w:rsidRPr="002B5435" w:rsidRDefault="00D80693" w:rsidP="00E82F39">
      <w:pPr>
        <w:spacing w:before="120" w:after="100" w:afterAutospacing="1"/>
        <w:jc w:val="both"/>
        <w:rPr>
          <w:sz w:val="24"/>
          <w:szCs w:val="24"/>
          <w:lang w:val="fr-CI" w:eastAsia="zh-CN"/>
        </w:rPr>
      </w:pPr>
      <w:r>
        <w:rPr>
          <w:sz w:val="24"/>
          <w:szCs w:val="24"/>
          <w:lang w:val="fr-CI" w:eastAsia="zh-CN"/>
        </w:rPr>
        <w:t xml:space="preserve">Les résultats révèlent une différence marquée entre les sexes en ce qui concerne les comportements frauduleux lors des examens nationaux du Brevet d’Études du Premier Cycle (BEPC) et du Baccalauréat (BAC). Sur un total de 300 élèves interrogés, répartis équitablement entre 150 garçons et 150 filles, 119 garçons (soit 79,3 %) ont reconnu avoir fraudé, contre seulement 27 filles (18 %). À l’inverse, 123 filles (82 %) déclarent ne pas avoir fraudé, contre 31 garçons (20,7 %). Le test du Khi-deux présente une valeur de 110,49, et le V de Cramer, égal à 0,607, indique un lien fort entre le sexe et la fraude. Ces résultats montrent une forte prédominance masculine dans les pratiques de fraude. Plusieurs facteurs peuvent expliquer cette tendance : une plus grande propension à la prise de risque chez les garçons, une pression sociale différenciée ou encore des modèles de réussite contrastés entre les sexes, comme le relèvent </w:t>
      </w:r>
      <w:proofErr w:type="spellStart"/>
      <w:r w:rsidRPr="002B5435">
        <w:rPr>
          <w:rFonts w:eastAsia="DengXian Light"/>
          <w:sz w:val="24"/>
          <w:szCs w:val="24"/>
          <w:lang w:val="fr-CI" w:eastAsia="zh-CN"/>
        </w:rPr>
        <w:t>Tchindjang</w:t>
      </w:r>
      <w:proofErr w:type="spellEnd"/>
      <w:r w:rsidRPr="002B5435">
        <w:rPr>
          <w:rFonts w:eastAsia="DengXian Light"/>
          <w:sz w:val="24"/>
          <w:szCs w:val="24"/>
          <w:lang w:val="fr-CI" w:eastAsia="zh-CN"/>
        </w:rPr>
        <w:t>, M., et Ngoma, P. (2020)</w:t>
      </w:r>
      <w:r w:rsidRPr="002B5435">
        <w:rPr>
          <w:b/>
          <w:bCs/>
          <w:sz w:val="24"/>
          <w:szCs w:val="24"/>
          <w:lang w:val="fr-CI" w:eastAsia="zh-CN"/>
        </w:rPr>
        <w:t>.</w:t>
      </w:r>
      <w:r>
        <w:rPr>
          <w:sz w:val="24"/>
          <w:szCs w:val="24"/>
          <w:lang w:val="fr-CI" w:eastAsia="zh-CN"/>
        </w:rPr>
        <w:t xml:space="preserve"> Ce constat est également corroboré par des études antérieures montrant que les garçons, souvent socialisés dans des logiques de compétition et de performance immédiate, sont généralement plus enclins à enfreindre les règles scolaires pour atteindre leurs objectifs </w:t>
      </w:r>
      <w:r w:rsidRPr="002B5435">
        <w:rPr>
          <w:b/>
          <w:bCs/>
          <w:sz w:val="24"/>
          <w:szCs w:val="24"/>
          <w:lang w:val="fr-CI" w:eastAsia="zh-CN"/>
        </w:rPr>
        <w:t>(</w:t>
      </w:r>
      <w:r w:rsidRPr="002B5435">
        <w:rPr>
          <w:rFonts w:eastAsia="DengXian Light"/>
          <w:sz w:val="24"/>
          <w:szCs w:val="24"/>
          <w:lang w:val="fr-CI" w:eastAsia="zh-CN"/>
        </w:rPr>
        <w:t>Bandura, A., 1977</w:t>
      </w:r>
      <w:r w:rsidRPr="002B5435">
        <w:rPr>
          <w:b/>
          <w:bCs/>
          <w:sz w:val="24"/>
          <w:szCs w:val="24"/>
          <w:lang w:val="fr-CI" w:eastAsia="zh-CN"/>
        </w:rPr>
        <w:t>).</w:t>
      </w:r>
    </w:p>
    <w:p w14:paraId="62599161" w14:textId="77777777" w:rsidR="00D80693" w:rsidRPr="00DD31B4" w:rsidRDefault="00D80693" w:rsidP="00E82F39">
      <w:pPr>
        <w:spacing w:before="120"/>
        <w:rPr>
          <w:b/>
          <w:bCs/>
          <w:sz w:val="24"/>
          <w:szCs w:val="24"/>
          <w:lang w:val="fr-CI" w:eastAsia="zh-CN"/>
        </w:rPr>
      </w:pPr>
      <w:r>
        <w:rPr>
          <w:b/>
          <w:bCs/>
          <w:sz w:val="36"/>
          <w:szCs w:val="36"/>
          <w:lang w:val="fr-CI" w:eastAsia="zh-CN"/>
        </w:rPr>
        <w:t xml:space="preserve">             </w:t>
      </w:r>
      <w:r w:rsidRPr="00DD31B4">
        <w:rPr>
          <w:b/>
          <w:bCs/>
          <w:sz w:val="24"/>
          <w:szCs w:val="24"/>
          <w:lang w:val="fr-CI" w:eastAsia="zh-CN"/>
        </w:rPr>
        <w:t>2.2.2. Environnement familial et fraude</w:t>
      </w:r>
    </w:p>
    <w:p w14:paraId="212B17B9" w14:textId="77777777" w:rsidR="00D80693" w:rsidRPr="00141761" w:rsidRDefault="00D80693" w:rsidP="00E82F39">
      <w:pPr>
        <w:spacing w:before="120"/>
        <w:jc w:val="both"/>
        <w:rPr>
          <w:rFonts w:eastAsia="Aptos"/>
          <w:kern w:val="2"/>
          <w:sz w:val="24"/>
          <w:szCs w:val="24"/>
          <w:lang w:val="fr-CI"/>
          <w14:ligatures w14:val="standardContextual"/>
        </w:rPr>
      </w:pPr>
      <w:r w:rsidRPr="00DD31B4">
        <w:rPr>
          <w:rFonts w:eastAsia="Aptos"/>
          <w:kern w:val="2"/>
          <w:sz w:val="24"/>
          <w:szCs w:val="24"/>
          <w:lang w:val="fr-CI"/>
          <w14:ligatures w14:val="standardContextual"/>
        </w:rPr>
        <w:t>L’environnement familial joue un rôle déterminant dans les comportements des élèves face à la fraude aux examens. Selon</w:t>
      </w:r>
      <w:r w:rsidRPr="00DD31B4">
        <w:rPr>
          <w:rFonts w:eastAsia="Aptos"/>
          <w:noProof/>
          <w:kern w:val="2"/>
          <w:sz w:val="24"/>
          <w:szCs w:val="24"/>
          <w14:ligatures w14:val="standardContextual"/>
        </w:rPr>
        <w:t xml:space="preserve"> Coleman, J. (1988)</w:t>
      </w:r>
      <w:r w:rsidRPr="00DD31B4">
        <w:rPr>
          <w:rFonts w:eastAsia="Aptos"/>
          <w:kern w:val="2"/>
          <w:sz w:val="24"/>
          <w:szCs w:val="24"/>
          <w:lang w:val="fr-CI"/>
          <w14:ligatures w14:val="standardContextual"/>
        </w:rPr>
        <w:t xml:space="preserve">, le capital social présent dans la famille contribue à la transmission des valeurs et à la régulation des conduites scolaires. Ainsi, un foyer stable et un encadrement parental strict limitent le recours à des pratiques déviantes, comme le souligne </w:t>
      </w:r>
      <w:r w:rsidRPr="00DD31B4">
        <w:rPr>
          <w:rFonts w:eastAsia="Aptos"/>
          <w:noProof/>
          <w:kern w:val="2"/>
          <w:sz w:val="24"/>
          <w:szCs w:val="24"/>
          <w14:ligatures w14:val="standardContextual"/>
        </w:rPr>
        <w:t>Bourdieu , P. (1986).</w:t>
      </w:r>
      <w:r w:rsidRPr="00DD31B4">
        <w:rPr>
          <w:rFonts w:eastAsia="Aptos"/>
          <w:kern w:val="2"/>
          <w:sz w:val="24"/>
          <w:szCs w:val="24"/>
          <w:lang w:val="fr-CI"/>
          <w14:ligatures w14:val="standardContextual"/>
        </w:rPr>
        <w:t xml:space="preserve"> Le manque de suivi parental ou une organisation familiale déséquilibrée expose davantage les élèves à la fraude</w:t>
      </w:r>
      <w:bookmarkStart w:id="232" w:name="_Hlk208351104"/>
      <w:r w:rsidRPr="00DD31B4">
        <w:rPr>
          <w:rFonts w:eastAsia="Aptos"/>
          <w:kern w:val="2"/>
          <w:sz w:val="24"/>
          <w:szCs w:val="24"/>
          <w:lang w:val="fr-CI"/>
          <w14:ligatures w14:val="standardContextual"/>
        </w:rPr>
        <w:t xml:space="preserve"> </w:t>
      </w:r>
      <w:r>
        <w:rPr>
          <w:rFonts w:eastAsia="Aptos"/>
          <w:kern w:val="2"/>
          <w:sz w:val="24"/>
          <w:szCs w:val="24"/>
          <w:lang w:val="fr-CI"/>
          <w14:ligatures w14:val="standardContextual"/>
        </w:rPr>
        <w:t>(</w:t>
      </w:r>
      <w:r w:rsidRPr="00DD31B4">
        <w:rPr>
          <w:rFonts w:eastAsia="Aptos"/>
          <w:noProof/>
          <w:kern w:val="2"/>
          <w:sz w:val="24"/>
          <w:szCs w:val="24"/>
          <w14:ligatures w14:val="standardContextual"/>
        </w:rPr>
        <w:t>Durkheim, E.</w:t>
      </w:r>
      <w:r>
        <w:rPr>
          <w:rFonts w:eastAsia="Aptos"/>
          <w:noProof/>
          <w:kern w:val="2"/>
          <w:sz w:val="24"/>
          <w:szCs w:val="24"/>
          <w14:ligatures w14:val="standardContextual"/>
        </w:rPr>
        <w:t>,</w:t>
      </w:r>
      <w:r w:rsidRPr="00DD31B4">
        <w:rPr>
          <w:rFonts w:eastAsia="Aptos"/>
          <w:noProof/>
          <w:kern w:val="2"/>
          <w:sz w:val="24"/>
          <w:szCs w:val="24"/>
          <w14:ligatures w14:val="standardContextual"/>
        </w:rPr>
        <w:t xml:space="preserve"> 1996)</w:t>
      </w:r>
      <w:r w:rsidRPr="00DD31B4">
        <w:rPr>
          <w:rFonts w:eastAsia="Aptos"/>
          <w:b/>
          <w:bCs/>
          <w:kern w:val="2"/>
          <w:sz w:val="24"/>
          <w:szCs w:val="24"/>
          <w:lang w:val="fr-CI"/>
          <w14:ligatures w14:val="standardContextual"/>
        </w:rPr>
        <w:t>.</w:t>
      </w:r>
      <w:r w:rsidRPr="00DD31B4">
        <w:rPr>
          <w:rFonts w:eastAsia="Aptos"/>
          <w:kern w:val="2"/>
          <w:sz w:val="24"/>
          <w:szCs w:val="24"/>
          <w:lang w:val="fr-CI"/>
          <w14:ligatures w14:val="standardContextual"/>
        </w:rPr>
        <w:t xml:space="preserve"> </w:t>
      </w:r>
      <w:bookmarkEnd w:id="232"/>
      <w:r w:rsidRPr="00DD31B4">
        <w:rPr>
          <w:rFonts w:eastAsia="Aptos"/>
          <w:kern w:val="2"/>
          <w:sz w:val="24"/>
          <w:szCs w:val="24"/>
          <w:lang w:val="fr-CI"/>
          <w14:ligatures w14:val="standardContextual"/>
        </w:rPr>
        <w:t>Le comportement frauduleux des élèves est souvent acquis par observation et imitation, surtout dans un contexte où la famille manifeste une certaine tolérance</w:t>
      </w:r>
      <w:r w:rsidRPr="00DD31B4">
        <w:rPr>
          <w:rFonts w:eastAsia="Aptos"/>
          <w:noProof/>
          <w:kern w:val="2"/>
          <w:sz w:val="24"/>
          <w:szCs w:val="24"/>
          <w14:ligatures w14:val="standardContextual"/>
        </w:rPr>
        <w:t xml:space="preserve"> </w:t>
      </w:r>
      <w:r>
        <w:rPr>
          <w:rFonts w:eastAsia="Aptos"/>
          <w:noProof/>
          <w:kern w:val="2"/>
          <w:sz w:val="24"/>
          <w:szCs w:val="24"/>
          <w14:ligatures w14:val="standardContextual"/>
        </w:rPr>
        <w:t>(</w:t>
      </w:r>
      <w:r w:rsidRPr="00DD31B4">
        <w:rPr>
          <w:rFonts w:eastAsia="Aptos"/>
          <w:noProof/>
          <w:kern w:val="2"/>
          <w:sz w:val="24"/>
          <w:szCs w:val="24"/>
          <w14:ligatures w14:val="standardContextual"/>
        </w:rPr>
        <w:t>Bandura, A.</w:t>
      </w:r>
      <w:r>
        <w:rPr>
          <w:rFonts w:eastAsia="Aptos"/>
          <w:noProof/>
          <w:kern w:val="2"/>
          <w:sz w:val="24"/>
          <w:szCs w:val="24"/>
          <w14:ligatures w14:val="standardContextual"/>
        </w:rPr>
        <w:t>,</w:t>
      </w:r>
      <w:r w:rsidRPr="00DD31B4">
        <w:rPr>
          <w:rFonts w:eastAsia="Aptos"/>
          <w:noProof/>
          <w:kern w:val="2"/>
          <w:sz w:val="24"/>
          <w:szCs w:val="24"/>
          <w14:ligatures w14:val="standardContextual"/>
        </w:rPr>
        <w:t xml:space="preserve"> 1977).</w:t>
      </w:r>
      <w:r w:rsidRPr="00DD31B4">
        <w:rPr>
          <w:rFonts w:eastAsia="Aptos"/>
          <w:kern w:val="2"/>
          <w:sz w:val="24"/>
          <w:szCs w:val="24"/>
          <w:lang w:val="fr-CI"/>
          <w14:ligatures w14:val="standardContextual"/>
        </w:rPr>
        <w:t xml:space="preserve"> Le tableau suivant présente la répartition des enquêtés selon le type d’environnement et leur implication dans la fraude scolaire.</w:t>
      </w:r>
    </w:p>
    <w:tbl>
      <w:tblPr>
        <w:tblpPr w:vertAnchor="text" w:horzAnchor="margin" w:tblpXSpec="center" w:tblpY="111"/>
        <w:tblW w:w="6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3"/>
        <w:gridCol w:w="777"/>
        <w:gridCol w:w="932"/>
        <w:gridCol w:w="1330"/>
        <w:gridCol w:w="934"/>
      </w:tblGrid>
      <w:tr w:rsidR="00D80693" w14:paraId="0034EDA4" w14:textId="77777777" w:rsidTr="000C3C8C">
        <w:trPr>
          <w:trHeight w:val="368"/>
        </w:trPr>
        <w:tc>
          <w:tcPr>
            <w:tcW w:w="6236" w:type="dxa"/>
            <w:gridSpan w:val="5"/>
            <w:tcBorders>
              <w:top w:val="nil"/>
              <w:left w:val="nil"/>
              <w:bottom w:val="nil"/>
              <w:right w:val="nil"/>
            </w:tcBorders>
            <w:shd w:val="clear" w:color="auto" w:fill="FFFFFF"/>
            <w:vAlign w:val="bottom"/>
          </w:tcPr>
          <w:p w14:paraId="0D39DF37" w14:textId="77777777" w:rsidR="00D80693" w:rsidRPr="003E128A" w:rsidRDefault="00D80693" w:rsidP="00E82F39">
            <w:pPr>
              <w:spacing w:before="120"/>
              <w:jc w:val="center"/>
              <w:rPr>
                <w:rFonts w:eastAsia="Aptos"/>
                <w:b/>
                <w:bCs/>
                <w:i/>
                <w:iCs/>
                <w:kern w:val="2"/>
                <w:lang w:val="fr-CI"/>
                <w14:ligatures w14:val="standardContextual"/>
              </w:rPr>
            </w:pPr>
            <w:r w:rsidRPr="003E128A">
              <w:rPr>
                <w:rFonts w:eastAsia="Aptos"/>
                <w:b/>
                <w:bCs/>
                <w:i/>
                <w:iCs/>
                <w:kern w:val="2"/>
                <w:lang w:val="fr-CI"/>
                <w14:ligatures w14:val="standardContextual"/>
              </w:rPr>
              <w:t>Tableau 3 : Répartition des enquêtés selon l’environnement familial et la fraude aux examens du BEPC et du BAC</w:t>
            </w:r>
          </w:p>
        </w:tc>
      </w:tr>
      <w:tr w:rsidR="00D80693" w14:paraId="0205F1D6" w14:textId="77777777" w:rsidTr="000C3C8C">
        <w:trPr>
          <w:trHeight w:val="351"/>
        </w:trPr>
        <w:tc>
          <w:tcPr>
            <w:tcW w:w="3040" w:type="dxa"/>
            <w:gridSpan w:val="2"/>
            <w:vMerge w:val="restart"/>
            <w:tcBorders>
              <w:top w:val="single" w:sz="16" w:space="0" w:color="000000"/>
              <w:left w:val="single" w:sz="16" w:space="0" w:color="000000"/>
              <w:bottom w:val="nil"/>
              <w:right w:val="nil"/>
            </w:tcBorders>
            <w:shd w:val="clear" w:color="auto" w:fill="FFFFFF"/>
          </w:tcPr>
          <w:p w14:paraId="098D69F3" w14:textId="77777777" w:rsidR="00D80693" w:rsidRPr="003E128A" w:rsidRDefault="00D80693" w:rsidP="00E82F39">
            <w:pPr>
              <w:spacing w:before="120"/>
              <w:rPr>
                <w:rFonts w:eastAsia="Aptos"/>
                <w:kern w:val="2"/>
                <w:sz w:val="24"/>
                <w:szCs w:val="24"/>
                <w:lang w:val="fr-CI"/>
                <w14:ligatures w14:val="standardContextual"/>
              </w:rPr>
            </w:pPr>
            <w:r w:rsidRPr="003E128A">
              <w:rPr>
                <w:rFonts w:ascii="Arial" w:eastAsia="Aptos" w:hAnsi="Arial" w:cs="Arial"/>
                <w:color w:val="000000"/>
                <w:kern w:val="2"/>
                <w:sz w:val="18"/>
                <w:szCs w:val="18"/>
                <w:lang w:val="fr-CI"/>
                <w14:ligatures w14:val="standardContextual"/>
              </w:rPr>
              <w:t>Environnement familial</w:t>
            </w:r>
          </w:p>
        </w:tc>
        <w:tc>
          <w:tcPr>
            <w:tcW w:w="2262" w:type="dxa"/>
            <w:gridSpan w:val="2"/>
            <w:tcBorders>
              <w:top w:val="single" w:sz="16" w:space="0" w:color="000000"/>
              <w:left w:val="single" w:sz="16" w:space="0" w:color="000000"/>
            </w:tcBorders>
            <w:shd w:val="clear" w:color="auto" w:fill="FFFFFF"/>
          </w:tcPr>
          <w:p w14:paraId="112639B1"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934" w:type="dxa"/>
            <w:vMerge w:val="restart"/>
            <w:tcBorders>
              <w:top w:val="single" w:sz="16" w:space="0" w:color="000000"/>
              <w:right w:val="single" w:sz="16" w:space="0" w:color="000000"/>
            </w:tcBorders>
            <w:shd w:val="clear" w:color="auto" w:fill="FFFFFF"/>
          </w:tcPr>
          <w:p w14:paraId="027FF5D1"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r>
      <w:tr w:rsidR="00D80693" w14:paraId="37C432DF" w14:textId="77777777" w:rsidTr="000C3C8C">
        <w:trPr>
          <w:trHeight w:val="160"/>
        </w:trPr>
        <w:tc>
          <w:tcPr>
            <w:tcW w:w="3040" w:type="dxa"/>
            <w:gridSpan w:val="2"/>
            <w:vMerge/>
            <w:tcBorders>
              <w:top w:val="single" w:sz="16" w:space="0" w:color="000000"/>
              <w:left w:val="single" w:sz="16" w:space="0" w:color="000000"/>
              <w:bottom w:val="nil"/>
              <w:right w:val="nil"/>
            </w:tcBorders>
            <w:shd w:val="clear" w:color="auto" w:fill="FFFFFF"/>
          </w:tcPr>
          <w:p w14:paraId="391B6298"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c>
          <w:tcPr>
            <w:tcW w:w="932" w:type="dxa"/>
            <w:tcBorders>
              <w:left w:val="single" w:sz="16" w:space="0" w:color="000000"/>
              <w:bottom w:val="single" w:sz="16" w:space="0" w:color="000000"/>
            </w:tcBorders>
            <w:shd w:val="clear" w:color="auto" w:fill="FFFFFF"/>
          </w:tcPr>
          <w:p w14:paraId="6AA22AC1"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1330" w:type="dxa"/>
            <w:tcBorders>
              <w:bottom w:val="single" w:sz="16" w:space="0" w:color="000000"/>
            </w:tcBorders>
            <w:shd w:val="clear" w:color="auto" w:fill="FFFFFF"/>
          </w:tcPr>
          <w:p w14:paraId="6A4F1E47"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Pas de fraude</w:t>
            </w:r>
          </w:p>
        </w:tc>
        <w:tc>
          <w:tcPr>
            <w:tcW w:w="934" w:type="dxa"/>
            <w:vMerge/>
            <w:tcBorders>
              <w:top w:val="single" w:sz="16" w:space="0" w:color="000000"/>
              <w:right w:val="single" w:sz="16" w:space="0" w:color="000000"/>
            </w:tcBorders>
            <w:shd w:val="clear" w:color="auto" w:fill="FFFFFF"/>
          </w:tcPr>
          <w:p w14:paraId="784986C5"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r>
      <w:tr w:rsidR="00D80693" w14:paraId="736B07F1" w14:textId="77777777" w:rsidTr="000C3C8C">
        <w:trPr>
          <w:trHeight w:val="351"/>
        </w:trPr>
        <w:tc>
          <w:tcPr>
            <w:tcW w:w="2263" w:type="dxa"/>
            <w:vMerge w:val="restart"/>
            <w:tcBorders>
              <w:top w:val="single" w:sz="16" w:space="0" w:color="000000"/>
              <w:left w:val="single" w:sz="16" w:space="0" w:color="000000"/>
              <w:bottom w:val="nil"/>
              <w:right w:val="nil"/>
            </w:tcBorders>
            <w:shd w:val="clear" w:color="auto" w:fill="FFFFFF"/>
            <w:vAlign w:val="center"/>
          </w:tcPr>
          <w:p w14:paraId="7CE05FDD"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p>
        </w:tc>
        <w:tc>
          <w:tcPr>
            <w:tcW w:w="777" w:type="dxa"/>
            <w:tcBorders>
              <w:top w:val="single" w:sz="16" w:space="0" w:color="000000"/>
              <w:left w:val="nil"/>
              <w:bottom w:val="nil"/>
              <w:right w:val="single" w:sz="16" w:space="0" w:color="000000"/>
            </w:tcBorders>
            <w:shd w:val="clear" w:color="auto" w:fill="FFFFFF"/>
            <w:vAlign w:val="center"/>
          </w:tcPr>
          <w:p w14:paraId="46CA8CBB"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Positif</w:t>
            </w:r>
          </w:p>
        </w:tc>
        <w:tc>
          <w:tcPr>
            <w:tcW w:w="932" w:type="dxa"/>
            <w:tcBorders>
              <w:top w:val="single" w:sz="16" w:space="0" w:color="000000"/>
              <w:left w:val="single" w:sz="16" w:space="0" w:color="000000"/>
              <w:bottom w:val="nil"/>
            </w:tcBorders>
            <w:shd w:val="clear" w:color="auto" w:fill="FFFFFF"/>
          </w:tcPr>
          <w:p w14:paraId="6385CE0E"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19</w:t>
            </w:r>
          </w:p>
        </w:tc>
        <w:tc>
          <w:tcPr>
            <w:tcW w:w="1330" w:type="dxa"/>
            <w:tcBorders>
              <w:top w:val="single" w:sz="16" w:space="0" w:color="000000"/>
              <w:bottom w:val="nil"/>
            </w:tcBorders>
            <w:shd w:val="clear" w:color="auto" w:fill="FFFFFF"/>
          </w:tcPr>
          <w:p w14:paraId="1F3ECD0C"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123</w:t>
            </w:r>
          </w:p>
        </w:tc>
        <w:tc>
          <w:tcPr>
            <w:tcW w:w="934" w:type="dxa"/>
            <w:tcBorders>
              <w:top w:val="single" w:sz="16" w:space="0" w:color="000000"/>
              <w:bottom w:val="nil"/>
              <w:right w:val="single" w:sz="16" w:space="0" w:color="000000"/>
            </w:tcBorders>
            <w:shd w:val="clear" w:color="auto" w:fill="FFFFFF"/>
          </w:tcPr>
          <w:p w14:paraId="474D16A8"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 xml:space="preserve">      142</w:t>
            </w:r>
          </w:p>
        </w:tc>
      </w:tr>
      <w:tr w:rsidR="00D80693" w14:paraId="61569FED" w14:textId="77777777" w:rsidTr="000C3C8C">
        <w:trPr>
          <w:trHeight w:val="160"/>
        </w:trPr>
        <w:tc>
          <w:tcPr>
            <w:tcW w:w="2263" w:type="dxa"/>
            <w:vMerge/>
            <w:tcBorders>
              <w:top w:val="single" w:sz="16" w:space="0" w:color="000000"/>
              <w:left w:val="single" w:sz="16" w:space="0" w:color="000000"/>
              <w:bottom w:val="nil"/>
              <w:right w:val="nil"/>
            </w:tcBorders>
            <w:shd w:val="clear" w:color="auto" w:fill="FFFFFF"/>
            <w:vAlign w:val="center"/>
          </w:tcPr>
          <w:p w14:paraId="6C1C8B61"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c>
          <w:tcPr>
            <w:tcW w:w="777" w:type="dxa"/>
            <w:tcBorders>
              <w:top w:val="nil"/>
              <w:left w:val="nil"/>
              <w:bottom w:val="nil"/>
              <w:right w:val="single" w:sz="16" w:space="0" w:color="000000"/>
            </w:tcBorders>
            <w:shd w:val="clear" w:color="auto" w:fill="FFFFFF"/>
            <w:vAlign w:val="center"/>
          </w:tcPr>
          <w:p w14:paraId="1E1BF88F"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Négatif</w:t>
            </w:r>
          </w:p>
        </w:tc>
        <w:tc>
          <w:tcPr>
            <w:tcW w:w="932" w:type="dxa"/>
            <w:tcBorders>
              <w:top w:val="nil"/>
              <w:left w:val="single" w:sz="16" w:space="0" w:color="000000"/>
              <w:bottom w:val="nil"/>
            </w:tcBorders>
            <w:shd w:val="clear" w:color="auto" w:fill="FFFFFF"/>
          </w:tcPr>
          <w:p w14:paraId="321B4437"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106</w:t>
            </w:r>
          </w:p>
        </w:tc>
        <w:tc>
          <w:tcPr>
            <w:tcW w:w="1330" w:type="dxa"/>
            <w:tcBorders>
              <w:top w:val="nil"/>
              <w:bottom w:val="nil"/>
            </w:tcBorders>
            <w:shd w:val="clear" w:color="auto" w:fill="FFFFFF"/>
          </w:tcPr>
          <w:p w14:paraId="5B14C9A5"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52</w:t>
            </w:r>
          </w:p>
        </w:tc>
        <w:tc>
          <w:tcPr>
            <w:tcW w:w="934" w:type="dxa"/>
            <w:tcBorders>
              <w:top w:val="nil"/>
              <w:bottom w:val="nil"/>
              <w:right w:val="single" w:sz="16" w:space="0" w:color="000000"/>
            </w:tcBorders>
            <w:shd w:val="clear" w:color="auto" w:fill="FFFFFF"/>
          </w:tcPr>
          <w:p w14:paraId="4788ACB6"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 xml:space="preserve">      158     </w:t>
            </w:r>
          </w:p>
        </w:tc>
      </w:tr>
      <w:tr w:rsidR="00D80693" w14:paraId="47C41CDD" w14:textId="77777777" w:rsidTr="000C3C8C">
        <w:trPr>
          <w:trHeight w:val="351"/>
        </w:trPr>
        <w:tc>
          <w:tcPr>
            <w:tcW w:w="3040" w:type="dxa"/>
            <w:gridSpan w:val="2"/>
            <w:tcBorders>
              <w:top w:val="nil"/>
              <w:left w:val="single" w:sz="16" w:space="0" w:color="000000"/>
              <w:bottom w:val="single" w:sz="16" w:space="0" w:color="000000"/>
              <w:right w:val="nil"/>
            </w:tcBorders>
            <w:shd w:val="clear" w:color="auto" w:fill="FFFFFF"/>
            <w:vAlign w:val="center"/>
          </w:tcPr>
          <w:p w14:paraId="534230D2"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c>
          <w:tcPr>
            <w:tcW w:w="932" w:type="dxa"/>
            <w:tcBorders>
              <w:top w:val="nil"/>
              <w:left w:val="single" w:sz="16" w:space="0" w:color="000000"/>
              <w:bottom w:val="single" w:sz="16" w:space="0" w:color="000000"/>
            </w:tcBorders>
            <w:shd w:val="clear" w:color="auto" w:fill="FFFFFF"/>
          </w:tcPr>
          <w:p w14:paraId="2D57CD72"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125</w:t>
            </w:r>
          </w:p>
        </w:tc>
        <w:tc>
          <w:tcPr>
            <w:tcW w:w="1330" w:type="dxa"/>
            <w:tcBorders>
              <w:top w:val="nil"/>
              <w:bottom w:val="single" w:sz="16" w:space="0" w:color="000000"/>
            </w:tcBorders>
            <w:shd w:val="clear" w:color="auto" w:fill="FFFFFF"/>
          </w:tcPr>
          <w:p w14:paraId="1C714A22"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175</w:t>
            </w:r>
          </w:p>
        </w:tc>
        <w:tc>
          <w:tcPr>
            <w:tcW w:w="934" w:type="dxa"/>
            <w:tcBorders>
              <w:top w:val="nil"/>
              <w:bottom w:val="single" w:sz="16" w:space="0" w:color="000000"/>
              <w:right w:val="single" w:sz="16" w:space="0" w:color="000000"/>
            </w:tcBorders>
            <w:shd w:val="clear" w:color="auto" w:fill="FFFFFF"/>
          </w:tcPr>
          <w:p w14:paraId="4135CB46"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300</w:t>
            </w:r>
          </w:p>
        </w:tc>
      </w:tr>
    </w:tbl>
    <w:p w14:paraId="49941B5B" w14:textId="77777777" w:rsidR="00D80693" w:rsidRPr="003E128A" w:rsidRDefault="00D80693" w:rsidP="00E82F39">
      <w:pPr>
        <w:spacing w:before="120"/>
        <w:jc w:val="both"/>
        <w:rPr>
          <w:rFonts w:eastAsia="Aptos"/>
          <w:kern w:val="2"/>
          <w:sz w:val="24"/>
          <w:szCs w:val="24"/>
          <w:lang w:val="fr-CI"/>
          <w14:ligatures w14:val="standardContextual"/>
        </w:rPr>
      </w:pPr>
    </w:p>
    <w:p w14:paraId="51EA606D" w14:textId="77777777" w:rsidR="00D80693" w:rsidRPr="003E128A" w:rsidRDefault="00D80693" w:rsidP="00E82F39">
      <w:pPr>
        <w:spacing w:before="120"/>
        <w:jc w:val="both"/>
        <w:rPr>
          <w:rFonts w:eastAsia="Aptos"/>
          <w:kern w:val="2"/>
          <w:sz w:val="24"/>
          <w:szCs w:val="24"/>
          <w:lang w:val="fr-CI"/>
          <w14:ligatures w14:val="standardContextual"/>
        </w:rPr>
      </w:pPr>
    </w:p>
    <w:p w14:paraId="278224CB" w14:textId="77777777" w:rsidR="00D80693" w:rsidRPr="003E128A" w:rsidRDefault="00D80693" w:rsidP="00E82F39">
      <w:pPr>
        <w:spacing w:before="120"/>
        <w:jc w:val="both"/>
        <w:rPr>
          <w:rFonts w:eastAsia="Aptos"/>
          <w:kern w:val="2"/>
          <w:sz w:val="24"/>
          <w:szCs w:val="24"/>
          <w:lang w:val="fr-CI"/>
          <w14:ligatures w14:val="standardContextual"/>
        </w:rPr>
      </w:pPr>
    </w:p>
    <w:p w14:paraId="46CA4880" w14:textId="77777777" w:rsidR="00D80693" w:rsidRPr="003E128A" w:rsidRDefault="00D80693" w:rsidP="00E82F39">
      <w:pPr>
        <w:spacing w:before="120"/>
        <w:jc w:val="both"/>
        <w:rPr>
          <w:rFonts w:eastAsia="Aptos"/>
          <w:kern w:val="2"/>
          <w:sz w:val="24"/>
          <w:szCs w:val="24"/>
          <w:lang w:val="fr-CI"/>
          <w14:ligatures w14:val="standardContextual"/>
        </w:rPr>
      </w:pPr>
    </w:p>
    <w:p w14:paraId="594C3EA6" w14:textId="77777777" w:rsidR="00D80693" w:rsidRPr="003E128A" w:rsidRDefault="00D80693" w:rsidP="00E82F39">
      <w:pPr>
        <w:spacing w:before="120"/>
        <w:jc w:val="both"/>
        <w:rPr>
          <w:rFonts w:eastAsia="Aptos"/>
          <w:kern w:val="2"/>
          <w:sz w:val="24"/>
          <w:szCs w:val="24"/>
          <w:lang w:val="fr-CI"/>
          <w14:ligatures w14:val="standardContextual"/>
        </w:rPr>
      </w:pPr>
    </w:p>
    <w:p w14:paraId="5D0C5293" w14:textId="77777777" w:rsidR="00D80693" w:rsidRPr="003E128A" w:rsidRDefault="00D80693" w:rsidP="00E82F39">
      <w:pPr>
        <w:spacing w:before="120"/>
        <w:rPr>
          <w:rFonts w:eastAsia="Aptos"/>
          <w:kern w:val="2"/>
          <w:sz w:val="24"/>
          <w:szCs w:val="24"/>
          <w:lang w:val="fr-CI"/>
          <w14:ligatures w14:val="standardContextual"/>
        </w:rPr>
      </w:pPr>
    </w:p>
    <w:p w14:paraId="3CC8BD4D" w14:textId="77777777" w:rsidR="00D80693" w:rsidRPr="003E128A" w:rsidRDefault="00D80693" w:rsidP="00E82F39">
      <w:pPr>
        <w:spacing w:before="120"/>
        <w:rPr>
          <w:rFonts w:eastAsia="Aptos"/>
          <w:b/>
          <w:bCs/>
          <w:i/>
          <w:iCs/>
          <w:kern w:val="2"/>
          <w:lang w:val="fr-CI"/>
          <w14:ligatures w14:val="standardContextual"/>
        </w:rPr>
      </w:pPr>
      <w:r w:rsidRPr="003E128A">
        <w:rPr>
          <w:rFonts w:eastAsia="Aptos"/>
          <w:b/>
          <w:bCs/>
          <w:i/>
          <w:iCs/>
          <w:kern w:val="2"/>
          <w:lang w:val="fr-CI"/>
          <w14:ligatures w14:val="standardContextual"/>
        </w:rPr>
        <w:t xml:space="preserve">               </w:t>
      </w:r>
      <w:r w:rsidRPr="003E128A">
        <w:rPr>
          <w:rFonts w:eastAsia="Aptos"/>
          <w:i/>
          <w:iCs/>
          <w:kern w:val="2"/>
          <w:lang w:val="fr-CI"/>
          <w14:ligatures w14:val="standardContextual"/>
        </w:rPr>
        <w:t>Source : Koffi n’Guessan Williams, (2025)</w:t>
      </w:r>
    </w:p>
    <w:p w14:paraId="7C12FC06" w14:textId="77777777" w:rsidR="00D80693" w:rsidRPr="00B1770E" w:rsidRDefault="00D80693" w:rsidP="00E82F39">
      <w:pPr>
        <w:spacing w:before="120" w:after="100" w:afterAutospacing="1"/>
        <w:jc w:val="both"/>
        <w:rPr>
          <w:sz w:val="24"/>
          <w:szCs w:val="24"/>
          <w:lang w:val="fr-CI" w:eastAsia="zh-CN"/>
        </w:rPr>
      </w:pPr>
      <w:r>
        <w:rPr>
          <w:sz w:val="24"/>
          <w:szCs w:val="24"/>
          <w:lang w:val="fr-CI" w:eastAsia="zh-CN"/>
        </w:rPr>
        <w:t>Les résultats obtenus mettent en évidence un lien significatif entre l’environnement familial perçu par les élèves et leur implication dans des pratiques de fraude aux examens. Sur un échantillon de 300 élèves interrogés, 142 ont déclaré évoluer dans un environnement familial perçu comme positif, tandis que 158 ont évoqué un environnement familial négatif. Parmi ceux issus d’un cadre familial positif, seuls 19 élèves (13,4 %) ont reconnu avoir fraudé, contre 106 élèves (67,1 %) évoluant dans un environnement familial négatif. De même, 123 élèves bénéficiant d’un encadrement sain n’ont pas eu recours à la fraude, contre 52 élèves dans un environnement défavorable ou précaire. Le test du Khi-deux, égal à 86,56, confirme la significativité de la relation entre les types d’environnement familial et la fraude, tandis que le V de Cramer, égal à 0,537, indique une association moyenne. Ces résultats montrent que la qualité de l’environnement familial influence fortement les attitudes des élèves face à la fraude : un cadre instable ou peu encadrant favorise nettement les comportements frauduleux.</w:t>
      </w:r>
    </w:p>
    <w:p w14:paraId="7F5B7633" w14:textId="77777777" w:rsidR="00D80693" w:rsidRPr="003E128A" w:rsidRDefault="00D80693" w:rsidP="00E82F39">
      <w:pPr>
        <w:spacing w:before="120"/>
        <w:rPr>
          <w:b/>
          <w:bCs/>
          <w:sz w:val="24"/>
          <w:szCs w:val="24"/>
          <w:lang w:val="fr-CI" w:eastAsia="zh-CN"/>
        </w:rPr>
      </w:pPr>
      <w:r w:rsidRPr="003E128A">
        <w:rPr>
          <w:b/>
          <w:bCs/>
          <w:sz w:val="24"/>
          <w:szCs w:val="24"/>
          <w:lang w:val="fr-CI" w:eastAsia="zh-CN"/>
        </w:rPr>
        <w:t>2.2.3. Niveau socioéconomique familial</w:t>
      </w:r>
    </w:p>
    <w:p w14:paraId="72D284D3" w14:textId="77777777" w:rsidR="00D80693" w:rsidRDefault="00D80693" w:rsidP="00E82F39">
      <w:pPr>
        <w:spacing w:before="120" w:after="100" w:afterAutospacing="1"/>
        <w:jc w:val="both"/>
        <w:rPr>
          <w:sz w:val="24"/>
          <w:szCs w:val="24"/>
          <w:lang w:val="fr-CI" w:eastAsia="zh-CN"/>
        </w:rPr>
      </w:pPr>
      <w:r>
        <w:rPr>
          <w:sz w:val="24"/>
          <w:szCs w:val="24"/>
          <w:lang w:val="fr-CI" w:eastAsia="zh-CN"/>
        </w:rPr>
        <w:t>Le niveau socioéconomique familial est l’un des déterminants majeurs des conduites scolaires, notamment en ce qui concerne la fraude aux examens. Selon Coleman J.S. (1988), les ressources économiques et sociales disponibles au sein des familles influencent le capital social accessible à l’élève, ce qui conditionne ses attitudes, ses efforts et ses stratégies face aux exigences scolaires. De même, la théorie du triangle de la fraude de Cressey D. (1953) indique que des contextes marqués par la pression et la faiblesse des soutiens éducatifs peuvent augmenter la propension à adopter des comportements frauduleux. Ainsi, les conditions matérielles, l’accès aux ressources pédagogiques et le climat socioéducatif du foyer expliquent en partie les différences de comportements observées entre les élèves. Le tableau ci-après présente la répartition des élèves selon leur niveau socioéconomique familial et leur implication déclarée dans la fraude aux examens du BEPC et du BAC.</w:t>
      </w:r>
    </w:p>
    <w:p w14:paraId="27DCB596" w14:textId="77777777" w:rsidR="00D80693" w:rsidRPr="003E128A" w:rsidRDefault="00D80693" w:rsidP="00E82F39">
      <w:pPr>
        <w:spacing w:before="120"/>
        <w:jc w:val="center"/>
        <w:rPr>
          <w:rFonts w:eastAsia="Aptos"/>
          <w:b/>
          <w:bCs/>
          <w:i/>
          <w:iCs/>
          <w:kern w:val="2"/>
          <w:lang w:val="fr-CI"/>
          <w14:ligatures w14:val="standardContextual"/>
        </w:rPr>
      </w:pPr>
      <w:r w:rsidRPr="003E128A">
        <w:rPr>
          <w:rFonts w:eastAsia="Aptos"/>
          <w:b/>
          <w:bCs/>
          <w:i/>
          <w:iCs/>
          <w:kern w:val="2"/>
          <w:lang w:val="fr-CI"/>
          <w14:ligatures w14:val="standardContextual"/>
        </w:rPr>
        <w:t>Tableau 4 : Répartition des enquêtés selon le niveau socioéconomique familial sur la fréquence de la fraude aux examens du BEPC et du BAC</w:t>
      </w:r>
    </w:p>
    <w:tbl>
      <w:tblPr>
        <w:tblW w:w="6429" w:type="dxa"/>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34"/>
        <w:gridCol w:w="801"/>
        <w:gridCol w:w="961"/>
        <w:gridCol w:w="1372"/>
        <w:gridCol w:w="961"/>
      </w:tblGrid>
      <w:tr w:rsidR="00D80693" w14:paraId="210CDB1C" w14:textId="77777777" w:rsidTr="00D72320">
        <w:trPr>
          <w:trHeight w:val="354"/>
        </w:trPr>
        <w:tc>
          <w:tcPr>
            <w:tcW w:w="3135" w:type="dxa"/>
            <w:gridSpan w:val="2"/>
            <w:vMerge w:val="restart"/>
            <w:tcBorders>
              <w:top w:val="single" w:sz="16" w:space="0" w:color="000000"/>
              <w:left w:val="single" w:sz="16" w:space="0" w:color="000000"/>
              <w:bottom w:val="nil"/>
              <w:right w:val="nil"/>
            </w:tcBorders>
            <w:shd w:val="clear" w:color="auto" w:fill="FFFFFF"/>
          </w:tcPr>
          <w:p w14:paraId="592EF0B1" w14:textId="77777777" w:rsidR="00D80693" w:rsidRPr="003E128A" w:rsidRDefault="00D80693" w:rsidP="00E82F39">
            <w:pPr>
              <w:spacing w:before="120"/>
              <w:rPr>
                <w:rFonts w:eastAsia="Aptos"/>
                <w:kern w:val="2"/>
                <w:sz w:val="24"/>
                <w:szCs w:val="24"/>
                <w:lang w:val="fr-CI"/>
                <w14:ligatures w14:val="standardContextual"/>
              </w:rPr>
            </w:pPr>
            <w:r w:rsidRPr="003E128A">
              <w:rPr>
                <w:rFonts w:ascii="Arial" w:eastAsia="Aptos" w:hAnsi="Arial" w:cs="Arial"/>
                <w:color w:val="000000"/>
                <w:kern w:val="2"/>
                <w:sz w:val="18"/>
                <w:szCs w:val="18"/>
                <w:lang w:val="fr-CI"/>
                <w14:ligatures w14:val="standardContextual"/>
              </w:rPr>
              <w:t>Niveau socioéconomique familial</w:t>
            </w:r>
          </w:p>
        </w:tc>
        <w:tc>
          <w:tcPr>
            <w:tcW w:w="2333" w:type="dxa"/>
            <w:gridSpan w:val="2"/>
            <w:tcBorders>
              <w:top w:val="single" w:sz="16" w:space="0" w:color="000000"/>
              <w:left w:val="single" w:sz="16" w:space="0" w:color="000000"/>
            </w:tcBorders>
            <w:shd w:val="clear" w:color="auto" w:fill="FFFFFF"/>
          </w:tcPr>
          <w:p w14:paraId="78D48ECA"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961" w:type="dxa"/>
            <w:vMerge w:val="restart"/>
            <w:tcBorders>
              <w:top w:val="single" w:sz="16" w:space="0" w:color="000000"/>
              <w:right w:val="single" w:sz="16" w:space="0" w:color="000000"/>
            </w:tcBorders>
            <w:shd w:val="clear" w:color="auto" w:fill="FFFFFF"/>
          </w:tcPr>
          <w:p w14:paraId="0D76C915"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r>
      <w:tr w:rsidR="00D80693" w14:paraId="6AC0F3BE" w14:textId="77777777" w:rsidTr="00D72320">
        <w:trPr>
          <w:trHeight w:val="162"/>
        </w:trPr>
        <w:tc>
          <w:tcPr>
            <w:tcW w:w="3135" w:type="dxa"/>
            <w:gridSpan w:val="2"/>
            <w:vMerge/>
            <w:tcBorders>
              <w:top w:val="single" w:sz="16" w:space="0" w:color="000000"/>
              <w:left w:val="single" w:sz="16" w:space="0" w:color="000000"/>
              <w:bottom w:val="nil"/>
              <w:right w:val="nil"/>
            </w:tcBorders>
            <w:shd w:val="clear" w:color="auto" w:fill="FFFFFF"/>
          </w:tcPr>
          <w:p w14:paraId="053E88A8"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c>
          <w:tcPr>
            <w:tcW w:w="961" w:type="dxa"/>
            <w:tcBorders>
              <w:left w:val="single" w:sz="16" w:space="0" w:color="000000"/>
              <w:bottom w:val="single" w:sz="16" w:space="0" w:color="000000"/>
            </w:tcBorders>
            <w:shd w:val="clear" w:color="auto" w:fill="FFFFFF"/>
          </w:tcPr>
          <w:p w14:paraId="4B0D5372"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1372" w:type="dxa"/>
            <w:tcBorders>
              <w:bottom w:val="single" w:sz="16" w:space="0" w:color="000000"/>
            </w:tcBorders>
            <w:shd w:val="clear" w:color="auto" w:fill="FFFFFF"/>
          </w:tcPr>
          <w:p w14:paraId="59472204" w14:textId="77777777" w:rsidR="00D80693" w:rsidRPr="003E128A" w:rsidRDefault="00D80693" w:rsidP="00E82F39">
            <w:pPr>
              <w:spacing w:before="120"/>
              <w:ind w:left="60" w:right="60"/>
              <w:jc w:val="center"/>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Pas de fraude</w:t>
            </w:r>
          </w:p>
        </w:tc>
        <w:tc>
          <w:tcPr>
            <w:tcW w:w="961" w:type="dxa"/>
            <w:vMerge/>
            <w:tcBorders>
              <w:top w:val="single" w:sz="16" w:space="0" w:color="000000"/>
              <w:right w:val="single" w:sz="16" w:space="0" w:color="000000"/>
            </w:tcBorders>
            <w:shd w:val="clear" w:color="auto" w:fill="FFFFFF"/>
          </w:tcPr>
          <w:p w14:paraId="18F0D8FC"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r>
      <w:tr w:rsidR="00D80693" w14:paraId="1B1889A4" w14:textId="77777777" w:rsidTr="00D72320">
        <w:trPr>
          <w:trHeight w:val="354"/>
        </w:trPr>
        <w:tc>
          <w:tcPr>
            <w:tcW w:w="2334" w:type="dxa"/>
            <w:vMerge w:val="restart"/>
            <w:tcBorders>
              <w:top w:val="single" w:sz="16" w:space="0" w:color="000000"/>
              <w:left w:val="single" w:sz="16" w:space="0" w:color="000000"/>
              <w:bottom w:val="nil"/>
              <w:right w:val="nil"/>
            </w:tcBorders>
            <w:shd w:val="clear" w:color="auto" w:fill="FFFFFF"/>
            <w:vAlign w:val="center"/>
          </w:tcPr>
          <w:p w14:paraId="0753A2B5"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p>
        </w:tc>
        <w:tc>
          <w:tcPr>
            <w:tcW w:w="801" w:type="dxa"/>
            <w:tcBorders>
              <w:top w:val="single" w:sz="16" w:space="0" w:color="000000"/>
              <w:left w:val="nil"/>
              <w:bottom w:val="nil"/>
              <w:right w:val="single" w:sz="16" w:space="0" w:color="000000"/>
            </w:tcBorders>
            <w:shd w:val="clear" w:color="auto" w:fill="FFFFFF"/>
            <w:vAlign w:val="center"/>
          </w:tcPr>
          <w:p w14:paraId="2E95B5B3" w14:textId="77777777" w:rsidR="00D80693" w:rsidRPr="003E128A" w:rsidRDefault="00D80693" w:rsidP="00E82F39">
            <w:pPr>
              <w:spacing w:before="120"/>
              <w:ind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 xml:space="preserve"> Faible</w:t>
            </w:r>
          </w:p>
        </w:tc>
        <w:tc>
          <w:tcPr>
            <w:tcW w:w="961" w:type="dxa"/>
            <w:tcBorders>
              <w:top w:val="single" w:sz="16" w:space="0" w:color="000000"/>
              <w:left w:val="single" w:sz="16" w:space="0" w:color="000000"/>
              <w:bottom w:val="nil"/>
            </w:tcBorders>
            <w:shd w:val="clear" w:color="auto" w:fill="FFFFFF"/>
          </w:tcPr>
          <w:p w14:paraId="4068537E"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123</w:t>
            </w:r>
          </w:p>
        </w:tc>
        <w:tc>
          <w:tcPr>
            <w:tcW w:w="1372" w:type="dxa"/>
            <w:tcBorders>
              <w:top w:val="single" w:sz="16" w:space="0" w:color="000000"/>
              <w:bottom w:val="nil"/>
            </w:tcBorders>
            <w:shd w:val="clear" w:color="auto" w:fill="FFFFFF"/>
          </w:tcPr>
          <w:p w14:paraId="7D57DCD7"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15</w:t>
            </w:r>
          </w:p>
        </w:tc>
        <w:tc>
          <w:tcPr>
            <w:tcW w:w="961" w:type="dxa"/>
            <w:tcBorders>
              <w:top w:val="single" w:sz="16" w:space="0" w:color="000000"/>
              <w:bottom w:val="nil"/>
              <w:right w:val="single" w:sz="16" w:space="0" w:color="000000"/>
            </w:tcBorders>
            <w:shd w:val="clear" w:color="auto" w:fill="FFFFFF"/>
          </w:tcPr>
          <w:p w14:paraId="2EC01CAB"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138</w:t>
            </w:r>
          </w:p>
        </w:tc>
      </w:tr>
      <w:tr w:rsidR="00D80693" w14:paraId="5C3D62E2" w14:textId="77777777" w:rsidTr="00D72320">
        <w:trPr>
          <w:trHeight w:val="162"/>
        </w:trPr>
        <w:tc>
          <w:tcPr>
            <w:tcW w:w="2334" w:type="dxa"/>
            <w:vMerge/>
            <w:tcBorders>
              <w:top w:val="single" w:sz="16" w:space="0" w:color="000000"/>
              <w:left w:val="single" w:sz="16" w:space="0" w:color="000000"/>
              <w:bottom w:val="nil"/>
              <w:right w:val="nil"/>
            </w:tcBorders>
            <w:shd w:val="clear" w:color="auto" w:fill="FFFFFF"/>
            <w:vAlign w:val="center"/>
          </w:tcPr>
          <w:p w14:paraId="176510ED"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c>
          <w:tcPr>
            <w:tcW w:w="801" w:type="dxa"/>
            <w:tcBorders>
              <w:top w:val="nil"/>
              <w:left w:val="nil"/>
              <w:bottom w:val="nil"/>
              <w:right w:val="single" w:sz="16" w:space="0" w:color="000000"/>
            </w:tcBorders>
            <w:shd w:val="clear" w:color="auto" w:fill="FFFFFF"/>
            <w:vAlign w:val="center"/>
          </w:tcPr>
          <w:p w14:paraId="1B471E5B"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Moyen</w:t>
            </w:r>
          </w:p>
        </w:tc>
        <w:tc>
          <w:tcPr>
            <w:tcW w:w="961" w:type="dxa"/>
            <w:tcBorders>
              <w:top w:val="nil"/>
              <w:left w:val="single" w:sz="16" w:space="0" w:color="000000"/>
              <w:bottom w:val="nil"/>
            </w:tcBorders>
            <w:shd w:val="clear" w:color="auto" w:fill="FFFFFF"/>
          </w:tcPr>
          <w:p w14:paraId="12643CC3"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36</w:t>
            </w:r>
          </w:p>
        </w:tc>
        <w:tc>
          <w:tcPr>
            <w:tcW w:w="1372" w:type="dxa"/>
            <w:tcBorders>
              <w:top w:val="nil"/>
              <w:bottom w:val="nil"/>
            </w:tcBorders>
            <w:shd w:val="clear" w:color="auto" w:fill="FFFFFF"/>
          </w:tcPr>
          <w:p w14:paraId="2A7BC50E"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23</w:t>
            </w:r>
          </w:p>
        </w:tc>
        <w:tc>
          <w:tcPr>
            <w:tcW w:w="961" w:type="dxa"/>
            <w:tcBorders>
              <w:top w:val="nil"/>
              <w:bottom w:val="nil"/>
              <w:right w:val="single" w:sz="16" w:space="0" w:color="000000"/>
            </w:tcBorders>
            <w:shd w:val="clear" w:color="auto" w:fill="FFFFFF"/>
          </w:tcPr>
          <w:p w14:paraId="6943771C"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59</w:t>
            </w:r>
          </w:p>
        </w:tc>
      </w:tr>
      <w:tr w:rsidR="00D80693" w14:paraId="1A3A80DF" w14:textId="77777777" w:rsidTr="00D72320">
        <w:trPr>
          <w:trHeight w:val="162"/>
        </w:trPr>
        <w:tc>
          <w:tcPr>
            <w:tcW w:w="2334" w:type="dxa"/>
            <w:vMerge/>
            <w:tcBorders>
              <w:top w:val="single" w:sz="16" w:space="0" w:color="000000"/>
              <w:left w:val="single" w:sz="16" w:space="0" w:color="000000"/>
              <w:bottom w:val="nil"/>
              <w:right w:val="nil"/>
            </w:tcBorders>
            <w:shd w:val="clear" w:color="auto" w:fill="FFFFFF"/>
            <w:vAlign w:val="center"/>
          </w:tcPr>
          <w:p w14:paraId="3A075FA7" w14:textId="77777777" w:rsidR="00D80693" w:rsidRPr="003E128A" w:rsidRDefault="00D80693" w:rsidP="00E82F39">
            <w:pPr>
              <w:spacing w:before="120"/>
              <w:rPr>
                <w:rFonts w:ascii="Arial" w:eastAsia="Aptos" w:hAnsi="Arial" w:cs="Arial"/>
                <w:color w:val="000000"/>
                <w:kern w:val="2"/>
                <w:sz w:val="18"/>
                <w:szCs w:val="18"/>
                <w:lang w:val="fr-CI"/>
                <w14:ligatures w14:val="standardContextual"/>
              </w:rPr>
            </w:pPr>
          </w:p>
        </w:tc>
        <w:tc>
          <w:tcPr>
            <w:tcW w:w="801" w:type="dxa"/>
            <w:tcBorders>
              <w:top w:val="nil"/>
              <w:left w:val="nil"/>
              <w:bottom w:val="nil"/>
              <w:right w:val="single" w:sz="16" w:space="0" w:color="000000"/>
            </w:tcBorders>
            <w:shd w:val="clear" w:color="auto" w:fill="FFFFFF"/>
            <w:vAlign w:val="center"/>
          </w:tcPr>
          <w:p w14:paraId="47ED648E"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Élevé</w:t>
            </w:r>
          </w:p>
        </w:tc>
        <w:tc>
          <w:tcPr>
            <w:tcW w:w="961" w:type="dxa"/>
            <w:tcBorders>
              <w:top w:val="nil"/>
              <w:left w:val="single" w:sz="16" w:space="0" w:color="000000"/>
              <w:bottom w:val="nil"/>
            </w:tcBorders>
            <w:shd w:val="clear" w:color="auto" w:fill="FFFFFF"/>
          </w:tcPr>
          <w:p w14:paraId="79378216"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31</w:t>
            </w:r>
          </w:p>
        </w:tc>
        <w:tc>
          <w:tcPr>
            <w:tcW w:w="1372" w:type="dxa"/>
            <w:tcBorders>
              <w:top w:val="nil"/>
              <w:bottom w:val="nil"/>
            </w:tcBorders>
            <w:shd w:val="clear" w:color="auto" w:fill="FFFFFF"/>
          </w:tcPr>
          <w:p w14:paraId="61867269"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72</w:t>
            </w:r>
          </w:p>
        </w:tc>
        <w:tc>
          <w:tcPr>
            <w:tcW w:w="961" w:type="dxa"/>
            <w:tcBorders>
              <w:top w:val="nil"/>
              <w:bottom w:val="nil"/>
              <w:right w:val="single" w:sz="16" w:space="0" w:color="000000"/>
            </w:tcBorders>
            <w:shd w:val="clear" w:color="auto" w:fill="FFFFFF"/>
          </w:tcPr>
          <w:p w14:paraId="7DE0200D"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103</w:t>
            </w:r>
          </w:p>
        </w:tc>
      </w:tr>
      <w:tr w:rsidR="00D80693" w14:paraId="188EB8B4" w14:textId="77777777" w:rsidTr="00D72320">
        <w:trPr>
          <w:trHeight w:val="354"/>
        </w:trPr>
        <w:tc>
          <w:tcPr>
            <w:tcW w:w="3135" w:type="dxa"/>
            <w:gridSpan w:val="2"/>
            <w:tcBorders>
              <w:top w:val="nil"/>
              <w:left w:val="single" w:sz="16" w:space="0" w:color="000000"/>
              <w:bottom w:val="single" w:sz="16" w:space="0" w:color="000000"/>
              <w:right w:val="nil"/>
            </w:tcBorders>
            <w:shd w:val="clear" w:color="auto" w:fill="FFFFFF"/>
            <w:vAlign w:val="center"/>
          </w:tcPr>
          <w:p w14:paraId="516E9F16" w14:textId="77777777" w:rsidR="00D80693" w:rsidRPr="003E128A" w:rsidRDefault="00D80693" w:rsidP="00E82F39">
            <w:pPr>
              <w:spacing w:before="120"/>
              <w:ind w:left="60" w:right="60"/>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c>
          <w:tcPr>
            <w:tcW w:w="961" w:type="dxa"/>
            <w:tcBorders>
              <w:top w:val="nil"/>
              <w:left w:val="single" w:sz="16" w:space="0" w:color="000000"/>
              <w:bottom w:val="single" w:sz="16" w:space="0" w:color="000000"/>
            </w:tcBorders>
            <w:shd w:val="clear" w:color="auto" w:fill="FFFFFF"/>
          </w:tcPr>
          <w:p w14:paraId="1BD9F20D"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190</w:t>
            </w:r>
          </w:p>
        </w:tc>
        <w:tc>
          <w:tcPr>
            <w:tcW w:w="1372" w:type="dxa"/>
            <w:tcBorders>
              <w:top w:val="nil"/>
              <w:bottom w:val="single" w:sz="16" w:space="0" w:color="000000"/>
            </w:tcBorders>
            <w:shd w:val="clear" w:color="auto" w:fill="FFFFFF"/>
          </w:tcPr>
          <w:p w14:paraId="13279526"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110</w:t>
            </w:r>
          </w:p>
        </w:tc>
        <w:tc>
          <w:tcPr>
            <w:tcW w:w="961" w:type="dxa"/>
            <w:tcBorders>
              <w:top w:val="nil"/>
              <w:bottom w:val="single" w:sz="16" w:space="0" w:color="000000"/>
              <w:right w:val="single" w:sz="16" w:space="0" w:color="000000"/>
            </w:tcBorders>
            <w:shd w:val="clear" w:color="auto" w:fill="FFFFFF"/>
          </w:tcPr>
          <w:p w14:paraId="70917DA9" w14:textId="77777777" w:rsidR="00D80693" w:rsidRPr="003E128A" w:rsidRDefault="00D80693" w:rsidP="00E82F39">
            <w:pPr>
              <w:spacing w:before="120"/>
              <w:ind w:left="60" w:right="60"/>
              <w:jc w:val="right"/>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300</w:t>
            </w:r>
          </w:p>
        </w:tc>
      </w:tr>
    </w:tbl>
    <w:p w14:paraId="3650920E" w14:textId="77777777" w:rsidR="00D80693" w:rsidRDefault="00D80693" w:rsidP="00E82F39">
      <w:pPr>
        <w:spacing w:before="120"/>
        <w:rPr>
          <w:rFonts w:eastAsia="Aptos"/>
          <w:i/>
          <w:iCs/>
          <w:kern w:val="2"/>
          <w:lang w:val="fr-CI"/>
          <w14:ligatures w14:val="standardContextual"/>
        </w:rPr>
      </w:pPr>
      <w:r w:rsidRPr="003E128A">
        <w:rPr>
          <w:rFonts w:eastAsia="Aptos"/>
          <w:i/>
          <w:iCs/>
          <w:kern w:val="2"/>
          <w:lang w:val="fr-CI"/>
          <w14:ligatures w14:val="standardContextual"/>
        </w:rPr>
        <w:t xml:space="preserve">                                 Source : Koffi n’Guessan Williams, (2025)</w:t>
      </w:r>
    </w:p>
    <w:p w14:paraId="4BFFF38F" w14:textId="77777777" w:rsidR="00D80693" w:rsidRDefault="00D80693" w:rsidP="00E82F39">
      <w:pPr>
        <w:spacing w:before="120"/>
        <w:rPr>
          <w:rFonts w:eastAsia="Aptos"/>
          <w:i/>
          <w:iCs/>
          <w:kern w:val="2"/>
          <w:lang w:val="fr-CI"/>
          <w14:ligatures w14:val="standardContextual"/>
        </w:rPr>
      </w:pPr>
    </w:p>
    <w:p w14:paraId="352F91F0" w14:textId="77777777" w:rsidR="00D80693" w:rsidRDefault="00D80693" w:rsidP="00E82F39">
      <w:pPr>
        <w:spacing w:before="120" w:after="100" w:afterAutospacing="1"/>
        <w:jc w:val="both"/>
        <w:rPr>
          <w:sz w:val="24"/>
          <w:szCs w:val="24"/>
          <w:lang w:val="fr-CI" w:eastAsia="zh-CN"/>
        </w:rPr>
      </w:pPr>
      <w:r>
        <w:rPr>
          <w:sz w:val="24"/>
          <w:szCs w:val="24"/>
          <w:lang w:val="fr-CI" w:eastAsia="zh-CN"/>
        </w:rPr>
        <w:t>Les résultats de cette étude révèlent une relation inversée entre le niveau socioéconomique familial et la propension à frauder aux examens. Sur un total de 300 élèves enquêtés au BEPC et au BAC, 138 proviennent de familles à faible revenu, 59 de familles à revenu moyen et 103 de familles à revenu élevé. Parmi les élèves issus de familles à revenu faible, 123 élèves ont reconnu avoir fraudé, soit 89,1 %, contre seulement 15 élèves (10,9 %) qui n’ont pas fraudé. Dans les familles à revenu moyen, 36 élèves ont admis avoir fraudé (61 %), tandis que 23 élèves (39 %) n’ont pas fraudé. Quant aux élèves issus de familles à revenu élevé, 31 élèves (30,1 %) ont fraudé, contre 72 élèves (69,9 %) qui ont respecté les règles.</w:t>
      </w:r>
    </w:p>
    <w:p w14:paraId="7CFE679F" w14:textId="77777777" w:rsidR="00D80693" w:rsidRPr="00B1770E" w:rsidRDefault="00D80693" w:rsidP="00E82F39">
      <w:pPr>
        <w:spacing w:before="120" w:after="100" w:afterAutospacing="1"/>
        <w:jc w:val="both"/>
        <w:rPr>
          <w:sz w:val="24"/>
          <w:szCs w:val="24"/>
          <w:lang w:val="fr-CI" w:eastAsia="zh-CN"/>
        </w:rPr>
      </w:pPr>
      <w:r>
        <w:rPr>
          <w:sz w:val="24"/>
          <w:szCs w:val="24"/>
          <w:lang w:val="fr-CI" w:eastAsia="zh-CN"/>
        </w:rPr>
        <w:t>Ces résultats montrent que plus la situation économique familiale est précaire, plus les élèves sont susceptibles de recourir à la fraude. Cela pourrait s’expliquer par plusieurs facteurs : un accès inégal aux ressources éducatives et une pression sociale plus marquée sur la réussite scolaire comme levier d’ascension sociale. Le test du Khi-deux, égal à 88,68, et la p-value = 0,000 attestent que cette relation est hautement significative. Le V de Cramer, égal à 0,55, confirme une corrélation forte entre la précarité économique et la fraude.</w:t>
      </w:r>
    </w:p>
    <w:p w14:paraId="46DA2AE2" w14:textId="77777777" w:rsidR="00D80693" w:rsidRDefault="00D80693" w:rsidP="00E82F39">
      <w:pPr>
        <w:spacing w:before="120"/>
        <w:rPr>
          <w:sz w:val="24"/>
          <w:szCs w:val="24"/>
          <w:lang w:val="fr-CI" w:eastAsia="zh-CN"/>
        </w:rPr>
      </w:pPr>
    </w:p>
    <w:p w14:paraId="3AABFE23" w14:textId="77777777" w:rsidR="00D80693" w:rsidRPr="003E128A" w:rsidRDefault="00D80693" w:rsidP="00E82F39">
      <w:pPr>
        <w:spacing w:before="120"/>
        <w:ind w:firstLine="709"/>
        <w:rPr>
          <w:rFonts w:eastAsia="Aptos"/>
          <w:b/>
          <w:bCs/>
          <w:i/>
          <w:iCs/>
          <w:kern w:val="2"/>
          <w:sz w:val="24"/>
          <w:szCs w:val="24"/>
          <w:lang w:val="fr-CI"/>
          <w14:ligatures w14:val="standardContextual"/>
        </w:rPr>
      </w:pPr>
      <w:r w:rsidRPr="003E128A">
        <w:rPr>
          <w:rFonts w:eastAsia="Aptos"/>
          <w:b/>
          <w:bCs/>
          <w:kern w:val="2"/>
          <w:sz w:val="24"/>
          <w:szCs w:val="24"/>
          <w:lang w:val="fr-CI"/>
          <w14:ligatures w14:val="standardContextual"/>
        </w:rPr>
        <w:t xml:space="preserve">2.2.4. </w:t>
      </w:r>
      <w:r w:rsidRPr="003E128A">
        <w:rPr>
          <w:rFonts w:eastAsia="Aptos"/>
          <w:b/>
          <w:bCs/>
          <w:i/>
          <w:iCs/>
          <w:kern w:val="2"/>
          <w:sz w:val="24"/>
          <w:szCs w:val="24"/>
          <w:lang w:val="fr-CI"/>
          <w14:ligatures w14:val="standardContextual"/>
        </w:rPr>
        <w:t xml:space="preserve">Relation entre la qualité </w:t>
      </w:r>
      <w:bookmarkStart w:id="233" w:name="_Hlk215828226"/>
      <w:r w:rsidRPr="003E128A">
        <w:rPr>
          <w:rFonts w:eastAsia="Aptos"/>
          <w:b/>
          <w:bCs/>
          <w:i/>
          <w:iCs/>
          <w:kern w:val="2"/>
          <w:sz w:val="24"/>
          <w:szCs w:val="24"/>
          <w:lang w:val="fr-CI"/>
          <w14:ligatures w14:val="standardContextual"/>
        </w:rPr>
        <w:t>du suivi parental et la fraude</w:t>
      </w:r>
      <w:bookmarkEnd w:id="233"/>
    </w:p>
    <w:p w14:paraId="73415CFA" w14:textId="77777777" w:rsidR="00D80693" w:rsidRPr="003E128A" w:rsidRDefault="00D80693" w:rsidP="00E82F39">
      <w:pPr>
        <w:spacing w:before="120"/>
        <w:jc w:val="both"/>
        <w:rPr>
          <w:rFonts w:eastAsia="Aptos"/>
          <w:kern w:val="2"/>
          <w:sz w:val="24"/>
          <w:szCs w:val="24"/>
          <w:lang w:val="fr-CI"/>
          <w14:ligatures w14:val="standardContextual"/>
        </w:rPr>
      </w:pPr>
      <w:r w:rsidRPr="003E128A">
        <w:rPr>
          <w:rFonts w:eastAsia="Aptos"/>
          <w:kern w:val="2"/>
          <w:sz w:val="24"/>
          <w:szCs w:val="24"/>
          <w:lang w:val="fr-CI"/>
          <w14:ligatures w14:val="standardContextual"/>
        </w:rPr>
        <w:t xml:space="preserve">La qualité du suivi parental influence fortement les comportements des élèves, notamment la tendance à frauder. </w:t>
      </w:r>
      <w:r w:rsidRPr="003E128A">
        <w:rPr>
          <w:rFonts w:eastAsia="Aptos"/>
          <w:noProof/>
          <w:kern w:val="2"/>
          <w:sz w:val="24"/>
          <w:szCs w:val="24"/>
          <w14:ligatures w14:val="standardContextual"/>
        </w:rPr>
        <w:t>Coleman, J.</w:t>
      </w:r>
      <w:r>
        <w:rPr>
          <w:rFonts w:eastAsia="Aptos"/>
          <w:noProof/>
          <w:kern w:val="2"/>
          <w:sz w:val="24"/>
          <w:szCs w:val="24"/>
          <w14:ligatures w14:val="standardContextual"/>
        </w:rPr>
        <w:t>S.</w:t>
      </w:r>
      <w:r w:rsidRPr="003E128A">
        <w:rPr>
          <w:rFonts w:eastAsia="Aptos"/>
          <w:noProof/>
          <w:kern w:val="2"/>
          <w:sz w:val="24"/>
          <w:szCs w:val="24"/>
          <w14:ligatures w14:val="standardContextual"/>
        </w:rPr>
        <w:t xml:space="preserve"> (1988) ,</w:t>
      </w:r>
      <w:r w:rsidRPr="003E128A">
        <w:rPr>
          <w:rFonts w:eastAsia="Aptos"/>
          <w:kern w:val="2"/>
          <w:sz w:val="24"/>
          <w:szCs w:val="24"/>
          <w:lang w:val="fr-CI"/>
          <w14:ligatures w14:val="standardContextual"/>
        </w:rPr>
        <w:t xml:space="preserve"> souligne que le contrôle et le soutien des parents constituent un capital social qui limite les dérives. Alors que l’absence de régulation familiale favorise les comportements déviants </w:t>
      </w:r>
      <w:r w:rsidRPr="003E128A">
        <w:rPr>
          <w:rFonts w:eastAsia="Aptos"/>
          <w:noProof/>
          <w:kern w:val="2"/>
          <w:sz w:val="24"/>
          <w:szCs w:val="24"/>
          <w14:ligatures w14:val="standardContextual"/>
        </w:rPr>
        <w:t>Durkheim, E. (1996).</w:t>
      </w:r>
      <w:r w:rsidRPr="003E128A">
        <w:rPr>
          <w:rFonts w:eastAsia="Aptos"/>
          <w:kern w:val="2"/>
          <w:sz w:val="24"/>
          <w:szCs w:val="24"/>
          <w:lang w:val="fr-CI"/>
          <w14:ligatures w14:val="standardContextual"/>
        </w:rPr>
        <w:t xml:space="preserve"> Le tableau ci-dessous présente la répartition des enquêtés en fonction du niveau de suivi parental et de leur implication dans la fraude scolaire.</w:t>
      </w:r>
    </w:p>
    <w:p w14:paraId="2D98E1FA" w14:textId="77777777" w:rsidR="00D80693" w:rsidRDefault="00D80693" w:rsidP="00E82F39">
      <w:pPr>
        <w:spacing w:before="120"/>
        <w:rPr>
          <w:rFonts w:eastAsia="Aptos"/>
          <w:b/>
          <w:bCs/>
          <w:i/>
          <w:iCs/>
          <w:kern w:val="2"/>
          <w:sz w:val="24"/>
          <w:szCs w:val="24"/>
          <w:lang w:val="fr-CI"/>
          <w14:ligatures w14:val="standardContextual"/>
        </w:rPr>
      </w:pPr>
      <w:r w:rsidRPr="003E128A">
        <w:rPr>
          <w:rFonts w:eastAsia="Aptos"/>
          <w:b/>
          <w:bCs/>
          <w:i/>
          <w:iCs/>
          <w:kern w:val="2"/>
          <w:lang w:val="fr-CI"/>
          <w14:ligatures w14:val="standardContextual"/>
        </w:rPr>
        <w:t xml:space="preserve">                    Tableau 5 : Répartition des enquêtés selon la qualité</w:t>
      </w:r>
      <w:r>
        <w:rPr>
          <w:rFonts w:eastAsia="Aptos"/>
          <w:b/>
          <w:bCs/>
          <w:i/>
          <w:iCs/>
          <w:kern w:val="2"/>
          <w:lang w:val="fr-CI"/>
          <w14:ligatures w14:val="standardContextual"/>
        </w:rPr>
        <w:t xml:space="preserve"> </w:t>
      </w:r>
      <w:r w:rsidRPr="003E128A">
        <w:rPr>
          <w:rFonts w:eastAsia="Aptos"/>
          <w:b/>
          <w:bCs/>
          <w:i/>
          <w:iCs/>
          <w:kern w:val="2"/>
          <w:sz w:val="24"/>
          <w:szCs w:val="24"/>
          <w:lang w:val="fr-CI"/>
          <w14:ligatures w14:val="standardContextual"/>
        </w:rPr>
        <w:t>du suivi parental et la fraude</w:t>
      </w:r>
    </w:p>
    <w:p w14:paraId="5D21F0BC" w14:textId="77777777" w:rsidR="00D80693" w:rsidRPr="003E128A" w:rsidRDefault="00D80693" w:rsidP="00E82F39">
      <w:pPr>
        <w:spacing w:before="120"/>
        <w:rPr>
          <w:rFonts w:eastAsia="Aptos"/>
          <w:b/>
          <w:bCs/>
          <w:i/>
          <w:iCs/>
          <w:kern w:val="2"/>
          <w:lang w:val="fr-CI"/>
          <w14:ligatures w14:val="standardContextual"/>
        </w:rPr>
      </w:pPr>
    </w:p>
    <w:tbl>
      <w:tblPr>
        <w:tblW w:w="6686" w:type="dxa"/>
        <w:tblInd w:w="1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833"/>
        <w:gridCol w:w="1000"/>
        <w:gridCol w:w="1426"/>
        <w:gridCol w:w="1000"/>
      </w:tblGrid>
      <w:tr w:rsidR="00D80693" w14:paraId="3FBE981C" w14:textId="77777777" w:rsidTr="00D72320">
        <w:tc>
          <w:tcPr>
            <w:tcW w:w="3260" w:type="dxa"/>
            <w:gridSpan w:val="2"/>
            <w:vMerge w:val="restart"/>
            <w:tcBorders>
              <w:top w:val="single" w:sz="16" w:space="0" w:color="000000"/>
              <w:left w:val="single" w:sz="16" w:space="0" w:color="000000"/>
              <w:bottom w:val="nil"/>
              <w:right w:val="nil"/>
            </w:tcBorders>
            <w:shd w:val="clear" w:color="auto" w:fill="FFFFFF"/>
          </w:tcPr>
          <w:p w14:paraId="7A1D4FFC" w14:textId="77777777" w:rsidR="00D80693" w:rsidRPr="003E128A" w:rsidRDefault="00D80693" w:rsidP="00E82F39">
            <w:pPr>
              <w:spacing w:before="120"/>
              <w:jc w:val="both"/>
              <w:rPr>
                <w:rFonts w:eastAsia="Aptos"/>
                <w:kern w:val="2"/>
                <w:sz w:val="24"/>
                <w:szCs w:val="24"/>
                <w:lang w:val="fr-CI"/>
                <w14:ligatures w14:val="standardContextual"/>
              </w:rPr>
            </w:pPr>
            <w:r w:rsidRPr="003E128A">
              <w:rPr>
                <w:rFonts w:ascii="Arial" w:eastAsia="Aptos" w:hAnsi="Arial" w:cs="Arial"/>
                <w:color w:val="000000"/>
                <w:kern w:val="2"/>
                <w:sz w:val="18"/>
                <w:szCs w:val="18"/>
                <w:lang w:val="fr-CI"/>
                <w14:ligatures w14:val="standardContextual"/>
              </w:rPr>
              <w:t xml:space="preserve">                    Suivi parental</w:t>
            </w:r>
          </w:p>
        </w:tc>
        <w:tc>
          <w:tcPr>
            <w:tcW w:w="2426" w:type="dxa"/>
            <w:gridSpan w:val="2"/>
            <w:tcBorders>
              <w:top w:val="single" w:sz="16" w:space="0" w:color="000000"/>
              <w:left w:val="single" w:sz="16" w:space="0" w:color="000000"/>
            </w:tcBorders>
            <w:shd w:val="clear" w:color="auto" w:fill="FFFFFF"/>
          </w:tcPr>
          <w:p w14:paraId="519261C5"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1000" w:type="dxa"/>
            <w:vMerge w:val="restart"/>
            <w:tcBorders>
              <w:top w:val="single" w:sz="16" w:space="0" w:color="000000"/>
              <w:right w:val="single" w:sz="16" w:space="0" w:color="000000"/>
            </w:tcBorders>
            <w:shd w:val="clear" w:color="auto" w:fill="FFFFFF"/>
          </w:tcPr>
          <w:p w14:paraId="77BD99B4"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r>
      <w:tr w:rsidR="00D80693" w14:paraId="4CCA7794" w14:textId="77777777" w:rsidTr="00D72320">
        <w:tc>
          <w:tcPr>
            <w:tcW w:w="3260" w:type="dxa"/>
            <w:gridSpan w:val="2"/>
            <w:vMerge/>
            <w:tcBorders>
              <w:top w:val="single" w:sz="16" w:space="0" w:color="000000"/>
              <w:left w:val="single" w:sz="16" w:space="0" w:color="000000"/>
              <w:bottom w:val="nil"/>
              <w:right w:val="nil"/>
            </w:tcBorders>
            <w:shd w:val="clear" w:color="auto" w:fill="FFFFFF"/>
          </w:tcPr>
          <w:p w14:paraId="0DDE3E9F"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c>
          <w:tcPr>
            <w:tcW w:w="1000" w:type="dxa"/>
            <w:tcBorders>
              <w:left w:val="single" w:sz="16" w:space="0" w:color="000000"/>
              <w:bottom w:val="single" w:sz="16" w:space="0" w:color="000000"/>
            </w:tcBorders>
            <w:shd w:val="clear" w:color="auto" w:fill="FFFFFF"/>
          </w:tcPr>
          <w:p w14:paraId="22150213"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1426" w:type="dxa"/>
            <w:tcBorders>
              <w:bottom w:val="single" w:sz="16" w:space="0" w:color="000000"/>
            </w:tcBorders>
            <w:shd w:val="clear" w:color="auto" w:fill="FFFFFF"/>
          </w:tcPr>
          <w:p w14:paraId="1AFD621B"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Pas de fraude</w:t>
            </w:r>
          </w:p>
        </w:tc>
        <w:tc>
          <w:tcPr>
            <w:tcW w:w="1000" w:type="dxa"/>
            <w:vMerge/>
            <w:tcBorders>
              <w:top w:val="single" w:sz="16" w:space="0" w:color="000000"/>
              <w:right w:val="single" w:sz="16" w:space="0" w:color="000000"/>
            </w:tcBorders>
            <w:shd w:val="clear" w:color="auto" w:fill="FFFFFF"/>
          </w:tcPr>
          <w:p w14:paraId="05A95910"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r>
      <w:tr w:rsidR="00D80693" w14:paraId="07B5E080" w14:textId="77777777" w:rsidTr="00D72320">
        <w:tc>
          <w:tcPr>
            <w:tcW w:w="2427" w:type="dxa"/>
            <w:vMerge w:val="restart"/>
            <w:tcBorders>
              <w:top w:val="single" w:sz="16" w:space="0" w:color="000000"/>
              <w:left w:val="single" w:sz="16" w:space="0" w:color="000000"/>
              <w:bottom w:val="nil"/>
              <w:right w:val="nil"/>
            </w:tcBorders>
            <w:shd w:val="clear" w:color="auto" w:fill="FFFFFF"/>
            <w:vAlign w:val="center"/>
          </w:tcPr>
          <w:p w14:paraId="0E5A4E86"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p>
        </w:tc>
        <w:tc>
          <w:tcPr>
            <w:tcW w:w="833" w:type="dxa"/>
            <w:tcBorders>
              <w:top w:val="single" w:sz="16" w:space="0" w:color="000000"/>
              <w:left w:val="nil"/>
              <w:bottom w:val="nil"/>
              <w:right w:val="single" w:sz="16" w:space="0" w:color="000000"/>
            </w:tcBorders>
            <w:shd w:val="clear" w:color="auto" w:fill="FFFFFF"/>
            <w:vAlign w:val="center"/>
          </w:tcPr>
          <w:p w14:paraId="3983116B"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Faible</w:t>
            </w:r>
          </w:p>
        </w:tc>
        <w:tc>
          <w:tcPr>
            <w:tcW w:w="1000" w:type="dxa"/>
            <w:tcBorders>
              <w:top w:val="single" w:sz="16" w:space="0" w:color="000000"/>
              <w:left w:val="single" w:sz="16" w:space="0" w:color="000000"/>
              <w:bottom w:val="nil"/>
            </w:tcBorders>
            <w:shd w:val="clear" w:color="auto" w:fill="FFFFFF"/>
          </w:tcPr>
          <w:p w14:paraId="74400C30"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115</w:t>
            </w:r>
          </w:p>
        </w:tc>
        <w:tc>
          <w:tcPr>
            <w:tcW w:w="1426" w:type="dxa"/>
            <w:tcBorders>
              <w:top w:val="single" w:sz="16" w:space="0" w:color="000000"/>
              <w:bottom w:val="nil"/>
            </w:tcBorders>
            <w:shd w:val="clear" w:color="auto" w:fill="FFFFFF"/>
          </w:tcPr>
          <w:p w14:paraId="582070DE"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27</w:t>
            </w:r>
          </w:p>
        </w:tc>
        <w:tc>
          <w:tcPr>
            <w:tcW w:w="1000" w:type="dxa"/>
            <w:tcBorders>
              <w:top w:val="single" w:sz="16" w:space="0" w:color="000000"/>
              <w:bottom w:val="nil"/>
              <w:right w:val="single" w:sz="16" w:space="0" w:color="000000"/>
            </w:tcBorders>
            <w:shd w:val="clear" w:color="auto" w:fill="FFFFFF"/>
          </w:tcPr>
          <w:p w14:paraId="6F96CFFC"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142</w:t>
            </w:r>
          </w:p>
        </w:tc>
      </w:tr>
      <w:tr w:rsidR="00D80693" w14:paraId="3C8DB8EF" w14:textId="77777777" w:rsidTr="00D72320">
        <w:tc>
          <w:tcPr>
            <w:tcW w:w="2427" w:type="dxa"/>
            <w:vMerge/>
            <w:tcBorders>
              <w:top w:val="single" w:sz="16" w:space="0" w:color="000000"/>
              <w:left w:val="single" w:sz="16" w:space="0" w:color="000000"/>
              <w:bottom w:val="nil"/>
              <w:right w:val="nil"/>
            </w:tcBorders>
            <w:shd w:val="clear" w:color="auto" w:fill="FFFFFF"/>
            <w:vAlign w:val="center"/>
          </w:tcPr>
          <w:p w14:paraId="67723BFB"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c>
          <w:tcPr>
            <w:tcW w:w="833" w:type="dxa"/>
            <w:tcBorders>
              <w:top w:val="nil"/>
              <w:left w:val="nil"/>
              <w:bottom w:val="nil"/>
              <w:right w:val="single" w:sz="16" w:space="0" w:color="000000"/>
            </w:tcBorders>
            <w:shd w:val="clear" w:color="auto" w:fill="FFFFFF"/>
            <w:vAlign w:val="center"/>
          </w:tcPr>
          <w:p w14:paraId="2473EFD7"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Moyen</w:t>
            </w:r>
          </w:p>
        </w:tc>
        <w:tc>
          <w:tcPr>
            <w:tcW w:w="1000" w:type="dxa"/>
            <w:tcBorders>
              <w:top w:val="nil"/>
              <w:left w:val="single" w:sz="16" w:space="0" w:color="000000"/>
              <w:bottom w:val="nil"/>
            </w:tcBorders>
            <w:shd w:val="clear" w:color="auto" w:fill="FFFFFF"/>
          </w:tcPr>
          <w:p w14:paraId="0EC4D4EA"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87</w:t>
            </w:r>
          </w:p>
        </w:tc>
        <w:tc>
          <w:tcPr>
            <w:tcW w:w="1426" w:type="dxa"/>
            <w:tcBorders>
              <w:top w:val="nil"/>
              <w:bottom w:val="nil"/>
            </w:tcBorders>
            <w:shd w:val="clear" w:color="auto" w:fill="FFFFFF"/>
          </w:tcPr>
          <w:p w14:paraId="3028C543"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22</w:t>
            </w:r>
          </w:p>
        </w:tc>
        <w:tc>
          <w:tcPr>
            <w:tcW w:w="1000" w:type="dxa"/>
            <w:tcBorders>
              <w:top w:val="nil"/>
              <w:bottom w:val="nil"/>
              <w:right w:val="single" w:sz="16" w:space="0" w:color="000000"/>
            </w:tcBorders>
            <w:shd w:val="clear" w:color="auto" w:fill="FFFFFF"/>
          </w:tcPr>
          <w:p w14:paraId="27247448"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109</w:t>
            </w:r>
          </w:p>
        </w:tc>
      </w:tr>
      <w:tr w:rsidR="00D80693" w14:paraId="4060A0D8" w14:textId="77777777" w:rsidTr="00D72320">
        <w:tc>
          <w:tcPr>
            <w:tcW w:w="2427" w:type="dxa"/>
            <w:vMerge/>
            <w:tcBorders>
              <w:top w:val="single" w:sz="16" w:space="0" w:color="000000"/>
              <w:left w:val="single" w:sz="16" w:space="0" w:color="000000"/>
              <w:bottom w:val="nil"/>
              <w:right w:val="nil"/>
            </w:tcBorders>
            <w:shd w:val="clear" w:color="auto" w:fill="FFFFFF"/>
            <w:vAlign w:val="center"/>
          </w:tcPr>
          <w:p w14:paraId="23FC8D4E"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c>
          <w:tcPr>
            <w:tcW w:w="833" w:type="dxa"/>
            <w:tcBorders>
              <w:top w:val="nil"/>
              <w:left w:val="nil"/>
              <w:bottom w:val="nil"/>
              <w:right w:val="single" w:sz="16" w:space="0" w:color="000000"/>
            </w:tcBorders>
            <w:shd w:val="clear" w:color="auto" w:fill="FFFFFF"/>
            <w:vAlign w:val="center"/>
          </w:tcPr>
          <w:p w14:paraId="2AC5B311"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Fort</w:t>
            </w:r>
          </w:p>
        </w:tc>
        <w:tc>
          <w:tcPr>
            <w:tcW w:w="1000" w:type="dxa"/>
            <w:tcBorders>
              <w:top w:val="nil"/>
              <w:left w:val="single" w:sz="16" w:space="0" w:color="000000"/>
              <w:bottom w:val="nil"/>
            </w:tcBorders>
            <w:shd w:val="clear" w:color="auto" w:fill="FFFFFF"/>
          </w:tcPr>
          <w:p w14:paraId="7D7362D2"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38</w:t>
            </w:r>
          </w:p>
        </w:tc>
        <w:tc>
          <w:tcPr>
            <w:tcW w:w="1426" w:type="dxa"/>
            <w:tcBorders>
              <w:top w:val="nil"/>
              <w:bottom w:val="nil"/>
            </w:tcBorders>
            <w:shd w:val="clear" w:color="auto" w:fill="FFFFFF"/>
          </w:tcPr>
          <w:p w14:paraId="4EA315B6"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11</w:t>
            </w:r>
          </w:p>
        </w:tc>
        <w:tc>
          <w:tcPr>
            <w:tcW w:w="1000" w:type="dxa"/>
            <w:tcBorders>
              <w:top w:val="nil"/>
              <w:bottom w:val="nil"/>
              <w:right w:val="single" w:sz="16" w:space="0" w:color="000000"/>
            </w:tcBorders>
            <w:shd w:val="clear" w:color="auto" w:fill="FFFFFF"/>
          </w:tcPr>
          <w:p w14:paraId="6184D808"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49</w:t>
            </w:r>
          </w:p>
        </w:tc>
      </w:tr>
      <w:tr w:rsidR="00D80693" w14:paraId="1ED3FF9E" w14:textId="77777777" w:rsidTr="00D72320">
        <w:tc>
          <w:tcPr>
            <w:tcW w:w="3260" w:type="dxa"/>
            <w:gridSpan w:val="2"/>
            <w:tcBorders>
              <w:top w:val="nil"/>
              <w:left w:val="single" w:sz="16" w:space="0" w:color="000000"/>
              <w:bottom w:val="single" w:sz="16" w:space="0" w:color="000000"/>
              <w:right w:val="nil"/>
            </w:tcBorders>
            <w:shd w:val="clear" w:color="auto" w:fill="FFFFFF"/>
            <w:vAlign w:val="center"/>
          </w:tcPr>
          <w:p w14:paraId="5607548F"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c>
          <w:tcPr>
            <w:tcW w:w="1000" w:type="dxa"/>
            <w:tcBorders>
              <w:top w:val="nil"/>
              <w:left w:val="single" w:sz="16" w:space="0" w:color="000000"/>
              <w:bottom w:val="single" w:sz="16" w:space="0" w:color="000000"/>
            </w:tcBorders>
            <w:shd w:val="clear" w:color="auto" w:fill="FFFFFF"/>
          </w:tcPr>
          <w:p w14:paraId="7243E6D6"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240</w:t>
            </w:r>
          </w:p>
        </w:tc>
        <w:tc>
          <w:tcPr>
            <w:tcW w:w="1426" w:type="dxa"/>
            <w:tcBorders>
              <w:top w:val="nil"/>
              <w:bottom w:val="single" w:sz="16" w:space="0" w:color="000000"/>
            </w:tcBorders>
            <w:shd w:val="clear" w:color="auto" w:fill="FFFFFF"/>
          </w:tcPr>
          <w:p w14:paraId="31FB875F"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60</w:t>
            </w:r>
          </w:p>
        </w:tc>
        <w:tc>
          <w:tcPr>
            <w:tcW w:w="1000" w:type="dxa"/>
            <w:tcBorders>
              <w:top w:val="nil"/>
              <w:bottom w:val="single" w:sz="16" w:space="0" w:color="000000"/>
              <w:right w:val="single" w:sz="16" w:space="0" w:color="000000"/>
            </w:tcBorders>
            <w:shd w:val="clear" w:color="auto" w:fill="FFFFFF"/>
          </w:tcPr>
          <w:p w14:paraId="19850315"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300</w:t>
            </w:r>
          </w:p>
        </w:tc>
      </w:tr>
    </w:tbl>
    <w:p w14:paraId="460212B6" w14:textId="77777777" w:rsidR="00D80693" w:rsidRPr="003E128A" w:rsidRDefault="00D80693" w:rsidP="00E82F39">
      <w:pPr>
        <w:spacing w:before="120"/>
        <w:jc w:val="both"/>
        <w:rPr>
          <w:rFonts w:eastAsia="Aptos"/>
          <w:kern w:val="2"/>
          <w:sz w:val="24"/>
          <w:szCs w:val="24"/>
          <w:lang w:val="fr-CI"/>
          <w14:ligatures w14:val="standardContextual"/>
        </w:rPr>
      </w:pPr>
    </w:p>
    <w:p w14:paraId="5894A070" w14:textId="77777777" w:rsidR="00D80693" w:rsidRPr="00752D56" w:rsidRDefault="00D80693" w:rsidP="00E82F39">
      <w:pPr>
        <w:spacing w:before="120"/>
        <w:jc w:val="both"/>
        <w:rPr>
          <w:rFonts w:eastAsia="Aptos"/>
          <w:kern w:val="2"/>
          <w:sz w:val="24"/>
          <w:szCs w:val="24"/>
          <w:lang w:val="fr-CI"/>
          <w14:ligatures w14:val="standardContextual"/>
        </w:rPr>
      </w:pPr>
      <w:r w:rsidRPr="003E128A">
        <w:rPr>
          <w:rFonts w:eastAsia="Aptos"/>
          <w:kern w:val="2"/>
          <w:sz w:val="24"/>
          <w:szCs w:val="24"/>
          <w:lang w:val="fr-CI"/>
          <w14:ligatures w14:val="standardContextual"/>
        </w:rPr>
        <w:t xml:space="preserve">                      </w:t>
      </w:r>
      <w:r>
        <w:rPr>
          <w:rFonts w:eastAsia="Aptos"/>
          <w:kern w:val="2"/>
          <w:sz w:val="24"/>
          <w:szCs w:val="24"/>
          <w:lang w:val="fr-CI"/>
          <w14:ligatures w14:val="standardContextual"/>
        </w:rPr>
        <w:t xml:space="preserve">                                  </w:t>
      </w:r>
      <w:r w:rsidRPr="003E128A">
        <w:rPr>
          <w:rFonts w:eastAsia="Aptos"/>
          <w:i/>
          <w:iCs/>
          <w:kern w:val="2"/>
          <w:lang w:val="fr-CI"/>
          <w14:ligatures w14:val="standardContextual"/>
        </w:rPr>
        <w:t>Source : Koffi n’Guessan Williams, (2025)</w:t>
      </w:r>
    </w:p>
    <w:p w14:paraId="58DBDE19" w14:textId="77777777" w:rsidR="00D80693" w:rsidRPr="00B1770E" w:rsidRDefault="00D80693" w:rsidP="00E82F39">
      <w:pPr>
        <w:spacing w:before="120" w:after="100" w:afterAutospacing="1"/>
        <w:jc w:val="both"/>
        <w:rPr>
          <w:sz w:val="24"/>
          <w:szCs w:val="24"/>
          <w:lang w:val="fr-CI" w:eastAsia="zh-CN"/>
        </w:rPr>
      </w:pPr>
      <w:r>
        <w:rPr>
          <w:sz w:val="24"/>
          <w:szCs w:val="24"/>
          <w:lang w:val="fr-CI" w:eastAsia="zh-CN"/>
        </w:rPr>
        <w:t>Les résultats de l’enquête montrent une corrélation nette entre la qualité du suivi parental et la propension des élèves à frauder. Sur un échantillon de 300 élèves interrogés au BEPC et au BAC, 142 élèves bénéficient d’un suivi parental faible, 109 d’un suivi moyen et 49 d’un suivi parental élevé. Parmi ceux dont le suivi est faible, 115 élèves (81 %) ont reconnu avoir fraudé, contre 27 élèves qui n’ont pas fraudé. Pour les élèves bénéficiant d’un suivi parental moyen, 87 ont fraudé, contre 22 qui n’ont pas fraudé. Quant à ceux bénéficiant d’un suivi parental fort, 38 élèves ont fraudé, tandis que 11 n’ont pas eu recours à la fraude. Ces résultats indiquent qu’un suivi parental attentif, incluant des échanges réguliers sur la scolarité et l’enseignement explicite de valeurs morales, permet de prévenir la tricherie.</w:t>
      </w:r>
    </w:p>
    <w:tbl>
      <w:tblPr>
        <w:tblW w:w="8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320"/>
        <w:gridCol w:w="1000"/>
        <w:gridCol w:w="1425"/>
        <w:gridCol w:w="1000"/>
      </w:tblGrid>
      <w:tr w:rsidR="00D80693" w14:paraId="43642B78" w14:textId="77777777" w:rsidTr="00D72320">
        <w:tc>
          <w:tcPr>
            <w:tcW w:w="8168" w:type="dxa"/>
            <w:gridSpan w:val="5"/>
            <w:tcBorders>
              <w:top w:val="nil"/>
              <w:left w:val="nil"/>
              <w:bottom w:val="nil"/>
              <w:right w:val="nil"/>
            </w:tcBorders>
            <w:shd w:val="clear" w:color="auto" w:fill="FFFFFF"/>
          </w:tcPr>
          <w:p w14:paraId="05E45720" w14:textId="77777777" w:rsidR="00D80693" w:rsidRPr="003E128A" w:rsidRDefault="00D80693" w:rsidP="00E82F39">
            <w:pPr>
              <w:spacing w:before="120"/>
              <w:ind w:left="60" w:right="60"/>
              <w:jc w:val="center"/>
              <w:rPr>
                <w:rFonts w:eastAsia="Aptos"/>
                <w:b/>
                <w:bCs/>
                <w:color w:val="000000"/>
                <w:kern w:val="2"/>
                <w:sz w:val="24"/>
                <w:szCs w:val="24"/>
                <w:lang w:val="fr-CI"/>
                <w14:ligatures w14:val="standardContextual"/>
              </w:rPr>
            </w:pPr>
            <w:r w:rsidRPr="003E128A">
              <w:rPr>
                <w:rFonts w:eastAsia="Aptos"/>
                <w:b/>
                <w:bCs/>
                <w:color w:val="000000"/>
                <w:kern w:val="2"/>
                <w:sz w:val="24"/>
                <w:szCs w:val="24"/>
                <w:lang w:val="fr-CI"/>
                <w14:ligatures w14:val="standardContextual"/>
              </w:rPr>
              <w:t xml:space="preserve">2.2.5. </w:t>
            </w:r>
            <w:r w:rsidRPr="003E128A">
              <w:rPr>
                <w:rFonts w:eastAsia="Aptos"/>
                <w:b/>
                <w:bCs/>
                <w:i/>
                <w:iCs/>
                <w:color w:val="000000"/>
                <w:kern w:val="2"/>
                <w:sz w:val="24"/>
                <w:szCs w:val="24"/>
                <w:lang w:val="fr-CI"/>
                <w14:ligatures w14:val="standardContextual"/>
              </w:rPr>
              <w:t>Niveau instruction des parents et les pratiques de fraude</w:t>
            </w:r>
            <w:r w:rsidRPr="003E128A">
              <w:rPr>
                <w:rFonts w:eastAsia="Aptos"/>
                <w:b/>
                <w:bCs/>
                <w:color w:val="000000"/>
                <w:kern w:val="2"/>
                <w:sz w:val="24"/>
                <w:szCs w:val="24"/>
                <w:lang w:val="fr-CI"/>
                <w14:ligatures w14:val="standardContextual"/>
              </w:rPr>
              <w:t xml:space="preserve"> </w:t>
            </w:r>
          </w:p>
          <w:p w14:paraId="23EF2BA3" w14:textId="77777777" w:rsidR="00D80693" w:rsidRPr="003E128A" w:rsidRDefault="00D80693" w:rsidP="00E82F39">
            <w:pPr>
              <w:spacing w:before="120"/>
              <w:ind w:right="60"/>
              <w:rPr>
                <w:rFonts w:eastAsia="Aptos"/>
                <w:b/>
                <w:bCs/>
                <w:color w:val="000000"/>
                <w:kern w:val="2"/>
                <w:sz w:val="24"/>
                <w:szCs w:val="24"/>
                <w:lang w:val="fr-CI"/>
                <w14:ligatures w14:val="standardContextual"/>
              </w:rPr>
            </w:pPr>
          </w:p>
          <w:p w14:paraId="2969CADB" w14:textId="77777777" w:rsidR="00D80693" w:rsidRPr="003E128A" w:rsidRDefault="00D80693" w:rsidP="00E82F39">
            <w:pPr>
              <w:spacing w:before="120"/>
              <w:ind w:left="60" w:right="60"/>
              <w:jc w:val="both"/>
              <w:rPr>
                <w:rFonts w:eastAsia="Aptos"/>
                <w:color w:val="000000"/>
                <w:kern w:val="2"/>
                <w:sz w:val="24"/>
                <w:szCs w:val="24"/>
                <w:lang w:val="fr-CI"/>
                <w14:ligatures w14:val="standardContextual"/>
              </w:rPr>
            </w:pPr>
            <w:r w:rsidRPr="003E128A">
              <w:rPr>
                <w:rFonts w:eastAsia="Aptos"/>
                <w:color w:val="000000"/>
                <w:kern w:val="2"/>
                <w:sz w:val="24"/>
                <w:szCs w:val="24"/>
                <w:lang w:val="fr-CI"/>
                <w14:ligatures w14:val="standardContextual"/>
              </w:rPr>
              <w:t>Le niveau d’instruction des parents constitue un facteur clé dans l’éducation des enfants, influençant leurs valeurs, leurs attitudes face aux études et leur respect des règles scolaires. Des parents ayant un niveau d’études élevé peuvent offrir un meilleur encadrement scolaire et transmettre des attitudes positives vis-à-vis de l’intégrité scolaire. Mais dans un contexte de forte compétition, même des parents instruits peuvent tolérer la fraude afin d’assurer la réussite de leurs enfants.</w:t>
            </w:r>
          </w:p>
          <w:p w14:paraId="5A9807B4" w14:textId="77777777" w:rsidR="00D80693" w:rsidRDefault="00D80693" w:rsidP="00E82F39">
            <w:pPr>
              <w:spacing w:before="120"/>
              <w:ind w:left="60" w:right="60"/>
              <w:jc w:val="both"/>
              <w:rPr>
                <w:rFonts w:eastAsia="Aptos"/>
                <w:color w:val="000000"/>
                <w:kern w:val="2"/>
                <w:sz w:val="24"/>
                <w:szCs w:val="24"/>
                <w:lang w:val="fr-CI"/>
                <w14:ligatures w14:val="standardContextual"/>
              </w:rPr>
            </w:pPr>
          </w:p>
          <w:p w14:paraId="156C5D8F" w14:textId="77777777" w:rsidR="00D80693" w:rsidRDefault="00D80693" w:rsidP="00E82F39">
            <w:pPr>
              <w:spacing w:before="120"/>
              <w:ind w:left="60" w:right="60"/>
              <w:jc w:val="both"/>
              <w:rPr>
                <w:rFonts w:eastAsia="Aptos"/>
                <w:color w:val="000000"/>
                <w:kern w:val="2"/>
                <w:sz w:val="24"/>
                <w:szCs w:val="24"/>
                <w:lang w:val="fr-CI"/>
                <w14:ligatures w14:val="standardContextual"/>
              </w:rPr>
            </w:pPr>
          </w:p>
          <w:p w14:paraId="794DF044" w14:textId="77777777" w:rsidR="00D80693" w:rsidRDefault="00D80693" w:rsidP="00E82F39">
            <w:pPr>
              <w:spacing w:before="120"/>
              <w:ind w:left="60" w:right="60"/>
              <w:jc w:val="both"/>
              <w:rPr>
                <w:rFonts w:eastAsia="Aptos"/>
                <w:color w:val="000000"/>
                <w:kern w:val="2"/>
                <w:sz w:val="24"/>
                <w:szCs w:val="24"/>
                <w:lang w:val="fr-CI"/>
                <w14:ligatures w14:val="standardContextual"/>
              </w:rPr>
            </w:pPr>
          </w:p>
          <w:p w14:paraId="3E075F2F" w14:textId="77777777" w:rsidR="00D80693" w:rsidRDefault="00D80693" w:rsidP="00E82F39">
            <w:pPr>
              <w:spacing w:before="120"/>
              <w:ind w:left="60" w:right="60"/>
              <w:jc w:val="both"/>
              <w:rPr>
                <w:rFonts w:eastAsia="Aptos"/>
                <w:color w:val="000000"/>
                <w:kern w:val="2"/>
                <w:sz w:val="24"/>
                <w:szCs w:val="24"/>
                <w:lang w:val="fr-CI"/>
                <w14:ligatures w14:val="standardContextual"/>
              </w:rPr>
            </w:pPr>
          </w:p>
          <w:p w14:paraId="3BDB58EE" w14:textId="77777777" w:rsidR="00D80693" w:rsidRPr="003E128A" w:rsidRDefault="00D80693" w:rsidP="00E82F39">
            <w:pPr>
              <w:spacing w:before="120"/>
              <w:ind w:left="60" w:right="60"/>
              <w:jc w:val="both"/>
              <w:rPr>
                <w:rFonts w:eastAsia="Aptos"/>
                <w:color w:val="000000"/>
                <w:kern w:val="2"/>
                <w:sz w:val="24"/>
                <w:szCs w:val="24"/>
                <w:lang w:val="fr-CI"/>
                <w14:ligatures w14:val="standardContextual"/>
              </w:rPr>
            </w:pPr>
          </w:p>
          <w:p w14:paraId="68EF678B" w14:textId="77777777" w:rsidR="00D80693" w:rsidRPr="003E128A" w:rsidRDefault="00D80693" w:rsidP="00E82F39">
            <w:pPr>
              <w:spacing w:before="120"/>
              <w:ind w:right="60"/>
              <w:rPr>
                <w:rFonts w:eastAsia="Aptos"/>
                <w:color w:val="000000"/>
                <w:kern w:val="2"/>
                <w:sz w:val="24"/>
                <w:szCs w:val="24"/>
                <w:lang w:val="fr-CI"/>
                <w14:ligatures w14:val="standardContextual"/>
              </w:rPr>
            </w:pPr>
          </w:p>
        </w:tc>
      </w:tr>
      <w:tr w:rsidR="00D80693" w14:paraId="79DB08EF" w14:textId="77777777" w:rsidTr="00D72320">
        <w:tc>
          <w:tcPr>
            <w:tcW w:w="8168" w:type="dxa"/>
            <w:gridSpan w:val="5"/>
            <w:tcBorders>
              <w:top w:val="nil"/>
              <w:left w:val="nil"/>
              <w:bottom w:val="nil"/>
              <w:right w:val="nil"/>
            </w:tcBorders>
            <w:shd w:val="clear" w:color="auto" w:fill="FFFFFF"/>
            <w:vAlign w:val="bottom"/>
          </w:tcPr>
          <w:p w14:paraId="74E46A9D" w14:textId="77777777" w:rsidR="00D80693" w:rsidRPr="003E128A" w:rsidRDefault="00D80693" w:rsidP="00E82F39">
            <w:pPr>
              <w:spacing w:before="120"/>
              <w:jc w:val="center"/>
              <w:rPr>
                <w:rFonts w:eastAsia="Aptos"/>
                <w:b/>
                <w:bCs/>
                <w:i/>
                <w:iCs/>
                <w:kern w:val="2"/>
                <w:lang w:val="fr-CI"/>
                <w14:ligatures w14:val="standardContextual"/>
              </w:rPr>
            </w:pPr>
            <w:r w:rsidRPr="003E128A">
              <w:rPr>
                <w:rFonts w:eastAsia="Aptos"/>
                <w:b/>
                <w:bCs/>
                <w:i/>
                <w:iCs/>
                <w:kern w:val="2"/>
                <w:lang w:val="fr-CI"/>
                <w14:ligatures w14:val="standardContextual"/>
              </w:rPr>
              <w:t>Tableau 5 : Répartition des enquêtés selon le niveau instruction des parents et les pratiques de fraude</w:t>
            </w:r>
          </w:p>
        </w:tc>
      </w:tr>
      <w:tr w:rsidR="00D80693" w14:paraId="120DC11F" w14:textId="77777777" w:rsidTr="00D72320">
        <w:tc>
          <w:tcPr>
            <w:tcW w:w="4744" w:type="dxa"/>
            <w:gridSpan w:val="2"/>
            <w:vMerge w:val="restart"/>
            <w:tcBorders>
              <w:top w:val="single" w:sz="16" w:space="0" w:color="000000"/>
              <w:left w:val="single" w:sz="16" w:space="0" w:color="000000"/>
              <w:bottom w:val="nil"/>
              <w:right w:val="nil"/>
            </w:tcBorders>
            <w:shd w:val="clear" w:color="auto" w:fill="FFFFFF"/>
          </w:tcPr>
          <w:p w14:paraId="62F2BB6C" w14:textId="77777777" w:rsidR="00D80693" w:rsidRPr="003E128A" w:rsidRDefault="00D80693" w:rsidP="00E82F39">
            <w:pPr>
              <w:spacing w:before="120"/>
              <w:jc w:val="both"/>
              <w:rPr>
                <w:rFonts w:eastAsia="Aptos"/>
                <w:kern w:val="2"/>
                <w:sz w:val="24"/>
                <w:szCs w:val="24"/>
                <w:lang w:val="fr-CI"/>
                <w14:ligatures w14:val="standardContextual"/>
              </w:rPr>
            </w:pPr>
            <w:r w:rsidRPr="003E128A">
              <w:rPr>
                <w:rFonts w:ascii="Arial" w:eastAsia="Aptos" w:hAnsi="Arial" w:cs="Arial"/>
                <w:color w:val="000000"/>
                <w:kern w:val="2"/>
                <w:sz w:val="18"/>
                <w:szCs w:val="18"/>
                <w:lang w:val="fr-CI"/>
                <w14:ligatures w14:val="standardContextual"/>
              </w:rPr>
              <w:t>Niveau instruction des parents et les pratiques de fraude</w:t>
            </w:r>
          </w:p>
        </w:tc>
        <w:tc>
          <w:tcPr>
            <w:tcW w:w="2424" w:type="dxa"/>
            <w:gridSpan w:val="2"/>
            <w:tcBorders>
              <w:top w:val="single" w:sz="16" w:space="0" w:color="000000"/>
              <w:left w:val="single" w:sz="16" w:space="0" w:color="000000"/>
            </w:tcBorders>
            <w:shd w:val="clear" w:color="auto" w:fill="FFFFFF"/>
          </w:tcPr>
          <w:p w14:paraId="150D0F27"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1000" w:type="dxa"/>
            <w:vMerge w:val="restart"/>
            <w:tcBorders>
              <w:top w:val="single" w:sz="16" w:space="0" w:color="000000"/>
              <w:right w:val="single" w:sz="16" w:space="0" w:color="000000"/>
            </w:tcBorders>
            <w:shd w:val="clear" w:color="auto" w:fill="FFFFFF"/>
          </w:tcPr>
          <w:p w14:paraId="310B1ABE"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r>
      <w:tr w:rsidR="00D80693" w14:paraId="77EA705A" w14:textId="77777777" w:rsidTr="00D72320">
        <w:tc>
          <w:tcPr>
            <w:tcW w:w="4744" w:type="dxa"/>
            <w:gridSpan w:val="2"/>
            <w:vMerge/>
            <w:tcBorders>
              <w:top w:val="single" w:sz="16" w:space="0" w:color="000000"/>
              <w:left w:val="single" w:sz="16" w:space="0" w:color="000000"/>
              <w:bottom w:val="nil"/>
              <w:right w:val="nil"/>
            </w:tcBorders>
            <w:shd w:val="clear" w:color="auto" w:fill="FFFFFF"/>
          </w:tcPr>
          <w:p w14:paraId="34B66A6D"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c>
          <w:tcPr>
            <w:tcW w:w="1000" w:type="dxa"/>
            <w:tcBorders>
              <w:left w:val="single" w:sz="16" w:space="0" w:color="000000"/>
              <w:bottom w:val="single" w:sz="16" w:space="0" w:color="000000"/>
            </w:tcBorders>
            <w:shd w:val="clear" w:color="auto" w:fill="FFFFFF"/>
          </w:tcPr>
          <w:p w14:paraId="551D98DC"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Fraude</w:t>
            </w:r>
          </w:p>
        </w:tc>
        <w:tc>
          <w:tcPr>
            <w:tcW w:w="1424" w:type="dxa"/>
            <w:tcBorders>
              <w:bottom w:val="single" w:sz="16" w:space="0" w:color="000000"/>
            </w:tcBorders>
            <w:shd w:val="clear" w:color="auto" w:fill="FFFFFF"/>
          </w:tcPr>
          <w:p w14:paraId="6B7E11C7"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Pas de fraude</w:t>
            </w:r>
          </w:p>
        </w:tc>
        <w:tc>
          <w:tcPr>
            <w:tcW w:w="1000" w:type="dxa"/>
            <w:vMerge/>
            <w:tcBorders>
              <w:top w:val="single" w:sz="16" w:space="0" w:color="000000"/>
              <w:right w:val="single" w:sz="16" w:space="0" w:color="000000"/>
            </w:tcBorders>
            <w:shd w:val="clear" w:color="auto" w:fill="FFFFFF"/>
          </w:tcPr>
          <w:p w14:paraId="5E7CE1AC"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r>
      <w:tr w:rsidR="00D80693" w14:paraId="0F8B8CCB" w14:textId="77777777" w:rsidTr="00D72320">
        <w:tc>
          <w:tcPr>
            <w:tcW w:w="2425" w:type="dxa"/>
            <w:vMerge w:val="restart"/>
            <w:tcBorders>
              <w:top w:val="single" w:sz="16" w:space="0" w:color="000000"/>
              <w:left w:val="single" w:sz="16" w:space="0" w:color="000000"/>
              <w:bottom w:val="nil"/>
              <w:right w:val="nil"/>
            </w:tcBorders>
            <w:shd w:val="clear" w:color="auto" w:fill="FFFFFF"/>
            <w:vAlign w:val="center"/>
          </w:tcPr>
          <w:p w14:paraId="77E529F9"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p>
        </w:tc>
        <w:tc>
          <w:tcPr>
            <w:tcW w:w="2319" w:type="dxa"/>
            <w:tcBorders>
              <w:top w:val="single" w:sz="16" w:space="0" w:color="000000"/>
              <w:left w:val="nil"/>
              <w:bottom w:val="nil"/>
              <w:right w:val="single" w:sz="16" w:space="0" w:color="000000"/>
            </w:tcBorders>
            <w:shd w:val="clear" w:color="auto" w:fill="FFFFFF"/>
            <w:vAlign w:val="center"/>
          </w:tcPr>
          <w:p w14:paraId="2D882A46"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Études supérieures</w:t>
            </w:r>
          </w:p>
        </w:tc>
        <w:tc>
          <w:tcPr>
            <w:tcW w:w="1000" w:type="dxa"/>
            <w:tcBorders>
              <w:top w:val="single" w:sz="16" w:space="0" w:color="000000"/>
              <w:left w:val="single" w:sz="16" w:space="0" w:color="000000"/>
              <w:bottom w:val="nil"/>
            </w:tcBorders>
            <w:shd w:val="clear" w:color="auto" w:fill="FFFFFF"/>
          </w:tcPr>
          <w:p w14:paraId="5BCA79CC"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20</w:t>
            </w:r>
          </w:p>
        </w:tc>
        <w:tc>
          <w:tcPr>
            <w:tcW w:w="1424" w:type="dxa"/>
            <w:tcBorders>
              <w:top w:val="single" w:sz="16" w:space="0" w:color="000000"/>
              <w:bottom w:val="nil"/>
            </w:tcBorders>
            <w:shd w:val="clear" w:color="auto" w:fill="FFFFFF"/>
          </w:tcPr>
          <w:p w14:paraId="01AF740F"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70</w:t>
            </w:r>
          </w:p>
        </w:tc>
        <w:tc>
          <w:tcPr>
            <w:tcW w:w="1000" w:type="dxa"/>
            <w:tcBorders>
              <w:top w:val="single" w:sz="16" w:space="0" w:color="000000"/>
              <w:bottom w:val="nil"/>
              <w:right w:val="single" w:sz="16" w:space="0" w:color="000000"/>
            </w:tcBorders>
            <w:shd w:val="clear" w:color="auto" w:fill="FFFFFF"/>
          </w:tcPr>
          <w:p w14:paraId="43041AF9"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90</w:t>
            </w:r>
          </w:p>
        </w:tc>
      </w:tr>
      <w:tr w:rsidR="00D80693" w14:paraId="3316382D" w14:textId="77777777" w:rsidTr="00D72320">
        <w:tc>
          <w:tcPr>
            <w:tcW w:w="2425" w:type="dxa"/>
            <w:vMerge/>
            <w:tcBorders>
              <w:top w:val="single" w:sz="16" w:space="0" w:color="000000"/>
              <w:left w:val="single" w:sz="16" w:space="0" w:color="000000"/>
              <w:bottom w:val="nil"/>
              <w:right w:val="nil"/>
            </w:tcBorders>
            <w:shd w:val="clear" w:color="auto" w:fill="FFFFFF"/>
            <w:vAlign w:val="center"/>
          </w:tcPr>
          <w:p w14:paraId="77A4F30D"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c>
          <w:tcPr>
            <w:tcW w:w="2319" w:type="dxa"/>
            <w:tcBorders>
              <w:top w:val="nil"/>
              <w:left w:val="nil"/>
              <w:bottom w:val="nil"/>
              <w:right w:val="single" w:sz="16" w:space="0" w:color="000000"/>
            </w:tcBorders>
            <w:shd w:val="clear" w:color="auto" w:fill="FFFFFF"/>
            <w:vAlign w:val="center"/>
          </w:tcPr>
          <w:p w14:paraId="0E0D397B"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Secondaire</w:t>
            </w:r>
          </w:p>
        </w:tc>
        <w:tc>
          <w:tcPr>
            <w:tcW w:w="1000" w:type="dxa"/>
            <w:tcBorders>
              <w:top w:val="nil"/>
              <w:left w:val="single" w:sz="16" w:space="0" w:color="000000"/>
              <w:bottom w:val="nil"/>
            </w:tcBorders>
            <w:shd w:val="clear" w:color="auto" w:fill="FFFFFF"/>
          </w:tcPr>
          <w:p w14:paraId="2C62CB9F"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60</w:t>
            </w:r>
          </w:p>
        </w:tc>
        <w:tc>
          <w:tcPr>
            <w:tcW w:w="1424" w:type="dxa"/>
            <w:tcBorders>
              <w:top w:val="nil"/>
              <w:bottom w:val="nil"/>
            </w:tcBorders>
            <w:shd w:val="clear" w:color="auto" w:fill="FFFFFF"/>
          </w:tcPr>
          <w:p w14:paraId="652A657B"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55</w:t>
            </w:r>
          </w:p>
        </w:tc>
        <w:tc>
          <w:tcPr>
            <w:tcW w:w="1000" w:type="dxa"/>
            <w:tcBorders>
              <w:top w:val="nil"/>
              <w:bottom w:val="nil"/>
              <w:right w:val="single" w:sz="16" w:space="0" w:color="000000"/>
            </w:tcBorders>
            <w:shd w:val="clear" w:color="auto" w:fill="FFFFFF"/>
          </w:tcPr>
          <w:p w14:paraId="26840DE8"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115</w:t>
            </w:r>
          </w:p>
        </w:tc>
      </w:tr>
      <w:tr w:rsidR="00D80693" w14:paraId="366BBA8F" w14:textId="77777777" w:rsidTr="00D72320">
        <w:tc>
          <w:tcPr>
            <w:tcW w:w="2425" w:type="dxa"/>
            <w:vMerge/>
            <w:tcBorders>
              <w:top w:val="single" w:sz="16" w:space="0" w:color="000000"/>
              <w:left w:val="single" w:sz="16" w:space="0" w:color="000000"/>
              <w:bottom w:val="nil"/>
              <w:right w:val="nil"/>
            </w:tcBorders>
            <w:shd w:val="clear" w:color="auto" w:fill="FFFFFF"/>
            <w:vAlign w:val="center"/>
          </w:tcPr>
          <w:p w14:paraId="7675E758" w14:textId="77777777" w:rsidR="00D80693" w:rsidRPr="003E128A" w:rsidRDefault="00D80693" w:rsidP="00E82F39">
            <w:pPr>
              <w:spacing w:before="120"/>
              <w:jc w:val="both"/>
              <w:rPr>
                <w:rFonts w:ascii="Arial" w:eastAsia="Aptos" w:hAnsi="Arial" w:cs="Arial"/>
                <w:color w:val="000000"/>
                <w:kern w:val="2"/>
                <w:sz w:val="18"/>
                <w:szCs w:val="18"/>
                <w:lang w:val="fr-CI"/>
                <w14:ligatures w14:val="standardContextual"/>
              </w:rPr>
            </w:pPr>
          </w:p>
        </w:tc>
        <w:tc>
          <w:tcPr>
            <w:tcW w:w="2319" w:type="dxa"/>
            <w:tcBorders>
              <w:top w:val="nil"/>
              <w:left w:val="nil"/>
              <w:bottom w:val="nil"/>
              <w:right w:val="single" w:sz="16" w:space="0" w:color="000000"/>
            </w:tcBorders>
            <w:shd w:val="clear" w:color="auto" w:fill="FFFFFF"/>
            <w:vAlign w:val="center"/>
          </w:tcPr>
          <w:p w14:paraId="2439025F"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Primaire ou analphabète</w:t>
            </w:r>
          </w:p>
        </w:tc>
        <w:tc>
          <w:tcPr>
            <w:tcW w:w="1000" w:type="dxa"/>
            <w:tcBorders>
              <w:top w:val="nil"/>
              <w:left w:val="single" w:sz="16" w:space="0" w:color="000000"/>
              <w:bottom w:val="nil"/>
            </w:tcBorders>
            <w:shd w:val="clear" w:color="auto" w:fill="FFFFFF"/>
          </w:tcPr>
          <w:p w14:paraId="3A1CC377"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60</w:t>
            </w:r>
          </w:p>
        </w:tc>
        <w:tc>
          <w:tcPr>
            <w:tcW w:w="1424" w:type="dxa"/>
            <w:tcBorders>
              <w:top w:val="nil"/>
              <w:bottom w:val="nil"/>
            </w:tcBorders>
            <w:shd w:val="clear" w:color="auto" w:fill="FFFFFF"/>
          </w:tcPr>
          <w:p w14:paraId="7C83749C"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35</w:t>
            </w:r>
          </w:p>
        </w:tc>
        <w:tc>
          <w:tcPr>
            <w:tcW w:w="1000" w:type="dxa"/>
            <w:tcBorders>
              <w:top w:val="nil"/>
              <w:bottom w:val="nil"/>
              <w:right w:val="single" w:sz="16" w:space="0" w:color="000000"/>
            </w:tcBorders>
            <w:shd w:val="clear" w:color="auto" w:fill="FFFFFF"/>
          </w:tcPr>
          <w:p w14:paraId="5A1D7058"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95</w:t>
            </w:r>
          </w:p>
        </w:tc>
      </w:tr>
      <w:tr w:rsidR="00D80693" w14:paraId="093B9AB6" w14:textId="77777777" w:rsidTr="00D72320">
        <w:tc>
          <w:tcPr>
            <w:tcW w:w="4744" w:type="dxa"/>
            <w:gridSpan w:val="2"/>
            <w:tcBorders>
              <w:top w:val="nil"/>
              <w:left w:val="single" w:sz="16" w:space="0" w:color="000000"/>
              <w:bottom w:val="single" w:sz="16" w:space="0" w:color="000000"/>
              <w:right w:val="nil"/>
            </w:tcBorders>
            <w:shd w:val="clear" w:color="auto" w:fill="FFFFFF"/>
            <w:vAlign w:val="center"/>
          </w:tcPr>
          <w:p w14:paraId="5DE0CA94"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Total</w:t>
            </w:r>
          </w:p>
        </w:tc>
        <w:tc>
          <w:tcPr>
            <w:tcW w:w="1000" w:type="dxa"/>
            <w:tcBorders>
              <w:top w:val="nil"/>
              <w:left w:val="single" w:sz="16" w:space="0" w:color="000000"/>
              <w:bottom w:val="single" w:sz="16" w:space="0" w:color="000000"/>
            </w:tcBorders>
            <w:shd w:val="clear" w:color="auto" w:fill="FFFFFF"/>
          </w:tcPr>
          <w:p w14:paraId="13C86650"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125</w:t>
            </w:r>
          </w:p>
        </w:tc>
        <w:tc>
          <w:tcPr>
            <w:tcW w:w="1424" w:type="dxa"/>
            <w:tcBorders>
              <w:top w:val="nil"/>
              <w:bottom w:val="single" w:sz="16" w:space="0" w:color="000000"/>
            </w:tcBorders>
            <w:shd w:val="clear" w:color="auto" w:fill="FFFFFF"/>
          </w:tcPr>
          <w:p w14:paraId="0A09B6AD"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160</w:t>
            </w:r>
          </w:p>
        </w:tc>
        <w:tc>
          <w:tcPr>
            <w:tcW w:w="1000" w:type="dxa"/>
            <w:tcBorders>
              <w:top w:val="nil"/>
              <w:bottom w:val="single" w:sz="16" w:space="0" w:color="000000"/>
              <w:right w:val="single" w:sz="16" w:space="0" w:color="000000"/>
            </w:tcBorders>
            <w:shd w:val="clear" w:color="auto" w:fill="FFFFFF"/>
          </w:tcPr>
          <w:p w14:paraId="31B1B363" w14:textId="77777777" w:rsidR="00D80693" w:rsidRPr="003E128A" w:rsidRDefault="00D80693" w:rsidP="00E82F39">
            <w:pPr>
              <w:spacing w:before="120"/>
              <w:ind w:left="60" w:right="60"/>
              <w:jc w:val="both"/>
              <w:rPr>
                <w:rFonts w:ascii="Arial" w:eastAsia="Aptos" w:hAnsi="Arial" w:cs="Arial"/>
                <w:color w:val="000000"/>
                <w:kern w:val="2"/>
                <w:sz w:val="18"/>
                <w:szCs w:val="18"/>
                <w:lang w:val="fr-CI"/>
                <w14:ligatures w14:val="standardContextual"/>
              </w:rPr>
            </w:pPr>
            <w:r w:rsidRPr="003E128A">
              <w:rPr>
                <w:rFonts w:ascii="Arial" w:eastAsia="Aptos" w:hAnsi="Arial" w:cs="Arial"/>
                <w:color w:val="000000"/>
                <w:kern w:val="2"/>
                <w:sz w:val="18"/>
                <w:szCs w:val="18"/>
                <w:lang w:val="fr-CI"/>
                <w14:ligatures w14:val="standardContextual"/>
              </w:rPr>
              <w:t>300</w:t>
            </w:r>
          </w:p>
        </w:tc>
      </w:tr>
    </w:tbl>
    <w:p w14:paraId="0C3A0D9F" w14:textId="77777777" w:rsidR="00D80693" w:rsidRPr="00B1770E" w:rsidRDefault="00D80693" w:rsidP="00E82F39">
      <w:pPr>
        <w:spacing w:before="120"/>
        <w:jc w:val="both"/>
        <w:rPr>
          <w:rFonts w:eastAsia="Aptos"/>
          <w:i/>
          <w:iCs/>
          <w:kern w:val="2"/>
          <w:lang w:val="fr-CI"/>
          <w14:ligatures w14:val="standardContextual"/>
        </w:rPr>
      </w:pPr>
      <w:r w:rsidRPr="003E128A">
        <w:rPr>
          <w:rFonts w:eastAsia="Aptos"/>
          <w:kern w:val="2"/>
          <w:sz w:val="24"/>
          <w:szCs w:val="24"/>
          <w:lang w:val="fr-CI"/>
          <w14:ligatures w14:val="standardContextual"/>
        </w:rPr>
        <w:t xml:space="preserve">                                     </w:t>
      </w:r>
      <w:r w:rsidRPr="003E128A">
        <w:rPr>
          <w:rFonts w:eastAsia="Aptos"/>
          <w:i/>
          <w:iCs/>
          <w:kern w:val="2"/>
          <w:lang w:val="fr-CI"/>
          <w14:ligatures w14:val="standardContextual"/>
        </w:rPr>
        <w:t>Source : Koffi n’Guessan Williams, (2025)</w:t>
      </w:r>
    </w:p>
    <w:p w14:paraId="2A294196" w14:textId="77777777" w:rsidR="00D80693" w:rsidRDefault="00D80693" w:rsidP="00E82F39">
      <w:pPr>
        <w:spacing w:before="120" w:after="100" w:afterAutospacing="1"/>
        <w:jc w:val="both"/>
        <w:rPr>
          <w:sz w:val="24"/>
          <w:szCs w:val="24"/>
          <w:lang w:val="fr-CI" w:eastAsia="zh-CN"/>
        </w:rPr>
      </w:pPr>
      <w:r>
        <w:rPr>
          <w:sz w:val="24"/>
          <w:szCs w:val="24"/>
          <w:lang w:val="fr-CI" w:eastAsia="zh-CN"/>
        </w:rPr>
        <w:t>Les résultats obtenus montrent que, sur un échantillon de 300 élèves interrogés au BEPC et au BAC, 90 élèves ont des parents de niveau supérieur, 115 élèves ont des parents de niveau secondaire et 95 élèves ont des parents de niveau primaire ou sont issus de familles analphabètes. Parmi les élèves dont les parents sont de niveau supérieur, 20 ont reconnu avoir fraudé, contre 70 qui n’ont pas fraudé. Pour les élèves dont les parents ont un niveau secondaire, 60 ont fraudé, tandis que 35 n’ont pas eu recours à la fraude. Ces résultats suggèrent que l’alphabétisation et la sensibilisation des familles pourraient constituer des leviers importants pour renforcer la lutte contre la fraude scolaire. Le test du Khi-deux, égal à 33,39, avec une p-value de 0,000, montre que cette relation est significative. Le V de Cramer, égal à 0,33, indique une association modérée, ce qui signifie que le niveau d’éducation des parents influence la moralité scolaire de leurs enfants.</w:t>
      </w:r>
    </w:p>
    <w:p w14:paraId="441B77CD" w14:textId="77777777" w:rsidR="00D80693" w:rsidRPr="00B71132" w:rsidRDefault="00D80693" w:rsidP="00E82F39">
      <w:pPr>
        <w:spacing w:before="120"/>
        <w:rPr>
          <w:b/>
          <w:bCs/>
          <w:sz w:val="28"/>
          <w:szCs w:val="28"/>
          <w:lang w:val="fr-CI" w:eastAsia="zh-CN"/>
        </w:rPr>
      </w:pPr>
      <w:r w:rsidRPr="00B71132">
        <w:rPr>
          <w:b/>
          <w:bCs/>
          <w:sz w:val="28"/>
          <w:szCs w:val="28"/>
          <w:lang w:val="fr-CI" w:eastAsia="zh-CN"/>
        </w:rPr>
        <w:t>3. Discussion</w:t>
      </w:r>
    </w:p>
    <w:p w14:paraId="6CCFC870" w14:textId="77777777" w:rsidR="00D80693" w:rsidRPr="009F42F3" w:rsidRDefault="00D80693" w:rsidP="00E82F39">
      <w:pPr>
        <w:spacing w:before="120" w:after="100" w:afterAutospacing="1"/>
        <w:jc w:val="both"/>
        <w:rPr>
          <w:sz w:val="24"/>
          <w:szCs w:val="24"/>
          <w:lang w:val="fr-CI" w:eastAsia="zh-CN"/>
        </w:rPr>
      </w:pPr>
      <w:r w:rsidRPr="009F42F3">
        <w:rPr>
          <w:sz w:val="24"/>
          <w:szCs w:val="24"/>
          <w:lang w:val="fr-CI" w:eastAsia="zh-CN"/>
        </w:rPr>
        <w:t>Les résultats de cette étude montrent que le phénomène de fraude aux examens nationaux du Brevet d’Études du Premier Cycle (BEPC) et du Baccalauréat varie significativement selon plusieurs facteurs : le sexe, l’environnement familial, le niveau socioéconomique, la qualité du suivi parental et le niveau d’instruction des parents (Koffi, N. W., 2025).</w:t>
      </w:r>
      <w:r>
        <w:rPr>
          <w:sz w:val="24"/>
          <w:szCs w:val="24"/>
          <w:lang w:val="fr-CI" w:eastAsia="zh-CN"/>
        </w:rPr>
        <w:t xml:space="preserve"> Concernant le sexe, l</w:t>
      </w:r>
      <w:r w:rsidRPr="009F42F3">
        <w:rPr>
          <w:sz w:val="24"/>
          <w:szCs w:val="24"/>
          <w:lang w:val="fr-CI" w:eastAsia="zh-CN"/>
        </w:rPr>
        <w:t xml:space="preserve">es données révèlent que les garçons sont proportionnellement plus nombreux à reconnaître avoir fraudé (119 garçons, soit 79,3 %) que les filles (27 filles, soit 18 %). Ces résultats corroborent les travaux de </w:t>
      </w:r>
      <w:proofErr w:type="spellStart"/>
      <w:r w:rsidRPr="009F42F3">
        <w:rPr>
          <w:sz w:val="24"/>
          <w:szCs w:val="24"/>
          <w:lang w:val="fr-CI" w:eastAsia="zh-CN"/>
        </w:rPr>
        <w:t>Tchindjang</w:t>
      </w:r>
      <w:proofErr w:type="spellEnd"/>
      <w:r w:rsidRPr="009F42F3">
        <w:rPr>
          <w:sz w:val="24"/>
          <w:szCs w:val="24"/>
          <w:lang w:val="fr-CI" w:eastAsia="zh-CN"/>
        </w:rPr>
        <w:t>, M., Ngoma, P., et Bandura, A. (1977), qui montrent que les garçons, socialisés dans une logique de compétition, de performance et de prise de risque, adoptent plus facilement des comportements transgressifs.</w:t>
      </w:r>
      <w:r>
        <w:rPr>
          <w:sz w:val="24"/>
          <w:szCs w:val="24"/>
          <w:lang w:val="fr-CI" w:eastAsia="zh-CN"/>
        </w:rPr>
        <w:t xml:space="preserve"> </w:t>
      </w:r>
      <w:r w:rsidRPr="009F42F3">
        <w:rPr>
          <w:sz w:val="24"/>
          <w:szCs w:val="24"/>
          <w:lang w:val="fr-CI" w:eastAsia="zh-CN"/>
        </w:rPr>
        <w:t>Cependant, des études menées au Ghana par Mensah, P., &amp; Agyeman, K. (2019)</w:t>
      </w:r>
      <w:r>
        <w:rPr>
          <w:sz w:val="24"/>
          <w:szCs w:val="24"/>
          <w:lang w:val="fr-CI" w:eastAsia="zh-CN"/>
        </w:rPr>
        <w:t>,</w:t>
      </w:r>
      <w:r w:rsidRPr="009F42F3">
        <w:rPr>
          <w:sz w:val="24"/>
          <w:szCs w:val="24"/>
          <w:lang w:val="fr-CI" w:eastAsia="zh-CN"/>
        </w:rPr>
        <w:t xml:space="preserve"> indiquent que les filles peuvent également recourir à la fraude lorsque la pression scolaire ou familiale devient élevée. Ainsi, la relation entre sexe et fraude apparaît fortement dépendante des dynamiques culturelles, sociales et éducatives propres à chaque contexte.</w:t>
      </w:r>
      <w:r w:rsidRPr="007178D8">
        <w:rPr>
          <w:sz w:val="24"/>
          <w:szCs w:val="24"/>
          <w:lang w:val="fr-CI" w:eastAsia="zh-CN"/>
        </w:rPr>
        <w:t xml:space="preserve"> S’agissant de l’Environnement familial</w:t>
      </w:r>
      <w:r>
        <w:rPr>
          <w:sz w:val="24"/>
          <w:szCs w:val="24"/>
          <w:lang w:val="fr-CI" w:eastAsia="zh-CN"/>
        </w:rPr>
        <w:t>, l</w:t>
      </w:r>
      <w:r w:rsidRPr="009F42F3">
        <w:rPr>
          <w:sz w:val="24"/>
          <w:szCs w:val="24"/>
          <w:lang w:val="fr-CI" w:eastAsia="zh-CN"/>
        </w:rPr>
        <w:t>es résultats montrent que 67,1 % des élèves issus d’un environnement familial perçu comme négatif reconnaissent avoir fraudé, contre seulement 13,4 % de ceux provenant d’un milieu familial positif. Deslandes, R., &amp; Bertrand, R. (2004) soulignent que la qualité des interactions familiales influence directement les comportements scolaires et le respect des règles institutionnelles.</w:t>
      </w:r>
      <w:r>
        <w:rPr>
          <w:sz w:val="24"/>
          <w:szCs w:val="24"/>
          <w:lang w:val="fr-CI" w:eastAsia="zh-CN"/>
        </w:rPr>
        <w:t xml:space="preserve"> </w:t>
      </w:r>
      <w:r w:rsidRPr="009F42F3">
        <w:rPr>
          <w:sz w:val="24"/>
          <w:szCs w:val="24"/>
          <w:lang w:val="fr-CI" w:eastAsia="zh-CN"/>
        </w:rPr>
        <w:t>Cependant, Murdock, T., &amp; Anderman, E. (2006)</w:t>
      </w:r>
      <w:r>
        <w:rPr>
          <w:sz w:val="24"/>
          <w:szCs w:val="24"/>
          <w:lang w:val="fr-CI" w:eastAsia="zh-CN"/>
        </w:rPr>
        <w:t>,</w:t>
      </w:r>
      <w:r w:rsidRPr="009F42F3">
        <w:rPr>
          <w:sz w:val="24"/>
          <w:szCs w:val="24"/>
          <w:lang w:val="fr-CI" w:eastAsia="zh-CN"/>
        </w:rPr>
        <w:t xml:space="preserve"> nuancent ce lien en soulignant qu’une pression implicite forte, même dans des familles soutenantes, peut encourager la fraude, notamment lorsque la réussite scolaire est perçue comme un impératif social ou moral. Les résultats qualitatifs de notre étude confirment ce phénomène : certains parents valorisent la réussite à tout prix, ce qui peut pousser l’élève à transgresser les règles pour répondre à ces attentes.</w:t>
      </w:r>
    </w:p>
    <w:p w14:paraId="7A497023" w14:textId="77777777" w:rsidR="00D80693" w:rsidRPr="00A15C5E" w:rsidRDefault="00D80693" w:rsidP="00E82F39">
      <w:pPr>
        <w:spacing w:before="120"/>
        <w:jc w:val="both"/>
        <w:rPr>
          <w:sz w:val="24"/>
          <w:szCs w:val="24"/>
          <w:lang w:val="fr-CI" w:eastAsia="zh-CN"/>
        </w:rPr>
      </w:pPr>
      <w:r w:rsidRPr="007178D8">
        <w:rPr>
          <w:sz w:val="24"/>
          <w:szCs w:val="24"/>
          <w:lang w:val="fr-CI" w:eastAsia="zh-CN"/>
        </w:rPr>
        <w:t>L’analyse du Niveau socioéconomique</w:t>
      </w:r>
      <w:r>
        <w:rPr>
          <w:b/>
          <w:bCs/>
          <w:sz w:val="27"/>
          <w:szCs w:val="27"/>
          <w:lang w:val="fr-CI" w:eastAsia="zh-CN"/>
        </w:rPr>
        <w:t xml:space="preserve"> </w:t>
      </w:r>
      <w:r w:rsidRPr="009F42F3">
        <w:rPr>
          <w:sz w:val="24"/>
          <w:szCs w:val="24"/>
          <w:lang w:val="fr-CI" w:eastAsia="zh-CN"/>
        </w:rPr>
        <w:t>montre</w:t>
      </w:r>
      <w:r>
        <w:rPr>
          <w:sz w:val="24"/>
          <w:szCs w:val="24"/>
          <w:lang w:val="fr-CI" w:eastAsia="zh-CN"/>
        </w:rPr>
        <w:t xml:space="preserve">  </w:t>
      </w:r>
      <w:r w:rsidRPr="009F42F3">
        <w:rPr>
          <w:sz w:val="24"/>
          <w:szCs w:val="24"/>
          <w:lang w:val="fr-CI" w:eastAsia="zh-CN"/>
        </w:rPr>
        <w:t xml:space="preserve"> une relation inverse entre le niveau socioéconomique et la propension à frauder. Ainsi, 89,1 % des élèves issus de familles défavorisées admettent tricher, contre 30,1 % des élèves provenant de familles aisées. Les conclusions de Heyneman, S., &amp; Loxley, W. (1983) soutiennent cette tendance, en affirmant que les inégalités économiques limitent l’accès aux ressources éducatives, renforçant ainsi la tentation de frauder pour compenser les difficultés scolaires.</w:t>
      </w:r>
      <w:r>
        <w:rPr>
          <w:b/>
          <w:bCs/>
          <w:sz w:val="27"/>
          <w:szCs w:val="27"/>
          <w:lang w:val="fr-CI" w:eastAsia="zh-CN"/>
        </w:rPr>
        <w:t xml:space="preserve"> </w:t>
      </w:r>
      <w:r w:rsidRPr="009F42F3">
        <w:rPr>
          <w:sz w:val="24"/>
          <w:szCs w:val="24"/>
          <w:lang w:val="fr-CI" w:eastAsia="zh-CN"/>
        </w:rPr>
        <w:t xml:space="preserve">Toutefois, </w:t>
      </w:r>
      <w:r>
        <w:rPr>
          <w:sz w:val="24"/>
          <w:szCs w:val="24"/>
          <w:lang w:val="fr-CI" w:eastAsia="zh-CN"/>
        </w:rPr>
        <w:t>Guibert, P.</w:t>
      </w:r>
      <w:r w:rsidRPr="0095359E">
        <w:rPr>
          <w:rFonts w:eastAsia="DengXian"/>
          <w:noProof/>
          <w:kern w:val="2"/>
          <w:sz w:val="24"/>
          <w:szCs w:val="24"/>
          <w:lang w:eastAsia="zh-CN"/>
          <w14:ligatures w14:val="standardContextual"/>
        </w:rPr>
        <w:t xml:space="preserve"> </w:t>
      </w:r>
      <w:r w:rsidRPr="00AE6E48">
        <w:rPr>
          <w:rFonts w:eastAsia="DengXian"/>
          <w:noProof/>
          <w:kern w:val="2"/>
          <w:sz w:val="24"/>
          <w:szCs w:val="24"/>
          <w:lang w:eastAsia="zh-CN"/>
          <w14:ligatures w14:val="standardContextual"/>
        </w:rPr>
        <w:t>&amp;</w:t>
      </w:r>
      <w:r>
        <w:rPr>
          <w:sz w:val="24"/>
          <w:szCs w:val="24"/>
          <w:lang w:val="fr-CI" w:eastAsia="zh-CN"/>
        </w:rPr>
        <w:t xml:space="preserve"> Michaut, C. (2009), </w:t>
      </w:r>
      <w:r w:rsidRPr="009F42F3">
        <w:rPr>
          <w:sz w:val="24"/>
          <w:szCs w:val="24"/>
          <w:lang w:val="fr-CI" w:eastAsia="zh-CN"/>
        </w:rPr>
        <w:t>rappellent que la fraude n’épargne pas les milieux favorisés. Dans certaines familles aisées, la pression de maintenir un statut social élevé ou d’atteindre l’excellence peut également conduire les élèves à adopter des pratiques frauduleuses.</w:t>
      </w:r>
      <w:r>
        <w:rPr>
          <w:rFonts w:eastAsia="DengXian"/>
          <w:kern w:val="2"/>
          <w:sz w:val="24"/>
          <w:szCs w:val="24"/>
          <w:lang w:val="fr-CI" w:eastAsia="zh-CN"/>
          <w14:ligatures w14:val="standardContextual"/>
        </w:rPr>
        <w:t xml:space="preserve"> La qualité du suivi parental constitue également un déterminant clé : plus celui-ci est fort, plus la probabilité de fraude diminue 115 élèves soit 81% pour un suivi faible contre 77,5% pour un suivi fort. </w:t>
      </w:r>
      <w:r w:rsidRPr="00AE6E48">
        <w:rPr>
          <w:rFonts w:eastAsia="DengXian"/>
          <w:noProof/>
          <w:kern w:val="2"/>
          <w:sz w:val="24"/>
          <w:szCs w:val="24"/>
          <w:lang w:eastAsia="zh-CN"/>
          <w14:ligatures w14:val="standardContextual"/>
        </w:rPr>
        <w:t>Fan , W., &amp; Chen, M. (2001)</w:t>
      </w:r>
      <w:r>
        <w:rPr>
          <w:rFonts w:eastAsia="DengXian"/>
          <w:noProof/>
          <w:kern w:val="2"/>
          <w:sz w:val="24"/>
          <w:szCs w:val="24"/>
          <w:lang w:eastAsia="zh-CN"/>
          <w14:ligatures w14:val="standardContextual"/>
        </w:rPr>
        <w:t>,</w:t>
      </w:r>
      <w:r>
        <w:rPr>
          <w:rFonts w:eastAsia="DengXian"/>
          <w:kern w:val="2"/>
          <w:sz w:val="24"/>
          <w:szCs w:val="24"/>
          <w:lang w:val="fr-CI" w:eastAsia="zh-CN"/>
          <w14:ligatures w14:val="standardContextual"/>
        </w:rPr>
        <w:t xml:space="preserve"> confirment que l’implication parentale est l’un des facteurs les plus puissants de réussite scolaire. </w:t>
      </w:r>
      <w:r w:rsidRPr="00A15C5E">
        <w:rPr>
          <w:rFonts w:eastAsia="DengXian"/>
          <w:kern w:val="2"/>
          <w:sz w:val="24"/>
          <w:szCs w:val="24"/>
          <w:lang w:val="fr-CI" w:eastAsia="zh-CN"/>
          <w14:ligatures w14:val="standardContextual"/>
        </w:rPr>
        <w:t>Perrenoud, P. (1995)</w:t>
      </w:r>
      <w:r w:rsidRPr="009F42F3">
        <w:rPr>
          <w:sz w:val="24"/>
          <w:szCs w:val="24"/>
          <w:lang w:val="fr-CI" w:eastAsia="zh-CN"/>
        </w:rPr>
        <w:t>, précise</w:t>
      </w:r>
      <w:r>
        <w:rPr>
          <w:rFonts w:eastAsia="DengXian"/>
          <w:kern w:val="2"/>
          <w:sz w:val="24"/>
          <w:szCs w:val="24"/>
          <w:lang w:val="fr-CI" w:eastAsia="zh-CN"/>
          <w14:ligatures w14:val="standardContextual"/>
        </w:rPr>
        <w:t xml:space="preserve"> que c’est la qualité du suivi, et non sa fréquence, qui influence réellement sur les comportements scolaires.</w:t>
      </w:r>
      <w:r>
        <w:rPr>
          <w:sz w:val="24"/>
          <w:szCs w:val="24"/>
          <w:lang w:val="fr-CI" w:eastAsia="zh-CN"/>
        </w:rPr>
        <w:t xml:space="preserve"> </w:t>
      </w:r>
      <w:r w:rsidRPr="009F42F3">
        <w:rPr>
          <w:sz w:val="24"/>
          <w:szCs w:val="24"/>
          <w:lang w:val="fr-CI" w:eastAsia="zh-CN"/>
        </w:rPr>
        <w:t xml:space="preserve">Les résultats </w:t>
      </w:r>
      <w:r w:rsidRPr="005F457D">
        <w:rPr>
          <w:sz w:val="24"/>
          <w:szCs w:val="24"/>
          <w:lang w:val="fr-CI" w:eastAsia="zh-CN"/>
        </w:rPr>
        <w:t xml:space="preserve">sur le </w:t>
      </w:r>
      <w:r>
        <w:rPr>
          <w:sz w:val="24"/>
          <w:szCs w:val="24"/>
          <w:lang w:val="fr-CI" w:eastAsia="zh-CN"/>
        </w:rPr>
        <w:t>n</w:t>
      </w:r>
      <w:r w:rsidRPr="005F457D">
        <w:rPr>
          <w:sz w:val="24"/>
          <w:szCs w:val="24"/>
          <w:lang w:val="fr-CI" w:eastAsia="zh-CN"/>
        </w:rPr>
        <w:t xml:space="preserve">iveau d’instruction des parents </w:t>
      </w:r>
      <w:r w:rsidRPr="009F42F3">
        <w:rPr>
          <w:sz w:val="24"/>
          <w:szCs w:val="24"/>
          <w:lang w:val="fr-CI" w:eastAsia="zh-CN"/>
        </w:rPr>
        <w:t>mettent également en évidence un effet marqué du niveau d’instruction des parents : seuls 22 % des élèves dont les parents ont un niveau d’enseignement supérieur déclarent avoir fraudé, contre 63,1 % des élèves dont les parents présentent un niveau d’instruction faible. Ce constat est cohérent avec les travaux de Davis</w:t>
      </w:r>
      <w:r>
        <w:rPr>
          <w:sz w:val="24"/>
          <w:szCs w:val="24"/>
          <w:lang w:val="fr-CI" w:eastAsia="zh-CN"/>
        </w:rPr>
        <w:t xml:space="preserve"> </w:t>
      </w:r>
      <w:r w:rsidRPr="009F42F3">
        <w:rPr>
          <w:sz w:val="24"/>
          <w:szCs w:val="24"/>
          <w:lang w:val="fr-CI" w:eastAsia="zh-CN"/>
        </w:rPr>
        <w:t>Kean, P. (2005), selon lesquels le niveau d’éducation parentale influence fortement les attentes scolaires, les stratégies éducatives et la compréhension des enjeux liés à la réussite académique.</w:t>
      </w:r>
    </w:p>
    <w:p w14:paraId="6E5FEDDE" w14:textId="77777777" w:rsidR="00D80693" w:rsidRPr="002936CB" w:rsidRDefault="00D80693" w:rsidP="00E82F39">
      <w:pPr>
        <w:spacing w:before="120"/>
        <w:rPr>
          <w:b/>
          <w:bCs/>
          <w:kern w:val="36"/>
          <w:sz w:val="28"/>
          <w:szCs w:val="28"/>
          <w:lang w:val="fr-CI" w:eastAsia="zh-CN"/>
        </w:rPr>
      </w:pPr>
      <w:r w:rsidRPr="002936CB">
        <w:rPr>
          <w:b/>
          <w:bCs/>
          <w:kern w:val="36"/>
          <w:sz w:val="28"/>
          <w:szCs w:val="28"/>
          <w:lang w:val="fr-CI" w:eastAsia="zh-CN"/>
        </w:rPr>
        <w:t>Conclusion</w:t>
      </w:r>
    </w:p>
    <w:p w14:paraId="713540ED" w14:textId="77777777" w:rsidR="00D80693" w:rsidRPr="00412981" w:rsidRDefault="00D80693" w:rsidP="00E82F39">
      <w:pPr>
        <w:spacing w:before="120"/>
        <w:jc w:val="both"/>
        <w:rPr>
          <w:rFonts w:eastAsia="Aptos"/>
          <w:kern w:val="2"/>
          <w:sz w:val="24"/>
          <w:szCs w:val="24"/>
          <w:lang w:val="fr-CI"/>
          <w14:ligatures w14:val="standardContextual"/>
        </w:rPr>
      </w:pPr>
      <w:r w:rsidRPr="00412981">
        <w:rPr>
          <w:rFonts w:eastAsia="Aptos"/>
          <w:kern w:val="2"/>
          <w:sz w:val="24"/>
          <w:szCs w:val="24"/>
          <w:lang w:val="fr-CI"/>
          <w14:ligatures w14:val="standardContextual"/>
        </w:rPr>
        <w:t>Cette étude a porté sur l’influence du milieu familial sur les comportements frauduleux des élèves lors des examens du Brevet d’étude</w:t>
      </w:r>
      <w:r>
        <w:rPr>
          <w:rFonts w:eastAsia="Aptos"/>
          <w:kern w:val="2"/>
          <w:sz w:val="24"/>
          <w:szCs w:val="24"/>
          <w:lang w:val="fr-CI"/>
          <w14:ligatures w14:val="standardContextual"/>
        </w:rPr>
        <w:t>s</w:t>
      </w:r>
      <w:r w:rsidRPr="00412981">
        <w:rPr>
          <w:rFonts w:eastAsia="Aptos"/>
          <w:kern w:val="2"/>
          <w:sz w:val="24"/>
          <w:szCs w:val="24"/>
          <w:lang w:val="fr-CI"/>
          <w14:ligatures w14:val="standardContextual"/>
        </w:rPr>
        <w:t xml:space="preserve"> du premier cycle et du Baccalauréat dans la ville d’Abidjan. Son objectif était d’analyser l’influence du milieu familial sur les comportements frauduleux des élèves. À issu des analyses quantitative et qualitative, des données ont été dégagées. Il ressort de l’étude que le niveau socio -économique faible des parents, l’insuffisance de suivi parental, le niveau d’instruction faible, le style éducatif et les discours liés à la réussite favorisent les comportements déviants chez les apprenants. Les résultats de l’étude ont également justifié la pertinence des théories du capital social et de la théorie du triangle de la fraude. Cette recherche a mis en évidence la responsabilité familiale sur les comportements déviants des apprenants. Au regard des constats effectués, cette recherche préconise la mise en œuvre de mesures concrètes pour lutter efficacement contre les comportements frauduleux des élèves lors des examens.  Il convient de mettre en place un programme de sensibilisation des parents sur leur rôle éducatif et leur responsabilité dans la formation de l’intégrité scolaire des apprenants à travers les médias et hors médias. Former les enseignants et encadreurs sur l’éthique académique, et de développer des campagnes nationales de communication associant familles, écoles et autorités éducatives </w:t>
      </w:r>
      <w:bookmarkStart w:id="234" w:name="_Hlk208647861"/>
      <w:r w:rsidRPr="00412981">
        <w:rPr>
          <w:rFonts w:eastAsia="Aptos"/>
          <w:kern w:val="2"/>
          <w:sz w:val="24"/>
          <w:szCs w:val="24"/>
          <w:lang w:val="fr-CI"/>
          <w14:ligatures w14:val="standardContextual"/>
        </w:rPr>
        <w:t>et politiques pour promouvoir une culture de la réussite basée sur le mérite</w:t>
      </w:r>
      <w:bookmarkEnd w:id="234"/>
      <w:r w:rsidRPr="00412981">
        <w:rPr>
          <w:rFonts w:eastAsia="Aptos"/>
          <w:kern w:val="2"/>
          <w:sz w:val="24"/>
          <w:szCs w:val="24"/>
          <w:lang w:val="fr-CI"/>
          <w14:ligatures w14:val="standardContextual"/>
        </w:rPr>
        <w:t xml:space="preserve">. </w:t>
      </w:r>
    </w:p>
    <w:p w14:paraId="20826531" w14:textId="6791F4B3" w:rsidR="00D80693" w:rsidRPr="009B370D" w:rsidRDefault="00E82F39" w:rsidP="00E82F39">
      <w:pPr>
        <w:spacing w:before="120"/>
        <w:rPr>
          <w:b/>
          <w:bCs/>
          <w:sz w:val="27"/>
          <w:szCs w:val="27"/>
          <w:lang w:val="fr-CI" w:eastAsia="zh-CN"/>
        </w:rPr>
      </w:pPr>
      <w:r>
        <w:rPr>
          <w:b/>
          <w:bCs/>
          <w:sz w:val="27"/>
          <w:szCs w:val="27"/>
          <w:lang w:val="fr-CI" w:eastAsia="zh-CN"/>
        </w:rPr>
        <w:t>Références b</w:t>
      </w:r>
      <w:r w:rsidR="00D80693" w:rsidRPr="009B370D">
        <w:rPr>
          <w:b/>
          <w:bCs/>
          <w:sz w:val="27"/>
          <w:szCs w:val="27"/>
          <w:lang w:val="fr-CI" w:eastAsia="zh-CN"/>
        </w:rPr>
        <w:t>ibliographi</w:t>
      </w:r>
      <w:r>
        <w:rPr>
          <w:b/>
          <w:bCs/>
          <w:sz w:val="27"/>
          <w:szCs w:val="27"/>
          <w:lang w:val="fr-CI" w:eastAsia="zh-CN"/>
        </w:rPr>
        <w:t>ques</w:t>
      </w:r>
    </w:p>
    <w:p w14:paraId="4570BC5A" w14:textId="77777777" w:rsidR="00D80693" w:rsidRPr="0065773E" w:rsidRDefault="00D80693" w:rsidP="00E82F39">
      <w:pPr>
        <w:spacing w:before="120"/>
        <w:ind w:left="720" w:hanging="720"/>
        <w:jc w:val="both"/>
        <w:rPr>
          <w:rFonts w:eastAsia="DengXian"/>
          <w:noProof/>
          <w:sz w:val="24"/>
          <w:szCs w:val="24"/>
          <w:lang w:val="en-US" w:eastAsia="zh-CN"/>
        </w:rPr>
      </w:pPr>
      <w:r w:rsidRPr="009D1679">
        <w:rPr>
          <w:rFonts w:eastAsia="DengXian"/>
          <w:kern w:val="2"/>
          <w:sz w:val="24"/>
          <w:szCs w:val="24"/>
          <w:lang w:val="fr-CI" w:eastAsia="zh-CN"/>
          <w14:ligatures w14:val="standardContextual"/>
        </w:rPr>
        <w:fldChar w:fldCharType="begin"/>
      </w:r>
      <w:r w:rsidRPr="009D1679">
        <w:rPr>
          <w:rFonts w:eastAsia="DengXian"/>
          <w:kern w:val="2"/>
          <w:sz w:val="24"/>
          <w:szCs w:val="24"/>
          <w:lang w:eastAsia="zh-CN"/>
          <w14:ligatures w14:val="standardContextual"/>
        </w:rPr>
        <w:instrText xml:space="preserve"> BIBLIOGRAPHY  \l 1036 </w:instrText>
      </w:r>
      <w:r w:rsidRPr="009D1679">
        <w:rPr>
          <w:rFonts w:eastAsia="DengXian"/>
          <w:kern w:val="2"/>
          <w:sz w:val="24"/>
          <w:szCs w:val="24"/>
          <w:lang w:val="fr-CI" w:eastAsia="zh-CN"/>
          <w14:ligatures w14:val="standardContextual"/>
        </w:rPr>
        <w:fldChar w:fldCharType="separate"/>
      </w:r>
      <w:r w:rsidRPr="009D1679">
        <w:rPr>
          <w:rFonts w:eastAsia="DengXian"/>
          <w:noProof/>
          <w:kern w:val="2"/>
          <w:sz w:val="24"/>
          <w:szCs w:val="24"/>
          <w:lang w:eastAsia="zh-CN"/>
          <w14:ligatures w14:val="standardContextual"/>
        </w:rPr>
        <w:t xml:space="preserve">Bandura, A. (1977). </w:t>
      </w:r>
      <w:r w:rsidRPr="009D1679">
        <w:rPr>
          <w:rFonts w:eastAsia="DengXian"/>
          <w:i/>
          <w:iCs/>
          <w:noProof/>
          <w:kern w:val="2"/>
          <w:sz w:val="24"/>
          <w:szCs w:val="24"/>
          <w:lang w:eastAsia="zh-CN"/>
          <w14:ligatures w14:val="standardContextual"/>
        </w:rPr>
        <w:t>Theorie de l'apprentissage social.</w:t>
      </w:r>
      <w:r w:rsidRPr="009D1679">
        <w:rPr>
          <w:rFonts w:eastAsia="DengXian"/>
          <w:noProof/>
          <w:kern w:val="2"/>
          <w:sz w:val="24"/>
          <w:szCs w:val="24"/>
          <w:lang w:eastAsia="zh-CN"/>
          <w14:ligatures w14:val="standardContextual"/>
        </w:rPr>
        <w:t xml:space="preserve"> </w:t>
      </w:r>
      <w:r w:rsidRPr="0065773E">
        <w:rPr>
          <w:rFonts w:eastAsia="DengXian"/>
          <w:noProof/>
          <w:kern w:val="2"/>
          <w:sz w:val="24"/>
          <w:szCs w:val="24"/>
          <w:lang w:val="en-US" w:eastAsia="zh-CN"/>
          <w14:ligatures w14:val="standardContextual"/>
        </w:rPr>
        <w:t>Prentice hall.</w:t>
      </w:r>
    </w:p>
    <w:p w14:paraId="10F6A157" w14:textId="77777777" w:rsidR="00D80693" w:rsidRPr="0065773E" w:rsidRDefault="00D80693" w:rsidP="00E82F39">
      <w:pPr>
        <w:spacing w:before="120"/>
        <w:ind w:left="720" w:hanging="720"/>
        <w:jc w:val="both"/>
        <w:rPr>
          <w:rFonts w:eastAsia="DengXian"/>
          <w:noProof/>
          <w:kern w:val="2"/>
          <w:sz w:val="24"/>
          <w:szCs w:val="24"/>
          <w:lang w:val="en-US" w:eastAsia="zh-CN"/>
          <w14:ligatures w14:val="standardContextual"/>
        </w:rPr>
      </w:pPr>
      <w:r w:rsidRPr="0065773E">
        <w:rPr>
          <w:rFonts w:eastAsia="DengXian"/>
          <w:noProof/>
          <w:kern w:val="2"/>
          <w:sz w:val="24"/>
          <w:szCs w:val="24"/>
          <w:lang w:val="en-US" w:eastAsia="zh-CN"/>
          <w14:ligatures w14:val="standardContextual"/>
        </w:rPr>
        <w:t xml:space="preserve">Bornstein, M. H. (2002). </w:t>
      </w:r>
      <w:r w:rsidRPr="0065773E">
        <w:rPr>
          <w:rFonts w:eastAsia="DengXian"/>
          <w:i/>
          <w:iCs/>
          <w:noProof/>
          <w:kern w:val="2"/>
          <w:sz w:val="24"/>
          <w:szCs w:val="24"/>
          <w:lang w:val="en-US" w:eastAsia="zh-CN"/>
          <w14:ligatures w14:val="standardContextual"/>
        </w:rPr>
        <w:t>Parenting infants</w:t>
      </w:r>
      <w:r w:rsidRPr="0065773E">
        <w:rPr>
          <w:rFonts w:eastAsia="DengXian"/>
          <w:noProof/>
          <w:kern w:val="2"/>
          <w:sz w:val="24"/>
          <w:szCs w:val="24"/>
          <w:lang w:val="en-US" w:eastAsia="zh-CN"/>
          <w14:ligatures w14:val="standardContextual"/>
        </w:rPr>
        <w:t xml:space="preserve"> (Vol. 1). (L. E. Associates, Éd.) Handbook of parenting: children and parenting.</w:t>
      </w:r>
    </w:p>
    <w:p w14:paraId="60983582"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65773E">
        <w:rPr>
          <w:rFonts w:eastAsia="DengXian"/>
          <w:noProof/>
          <w:kern w:val="2"/>
          <w:sz w:val="24"/>
          <w:szCs w:val="24"/>
          <w:lang w:val="en-US" w:eastAsia="zh-CN"/>
          <w14:ligatures w14:val="standardContextual"/>
        </w:rPr>
        <w:t xml:space="preserve">Bourdieu , P. (1986). </w:t>
      </w:r>
      <w:r w:rsidRPr="0065773E">
        <w:rPr>
          <w:rFonts w:eastAsia="DengXian"/>
          <w:i/>
          <w:iCs/>
          <w:noProof/>
          <w:kern w:val="2"/>
          <w:sz w:val="24"/>
          <w:szCs w:val="24"/>
          <w:lang w:val="en-US" w:eastAsia="zh-CN"/>
          <w14:ligatures w14:val="standardContextual"/>
        </w:rPr>
        <w:t>Les formes du capital</w:t>
      </w:r>
      <w:r w:rsidRPr="0065773E">
        <w:rPr>
          <w:rFonts w:eastAsia="DengXian"/>
          <w:noProof/>
          <w:kern w:val="2"/>
          <w:sz w:val="24"/>
          <w:szCs w:val="24"/>
          <w:lang w:val="en-US" w:eastAsia="zh-CN"/>
          <w14:ligatures w14:val="standardContextual"/>
        </w:rPr>
        <w:t xml:space="preserve"> (Vol. 1). </w:t>
      </w:r>
      <w:r w:rsidRPr="009D1679">
        <w:rPr>
          <w:rFonts w:eastAsia="DengXian"/>
          <w:noProof/>
          <w:kern w:val="2"/>
          <w:sz w:val="24"/>
          <w:szCs w:val="24"/>
          <w:lang w:eastAsia="zh-CN"/>
          <w14:ligatures w14:val="standardContextual"/>
        </w:rPr>
        <w:t>Manuel de theorie et de recherche en sociologie de l'education.</w:t>
      </w:r>
    </w:p>
    <w:p w14:paraId="4A49B130"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65773E">
        <w:rPr>
          <w:rFonts w:eastAsia="DengXian"/>
          <w:noProof/>
          <w:kern w:val="2"/>
          <w:sz w:val="24"/>
          <w:szCs w:val="24"/>
          <w:lang w:val="en-US" w:eastAsia="zh-CN"/>
          <w14:ligatures w14:val="standardContextual"/>
        </w:rPr>
        <w:t xml:space="preserve">Coleman, J. (1988). Social capital in the creation of human capital. </w:t>
      </w:r>
      <w:r w:rsidRPr="009D1679">
        <w:rPr>
          <w:rFonts w:eastAsia="DengXian"/>
          <w:i/>
          <w:iCs/>
          <w:noProof/>
          <w:kern w:val="2"/>
          <w:sz w:val="24"/>
          <w:szCs w:val="24"/>
          <w:lang w:eastAsia="zh-CN"/>
          <w14:ligatures w14:val="standardContextual"/>
        </w:rPr>
        <w:t>American journal of sociology</w:t>
      </w:r>
      <w:r w:rsidRPr="009D1679">
        <w:rPr>
          <w:rFonts w:eastAsia="DengXian"/>
          <w:noProof/>
          <w:kern w:val="2"/>
          <w:sz w:val="24"/>
          <w:szCs w:val="24"/>
          <w:lang w:eastAsia="zh-CN"/>
          <w14:ligatures w14:val="standardContextual"/>
        </w:rPr>
        <w:t>, pp. 95 -120.</w:t>
      </w:r>
    </w:p>
    <w:p w14:paraId="081F6D09"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Cressy , D. (1953). </w:t>
      </w:r>
      <w:r w:rsidRPr="009D1679">
        <w:rPr>
          <w:rFonts w:eastAsia="DengXian"/>
          <w:i/>
          <w:iCs/>
          <w:noProof/>
          <w:kern w:val="2"/>
          <w:sz w:val="24"/>
          <w:szCs w:val="24"/>
          <w:lang w:eastAsia="zh-CN"/>
          <w14:ligatures w14:val="standardContextual"/>
        </w:rPr>
        <w:t>L'argent des autres: etude sur la psychologie sociale de l'appropriation.</w:t>
      </w:r>
      <w:r w:rsidRPr="009D1679">
        <w:rPr>
          <w:rFonts w:eastAsia="DengXian"/>
          <w:noProof/>
          <w:kern w:val="2"/>
          <w:sz w:val="24"/>
          <w:szCs w:val="24"/>
          <w:lang w:eastAsia="zh-CN"/>
          <w14:ligatures w14:val="standardContextual"/>
        </w:rPr>
        <w:t xml:space="preserve"> Free press.</w:t>
      </w:r>
    </w:p>
    <w:p w14:paraId="38A6A9A4"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Davis kean, P. (2005). L'influence du niveau d'éducation des parents et du revenu familial sur la reussite des enfants: role indirect des attentes parentales et du milieu familial. </w:t>
      </w:r>
      <w:r w:rsidRPr="009D1679">
        <w:rPr>
          <w:rFonts w:eastAsia="DengXian"/>
          <w:i/>
          <w:iCs/>
          <w:noProof/>
          <w:kern w:val="2"/>
          <w:sz w:val="24"/>
          <w:szCs w:val="24"/>
          <w:lang w:eastAsia="zh-CN"/>
          <w14:ligatures w14:val="standardContextual"/>
        </w:rPr>
        <w:t>journal of family psychology, 2</w:t>
      </w:r>
      <w:r w:rsidRPr="009D1679">
        <w:rPr>
          <w:rFonts w:eastAsia="DengXian"/>
          <w:noProof/>
          <w:kern w:val="2"/>
          <w:sz w:val="24"/>
          <w:szCs w:val="24"/>
          <w:lang w:eastAsia="zh-CN"/>
          <w14:ligatures w14:val="standardContextual"/>
        </w:rPr>
        <w:t>(19), pp. 294-304.</w:t>
      </w:r>
    </w:p>
    <w:p w14:paraId="6CC6DB55"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Déco. (2024). </w:t>
      </w:r>
      <w:r w:rsidRPr="009D1679">
        <w:rPr>
          <w:rFonts w:eastAsia="DengXian"/>
          <w:i/>
          <w:iCs/>
          <w:noProof/>
          <w:kern w:val="2"/>
          <w:sz w:val="24"/>
          <w:szCs w:val="24"/>
          <w:lang w:eastAsia="zh-CN"/>
          <w14:ligatures w14:val="standardContextual"/>
        </w:rPr>
        <w:t>Qualification et sanctions des candidats fraudeurs.</w:t>
      </w:r>
      <w:r w:rsidRPr="009D1679">
        <w:rPr>
          <w:rFonts w:eastAsia="DengXian"/>
          <w:noProof/>
          <w:kern w:val="2"/>
          <w:sz w:val="24"/>
          <w:szCs w:val="24"/>
          <w:lang w:eastAsia="zh-CN"/>
          <w14:ligatures w14:val="standardContextual"/>
        </w:rPr>
        <w:t xml:space="preserve"> Ministere de l'education nationale et de l'alphabetisation/ Déco. Récupéré sur http://WWW.men-deco.Org/actualité/actu-deco/resultats -des travaux de la commission nationale de discipline -cnd -session -2024</w:t>
      </w:r>
    </w:p>
    <w:p w14:paraId="23D93528"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Deslandes , R., &amp; Bertrand, R. (2004). Motivations des parents a participer au suivi scolaire de leur enfant au primaire. </w:t>
      </w:r>
      <w:r w:rsidRPr="009D1679">
        <w:rPr>
          <w:rFonts w:eastAsia="DengXian"/>
          <w:i/>
          <w:iCs/>
          <w:noProof/>
          <w:kern w:val="2"/>
          <w:sz w:val="24"/>
          <w:szCs w:val="24"/>
          <w:lang w:eastAsia="zh-CN"/>
          <w14:ligatures w14:val="standardContextual"/>
        </w:rPr>
        <w:t xml:space="preserve">Revue des sciences de l'education </w:t>
      </w:r>
      <w:r w:rsidRPr="009D1679">
        <w:rPr>
          <w:rFonts w:eastAsia="DengXian"/>
          <w:noProof/>
          <w:kern w:val="2"/>
          <w:sz w:val="24"/>
          <w:szCs w:val="24"/>
          <w:lang w:eastAsia="zh-CN"/>
          <w14:ligatures w14:val="standardContextual"/>
        </w:rPr>
        <w:t>, pp. 411-433.</w:t>
      </w:r>
    </w:p>
    <w:p w14:paraId="5ED8FAF3"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Dieter , M. (1996). </w:t>
      </w:r>
      <w:r w:rsidRPr="009D1679">
        <w:rPr>
          <w:rFonts w:eastAsia="DengXian"/>
          <w:i/>
          <w:iCs/>
          <w:noProof/>
          <w:kern w:val="2"/>
          <w:sz w:val="24"/>
          <w:szCs w:val="24"/>
          <w:lang w:eastAsia="zh-CN"/>
          <w14:ligatures w14:val="standardContextual"/>
        </w:rPr>
        <w:t>Corruption en milieu scolaire et éducation des filles.</w:t>
      </w:r>
      <w:r w:rsidRPr="009D1679">
        <w:rPr>
          <w:rFonts w:eastAsia="DengXian"/>
          <w:noProof/>
          <w:kern w:val="2"/>
          <w:sz w:val="24"/>
          <w:szCs w:val="24"/>
          <w:lang w:eastAsia="zh-CN"/>
          <w14:ligatures w14:val="standardContextual"/>
        </w:rPr>
        <w:t xml:space="preserve"> Reseau ouest et centre africain de recherche en education.</w:t>
      </w:r>
    </w:p>
    <w:p w14:paraId="452017B1"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Durkheim, E. (1996). </w:t>
      </w:r>
      <w:r w:rsidRPr="009D1679">
        <w:rPr>
          <w:rFonts w:eastAsia="DengXian"/>
          <w:i/>
          <w:iCs/>
          <w:noProof/>
          <w:kern w:val="2"/>
          <w:sz w:val="24"/>
          <w:szCs w:val="24"/>
          <w:lang w:eastAsia="zh-CN"/>
          <w14:ligatures w14:val="standardContextual"/>
        </w:rPr>
        <w:t>L'education morale.</w:t>
      </w:r>
      <w:r w:rsidRPr="009D1679">
        <w:rPr>
          <w:rFonts w:eastAsia="DengXian"/>
          <w:noProof/>
          <w:kern w:val="2"/>
          <w:sz w:val="24"/>
          <w:szCs w:val="24"/>
          <w:lang w:eastAsia="zh-CN"/>
          <w14:ligatures w14:val="standardContextual"/>
        </w:rPr>
        <w:t xml:space="preserve"> Presse universitaire de france.</w:t>
      </w:r>
    </w:p>
    <w:p w14:paraId="7B39ABDA"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Fan , W., &amp; Chen, M. (2001). Implication parentale et reussite scolaire des eleves. </w:t>
      </w:r>
      <w:r w:rsidRPr="009D1679">
        <w:rPr>
          <w:rFonts w:eastAsia="DengXian"/>
          <w:i/>
          <w:iCs/>
          <w:noProof/>
          <w:kern w:val="2"/>
          <w:sz w:val="24"/>
          <w:szCs w:val="24"/>
          <w:lang w:eastAsia="zh-CN"/>
          <w14:ligatures w14:val="standardContextual"/>
        </w:rPr>
        <w:t>revue de psychologie, 13</w:t>
      </w:r>
      <w:r w:rsidRPr="009D1679">
        <w:rPr>
          <w:rFonts w:eastAsia="DengXian"/>
          <w:noProof/>
          <w:kern w:val="2"/>
          <w:sz w:val="24"/>
          <w:szCs w:val="24"/>
          <w:lang w:eastAsia="zh-CN"/>
          <w14:ligatures w14:val="standardContextual"/>
        </w:rPr>
        <w:t>(1), pp. 1-22.</w:t>
      </w:r>
    </w:p>
    <w:p w14:paraId="6E82C021"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Guibert, P., &amp; Michaut, C. (2009). Les facteurs individuels et contextuels de la fraude aux examens universitaire. </w:t>
      </w:r>
      <w:r w:rsidRPr="009D1679">
        <w:rPr>
          <w:rFonts w:eastAsia="DengXian"/>
          <w:i/>
          <w:iCs/>
          <w:noProof/>
          <w:kern w:val="2"/>
          <w:sz w:val="24"/>
          <w:szCs w:val="24"/>
          <w:lang w:eastAsia="zh-CN"/>
          <w14:ligatures w14:val="standardContextual"/>
        </w:rPr>
        <w:t>revue francaise de pédagogie, 4</w:t>
      </w:r>
      <w:r w:rsidRPr="009D1679">
        <w:rPr>
          <w:rFonts w:eastAsia="DengXian"/>
          <w:noProof/>
          <w:kern w:val="2"/>
          <w:sz w:val="24"/>
          <w:szCs w:val="24"/>
          <w:lang w:eastAsia="zh-CN"/>
          <w14:ligatures w14:val="standardContextual"/>
        </w:rPr>
        <w:t>(169), pp. 43-52.</w:t>
      </w:r>
    </w:p>
    <w:p w14:paraId="2911AE99" w14:textId="77777777" w:rsidR="00D80693" w:rsidRPr="0065773E" w:rsidRDefault="00D80693" w:rsidP="00E82F39">
      <w:pPr>
        <w:spacing w:before="120"/>
        <w:ind w:left="720" w:hanging="720"/>
        <w:jc w:val="both"/>
        <w:rPr>
          <w:rFonts w:eastAsia="DengXian"/>
          <w:noProof/>
          <w:kern w:val="2"/>
          <w:sz w:val="24"/>
          <w:szCs w:val="24"/>
          <w:lang w:val="en-US" w:eastAsia="zh-CN"/>
          <w14:ligatures w14:val="standardContextual"/>
        </w:rPr>
      </w:pPr>
      <w:r w:rsidRPr="009D1679">
        <w:rPr>
          <w:rFonts w:eastAsia="DengXian"/>
          <w:noProof/>
          <w:kern w:val="2"/>
          <w:sz w:val="24"/>
          <w:szCs w:val="24"/>
          <w:lang w:eastAsia="zh-CN"/>
          <w14:ligatures w14:val="standardContextual"/>
        </w:rPr>
        <w:t xml:space="preserve">Hallak, J., &amp; Poisson, M. (2002). </w:t>
      </w:r>
      <w:r w:rsidRPr="009D1679">
        <w:rPr>
          <w:rFonts w:eastAsia="DengXian"/>
          <w:i/>
          <w:iCs/>
          <w:noProof/>
          <w:kern w:val="2"/>
          <w:sz w:val="24"/>
          <w:szCs w:val="24"/>
          <w:lang w:eastAsia="zh-CN"/>
          <w14:ligatures w14:val="standardContextual"/>
        </w:rPr>
        <w:t>Corruption et éducation.</w:t>
      </w:r>
      <w:r w:rsidRPr="009D1679">
        <w:rPr>
          <w:rFonts w:eastAsia="DengXian"/>
          <w:noProof/>
          <w:kern w:val="2"/>
          <w:sz w:val="24"/>
          <w:szCs w:val="24"/>
          <w:lang w:eastAsia="zh-CN"/>
          <w14:ligatures w14:val="standardContextual"/>
        </w:rPr>
        <w:t xml:space="preserve"> </w:t>
      </w:r>
      <w:r w:rsidRPr="0065773E">
        <w:rPr>
          <w:rFonts w:eastAsia="DengXian"/>
          <w:noProof/>
          <w:kern w:val="2"/>
          <w:sz w:val="24"/>
          <w:szCs w:val="24"/>
          <w:lang w:val="en-US" w:eastAsia="zh-CN"/>
          <w14:ligatures w14:val="standardContextual"/>
        </w:rPr>
        <w:t>Unesco.</w:t>
      </w:r>
    </w:p>
    <w:p w14:paraId="2663D9C2"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65773E">
        <w:rPr>
          <w:rFonts w:eastAsia="DengXian"/>
          <w:noProof/>
          <w:kern w:val="2"/>
          <w:sz w:val="24"/>
          <w:szCs w:val="24"/>
          <w:lang w:val="en-US" w:eastAsia="zh-CN"/>
          <w14:ligatures w14:val="standardContextual"/>
        </w:rPr>
        <w:t xml:space="preserve">Heyneman, S., &amp; Loxley, W. (1983). </w:t>
      </w:r>
      <w:r w:rsidRPr="009D1679">
        <w:rPr>
          <w:rFonts w:eastAsia="DengXian"/>
          <w:noProof/>
          <w:kern w:val="2"/>
          <w:sz w:val="24"/>
          <w:szCs w:val="24"/>
          <w:lang w:eastAsia="zh-CN"/>
          <w14:ligatures w14:val="standardContextual"/>
        </w:rPr>
        <w:t xml:space="preserve">L'effet de la qualité de l'ecole primaire sur la reussite academique dans 29 pays à revenu élevé et faible. </w:t>
      </w:r>
      <w:r w:rsidRPr="009D1679">
        <w:rPr>
          <w:rFonts w:eastAsia="DengXian"/>
          <w:i/>
          <w:iCs/>
          <w:noProof/>
          <w:kern w:val="2"/>
          <w:sz w:val="24"/>
          <w:szCs w:val="24"/>
          <w:lang w:eastAsia="zh-CN"/>
          <w14:ligatures w14:val="standardContextual"/>
        </w:rPr>
        <w:t>American journal of sociology, 88</w:t>
      </w:r>
      <w:r w:rsidRPr="009D1679">
        <w:rPr>
          <w:rFonts w:eastAsia="DengXian"/>
          <w:noProof/>
          <w:kern w:val="2"/>
          <w:sz w:val="24"/>
          <w:szCs w:val="24"/>
          <w:lang w:eastAsia="zh-CN"/>
          <w14:ligatures w14:val="standardContextual"/>
        </w:rPr>
        <w:t>(6), pp. 1162-1194.</w:t>
      </w:r>
    </w:p>
    <w:p w14:paraId="5FA5A777"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Koffi, N. W. (2022). </w:t>
      </w:r>
      <w:r w:rsidRPr="009D1679">
        <w:rPr>
          <w:rFonts w:eastAsia="DengXian"/>
          <w:i/>
          <w:iCs/>
          <w:noProof/>
          <w:kern w:val="2"/>
          <w:sz w:val="24"/>
          <w:szCs w:val="24"/>
          <w:lang w:eastAsia="zh-CN"/>
          <w14:ligatures w14:val="standardContextual"/>
        </w:rPr>
        <w:t>La fraude en milieu scolaire lors des examens nationaux du BEPC et du BAC de 2010 -2020 : cas des communes d'abobo-Yopougon-cocody.</w:t>
      </w:r>
      <w:r w:rsidRPr="009D1679">
        <w:rPr>
          <w:rFonts w:eastAsia="DengXian"/>
          <w:noProof/>
          <w:kern w:val="2"/>
          <w:sz w:val="24"/>
          <w:szCs w:val="24"/>
          <w:lang w:eastAsia="zh-CN"/>
          <w14:ligatures w14:val="standardContextual"/>
        </w:rPr>
        <w:t xml:space="preserve"> Univesité Alassane Ouattara de Bouaké.</w:t>
      </w:r>
    </w:p>
    <w:p w14:paraId="71165EB6"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Koffi, N. W. (2024). La tricherie aux examens scolaires par le recours aux technologies de l'information et de la communication a abidjan. </w:t>
      </w:r>
      <w:r w:rsidRPr="009D1679">
        <w:rPr>
          <w:rFonts w:eastAsia="DengXian"/>
          <w:i/>
          <w:iCs/>
          <w:noProof/>
          <w:kern w:val="2"/>
          <w:sz w:val="24"/>
          <w:szCs w:val="24"/>
          <w:lang w:eastAsia="zh-CN"/>
          <w14:ligatures w14:val="standardContextual"/>
        </w:rPr>
        <w:t>revue des ciences de l'education lakisa, 3</w:t>
      </w:r>
      <w:r w:rsidRPr="009D1679">
        <w:rPr>
          <w:rFonts w:eastAsia="DengXian"/>
          <w:noProof/>
          <w:kern w:val="2"/>
          <w:sz w:val="24"/>
          <w:szCs w:val="24"/>
          <w:lang w:eastAsia="zh-CN"/>
          <w14:ligatures w14:val="standardContextual"/>
        </w:rPr>
        <w:t>(7), pp. 121-132.</w:t>
      </w:r>
    </w:p>
    <w:p w14:paraId="023C6E32"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Koffi, N. W. (2024). Les pressions sociales et les attentes academiques comme facteurs de tricherie a l'ecole a abidjan. </w:t>
      </w:r>
      <w:r w:rsidRPr="009D1679">
        <w:rPr>
          <w:rFonts w:eastAsia="DengXian"/>
          <w:i/>
          <w:iCs/>
          <w:noProof/>
          <w:kern w:val="2"/>
          <w:sz w:val="24"/>
          <w:szCs w:val="24"/>
          <w:lang w:eastAsia="zh-CN"/>
          <w14:ligatures w14:val="standardContextual"/>
        </w:rPr>
        <w:t>revue societés, education, santé, 1</w:t>
      </w:r>
      <w:r w:rsidRPr="009D1679">
        <w:rPr>
          <w:rFonts w:eastAsia="DengXian"/>
          <w:noProof/>
          <w:kern w:val="2"/>
          <w:sz w:val="24"/>
          <w:szCs w:val="24"/>
          <w:lang w:eastAsia="zh-CN"/>
          <w14:ligatures w14:val="standardContextual"/>
        </w:rPr>
        <w:t>(1), pp. 643-661.</w:t>
      </w:r>
    </w:p>
    <w:p w14:paraId="635C343A"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Koudou, O. (2021). Difficulté de l'apprentissage .Dans J.Laurey. Dans k. opadou, </w:t>
      </w:r>
      <w:r w:rsidRPr="009D1679">
        <w:rPr>
          <w:rFonts w:eastAsia="DengXian"/>
          <w:i/>
          <w:iCs/>
          <w:noProof/>
          <w:kern w:val="2"/>
          <w:sz w:val="24"/>
          <w:szCs w:val="24"/>
          <w:lang w:eastAsia="zh-CN"/>
          <w14:ligatures w14:val="standardContextual"/>
        </w:rPr>
        <w:t>la psychologie de l'education dans la formation des enseignants</w:t>
      </w:r>
      <w:r w:rsidRPr="009D1679">
        <w:rPr>
          <w:rFonts w:eastAsia="DengXian"/>
          <w:noProof/>
          <w:kern w:val="2"/>
          <w:sz w:val="24"/>
          <w:szCs w:val="24"/>
          <w:lang w:eastAsia="zh-CN"/>
          <w14:ligatures w14:val="standardContextual"/>
        </w:rPr>
        <w:t xml:space="preserve"> (pp. 194 -214). Presse universitaire d'abidjan.</w:t>
      </w:r>
    </w:p>
    <w:p w14:paraId="634C7A86"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Mensah, P., &amp; agyeman , K. (2019). Influence de l'implication parentale sur la reussite scolaire des eleves au ghana. </w:t>
      </w:r>
      <w:r w:rsidRPr="009D1679">
        <w:rPr>
          <w:rFonts w:eastAsia="DengXian"/>
          <w:i/>
          <w:iCs/>
          <w:noProof/>
          <w:kern w:val="2"/>
          <w:sz w:val="24"/>
          <w:szCs w:val="24"/>
          <w:lang w:eastAsia="zh-CN"/>
          <w14:ligatures w14:val="standardContextual"/>
        </w:rPr>
        <w:t>african journal of educational studies</w:t>
      </w:r>
      <w:r w:rsidRPr="009D1679">
        <w:rPr>
          <w:rFonts w:eastAsia="DengXian"/>
          <w:noProof/>
          <w:kern w:val="2"/>
          <w:sz w:val="24"/>
          <w:szCs w:val="24"/>
          <w:lang w:eastAsia="zh-CN"/>
          <w14:ligatures w14:val="standardContextual"/>
        </w:rPr>
        <w:t>, pp. 12-28.</w:t>
      </w:r>
    </w:p>
    <w:p w14:paraId="08055547"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Morse, J. (s.d.). Consideration d'odre méthodologique. Dans N. paul, </w:t>
      </w:r>
      <w:r w:rsidRPr="009D1679">
        <w:rPr>
          <w:rFonts w:eastAsia="DengXian"/>
          <w:i/>
          <w:iCs/>
          <w:noProof/>
          <w:kern w:val="2"/>
          <w:sz w:val="24"/>
          <w:szCs w:val="24"/>
          <w:lang w:eastAsia="zh-CN"/>
          <w14:ligatures w14:val="standardContextual"/>
        </w:rPr>
        <w:t>Recherche et méthodologie en sciences sociales et humaines</w:t>
      </w:r>
      <w:r w:rsidRPr="009D1679">
        <w:rPr>
          <w:rFonts w:eastAsia="DengXian"/>
          <w:noProof/>
          <w:kern w:val="2"/>
          <w:sz w:val="24"/>
          <w:szCs w:val="24"/>
          <w:lang w:eastAsia="zh-CN"/>
          <w14:ligatures w14:val="standardContextual"/>
        </w:rPr>
        <w:t xml:space="preserve"> (pp. 97 -109). L'harmattan.</w:t>
      </w:r>
    </w:p>
    <w:p w14:paraId="4FA53C2A"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Murdock, T., &amp; Anderman, E. (2006). Perspectives motivationnelles sur la tricherie des éleves: vers un modele integré de la malhonnéteté academique. </w:t>
      </w:r>
      <w:r w:rsidRPr="009D1679">
        <w:rPr>
          <w:rFonts w:eastAsia="DengXian"/>
          <w:i/>
          <w:iCs/>
          <w:noProof/>
          <w:kern w:val="2"/>
          <w:sz w:val="24"/>
          <w:szCs w:val="24"/>
          <w:lang w:eastAsia="zh-CN"/>
          <w14:ligatures w14:val="standardContextual"/>
        </w:rPr>
        <w:t>Annual Review of psychology, 41</w:t>
      </w:r>
      <w:r w:rsidRPr="009D1679">
        <w:rPr>
          <w:rFonts w:eastAsia="DengXian"/>
          <w:noProof/>
          <w:kern w:val="2"/>
          <w:sz w:val="24"/>
          <w:szCs w:val="24"/>
          <w:lang w:eastAsia="zh-CN"/>
          <w14:ligatures w14:val="standardContextual"/>
        </w:rPr>
        <w:t>(3), pp. 487 -503.</w:t>
      </w:r>
    </w:p>
    <w:p w14:paraId="1101FA04"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N'da, P. (2015). </w:t>
      </w:r>
      <w:r w:rsidRPr="009D1679">
        <w:rPr>
          <w:rFonts w:eastAsia="DengXian"/>
          <w:i/>
          <w:iCs/>
          <w:noProof/>
          <w:kern w:val="2"/>
          <w:sz w:val="24"/>
          <w:szCs w:val="24"/>
          <w:lang w:eastAsia="zh-CN"/>
          <w14:ligatures w14:val="standardContextual"/>
        </w:rPr>
        <w:t>Recherche et méthodologie en sciences sociales et humaines.</w:t>
      </w:r>
      <w:r w:rsidRPr="009D1679">
        <w:rPr>
          <w:rFonts w:eastAsia="DengXian"/>
          <w:noProof/>
          <w:kern w:val="2"/>
          <w:sz w:val="24"/>
          <w:szCs w:val="24"/>
          <w:lang w:eastAsia="zh-CN"/>
          <w14:ligatures w14:val="standardContextual"/>
        </w:rPr>
        <w:t xml:space="preserve"> L'harmattan.</w:t>
      </w:r>
    </w:p>
    <w:p w14:paraId="13E12E5E"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Phillipe, P. (1996). </w:t>
      </w:r>
      <w:r w:rsidRPr="009D1679">
        <w:rPr>
          <w:rFonts w:eastAsia="DengXian"/>
          <w:i/>
          <w:iCs/>
          <w:noProof/>
          <w:kern w:val="2"/>
          <w:sz w:val="24"/>
          <w:szCs w:val="24"/>
          <w:lang w:eastAsia="zh-CN"/>
          <w14:ligatures w14:val="standardContextual"/>
        </w:rPr>
        <w:t>Construire des competences dès l'école.</w:t>
      </w:r>
      <w:r w:rsidRPr="009D1679">
        <w:rPr>
          <w:rFonts w:eastAsia="DengXian"/>
          <w:noProof/>
          <w:kern w:val="2"/>
          <w:sz w:val="24"/>
          <w:szCs w:val="24"/>
          <w:lang w:eastAsia="zh-CN"/>
          <w14:ligatures w14:val="standardContextual"/>
        </w:rPr>
        <w:t xml:space="preserve"> ESF.</w:t>
      </w:r>
    </w:p>
    <w:p w14:paraId="40BC877E"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Tchindjang, M., &amp; Ngoma P. (2020). L'influence des facteurs socio -familiaux sur la reussite scolaire des eleves. </w:t>
      </w:r>
      <w:r w:rsidRPr="009D1679">
        <w:rPr>
          <w:rFonts w:eastAsia="DengXian"/>
          <w:i/>
          <w:iCs/>
          <w:noProof/>
          <w:kern w:val="2"/>
          <w:sz w:val="24"/>
          <w:szCs w:val="24"/>
          <w:lang w:eastAsia="zh-CN"/>
          <w14:ligatures w14:val="standardContextual"/>
        </w:rPr>
        <w:t>revue africaine de sciences de l'education, 8</w:t>
      </w:r>
      <w:r w:rsidRPr="009D1679">
        <w:rPr>
          <w:rFonts w:eastAsia="DengXian"/>
          <w:noProof/>
          <w:kern w:val="2"/>
          <w:sz w:val="24"/>
          <w:szCs w:val="24"/>
          <w:lang w:eastAsia="zh-CN"/>
          <w14:ligatures w14:val="standardContextual"/>
        </w:rPr>
        <w:t>(2), pp. 45-65.</w:t>
      </w:r>
    </w:p>
    <w:p w14:paraId="1BA6C138" w14:textId="77777777" w:rsidR="00D80693" w:rsidRPr="009D1679" w:rsidRDefault="00D80693" w:rsidP="00E82F39">
      <w:pPr>
        <w:spacing w:before="120"/>
        <w:ind w:left="720" w:hanging="720"/>
        <w:jc w:val="both"/>
        <w:rPr>
          <w:rFonts w:eastAsia="DengXian"/>
          <w:noProof/>
          <w:kern w:val="2"/>
          <w:sz w:val="24"/>
          <w:szCs w:val="24"/>
          <w:lang w:eastAsia="zh-CN"/>
          <w14:ligatures w14:val="standardContextual"/>
        </w:rPr>
      </w:pPr>
      <w:r w:rsidRPr="009D1679">
        <w:rPr>
          <w:rFonts w:eastAsia="DengXian"/>
          <w:noProof/>
          <w:kern w:val="2"/>
          <w:sz w:val="24"/>
          <w:szCs w:val="24"/>
          <w:lang w:eastAsia="zh-CN"/>
          <w14:ligatures w14:val="standardContextual"/>
        </w:rPr>
        <w:t xml:space="preserve">Yessoufou, A., &amp; Amoussou, G. (2023). Suivi parental des apprenants du primaire au secondaire: tendances et incidences sur le rendement scolaire. </w:t>
      </w:r>
      <w:r w:rsidRPr="009D1679">
        <w:rPr>
          <w:rFonts w:eastAsia="DengXian"/>
          <w:i/>
          <w:iCs/>
          <w:noProof/>
          <w:kern w:val="2"/>
          <w:sz w:val="24"/>
          <w:szCs w:val="24"/>
          <w:lang w:eastAsia="zh-CN"/>
          <w14:ligatures w14:val="standardContextual"/>
        </w:rPr>
        <w:t>European journal of social science studies, 7</w:t>
      </w:r>
      <w:r w:rsidRPr="009D1679">
        <w:rPr>
          <w:rFonts w:eastAsia="DengXian"/>
          <w:noProof/>
          <w:kern w:val="2"/>
          <w:sz w:val="24"/>
          <w:szCs w:val="24"/>
          <w:lang w:eastAsia="zh-CN"/>
          <w14:ligatures w14:val="standardContextual"/>
        </w:rPr>
        <w:t>(11), pp. 238-254.</w:t>
      </w:r>
    </w:p>
    <w:p w14:paraId="674F5004" w14:textId="77777777" w:rsidR="00D80693" w:rsidRPr="009D1679" w:rsidRDefault="00D80693" w:rsidP="00E82F39">
      <w:pPr>
        <w:spacing w:before="120"/>
        <w:jc w:val="both"/>
        <w:rPr>
          <w:rFonts w:eastAsia="DengXian"/>
          <w:kern w:val="2"/>
          <w:sz w:val="24"/>
          <w:szCs w:val="24"/>
          <w:lang w:val="fr-CI" w:eastAsia="zh-CN"/>
          <w14:ligatures w14:val="standardContextual"/>
        </w:rPr>
      </w:pPr>
      <w:r w:rsidRPr="009D1679">
        <w:rPr>
          <w:rFonts w:eastAsia="DengXian"/>
          <w:kern w:val="2"/>
          <w:sz w:val="24"/>
          <w:szCs w:val="24"/>
          <w:lang w:val="fr-CI" w:eastAsia="zh-CN"/>
          <w14:ligatures w14:val="standardContextual"/>
        </w:rPr>
        <w:fldChar w:fldCharType="end"/>
      </w:r>
    </w:p>
    <w:p w14:paraId="68BD9F03" w14:textId="77777777" w:rsidR="00D80693" w:rsidRDefault="00D80693" w:rsidP="00E82F39">
      <w:pPr>
        <w:spacing w:before="120"/>
        <w:rPr>
          <w:rFonts w:ascii="Calibri" w:eastAsia="DengXian" w:hAnsi="Calibri"/>
          <w:sz w:val="0"/>
          <w:szCs w:val="0"/>
        </w:rPr>
        <w:sectPr w:rsidR="00D80693" w:rsidSect="00E82F39">
          <w:footerReference w:type="default" r:id="rId122"/>
          <w:pgSz w:w="11906" w:h="16838"/>
          <w:pgMar w:top="1417" w:right="1417" w:bottom="1417" w:left="1417" w:header="709" w:footer="708" w:gutter="0"/>
          <w:cols w:space="708"/>
          <w:docGrid w:linePitch="360"/>
        </w:sectPr>
      </w:pPr>
    </w:p>
    <w:p w14:paraId="4D8A3611" w14:textId="72E1E506" w:rsidR="00D80693" w:rsidRPr="000C3C8C" w:rsidRDefault="00E82F39" w:rsidP="00E82F39">
      <w:pPr>
        <w:pStyle w:val="Titre1"/>
        <w:spacing w:before="120"/>
        <w:ind w:left="164"/>
        <w:rPr>
          <w:b w:val="0"/>
          <w:i/>
          <w:iCs/>
        </w:rPr>
      </w:pPr>
      <w:bookmarkStart w:id="235" w:name="_Toc219272580"/>
      <w:r w:rsidRPr="000C3C8C">
        <w:rPr>
          <w:i/>
          <w:iCs/>
        </w:rPr>
        <w:t>Techniques de questionnement dans l’élaboration des épreuves de composition dans l’apprentissage du français langue étrangère : cas des apprenants angolais du second cycle de secondaire</w:t>
      </w:r>
      <w:bookmarkEnd w:id="235"/>
    </w:p>
    <w:p w14:paraId="4A490D4E" w14:textId="66A199EF" w:rsidR="00D80693" w:rsidRPr="00402444" w:rsidRDefault="00E82F39" w:rsidP="00E82F39">
      <w:pPr>
        <w:pStyle w:val="Titre1"/>
        <w:spacing w:before="120"/>
        <w:ind w:left="164"/>
        <w:rPr>
          <w:b w:val="0"/>
          <w:color w:val="000000"/>
          <w:sz w:val="10"/>
          <w:szCs w:val="24"/>
        </w:rPr>
      </w:pPr>
      <w:r>
        <w:rPr>
          <w:color w:val="000000"/>
          <w:sz w:val="24"/>
          <w:szCs w:val="24"/>
        </w:rPr>
        <w:tab/>
      </w:r>
      <w:r>
        <w:rPr>
          <w:color w:val="000000"/>
          <w:sz w:val="24"/>
          <w:szCs w:val="24"/>
        </w:rPr>
        <w:tab/>
      </w:r>
    </w:p>
    <w:p w14:paraId="6F904F16" w14:textId="3FF3BCE6" w:rsidR="00D80693" w:rsidRPr="00E2037D" w:rsidRDefault="00D80693" w:rsidP="00E82F39">
      <w:pPr>
        <w:pStyle w:val="Titre1"/>
        <w:spacing w:before="120"/>
        <w:ind w:left="164"/>
        <w:rPr>
          <w:b w:val="0"/>
          <w:color w:val="000000"/>
        </w:rPr>
      </w:pPr>
      <w:bookmarkStart w:id="236" w:name="_Toc219272581"/>
      <w:r w:rsidRPr="00E2037D">
        <w:rPr>
          <w:rFonts w:eastAsia="DengXian" w:cstheme="minorBidi"/>
          <w:color w:val="000000"/>
          <w:sz w:val="22"/>
          <w:szCs w:val="22"/>
        </w:rPr>
        <w:t>Lumingu</w:t>
      </w:r>
      <w:r w:rsidR="00E82F39" w:rsidRPr="00E82F39">
        <w:rPr>
          <w:rFonts w:eastAsia="DengXian" w:cstheme="minorBidi"/>
          <w:color w:val="000000"/>
          <w:sz w:val="22"/>
          <w:szCs w:val="22"/>
        </w:rPr>
        <w:t xml:space="preserve"> </w:t>
      </w:r>
      <w:r w:rsidR="00E82F39" w:rsidRPr="00E2037D">
        <w:rPr>
          <w:rFonts w:eastAsia="DengXian" w:cstheme="minorBidi"/>
          <w:color w:val="000000"/>
          <w:sz w:val="22"/>
          <w:szCs w:val="22"/>
        </w:rPr>
        <w:t>FUAKADIO</w:t>
      </w:r>
      <w:bookmarkEnd w:id="236"/>
    </w:p>
    <w:p w14:paraId="0E36F276" w14:textId="77777777" w:rsidR="00D80693" w:rsidRDefault="00D80693" w:rsidP="00D80693">
      <w:pPr>
        <w:jc w:val="both"/>
        <w:rPr>
          <w:b/>
          <w:color w:val="000000"/>
          <w:sz w:val="24"/>
          <w:szCs w:val="24"/>
        </w:rPr>
      </w:pPr>
    </w:p>
    <w:p w14:paraId="6D0048E5" w14:textId="77777777" w:rsidR="00D80693" w:rsidRPr="00F77887" w:rsidRDefault="00D80693" w:rsidP="00E82F39">
      <w:pPr>
        <w:spacing w:before="120"/>
        <w:jc w:val="both"/>
        <w:rPr>
          <w:color w:val="000000"/>
          <w:sz w:val="24"/>
          <w:szCs w:val="24"/>
        </w:rPr>
      </w:pPr>
      <w:r w:rsidRPr="00F77887">
        <w:rPr>
          <w:b/>
          <w:color w:val="000000"/>
          <w:sz w:val="24"/>
          <w:szCs w:val="24"/>
        </w:rPr>
        <w:t xml:space="preserve">Résumé : </w:t>
      </w:r>
      <w:r w:rsidRPr="00F77887">
        <w:rPr>
          <w:color w:val="000000"/>
          <w:sz w:val="24"/>
          <w:szCs w:val="24"/>
        </w:rPr>
        <w:t xml:space="preserve">Notre étude </w:t>
      </w:r>
      <w:r>
        <w:rPr>
          <w:color w:val="000000"/>
          <w:sz w:val="24"/>
          <w:szCs w:val="24"/>
        </w:rPr>
        <w:t xml:space="preserve">axée </w:t>
      </w:r>
      <w:r w:rsidRPr="00F77887">
        <w:rPr>
          <w:color w:val="000000"/>
          <w:sz w:val="24"/>
          <w:szCs w:val="24"/>
        </w:rPr>
        <w:t xml:space="preserve">sur l’application des techniques de questionnement pendant l’apprentissage du Français Langue Etrangère par des apprenants angolais du second cycle du secondaire met en évidence </w:t>
      </w:r>
      <w:r>
        <w:rPr>
          <w:color w:val="000000"/>
          <w:sz w:val="24"/>
          <w:szCs w:val="24"/>
        </w:rPr>
        <w:t>les</w:t>
      </w:r>
      <w:r w:rsidRPr="00F77887">
        <w:rPr>
          <w:color w:val="000000"/>
          <w:sz w:val="24"/>
          <w:szCs w:val="24"/>
        </w:rPr>
        <w:t xml:space="preserve"> diffi</w:t>
      </w:r>
      <w:r>
        <w:rPr>
          <w:color w:val="000000"/>
          <w:sz w:val="24"/>
          <w:szCs w:val="24"/>
        </w:rPr>
        <w:t>cultés des apprenants pour communiquer correctement</w:t>
      </w:r>
      <w:r w:rsidRPr="00F77887">
        <w:rPr>
          <w:color w:val="000000"/>
          <w:sz w:val="24"/>
          <w:szCs w:val="24"/>
        </w:rPr>
        <w:t xml:space="preserve"> en </w:t>
      </w:r>
      <w:r>
        <w:rPr>
          <w:color w:val="000000"/>
          <w:sz w:val="24"/>
          <w:szCs w:val="24"/>
        </w:rPr>
        <w:t>français</w:t>
      </w:r>
      <w:r w:rsidRPr="00F77887">
        <w:rPr>
          <w:color w:val="000000"/>
          <w:sz w:val="24"/>
          <w:szCs w:val="24"/>
        </w:rPr>
        <w:t xml:space="preserve">. </w:t>
      </w:r>
      <w:r>
        <w:rPr>
          <w:color w:val="000000"/>
          <w:sz w:val="24"/>
          <w:szCs w:val="24"/>
        </w:rPr>
        <w:t>L</w:t>
      </w:r>
      <w:r w:rsidRPr="00F77887">
        <w:rPr>
          <w:color w:val="000000"/>
          <w:sz w:val="24"/>
          <w:szCs w:val="24"/>
        </w:rPr>
        <w:t>a mise en place d’une bonne technique de questionnement pourrait contribuer à l’amélioration qualitative et quantitative des acquis de formati</w:t>
      </w:r>
      <w:r>
        <w:rPr>
          <w:color w:val="000000"/>
          <w:sz w:val="24"/>
          <w:szCs w:val="24"/>
        </w:rPr>
        <w:t>on en français langue étrangère.</w:t>
      </w:r>
      <w:r w:rsidRPr="00F77887">
        <w:rPr>
          <w:color w:val="000000"/>
          <w:sz w:val="24"/>
          <w:szCs w:val="24"/>
        </w:rPr>
        <w:t xml:space="preserve"> Cette recherche vise à contribuer aux efforts généraux d’amélioration des techniques de questionnement dans le système </w:t>
      </w:r>
      <w:r>
        <w:rPr>
          <w:color w:val="000000"/>
          <w:sz w:val="24"/>
          <w:szCs w:val="24"/>
        </w:rPr>
        <w:t xml:space="preserve">éducatif </w:t>
      </w:r>
      <w:r w:rsidRPr="00F77887">
        <w:rPr>
          <w:color w:val="000000"/>
          <w:sz w:val="24"/>
          <w:szCs w:val="24"/>
        </w:rPr>
        <w:t xml:space="preserve">angolais. </w:t>
      </w:r>
      <w:r>
        <w:rPr>
          <w:color w:val="000000"/>
          <w:sz w:val="24"/>
          <w:szCs w:val="24"/>
        </w:rPr>
        <w:t>Nous avons recouru à la</w:t>
      </w:r>
      <w:r>
        <w:rPr>
          <w:sz w:val="24"/>
          <w:szCs w:val="24"/>
        </w:rPr>
        <w:t xml:space="preserve"> méthode </w:t>
      </w:r>
      <w:r w:rsidRPr="00F77887">
        <w:rPr>
          <w:sz w:val="24"/>
          <w:szCs w:val="24"/>
        </w:rPr>
        <w:t xml:space="preserve">documentaire.  </w:t>
      </w:r>
      <w:r w:rsidRPr="00F77887">
        <w:rPr>
          <w:color w:val="000000"/>
          <w:sz w:val="24"/>
          <w:szCs w:val="24"/>
        </w:rPr>
        <w:t>Les résultats obtenus de notre enquête montrent que les questionnaires d’évaluation se limitent géné</w:t>
      </w:r>
      <w:r>
        <w:rPr>
          <w:color w:val="000000"/>
          <w:sz w:val="24"/>
          <w:szCs w:val="24"/>
        </w:rPr>
        <w:t xml:space="preserve">ralement aux questions fermées qui </w:t>
      </w:r>
      <w:r w:rsidRPr="00F77887">
        <w:rPr>
          <w:color w:val="000000"/>
          <w:sz w:val="24"/>
          <w:szCs w:val="24"/>
        </w:rPr>
        <w:t>ne facilite</w:t>
      </w:r>
      <w:r>
        <w:rPr>
          <w:color w:val="000000"/>
          <w:sz w:val="24"/>
          <w:szCs w:val="24"/>
        </w:rPr>
        <w:t>nt</w:t>
      </w:r>
      <w:r w:rsidRPr="00F77887">
        <w:rPr>
          <w:color w:val="000000"/>
          <w:sz w:val="24"/>
          <w:szCs w:val="24"/>
        </w:rPr>
        <w:t xml:space="preserve"> pas l’acquisition </w:t>
      </w:r>
      <w:proofErr w:type="gramStart"/>
      <w:r w:rsidRPr="00F77887">
        <w:rPr>
          <w:color w:val="000000"/>
          <w:sz w:val="24"/>
          <w:szCs w:val="24"/>
        </w:rPr>
        <w:t>de  la</w:t>
      </w:r>
      <w:proofErr w:type="gramEnd"/>
      <w:r w:rsidRPr="00F77887">
        <w:rPr>
          <w:color w:val="000000"/>
          <w:sz w:val="24"/>
          <w:szCs w:val="24"/>
        </w:rPr>
        <w:t xml:space="preserve"> compétence communicative chez </w:t>
      </w:r>
      <w:r>
        <w:rPr>
          <w:color w:val="000000"/>
          <w:sz w:val="24"/>
          <w:szCs w:val="24"/>
        </w:rPr>
        <w:t>c</w:t>
      </w:r>
      <w:r w:rsidRPr="00F77887">
        <w:rPr>
          <w:color w:val="000000"/>
          <w:sz w:val="24"/>
          <w:szCs w:val="24"/>
        </w:rPr>
        <w:t xml:space="preserve">es apprenants.  </w:t>
      </w:r>
    </w:p>
    <w:p w14:paraId="3EF96397" w14:textId="77777777" w:rsidR="00D80693" w:rsidRPr="00927C90" w:rsidRDefault="00D80693" w:rsidP="00E82F39">
      <w:pPr>
        <w:tabs>
          <w:tab w:val="left" w:pos="2730"/>
        </w:tabs>
        <w:spacing w:before="120"/>
        <w:jc w:val="both"/>
        <w:rPr>
          <w:color w:val="000000"/>
          <w:sz w:val="12"/>
          <w:szCs w:val="24"/>
        </w:rPr>
      </w:pPr>
    </w:p>
    <w:p w14:paraId="006E6F00" w14:textId="77777777" w:rsidR="00D80693" w:rsidRPr="007E2783" w:rsidRDefault="00D80693" w:rsidP="00E82F39">
      <w:pPr>
        <w:tabs>
          <w:tab w:val="left" w:pos="2730"/>
        </w:tabs>
        <w:spacing w:before="120"/>
        <w:jc w:val="both"/>
        <w:rPr>
          <w:b/>
          <w:color w:val="000000"/>
          <w:sz w:val="24"/>
          <w:szCs w:val="24"/>
        </w:rPr>
      </w:pPr>
      <w:r w:rsidRPr="007E2783">
        <w:rPr>
          <w:b/>
          <w:color w:val="000000"/>
          <w:sz w:val="24"/>
          <w:szCs w:val="24"/>
        </w:rPr>
        <w:t xml:space="preserve">Mots-clés : </w:t>
      </w:r>
      <w:r w:rsidRPr="007E2783">
        <w:rPr>
          <w:color w:val="000000"/>
          <w:sz w:val="24"/>
          <w:szCs w:val="24"/>
        </w:rPr>
        <w:t xml:space="preserve">Langue </w:t>
      </w:r>
      <w:proofErr w:type="gramStart"/>
      <w:r w:rsidRPr="007E2783">
        <w:rPr>
          <w:color w:val="000000"/>
          <w:sz w:val="24"/>
          <w:szCs w:val="24"/>
        </w:rPr>
        <w:t>é</w:t>
      </w:r>
      <w:r>
        <w:rPr>
          <w:color w:val="000000"/>
          <w:sz w:val="24"/>
          <w:szCs w:val="24"/>
        </w:rPr>
        <w:t>trangère;</w:t>
      </w:r>
      <w:proofErr w:type="gramEnd"/>
      <w:r>
        <w:rPr>
          <w:color w:val="000000"/>
          <w:sz w:val="24"/>
          <w:szCs w:val="24"/>
        </w:rPr>
        <w:t xml:space="preserve"> q</w:t>
      </w:r>
      <w:r w:rsidRPr="007E2783">
        <w:rPr>
          <w:color w:val="000000"/>
          <w:sz w:val="24"/>
          <w:szCs w:val="24"/>
        </w:rPr>
        <w:t xml:space="preserve">uestion ; évaluation ; </w:t>
      </w:r>
      <w:r>
        <w:rPr>
          <w:color w:val="000000"/>
          <w:sz w:val="24"/>
          <w:szCs w:val="24"/>
        </w:rPr>
        <w:t>compétence c</w:t>
      </w:r>
      <w:r w:rsidRPr="007E2783">
        <w:rPr>
          <w:color w:val="000000"/>
          <w:sz w:val="24"/>
          <w:szCs w:val="24"/>
        </w:rPr>
        <w:t>ommunicative.</w:t>
      </w:r>
    </w:p>
    <w:p w14:paraId="27A50FFE" w14:textId="77777777" w:rsidR="00D80693" w:rsidRPr="005927D5" w:rsidRDefault="00D80693" w:rsidP="00E82F39">
      <w:pPr>
        <w:tabs>
          <w:tab w:val="left" w:pos="2730"/>
        </w:tabs>
        <w:spacing w:before="120"/>
        <w:jc w:val="both"/>
        <w:rPr>
          <w:rFonts w:ascii="Arial" w:hAnsi="Arial" w:cs="Arial"/>
          <w:b/>
          <w:color w:val="000000"/>
          <w:sz w:val="14"/>
          <w:szCs w:val="24"/>
        </w:rPr>
      </w:pPr>
    </w:p>
    <w:p w14:paraId="02635793" w14:textId="77777777" w:rsidR="00D80693" w:rsidRPr="006046DC" w:rsidRDefault="00D80693" w:rsidP="00E82F39">
      <w:pPr>
        <w:tabs>
          <w:tab w:val="left" w:pos="2730"/>
        </w:tabs>
        <w:spacing w:before="120"/>
        <w:jc w:val="both"/>
        <w:rPr>
          <w:b/>
          <w:color w:val="000000"/>
          <w:sz w:val="24"/>
          <w:szCs w:val="24"/>
          <w:lang w:val="en-US"/>
        </w:rPr>
      </w:pPr>
      <w:r w:rsidRPr="0095359A">
        <w:rPr>
          <w:b/>
          <w:color w:val="000000"/>
          <w:sz w:val="24"/>
          <w:szCs w:val="24"/>
          <w:lang w:val="en-US"/>
        </w:rPr>
        <w:t xml:space="preserve">Abstract: </w:t>
      </w:r>
      <w:r w:rsidRPr="006046DC">
        <w:rPr>
          <w:color w:val="000000"/>
          <w:sz w:val="24"/>
          <w:szCs w:val="24"/>
          <w:lang w:val="en-US"/>
        </w:rPr>
        <w:t>Our study, which focuses on the application of questioning techniques during the learning of French as a foreign language by Angolan upper secondary school learners, highlights the difficulties learners have in communicating correctly in French. The implementation of effective questioning techniques could contribute to improving the quality and quantity of learning outcomes in French as a foreign language. This research aims to contribute to the overall efforts to improve questioning techniques in the Angolan education system. We used the documentary method. The results of our survey show that assessment questionnaires are generally limited to closed questions that do not facilitate the acquisition of communicative competence among these learners.</w:t>
      </w:r>
      <w:r w:rsidRPr="006046DC">
        <w:rPr>
          <w:b/>
          <w:color w:val="000000"/>
          <w:sz w:val="24"/>
          <w:szCs w:val="24"/>
          <w:lang w:val="en-US"/>
        </w:rPr>
        <w:t xml:space="preserve">  </w:t>
      </w:r>
    </w:p>
    <w:p w14:paraId="38234848" w14:textId="77777777" w:rsidR="00D80693" w:rsidRPr="00E2689D" w:rsidRDefault="00D80693" w:rsidP="00E82F39">
      <w:pPr>
        <w:tabs>
          <w:tab w:val="left" w:pos="2730"/>
        </w:tabs>
        <w:spacing w:before="120"/>
        <w:jc w:val="both"/>
        <w:rPr>
          <w:b/>
          <w:color w:val="5B9BD5"/>
          <w:sz w:val="24"/>
          <w:szCs w:val="24"/>
          <w:lang w:val="en-US"/>
        </w:rPr>
      </w:pPr>
    </w:p>
    <w:p w14:paraId="3C98B1E3" w14:textId="77777777" w:rsidR="00D80693" w:rsidRPr="006046DC" w:rsidRDefault="00D80693" w:rsidP="00E82F39">
      <w:pPr>
        <w:tabs>
          <w:tab w:val="left" w:pos="2730"/>
        </w:tabs>
        <w:spacing w:before="120"/>
        <w:jc w:val="both"/>
        <w:rPr>
          <w:sz w:val="24"/>
          <w:szCs w:val="24"/>
          <w:lang w:val="en-US"/>
        </w:rPr>
      </w:pPr>
      <w:r w:rsidRPr="006046DC">
        <w:rPr>
          <w:b/>
          <w:sz w:val="24"/>
          <w:szCs w:val="24"/>
          <w:lang w:val="en-US"/>
        </w:rPr>
        <w:t>Keywords</w:t>
      </w:r>
      <w:r w:rsidRPr="006046DC">
        <w:rPr>
          <w:sz w:val="24"/>
          <w:szCs w:val="24"/>
          <w:lang w:val="en-US"/>
        </w:rPr>
        <w:t>: Foreign language; question; assessment; communicative competence.</w:t>
      </w:r>
    </w:p>
    <w:p w14:paraId="48ED1B58" w14:textId="77777777" w:rsidR="00D80693" w:rsidRPr="0095359A" w:rsidRDefault="00D80693" w:rsidP="00E82F39">
      <w:pPr>
        <w:tabs>
          <w:tab w:val="left" w:pos="2730"/>
        </w:tabs>
        <w:spacing w:before="120"/>
        <w:jc w:val="both"/>
        <w:rPr>
          <w:rFonts w:ascii="Arial" w:hAnsi="Arial" w:cs="Arial"/>
          <w:color w:val="000000"/>
          <w:sz w:val="24"/>
          <w:szCs w:val="24"/>
          <w:lang w:val="en-US"/>
        </w:rPr>
      </w:pPr>
    </w:p>
    <w:p w14:paraId="4B3EDC8E" w14:textId="77777777" w:rsidR="00D80693" w:rsidRPr="0095359A" w:rsidRDefault="00D80693" w:rsidP="00E82F39">
      <w:pPr>
        <w:tabs>
          <w:tab w:val="left" w:pos="2730"/>
        </w:tabs>
        <w:spacing w:before="120"/>
        <w:jc w:val="both"/>
        <w:rPr>
          <w:rFonts w:ascii="Arial" w:hAnsi="Arial" w:cs="Arial"/>
          <w:color w:val="000000"/>
          <w:sz w:val="24"/>
          <w:szCs w:val="24"/>
          <w:lang w:val="en-US"/>
        </w:rPr>
      </w:pPr>
    </w:p>
    <w:p w14:paraId="45A00868" w14:textId="77777777" w:rsidR="00D80693" w:rsidRPr="0095359A" w:rsidRDefault="00D80693" w:rsidP="00E82F39">
      <w:pPr>
        <w:tabs>
          <w:tab w:val="left" w:pos="2730"/>
        </w:tabs>
        <w:spacing w:before="120"/>
        <w:jc w:val="both"/>
        <w:rPr>
          <w:rFonts w:ascii="Arial" w:hAnsi="Arial" w:cs="Arial"/>
          <w:color w:val="000000"/>
          <w:sz w:val="24"/>
          <w:szCs w:val="24"/>
          <w:lang w:val="en-US"/>
        </w:rPr>
      </w:pPr>
    </w:p>
    <w:p w14:paraId="276F48F0" w14:textId="77777777" w:rsidR="00D80693" w:rsidRPr="0095359A" w:rsidRDefault="00D80693" w:rsidP="00E82F39">
      <w:pPr>
        <w:tabs>
          <w:tab w:val="left" w:pos="2730"/>
        </w:tabs>
        <w:spacing w:before="120"/>
        <w:jc w:val="both"/>
        <w:rPr>
          <w:b/>
          <w:color w:val="000000"/>
          <w:sz w:val="28"/>
          <w:szCs w:val="28"/>
          <w:lang w:val="en-US"/>
        </w:rPr>
      </w:pPr>
    </w:p>
    <w:p w14:paraId="1824932F" w14:textId="77777777" w:rsidR="00E82F39" w:rsidRPr="001928FA" w:rsidRDefault="00E82F39" w:rsidP="00E82F39">
      <w:pPr>
        <w:spacing w:before="120"/>
        <w:rPr>
          <w:b/>
          <w:color w:val="000000"/>
          <w:sz w:val="28"/>
          <w:szCs w:val="28"/>
          <w:lang w:val="en-US"/>
        </w:rPr>
      </w:pPr>
      <w:r w:rsidRPr="001928FA">
        <w:rPr>
          <w:b/>
          <w:color w:val="000000"/>
          <w:sz w:val="28"/>
          <w:szCs w:val="28"/>
          <w:lang w:val="en-US"/>
        </w:rPr>
        <w:br w:type="page"/>
      </w:r>
    </w:p>
    <w:p w14:paraId="734DD9C7" w14:textId="2B1678C9" w:rsidR="00D80693" w:rsidRPr="00C26927" w:rsidRDefault="00D80693" w:rsidP="00E82F39">
      <w:pPr>
        <w:tabs>
          <w:tab w:val="left" w:pos="2730"/>
        </w:tabs>
        <w:spacing w:before="120"/>
        <w:jc w:val="both"/>
        <w:rPr>
          <w:b/>
          <w:color w:val="000000"/>
          <w:sz w:val="28"/>
          <w:szCs w:val="28"/>
        </w:rPr>
      </w:pPr>
      <w:r w:rsidRPr="00C26927">
        <w:rPr>
          <w:b/>
          <w:color w:val="000000"/>
          <w:sz w:val="28"/>
          <w:szCs w:val="28"/>
        </w:rPr>
        <w:t>Introduction</w:t>
      </w:r>
    </w:p>
    <w:p w14:paraId="3D6DC20A" w14:textId="77777777" w:rsidR="00D80693" w:rsidRPr="008B0D1E" w:rsidRDefault="00D80693" w:rsidP="00E82F39">
      <w:pPr>
        <w:spacing w:before="120"/>
        <w:jc w:val="both"/>
        <w:rPr>
          <w:sz w:val="24"/>
          <w:szCs w:val="24"/>
        </w:rPr>
      </w:pPr>
      <w:r w:rsidRPr="008B0D1E">
        <w:rPr>
          <w:sz w:val="24"/>
          <w:szCs w:val="24"/>
        </w:rPr>
        <w:t xml:space="preserve">De nos jours, l’évaluation des acquis de </w:t>
      </w:r>
      <w:r>
        <w:rPr>
          <w:sz w:val="24"/>
          <w:szCs w:val="24"/>
        </w:rPr>
        <w:t>l’apprentissage</w:t>
      </w:r>
      <w:r w:rsidRPr="008B0D1E">
        <w:rPr>
          <w:sz w:val="24"/>
          <w:szCs w:val="24"/>
        </w:rPr>
        <w:t xml:space="preserve"> fait souvent l’objet de discussions entre les </w:t>
      </w:r>
      <w:r>
        <w:rPr>
          <w:sz w:val="24"/>
          <w:szCs w:val="24"/>
        </w:rPr>
        <w:t>apprenants</w:t>
      </w:r>
      <w:r w:rsidRPr="008B0D1E">
        <w:rPr>
          <w:sz w:val="24"/>
          <w:szCs w:val="24"/>
        </w:rPr>
        <w:t>, les parents et les enseignants. Vu son importance dans le système éducatif, beaucoup de recherches sont effectuées. La plupart de ces écrits démontrent qu’il est impossible de séparer l’évaluation des apprentissages</w:t>
      </w:r>
      <w:r>
        <w:rPr>
          <w:sz w:val="24"/>
          <w:szCs w:val="24"/>
        </w:rPr>
        <w:t xml:space="preserve"> </w:t>
      </w:r>
      <w:r w:rsidRPr="008B0D1E">
        <w:rPr>
          <w:sz w:val="24"/>
          <w:szCs w:val="24"/>
        </w:rPr>
        <w:t>du processus enseignement-apprentissage car elle fait partie intégrante de l’acte pédagogique.</w:t>
      </w:r>
    </w:p>
    <w:p w14:paraId="7DE7F8B3" w14:textId="2781BAEE" w:rsidR="00D80693" w:rsidRDefault="00D80693" w:rsidP="00E82F39">
      <w:pPr>
        <w:spacing w:before="120"/>
        <w:jc w:val="both"/>
        <w:rPr>
          <w:color w:val="000000"/>
          <w:sz w:val="24"/>
          <w:szCs w:val="24"/>
        </w:rPr>
      </w:pPr>
      <w:r w:rsidRPr="00D15A98">
        <w:rPr>
          <w:color w:val="000000"/>
          <w:sz w:val="24"/>
          <w:szCs w:val="24"/>
        </w:rPr>
        <w:t xml:space="preserve">En abordant ce sujet, nous sommes </w:t>
      </w:r>
      <w:proofErr w:type="gramStart"/>
      <w:r w:rsidRPr="00D15A98">
        <w:rPr>
          <w:color w:val="000000"/>
          <w:sz w:val="24"/>
          <w:szCs w:val="24"/>
        </w:rPr>
        <w:t>animé</w:t>
      </w:r>
      <w:proofErr w:type="gramEnd"/>
      <w:r w:rsidRPr="00D15A98">
        <w:rPr>
          <w:color w:val="000000"/>
          <w:sz w:val="24"/>
          <w:szCs w:val="24"/>
        </w:rPr>
        <w:t xml:space="preserve"> d’un souci majeur de mettre en évidence des situations qui surgissent pendant l’élaboration des questionnaires d’examen dans l’apprentissage plus particulièrement du français langue étrangère dans le système éducatif angolais</w:t>
      </w:r>
      <w:r>
        <w:rPr>
          <w:color w:val="000000"/>
          <w:sz w:val="24"/>
          <w:szCs w:val="24"/>
        </w:rPr>
        <w:t>.</w:t>
      </w:r>
      <w:r w:rsidRPr="00D15A98">
        <w:rPr>
          <w:color w:val="000000"/>
          <w:sz w:val="24"/>
          <w:szCs w:val="24"/>
        </w:rPr>
        <w:t xml:space="preserve"> Ce sont des épreuves auxquelles sont soumis le</w:t>
      </w:r>
      <w:r>
        <w:rPr>
          <w:color w:val="000000"/>
          <w:sz w:val="24"/>
          <w:szCs w:val="24"/>
        </w:rPr>
        <w:t>s apprenants dans la mesure où elles</w:t>
      </w:r>
      <w:r w:rsidRPr="00D15A98">
        <w:rPr>
          <w:color w:val="000000"/>
          <w:sz w:val="24"/>
          <w:szCs w:val="24"/>
        </w:rPr>
        <w:t xml:space="preserve"> sont à la fois une préoccupation aussi bien des</w:t>
      </w:r>
      <w:r>
        <w:rPr>
          <w:color w:val="000000"/>
          <w:sz w:val="24"/>
          <w:szCs w:val="24"/>
        </w:rPr>
        <w:t xml:space="preserve"> parents, des</w:t>
      </w:r>
      <w:r w:rsidRPr="00D15A98">
        <w:rPr>
          <w:color w:val="000000"/>
          <w:sz w:val="24"/>
          <w:szCs w:val="24"/>
        </w:rPr>
        <w:t xml:space="preserve"> apprenants, des enseignants que des responsables de l’éducation.</w:t>
      </w:r>
    </w:p>
    <w:p w14:paraId="74669828" w14:textId="143443E3" w:rsidR="00D80693" w:rsidRDefault="00D80693" w:rsidP="00E82F39">
      <w:pPr>
        <w:spacing w:before="120"/>
        <w:jc w:val="both"/>
        <w:rPr>
          <w:sz w:val="24"/>
          <w:szCs w:val="24"/>
        </w:rPr>
      </w:pPr>
      <w:r>
        <w:rPr>
          <w:color w:val="000000"/>
          <w:sz w:val="24"/>
          <w:szCs w:val="24"/>
        </w:rPr>
        <w:t>En République d’Angola, l</w:t>
      </w:r>
      <w:r w:rsidRPr="00F4206A">
        <w:rPr>
          <w:color w:val="000000"/>
          <w:sz w:val="24"/>
          <w:szCs w:val="24"/>
        </w:rPr>
        <w:t xml:space="preserve">a langue française, comme tant d’autres langues (comme l’anglais, l’allemand, l’espagnol, etc.) est </w:t>
      </w:r>
      <w:r>
        <w:rPr>
          <w:color w:val="000000"/>
          <w:spacing w:val="6"/>
          <w:sz w:val="24"/>
          <w:szCs w:val="24"/>
        </w:rPr>
        <w:t>non maternelle ;</w:t>
      </w:r>
      <w:r w:rsidRPr="00F4206A">
        <w:rPr>
          <w:color w:val="000000"/>
          <w:spacing w:val="6"/>
          <w:sz w:val="24"/>
          <w:szCs w:val="24"/>
        </w:rPr>
        <w:t xml:space="preserve"> non officielle ; apprise par enseignement ; utilisée dans des contextes limités et peu présente dans l’environnement quotidien par rapport à la langue </w:t>
      </w:r>
      <w:r>
        <w:rPr>
          <w:color w:val="000000"/>
          <w:spacing w:val="6"/>
          <w:sz w:val="24"/>
          <w:szCs w:val="24"/>
        </w:rPr>
        <w:t xml:space="preserve">portugaise, langue </w:t>
      </w:r>
      <w:r w:rsidRPr="00F4206A">
        <w:rPr>
          <w:color w:val="000000"/>
          <w:spacing w:val="6"/>
          <w:sz w:val="24"/>
          <w:szCs w:val="24"/>
        </w:rPr>
        <w:t xml:space="preserve">officielle ou maternelle. Tenant compte de ces caractéristiques, </w:t>
      </w:r>
      <w:r w:rsidRPr="00F4206A">
        <w:rPr>
          <w:color w:val="000000"/>
          <w:sz w:val="24"/>
          <w:szCs w:val="24"/>
        </w:rPr>
        <w:t>nous pouv</w:t>
      </w:r>
      <w:r>
        <w:rPr>
          <w:color w:val="000000"/>
          <w:sz w:val="24"/>
          <w:szCs w:val="24"/>
        </w:rPr>
        <w:t xml:space="preserve">ons conclure que le français </w:t>
      </w:r>
      <w:r w:rsidRPr="00F4206A">
        <w:rPr>
          <w:color w:val="000000"/>
          <w:sz w:val="24"/>
          <w:szCs w:val="24"/>
        </w:rPr>
        <w:t xml:space="preserve">a bien le statut de « langue </w:t>
      </w:r>
      <w:r w:rsidR="000C3C8C" w:rsidRPr="00F4206A">
        <w:rPr>
          <w:color w:val="000000"/>
          <w:sz w:val="24"/>
          <w:szCs w:val="24"/>
        </w:rPr>
        <w:t>étrangère »</w:t>
      </w:r>
      <w:r w:rsidRPr="00F4206A">
        <w:rPr>
          <w:color w:val="000000"/>
          <w:sz w:val="24"/>
          <w:szCs w:val="24"/>
        </w:rPr>
        <w:t>.</w:t>
      </w:r>
      <w:r w:rsidR="000C3C8C">
        <w:rPr>
          <w:color w:val="000000"/>
          <w:sz w:val="24"/>
          <w:szCs w:val="24"/>
        </w:rPr>
        <w:t xml:space="preserve"> </w:t>
      </w:r>
      <w:r>
        <w:rPr>
          <w:color w:val="000000"/>
          <w:sz w:val="24"/>
          <w:szCs w:val="24"/>
        </w:rPr>
        <w:t>Depuis</w:t>
      </w:r>
      <w:r w:rsidRPr="00076685">
        <w:rPr>
          <w:color w:val="000000"/>
          <w:sz w:val="24"/>
          <w:szCs w:val="24"/>
        </w:rPr>
        <w:t xml:space="preserve"> l’époque coloniale, parmi les langues étrangères enseignées dans nos écoles, </w:t>
      </w:r>
      <w:r>
        <w:rPr>
          <w:color w:val="000000"/>
          <w:sz w:val="24"/>
          <w:szCs w:val="24"/>
        </w:rPr>
        <w:t xml:space="preserve">la langue française </w:t>
      </w:r>
      <w:r w:rsidRPr="00076685">
        <w:rPr>
          <w:color w:val="000000"/>
          <w:sz w:val="24"/>
          <w:szCs w:val="24"/>
        </w:rPr>
        <w:t xml:space="preserve">a toujours occupé </w:t>
      </w:r>
      <w:r>
        <w:rPr>
          <w:color w:val="000000"/>
          <w:sz w:val="24"/>
          <w:szCs w:val="24"/>
        </w:rPr>
        <w:t>une place importante, c’est-à-dire la deuxième</w:t>
      </w:r>
      <w:r w:rsidRPr="00076685">
        <w:rPr>
          <w:color w:val="000000"/>
          <w:sz w:val="24"/>
          <w:szCs w:val="24"/>
        </w:rPr>
        <w:t xml:space="preserve"> après la langue portugaise</w:t>
      </w:r>
      <w:r>
        <w:rPr>
          <w:color w:val="000000"/>
          <w:sz w:val="24"/>
          <w:szCs w:val="24"/>
        </w:rPr>
        <w:t xml:space="preserve"> bien qu’elle soit, aujourd’hui, confrontée à l’hégémonie de la langue anglaise. </w:t>
      </w:r>
    </w:p>
    <w:p w14:paraId="492D4E39" w14:textId="77777777" w:rsidR="00D80693" w:rsidRPr="001B4924" w:rsidRDefault="00D80693" w:rsidP="00E82F39">
      <w:pPr>
        <w:spacing w:before="120"/>
        <w:jc w:val="both"/>
        <w:rPr>
          <w:sz w:val="24"/>
          <w:szCs w:val="24"/>
        </w:rPr>
      </w:pPr>
      <w:r>
        <w:rPr>
          <w:sz w:val="24"/>
          <w:szCs w:val="24"/>
        </w:rPr>
        <w:t xml:space="preserve">Quant à son apprentissage, il se réalise </w:t>
      </w:r>
      <w:r w:rsidRPr="001B4924">
        <w:rPr>
          <w:sz w:val="24"/>
          <w:szCs w:val="24"/>
        </w:rPr>
        <w:t xml:space="preserve">principalement dans deux types de lieux : </w:t>
      </w:r>
      <w:r>
        <w:rPr>
          <w:sz w:val="24"/>
          <w:szCs w:val="24"/>
        </w:rPr>
        <w:t xml:space="preserve">D’une part, dans </w:t>
      </w:r>
      <w:r w:rsidRPr="001B4924">
        <w:rPr>
          <w:sz w:val="24"/>
          <w:szCs w:val="24"/>
        </w:rPr>
        <w:t>les Institutions culturelles</w:t>
      </w:r>
      <w:r>
        <w:rPr>
          <w:sz w:val="24"/>
          <w:szCs w:val="24"/>
        </w:rPr>
        <w:t xml:space="preserve"> françaises</w:t>
      </w:r>
      <w:r w:rsidRPr="001B4924">
        <w:rPr>
          <w:sz w:val="24"/>
          <w:szCs w:val="24"/>
        </w:rPr>
        <w:t xml:space="preserve"> et Etablissements scolaires à caractère international et</w:t>
      </w:r>
      <w:r>
        <w:rPr>
          <w:sz w:val="24"/>
          <w:szCs w:val="24"/>
        </w:rPr>
        <w:t xml:space="preserve"> d’autre part,</w:t>
      </w:r>
      <w:r w:rsidRPr="001B4924">
        <w:rPr>
          <w:sz w:val="24"/>
          <w:szCs w:val="24"/>
        </w:rPr>
        <w:t xml:space="preserve"> </w:t>
      </w:r>
      <w:r>
        <w:rPr>
          <w:sz w:val="24"/>
          <w:szCs w:val="24"/>
        </w:rPr>
        <w:t xml:space="preserve">dans </w:t>
      </w:r>
      <w:r w:rsidRPr="001B4924">
        <w:rPr>
          <w:sz w:val="24"/>
          <w:szCs w:val="24"/>
        </w:rPr>
        <w:t xml:space="preserve">le système éducatif angolais. Le premier groupe fait référence </w:t>
      </w:r>
      <w:r>
        <w:rPr>
          <w:sz w:val="24"/>
          <w:szCs w:val="24"/>
        </w:rPr>
        <w:t>à</w:t>
      </w:r>
      <w:r w:rsidRPr="001B4924">
        <w:rPr>
          <w:sz w:val="24"/>
          <w:szCs w:val="24"/>
        </w:rPr>
        <w:t xml:space="preserve"> </w:t>
      </w:r>
      <w:r>
        <w:rPr>
          <w:sz w:val="24"/>
          <w:szCs w:val="24"/>
        </w:rPr>
        <w:t>l’</w:t>
      </w:r>
      <w:r>
        <w:rPr>
          <w:bCs/>
          <w:sz w:val="24"/>
          <w:szCs w:val="24"/>
        </w:rPr>
        <w:t>Alliance</w:t>
      </w:r>
      <w:r w:rsidRPr="001B4924">
        <w:rPr>
          <w:bCs/>
          <w:sz w:val="24"/>
          <w:szCs w:val="24"/>
        </w:rPr>
        <w:t xml:space="preserve"> Française</w:t>
      </w:r>
      <w:r>
        <w:rPr>
          <w:sz w:val="24"/>
          <w:szCs w:val="24"/>
        </w:rPr>
        <w:t xml:space="preserve"> p</w:t>
      </w:r>
      <w:r w:rsidRPr="001B4924">
        <w:rPr>
          <w:sz w:val="24"/>
          <w:szCs w:val="24"/>
        </w:rPr>
        <w:t xml:space="preserve">roposant des cours de </w:t>
      </w:r>
      <w:r>
        <w:rPr>
          <w:sz w:val="24"/>
          <w:szCs w:val="24"/>
        </w:rPr>
        <w:t>F</w:t>
      </w:r>
      <w:r w:rsidRPr="001B4924">
        <w:rPr>
          <w:sz w:val="24"/>
          <w:szCs w:val="24"/>
        </w:rPr>
        <w:t xml:space="preserve">rançais </w:t>
      </w:r>
      <w:r>
        <w:rPr>
          <w:sz w:val="24"/>
          <w:szCs w:val="24"/>
        </w:rPr>
        <w:t>langue é</w:t>
      </w:r>
      <w:r w:rsidRPr="001B4924">
        <w:rPr>
          <w:sz w:val="24"/>
          <w:szCs w:val="24"/>
        </w:rPr>
        <w:t>trangère </w:t>
      </w:r>
      <w:r>
        <w:rPr>
          <w:sz w:val="24"/>
          <w:szCs w:val="24"/>
        </w:rPr>
        <w:t xml:space="preserve">au public </w:t>
      </w:r>
      <w:r w:rsidRPr="001B4924">
        <w:rPr>
          <w:sz w:val="24"/>
          <w:szCs w:val="24"/>
        </w:rPr>
        <w:t xml:space="preserve">; au </w:t>
      </w:r>
      <w:r w:rsidRPr="001B4924">
        <w:rPr>
          <w:bCs/>
          <w:sz w:val="24"/>
          <w:szCs w:val="24"/>
        </w:rPr>
        <w:t>Lycée Français de Luanda</w:t>
      </w:r>
      <w:r w:rsidRPr="001B4924">
        <w:rPr>
          <w:sz w:val="24"/>
          <w:szCs w:val="24"/>
        </w:rPr>
        <w:t xml:space="preserve"> suivant le cursus éducatif français homologué et </w:t>
      </w:r>
      <w:r>
        <w:rPr>
          <w:sz w:val="24"/>
          <w:szCs w:val="24"/>
        </w:rPr>
        <w:t>aux É</w:t>
      </w:r>
      <w:r w:rsidRPr="001B4924">
        <w:rPr>
          <w:sz w:val="24"/>
          <w:szCs w:val="24"/>
        </w:rPr>
        <w:t xml:space="preserve">coles consulaires des pays francophones. Parallèlement, le second fait mention aux </w:t>
      </w:r>
      <w:r w:rsidRPr="001B4924">
        <w:rPr>
          <w:bCs/>
          <w:sz w:val="24"/>
          <w:szCs w:val="24"/>
        </w:rPr>
        <w:t>Écoles secondaires publiques et privées, Écoles professionnelles et Lycées partenaires comme les Lycées Eiffel</w:t>
      </w:r>
      <w:r>
        <w:rPr>
          <w:bCs/>
          <w:sz w:val="24"/>
          <w:szCs w:val="24"/>
        </w:rPr>
        <w:t xml:space="preserve"> où</w:t>
      </w:r>
      <w:r w:rsidRPr="001B4924">
        <w:rPr>
          <w:bCs/>
          <w:sz w:val="24"/>
          <w:szCs w:val="24"/>
        </w:rPr>
        <w:t xml:space="preserve"> le français est enseigné e</w:t>
      </w:r>
      <w:r w:rsidRPr="001B4924">
        <w:rPr>
          <w:sz w:val="24"/>
          <w:szCs w:val="24"/>
        </w:rPr>
        <w:t xml:space="preserve">n tant que langue étrangère obligatoire ou optionnelle, ainsi que dans les </w:t>
      </w:r>
      <w:r w:rsidRPr="001B4924">
        <w:rPr>
          <w:bCs/>
          <w:sz w:val="24"/>
          <w:szCs w:val="24"/>
        </w:rPr>
        <w:t>universités et Instituts</w:t>
      </w:r>
      <w:r w:rsidRPr="001B4924">
        <w:rPr>
          <w:b/>
          <w:bCs/>
          <w:sz w:val="24"/>
          <w:szCs w:val="24"/>
        </w:rPr>
        <w:t xml:space="preserve"> </w:t>
      </w:r>
      <w:proofErr w:type="gramStart"/>
      <w:r w:rsidRPr="001B4924">
        <w:rPr>
          <w:bCs/>
          <w:sz w:val="24"/>
          <w:szCs w:val="24"/>
        </w:rPr>
        <w:t xml:space="preserve">Supérieurs </w:t>
      </w:r>
      <w:r w:rsidRPr="001B4924">
        <w:rPr>
          <w:sz w:val="24"/>
          <w:szCs w:val="24"/>
        </w:rPr>
        <w:t xml:space="preserve"> qui</w:t>
      </w:r>
      <w:proofErr w:type="gramEnd"/>
      <w:r w:rsidRPr="001B4924">
        <w:rPr>
          <w:sz w:val="24"/>
          <w:szCs w:val="24"/>
        </w:rPr>
        <w:t xml:space="preserve"> forment les futurs professeurs et traducteurs français.  </w:t>
      </w:r>
    </w:p>
    <w:p w14:paraId="16F48738" w14:textId="77777777" w:rsidR="00D80693" w:rsidRPr="00925190" w:rsidRDefault="00D80693" w:rsidP="00E82F39">
      <w:pPr>
        <w:spacing w:before="120"/>
        <w:jc w:val="both"/>
        <w:rPr>
          <w:color w:val="000000"/>
          <w:sz w:val="24"/>
          <w:szCs w:val="24"/>
        </w:rPr>
      </w:pPr>
      <w:r w:rsidRPr="00925190">
        <w:rPr>
          <w:color w:val="000000"/>
          <w:sz w:val="24"/>
          <w:szCs w:val="24"/>
        </w:rPr>
        <w:t xml:space="preserve">L’évaluation </w:t>
      </w:r>
      <w:r>
        <w:rPr>
          <w:color w:val="000000"/>
          <w:sz w:val="24"/>
          <w:szCs w:val="24"/>
        </w:rPr>
        <w:t xml:space="preserve">des acquis d’apprentissage </w:t>
      </w:r>
      <w:r w:rsidRPr="00925190">
        <w:rPr>
          <w:color w:val="000000"/>
          <w:sz w:val="24"/>
          <w:szCs w:val="24"/>
        </w:rPr>
        <w:t>devient de plus en plus une préoccupation</w:t>
      </w:r>
      <w:r>
        <w:rPr>
          <w:color w:val="000000"/>
          <w:sz w:val="24"/>
          <w:szCs w:val="24"/>
        </w:rPr>
        <w:t xml:space="preserve"> qui </w:t>
      </w:r>
      <w:r w:rsidRPr="00925190">
        <w:rPr>
          <w:color w:val="000000"/>
          <w:sz w:val="24"/>
          <w:szCs w:val="24"/>
        </w:rPr>
        <w:t>intéresse la recherche pédagogique dans son impact sur le processus de l’enseignement-apprentissage des langues étrangères</w:t>
      </w:r>
      <w:r>
        <w:rPr>
          <w:color w:val="000000"/>
          <w:sz w:val="24"/>
          <w:szCs w:val="24"/>
        </w:rPr>
        <w:t>. T</w:t>
      </w:r>
      <w:r w:rsidRPr="00925190">
        <w:rPr>
          <w:color w:val="000000"/>
          <w:sz w:val="24"/>
          <w:szCs w:val="24"/>
        </w:rPr>
        <w:t xml:space="preserve">el est le cas de la langue française dans le système éducatif angolais ; une vraie réflexion s’impose en vue de l’améliorer et </w:t>
      </w:r>
      <w:r>
        <w:rPr>
          <w:color w:val="000000"/>
          <w:sz w:val="24"/>
          <w:szCs w:val="24"/>
        </w:rPr>
        <w:t xml:space="preserve">de </w:t>
      </w:r>
      <w:r w:rsidRPr="00925190">
        <w:rPr>
          <w:color w:val="000000"/>
          <w:sz w:val="24"/>
          <w:szCs w:val="24"/>
        </w:rPr>
        <w:t>la rendre plus dynamique et plus objective</w:t>
      </w:r>
      <w:r>
        <w:rPr>
          <w:color w:val="000000"/>
          <w:sz w:val="24"/>
          <w:szCs w:val="24"/>
        </w:rPr>
        <w:t>,</w:t>
      </w:r>
      <w:r w:rsidRPr="00925190">
        <w:rPr>
          <w:color w:val="000000"/>
          <w:sz w:val="24"/>
          <w:szCs w:val="24"/>
        </w:rPr>
        <w:t xml:space="preserve"> bien qu’elle soit une exigence institutionnelle.</w:t>
      </w:r>
    </w:p>
    <w:p w14:paraId="59982795" w14:textId="77777777" w:rsidR="00D80693" w:rsidRPr="00925190" w:rsidRDefault="00D80693" w:rsidP="00E82F39">
      <w:pPr>
        <w:spacing w:before="120"/>
        <w:jc w:val="both"/>
        <w:rPr>
          <w:color w:val="000000"/>
          <w:sz w:val="24"/>
          <w:szCs w:val="24"/>
        </w:rPr>
      </w:pPr>
      <w:r w:rsidRPr="00925190">
        <w:rPr>
          <w:color w:val="000000"/>
          <w:sz w:val="24"/>
          <w:szCs w:val="24"/>
        </w:rPr>
        <w:t xml:space="preserve">Certains </w:t>
      </w:r>
      <w:r>
        <w:rPr>
          <w:color w:val="000000"/>
          <w:sz w:val="24"/>
          <w:szCs w:val="24"/>
        </w:rPr>
        <w:t xml:space="preserve">élèves </w:t>
      </w:r>
      <w:r w:rsidRPr="00925190">
        <w:rPr>
          <w:color w:val="000000"/>
          <w:sz w:val="24"/>
          <w:szCs w:val="24"/>
        </w:rPr>
        <w:t xml:space="preserve">angolais apprennent la langue française </w:t>
      </w:r>
      <w:proofErr w:type="gramStart"/>
      <w:r w:rsidRPr="00925190">
        <w:rPr>
          <w:color w:val="000000"/>
          <w:sz w:val="24"/>
          <w:szCs w:val="24"/>
        </w:rPr>
        <w:t>comme  langue</w:t>
      </w:r>
      <w:proofErr w:type="gramEnd"/>
      <w:r w:rsidRPr="00925190">
        <w:rPr>
          <w:color w:val="000000"/>
          <w:sz w:val="24"/>
          <w:szCs w:val="24"/>
        </w:rPr>
        <w:t xml:space="preserve"> étrangère</w:t>
      </w:r>
      <w:r>
        <w:rPr>
          <w:color w:val="000000"/>
          <w:sz w:val="24"/>
          <w:szCs w:val="24"/>
        </w:rPr>
        <w:t>,</w:t>
      </w:r>
      <w:r w:rsidRPr="00925190">
        <w:rPr>
          <w:color w:val="000000"/>
          <w:sz w:val="24"/>
          <w:szCs w:val="24"/>
        </w:rPr>
        <w:t xml:space="preserve"> importante</w:t>
      </w:r>
      <w:r>
        <w:rPr>
          <w:color w:val="000000"/>
          <w:sz w:val="24"/>
          <w:szCs w:val="24"/>
        </w:rPr>
        <w:t>,</w:t>
      </w:r>
      <w:r w:rsidRPr="00925190">
        <w:rPr>
          <w:color w:val="000000"/>
          <w:sz w:val="24"/>
          <w:szCs w:val="24"/>
        </w:rPr>
        <w:t xml:space="preserve"> depuis le premier cycle du secondaire. Mais nous constatons qu’ils éprouvent de plus en plus de difficultés pour communiquer aisément et correctement en cette langue.</w:t>
      </w:r>
      <w:r>
        <w:rPr>
          <w:color w:val="000000"/>
          <w:sz w:val="24"/>
          <w:szCs w:val="24"/>
        </w:rPr>
        <w:t xml:space="preserve"> </w:t>
      </w:r>
      <w:r w:rsidRPr="00925190">
        <w:rPr>
          <w:color w:val="000000"/>
          <w:sz w:val="24"/>
          <w:szCs w:val="24"/>
        </w:rPr>
        <w:t xml:space="preserve">Nous nous sommes alors </w:t>
      </w:r>
      <w:proofErr w:type="gramStart"/>
      <w:r w:rsidRPr="00925190">
        <w:rPr>
          <w:color w:val="000000"/>
          <w:sz w:val="24"/>
          <w:szCs w:val="24"/>
        </w:rPr>
        <w:t xml:space="preserve">posé  </w:t>
      </w:r>
      <w:r>
        <w:rPr>
          <w:color w:val="000000"/>
          <w:sz w:val="24"/>
          <w:szCs w:val="24"/>
        </w:rPr>
        <w:t>la</w:t>
      </w:r>
      <w:proofErr w:type="gramEnd"/>
      <w:r>
        <w:rPr>
          <w:color w:val="000000"/>
          <w:sz w:val="24"/>
          <w:szCs w:val="24"/>
        </w:rPr>
        <w:t xml:space="preserve"> question</w:t>
      </w:r>
      <w:r w:rsidRPr="00925190">
        <w:rPr>
          <w:color w:val="000000"/>
          <w:sz w:val="24"/>
          <w:szCs w:val="24"/>
        </w:rPr>
        <w:t xml:space="preserve"> concernant la cause de ces contreperformances</w:t>
      </w:r>
      <w:r w:rsidRPr="00925190">
        <w:rPr>
          <w:i/>
          <w:color w:val="000000"/>
          <w:sz w:val="28"/>
          <w:szCs w:val="28"/>
        </w:rPr>
        <w:t> </w:t>
      </w:r>
      <w:r w:rsidRPr="00925190">
        <w:rPr>
          <w:color w:val="000000"/>
          <w:sz w:val="24"/>
          <w:szCs w:val="24"/>
        </w:rPr>
        <w:t xml:space="preserve">: </w:t>
      </w:r>
      <w:r>
        <w:rPr>
          <w:color w:val="000000"/>
          <w:sz w:val="24"/>
          <w:szCs w:val="24"/>
        </w:rPr>
        <w:t>l</w:t>
      </w:r>
      <w:r w:rsidRPr="00925190">
        <w:rPr>
          <w:color w:val="000000"/>
          <w:sz w:val="24"/>
          <w:szCs w:val="24"/>
        </w:rPr>
        <w:t>es techniques du questionnement mises en place actuellement par les enseignants permettent-elles de développer la compétence communicative des apprenants sous son aspect écrit ou oral ?</w:t>
      </w:r>
    </w:p>
    <w:p w14:paraId="3D3358D2" w14:textId="77777777" w:rsidR="00D80693" w:rsidRPr="00EB7B89" w:rsidRDefault="00D80693" w:rsidP="00E82F39">
      <w:pPr>
        <w:spacing w:before="120"/>
        <w:jc w:val="both"/>
        <w:rPr>
          <w:color w:val="000000"/>
          <w:sz w:val="24"/>
          <w:szCs w:val="24"/>
        </w:rPr>
      </w:pPr>
      <w:r w:rsidRPr="00EB7B89">
        <w:rPr>
          <w:color w:val="000000"/>
          <w:sz w:val="24"/>
          <w:szCs w:val="24"/>
        </w:rPr>
        <w:t>Eu égard à la problématique posée, nous osons croire que la mise en place d’une bonne technique de questionnement pourrait contribuer à l’amélioration qualitative et quantitative d</w:t>
      </w:r>
      <w:r>
        <w:rPr>
          <w:color w:val="000000"/>
          <w:sz w:val="24"/>
          <w:szCs w:val="24"/>
        </w:rPr>
        <w:t>’élaboration des questionnaires d’évaluation de</w:t>
      </w:r>
      <w:r w:rsidRPr="00EB7B89">
        <w:rPr>
          <w:color w:val="000000"/>
          <w:sz w:val="24"/>
          <w:szCs w:val="24"/>
        </w:rPr>
        <w:t xml:space="preserve">s acquis de formation en français langue étrangère, en aidant par ricochet au renforcement de la qualité des méthodes </w:t>
      </w:r>
      <w:proofErr w:type="gramStart"/>
      <w:r w:rsidRPr="00EB7B89">
        <w:rPr>
          <w:color w:val="000000"/>
          <w:sz w:val="24"/>
          <w:szCs w:val="24"/>
        </w:rPr>
        <w:t>d’enseignement  de</w:t>
      </w:r>
      <w:proofErr w:type="gramEnd"/>
      <w:r w:rsidRPr="00EB7B89">
        <w:rPr>
          <w:color w:val="000000"/>
          <w:sz w:val="24"/>
          <w:szCs w:val="24"/>
        </w:rPr>
        <w:t xml:space="preserve"> la même langue au</w:t>
      </w:r>
      <w:r>
        <w:rPr>
          <w:color w:val="000000"/>
          <w:sz w:val="24"/>
          <w:szCs w:val="24"/>
        </w:rPr>
        <w:t xml:space="preserve"> second cycle du</w:t>
      </w:r>
      <w:r w:rsidRPr="00EB7B89">
        <w:rPr>
          <w:color w:val="000000"/>
          <w:sz w:val="24"/>
          <w:szCs w:val="24"/>
        </w:rPr>
        <w:t xml:space="preserve"> secondaire.</w:t>
      </w:r>
    </w:p>
    <w:p w14:paraId="75E33405" w14:textId="77777777" w:rsidR="00D80693" w:rsidRPr="00F67494" w:rsidRDefault="00D80693" w:rsidP="00E82F39">
      <w:pPr>
        <w:spacing w:before="120"/>
        <w:jc w:val="both"/>
        <w:rPr>
          <w:color w:val="000000"/>
          <w:sz w:val="24"/>
          <w:szCs w:val="24"/>
        </w:rPr>
      </w:pPr>
      <w:r>
        <w:rPr>
          <w:color w:val="000000"/>
          <w:sz w:val="24"/>
          <w:szCs w:val="24"/>
        </w:rPr>
        <w:t xml:space="preserve">Il s’agit de </w:t>
      </w:r>
      <w:r w:rsidRPr="00F67494">
        <w:rPr>
          <w:color w:val="000000"/>
          <w:sz w:val="24"/>
          <w:szCs w:val="24"/>
        </w:rPr>
        <w:t>contribuer aux efforts généraux d’amélioration d</w:t>
      </w:r>
      <w:r>
        <w:rPr>
          <w:color w:val="000000"/>
          <w:sz w:val="24"/>
          <w:szCs w:val="24"/>
        </w:rPr>
        <w:t xml:space="preserve">es techniques d’élaboration des questionnaires d’examen </w:t>
      </w:r>
      <w:r w:rsidRPr="00F67494">
        <w:rPr>
          <w:color w:val="000000"/>
          <w:sz w:val="24"/>
          <w:szCs w:val="24"/>
        </w:rPr>
        <w:t>e</w:t>
      </w:r>
      <w:r>
        <w:rPr>
          <w:color w:val="000000"/>
          <w:sz w:val="24"/>
          <w:szCs w:val="24"/>
        </w:rPr>
        <w:t xml:space="preserve">t de </w:t>
      </w:r>
      <w:r w:rsidRPr="00F67494">
        <w:rPr>
          <w:color w:val="000000"/>
          <w:sz w:val="24"/>
          <w:szCs w:val="24"/>
        </w:rPr>
        <w:t>la qualité de l’enseignement du français langue étrangère au second cycle du secondaire dans le système éducatif angolais.</w:t>
      </w:r>
    </w:p>
    <w:p w14:paraId="284FABD0" w14:textId="77777777" w:rsidR="00D80693" w:rsidRDefault="00D80693" w:rsidP="00E82F39">
      <w:pPr>
        <w:spacing w:before="120"/>
        <w:jc w:val="both"/>
        <w:rPr>
          <w:color w:val="000000"/>
          <w:sz w:val="24"/>
          <w:szCs w:val="24"/>
        </w:rPr>
      </w:pPr>
      <w:r w:rsidRPr="00601C8A">
        <w:rPr>
          <w:color w:val="000000"/>
          <w:sz w:val="24"/>
          <w:szCs w:val="24"/>
        </w:rPr>
        <w:t xml:space="preserve">Compte tenu de l’importance </w:t>
      </w:r>
      <w:r>
        <w:rPr>
          <w:color w:val="000000"/>
          <w:sz w:val="24"/>
          <w:szCs w:val="24"/>
        </w:rPr>
        <w:t>que</w:t>
      </w:r>
      <w:r w:rsidRPr="00601C8A">
        <w:rPr>
          <w:color w:val="000000"/>
          <w:sz w:val="24"/>
          <w:szCs w:val="24"/>
        </w:rPr>
        <w:t xml:space="preserve"> cette langue </w:t>
      </w:r>
      <w:r>
        <w:rPr>
          <w:color w:val="000000"/>
          <w:sz w:val="24"/>
          <w:szCs w:val="24"/>
        </w:rPr>
        <w:t xml:space="preserve">revêt </w:t>
      </w:r>
      <w:r w:rsidRPr="00601C8A">
        <w:rPr>
          <w:color w:val="000000"/>
          <w:sz w:val="24"/>
          <w:szCs w:val="24"/>
        </w:rPr>
        <w:t>pour l’Angola, et du constat que sa maîtrise par les élèves qui l’apprennent pose de pl</w:t>
      </w:r>
      <w:r>
        <w:rPr>
          <w:color w:val="000000"/>
          <w:sz w:val="24"/>
          <w:szCs w:val="24"/>
        </w:rPr>
        <w:t>us en plus de sérieux problèmes</w:t>
      </w:r>
      <w:r w:rsidRPr="00601C8A">
        <w:rPr>
          <w:color w:val="000000"/>
          <w:sz w:val="24"/>
          <w:szCs w:val="24"/>
        </w:rPr>
        <w:t>, nous avons pensé que le mode d’évaluation des acquis de formation des apprenants en langue française serait un des facteurs responsables de cette situation, sans parler d’autres facteurs (méthodes d’enseignement, qualité des matériels didactiques, qualification de la plupart des enseignants de français, etc.).</w:t>
      </w:r>
    </w:p>
    <w:p w14:paraId="137F181E" w14:textId="77777777" w:rsidR="00D80693" w:rsidRPr="00B25B8E" w:rsidRDefault="00D80693" w:rsidP="00E82F39">
      <w:pPr>
        <w:spacing w:before="120"/>
        <w:jc w:val="both"/>
        <w:rPr>
          <w:b/>
          <w:color w:val="000000"/>
          <w:sz w:val="28"/>
          <w:szCs w:val="28"/>
        </w:rPr>
      </w:pPr>
      <w:r w:rsidRPr="00B25B8E">
        <w:rPr>
          <w:b/>
          <w:color w:val="000000"/>
          <w:sz w:val="28"/>
          <w:szCs w:val="28"/>
        </w:rPr>
        <w:t>1. Cadre théorique</w:t>
      </w:r>
    </w:p>
    <w:p w14:paraId="0DCCEA4D" w14:textId="194AC433" w:rsidR="00D80693" w:rsidRPr="00CD745E" w:rsidRDefault="00D80693" w:rsidP="00E82F39">
      <w:pPr>
        <w:spacing w:before="120"/>
        <w:jc w:val="both"/>
        <w:rPr>
          <w:color w:val="000000"/>
          <w:sz w:val="24"/>
          <w:szCs w:val="24"/>
        </w:rPr>
      </w:pPr>
      <w:r w:rsidRPr="00CD745E">
        <w:rPr>
          <w:color w:val="000000"/>
          <w:sz w:val="24"/>
          <w:szCs w:val="24"/>
        </w:rPr>
        <w:t>Poser des questions est un art qui favorise l’analyse et la réflexion critique, permettant d’examine</w:t>
      </w:r>
      <w:r>
        <w:rPr>
          <w:color w:val="000000"/>
          <w:sz w:val="24"/>
          <w:szCs w:val="24"/>
        </w:rPr>
        <w:t>r les idées sous différent</w:t>
      </w:r>
      <w:r w:rsidRPr="00CD745E">
        <w:rPr>
          <w:color w:val="000000"/>
          <w:sz w:val="24"/>
          <w:szCs w:val="24"/>
        </w:rPr>
        <w:t xml:space="preserve">s angles et de prendre des décisions éclairées. Les questions stimulent la curiosité et l’exploration, ce qui </w:t>
      </w:r>
      <w:r w:rsidR="000C3C8C" w:rsidRPr="00CD745E">
        <w:rPr>
          <w:color w:val="000000"/>
          <w:sz w:val="24"/>
          <w:szCs w:val="24"/>
        </w:rPr>
        <w:t>peut mener</w:t>
      </w:r>
      <w:r w:rsidRPr="00CD745E">
        <w:rPr>
          <w:color w:val="000000"/>
          <w:sz w:val="24"/>
          <w:szCs w:val="24"/>
        </w:rPr>
        <w:t xml:space="preserve"> à des découvertes, des améliorations et des innovations dans divers domaines. </w:t>
      </w:r>
    </w:p>
    <w:p w14:paraId="441B085C" w14:textId="42DCFD88" w:rsidR="00D80693" w:rsidRPr="00CD745E" w:rsidRDefault="00D80693" w:rsidP="00E82F39">
      <w:pPr>
        <w:spacing w:before="120"/>
        <w:jc w:val="both"/>
        <w:rPr>
          <w:color w:val="000000"/>
          <w:sz w:val="24"/>
          <w:szCs w:val="24"/>
        </w:rPr>
      </w:pPr>
      <w:r w:rsidRPr="00CD745E">
        <w:rPr>
          <w:color w:val="000000"/>
          <w:sz w:val="24"/>
          <w:szCs w:val="24"/>
        </w:rPr>
        <w:t xml:space="preserve">Dans </w:t>
      </w:r>
      <w:r>
        <w:rPr>
          <w:color w:val="000000"/>
          <w:sz w:val="24"/>
          <w:szCs w:val="24"/>
        </w:rPr>
        <w:t>le</w:t>
      </w:r>
      <w:r w:rsidRPr="00CD745E">
        <w:rPr>
          <w:color w:val="000000"/>
          <w:sz w:val="24"/>
          <w:szCs w:val="24"/>
        </w:rPr>
        <w:t xml:space="preserve"> contexte éducatif, la capacité de poser des questions est cruciale pour l’apprentissage actif et l’engagement des apprenants. En classe, une bonne question rend plus dynamique l’interaction entre enseignant et enseignés ou </w:t>
      </w:r>
      <w:r>
        <w:rPr>
          <w:color w:val="000000"/>
          <w:sz w:val="24"/>
          <w:szCs w:val="24"/>
        </w:rPr>
        <w:t>entre ces derniers</w:t>
      </w:r>
      <w:r w:rsidRPr="00CD745E">
        <w:rPr>
          <w:color w:val="000000"/>
          <w:sz w:val="24"/>
          <w:szCs w:val="24"/>
        </w:rPr>
        <w:t xml:space="preserve">. À cet effet, </w:t>
      </w:r>
      <w:proofErr w:type="spellStart"/>
      <w:r w:rsidRPr="00CD745E">
        <w:rPr>
          <w:color w:val="000000"/>
          <w:sz w:val="24"/>
          <w:szCs w:val="24"/>
        </w:rPr>
        <w:t>Theunissem</w:t>
      </w:r>
      <w:proofErr w:type="spellEnd"/>
      <w:r w:rsidRPr="00CD745E">
        <w:rPr>
          <w:color w:val="000000"/>
          <w:sz w:val="24"/>
          <w:szCs w:val="24"/>
        </w:rPr>
        <w:t xml:space="preserve"> (1986</w:t>
      </w:r>
      <w:r>
        <w:rPr>
          <w:color w:val="000000"/>
          <w:sz w:val="24"/>
          <w:szCs w:val="24"/>
        </w:rPr>
        <w:t>, p.</w:t>
      </w:r>
      <w:r w:rsidRPr="00CD745E">
        <w:rPr>
          <w:color w:val="000000"/>
          <w:sz w:val="24"/>
          <w:szCs w:val="24"/>
        </w:rPr>
        <w:t xml:space="preserve">75) affirme que </w:t>
      </w:r>
      <w:r>
        <w:rPr>
          <w:color w:val="000000"/>
          <w:sz w:val="24"/>
          <w:szCs w:val="24"/>
        </w:rPr>
        <w:t>« savoir</w:t>
      </w:r>
      <w:r w:rsidRPr="00CD745E">
        <w:rPr>
          <w:color w:val="000000"/>
          <w:sz w:val="24"/>
          <w:szCs w:val="24"/>
        </w:rPr>
        <w:t xml:space="preserve"> interroger, c’est savoir enseigner </w:t>
      </w:r>
      <w:r>
        <w:rPr>
          <w:color w:val="000000"/>
          <w:sz w:val="24"/>
          <w:szCs w:val="24"/>
        </w:rPr>
        <w:t>»</w:t>
      </w:r>
      <w:r w:rsidRPr="00CD745E">
        <w:rPr>
          <w:color w:val="000000"/>
          <w:sz w:val="24"/>
          <w:szCs w:val="24"/>
        </w:rPr>
        <w:t xml:space="preserve"> ; De </w:t>
      </w:r>
      <w:proofErr w:type="spellStart"/>
      <w:r w:rsidRPr="00CD745E">
        <w:rPr>
          <w:color w:val="000000"/>
          <w:sz w:val="24"/>
          <w:szCs w:val="24"/>
        </w:rPr>
        <w:t>Landsheere</w:t>
      </w:r>
      <w:proofErr w:type="spellEnd"/>
      <w:r w:rsidRPr="00CD745E">
        <w:rPr>
          <w:color w:val="000000"/>
          <w:sz w:val="24"/>
          <w:szCs w:val="24"/>
        </w:rPr>
        <w:t xml:space="preserve"> (</w:t>
      </w:r>
      <w:r>
        <w:rPr>
          <w:color w:val="000000"/>
          <w:sz w:val="24"/>
          <w:szCs w:val="24"/>
        </w:rPr>
        <w:t xml:space="preserve">1974, p.83) appuie en disant que « </w:t>
      </w:r>
      <w:r w:rsidR="000C3C8C" w:rsidRPr="00CD745E">
        <w:rPr>
          <w:color w:val="000000"/>
          <w:sz w:val="24"/>
          <w:szCs w:val="24"/>
        </w:rPr>
        <w:t>savoir poser</w:t>
      </w:r>
      <w:r w:rsidRPr="00CD745E">
        <w:rPr>
          <w:color w:val="000000"/>
          <w:sz w:val="24"/>
          <w:szCs w:val="24"/>
        </w:rPr>
        <w:t xml:space="preserve"> des questions est probablement la capacité la </w:t>
      </w:r>
      <w:r>
        <w:rPr>
          <w:color w:val="000000"/>
          <w:sz w:val="24"/>
          <w:szCs w:val="24"/>
        </w:rPr>
        <w:t xml:space="preserve">plus nécessaire au </w:t>
      </w:r>
      <w:proofErr w:type="gramStart"/>
      <w:r>
        <w:rPr>
          <w:color w:val="000000"/>
          <w:sz w:val="24"/>
          <w:szCs w:val="24"/>
        </w:rPr>
        <w:t>professeur»</w:t>
      </w:r>
      <w:proofErr w:type="gramEnd"/>
      <w:r>
        <w:rPr>
          <w:color w:val="000000"/>
          <w:sz w:val="24"/>
          <w:szCs w:val="24"/>
        </w:rPr>
        <w:t xml:space="preserve">. </w:t>
      </w:r>
      <w:r w:rsidRPr="00CD745E">
        <w:rPr>
          <w:color w:val="000000"/>
          <w:sz w:val="24"/>
          <w:szCs w:val="24"/>
        </w:rPr>
        <w:t xml:space="preserve">Ces </w:t>
      </w:r>
      <w:r>
        <w:rPr>
          <w:color w:val="000000"/>
          <w:sz w:val="24"/>
          <w:szCs w:val="24"/>
        </w:rPr>
        <w:t xml:space="preserve">assertions </w:t>
      </w:r>
      <w:r w:rsidRPr="00CD745E">
        <w:rPr>
          <w:color w:val="000000"/>
          <w:sz w:val="24"/>
          <w:szCs w:val="24"/>
        </w:rPr>
        <w:t>montrent que l</w:t>
      </w:r>
      <w:r>
        <w:rPr>
          <w:color w:val="000000"/>
          <w:sz w:val="24"/>
          <w:szCs w:val="24"/>
        </w:rPr>
        <w:t>a question joue</w:t>
      </w:r>
      <w:r w:rsidRPr="00CD745E">
        <w:rPr>
          <w:color w:val="000000"/>
          <w:sz w:val="24"/>
          <w:szCs w:val="24"/>
        </w:rPr>
        <w:t xml:space="preserve"> un rôle particulièrement important dans tout processus d’acquisition, de précision et de considération non seulement des connaissances en général, mais en particulier des connaissances scolaires. (NKONGOLO, 2010</w:t>
      </w:r>
      <w:r>
        <w:rPr>
          <w:color w:val="000000"/>
          <w:sz w:val="24"/>
          <w:szCs w:val="24"/>
        </w:rPr>
        <w:t>, p.</w:t>
      </w:r>
      <w:r w:rsidRPr="00CD745E">
        <w:rPr>
          <w:color w:val="000000"/>
          <w:sz w:val="24"/>
          <w:szCs w:val="24"/>
        </w:rPr>
        <w:t xml:space="preserve">27) </w:t>
      </w:r>
    </w:p>
    <w:p w14:paraId="4C4B6FB4" w14:textId="77777777" w:rsidR="00D80693" w:rsidRPr="00A344EA" w:rsidRDefault="00D80693" w:rsidP="00E82F39">
      <w:pPr>
        <w:spacing w:before="120"/>
        <w:jc w:val="both"/>
        <w:rPr>
          <w:color w:val="000000"/>
          <w:sz w:val="24"/>
          <w:szCs w:val="24"/>
        </w:rPr>
      </w:pPr>
      <w:r w:rsidRPr="00A344EA">
        <w:rPr>
          <w:color w:val="000000"/>
          <w:sz w:val="24"/>
          <w:szCs w:val="24"/>
        </w:rPr>
        <w:t xml:space="preserve">Pour les enseignants, la question permet </w:t>
      </w:r>
      <w:r>
        <w:rPr>
          <w:color w:val="000000"/>
          <w:sz w:val="24"/>
          <w:szCs w:val="24"/>
        </w:rPr>
        <w:t xml:space="preserve">non seulement </w:t>
      </w:r>
      <w:r w:rsidRPr="00A344EA">
        <w:rPr>
          <w:color w:val="000000"/>
          <w:sz w:val="24"/>
          <w:szCs w:val="24"/>
        </w:rPr>
        <w:t>d’évaluer de manière objective les performances des apprenants au début, pendant et à la fin d’une formation</w:t>
      </w:r>
      <w:r>
        <w:rPr>
          <w:color w:val="000000"/>
          <w:sz w:val="24"/>
          <w:szCs w:val="24"/>
        </w:rPr>
        <w:t xml:space="preserve">, mais aussi </w:t>
      </w:r>
      <w:r w:rsidRPr="00A344EA">
        <w:rPr>
          <w:color w:val="000000"/>
          <w:sz w:val="24"/>
          <w:szCs w:val="24"/>
        </w:rPr>
        <w:t>de découvrir les différents types de personnalités et des sensibilités des apprenants. Quant à ces derniers, la question facilite la compréhension de la matière à l’étude permettant ainsi des échanges plus fructueux et plus réfléchis, et facilitant ainsi les apprentissages et les acquisitions. De part et d’autre, la question revêt une importance pédagogique incontournable.</w:t>
      </w:r>
    </w:p>
    <w:p w14:paraId="4C0F2B77" w14:textId="77777777" w:rsidR="00D80693" w:rsidRPr="007A1BF1" w:rsidRDefault="00D80693" w:rsidP="00E82F39">
      <w:pPr>
        <w:pStyle w:val="Paragraphedeliste"/>
        <w:widowControl/>
        <w:numPr>
          <w:ilvl w:val="1"/>
          <w:numId w:val="184"/>
        </w:numPr>
        <w:autoSpaceDE/>
        <w:autoSpaceDN/>
        <w:rPr>
          <w:b/>
          <w:color w:val="000000"/>
          <w:sz w:val="24"/>
          <w:szCs w:val="24"/>
        </w:rPr>
      </w:pPr>
      <w:r w:rsidRPr="007A1BF1">
        <w:rPr>
          <w:b/>
          <w:color w:val="000000"/>
          <w:sz w:val="24"/>
          <w:szCs w:val="24"/>
        </w:rPr>
        <w:t>Catégorisation des questions</w:t>
      </w:r>
    </w:p>
    <w:p w14:paraId="04AE4501" w14:textId="77777777" w:rsidR="00D80693" w:rsidRDefault="00D80693" w:rsidP="00E82F39">
      <w:pPr>
        <w:spacing w:before="120"/>
        <w:jc w:val="both"/>
        <w:rPr>
          <w:sz w:val="24"/>
          <w:szCs w:val="24"/>
        </w:rPr>
      </w:pPr>
      <w:r w:rsidRPr="00A24E32">
        <w:rPr>
          <w:color w:val="000000"/>
          <w:sz w:val="24"/>
          <w:szCs w:val="24"/>
        </w:rPr>
        <w:t xml:space="preserve">Parlant de la catégorisation des questions dans le système éducatif, plus particulièrement dans </w:t>
      </w:r>
      <w:r>
        <w:rPr>
          <w:color w:val="000000"/>
          <w:sz w:val="24"/>
          <w:szCs w:val="24"/>
        </w:rPr>
        <w:t>le processus de l’enseignement-</w:t>
      </w:r>
      <w:r w:rsidRPr="00A24E32">
        <w:rPr>
          <w:color w:val="000000"/>
          <w:sz w:val="24"/>
          <w:szCs w:val="24"/>
        </w:rPr>
        <w:t xml:space="preserve">apprentissage du français langue étrangère, il n’existe pas une </w:t>
      </w:r>
      <w:r>
        <w:rPr>
          <w:color w:val="000000"/>
          <w:sz w:val="24"/>
          <w:szCs w:val="24"/>
        </w:rPr>
        <w:t>taxonomie</w:t>
      </w:r>
      <w:r w:rsidRPr="00A24E32">
        <w:rPr>
          <w:color w:val="000000"/>
          <w:sz w:val="24"/>
          <w:szCs w:val="24"/>
        </w:rPr>
        <w:t xml:space="preserve"> établie pour classifier les questions. </w:t>
      </w:r>
      <w:r w:rsidRPr="00A24E32">
        <w:rPr>
          <w:sz w:val="24"/>
          <w:szCs w:val="24"/>
        </w:rPr>
        <w:t>Plusieurs études ont été menées par les différents auteurs sur la classification des questions c</w:t>
      </w:r>
      <w:r>
        <w:rPr>
          <w:sz w:val="24"/>
          <w:szCs w:val="24"/>
        </w:rPr>
        <w:t>omme Gilbert Ler</w:t>
      </w:r>
      <w:r w:rsidRPr="00A24E32">
        <w:rPr>
          <w:sz w:val="24"/>
          <w:szCs w:val="24"/>
        </w:rPr>
        <w:t xml:space="preserve">oy (1970) ; </w:t>
      </w:r>
      <w:r>
        <w:rPr>
          <w:sz w:val="24"/>
          <w:szCs w:val="24"/>
        </w:rPr>
        <w:t>Belanger (2009</w:t>
      </w:r>
      <w:r w:rsidRPr="00A24E32">
        <w:rPr>
          <w:sz w:val="24"/>
          <w:szCs w:val="24"/>
        </w:rPr>
        <w:t xml:space="preserve">) ; Nkongolo (2010). </w:t>
      </w:r>
      <w:r>
        <w:rPr>
          <w:sz w:val="24"/>
          <w:szCs w:val="24"/>
        </w:rPr>
        <w:t xml:space="preserve">Pour une meilleure compréhension, dans les lignes qui suivent, nous allons aborder l’apport de chacun à cet effet. </w:t>
      </w:r>
    </w:p>
    <w:p w14:paraId="29FAF2F3" w14:textId="77777777" w:rsidR="00D80693" w:rsidRDefault="00D80693" w:rsidP="00E82F39">
      <w:pPr>
        <w:spacing w:before="120"/>
        <w:jc w:val="both"/>
        <w:rPr>
          <w:sz w:val="24"/>
          <w:szCs w:val="24"/>
        </w:rPr>
      </w:pPr>
      <w:r w:rsidRPr="005B58C3">
        <w:rPr>
          <w:sz w:val="24"/>
          <w:szCs w:val="24"/>
        </w:rPr>
        <w:t>Leroy (1970)</w:t>
      </w:r>
      <w:r>
        <w:rPr>
          <w:sz w:val="24"/>
          <w:szCs w:val="24"/>
        </w:rPr>
        <w:t xml:space="preserve"> classifie les questions à poser en 3 catégories que nous allons présenter dans un tableau descriptif : Les questions fermées ou étroites ; les questions ouvertes ou larges et les questions stimulantes.</w:t>
      </w:r>
    </w:p>
    <w:p w14:paraId="1B4715B1" w14:textId="77777777" w:rsidR="00D80693" w:rsidRDefault="00D80693" w:rsidP="00E82F39">
      <w:pPr>
        <w:spacing w:before="120"/>
        <w:jc w:val="both"/>
        <w:rPr>
          <w:sz w:val="24"/>
          <w:szCs w:val="24"/>
        </w:rPr>
      </w:pPr>
    </w:p>
    <w:p w14:paraId="1117F0BC" w14:textId="77777777" w:rsidR="00D80693" w:rsidRDefault="00D80693" w:rsidP="00E82F39">
      <w:pPr>
        <w:spacing w:before="120"/>
        <w:jc w:val="both"/>
        <w:rPr>
          <w:sz w:val="24"/>
          <w:szCs w:val="24"/>
        </w:rPr>
      </w:pPr>
    </w:p>
    <w:p w14:paraId="5E7B1012" w14:textId="77777777" w:rsidR="00D80693" w:rsidRDefault="00D80693" w:rsidP="00E82F39">
      <w:pPr>
        <w:spacing w:before="120"/>
        <w:jc w:val="both"/>
        <w:rPr>
          <w:sz w:val="24"/>
          <w:szCs w:val="24"/>
        </w:rPr>
      </w:pPr>
    </w:p>
    <w:p w14:paraId="32247016" w14:textId="77777777" w:rsidR="00D80693" w:rsidRDefault="00D80693" w:rsidP="00E82F39">
      <w:pPr>
        <w:spacing w:before="120"/>
        <w:jc w:val="both"/>
        <w:rPr>
          <w:sz w:val="24"/>
          <w:szCs w:val="24"/>
        </w:rPr>
      </w:pPr>
    </w:p>
    <w:p w14:paraId="3AECC4E6" w14:textId="77777777" w:rsidR="00D80693" w:rsidRDefault="00D80693" w:rsidP="00E82F39">
      <w:pPr>
        <w:spacing w:before="120"/>
        <w:jc w:val="both"/>
        <w:rPr>
          <w:sz w:val="24"/>
          <w:szCs w:val="24"/>
        </w:rPr>
      </w:pPr>
    </w:p>
    <w:p w14:paraId="284A7B48" w14:textId="77777777" w:rsidR="00D80693" w:rsidRDefault="00D80693" w:rsidP="00E82F39">
      <w:pPr>
        <w:spacing w:before="120"/>
        <w:jc w:val="center"/>
        <w:rPr>
          <w:b/>
          <w:i/>
          <w:color w:val="000000"/>
        </w:rPr>
      </w:pPr>
    </w:p>
    <w:p w14:paraId="4C6836D2" w14:textId="77777777" w:rsidR="00D80693" w:rsidRPr="0005591A" w:rsidRDefault="00D80693" w:rsidP="00E82F39">
      <w:pPr>
        <w:spacing w:before="120"/>
        <w:jc w:val="center"/>
        <w:rPr>
          <w:szCs w:val="24"/>
        </w:rPr>
      </w:pPr>
      <w:r>
        <w:rPr>
          <w:b/>
          <w:i/>
          <w:color w:val="000000"/>
        </w:rPr>
        <w:t>Tableau n° 0</w:t>
      </w:r>
      <w:r w:rsidRPr="00CB7A1E">
        <w:rPr>
          <w:b/>
          <w:i/>
          <w:color w:val="000000"/>
        </w:rPr>
        <w:t xml:space="preserve">1 : </w:t>
      </w:r>
      <w:r>
        <w:rPr>
          <w:b/>
          <w:i/>
          <w:color w:val="000000"/>
        </w:rPr>
        <w:t xml:space="preserve">Taxonomie </w:t>
      </w:r>
      <w:r w:rsidRPr="00785165">
        <w:rPr>
          <w:b/>
          <w:i/>
        </w:rPr>
        <w:t>de questions selon Gilbert Leroy</w:t>
      </w:r>
    </w:p>
    <w:tbl>
      <w:tblPr>
        <w:tblStyle w:val="TableGrid10"/>
        <w:tblW w:w="0" w:type="auto"/>
        <w:tblLook w:val="04A0" w:firstRow="1" w:lastRow="0" w:firstColumn="1" w:lastColumn="0" w:noHBand="0" w:noVBand="1"/>
      </w:tblPr>
      <w:tblGrid>
        <w:gridCol w:w="2830"/>
        <w:gridCol w:w="6230"/>
      </w:tblGrid>
      <w:tr w:rsidR="00D80693" w14:paraId="06085725" w14:textId="77777777" w:rsidTr="00026258">
        <w:tc>
          <w:tcPr>
            <w:tcW w:w="2830" w:type="dxa"/>
            <w:shd w:val="clear" w:color="auto" w:fill="00B0F0"/>
          </w:tcPr>
          <w:p w14:paraId="550C02EF" w14:textId="77777777" w:rsidR="00D80693" w:rsidRPr="00173D06" w:rsidRDefault="00D80693" w:rsidP="00E82F39">
            <w:pPr>
              <w:spacing w:before="120"/>
              <w:jc w:val="both"/>
              <w:rPr>
                <w:b/>
                <w:sz w:val="24"/>
                <w:szCs w:val="24"/>
              </w:rPr>
            </w:pPr>
            <w:r w:rsidRPr="00173D06">
              <w:rPr>
                <w:b/>
                <w:sz w:val="24"/>
                <w:szCs w:val="24"/>
              </w:rPr>
              <w:t>Catégories des questions</w:t>
            </w:r>
          </w:p>
        </w:tc>
        <w:tc>
          <w:tcPr>
            <w:tcW w:w="6230" w:type="dxa"/>
            <w:shd w:val="clear" w:color="auto" w:fill="00B0F0"/>
          </w:tcPr>
          <w:p w14:paraId="48D97333" w14:textId="77777777" w:rsidR="00D80693" w:rsidRDefault="00D80693" w:rsidP="00E82F39">
            <w:pPr>
              <w:spacing w:before="120"/>
              <w:jc w:val="both"/>
              <w:rPr>
                <w:b/>
                <w:sz w:val="24"/>
                <w:szCs w:val="24"/>
              </w:rPr>
            </w:pPr>
            <w:r w:rsidRPr="00173D06">
              <w:rPr>
                <w:b/>
                <w:sz w:val="24"/>
                <w:szCs w:val="24"/>
              </w:rPr>
              <w:t xml:space="preserve">Caractéristiques des questions </w:t>
            </w:r>
          </w:p>
          <w:p w14:paraId="59254657" w14:textId="77777777" w:rsidR="00D80693" w:rsidRPr="00173D06" w:rsidRDefault="00D80693" w:rsidP="00E82F39">
            <w:pPr>
              <w:spacing w:before="120"/>
              <w:jc w:val="both"/>
              <w:rPr>
                <w:b/>
                <w:sz w:val="24"/>
                <w:szCs w:val="24"/>
              </w:rPr>
            </w:pPr>
          </w:p>
        </w:tc>
      </w:tr>
      <w:tr w:rsidR="00D80693" w14:paraId="5AB6F06F" w14:textId="77777777" w:rsidTr="00026258">
        <w:tc>
          <w:tcPr>
            <w:tcW w:w="2830" w:type="dxa"/>
          </w:tcPr>
          <w:p w14:paraId="6795B23C" w14:textId="77777777" w:rsidR="00D80693" w:rsidRDefault="00D80693" w:rsidP="00E82F39">
            <w:pPr>
              <w:spacing w:before="120"/>
              <w:jc w:val="both"/>
              <w:rPr>
                <w:sz w:val="24"/>
                <w:szCs w:val="24"/>
              </w:rPr>
            </w:pPr>
            <w:r w:rsidRPr="00AF703C">
              <w:rPr>
                <w:sz w:val="24"/>
                <w:szCs w:val="24"/>
              </w:rPr>
              <w:t>Les questions fermées ou étroites </w:t>
            </w:r>
          </w:p>
        </w:tc>
        <w:tc>
          <w:tcPr>
            <w:tcW w:w="6230" w:type="dxa"/>
          </w:tcPr>
          <w:p w14:paraId="74E39ACF" w14:textId="77777777" w:rsidR="00D80693" w:rsidRDefault="00D80693" w:rsidP="00E82F39">
            <w:pPr>
              <w:spacing w:before="120"/>
              <w:jc w:val="both"/>
              <w:rPr>
                <w:sz w:val="24"/>
                <w:szCs w:val="24"/>
              </w:rPr>
            </w:pPr>
            <w:r>
              <w:rPr>
                <w:sz w:val="24"/>
                <w:szCs w:val="24"/>
              </w:rPr>
              <w:t>Ce sont des questions portant généralement sur des informations des faits précis et évidents, ceux supposés connus, déjà énoncés ou communiqués.</w:t>
            </w:r>
          </w:p>
        </w:tc>
      </w:tr>
      <w:tr w:rsidR="00D80693" w14:paraId="33C91DE1" w14:textId="77777777" w:rsidTr="00026258">
        <w:tc>
          <w:tcPr>
            <w:tcW w:w="2830" w:type="dxa"/>
          </w:tcPr>
          <w:p w14:paraId="2D6E1FA8" w14:textId="77777777" w:rsidR="00D80693" w:rsidRDefault="00D80693" w:rsidP="00E82F39">
            <w:pPr>
              <w:spacing w:before="120"/>
              <w:jc w:val="both"/>
              <w:rPr>
                <w:sz w:val="24"/>
                <w:szCs w:val="24"/>
              </w:rPr>
            </w:pPr>
            <w:r>
              <w:rPr>
                <w:sz w:val="24"/>
                <w:szCs w:val="24"/>
              </w:rPr>
              <w:t>Les questions ouvertes ou larges </w:t>
            </w:r>
          </w:p>
        </w:tc>
        <w:tc>
          <w:tcPr>
            <w:tcW w:w="6230" w:type="dxa"/>
          </w:tcPr>
          <w:p w14:paraId="74C13988" w14:textId="77777777" w:rsidR="00D80693" w:rsidRDefault="00D80693" w:rsidP="00E82F39">
            <w:pPr>
              <w:spacing w:before="120"/>
              <w:jc w:val="both"/>
              <w:rPr>
                <w:sz w:val="24"/>
                <w:szCs w:val="24"/>
              </w:rPr>
            </w:pPr>
            <w:r>
              <w:rPr>
                <w:sz w:val="24"/>
                <w:szCs w:val="24"/>
              </w:rPr>
              <w:t>Il s’agit des questions auxquelles l’apprenant doit répondre par un choix parmi des réponses multiples ou différentes qui peuvent être aussi valables les unes que les autres.</w:t>
            </w:r>
          </w:p>
        </w:tc>
      </w:tr>
      <w:tr w:rsidR="00D80693" w14:paraId="63E7CD59" w14:textId="77777777" w:rsidTr="00026258">
        <w:tc>
          <w:tcPr>
            <w:tcW w:w="2830" w:type="dxa"/>
          </w:tcPr>
          <w:p w14:paraId="2542F051" w14:textId="77777777" w:rsidR="00D80693" w:rsidRDefault="00D80693" w:rsidP="00E82F39">
            <w:pPr>
              <w:spacing w:before="120"/>
              <w:jc w:val="both"/>
              <w:rPr>
                <w:sz w:val="24"/>
                <w:szCs w:val="24"/>
              </w:rPr>
            </w:pPr>
            <w:r>
              <w:rPr>
                <w:sz w:val="24"/>
                <w:szCs w:val="24"/>
              </w:rPr>
              <w:t>Les questions stimulantes</w:t>
            </w:r>
          </w:p>
        </w:tc>
        <w:tc>
          <w:tcPr>
            <w:tcW w:w="6230" w:type="dxa"/>
          </w:tcPr>
          <w:p w14:paraId="140A22DA" w14:textId="77777777" w:rsidR="00D80693" w:rsidRDefault="00D80693" w:rsidP="00E82F39">
            <w:pPr>
              <w:spacing w:before="120"/>
              <w:jc w:val="both"/>
              <w:rPr>
                <w:sz w:val="24"/>
                <w:szCs w:val="24"/>
              </w:rPr>
            </w:pPr>
            <w:r>
              <w:rPr>
                <w:sz w:val="24"/>
                <w:szCs w:val="24"/>
              </w:rPr>
              <w:t>Ce sont des questions larges renforcées qui forment les apprenants à une pensée ou un jugement beaucoup plus autonome. Elles font appel aux dispositions intellectuelles suivantes qu’elles stimulent : l’interprétation, le transfert, la modification, etc.</w:t>
            </w:r>
          </w:p>
        </w:tc>
      </w:tr>
    </w:tbl>
    <w:p w14:paraId="6259B1BE" w14:textId="77777777" w:rsidR="00D80693" w:rsidRPr="002D3B10" w:rsidRDefault="00D80693" w:rsidP="00E82F39">
      <w:pPr>
        <w:spacing w:before="120"/>
        <w:jc w:val="both"/>
        <w:rPr>
          <w:i/>
          <w:color w:val="000000"/>
        </w:rPr>
      </w:pPr>
      <w:r w:rsidRPr="002D3B10">
        <w:rPr>
          <w:i/>
        </w:rPr>
        <w:t>Source : Données de recherche</w:t>
      </w:r>
      <w:r>
        <w:rPr>
          <w:i/>
        </w:rPr>
        <w:t xml:space="preserve"> personnelle</w:t>
      </w:r>
    </w:p>
    <w:p w14:paraId="1CB778F7" w14:textId="77777777" w:rsidR="00D80693" w:rsidRDefault="00D80693" w:rsidP="00E82F39">
      <w:pPr>
        <w:spacing w:before="120"/>
        <w:jc w:val="both"/>
        <w:rPr>
          <w:sz w:val="24"/>
          <w:szCs w:val="24"/>
        </w:rPr>
      </w:pPr>
      <w:r>
        <w:rPr>
          <w:sz w:val="24"/>
          <w:szCs w:val="24"/>
        </w:rPr>
        <w:t xml:space="preserve">Belanger (2009) propose que les questions qui composent les examens soient regroupées en deux catégories. Il s’agit des Items à choix de réponse et les Items à réponse construite. Parmi ceux-ci, l’auteur distingue deux sous-catégories : les questions à réponse courte et les questions à réponse élaborée. </w:t>
      </w:r>
    </w:p>
    <w:p w14:paraId="673AFBAC" w14:textId="77777777" w:rsidR="00D80693" w:rsidRPr="00CB7A1E" w:rsidRDefault="00D80693" w:rsidP="00E82F39">
      <w:pPr>
        <w:spacing w:before="120"/>
        <w:jc w:val="center"/>
        <w:rPr>
          <w:b/>
          <w:i/>
          <w:color w:val="000000"/>
          <w:vertAlign w:val="superscript"/>
        </w:rPr>
      </w:pPr>
      <w:r>
        <w:rPr>
          <w:b/>
          <w:i/>
          <w:color w:val="000000"/>
        </w:rPr>
        <w:t>Tableau n° 02</w:t>
      </w:r>
      <w:r w:rsidRPr="00CB7A1E">
        <w:rPr>
          <w:b/>
          <w:i/>
          <w:color w:val="000000"/>
        </w:rPr>
        <w:t xml:space="preserve"> : </w:t>
      </w:r>
      <w:r>
        <w:rPr>
          <w:b/>
          <w:i/>
          <w:color w:val="000000"/>
        </w:rPr>
        <w:t>Taxonomie</w:t>
      </w:r>
      <w:r w:rsidRPr="00785165">
        <w:rPr>
          <w:b/>
          <w:i/>
        </w:rPr>
        <w:t xml:space="preserve"> de questions selon Claire Bélanger</w:t>
      </w:r>
      <w:r w:rsidRPr="00C44789">
        <w:rPr>
          <w:b/>
          <w:i/>
          <w:color w:val="FF0000"/>
        </w:rPr>
        <w:t xml:space="preserve"> </w:t>
      </w:r>
    </w:p>
    <w:tbl>
      <w:tblPr>
        <w:tblStyle w:val="TableGrid10"/>
        <w:tblW w:w="0" w:type="auto"/>
        <w:tblLook w:val="04A0" w:firstRow="1" w:lastRow="0" w:firstColumn="1" w:lastColumn="0" w:noHBand="0" w:noVBand="1"/>
      </w:tblPr>
      <w:tblGrid>
        <w:gridCol w:w="1696"/>
        <w:gridCol w:w="7364"/>
      </w:tblGrid>
      <w:tr w:rsidR="00D80693" w14:paraId="359B33DA" w14:textId="77777777" w:rsidTr="00026258">
        <w:tc>
          <w:tcPr>
            <w:tcW w:w="1696" w:type="dxa"/>
            <w:shd w:val="clear" w:color="auto" w:fill="00B0F0"/>
          </w:tcPr>
          <w:p w14:paraId="128AC8CD" w14:textId="77777777" w:rsidR="00D80693" w:rsidRPr="00173D06" w:rsidRDefault="00D80693" w:rsidP="00E82F39">
            <w:pPr>
              <w:spacing w:before="120"/>
              <w:jc w:val="both"/>
              <w:rPr>
                <w:b/>
                <w:sz w:val="24"/>
                <w:szCs w:val="24"/>
              </w:rPr>
            </w:pPr>
            <w:r w:rsidRPr="00173D06">
              <w:rPr>
                <w:b/>
                <w:sz w:val="24"/>
                <w:szCs w:val="24"/>
              </w:rPr>
              <w:t>Catégories des questions</w:t>
            </w:r>
          </w:p>
        </w:tc>
        <w:tc>
          <w:tcPr>
            <w:tcW w:w="7364" w:type="dxa"/>
            <w:shd w:val="clear" w:color="auto" w:fill="00B0F0"/>
          </w:tcPr>
          <w:p w14:paraId="714613DF" w14:textId="77777777" w:rsidR="00D80693" w:rsidRDefault="00D80693" w:rsidP="00E82F39">
            <w:pPr>
              <w:spacing w:before="120"/>
              <w:jc w:val="both"/>
              <w:rPr>
                <w:b/>
                <w:sz w:val="24"/>
                <w:szCs w:val="24"/>
              </w:rPr>
            </w:pPr>
            <w:r w:rsidRPr="00173D06">
              <w:rPr>
                <w:b/>
                <w:sz w:val="24"/>
                <w:szCs w:val="24"/>
              </w:rPr>
              <w:t xml:space="preserve">Caractéristiques des questions </w:t>
            </w:r>
          </w:p>
          <w:p w14:paraId="28754315" w14:textId="77777777" w:rsidR="00D80693" w:rsidRPr="00173D06" w:rsidRDefault="00D80693" w:rsidP="00E82F39">
            <w:pPr>
              <w:spacing w:before="120"/>
              <w:jc w:val="both"/>
              <w:rPr>
                <w:b/>
                <w:sz w:val="24"/>
                <w:szCs w:val="24"/>
              </w:rPr>
            </w:pPr>
          </w:p>
        </w:tc>
      </w:tr>
      <w:tr w:rsidR="00D80693" w14:paraId="67B20662" w14:textId="77777777" w:rsidTr="00026258">
        <w:tc>
          <w:tcPr>
            <w:tcW w:w="1696" w:type="dxa"/>
          </w:tcPr>
          <w:p w14:paraId="1E210704" w14:textId="77777777" w:rsidR="00D80693" w:rsidRDefault="00D80693" w:rsidP="00E82F39">
            <w:pPr>
              <w:spacing w:before="120"/>
              <w:jc w:val="both"/>
              <w:rPr>
                <w:sz w:val="24"/>
                <w:szCs w:val="24"/>
              </w:rPr>
            </w:pPr>
          </w:p>
          <w:p w14:paraId="2EF2EE44" w14:textId="77777777" w:rsidR="00D80693" w:rsidRDefault="00D80693" w:rsidP="00E82F39">
            <w:pPr>
              <w:spacing w:before="120"/>
              <w:jc w:val="both"/>
              <w:rPr>
                <w:sz w:val="24"/>
                <w:szCs w:val="24"/>
              </w:rPr>
            </w:pPr>
          </w:p>
          <w:p w14:paraId="38AB8257" w14:textId="77777777" w:rsidR="00D80693" w:rsidRDefault="00D80693" w:rsidP="00E82F39">
            <w:pPr>
              <w:spacing w:before="120"/>
              <w:jc w:val="both"/>
              <w:rPr>
                <w:sz w:val="24"/>
                <w:szCs w:val="24"/>
              </w:rPr>
            </w:pPr>
            <w:r>
              <w:rPr>
                <w:sz w:val="24"/>
                <w:szCs w:val="24"/>
              </w:rPr>
              <w:t>Items à choix de réponse</w:t>
            </w:r>
          </w:p>
        </w:tc>
        <w:tc>
          <w:tcPr>
            <w:tcW w:w="7364" w:type="dxa"/>
          </w:tcPr>
          <w:p w14:paraId="26B42311" w14:textId="47945817" w:rsidR="00D80693" w:rsidRDefault="00D80693" w:rsidP="00E82F39">
            <w:pPr>
              <w:spacing w:before="120"/>
              <w:jc w:val="both"/>
              <w:rPr>
                <w:sz w:val="24"/>
                <w:szCs w:val="24"/>
              </w:rPr>
            </w:pPr>
            <w:r>
              <w:rPr>
                <w:sz w:val="24"/>
                <w:szCs w:val="24"/>
              </w:rPr>
              <w:t>Ce sont des questions visant essentiellement la connaissance de faits, de termes, de définitions et de concepts. L’apprenant choisit la bonne réponse parmi celles formulées à l’avance. C’est le</w:t>
            </w:r>
            <w:r w:rsidR="00026258">
              <w:rPr>
                <w:sz w:val="24"/>
                <w:szCs w:val="24"/>
              </w:rPr>
              <w:t xml:space="preserve"> </w:t>
            </w:r>
            <w:r>
              <w:rPr>
                <w:sz w:val="24"/>
                <w:szCs w:val="24"/>
              </w:rPr>
              <w:t>cas de questions à choix multiple, de réarrangement, d’appariement, de choix alternatif, de vrai-faux.</w:t>
            </w:r>
          </w:p>
        </w:tc>
      </w:tr>
      <w:tr w:rsidR="00D80693" w14:paraId="6C02CC08" w14:textId="77777777" w:rsidTr="00026258">
        <w:tc>
          <w:tcPr>
            <w:tcW w:w="1696" w:type="dxa"/>
            <w:vMerge w:val="restart"/>
          </w:tcPr>
          <w:p w14:paraId="33ABDB2F" w14:textId="77777777" w:rsidR="00D80693" w:rsidRDefault="00D80693" w:rsidP="00E82F39">
            <w:pPr>
              <w:spacing w:before="120"/>
              <w:jc w:val="both"/>
              <w:rPr>
                <w:sz w:val="24"/>
                <w:szCs w:val="24"/>
              </w:rPr>
            </w:pPr>
          </w:p>
          <w:p w14:paraId="232C8987" w14:textId="77777777" w:rsidR="00D80693" w:rsidRDefault="00D80693" w:rsidP="00E82F39">
            <w:pPr>
              <w:spacing w:before="120"/>
              <w:jc w:val="both"/>
              <w:rPr>
                <w:sz w:val="24"/>
                <w:szCs w:val="24"/>
              </w:rPr>
            </w:pPr>
            <w:r>
              <w:rPr>
                <w:sz w:val="24"/>
                <w:szCs w:val="24"/>
              </w:rPr>
              <w:t>Items à réponse construite</w:t>
            </w:r>
          </w:p>
        </w:tc>
        <w:tc>
          <w:tcPr>
            <w:tcW w:w="7364" w:type="dxa"/>
          </w:tcPr>
          <w:p w14:paraId="7EA4D3F6" w14:textId="23F2656D" w:rsidR="00D80693" w:rsidRDefault="00D80693" w:rsidP="00E82F39">
            <w:pPr>
              <w:spacing w:before="120"/>
              <w:jc w:val="both"/>
              <w:rPr>
                <w:b/>
                <w:sz w:val="24"/>
                <w:szCs w:val="24"/>
              </w:rPr>
            </w:pPr>
            <w:r w:rsidRPr="00087421">
              <w:rPr>
                <w:b/>
                <w:sz w:val="24"/>
                <w:szCs w:val="24"/>
              </w:rPr>
              <w:t xml:space="preserve">Les questions à réponse </w:t>
            </w:r>
            <w:r>
              <w:rPr>
                <w:b/>
                <w:sz w:val="24"/>
                <w:szCs w:val="24"/>
              </w:rPr>
              <w:t>courte</w:t>
            </w:r>
          </w:p>
          <w:p w14:paraId="14646EFE" w14:textId="77777777" w:rsidR="00D80693" w:rsidRDefault="00D80693" w:rsidP="00E82F39">
            <w:pPr>
              <w:spacing w:before="120"/>
              <w:jc w:val="both"/>
              <w:rPr>
                <w:sz w:val="24"/>
                <w:szCs w:val="24"/>
              </w:rPr>
            </w:pPr>
            <w:r w:rsidRPr="00087421">
              <w:rPr>
                <w:sz w:val="24"/>
                <w:szCs w:val="24"/>
              </w:rPr>
              <w:t>Ce sont des questions portant sur le texte lacunaire ou quelques mots ou phrases.</w:t>
            </w:r>
          </w:p>
        </w:tc>
      </w:tr>
      <w:tr w:rsidR="00D80693" w14:paraId="2D244E44" w14:textId="77777777" w:rsidTr="00026258">
        <w:tc>
          <w:tcPr>
            <w:tcW w:w="1696" w:type="dxa"/>
            <w:vMerge/>
          </w:tcPr>
          <w:p w14:paraId="425A2CDE" w14:textId="77777777" w:rsidR="00D80693" w:rsidRDefault="00D80693" w:rsidP="00E82F39">
            <w:pPr>
              <w:spacing w:before="120"/>
              <w:jc w:val="both"/>
              <w:rPr>
                <w:sz w:val="24"/>
                <w:szCs w:val="24"/>
              </w:rPr>
            </w:pPr>
          </w:p>
        </w:tc>
        <w:tc>
          <w:tcPr>
            <w:tcW w:w="7364" w:type="dxa"/>
          </w:tcPr>
          <w:p w14:paraId="18781219" w14:textId="4F9FFC5F" w:rsidR="00D80693" w:rsidRPr="00087421" w:rsidRDefault="00D80693" w:rsidP="00E82F39">
            <w:pPr>
              <w:spacing w:before="120"/>
              <w:jc w:val="both"/>
              <w:rPr>
                <w:b/>
                <w:sz w:val="24"/>
                <w:szCs w:val="24"/>
              </w:rPr>
            </w:pPr>
            <w:r w:rsidRPr="00087421">
              <w:rPr>
                <w:b/>
                <w:sz w:val="24"/>
                <w:szCs w:val="24"/>
              </w:rPr>
              <w:t>Les questions à réponse élaborée</w:t>
            </w:r>
          </w:p>
          <w:p w14:paraId="515B0D91" w14:textId="77777777" w:rsidR="00D80693" w:rsidRDefault="00D80693" w:rsidP="00E82F39">
            <w:pPr>
              <w:spacing w:before="120"/>
              <w:jc w:val="both"/>
              <w:rPr>
                <w:sz w:val="24"/>
                <w:szCs w:val="24"/>
              </w:rPr>
            </w:pPr>
            <w:r>
              <w:rPr>
                <w:sz w:val="24"/>
                <w:szCs w:val="24"/>
              </w:rPr>
              <w:t xml:space="preserve">Quand il s’agit d’une rédaction simple ou d’une rédaction complexe. L’évaluateur s’intéresse à ce que l’apprenant soit capable d’appliquer ses connaissances, de démontrer </w:t>
            </w:r>
            <w:proofErr w:type="gramStart"/>
            <w:r>
              <w:rPr>
                <w:sz w:val="24"/>
                <w:szCs w:val="24"/>
              </w:rPr>
              <w:t>ca</w:t>
            </w:r>
            <w:proofErr w:type="gramEnd"/>
            <w:r>
              <w:rPr>
                <w:sz w:val="24"/>
                <w:szCs w:val="24"/>
              </w:rPr>
              <w:t xml:space="preserve"> capacité de jugement ou de synthèse.</w:t>
            </w:r>
          </w:p>
        </w:tc>
      </w:tr>
    </w:tbl>
    <w:p w14:paraId="4CCC006C" w14:textId="77777777" w:rsidR="00D80693" w:rsidRPr="002D3B10" w:rsidRDefault="00D80693" w:rsidP="00E82F39">
      <w:pPr>
        <w:spacing w:before="120"/>
        <w:jc w:val="both"/>
        <w:rPr>
          <w:i/>
          <w:color w:val="000000"/>
        </w:rPr>
      </w:pPr>
      <w:r w:rsidRPr="002D3B10">
        <w:rPr>
          <w:i/>
        </w:rPr>
        <w:t>Source : Données de recherche</w:t>
      </w:r>
      <w:r>
        <w:rPr>
          <w:i/>
        </w:rPr>
        <w:t xml:space="preserve"> personnelle</w:t>
      </w:r>
    </w:p>
    <w:p w14:paraId="49390135" w14:textId="77777777" w:rsidR="00D80693" w:rsidRDefault="00D80693" w:rsidP="00E82F39">
      <w:pPr>
        <w:spacing w:before="120"/>
        <w:jc w:val="both"/>
        <w:rPr>
          <w:sz w:val="24"/>
          <w:szCs w:val="24"/>
        </w:rPr>
      </w:pPr>
      <w:r>
        <w:rPr>
          <w:sz w:val="24"/>
          <w:szCs w:val="24"/>
        </w:rPr>
        <w:t>Nkongolo (2010) appuie la classification de Gilbert Leroy (1979) en désignant les questions fermées ou étroites de 1</w:t>
      </w:r>
      <w:r w:rsidRPr="00D16B53">
        <w:rPr>
          <w:sz w:val="24"/>
          <w:szCs w:val="24"/>
          <w:vertAlign w:val="superscript"/>
        </w:rPr>
        <w:t>er</w:t>
      </w:r>
      <w:r>
        <w:rPr>
          <w:sz w:val="24"/>
          <w:szCs w:val="24"/>
        </w:rPr>
        <w:t xml:space="preserve"> niveau ; les questions larges ou ouvertes de 2</w:t>
      </w:r>
      <w:r w:rsidRPr="005327E7">
        <w:rPr>
          <w:sz w:val="24"/>
          <w:szCs w:val="24"/>
          <w:vertAlign w:val="superscript"/>
        </w:rPr>
        <w:t>e</w:t>
      </w:r>
      <w:r>
        <w:rPr>
          <w:sz w:val="24"/>
          <w:szCs w:val="24"/>
        </w:rPr>
        <w:t xml:space="preserve"> niveau et les questions stimulantes de 3</w:t>
      </w:r>
      <w:proofErr w:type="gramStart"/>
      <w:r w:rsidRPr="005327E7">
        <w:rPr>
          <w:sz w:val="24"/>
          <w:szCs w:val="24"/>
          <w:vertAlign w:val="superscript"/>
        </w:rPr>
        <w:t>e</w:t>
      </w:r>
      <w:r>
        <w:rPr>
          <w:sz w:val="24"/>
          <w:szCs w:val="24"/>
          <w:vertAlign w:val="superscript"/>
        </w:rPr>
        <w:t xml:space="preserve">  </w:t>
      </w:r>
      <w:r>
        <w:rPr>
          <w:sz w:val="24"/>
          <w:szCs w:val="24"/>
        </w:rPr>
        <w:t>niveau</w:t>
      </w:r>
      <w:proofErr w:type="gramEnd"/>
      <w:r>
        <w:rPr>
          <w:sz w:val="24"/>
          <w:szCs w:val="24"/>
        </w:rPr>
        <w:t xml:space="preserve">. </w:t>
      </w:r>
    </w:p>
    <w:p w14:paraId="2AF01D28" w14:textId="77777777" w:rsidR="00D80693" w:rsidRDefault="00D80693" w:rsidP="00E82F39">
      <w:pPr>
        <w:spacing w:before="120"/>
        <w:jc w:val="both"/>
        <w:rPr>
          <w:sz w:val="24"/>
          <w:szCs w:val="24"/>
        </w:rPr>
      </w:pPr>
    </w:p>
    <w:p w14:paraId="589B4545" w14:textId="77777777" w:rsidR="00D80693" w:rsidRPr="00CB7A1E" w:rsidRDefault="00D80693" w:rsidP="00E82F39">
      <w:pPr>
        <w:spacing w:before="120"/>
        <w:jc w:val="center"/>
        <w:rPr>
          <w:b/>
          <w:i/>
          <w:color w:val="000000"/>
          <w:vertAlign w:val="superscript"/>
        </w:rPr>
      </w:pPr>
      <w:r w:rsidRPr="00CB7A1E">
        <w:rPr>
          <w:b/>
          <w:i/>
          <w:color w:val="000000"/>
        </w:rPr>
        <w:t>Tableau n° 0</w:t>
      </w:r>
      <w:r>
        <w:rPr>
          <w:b/>
          <w:i/>
          <w:color w:val="000000"/>
        </w:rPr>
        <w:t>3</w:t>
      </w:r>
      <w:r w:rsidRPr="00CB7A1E">
        <w:rPr>
          <w:b/>
          <w:i/>
          <w:color w:val="000000"/>
        </w:rPr>
        <w:t xml:space="preserve"> : </w:t>
      </w:r>
      <w:r>
        <w:rPr>
          <w:b/>
          <w:i/>
          <w:color w:val="000000"/>
        </w:rPr>
        <w:t>Taxonomie de questions selon Jean-Jacques Nkongolo</w:t>
      </w:r>
    </w:p>
    <w:tbl>
      <w:tblPr>
        <w:tblStyle w:val="TableGrid10"/>
        <w:tblW w:w="0" w:type="auto"/>
        <w:tblLook w:val="04A0" w:firstRow="1" w:lastRow="0" w:firstColumn="1" w:lastColumn="0" w:noHBand="0" w:noVBand="1"/>
      </w:tblPr>
      <w:tblGrid>
        <w:gridCol w:w="1980"/>
        <w:gridCol w:w="7080"/>
      </w:tblGrid>
      <w:tr w:rsidR="00D80693" w14:paraId="09208AE3" w14:textId="77777777" w:rsidTr="00026258">
        <w:tc>
          <w:tcPr>
            <w:tcW w:w="1980" w:type="dxa"/>
            <w:shd w:val="clear" w:color="auto" w:fill="00B0F0"/>
          </w:tcPr>
          <w:p w14:paraId="57BD5BAE" w14:textId="77777777" w:rsidR="00D80693" w:rsidRPr="00173D06" w:rsidRDefault="00D80693" w:rsidP="00E82F39">
            <w:pPr>
              <w:spacing w:before="120"/>
              <w:jc w:val="both"/>
              <w:rPr>
                <w:b/>
                <w:sz w:val="24"/>
                <w:szCs w:val="24"/>
              </w:rPr>
            </w:pPr>
            <w:r w:rsidRPr="00173D06">
              <w:rPr>
                <w:b/>
                <w:sz w:val="24"/>
                <w:szCs w:val="24"/>
              </w:rPr>
              <w:t>Catégories des questions</w:t>
            </w:r>
          </w:p>
        </w:tc>
        <w:tc>
          <w:tcPr>
            <w:tcW w:w="7080" w:type="dxa"/>
            <w:shd w:val="clear" w:color="auto" w:fill="00B0F0"/>
          </w:tcPr>
          <w:p w14:paraId="16730678" w14:textId="77777777" w:rsidR="00D80693" w:rsidRDefault="00D80693" w:rsidP="00E82F39">
            <w:pPr>
              <w:spacing w:before="120"/>
              <w:jc w:val="both"/>
              <w:rPr>
                <w:b/>
                <w:sz w:val="24"/>
                <w:szCs w:val="24"/>
              </w:rPr>
            </w:pPr>
            <w:r w:rsidRPr="00173D06">
              <w:rPr>
                <w:b/>
                <w:sz w:val="24"/>
                <w:szCs w:val="24"/>
              </w:rPr>
              <w:t xml:space="preserve">Caractéristiques des questions </w:t>
            </w:r>
          </w:p>
          <w:p w14:paraId="55CBDE6B" w14:textId="77777777" w:rsidR="00D80693" w:rsidRPr="00173D06" w:rsidRDefault="00D80693" w:rsidP="00E82F39">
            <w:pPr>
              <w:spacing w:before="120"/>
              <w:jc w:val="both"/>
              <w:rPr>
                <w:b/>
                <w:sz w:val="24"/>
                <w:szCs w:val="24"/>
              </w:rPr>
            </w:pPr>
          </w:p>
        </w:tc>
      </w:tr>
      <w:tr w:rsidR="00D80693" w14:paraId="0A29C1CA" w14:textId="77777777" w:rsidTr="00026258">
        <w:tc>
          <w:tcPr>
            <w:tcW w:w="1980" w:type="dxa"/>
          </w:tcPr>
          <w:p w14:paraId="1112409B" w14:textId="77777777" w:rsidR="00D80693" w:rsidRDefault="00D80693" w:rsidP="00E82F39">
            <w:pPr>
              <w:spacing w:before="120"/>
              <w:jc w:val="both"/>
              <w:rPr>
                <w:sz w:val="24"/>
                <w:szCs w:val="24"/>
              </w:rPr>
            </w:pPr>
          </w:p>
          <w:p w14:paraId="04452D0A" w14:textId="77777777" w:rsidR="00D80693" w:rsidRDefault="00D80693" w:rsidP="00E82F39">
            <w:pPr>
              <w:spacing w:before="120"/>
              <w:jc w:val="both"/>
              <w:rPr>
                <w:sz w:val="24"/>
                <w:szCs w:val="24"/>
              </w:rPr>
            </w:pPr>
            <w:r w:rsidRPr="00AF703C">
              <w:rPr>
                <w:sz w:val="24"/>
                <w:szCs w:val="24"/>
              </w:rPr>
              <w:t xml:space="preserve">Les questions </w:t>
            </w:r>
            <w:r>
              <w:rPr>
                <w:sz w:val="24"/>
                <w:szCs w:val="24"/>
              </w:rPr>
              <w:t>de 1</w:t>
            </w:r>
            <w:r w:rsidRPr="005327E7">
              <w:rPr>
                <w:sz w:val="24"/>
                <w:szCs w:val="24"/>
                <w:vertAlign w:val="superscript"/>
              </w:rPr>
              <w:t>er</w:t>
            </w:r>
            <w:r>
              <w:rPr>
                <w:sz w:val="24"/>
                <w:szCs w:val="24"/>
              </w:rPr>
              <w:t xml:space="preserve"> niveau</w:t>
            </w:r>
          </w:p>
        </w:tc>
        <w:tc>
          <w:tcPr>
            <w:tcW w:w="7080" w:type="dxa"/>
          </w:tcPr>
          <w:p w14:paraId="6CDD8AFB" w14:textId="77777777" w:rsidR="00D80693" w:rsidRDefault="00D80693" w:rsidP="00E82F39">
            <w:pPr>
              <w:spacing w:before="120"/>
              <w:jc w:val="both"/>
              <w:rPr>
                <w:sz w:val="24"/>
                <w:szCs w:val="24"/>
              </w:rPr>
            </w:pPr>
            <w:r>
              <w:rPr>
                <w:sz w:val="24"/>
                <w:szCs w:val="24"/>
              </w:rPr>
              <w:t xml:space="preserve">Ce sont des questions qui n’admettent généralement qu’une seule réponse valable sur le plan du fond. Cette réponse n’est souvent qu’un simple rappel, une simple reproduction ou une énumération. </w:t>
            </w:r>
          </w:p>
        </w:tc>
      </w:tr>
      <w:tr w:rsidR="00D80693" w14:paraId="75B75F45" w14:textId="77777777" w:rsidTr="00026258">
        <w:tc>
          <w:tcPr>
            <w:tcW w:w="1980" w:type="dxa"/>
          </w:tcPr>
          <w:p w14:paraId="259504FA" w14:textId="77777777" w:rsidR="00D80693" w:rsidRDefault="00D80693" w:rsidP="00E82F39">
            <w:pPr>
              <w:spacing w:before="120"/>
              <w:jc w:val="both"/>
              <w:rPr>
                <w:sz w:val="24"/>
                <w:szCs w:val="24"/>
              </w:rPr>
            </w:pPr>
            <w:r>
              <w:rPr>
                <w:sz w:val="24"/>
                <w:szCs w:val="24"/>
              </w:rPr>
              <w:t>Les questions de 2</w:t>
            </w:r>
            <w:r w:rsidRPr="005327E7">
              <w:rPr>
                <w:sz w:val="24"/>
                <w:szCs w:val="24"/>
                <w:vertAlign w:val="superscript"/>
              </w:rPr>
              <w:t>e</w:t>
            </w:r>
            <w:r>
              <w:rPr>
                <w:sz w:val="24"/>
                <w:szCs w:val="24"/>
              </w:rPr>
              <w:t xml:space="preserve"> niveau</w:t>
            </w:r>
          </w:p>
        </w:tc>
        <w:tc>
          <w:tcPr>
            <w:tcW w:w="7080" w:type="dxa"/>
          </w:tcPr>
          <w:p w14:paraId="60ECC110" w14:textId="77777777" w:rsidR="00D80693" w:rsidRDefault="00D80693" w:rsidP="00E82F39">
            <w:pPr>
              <w:spacing w:before="120"/>
              <w:jc w:val="both"/>
              <w:rPr>
                <w:sz w:val="24"/>
                <w:szCs w:val="24"/>
              </w:rPr>
            </w:pPr>
            <w:r>
              <w:rPr>
                <w:sz w:val="24"/>
                <w:szCs w:val="24"/>
              </w:rPr>
              <w:t xml:space="preserve">Les réponses aux questions de ce niveau se situent à un </w:t>
            </w:r>
            <w:proofErr w:type="gramStart"/>
            <w:r>
              <w:rPr>
                <w:sz w:val="24"/>
                <w:szCs w:val="24"/>
              </w:rPr>
              <w:t>degré  d’effort</w:t>
            </w:r>
            <w:proofErr w:type="gramEnd"/>
            <w:r>
              <w:rPr>
                <w:sz w:val="24"/>
                <w:szCs w:val="24"/>
              </w:rPr>
              <w:t xml:space="preserve"> intellectuel ou de réflexion plus élevé par rapport au 1</w:t>
            </w:r>
            <w:r w:rsidRPr="00676C0D">
              <w:rPr>
                <w:sz w:val="24"/>
                <w:szCs w:val="24"/>
                <w:vertAlign w:val="superscript"/>
              </w:rPr>
              <w:t>er</w:t>
            </w:r>
            <w:r>
              <w:rPr>
                <w:sz w:val="24"/>
                <w:szCs w:val="24"/>
              </w:rPr>
              <w:t xml:space="preserve"> niveau. Elles sollicitent la comparaison, l’opposition de plusieurs faits, l’analyse, la déduction, la synthèse, etc.</w:t>
            </w:r>
          </w:p>
        </w:tc>
      </w:tr>
      <w:tr w:rsidR="00D80693" w14:paraId="67F1FFD7" w14:textId="77777777" w:rsidTr="00026258">
        <w:tc>
          <w:tcPr>
            <w:tcW w:w="1980" w:type="dxa"/>
          </w:tcPr>
          <w:p w14:paraId="196D113F" w14:textId="77777777" w:rsidR="00D80693" w:rsidRDefault="00D80693" w:rsidP="00E82F39">
            <w:pPr>
              <w:spacing w:before="120"/>
              <w:jc w:val="both"/>
              <w:rPr>
                <w:sz w:val="24"/>
                <w:szCs w:val="24"/>
              </w:rPr>
            </w:pPr>
            <w:r>
              <w:rPr>
                <w:sz w:val="24"/>
                <w:szCs w:val="24"/>
              </w:rPr>
              <w:t>Les questions de 3</w:t>
            </w:r>
            <w:r w:rsidRPr="005327E7">
              <w:rPr>
                <w:sz w:val="24"/>
                <w:szCs w:val="24"/>
                <w:vertAlign w:val="superscript"/>
              </w:rPr>
              <w:t>e</w:t>
            </w:r>
            <w:r>
              <w:rPr>
                <w:sz w:val="24"/>
                <w:szCs w:val="24"/>
              </w:rPr>
              <w:t xml:space="preserve"> niveau </w:t>
            </w:r>
          </w:p>
        </w:tc>
        <w:tc>
          <w:tcPr>
            <w:tcW w:w="7080" w:type="dxa"/>
          </w:tcPr>
          <w:p w14:paraId="083B59D5" w14:textId="77777777" w:rsidR="00D80693" w:rsidRDefault="00D80693" w:rsidP="00E82F39">
            <w:pPr>
              <w:spacing w:before="120"/>
              <w:jc w:val="both"/>
              <w:rPr>
                <w:sz w:val="24"/>
                <w:szCs w:val="24"/>
              </w:rPr>
            </w:pPr>
            <w:r>
              <w:rPr>
                <w:sz w:val="24"/>
                <w:szCs w:val="24"/>
              </w:rPr>
              <w:t xml:space="preserve">Elles sollicitent souvent une application ou une exploitation qui vont au-delà de la situation proposée, des notions déjà acquises ou déjà assimilées antérieurement. </w:t>
            </w:r>
          </w:p>
        </w:tc>
      </w:tr>
    </w:tbl>
    <w:p w14:paraId="373CE154" w14:textId="77777777" w:rsidR="00D80693" w:rsidRPr="002D3B10" w:rsidRDefault="00D80693" w:rsidP="00E82F39">
      <w:pPr>
        <w:spacing w:before="120"/>
        <w:jc w:val="both"/>
        <w:rPr>
          <w:i/>
          <w:color w:val="000000"/>
        </w:rPr>
      </w:pPr>
      <w:r w:rsidRPr="002D3B10">
        <w:rPr>
          <w:i/>
        </w:rPr>
        <w:t>Source : Données de recherche</w:t>
      </w:r>
      <w:r>
        <w:rPr>
          <w:i/>
        </w:rPr>
        <w:t xml:space="preserve"> personnelle</w:t>
      </w:r>
    </w:p>
    <w:p w14:paraId="6B601C87" w14:textId="77777777" w:rsidR="00D80693" w:rsidRDefault="00D80693" w:rsidP="00E82F39">
      <w:pPr>
        <w:spacing w:before="120"/>
        <w:jc w:val="both"/>
        <w:rPr>
          <w:sz w:val="24"/>
          <w:szCs w:val="24"/>
        </w:rPr>
      </w:pPr>
      <w:r w:rsidRPr="00C21B27">
        <w:rPr>
          <w:sz w:val="24"/>
          <w:szCs w:val="24"/>
        </w:rPr>
        <w:t>Comparant les auteurs abordés, et tant d’autres docimologues, nous pouvons remarquer qu’ils ont recouru au critère fondamental : la part de liberté accordée à la personne interrogée pour répondre à la question. Cela étant, nous distinguons deux types principaux de questions : la question étroite ou fermée et la question ouverte ou large</w:t>
      </w:r>
      <w:r>
        <w:rPr>
          <w:sz w:val="24"/>
          <w:szCs w:val="24"/>
        </w:rPr>
        <w:t xml:space="preserve">. </w:t>
      </w:r>
    </w:p>
    <w:p w14:paraId="0A54E180" w14:textId="77777777" w:rsidR="00D80693" w:rsidRPr="00A24E32" w:rsidRDefault="00D80693" w:rsidP="00E82F39">
      <w:pPr>
        <w:spacing w:before="120"/>
        <w:jc w:val="both"/>
        <w:rPr>
          <w:color w:val="FF0000"/>
          <w:sz w:val="24"/>
          <w:szCs w:val="24"/>
        </w:rPr>
      </w:pPr>
      <w:r w:rsidRPr="00A24E32">
        <w:rPr>
          <w:color w:val="000000"/>
          <w:sz w:val="24"/>
          <w:szCs w:val="24"/>
        </w:rPr>
        <w:t>La première catégorie appelée question fermée ou étroite, portant généralement sur des informations ou des faits précis et évidents, ceux supposés déjà ou communiqués, est celle qui laisse à l’interlocuteur très peu de liberté en ce qui concerne le choix du contenu de la réponse aussi les moyens linguistiques d’expression. Elles peuvent être des réponses courtes, de correspondance ou association, de vrai ou faux, de lacunes,</w:t>
      </w:r>
      <w:r>
        <w:rPr>
          <w:color w:val="000000"/>
          <w:sz w:val="24"/>
          <w:szCs w:val="24"/>
        </w:rPr>
        <w:t xml:space="preserve"> de</w:t>
      </w:r>
      <w:r w:rsidRPr="00A24E32">
        <w:rPr>
          <w:color w:val="000000"/>
          <w:sz w:val="24"/>
          <w:szCs w:val="24"/>
        </w:rPr>
        <w:t xml:space="preserve"> choix multiples, …</w:t>
      </w:r>
    </w:p>
    <w:p w14:paraId="55B55C96" w14:textId="77777777" w:rsidR="00D80693" w:rsidRPr="00FB1F84" w:rsidRDefault="00D80693" w:rsidP="00E82F39">
      <w:pPr>
        <w:spacing w:before="120"/>
        <w:jc w:val="both"/>
        <w:rPr>
          <w:color w:val="000000"/>
          <w:sz w:val="24"/>
          <w:szCs w:val="24"/>
        </w:rPr>
      </w:pPr>
      <w:r w:rsidRPr="00FB1F84">
        <w:rPr>
          <w:color w:val="000000"/>
          <w:sz w:val="24"/>
          <w:szCs w:val="24"/>
        </w:rPr>
        <w:t>D</w:t>
      </w:r>
      <w:r>
        <w:rPr>
          <w:color w:val="000000"/>
          <w:sz w:val="24"/>
          <w:szCs w:val="24"/>
        </w:rPr>
        <w:t>ans le processus d’enseignement-</w:t>
      </w:r>
      <w:r w:rsidRPr="00FB1F84">
        <w:rPr>
          <w:color w:val="000000"/>
          <w:sz w:val="24"/>
          <w:szCs w:val="24"/>
        </w:rPr>
        <w:t>apprentissage du français langue étrangère</w:t>
      </w:r>
      <w:r>
        <w:rPr>
          <w:color w:val="000000"/>
          <w:sz w:val="24"/>
          <w:szCs w:val="24"/>
        </w:rPr>
        <w:t>, elle est</w:t>
      </w:r>
      <w:r w:rsidRPr="00FB1F84">
        <w:rPr>
          <w:color w:val="000000"/>
          <w:sz w:val="24"/>
          <w:szCs w:val="24"/>
        </w:rPr>
        <w:t xml:space="preserve"> un outil utile pour la vérification de la compréhension, la pratique de structures linguistiques, la réduction de l’anxiété, la gestion du temps et l’engagement actif des apprenants mais ne </w:t>
      </w:r>
      <w:r>
        <w:rPr>
          <w:color w:val="000000"/>
          <w:sz w:val="24"/>
          <w:szCs w:val="24"/>
        </w:rPr>
        <w:t>développe</w:t>
      </w:r>
      <w:r w:rsidRPr="00FB1F84">
        <w:rPr>
          <w:color w:val="000000"/>
          <w:sz w:val="24"/>
          <w:szCs w:val="24"/>
        </w:rPr>
        <w:t xml:space="preserve"> pas la compétence communicative chez les apprenants. Pour y arriver, il y a nécessité de joindre la deuxième catégorie des questions : question ouverte ou </w:t>
      </w:r>
      <w:r>
        <w:rPr>
          <w:color w:val="000000"/>
          <w:sz w:val="24"/>
          <w:szCs w:val="24"/>
        </w:rPr>
        <w:t>large</w:t>
      </w:r>
      <w:r w:rsidRPr="00FB1F84">
        <w:rPr>
          <w:color w:val="000000"/>
          <w:sz w:val="24"/>
          <w:szCs w:val="24"/>
        </w:rPr>
        <w:t>.</w:t>
      </w:r>
    </w:p>
    <w:p w14:paraId="0DBD6041" w14:textId="77777777" w:rsidR="00D80693" w:rsidRDefault="00D80693" w:rsidP="00E82F39">
      <w:pPr>
        <w:spacing w:before="120"/>
        <w:jc w:val="both"/>
        <w:rPr>
          <w:color w:val="000000"/>
          <w:sz w:val="24"/>
          <w:szCs w:val="24"/>
        </w:rPr>
      </w:pPr>
      <w:r w:rsidRPr="002D5E69">
        <w:rPr>
          <w:color w:val="000000"/>
          <w:sz w:val="24"/>
          <w:szCs w:val="24"/>
        </w:rPr>
        <w:t>La question ouverte ou large</w:t>
      </w:r>
      <w:r w:rsidRPr="007E5E09">
        <w:rPr>
          <w:sz w:val="24"/>
          <w:szCs w:val="24"/>
        </w:rPr>
        <w:t xml:space="preserve"> </w:t>
      </w:r>
      <w:r>
        <w:rPr>
          <w:sz w:val="24"/>
          <w:szCs w:val="24"/>
        </w:rPr>
        <w:t xml:space="preserve">aussi appelée question de production ou question ouverte à réponse </w:t>
      </w:r>
      <w:proofErr w:type="gramStart"/>
      <w:r>
        <w:rPr>
          <w:sz w:val="24"/>
          <w:szCs w:val="24"/>
        </w:rPr>
        <w:t xml:space="preserve">élaborée </w:t>
      </w:r>
      <w:r w:rsidRPr="002D5E69">
        <w:rPr>
          <w:color w:val="000000"/>
          <w:sz w:val="24"/>
          <w:szCs w:val="24"/>
        </w:rPr>
        <w:t xml:space="preserve"> est</w:t>
      </w:r>
      <w:proofErr w:type="gramEnd"/>
      <w:r w:rsidRPr="002D5E69">
        <w:rPr>
          <w:color w:val="000000"/>
          <w:sz w:val="24"/>
          <w:szCs w:val="24"/>
        </w:rPr>
        <w:t xml:space="preserve"> celle à laquelle l’apprenant </w:t>
      </w:r>
      <w:proofErr w:type="spellStart"/>
      <w:r>
        <w:rPr>
          <w:color w:val="000000"/>
          <w:sz w:val="24"/>
          <w:szCs w:val="24"/>
        </w:rPr>
        <w:t>a</w:t>
      </w:r>
      <w:proofErr w:type="spellEnd"/>
      <w:r w:rsidRPr="002D5E69">
        <w:rPr>
          <w:color w:val="000000"/>
          <w:sz w:val="24"/>
          <w:szCs w:val="24"/>
        </w:rPr>
        <w:t xml:space="preserve"> la liberté de choisir parmi les réponses multiples, qui peuvent être valables les unes que les autres et qui manifestent les opinions des personnes interrogées. Cette liberté pour la recherche des réponses incite l’apprenant à prouver sa connaissance de la matière et sa capacité de s’exprimer en français langue étrangère. (DE LANDSHEERE, 1974</w:t>
      </w:r>
      <w:r>
        <w:rPr>
          <w:color w:val="000000"/>
          <w:sz w:val="24"/>
          <w:szCs w:val="24"/>
        </w:rPr>
        <w:t>, p.</w:t>
      </w:r>
      <w:r w:rsidRPr="002D5E69">
        <w:rPr>
          <w:color w:val="000000"/>
          <w:sz w:val="24"/>
          <w:szCs w:val="24"/>
        </w:rPr>
        <w:t>90)</w:t>
      </w:r>
    </w:p>
    <w:p w14:paraId="35226578" w14:textId="77777777" w:rsidR="00D80693" w:rsidRPr="007A1BF1" w:rsidRDefault="00D80693" w:rsidP="00E82F39">
      <w:pPr>
        <w:spacing w:before="120"/>
        <w:jc w:val="both"/>
        <w:rPr>
          <w:sz w:val="2"/>
          <w:szCs w:val="24"/>
        </w:rPr>
      </w:pPr>
    </w:p>
    <w:p w14:paraId="039B8DDB" w14:textId="77777777" w:rsidR="00D80693" w:rsidRPr="002D5E69" w:rsidRDefault="00D80693" w:rsidP="00E82F39">
      <w:pPr>
        <w:spacing w:before="120"/>
        <w:jc w:val="both"/>
        <w:rPr>
          <w:sz w:val="24"/>
          <w:szCs w:val="24"/>
        </w:rPr>
      </w:pPr>
      <w:r>
        <w:rPr>
          <w:sz w:val="24"/>
          <w:szCs w:val="24"/>
        </w:rPr>
        <w:t>À ce stade, i</w:t>
      </w:r>
      <w:r w:rsidRPr="002D5E69">
        <w:rPr>
          <w:sz w:val="24"/>
          <w:szCs w:val="24"/>
        </w:rPr>
        <w:t xml:space="preserve">l existe deux </w:t>
      </w:r>
      <w:r>
        <w:rPr>
          <w:sz w:val="24"/>
          <w:szCs w:val="24"/>
        </w:rPr>
        <w:t>sortes</w:t>
      </w:r>
      <w:r w:rsidRPr="002D5E69">
        <w:rPr>
          <w:sz w:val="24"/>
          <w:szCs w:val="24"/>
        </w:rPr>
        <w:t xml:space="preserve"> des questions ouvertes à réponse élaborée : la première est de </w:t>
      </w:r>
      <w:r>
        <w:rPr>
          <w:sz w:val="24"/>
          <w:szCs w:val="24"/>
        </w:rPr>
        <w:t xml:space="preserve">production courte </w:t>
      </w:r>
      <w:r w:rsidRPr="002D5E69">
        <w:rPr>
          <w:sz w:val="24"/>
          <w:szCs w:val="24"/>
        </w:rPr>
        <w:t>et la seconde</w:t>
      </w:r>
      <w:r>
        <w:rPr>
          <w:sz w:val="24"/>
          <w:szCs w:val="24"/>
        </w:rPr>
        <w:t>,</w:t>
      </w:r>
      <w:r w:rsidRPr="002D5E69">
        <w:rPr>
          <w:sz w:val="24"/>
          <w:szCs w:val="24"/>
        </w:rPr>
        <w:t xml:space="preserve"> de production </w:t>
      </w:r>
      <w:r>
        <w:rPr>
          <w:sz w:val="24"/>
          <w:szCs w:val="24"/>
        </w:rPr>
        <w:t>longue</w:t>
      </w:r>
      <w:r w:rsidRPr="002D5E69">
        <w:rPr>
          <w:sz w:val="24"/>
          <w:szCs w:val="24"/>
        </w:rPr>
        <w:t xml:space="preserve">. </w:t>
      </w:r>
    </w:p>
    <w:p w14:paraId="1A3D0034" w14:textId="77777777" w:rsidR="00D80693" w:rsidRPr="007A1BF1" w:rsidRDefault="00D80693" w:rsidP="00E82F39">
      <w:pPr>
        <w:pStyle w:val="Paragraphedeliste"/>
        <w:widowControl/>
        <w:numPr>
          <w:ilvl w:val="1"/>
          <w:numId w:val="184"/>
        </w:numPr>
        <w:autoSpaceDE/>
        <w:autoSpaceDN/>
        <w:rPr>
          <w:b/>
          <w:color w:val="000000"/>
          <w:sz w:val="24"/>
          <w:szCs w:val="24"/>
        </w:rPr>
      </w:pPr>
      <w:r w:rsidRPr="007A1BF1">
        <w:rPr>
          <w:b/>
          <w:color w:val="000000"/>
          <w:sz w:val="24"/>
          <w:szCs w:val="24"/>
        </w:rPr>
        <w:t xml:space="preserve">Qualités des questions </w:t>
      </w:r>
    </w:p>
    <w:p w14:paraId="22F70D5A" w14:textId="77777777" w:rsidR="00D80693" w:rsidRPr="00D552F6" w:rsidRDefault="00D80693" w:rsidP="00E82F39">
      <w:pPr>
        <w:spacing w:before="120"/>
        <w:jc w:val="both"/>
        <w:rPr>
          <w:color w:val="000000"/>
          <w:sz w:val="24"/>
          <w:szCs w:val="24"/>
        </w:rPr>
      </w:pPr>
      <w:r w:rsidRPr="00D552F6">
        <w:rPr>
          <w:color w:val="000000"/>
          <w:sz w:val="24"/>
          <w:szCs w:val="24"/>
        </w:rPr>
        <w:t xml:space="preserve">L’échec scolaire ne se justifie pas seulement par l’ignorance ou le manque d’intérêt à l’apprentissage de la part des apprenants. </w:t>
      </w:r>
      <w:r>
        <w:rPr>
          <w:color w:val="000000"/>
          <w:sz w:val="24"/>
          <w:szCs w:val="24"/>
        </w:rPr>
        <w:t xml:space="preserve">Certains </w:t>
      </w:r>
      <w:r w:rsidRPr="00D552F6">
        <w:rPr>
          <w:color w:val="000000"/>
          <w:sz w:val="24"/>
          <w:szCs w:val="24"/>
        </w:rPr>
        <w:t xml:space="preserve">enseignants sont à la base d’échec scolaire de leurs apprenants en posant des questions qui ne sont pas comprises non pas </w:t>
      </w:r>
      <w:proofErr w:type="gramStart"/>
      <w:r w:rsidRPr="00D552F6">
        <w:rPr>
          <w:color w:val="000000"/>
          <w:sz w:val="24"/>
          <w:szCs w:val="24"/>
        </w:rPr>
        <w:t>suite au</w:t>
      </w:r>
      <w:proofErr w:type="gramEnd"/>
      <w:r w:rsidRPr="00D552F6">
        <w:rPr>
          <w:color w:val="000000"/>
          <w:sz w:val="24"/>
          <w:szCs w:val="24"/>
        </w:rPr>
        <w:t xml:space="preserve"> haut niveau de raisonnement exigé par la question mais plutôt puisqu’elles sont mal formulées, vagues, ambigües ou équivoques, imprécises ou peu claires, trop longues ou trop courtes.  </w:t>
      </w:r>
    </w:p>
    <w:p w14:paraId="67272697" w14:textId="77777777" w:rsidR="00D80693" w:rsidRPr="003F7680" w:rsidRDefault="00D80693" w:rsidP="00E82F39">
      <w:pPr>
        <w:spacing w:before="120"/>
        <w:jc w:val="both"/>
        <w:rPr>
          <w:color w:val="FF0000"/>
          <w:sz w:val="24"/>
          <w:szCs w:val="24"/>
        </w:rPr>
      </w:pPr>
      <w:r w:rsidRPr="00546E1B">
        <w:rPr>
          <w:color w:val="000000"/>
          <w:sz w:val="24"/>
          <w:szCs w:val="24"/>
        </w:rPr>
        <w:t>Pour contribuer à l’harmonie et à l’expressivité du langage, une question doit réunir les qualités liées au mêm</w:t>
      </w:r>
      <w:r>
        <w:rPr>
          <w:color w:val="000000"/>
          <w:sz w:val="24"/>
          <w:szCs w:val="24"/>
        </w:rPr>
        <w:t>e moment au fond et à la forme</w:t>
      </w:r>
      <w:r w:rsidRPr="00546E1B">
        <w:rPr>
          <w:color w:val="000000"/>
          <w:sz w:val="24"/>
          <w:szCs w:val="24"/>
        </w:rPr>
        <w:t>.</w:t>
      </w:r>
      <w:r>
        <w:rPr>
          <w:color w:val="000000"/>
          <w:sz w:val="24"/>
          <w:szCs w:val="24"/>
        </w:rPr>
        <w:t xml:space="preserve"> U</w:t>
      </w:r>
      <w:r w:rsidRPr="00A8376F">
        <w:rPr>
          <w:color w:val="000000"/>
          <w:sz w:val="24"/>
          <w:szCs w:val="24"/>
        </w:rPr>
        <w:t xml:space="preserve">ne bonne question doit </w:t>
      </w:r>
      <w:r>
        <w:rPr>
          <w:color w:val="000000"/>
          <w:sz w:val="24"/>
          <w:szCs w:val="24"/>
        </w:rPr>
        <w:t xml:space="preserve">être claire, </w:t>
      </w:r>
      <w:r w:rsidRPr="00A8376F">
        <w:rPr>
          <w:color w:val="000000"/>
          <w:sz w:val="24"/>
          <w:szCs w:val="24"/>
        </w:rPr>
        <w:t>simpl</w:t>
      </w:r>
      <w:r>
        <w:rPr>
          <w:color w:val="000000"/>
          <w:sz w:val="24"/>
          <w:szCs w:val="24"/>
        </w:rPr>
        <w:t xml:space="preserve">e, adaptée, </w:t>
      </w:r>
      <w:r w:rsidRPr="00A8376F">
        <w:rPr>
          <w:color w:val="000000"/>
          <w:sz w:val="24"/>
          <w:szCs w:val="24"/>
        </w:rPr>
        <w:t>consistan</w:t>
      </w:r>
      <w:r>
        <w:rPr>
          <w:color w:val="000000"/>
          <w:sz w:val="24"/>
          <w:szCs w:val="24"/>
        </w:rPr>
        <w:t xml:space="preserve">te, </w:t>
      </w:r>
      <w:r w:rsidRPr="00A8376F">
        <w:rPr>
          <w:color w:val="000000"/>
          <w:sz w:val="24"/>
          <w:szCs w:val="24"/>
        </w:rPr>
        <w:t>cohéren</w:t>
      </w:r>
      <w:r>
        <w:rPr>
          <w:color w:val="000000"/>
          <w:sz w:val="24"/>
          <w:szCs w:val="24"/>
        </w:rPr>
        <w:t xml:space="preserve">te, </w:t>
      </w:r>
      <w:proofErr w:type="gramStart"/>
      <w:r>
        <w:rPr>
          <w:color w:val="000000"/>
          <w:sz w:val="24"/>
          <w:szCs w:val="24"/>
        </w:rPr>
        <w:t xml:space="preserve">variée, </w:t>
      </w:r>
      <w:r w:rsidRPr="00A8376F">
        <w:rPr>
          <w:i/>
          <w:color w:val="000000"/>
          <w:sz w:val="24"/>
          <w:szCs w:val="24"/>
        </w:rPr>
        <w:t> </w:t>
      </w:r>
      <w:r>
        <w:rPr>
          <w:color w:val="000000"/>
          <w:sz w:val="24"/>
          <w:szCs w:val="24"/>
        </w:rPr>
        <w:t>nuancée</w:t>
      </w:r>
      <w:proofErr w:type="gramEnd"/>
      <w:r>
        <w:rPr>
          <w:color w:val="000000"/>
          <w:sz w:val="24"/>
          <w:szCs w:val="24"/>
        </w:rPr>
        <w:t xml:space="preserve">, souple, </w:t>
      </w:r>
      <w:r w:rsidRPr="003F7680">
        <w:rPr>
          <w:color w:val="000000"/>
          <w:sz w:val="24"/>
          <w:szCs w:val="24"/>
        </w:rPr>
        <w:t>exact</w:t>
      </w:r>
      <w:r>
        <w:rPr>
          <w:color w:val="000000"/>
          <w:sz w:val="24"/>
          <w:szCs w:val="24"/>
        </w:rPr>
        <w:t>e</w:t>
      </w:r>
      <w:r w:rsidRPr="003F7680">
        <w:rPr>
          <w:color w:val="000000"/>
          <w:sz w:val="24"/>
          <w:szCs w:val="24"/>
        </w:rPr>
        <w:t>, non suggestive ni trop banale</w:t>
      </w:r>
      <w:r>
        <w:rPr>
          <w:color w:val="000000"/>
          <w:sz w:val="24"/>
          <w:szCs w:val="24"/>
        </w:rPr>
        <w:t>.</w:t>
      </w:r>
      <w:r w:rsidRPr="003F7680">
        <w:rPr>
          <w:color w:val="000000"/>
          <w:sz w:val="24"/>
          <w:szCs w:val="24"/>
        </w:rPr>
        <w:t xml:space="preserve">  (NKONGOLO, 2010</w:t>
      </w:r>
      <w:r>
        <w:rPr>
          <w:color w:val="000000"/>
          <w:sz w:val="24"/>
          <w:szCs w:val="24"/>
        </w:rPr>
        <w:t>, p.</w:t>
      </w:r>
      <w:r w:rsidRPr="003F7680">
        <w:rPr>
          <w:color w:val="000000"/>
          <w:sz w:val="24"/>
          <w:szCs w:val="24"/>
        </w:rPr>
        <w:t> 56)</w:t>
      </w:r>
    </w:p>
    <w:p w14:paraId="64006C0F" w14:textId="77777777" w:rsidR="00D80693" w:rsidRPr="003F7680" w:rsidRDefault="00D80693" w:rsidP="00E82F39">
      <w:pPr>
        <w:spacing w:before="120"/>
        <w:ind w:firstLine="708"/>
        <w:jc w:val="both"/>
        <w:rPr>
          <w:color w:val="FF0000"/>
          <w:sz w:val="2"/>
          <w:szCs w:val="24"/>
        </w:rPr>
      </w:pPr>
    </w:p>
    <w:p w14:paraId="7F3E694A" w14:textId="77777777" w:rsidR="00D80693" w:rsidRPr="007A1BF1" w:rsidRDefault="00D80693" w:rsidP="00E82F39">
      <w:pPr>
        <w:pStyle w:val="Paragraphedeliste"/>
        <w:widowControl/>
        <w:numPr>
          <w:ilvl w:val="1"/>
          <w:numId w:val="184"/>
        </w:numPr>
        <w:autoSpaceDE/>
        <w:autoSpaceDN/>
        <w:rPr>
          <w:b/>
          <w:color w:val="000000"/>
          <w:sz w:val="24"/>
          <w:szCs w:val="24"/>
        </w:rPr>
      </w:pPr>
      <w:r w:rsidRPr="007A1BF1">
        <w:rPr>
          <w:b/>
          <w:color w:val="000000"/>
          <w:sz w:val="24"/>
          <w:szCs w:val="24"/>
        </w:rPr>
        <w:t>Conception, élaboration et présentation des questions</w:t>
      </w:r>
    </w:p>
    <w:p w14:paraId="5A6396DB" w14:textId="77777777" w:rsidR="00D80693" w:rsidRDefault="00D80693" w:rsidP="00E82F39">
      <w:pPr>
        <w:spacing w:before="120"/>
        <w:jc w:val="both"/>
        <w:rPr>
          <w:color w:val="000000"/>
          <w:sz w:val="24"/>
          <w:szCs w:val="24"/>
        </w:rPr>
      </w:pPr>
      <w:r>
        <w:rPr>
          <w:color w:val="000000"/>
          <w:sz w:val="24"/>
          <w:szCs w:val="24"/>
        </w:rPr>
        <w:t>Il n’existe pas de</w:t>
      </w:r>
      <w:r w:rsidRPr="007A1BF1">
        <w:rPr>
          <w:color w:val="000000"/>
          <w:sz w:val="24"/>
          <w:szCs w:val="24"/>
        </w:rPr>
        <w:t xml:space="preserve"> principes universellement reconnus qui régissent la conception des questions. Toutefois, Thorndike et Hagen, cités par De </w:t>
      </w:r>
      <w:proofErr w:type="spellStart"/>
      <w:proofErr w:type="gramStart"/>
      <w:r w:rsidRPr="007A1BF1">
        <w:rPr>
          <w:color w:val="000000"/>
          <w:sz w:val="24"/>
          <w:szCs w:val="24"/>
        </w:rPr>
        <w:t>Landsheere</w:t>
      </w:r>
      <w:proofErr w:type="spellEnd"/>
      <w:r w:rsidRPr="007A1BF1">
        <w:rPr>
          <w:color w:val="000000"/>
          <w:sz w:val="24"/>
          <w:szCs w:val="24"/>
        </w:rPr>
        <w:t xml:space="preserve">  (</w:t>
      </w:r>
      <w:proofErr w:type="gramEnd"/>
      <w:r w:rsidRPr="007A1BF1">
        <w:rPr>
          <w:color w:val="000000"/>
          <w:sz w:val="24"/>
          <w:szCs w:val="24"/>
        </w:rPr>
        <w:t>1974, p. 84) proposent les quelques principes généraux suivants pouvant servir de guide aux enseignants à cet effet :</w:t>
      </w:r>
    </w:p>
    <w:p w14:paraId="2CCFBF87" w14:textId="77777777" w:rsidR="00D80693" w:rsidRPr="00CB7A1E" w:rsidRDefault="00D80693" w:rsidP="00E82F39">
      <w:pPr>
        <w:spacing w:before="120"/>
        <w:jc w:val="center"/>
        <w:rPr>
          <w:b/>
          <w:i/>
          <w:color w:val="000000"/>
          <w:vertAlign w:val="superscript"/>
        </w:rPr>
      </w:pPr>
      <w:r w:rsidRPr="00CB7A1E">
        <w:rPr>
          <w:b/>
          <w:i/>
          <w:color w:val="000000"/>
        </w:rPr>
        <w:t>Tableau n° 0</w:t>
      </w:r>
      <w:r>
        <w:rPr>
          <w:b/>
          <w:i/>
          <w:color w:val="000000"/>
        </w:rPr>
        <w:t>4</w:t>
      </w:r>
      <w:r w:rsidRPr="00CB7A1E">
        <w:rPr>
          <w:b/>
          <w:i/>
          <w:color w:val="000000"/>
        </w:rPr>
        <w:t xml:space="preserve"> : </w:t>
      </w:r>
      <w:r>
        <w:rPr>
          <w:b/>
          <w:i/>
          <w:color w:val="000000"/>
        </w:rPr>
        <w:t>Principes généraux de la conception des questions selon Thorndike et Hagen</w:t>
      </w:r>
    </w:p>
    <w:tbl>
      <w:tblPr>
        <w:tblStyle w:val="TableGrid10"/>
        <w:tblW w:w="0" w:type="auto"/>
        <w:tblLook w:val="04A0" w:firstRow="1" w:lastRow="0" w:firstColumn="1" w:lastColumn="0" w:noHBand="0" w:noVBand="1"/>
      </w:tblPr>
      <w:tblGrid>
        <w:gridCol w:w="2972"/>
        <w:gridCol w:w="6088"/>
      </w:tblGrid>
      <w:tr w:rsidR="00D80693" w14:paraId="1F2DD9AB" w14:textId="77777777" w:rsidTr="00026258">
        <w:tc>
          <w:tcPr>
            <w:tcW w:w="2972" w:type="dxa"/>
            <w:shd w:val="clear" w:color="auto" w:fill="00B0F0"/>
          </w:tcPr>
          <w:p w14:paraId="6AECBD14" w14:textId="77777777" w:rsidR="00D80693" w:rsidRPr="00EF7DF2" w:rsidRDefault="00D80693" w:rsidP="00E82F39">
            <w:pPr>
              <w:spacing w:before="120"/>
              <w:jc w:val="both"/>
              <w:rPr>
                <w:b/>
                <w:color w:val="000000"/>
                <w:sz w:val="24"/>
                <w:szCs w:val="24"/>
              </w:rPr>
            </w:pPr>
            <w:r w:rsidRPr="00EF7DF2">
              <w:rPr>
                <w:b/>
                <w:color w:val="000000"/>
                <w:sz w:val="24"/>
                <w:szCs w:val="24"/>
              </w:rPr>
              <w:t>Recommandations</w:t>
            </w:r>
          </w:p>
        </w:tc>
        <w:tc>
          <w:tcPr>
            <w:tcW w:w="6088" w:type="dxa"/>
            <w:shd w:val="clear" w:color="auto" w:fill="00B0F0"/>
          </w:tcPr>
          <w:p w14:paraId="171E9FDB" w14:textId="77777777" w:rsidR="00D80693" w:rsidRDefault="00D80693" w:rsidP="00E82F39">
            <w:pPr>
              <w:spacing w:before="120"/>
              <w:jc w:val="both"/>
              <w:rPr>
                <w:b/>
                <w:color w:val="000000"/>
                <w:sz w:val="24"/>
                <w:szCs w:val="24"/>
              </w:rPr>
            </w:pPr>
            <w:r w:rsidRPr="002D3872">
              <w:rPr>
                <w:b/>
                <w:color w:val="000000"/>
                <w:sz w:val="24"/>
                <w:szCs w:val="24"/>
              </w:rPr>
              <w:t>Avantages de chaque recommandation</w:t>
            </w:r>
          </w:p>
          <w:p w14:paraId="0CE74424" w14:textId="77777777" w:rsidR="00D80693" w:rsidRPr="002D3872" w:rsidRDefault="00D80693" w:rsidP="00E82F39">
            <w:pPr>
              <w:spacing w:before="120"/>
              <w:jc w:val="both"/>
              <w:rPr>
                <w:b/>
                <w:color w:val="000000"/>
                <w:sz w:val="24"/>
                <w:szCs w:val="24"/>
              </w:rPr>
            </w:pPr>
          </w:p>
        </w:tc>
      </w:tr>
      <w:tr w:rsidR="00D80693" w14:paraId="7E74BD24" w14:textId="77777777" w:rsidTr="00026258">
        <w:tc>
          <w:tcPr>
            <w:tcW w:w="2972" w:type="dxa"/>
          </w:tcPr>
          <w:p w14:paraId="66E3613B" w14:textId="77777777" w:rsidR="00D80693" w:rsidRDefault="00D80693" w:rsidP="00E82F39">
            <w:pPr>
              <w:spacing w:before="120"/>
              <w:jc w:val="both"/>
              <w:rPr>
                <w:color w:val="000000"/>
                <w:sz w:val="24"/>
                <w:szCs w:val="24"/>
              </w:rPr>
            </w:pPr>
            <w:r>
              <w:rPr>
                <w:color w:val="000000"/>
                <w:sz w:val="24"/>
                <w:szCs w:val="24"/>
              </w:rPr>
              <w:t>A</w:t>
            </w:r>
            <w:r w:rsidRPr="007A1BF1">
              <w:rPr>
                <w:color w:val="000000"/>
                <w:sz w:val="24"/>
                <w:szCs w:val="24"/>
              </w:rPr>
              <w:t>voir clairement à l’esprit quelle aptitude intellectuelle on souhaite voir les apprenants mettre en action pour répondre à la question</w:t>
            </w:r>
            <w:r>
              <w:rPr>
                <w:color w:val="000000"/>
                <w:sz w:val="24"/>
                <w:szCs w:val="24"/>
              </w:rPr>
              <w:t>.</w:t>
            </w:r>
            <w:r w:rsidRPr="007A1BF1">
              <w:rPr>
                <w:color w:val="000000"/>
                <w:sz w:val="24"/>
                <w:szCs w:val="24"/>
              </w:rPr>
              <w:t> </w:t>
            </w:r>
          </w:p>
        </w:tc>
        <w:tc>
          <w:tcPr>
            <w:tcW w:w="6088" w:type="dxa"/>
          </w:tcPr>
          <w:p w14:paraId="32B8AA34" w14:textId="77777777" w:rsidR="00D80693" w:rsidRDefault="00D80693" w:rsidP="00E82F39">
            <w:pPr>
              <w:spacing w:before="120"/>
              <w:jc w:val="both"/>
              <w:rPr>
                <w:color w:val="000000"/>
                <w:sz w:val="24"/>
                <w:szCs w:val="24"/>
              </w:rPr>
            </w:pPr>
            <w:r>
              <w:rPr>
                <w:color w:val="000000"/>
                <w:sz w:val="24"/>
                <w:szCs w:val="24"/>
              </w:rPr>
              <w:t xml:space="preserve">Définir clairement la compétence à évaluer </w:t>
            </w:r>
          </w:p>
          <w:p w14:paraId="71665917" w14:textId="77777777" w:rsidR="00D80693" w:rsidRDefault="00D80693" w:rsidP="00E82F39">
            <w:pPr>
              <w:spacing w:before="120"/>
              <w:jc w:val="both"/>
              <w:rPr>
                <w:color w:val="000000"/>
                <w:sz w:val="24"/>
                <w:szCs w:val="24"/>
              </w:rPr>
            </w:pPr>
            <w:proofErr w:type="gramStart"/>
            <w:r>
              <w:rPr>
                <w:color w:val="000000"/>
                <w:sz w:val="24"/>
                <w:szCs w:val="24"/>
              </w:rPr>
              <w:t>permet</w:t>
            </w:r>
            <w:proofErr w:type="gramEnd"/>
            <w:r>
              <w:rPr>
                <w:color w:val="000000"/>
                <w:sz w:val="24"/>
                <w:szCs w:val="24"/>
              </w:rPr>
              <w:t xml:space="preserve"> d’élaborer des questions précises reflétant l’objectif d’apprentissage visé, qu’il s’agisse de la simple mémorisation, de l’application complexe ou de l’évaluation critique. </w:t>
            </w:r>
          </w:p>
        </w:tc>
      </w:tr>
      <w:tr w:rsidR="00D80693" w14:paraId="57FDB4AC" w14:textId="77777777" w:rsidTr="00026258">
        <w:tc>
          <w:tcPr>
            <w:tcW w:w="2972" w:type="dxa"/>
          </w:tcPr>
          <w:p w14:paraId="254F506D" w14:textId="77777777" w:rsidR="00D80693" w:rsidRDefault="00D80693" w:rsidP="00E82F39">
            <w:pPr>
              <w:spacing w:before="120"/>
              <w:jc w:val="both"/>
              <w:rPr>
                <w:color w:val="000000"/>
                <w:sz w:val="24"/>
                <w:szCs w:val="24"/>
              </w:rPr>
            </w:pPr>
            <w:r>
              <w:rPr>
                <w:color w:val="000000"/>
                <w:sz w:val="24"/>
                <w:szCs w:val="24"/>
              </w:rPr>
              <w:t>U</w:t>
            </w:r>
            <w:r w:rsidRPr="00EF7DF2">
              <w:rPr>
                <w:color w:val="000000"/>
                <w:sz w:val="24"/>
                <w:szCs w:val="24"/>
              </w:rPr>
              <w:t>tiliser dans la question non pas des matières nouvelles, mais plutôt une présentation nouvelle des matières vues ou supp</w:t>
            </w:r>
            <w:r>
              <w:rPr>
                <w:color w:val="000000"/>
                <w:sz w:val="24"/>
                <w:szCs w:val="24"/>
              </w:rPr>
              <w:t>osées connues.</w:t>
            </w:r>
          </w:p>
        </w:tc>
        <w:tc>
          <w:tcPr>
            <w:tcW w:w="6088" w:type="dxa"/>
          </w:tcPr>
          <w:p w14:paraId="50473D0B" w14:textId="77777777" w:rsidR="00D80693" w:rsidRDefault="00D80693" w:rsidP="00E82F39">
            <w:pPr>
              <w:spacing w:before="120"/>
              <w:jc w:val="both"/>
              <w:rPr>
                <w:color w:val="000000"/>
                <w:sz w:val="24"/>
                <w:szCs w:val="24"/>
              </w:rPr>
            </w:pPr>
            <w:r>
              <w:rPr>
                <w:color w:val="000000"/>
                <w:sz w:val="24"/>
                <w:szCs w:val="24"/>
              </w:rPr>
              <w:t>Évaluer la faculté de transfert de compétence garantit que la question évalue la capacité de l’apprenant à transférer et appliquer ses connaissances et ses compétences (matières vues) plutôt que sa simple capacité de les mémoriser.</w:t>
            </w:r>
          </w:p>
        </w:tc>
      </w:tr>
      <w:tr w:rsidR="00D80693" w14:paraId="61BFB66A" w14:textId="77777777" w:rsidTr="00026258">
        <w:tc>
          <w:tcPr>
            <w:tcW w:w="2972" w:type="dxa"/>
          </w:tcPr>
          <w:p w14:paraId="66C3759F" w14:textId="77777777" w:rsidR="00D80693" w:rsidRDefault="00D80693" w:rsidP="00E82F39">
            <w:pPr>
              <w:spacing w:before="120"/>
              <w:jc w:val="both"/>
              <w:rPr>
                <w:color w:val="000000"/>
                <w:sz w:val="24"/>
                <w:szCs w:val="24"/>
              </w:rPr>
            </w:pPr>
            <w:r>
              <w:rPr>
                <w:color w:val="000000"/>
                <w:sz w:val="24"/>
                <w:szCs w:val="24"/>
              </w:rPr>
              <w:t>C</w:t>
            </w:r>
            <w:r w:rsidRPr="00EF7DF2">
              <w:rPr>
                <w:color w:val="000000"/>
                <w:sz w:val="24"/>
                <w:szCs w:val="24"/>
              </w:rPr>
              <w:t>ommencer ou poursuivre les questions par les expressions ou</w:t>
            </w:r>
            <w:r>
              <w:rPr>
                <w:color w:val="000000"/>
                <w:sz w:val="24"/>
                <w:szCs w:val="24"/>
              </w:rPr>
              <w:t xml:space="preserve"> mots interrogatifs appropriés.</w:t>
            </w:r>
          </w:p>
        </w:tc>
        <w:tc>
          <w:tcPr>
            <w:tcW w:w="6088" w:type="dxa"/>
          </w:tcPr>
          <w:p w14:paraId="325E2BB6" w14:textId="77777777" w:rsidR="00D80693" w:rsidRDefault="00D80693" w:rsidP="00E82F39">
            <w:pPr>
              <w:spacing w:before="120"/>
              <w:jc w:val="both"/>
              <w:rPr>
                <w:color w:val="000000"/>
                <w:sz w:val="24"/>
                <w:szCs w:val="24"/>
              </w:rPr>
            </w:pPr>
            <w:r>
              <w:rPr>
                <w:color w:val="000000"/>
                <w:sz w:val="24"/>
                <w:szCs w:val="24"/>
              </w:rPr>
              <w:t>Formuler les questions de manière précise fournit une directive immédiate et sans ambiguïté à l’apprenant. Cela permet d’éliminer toute incertitude sur le niveau de réponse attendue, assurant ainsi que l’apprenant cible précisément l’aptitude intellectuelle souhaitée.</w:t>
            </w:r>
          </w:p>
        </w:tc>
      </w:tr>
      <w:tr w:rsidR="00D80693" w14:paraId="6E17DE8F" w14:textId="77777777" w:rsidTr="00026258">
        <w:tc>
          <w:tcPr>
            <w:tcW w:w="2972" w:type="dxa"/>
          </w:tcPr>
          <w:p w14:paraId="4BCC34B3" w14:textId="77777777" w:rsidR="00D80693" w:rsidRDefault="00D80693" w:rsidP="00E82F39">
            <w:pPr>
              <w:spacing w:before="120"/>
              <w:jc w:val="both"/>
              <w:rPr>
                <w:color w:val="000000"/>
                <w:sz w:val="24"/>
                <w:szCs w:val="24"/>
              </w:rPr>
            </w:pPr>
            <w:r>
              <w:rPr>
                <w:color w:val="000000"/>
                <w:sz w:val="24"/>
                <w:szCs w:val="24"/>
              </w:rPr>
              <w:t>E</w:t>
            </w:r>
            <w:r w:rsidRPr="00EF7DF2">
              <w:rPr>
                <w:color w:val="000000"/>
                <w:sz w:val="24"/>
                <w:szCs w:val="24"/>
              </w:rPr>
              <w:t>xiger des arguments en faveur d’une position plutôt qu’une simple p</w:t>
            </w:r>
            <w:r>
              <w:rPr>
                <w:color w:val="000000"/>
                <w:sz w:val="24"/>
                <w:szCs w:val="24"/>
              </w:rPr>
              <w:t>rise de position non justifiée.</w:t>
            </w:r>
          </w:p>
        </w:tc>
        <w:tc>
          <w:tcPr>
            <w:tcW w:w="6088" w:type="dxa"/>
          </w:tcPr>
          <w:p w14:paraId="7133DFA6" w14:textId="77777777" w:rsidR="00D80693" w:rsidRDefault="00D80693" w:rsidP="00E82F39">
            <w:pPr>
              <w:spacing w:before="120"/>
              <w:jc w:val="both"/>
              <w:rPr>
                <w:color w:val="000000"/>
                <w:sz w:val="24"/>
                <w:szCs w:val="24"/>
              </w:rPr>
            </w:pPr>
            <w:r>
              <w:rPr>
                <w:color w:val="000000"/>
                <w:sz w:val="24"/>
                <w:szCs w:val="24"/>
              </w:rPr>
              <w:t>Encourager l’esprit critique stimule ou évalue la pensée critique et la profondeur de la compréhension de l’apprenant. Cette méthode déplace l’évaluation du simple jugement personnel vers la capacité d’analyse, d’évaluation et de synthèse nécessitant que l’apprenant mobilise des concepts, des preuves et raisonnements logiques.</w:t>
            </w:r>
          </w:p>
        </w:tc>
      </w:tr>
      <w:tr w:rsidR="00D80693" w14:paraId="5878F41A" w14:textId="77777777" w:rsidTr="00026258">
        <w:tc>
          <w:tcPr>
            <w:tcW w:w="2972" w:type="dxa"/>
          </w:tcPr>
          <w:p w14:paraId="4366BB1B" w14:textId="77777777" w:rsidR="00D80693" w:rsidRDefault="00D80693" w:rsidP="00E82F39">
            <w:pPr>
              <w:spacing w:before="120"/>
              <w:jc w:val="both"/>
              <w:rPr>
                <w:color w:val="000000"/>
                <w:sz w:val="24"/>
                <w:szCs w:val="24"/>
              </w:rPr>
            </w:pPr>
            <w:r>
              <w:rPr>
                <w:color w:val="000000"/>
                <w:sz w:val="24"/>
                <w:szCs w:val="24"/>
              </w:rPr>
              <w:t>Se r</w:t>
            </w:r>
            <w:r w:rsidRPr="007A1BF1">
              <w:rPr>
                <w:color w:val="000000"/>
                <w:sz w:val="24"/>
                <w:szCs w:val="24"/>
              </w:rPr>
              <w:t>assurer que la question appelle le comportement que l’on souhaite réellement voir apparaître chez l’interrogé.</w:t>
            </w:r>
          </w:p>
        </w:tc>
        <w:tc>
          <w:tcPr>
            <w:tcW w:w="6088" w:type="dxa"/>
          </w:tcPr>
          <w:p w14:paraId="3BB98D92" w14:textId="77777777" w:rsidR="00D80693" w:rsidRDefault="00D80693" w:rsidP="00E82F39">
            <w:pPr>
              <w:spacing w:before="120"/>
              <w:jc w:val="both"/>
              <w:rPr>
                <w:color w:val="000000"/>
                <w:sz w:val="24"/>
                <w:szCs w:val="24"/>
              </w:rPr>
            </w:pPr>
            <w:r>
              <w:rPr>
                <w:color w:val="000000"/>
                <w:sz w:val="24"/>
                <w:szCs w:val="24"/>
              </w:rPr>
              <w:t>Inciter l’apprenant au comportement attendu garantit une cohérence parfaite entre l’intention évaluative et le résultat observé. En alignant précisément la formulation de la question sur l’objectif pédagogique ciblé, on élimine le risque d’évaluer accidentellement un comportement non pertinent (comme la simple mémorisation quand on visait l’analyse).</w:t>
            </w:r>
          </w:p>
        </w:tc>
      </w:tr>
    </w:tbl>
    <w:p w14:paraId="3D8B6335" w14:textId="77777777" w:rsidR="00D80693" w:rsidRPr="002D3B10" w:rsidRDefault="00D80693" w:rsidP="00E82F39">
      <w:pPr>
        <w:spacing w:before="120"/>
        <w:jc w:val="both"/>
        <w:rPr>
          <w:i/>
          <w:color w:val="000000"/>
        </w:rPr>
      </w:pPr>
      <w:r w:rsidRPr="002D3B10">
        <w:rPr>
          <w:i/>
        </w:rPr>
        <w:t>Source : Données de recherche</w:t>
      </w:r>
      <w:r>
        <w:rPr>
          <w:i/>
        </w:rPr>
        <w:t xml:space="preserve"> personnelle</w:t>
      </w:r>
    </w:p>
    <w:p w14:paraId="2769B79B" w14:textId="77777777" w:rsidR="00D80693" w:rsidRPr="00E94619" w:rsidRDefault="00D80693" w:rsidP="00E82F39">
      <w:pPr>
        <w:spacing w:before="120"/>
        <w:jc w:val="both"/>
        <w:rPr>
          <w:sz w:val="2"/>
          <w:szCs w:val="24"/>
        </w:rPr>
      </w:pPr>
    </w:p>
    <w:p w14:paraId="1DB57680" w14:textId="77777777" w:rsidR="00D80693" w:rsidRPr="00BA4ABD" w:rsidRDefault="00D80693" w:rsidP="00E82F39">
      <w:pPr>
        <w:spacing w:before="120"/>
        <w:jc w:val="both"/>
        <w:rPr>
          <w:sz w:val="24"/>
          <w:szCs w:val="24"/>
        </w:rPr>
      </w:pPr>
      <w:r w:rsidRPr="00BA4ABD">
        <w:rPr>
          <w:sz w:val="24"/>
          <w:szCs w:val="24"/>
        </w:rPr>
        <w:t xml:space="preserve">Pour élaborer la question de production courte, </w:t>
      </w:r>
      <w:r>
        <w:rPr>
          <w:sz w:val="24"/>
          <w:szCs w:val="24"/>
        </w:rPr>
        <w:t>Bélanger (2009, p.5) présente</w:t>
      </w:r>
      <w:r w:rsidRPr="00BA4ABD">
        <w:rPr>
          <w:sz w:val="24"/>
          <w:szCs w:val="24"/>
        </w:rPr>
        <w:t xml:space="preserve"> les règles suivantes à observer :</w:t>
      </w:r>
    </w:p>
    <w:p w14:paraId="558FC106" w14:textId="0EF4305F" w:rsidR="00D80693" w:rsidRPr="00BA4ABD" w:rsidRDefault="00D80693" w:rsidP="00E82F39">
      <w:pPr>
        <w:pStyle w:val="Paragraphedeliste"/>
        <w:widowControl/>
        <w:numPr>
          <w:ilvl w:val="0"/>
          <w:numId w:val="185"/>
        </w:numPr>
        <w:autoSpaceDE/>
        <w:autoSpaceDN/>
        <w:rPr>
          <w:sz w:val="24"/>
          <w:szCs w:val="24"/>
        </w:rPr>
      </w:pPr>
      <w:r w:rsidRPr="00BA4ABD">
        <w:rPr>
          <w:sz w:val="24"/>
          <w:szCs w:val="24"/>
        </w:rPr>
        <w:t xml:space="preserve">La question doit </w:t>
      </w:r>
      <w:r w:rsidR="00026258" w:rsidRPr="00BA4ABD">
        <w:rPr>
          <w:sz w:val="24"/>
          <w:szCs w:val="24"/>
        </w:rPr>
        <w:t>décrire clairement</w:t>
      </w:r>
      <w:r w:rsidRPr="00BA4ABD">
        <w:rPr>
          <w:sz w:val="24"/>
          <w:szCs w:val="24"/>
        </w:rPr>
        <w:t xml:space="preserve"> la tâche à accomplir par un verbe d’action ;</w:t>
      </w:r>
    </w:p>
    <w:p w14:paraId="06ECE9AF" w14:textId="77777777" w:rsidR="00D80693" w:rsidRPr="00BA4ABD" w:rsidRDefault="00D80693" w:rsidP="00E82F39">
      <w:pPr>
        <w:pStyle w:val="Paragraphedeliste"/>
        <w:widowControl/>
        <w:numPr>
          <w:ilvl w:val="0"/>
          <w:numId w:val="185"/>
        </w:numPr>
        <w:autoSpaceDE/>
        <w:autoSpaceDN/>
        <w:rPr>
          <w:sz w:val="24"/>
          <w:szCs w:val="24"/>
        </w:rPr>
      </w:pPr>
      <w:r w:rsidRPr="00BA4ABD">
        <w:rPr>
          <w:sz w:val="24"/>
          <w:szCs w:val="24"/>
        </w:rPr>
        <w:t>Les conditions d’exécution de cette tâche doivent être annoncées dans la consigne ;</w:t>
      </w:r>
    </w:p>
    <w:p w14:paraId="49CDA4A2" w14:textId="77777777" w:rsidR="00D80693" w:rsidRPr="00BA4ABD" w:rsidRDefault="00D80693" w:rsidP="00E82F39">
      <w:pPr>
        <w:pStyle w:val="Paragraphedeliste"/>
        <w:widowControl/>
        <w:numPr>
          <w:ilvl w:val="0"/>
          <w:numId w:val="185"/>
        </w:numPr>
        <w:autoSpaceDE/>
        <w:autoSpaceDN/>
        <w:rPr>
          <w:sz w:val="24"/>
          <w:szCs w:val="24"/>
        </w:rPr>
      </w:pPr>
      <w:r w:rsidRPr="00BA4ABD">
        <w:rPr>
          <w:sz w:val="24"/>
          <w:szCs w:val="24"/>
        </w:rPr>
        <w:t xml:space="preserve">La question doit être formulée sur base d’objectif d’apprentissage et porter sur les notions essentielles. </w:t>
      </w:r>
    </w:p>
    <w:p w14:paraId="7131AE52" w14:textId="77777777" w:rsidR="00D80693" w:rsidRPr="00BA4ABD" w:rsidRDefault="00D80693" w:rsidP="00E82F39">
      <w:pPr>
        <w:spacing w:before="120"/>
        <w:jc w:val="both"/>
        <w:rPr>
          <w:sz w:val="24"/>
          <w:szCs w:val="24"/>
        </w:rPr>
      </w:pPr>
      <w:r w:rsidRPr="00BA4ABD">
        <w:rPr>
          <w:sz w:val="24"/>
          <w:szCs w:val="24"/>
        </w:rPr>
        <w:t xml:space="preserve">Quant à la question de production longue, </w:t>
      </w:r>
      <w:r>
        <w:rPr>
          <w:sz w:val="24"/>
          <w:szCs w:val="24"/>
        </w:rPr>
        <w:t xml:space="preserve">on peut </w:t>
      </w:r>
      <w:r w:rsidRPr="00BA4ABD">
        <w:rPr>
          <w:sz w:val="24"/>
          <w:szCs w:val="24"/>
        </w:rPr>
        <w:t>tenir compte des principes suivants :</w:t>
      </w:r>
    </w:p>
    <w:p w14:paraId="19F966F8" w14:textId="77777777" w:rsidR="00D80693" w:rsidRPr="00BA4ABD" w:rsidRDefault="00D80693" w:rsidP="00E82F39">
      <w:pPr>
        <w:pStyle w:val="Paragraphedeliste"/>
        <w:widowControl/>
        <w:numPr>
          <w:ilvl w:val="0"/>
          <w:numId w:val="186"/>
        </w:numPr>
        <w:autoSpaceDE/>
        <w:autoSpaceDN/>
        <w:rPr>
          <w:sz w:val="24"/>
          <w:szCs w:val="24"/>
        </w:rPr>
      </w:pPr>
      <w:r w:rsidRPr="00BA4ABD">
        <w:rPr>
          <w:sz w:val="24"/>
          <w:szCs w:val="24"/>
        </w:rPr>
        <w:t xml:space="preserve">Bien définir </w:t>
      </w:r>
      <w:proofErr w:type="gramStart"/>
      <w:r w:rsidRPr="00BA4ABD">
        <w:rPr>
          <w:sz w:val="24"/>
          <w:szCs w:val="24"/>
        </w:rPr>
        <w:t>la  tâche</w:t>
      </w:r>
      <w:proofErr w:type="gramEnd"/>
      <w:r w:rsidRPr="00BA4ABD">
        <w:rPr>
          <w:sz w:val="24"/>
          <w:szCs w:val="24"/>
        </w:rPr>
        <w:t xml:space="preserve"> à réaliser et adapter la question au niveau linguistique des apprenants ;</w:t>
      </w:r>
    </w:p>
    <w:p w14:paraId="0FEFF038" w14:textId="4A4B8B50" w:rsidR="00D80693" w:rsidRPr="00BA4ABD" w:rsidRDefault="00D80693" w:rsidP="00E82F39">
      <w:pPr>
        <w:pStyle w:val="Paragraphedeliste"/>
        <w:widowControl/>
        <w:numPr>
          <w:ilvl w:val="0"/>
          <w:numId w:val="186"/>
        </w:numPr>
        <w:autoSpaceDE/>
        <w:autoSpaceDN/>
        <w:rPr>
          <w:rFonts w:ascii="Arial" w:hAnsi="Arial" w:cs="Arial"/>
          <w:sz w:val="24"/>
          <w:szCs w:val="24"/>
        </w:rPr>
      </w:pPr>
      <w:r w:rsidRPr="00BA4ABD">
        <w:rPr>
          <w:sz w:val="24"/>
          <w:szCs w:val="24"/>
        </w:rPr>
        <w:t xml:space="preserve">Elaborer la question </w:t>
      </w:r>
      <w:r w:rsidR="00026258" w:rsidRPr="00BA4ABD">
        <w:rPr>
          <w:sz w:val="24"/>
          <w:szCs w:val="24"/>
        </w:rPr>
        <w:t>de manière</w:t>
      </w:r>
      <w:r w:rsidRPr="00BA4ABD">
        <w:rPr>
          <w:sz w:val="24"/>
          <w:szCs w:val="24"/>
        </w:rPr>
        <w:t xml:space="preserve"> que l’apprenant puisse mettre en pratique ses connaissances plutôt que de restituer les informations acquises. </w:t>
      </w:r>
    </w:p>
    <w:p w14:paraId="02DF49B2" w14:textId="77777777" w:rsidR="00D80693" w:rsidRPr="00BA4ABD" w:rsidRDefault="00D80693" w:rsidP="00E82F39">
      <w:pPr>
        <w:pStyle w:val="Paragraphedeliste"/>
        <w:widowControl/>
        <w:numPr>
          <w:ilvl w:val="0"/>
          <w:numId w:val="186"/>
        </w:numPr>
        <w:autoSpaceDE/>
        <w:autoSpaceDN/>
        <w:rPr>
          <w:rFonts w:ascii="Arial" w:hAnsi="Arial" w:cs="Arial"/>
          <w:sz w:val="24"/>
          <w:szCs w:val="24"/>
        </w:rPr>
      </w:pPr>
      <w:r w:rsidRPr="00BA4ABD">
        <w:rPr>
          <w:sz w:val="24"/>
          <w:szCs w:val="24"/>
        </w:rPr>
        <w:t>Chercher à mettre l’accent sur la formulation d’opinion et non sur l’opinion elle-même.</w:t>
      </w:r>
    </w:p>
    <w:p w14:paraId="4B1AF1BA" w14:textId="77777777" w:rsidR="00D80693" w:rsidRPr="00BA4ABD" w:rsidRDefault="00D80693" w:rsidP="00E82F39">
      <w:pPr>
        <w:spacing w:before="120"/>
        <w:ind w:firstLine="708"/>
        <w:jc w:val="both"/>
        <w:rPr>
          <w:rFonts w:ascii="Arial" w:hAnsi="Arial" w:cs="Arial"/>
          <w:sz w:val="2"/>
          <w:szCs w:val="24"/>
        </w:rPr>
      </w:pPr>
    </w:p>
    <w:p w14:paraId="7FA09DDC" w14:textId="636C1C69" w:rsidR="00D80693" w:rsidRDefault="00D80693" w:rsidP="00E82F39">
      <w:pPr>
        <w:spacing w:before="120"/>
        <w:jc w:val="both"/>
        <w:rPr>
          <w:sz w:val="24"/>
          <w:szCs w:val="24"/>
        </w:rPr>
      </w:pPr>
      <w:r w:rsidRPr="00BA4ABD">
        <w:rPr>
          <w:sz w:val="24"/>
          <w:szCs w:val="24"/>
        </w:rPr>
        <w:t xml:space="preserve">Ce dernier type de questions permet de distinguer, dans une classe, les apprenants qui ne s’accrochent exclusivement pas qu’à ce qui a été dit mais font d’extrapolations intelligentes en recourant dans leur expérience de la vie, dans leur imagination, </w:t>
      </w:r>
      <w:proofErr w:type="spellStart"/>
      <w:proofErr w:type="gramStart"/>
      <w:r w:rsidRPr="00BA4ABD">
        <w:rPr>
          <w:sz w:val="24"/>
          <w:szCs w:val="24"/>
        </w:rPr>
        <w:t>etc</w:t>
      </w:r>
      <w:r w:rsidR="00026258">
        <w:rPr>
          <w:sz w:val="24"/>
          <w:szCs w:val="24"/>
        </w:rPr>
        <w:t>.</w:t>
      </w:r>
      <w:r w:rsidRPr="00BA4ABD">
        <w:rPr>
          <w:sz w:val="24"/>
          <w:szCs w:val="24"/>
        </w:rPr>
        <w:t>Bien</w:t>
      </w:r>
      <w:proofErr w:type="spellEnd"/>
      <w:proofErr w:type="gramEnd"/>
      <w:r w:rsidRPr="00BA4ABD">
        <w:rPr>
          <w:sz w:val="24"/>
          <w:szCs w:val="24"/>
        </w:rPr>
        <w:t xml:space="preserve"> que les réponses à ces questions soient</w:t>
      </w:r>
      <w:r>
        <w:rPr>
          <w:sz w:val="24"/>
          <w:szCs w:val="24"/>
        </w:rPr>
        <w:t xml:space="preserve">   personnelles et originales, </w:t>
      </w:r>
      <w:r w:rsidRPr="00BA4ABD">
        <w:rPr>
          <w:sz w:val="24"/>
          <w:szCs w:val="24"/>
        </w:rPr>
        <w:t xml:space="preserve">les questions ouvertes permettent de mesurer le niveau de réflexion, la valeur de l’argumentation et la capacité de s’exprimer. </w:t>
      </w:r>
      <w:r w:rsidR="00026258">
        <w:rPr>
          <w:sz w:val="24"/>
          <w:szCs w:val="24"/>
        </w:rPr>
        <w:t xml:space="preserve">  </w:t>
      </w:r>
      <w:r w:rsidRPr="00247E4F">
        <w:rPr>
          <w:sz w:val="24"/>
          <w:szCs w:val="24"/>
        </w:rPr>
        <w:t>Pour bien élaborer un questionnaire d’examen, l’enseignant doit déterminer quelle est la part réservée à la restitution d’information (définir, identifier, nommer, énumérer, associer,…) ; la compréhension ( résumer, expliquer, interpréter, donner des exemples, comparer, …) ; l’application (utiliser, résoudre, démontrer, mettre en pratique, exécuter, …) ; l’analyse (analyser, distinguer, organiser, examiner, …) ; l’évaluation ( justifier, juger, choisir, …) et la création ( synthèse, concevoir, planifier, produire, …). (BELANGER, 2009</w:t>
      </w:r>
      <w:r>
        <w:rPr>
          <w:sz w:val="24"/>
          <w:szCs w:val="24"/>
        </w:rPr>
        <w:t>, p.3</w:t>
      </w:r>
      <w:r w:rsidRPr="00247E4F">
        <w:rPr>
          <w:sz w:val="24"/>
          <w:szCs w:val="24"/>
        </w:rPr>
        <w:t>)</w:t>
      </w:r>
    </w:p>
    <w:p w14:paraId="4FD50911" w14:textId="77777777" w:rsidR="00D80693" w:rsidRDefault="00D80693" w:rsidP="00E82F39">
      <w:pPr>
        <w:spacing w:before="120"/>
        <w:jc w:val="both"/>
        <w:rPr>
          <w:sz w:val="24"/>
          <w:szCs w:val="24"/>
        </w:rPr>
      </w:pPr>
      <w:r w:rsidRPr="005A35BD">
        <w:rPr>
          <w:sz w:val="24"/>
          <w:szCs w:val="24"/>
        </w:rPr>
        <w:t>Pour une bonne réussite, l’</w:t>
      </w:r>
      <w:r>
        <w:rPr>
          <w:sz w:val="24"/>
          <w:szCs w:val="24"/>
        </w:rPr>
        <w:t xml:space="preserve">élaboration du questionnaire doit observer les </w:t>
      </w:r>
      <w:proofErr w:type="gramStart"/>
      <w:r>
        <w:rPr>
          <w:sz w:val="24"/>
          <w:szCs w:val="24"/>
        </w:rPr>
        <w:t>principes  suivants</w:t>
      </w:r>
      <w:proofErr w:type="gramEnd"/>
      <w:r>
        <w:rPr>
          <w:sz w:val="24"/>
          <w:szCs w:val="24"/>
        </w:rPr>
        <w:t xml:space="preserve"> résumés dans ce tableau</w:t>
      </w:r>
      <w:r w:rsidRPr="005A35BD">
        <w:rPr>
          <w:sz w:val="24"/>
          <w:szCs w:val="24"/>
        </w:rPr>
        <w:t> :</w:t>
      </w:r>
    </w:p>
    <w:p w14:paraId="3AC9ACAA" w14:textId="77777777" w:rsidR="00D80693" w:rsidRPr="00CB7A1E" w:rsidRDefault="00D80693" w:rsidP="00E82F39">
      <w:pPr>
        <w:spacing w:before="120"/>
        <w:jc w:val="center"/>
        <w:rPr>
          <w:b/>
          <w:i/>
          <w:color w:val="000000"/>
          <w:vertAlign w:val="superscript"/>
        </w:rPr>
      </w:pPr>
      <w:r>
        <w:rPr>
          <w:b/>
          <w:i/>
          <w:color w:val="000000"/>
        </w:rPr>
        <w:t>Tableau n° 05</w:t>
      </w:r>
      <w:r w:rsidRPr="00CB7A1E">
        <w:rPr>
          <w:b/>
          <w:i/>
          <w:color w:val="000000"/>
        </w:rPr>
        <w:t xml:space="preserve"> : </w:t>
      </w:r>
      <w:r>
        <w:rPr>
          <w:b/>
          <w:i/>
          <w:color w:val="000000"/>
        </w:rPr>
        <w:t xml:space="preserve">Principes d’élaboration du questionnaire selon Claire </w:t>
      </w:r>
      <w:r w:rsidRPr="00C44789">
        <w:rPr>
          <w:b/>
          <w:i/>
        </w:rPr>
        <w:t xml:space="preserve">Bélanger </w:t>
      </w:r>
    </w:p>
    <w:tbl>
      <w:tblPr>
        <w:tblStyle w:val="TableGrid10"/>
        <w:tblW w:w="9067" w:type="dxa"/>
        <w:tblLook w:val="04A0" w:firstRow="1" w:lastRow="0" w:firstColumn="1" w:lastColumn="0" w:noHBand="0" w:noVBand="1"/>
      </w:tblPr>
      <w:tblGrid>
        <w:gridCol w:w="2972"/>
        <w:gridCol w:w="6095"/>
      </w:tblGrid>
      <w:tr w:rsidR="00D80693" w14:paraId="76939723" w14:textId="77777777" w:rsidTr="00026258">
        <w:tc>
          <w:tcPr>
            <w:tcW w:w="2972" w:type="dxa"/>
            <w:shd w:val="clear" w:color="auto" w:fill="00B0F0"/>
          </w:tcPr>
          <w:p w14:paraId="65F1C747" w14:textId="77777777" w:rsidR="00D80693" w:rsidRPr="004046EE" w:rsidRDefault="00D80693" w:rsidP="00E82F39">
            <w:pPr>
              <w:spacing w:before="120"/>
              <w:rPr>
                <w:b/>
                <w:sz w:val="24"/>
                <w:szCs w:val="24"/>
              </w:rPr>
            </w:pPr>
            <w:r w:rsidRPr="004046EE">
              <w:rPr>
                <w:b/>
                <w:sz w:val="24"/>
                <w:szCs w:val="24"/>
              </w:rPr>
              <w:t xml:space="preserve">Les principes d’élaboration  </w:t>
            </w:r>
          </w:p>
        </w:tc>
        <w:tc>
          <w:tcPr>
            <w:tcW w:w="6095" w:type="dxa"/>
            <w:shd w:val="clear" w:color="auto" w:fill="00B0F0"/>
          </w:tcPr>
          <w:p w14:paraId="0776E09D" w14:textId="77777777" w:rsidR="00D80693" w:rsidRPr="004046EE" w:rsidRDefault="00D80693" w:rsidP="00E82F39">
            <w:pPr>
              <w:spacing w:before="120"/>
              <w:rPr>
                <w:b/>
                <w:sz w:val="24"/>
                <w:szCs w:val="24"/>
              </w:rPr>
            </w:pPr>
            <w:r w:rsidRPr="004046EE">
              <w:rPr>
                <w:b/>
                <w:sz w:val="24"/>
                <w:szCs w:val="24"/>
              </w:rPr>
              <w:t xml:space="preserve">Observation </w:t>
            </w:r>
            <w:proofErr w:type="gramStart"/>
            <w:r w:rsidRPr="004046EE">
              <w:rPr>
                <w:b/>
                <w:sz w:val="24"/>
                <w:szCs w:val="24"/>
              </w:rPr>
              <w:t>des  principes</w:t>
            </w:r>
            <w:proofErr w:type="gramEnd"/>
            <w:r w:rsidRPr="004046EE">
              <w:rPr>
                <w:b/>
                <w:sz w:val="24"/>
                <w:szCs w:val="24"/>
              </w:rPr>
              <w:t xml:space="preserve"> d’élaboration</w:t>
            </w:r>
          </w:p>
        </w:tc>
      </w:tr>
      <w:tr w:rsidR="00D80693" w14:paraId="1AD6C1B3" w14:textId="77777777" w:rsidTr="00026258">
        <w:tc>
          <w:tcPr>
            <w:tcW w:w="2972" w:type="dxa"/>
          </w:tcPr>
          <w:p w14:paraId="171A0B16" w14:textId="77777777" w:rsidR="00D80693" w:rsidRPr="00F866C2" w:rsidRDefault="00D80693" w:rsidP="00E82F39">
            <w:pPr>
              <w:spacing w:before="120"/>
              <w:rPr>
                <w:sz w:val="24"/>
                <w:szCs w:val="24"/>
              </w:rPr>
            </w:pPr>
            <w:r w:rsidRPr="00F866C2">
              <w:rPr>
                <w:sz w:val="24"/>
                <w:szCs w:val="24"/>
              </w:rPr>
              <w:t>L’ordre des questions</w:t>
            </w:r>
          </w:p>
        </w:tc>
        <w:tc>
          <w:tcPr>
            <w:tcW w:w="6095" w:type="dxa"/>
          </w:tcPr>
          <w:p w14:paraId="5D27F7B9" w14:textId="77777777" w:rsidR="00D80693" w:rsidRPr="00F866C2" w:rsidRDefault="00D80693" w:rsidP="00E82F39">
            <w:pPr>
              <w:spacing w:before="120"/>
              <w:rPr>
                <w:sz w:val="24"/>
                <w:szCs w:val="24"/>
              </w:rPr>
            </w:pPr>
            <w:r w:rsidRPr="00F866C2">
              <w:rPr>
                <w:sz w:val="24"/>
                <w:szCs w:val="24"/>
              </w:rPr>
              <w:t>- Questions fermées ou étroites ;</w:t>
            </w:r>
          </w:p>
          <w:p w14:paraId="61575EE7" w14:textId="77777777" w:rsidR="00D80693" w:rsidRPr="00F866C2" w:rsidRDefault="00D80693" w:rsidP="00E82F39">
            <w:pPr>
              <w:spacing w:before="120"/>
              <w:rPr>
                <w:sz w:val="24"/>
                <w:szCs w:val="24"/>
              </w:rPr>
            </w:pPr>
            <w:r w:rsidRPr="00F866C2">
              <w:rPr>
                <w:sz w:val="24"/>
                <w:szCs w:val="24"/>
              </w:rPr>
              <w:t>- Questions ouvertes de production courte ;</w:t>
            </w:r>
          </w:p>
          <w:p w14:paraId="6FE0B6EE" w14:textId="77777777" w:rsidR="00D80693" w:rsidRPr="00F866C2" w:rsidRDefault="00D80693" w:rsidP="00E82F39">
            <w:pPr>
              <w:spacing w:before="120"/>
              <w:rPr>
                <w:sz w:val="24"/>
                <w:szCs w:val="24"/>
              </w:rPr>
            </w:pPr>
            <w:r w:rsidRPr="00F866C2">
              <w:rPr>
                <w:sz w:val="24"/>
                <w:szCs w:val="24"/>
              </w:rPr>
              <w:t>- Questions ouvertes de production longue.</w:t>
            </w:r>
          </w:p>
        </w:tc>
      </w:tr>
      <w:tr w:rsidR="00D80693" w14:paraId="3F3AD2B3" w14:textId="77777777" w:rsidTr="00026258">
        <w:tc>
          <w:tcPr>
            <w:tcW w:w="2972" w:type="dxa"/>
          </w:tcPr>
          <w:p w14:paraId="3BD19F9B" w14:textId="77777777" w:rsidR="00D80693" w:rsidRPr="00F866C2" w:rsidRDefault="00D80693" w:rsidP="00E82F39">
            <w:pPr>
              <w:spacing w:before="120"/>
              <w:rPr>
                <w:sz w:val="24"/>
                <w:szCs w:val="24"/>
              </w:rPr>
            </w:pPr>
            <w:r w:rsidRPr="00F866C2">
              <w:rPr>
                <w:sz w:val="24"/>
                <w:szCs w:val="24"/>
              </w:rPr>
              <w:t>La présentation des questions</w:t>
            </w:r>
          </w:p>
        </w:tc>
        <w:tc>
          <w:tcPr>
            <w:tcW w:w="6095" w:type="dxa"/>
          </w:tcPr>
          <w:p w14:paraId="73E4E442" w14:textId="77777777" w:rsidR="00D80693" w:rsidRPr="00F866C2" w:rsidRDefault="00D80693" w:rsidP="00E82F39">
            <w:pPr>
              <w:spacing w:before="120"/>
              <w:rPr>
                <w:sz w:val="24"/>
                <w:szCs w:val="24"/>
              </w:rPr>
            </w:pPr>
            <w:r w:rsidRPr="00F866C2">
              <w:rPr>
                <w:sz w:val="24"/>
                <w:szCs w:val="24"/>
              </w:rPr>
              <w:t>- Regrouper les questions par catégories ;</w:t>
            </w:r>
          </w:p>
          <w:p w14:paraId="2F15A7D9" w14:textId="77777777" w:rsidR="00D80693" w:rsidRPr="00F866C2" w:rsidRDefault="00D80693" w:rsidP="00E82F39">
            <w:pPr>
              <w:spacing w:before="120"/>
              <w:rPr>
                <w:sz w:val="24"/>
                <w:szCs w:val="24"/>
              </w:rPr>
            </w:pPr>
            <w:r w:rsidRPr="00F866C2">
              <w:rPr>
                <w:sz w:val="24"/>
                <w:szCs w:val="24"/>
              </w:rPr>
              <w:t>- Indiquer les consignes particulières à chaque regroupement ;</w:t>
            </w:r>
          </w:p>
          <w:p w14:paraId="6CD4EAA6" w14:textId="77777777" w:rsidR="00D80693" w:rsidRPr="00F866C2" w:rsidRDefault="00D80693" w:rsidP="00E82F39">
            <w:pPr>
              <w:spacing w:before="120"/>
              <w:rPr>
                <w:sz w:val="24"/>
                <w:szCs w:val="24"/>
              </w:rPr>
            </w:pPr>
            <w:r w:rsidRPr="00F866C2">
              <w:rPr>
                <w:sz w:val="24"/>
                <w:szCs w:val="24"/>
              </w:rPr>
              <w:t>- Commencer par les questions faciles.</w:t>
            </w:r>
          </w:p>
        </w:tc>
      </w:tr>
      <w:tr w:rsidR="00D80693" w14:paraId="040C665B" w14:textId="77777777" w:rsidTr="00026258">
        <w:tc>
          <w:tcPr>
            <w:tcW w:w="2972" w:type="dxa"/>
          </w:tcPr>
          <w:p w14:paraId="4EB1E230" w14:textId="77777777" w:rsidR="00D80693" w:rsidRPr="00F866C2" w:rsidRDefault="00D80693" w:rsidP="00E82F39">
            <w:pPr>
              <w:spacing w:before="120"/>
              <w:rPr>
                <w:sz w:val="24"/>
                <w:szCs w:val="24"/>
              </w:rPr>
            </w:pPr>
            <w:r w:rsidRPr="00F866C2">
              <w:rPr>
                <w:sz w:val="24"/>
                <w:szCs w:val="24"/>
              </w:rPr>
              <w:t>Les critères et la classification d’évaluation</w:t>
            </w:r>
          </w:p>
        </w:tc>
        <w:tc>
          <w:tcPr>
            <w:tcW w:w="6095" w:type="dxa"/>
          </w:tcPr>
          <w:p w14:paraId="193F1804" w14:textId="77777777" w:rsidR="00D80693" w:rsidRPr="00F866C2" w:rsidRDefault="00D80693" w:rsidP="00E82F39">
            <w:pPr>
              <w:spacing w:before="120"/>
              <w:rPr>
                <w:sz w:val="24"/>
                <w:szCs w:val="24"/>
              </w:rPr>
            </w:pPr>
            <w:r w:rsidRPr="00F866C2">
              <w:rPr>
                <w:sz w:val="24"/>
                <w:szCs w:val="24"/>
              </w:rPr>
              <w:t>- Définir les critères d’une bonne réponse ;</w:t>
            </w:r>
          </w:p>
          <w:p w14:paraId="24891D5C" w14:textId="77777777" w:rsidR="00D80693" w:rsidRPr="00F866C2" w:rsidRDefault="00D80693" w:rsidP="00E82F39">
            <w:pPr>
              <w:spacing w:before="120"/>
              <w:rPr>
                <w:sz w:val="24"/>
                <w:szCs w:val="24"/>
              </w:rPr>
            </w:pPr>
            <w:r w:rsidRPr="00F866C2">
              <w:rPr>
                <w:sz w:val="24"/>
                <w:szCs w:val="24"/>
              </w:rPr>
              <w:t>- Décrire les éléments essentiels à retrouver dans chaque réponse ;</w:t>
            </w:r>
          </w:p>
          <w:p w14:paraId="3B3805F9" w14:textId="77777777" w:rsidR="00D80693" w:rsidRPr="00F866C2" w:rsidRDefault="00D80693" w:rsidP="00E82F39">
            <w:pPr>
              <w:spacing w:before="120"/>
              <w:rPr>
                <w:sz w:val="24"/>
                <w:szCs w:val="24"/>
              </w:rPr>
            </w:pPr>
            <w:r w:rsidRPr="00F866C2">
              <w:rPr>
                <w:sz w:val="24"/>
                <w:szCs w:val="24"/>
              </w:rPr>
              <w:t>- Indiquer le nombre de points attribués à chaque question ;</w:t>
            </w:r>
          </w:p>
          <w:p w14:paraId="6F49FA18" w14:textId="77777777" w:rsidR="00D80693" w:rsidRPr="00F866C2" w:rsidRDefault="00D80693" w:rsidP="00E82F39">
            <w:pPr>
              <w:spacing w:before="120"/>
              <w:rPr>
                <w:sz w:val="24"/>
                <w:szCs w:val="24"/>
              </w:rPr>
            </w:pPr>
            <w:r w:rsidRPr="00F866C2">
              <w:rPr>
                <w:sz w:val="24"/>
                <w:szCs w:val="24"/>
              </w:rPr>
              <w:t>-Définir la structurer de la bonne réponse.</w:t>
            </w:r>
          </w:p>
        </w:tc>
      </w:tr>
    </w:tbl>
    <w:p w14:paraId="49D74095" w14:textId="77777777" w:rsidR="00D80693" w:rsidRPr="002D3B10" w:rsidRDefault="00D80693" w:rsidP="00E82F39">
      <w:pPr>
        <w:spacing w:before="120"/>
        <w:jc w:val="both"/>
        <w:rPr>
          <w:i/>
          <w:color w:val="000000"/>
        </w:rPr>
      </w:pPr>
      <w:r w:rsidRPr="002D3B10">
        <w:rPr>
          <w:i/>
        </w:rPr>
        <w:t>Source : Données de recherche</w:t>
      </w:r>
      <w:r>
        <w:rPr>
          <w:i/>
        </w:rPr>
        <w:t xml:space="preserve"> personnelle</w:t>
      </w:r>
    </w:p>
    <w:p w14:paraId="61D5699F" w14:textId="77777777" w:rsidR="00D80693" w:rsidRDefault="00D80693" w:rsidP="00E82F39">
      <w:pPr>
        <w:spacing w:before="120"/>
        <w:jc w:val="both"/>
        <w:rPr>
          <w:sz w:val="24"/>
          <w:szCs w:val="24"/>
        </w:rPr>
      </w:pPr>
      <w:r w:rsidRPr="005A35BD">
        <w:rPr>
          <w:sz w:val="24"/>
          <w:szCs w:val="24"/>
        </w:rPr>
        <w:t xml:space="preserve">Une des caractéristiques d’une bonne évaluation est la transparence. </w:t>
      </w:r>
      <w:r>
        <w:rPr>
          <w:sz w:val="24"/>
          <w:szCs w:val="24"/>
        </w:rPr>
        <w:t xml:space="preserve">Certains </w:t>
      </w:r>
      <w:r w:rsidRPr="005A35BD">
        <w:rPr>
          <w:sz w:val="24"/>
          <w:szCs w:val="24"/>
        </w:rPr>
        <w:t>ense</w:t>
      </w:r>
      <w:r>
        <w:rPr>
          <w:sz w:val="24"/>
          <w:szCs w:val="24"/>
        </w:rPr>
        <w:t xml:space="preserve">ignants cherchent à promouvoir "le </w:t>
      </w:r>
      <w:proofErr w:type="spellStart"/>
      <w:r>
        <w:rPr>
          <w:sz w:val="24"/>
          <w:szCs w:val="24"/>
        </w:rPr>
        <w:t>secretisme</w:t>
      </w:r>
      <w:proofErr w:type="spellEnd"/>
      <w:r>
        <w:rPr>
          <w:sz w:val="24"/>
          <w:szCs w:val="24"/>
        </w:rPr>
        <w:t>"</w:t>
      </w:r>
      <w:r w:rsidRPr="005A35BD">
        <w:rPr>
          <w:sz w:val="24"/>
          <w:szCs w:val="24"/>
        </w:rPr>
        <w:t>, attitude contraire aux principes d’évaluation. Les apprenants ne sont pas informés des enjeux du processus d’évaluati</w:t>
      </w:r>
      <w:r>
        <w:rPr>
          <w:sz w:val="24"/>
          <w:szCs w:val="24"/>
        </w:rPr>
        <w:t>on. Selon Hadji (1997, p. 100), « l</w:t>
      </w:r>
      <w:r w:rsidRPr="005A35BD">
        <w:rPr>
          <w:sz w:val="24"/>
          <w:szCs w:val="24"/>
        </w:rPr>
        <w:t>’évaluation est un acte qui s’inscrit dans un proce</w:t>
      </w:r>
      <w:r>
        <w:rPr>
          <w:sz w:val="24"/>
          <w:szCs w:val="24"/>
        </w:rPr>
        <w:t xml:space="preserve">ssus général de </w:t>
      </w:r>
      <w:proofErr w:type="gramStart"/>
      <w:r>
        <w:rPr>
          <w:sz w:val="24"/>
          <w:szCs w:val="24"/>
        </w:rPr>
        <w:t>communication»</w:t>
      </w:r>
      <w:proofErr w:type="gramEnd"/>
      <w:r>
        <w:rPr>
          <w:sz w:val="24"/>
          <w:szCs w:val="24"/>
        </w:rPr>
        <w:t>.</w:t>
      </w:r>
      <w:r w:rsidRPr="005A35BD">
        <w:rPr>
          <w:sz w:val="24"/>
          <w:szCs w:val="24"/>
        </w:rPr>
        <w:t xml:space="preserve"> C’est pourquoi, il faut accorder une grande importance au </w:t>
      </w:r>
      <w:r w:rsidRPr="00A71307">
        <w:rPr>
          <w:sz w:val="24"/>
          <w:szCs w:val="24"/>
        </w:rPr>
        <w:t>message de préparation qu’on livre aux apprenants pendant la planification d’évaluation.</w:t>
      </w:r>
      <w:r>
        <w:rPr>
          <w:sz w:val="24"/>
          <w:szCs w:val="24"/>
        </w:rPr>
        <w:t xml:space="preserve"> </w:t>
      </w:r>
      <w:r w:rsidRPr="00A71307">
        <w:rPr>
          <w:sz w:val="24"/>
          <w:szCs w:val="24"/>
        </w:rPr>
        <w:t>Le discours de l’enseignant aux apprenants doit centrer sur les points s</w:t>
      </w:r>
      <w:r>
        <w:rPr>
          <w:sz w:val="24"/>
          <w:szCs w:val="24"/>
        </w:rPr>
        <w:t>uivants.</w:t>
      </w:r>
    </w:p>
    <w:p w14:paraId="5341DC44" w14:textId="77777777" w:rsidR="00D80693" w:rsidRPr="005F13F0" w:rsidRDefault="00D80693" w:rsidP="00E82F39">
      <w:pPr>
        <w:spacing w:before="120"/>
        <w:jc w:val="center"/>
        <w:rPr>
          <w:b/>
          <w:i/>
          <w:sz w:val="24"/>
          <w:szCs w:val="24"/>
        </w:rPr>
      </w:pPr>
      <w:r w:rsidRPr="005F13F0">
        <w:rPr>
          <w:b/>
          <w:i/>
          <w:sz w:val="24"/>
          <w:szCs w:val="24"/>
        </w:rPr>
        <w:t>Schéma des étapes de communication d’évaluation</w:t>
      </w:r>
    </w:p>
    <w:p w14:paraId="20ABFEF0" w14:textId="77777777" w:rsidR="00D80693" w:rsidRPr="005F13F0" w:rsidRDefault="00D80693" w:rsidP="00E82F39">
      <w:pPr>
        <w:pStyle w:val="Paragraphedeliste"/>
        <w:ind w:left="783"/>
        <w:rPr>
          <w:sz w:val="4"/>
          <w:szCs w:val="24"/>
        </w:rPr>
      </w:pPr>
      <w:r w:rsidRPr="00A71307">
        <w:rPr>
          <w:sz w:val="24"/>
          <w:szCs w:val="24"/>
        </w:rPr>
        <w:t xml:space="preserve"> </w:t>
      </w:r>
    </w:p>
    <w:p w14:paraId="015FF5B0" w14:textId="5610D923" w:rsidR="00D80693" w:rsidRDefault="00D80693" w:rsidP="00E82F39">
      <w:pPr>
        <w:spacing w:before="120"/>
        <w:jc w:val="both"/>
        <w:rPr>
          <w:sz w:val="24"/>
          <w:szCs w:val="24"/>
        </w:rPr>
      </w:pPr>
      <w:r>
        <w:rPr>
          <w:rFonts w:eastAsiaTheme="minorHAnsi" w:cstheme="minorBidi"/>
          <w:noProof/>
          <w:sz w:val="24"/>
          <w:szCs w:val="24"/>
          <w:lang w:val="pt-PT" w:eastAsia="pt-PT"/>
        </w:rPr>
        <mc:AlternateContent>
          <mc:Choice Requires="wps">
            <w:drawing>
              <wp:anchor distT="0" distB="0" distL="114300" distR="114300" simplePos="0" relativeHeight="487591424" behindDoc="0" locked="0" layoutInCell="1" allowOverlap="1" wp14:anchorId="274D4B65" wp14:editId="0FC36546">
                <wp:simplePos x="0" y="0"/>
                <wp:positionH relativeFrom="column">
                  <wp:posOffset>1946275</wp:posOffset>
                </wp:positionH>
                <wp:positionV relativeFrom="paragraph">
                  <wp:posOffset>514985</wp:posOffset>
                </wp:positionV>
                <wp:extent cx="643890" cy="413385"/>
                <wp:effectExtent l="8255" t="5715" r="5080" b="9525"/>
                <wp:wrapNone/>
                <wp:docPr id="207120807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4133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17686" id="Rectangle 94" o:spid="_x0000_s1026" style="position:absolute;margin-left:153.25pt;margin-top:40.55pt;width:50.7pt;height:32.5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" strokecolor="white"/>
            </w:pict>
          </mc:Fallback>
        </mc:AlternateContent>
      </w:r>
      <w:r w:rsidRPr="00F866C2">
        <w:rPr>
          <w:noProof/>
          <w:sz w:val="24"/>
          <w:szCs w:val="24"/>
          <w:lang w:val="pt-PT" w:eastAsia="pt-PT"/>
        </w:rPr>
        <w:drawing>
          <wp:inline distT="0" distB="0" distL="0" distR="0" wp14:anchorId="687F8DE6" wp14:editId="0D1F295F">
            <wp:extent cx="6010275" cy="4701540"/>
            <wp:effectExtent l="0" t="0" r="9525" b="22860"/>
            <wp:docPr id="113225147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596112C3" w14:textId="77777777" w:rsidR="00D80693" w:rsidRDefault="00D80693" w:rsidP="00E82F39">
      <w:pPr>
        <w:spacing w:before="120"/>
        <w:jc w:val="both"/>
        <w:rPr>
          <w:sz w:val="24"/>
          <w:szCs w:val="24"/>
        </w:rPr>
      </w:pPr>
      <w:r w:rsidRPr="002D3B10">
        <w:rPr>
          <w:i/>
        </w:rPr>
        <w:t>Source : Données de recherche</w:t>
      </w:r>
      <w:r>
        <w:rPr>
          <w:i/>
        </w:rPr>
        <w:t xml:space="preserve"> personnelle</w:t>
      </w:r>
    </w:p>
    <w:p w14:paraId="7C19BB06" w14:textId="3CEEDBC8" w:rsidR="00D80693" w:rsidRDefault="00D80693" w:rsidP="00E82F39">
      <w:pPr>
        <w:spacing w:before="120"/>
        <w:jc w:val="both"/>
        <w:rPr>
          <w:sz w:val="24"/>
          <w:szCs w:val="24"/>
        </w:rPr>
      </w:pPr>
      <w:r>
        <w:rPr>
          <w:sz w:val="24"/>
          <w:szCs w:val="24"/>
        </w:rPr>
        <w:t xml:space="preserve">Le schéma des étapes de communication d’évaluation présente des informations que l’apprenant doit savoir pour une évaluation transparente. Tout part de l’établissement du cadre pratique (moment et lieu), avant de définir l’objet de l’évaluation (objectifs d’apprentissage et éléments </w:t>
      </w:r>
      <w:r w:rsidR="00E82F39">
        <w:rPr>
          <w:sz w:val="24"/>
          <w:szCs w:val="24"/>
        </w:rPr>
        <w:t>de contenus</w:t>
      </w:r>
      <w:r>
        <w:rPr>
          <w:sz w:val="24"/>
          <w:szCs w:val="24"/>
        </w:rPr>
        <w:t xml:space="preserve"> d’évaluation). Ensuite vient la méthodologie de l’épreuve en détaillant d’abord les types de questions, puis les critères précis qui faciliteront l’appréciation des réponses. Enfin, le processus se clôture par la gestion du temps alloué et du matériel nécessaire pour aboutir au règlement de conduite régissant un déroulement juste et ordonné de l’examen.  </w:t>
      </w:r>
    </w:p>
    <w:p w14:paraId="0228C7F9" w14:textId="77777777" w:rsidR="00D80693" w:rsidRDefault="00D80693" w:rsidP="00E82F39">
      <w:pPr>
        <w:spacing w:before="120"/>
        <w:jc w:val="both"/>
        <w:rPr>
          <w:sz w:val="24"/>
          <w:szCs w:val="24"/>
        </w:rPr>
      </w:pPr>
      <w:r w:rsidRPr="00486222">
        <w:rPr>
          <w:sz w:val="24"/>
          <w:szCs w:val="24"/>
        </w:rPr>
        <w:t xml:space="preserve">Pour plus d’objectivité et d’équilibre, un questionnaire doit en principe couvrir toute la matière étudiée, ou du moins la plus grande partie de cette matière. Il doit donc comporter des questions faciles, moyennes et difficiles pour que tous les apprenants s’y retrouvent.  En définitive, concevoir, élaborer, présenter et administrer les questions sont autant de techniques que doit maîtriser un enseignant, ou autant de compétences qu’il doit acquérir. </w:t>
      </w:r>
    </w:p>
    <w:p w14:paraId="304F6665" w14:textId="77777777" w:rsidR="00D80693" w:rsidRPr="007A1BF1" w:rsidRDefault="00D80693" w:rsidP="00E82F39">
      <w:pPr>
        <w:pStyle w:val="Paragraphedeliste"/>
        <w:widowControl/>
        <w:numPr>
          <w:ilvl w:val="0"/>
          <w:numId w:val="184"/>
        </w:numPr>
        <w:autoSpaceDE/>
        <w:autoSpaceDN/>
        <w:rPr>
          <w:b/>
          <w:sz w:val="28"/>
          <w:szCs w:val="28"/>
        </w:rPr>
      </w:pPr>
      <w:r>
        <w:rPr>
          <w:b/>
          <w:sz w:val="28"/>
          <w:szCs w:val="28"/>
        </w:rPr>
        <w:t>Enquête et d</w:t>
      </w:r>
      <w:r w:rsidRPr="007A1BF1">
        <w:rPr>
          <w:b/>
          <w:sz w:val="28"/>
          <w:szCs w:val="28"/>
        </w:rPr>
        <w:t>iscussions des résultats obtenus</w:t>
      </w:r>
    </w:p>
    <w:p w14:paraId="3FC3B2D3" w14:textId="77777777" w:rsidR="00D80693" w:rsidRDefault="00D80693" w:rsidP="00E82F39">
      <w:pPr>
        <w:spacing w:before="120"/>
        <w:jc w:val="both"/>
        <w:rPr>
          <w:sz w:val="24"/>
          <w:szCs w:val="24"/>
        </w:rPr>
      </w:pPr>
      <w:r>
        <w:rPr>
          <w:color w:val="000000"/>
          <w:sz w:val="24"/>
          <w:szCs w:val="24"/>
        </w:rPr>
        <w:t>N</w:t>
      </w:r>
      <w:r w:rsidRPr="009568BA">
        <w:rPr>
          <w:color w:val="000000"/>
          <w:sz w:val="24"/>
          <w:szCs w:val="24"/>
        </w:rPr>
        <w:t xml:space="preserve">otre enquête réalisée à </w:t>
      </w:r>
      <w:proofErr w:type="spellStart"/>
      <w:r w:rsidRPr="009568BA">
        <w:rPr>
          <w:color w:val="000000"/>
          <w:sz w:val="24"/>
          <w:szCs w:val="24"/>
        </w:rPr>
        <w:t>Ndalatando</w:t>
      </w:r>
      <w:proofErr w:type="spellEnd"/>
      <w:r w:rsidRPr="009568BA">
        <w:rPr>
          <w:color w:val="000000"/>
          <w:sz w:val="24"/>
          <w:szCs w:val="24"/>
        </w:rPr>
        <w:t xml:space="preserve">, capitale de la Province de Cuanza-Norte </w:t>
      </w:r>
      <w:r>
        <w:rPr>
          <w:color w:val="000000"/>
          <w:sz w:val="24"/>
          <w:szCs w:val="24"/>
        </w:rPr>
        <w:t xml:space="preserve">en </w:t>
      </w:r>
      <w:r w:rsidRPr="00486541">
        <w:rPr>
          <w:sz w:val="24"/>
          <w:szCs w:val="24"/>
        </w:rPr>
        <w:t>République d’Angola</w:t>
      </w:r>
      <w:r>
        <w:rPr>
          <w:sz w:val="24"/>
          <w:szCs w:val="24"/>
        </w:rPr>
        <w:t>,</w:t>
      </w:r>
      <w:r>
        <w:rPr>
          <w:color w:val="000000"/>
          <w:sz w:val="24"/>
          <w:szCs w:val="24"/>
        </w:rPr>
        <w:t xml:space="preserve"> a consisté</w:t>
      </w:r>
      <w:r w:rsidRPr="009568BA">
        <w:rPr>
          <w:color w:val="000000"/>
          <w:sz w:val="24"/>
          <w:szCs w:val="24"/>
        </w:rPr>
        <w:t xml:space="preserve"> à analyser les questionnaires d’examens trimestriels de français langue étrangère soumis aux apprenants du second cycle du secondaire.</w:t>
      </w:r>
      <w:r>
        <w:rPr>
          <w:color w:val="000000"/>
          <w:sz w:val="24"/>
          <w:szCs w:val="24"/>
        </w:rPr>
        <w:t xml:space="preserve"> </w:t>
      </w:r>
      <w:r>
        <w:rPr>
          <w:spacing w:val="4"/>
          <w:sz w:val="24"/>
          <w:szCs w:val="24"/>
        </w:rPr>
        <w:t>Pour ce faire</w:t>
      </w:r>
      <w:r w:rsidRPr="00486541">
        <w:rPr>
          <w:spacing w:val="4"/>
          <w:sz w:val="24"/>
          <w:szCs w:val="24"/>
        </w:rPr>
        <w:t xml:space="preserve">, nous avons </w:t>
      </w:r>
      <w:r w:rsidRPr="00486541">
        <w:rPr>
          <w:sz w:val="24"/>
          <w:szCs w:val="24"/>
        </w:rPr>
        <w:t>recueilli des enseignants d</w:t>
      </w:r>
      <w:r>
        <w:rPr>
          <w:sz w:val="24"/>
          <w:szCs w:val="24"/>
        </w:rPr>
        <w:t>ouze (12)</w:t>
      </w:r>
      <w:r w:rsidRPr="00486541">
        <w:rPr>
          <w:sz w:val="24"/>
          <w:szCs w:val="24"/>
        </w:rPr>
        <w:t xml:space="preserve"> questionnaires d’examens trimestriels de f</w:t>
      </w:r>
      <w:r>
        <w:rPr>
          <w:sz w:val="24"/>
          <w:szCs w:val="24"/>
        </w:rPr>
        <w:t>rançais de l’année scolaire 2024 à 2025</w:t>
      </w:r>
      <w:r w:rsidRPr="00486541">
        <w:rPr>
          <w:sz w:val="24"/>
          <w:szCs w:val="24"/>
        </w:rPr>
        <w:t>, appliqués aux élèves du niveau des classes de 10</w:t>
      </w:r>
      <w:r w:rsidRPr="00486541">
        <w:rPr>
          <w:sz w:val="24"/>
          <w:szCs w:val="24"/>
          <w:vertAlign w:val="superscript"/>
        </w:rPr>
        <w:t>ème</w:t>
      </w:r>
      <w:r w:rsidRPr="00486541">
        <w:rPr>
          <w:sz w:val="24"/>
          <w:szCs w:val="24"/>
        </w:rPr>
        <w:t>, 11</w:t>
      </w:r>
      <w:r w:rsidRPr="00486541">
        <w:rPr>
          <w:sz w:val="24"/>
          <w:szCs w:val="24"/>
          <w:vertAlign w:val="superscript"/>
        </w:rPr>
        <w:t>ème</w:t>
      </w:r>
      <w:r w:rsidRPr="00486541">
        <w:rPr>
          <w:sz w:val="24"/>
          <w:szCs w:val="24"/>
        </w:rPr>
        <w:t xml:space="preserve"> et 12</w:t>
      </w:r>
      <w:r w:rsidRPr="00486541">
        <w:rPr>
          <w:sz w:val="24"/>
          <w:szCs w:val="24"/>
          <w:vertAlign w:val="superscript"/>
        </w:rPr>
        <w:t>ème</w:t>
      </w:r>
      <w:r w:rsidRPr="00486541">
        <w:rPr>
          <w:sz w:val="24"/>
          <w:szCs w:val="24"/>
        </w:rPr>
        <w:t>.</w:t>
      </w:r>
      <w:r>
        <w:rPr>
          <w:sz w:val="24"/>
          <w:szCs w:val="24"/>
        </w:rPr>
        <w:t xml:space="preserve"> Cela étant, la méthode est documentaire. </w:t>
      </w:r>
    </w:p>
    <w:p w14:paraId="51B016CD" w14:textId="77777777" w:rsidR="00D80693" w:rsidRPr="00EE6AE8" w:rsidRDefault="00D80693" w:rsidP="00E82F39">
      <w:pPr>
        <w:spacing w:before="120"/>
        <w:jc w:val="both"/>
        <w:rPr>
          <w:color w:val="000000"/>
          <w:sz w:val="12"/>
          <w:szCs w:val="24"/>
        </w:rPr>
      </w:pPr>
    </w:p>
    <w:p w14:paraId="01B020DD" w14:textId="77777777" w:rsidR="00D80693" w:rsidRPr="00486541" w:rsidRDefault="00D80693" w:rsidP="00E82F39">
      <w:pPr>
        <w:spacing w:before="120"/>
        <w:jc w:val="both"/>
        <w:rPr>
          <w:sz w:val="24"/>
          <w:szCs w:val="24"/>
        </w:rPr>
      </w:pPr>
      <w:r w:rsidRPr="00486541">
        <w:rPr>
          <w:sz w:val="24"/>
          <w:szCs w:val="24"/>
        </w:rPr>
        <w:t xml:space="preserve">Sous ce point, nous </w:t>
      </w:r>
      <w:r>
        <w:rPr>
          <w:sz w:val="24"/>
          <w:szCs w:val="24"/>
        </w:rPr>
        <w:t xml:space="preserve">allons discuter </w:t>
      </w:r>
      <w:r w:rsidRPr="00486541">
        <w:rPr>
          <w:sz w:val="24"/>
          <w:szCs w:val="24"/>
        </w:rPr>
        <w:t>la conception, élaboration, organisation et administration des question</w:t>
      </w:r>
      <w:r>
        <w:rPr>
          <w:sz w:val="24"/>
          <w:szCs w:val="24"/>
        </w:rPr>
        <w:t>naires</w:t>
      </w:r>
      <w:r w:rsidRPr="00486541">
        <w:rPr>
          <w:sz w:val="24"/>
          <w:szCs w:val="24"/>
        </w:rPr>
        <w:t xml:space="preserve"> d’évaluation des acquis de formation des apprenants angolais dans l’apprentissage du français langue étrangère.</w:t>
      </w:r>
      <w:r>
        <w:rPr>
          <w:sz w:val="24"/>
          <w:szCs w:val="24"/>
        </w:rPr>
        <w:t xml:space="preserve"> Ceux-ci </w:t>
      </w:r>
      <w:proofErr w:type="spellStart"/>
      <w:r>
        <w:rPr>
          <w:sz w:val="24"/>
          <w:szCs w:val="24"/>
        </w:rPr>
        <w:t>son</w:t>
      </w:r>
      <w:proofErr w:type="spellEnd"/>
      <w:r>
        <w:rPr>
          <w:sz w:val="24"/>
          <w:szCs w:val="24"/>
        </w:rPr>
        <w:t xml:space="preserve"> regroupés par classe pour une lecture compréhensible des résultats obtenus. </w:t>
      </w:r>
    </w:p>
    <w:p w14:paraId="03C0CBE1" w14:textId="77777777" w:rsidR="00D80693" w:rsidRDefault="00D80693" w:rsidP="00E82F39">
      <w:pPr>
        <w:spacing w:before="120"/>
        <w:jc w:val="both"/>
        <w:rPr>
          <w:color w:val="000000"/>
          <w:sz w:val="24"/>
          <w:szCs w:val="24"/>
        </w:rPr>
      </w:pPr>
      <w:r w:rsidRPr="00824A90">
        <w:rPr>
          <w:color w:val="000000"/>
          <w:sz w:val="24"/>
          <w:szCs w:val="24"/>
        </w:rPr>
        <w:t xml:space="preserve">La classification et l’analyse de ces questions vont nous montrer à quel niveau intellectuel se situent les questions posées par lesdits enseignants. La fréquence générale des questions réunies par </w:t>
      </w:r>
      <w:r>
        <w:rPr>
          <w:color w:val="000000"/>
          <w:sz w:val="24"/>
          <w:szCs w:val="24"/>
        </w:rPr>
        <w:t xml:space="preserve">catégories </w:t>
      </w:r>
      <w:r w:rsidRPr="00824A90">
        <w:rPr>
          <w:color w:val="000000"/>
          <w:sz w:val="24"/>
          <w:szCs w:val="24"/>
        </w:rPr>
        <w:t xml:space="preserve">permet d’apprécier le degré de </w:t>
      </w:r>
      <w:r>
        <w:rPr>
          <w:color w:val="000000"/>
          <w:sz w:val="24"/>
          <w:szCs w:val="24"/>
        </w:rPr>
        <w:t xml:space="preserve">la liberté </w:t>
      </w:r>
      <w:r w:rsidRPr="00824A90">
        <w:rPr>
          <w:color w:val="000000"/>
          <w:sz w:val="24"/>
          <w:szCs w:val="24"/>
        </w:rPr>
        <w:t>fonctionnement mental sollicité généralement par les évaluateurs.</w:t>
      </w:r>
      <w:r>
        <w:rPr>
          <w:color w:val="000000"/>
          <w:sz w:val="24"/>
          <w:szCs w:val="24"/>
        </w:rPr>
        <w:t xml:space="preserve"> Pour c</w:t>
      </w:r>
      <w:r w:rsidRPr="00824A90">
        <w:rPr>
          <w:color w:val="000000"/>
          <w:sz w:val="24"/>
          <w:szCs w:val="24"/>
        </w:rPr>
        <w:t>haque questionnaire</w:t>
      </w:r>
      <w:r>
        <w:rPr>
          <w:color w:val="000000"/>
          <w:sz w:val="24"/>
          <w:szCs w:val="24"/>
        </w:rPr>
        <w:t xml:space="preserve">, </w:t>
      </w:r>
      <w:r w:rsidRPr="00824A90">
        <w:rPr>
          <w:color w:val="000000"/>
          <w:sz w:val="24"/>
          <w:szCs w:val="24"/>
        </w:rPr>
        <w:t xml:space="preserve">un constat et </w:t>
      </w:r>
      <w:r>
        <w:rPr>
          <w:color w:val="000000"/>
          <w:sz w:val="24"/>
          <w:szCs w:val="24"/>
        </w:rPr>
        <w:t xml:space="preserve">un commentaire seront donnés. </w:t>
      </w:r>
    </w:p>
    <w:p w14:paraId="5C8C578A" w14:textId="77777777" w:rsidR="00D80693" w:rsidRPr="001A3342" w:rsidRDefault="00D80693" w:rsidP="00E82F39">
      <w:pPr>
        <w:pStyle w:val="Paragraphedeliste"/>
        <w:widowControl/>
        <w:numPr>
          <w:ilvl w:val="1"/>
          <w:numId w:val="184"/>
        </w:numPr>
        <w:autoSpaceDE/>
        <w:autoSpaceDN/>
        <w:rPr>
          <w:b/>
          <w:color w:val="000000"/>
          <w:sz w:val="24"/>
          <w:szCs w:val="24"/>
        </w:rPr>
      </w:pPr>
      <w:r w:rsidRPr="001A3342">
        <w:rPr>
          <w:b/>
          <w:color w:val="000000"/>
          <w:sz w:val="24"/>
          <w:szCs w:val="24"/>
        </w:rPr>
        <w:t xml:space="preserve">Analyse des questionnaires d’examen de français </w:t>
      </w:r>
    </w:p>
    <w:p w14:paraId="0F072E5D" w14:textId="77777777" w:rsidR="00D80693" w:rsidRPr="003451FF" w:rsidRDefault="00D80693" w:rsidP="00E82F39">
      <w:pPr>
        <w:spacing w:before="120"/>
        <w:jc w:val="both"/>
        <w:rPr>
          <w:b/>
          <w:color w:val="000000"/>
          <w:sz w:val="4"/>
          <w:szCs w:val="24"/>
        </w:rPr>
      </w:pPr>
    </w:p>
    <w:p w14:paraId="218A6879" w14:textId="77777777" w:rsidR="00D80693" w:rsidRPr="0080111A" w:rsidRDefault="00D80693" w:rsidP="00E82F39">
      <w:pPr>
        <w:spacing w:before="120"/>
        <w:ind w:left="1701"/>
        <w:jc w:val="both"/>
        <w:rPr>
          <w:rFonts w:ascii="Footlight MT Light" w:hAnsi="Footlight MT Light"/>
          <w:b/>
          <w:color w:val="000000"/>
          <w:sz w:val="2"/>
          <w:szCs w:val="28"/>
        </w:rPr>
      </w:pPr>
    </w:p>
    <w:p w14:paraId="55D6B6C2" w14:textId="77777777" w:rsidR="00D80693" w:rsidRPr="00CB7A1E" w:rsidRDefault="00D80693" w:rsidP="00E82F39">
      <w:pPr>
        <w:spacing w:before="120"/>
        <w:jc w:val="center"/>
        <w:rPr>
          <w:b/>
          <w:i/>
          <w:color w:val="000000"/>
          <w:vertAlign w:val="superscript"/>
        </w:rPr>
      </w:pPr>
      <w:r w:rsidRPr="00CB7A1E">
        <w:rPr>
          <w:b/>
          <w:i/>
          <w:color w:val="000000"/>
        </w:rPr>
        <w:t xml:space="preserve">Tableau n° </w:t>
      </w:r>
      <w:r w:rsidRPr="00C838E3">
        <w:rPr>
          <w:b/>
          <w:i/>
        </w:rPr>
        <w:t>06</w:t>
      </w:r>
      <w:r w:rsidRPr="00CB7A1E">
        <w:rPr>
          <w:b/>
          <w:i/>
          <w:color w:val="000000"/>
        </w:rPr>
        <w:t> : Questionnaire de la classe de 10</w:t>
      </w:r>
      <w:r w:rsidRPr="00CB7A1E">
        <w:rPr>
          <w:b/>
          <w:i/>
          <w:color w:val="000000"/>
          <w:vertAlign w:val="superscript"/>
        </w:rPr>
        <w:t>ème</w:t>
      </w:r>
    </w:p>
    <w:tbl>
      <w:tblPr>
        <w:tblStyle w:val="TableGrid10"/>
        <w:tblW w:w="0" w:type="auto"/>
        <w:tblLook w:val="04A0" w:firstRow="1" w:lastRow="0" w:firstColumn="1" w:lastColumn="0" w:noHBand="0" w:noVBand="1"/>
      </w:tblPr>
      <w:tblGrid>
        <w:gridCol w:w="2122"/>
        <w:gridCol w:w="6938"/>
      </w:tblGrid>
      <w:tr w:rsidR="00D80693" w14:paraId="7F9BEB4D" w14:textId="77777777" w:rsidTr="00026258">
        <w:tc>
          <w:tcPr>
            <w:tcW w:w="2122" w:type="dxa"/>
            <w:shd w:val="clear" w:color="auto" w:fill="00B0F0"/>
          </w:tcPr>
          <w:p w14:paraId="292E1149" w14:textId="77777777" w:rsidR="00D80693" w:rsidRPr="00AC18D2" w:rsidRDefault="00D80693" w:rsidP="00E82F39">
            <w:pPr>
              <w:spacing w:before="120"/>
              <w:jc w:val="both"/>
              <w:rPr>
                <w:b/>
                <w:color w:val="000000"/>
                <w:sz w:val="24"/>
                <w:szCs w:val="24"/>
              </w:rPr>
            </w:pPr>
            <w:r w:rsidRPr="00AC18D2">
              <w:rPr>
                <w:b/>
                <w:color w:val="000000"/>
                <w:sz w:val="24"/>
                <w:szCs w:val="24"/>
              </w:rPr>
              <w:t>Types de questions</w:t>
            </w:r>
          </w:p>
        </w:tc>
        <w:tc>
          <w:tcPr>
            <w:tcW w:w="6938" w:type="dxa"/>
            <w:shd w:val="clear" w:color="auto" w:fill="00B0F0"/>
          </w:tcPr>
          <w:p w14:paraId="6759EB11" w14:textId="77777777" w:rsidR="00D80693" w:rsidRPr="00AC18D2" w:rsidRDefault="00D80693" w:rsidP="00E82F39">
            <w:pPr>
              <w:spacing w:before="120"/>
              <w:jc w:val="both"/>
              <w:rPr>
                <w:b/>
                <w:color w:val="000000"/>
                <w:sz w:val="24"/>
                <w:szCs w:val="24"/>
              </w:rPr>
            </w:pPr>
            <w:r w:rsidRPr="00AC18D2">
              <w:rPr>
                <w:b/>
                <w:color w:val="000000"/>
                <w:sz w:val="24"/>
                <w:szCs w:val="24"/>
              </w:rPr>
              <w:t>Questions posées</w:t>
            </w:r>
          </w:p>
        </w:tc>
      </w:tr>
      <w:tr w:rsidR="00D80693" w14:paraId="59693BEF" w14:textId="77777777" w:rsidTr="00026258">
        <w:tc>
          <w:tcPr>
            <w:tcW w:w="2122" w:type="dxa"/>
          </w:tcPr>
          <w:p w14:paraId="1B9EDA0B" w14:textId="77777777" w:rsidR="00D80693" w:rsidRPr="002F00BF" w:rsidRDefault="00D80693" w:rsidP="00E82F39">
            <w:pPr>
              <w:spacing w:before="120"/>
              <w:jc w:val="both"/>
              <w:rPr>
                <w:color w:val="000000"/>
                <w:sz w:val="24"/>
                <w:szCs w:val="24"/>
              </w:rPr>
            </w:pPr>
            <w:r>
              <w:rPr>
                <w:color w:val="000000"/>
                <w:sz w:val="24"/>
                <w:szCs w:val="24"/>
              </w:rPr>
              <w:t>Questions fermées</w:t>
            </w:r>
          </w:p>
        </w:tc>
        <w:tc>
          <w:tcPr>
            <w:tcW w:w="6938" w:type="dxa"/>
          </w:tcPr>
          <w:p w14:paraId="381F8F38" w14:textId="77777777" w:rsidR="00D80693" w:rsidRPr="0080111A" w:rsidRDefault="00D80693" w:rsidP="00E82F39">
            <w:pPr>
              <w:spacing w:before="120"/>
              <w:jc w:val="both"/>
              <w:rPr>
                <w:color w:val="000000"/>
                <w:sz w:val="24"/>
                <w:szCs w:val="24"/>
              </w:rPr>
            </w:pPr>
            <w:r>
              <w:rPr>
                <w:color w:val="000000"/>
                <w:sz w:val="24"/>
                <w:szCs w:val="24"/>
              </w:rPr>
              <w:t xml:space="preserve">- </w:t>
            </w:r>
            <w:r w:rsidRPr="0080111A">
              <w:rPr>
                <w:color w:val="000000"/>
                <w:sz w:val="24"/>
                <w:szCs w:val="24"/>
              </w:rPr>
              <w:t>Quels types d’élè</w:t>
            </w:r>
            <w:r>
              <w:rPr>
                <w:color w:val="000000"/>
                <w:sz w:val="24"/>
                <w:szCs w:val="24"/>
              </w:rPr>
              <w:t xml:space="preserve">ves, y a-t-il dans la classe ? </w:t>
            </w:r>
          </w:p>
          <w:p w14:paraId="2DC62C2A" w14:textId="77777777" w:rsidR="00D80693" w:rsidRPr="0080111A" w:rsidRDefault="00D80693" w:rsidP="00E82F39">
            <w:pPr>
              <w:spacing w:before="120"/>
              <w:jc w:val="both"/>
              <w:rPr>
                <w:color w:val="000000"/>
                <w:sz w:val="24"/>
                <w:szCs w:val="24"/>
              </w:rPr>
            </w:pPr>
            <w:r>
              <w:rPr>
                <w:color w:val="000000"/>
                <w:sz w:val="24"/>
                <w:szCs w:val="24"/>
              </w:rPr>
              <w:t xml:space="preserve">- Qui </w:t>
            </w:r>
            <w:proofErr w:type="gramStart"/>
            <w:r>
              <w:rPr>
                <w:color w:val="000000"/>
                <w:sz w:val="24"/>
                <w:szCs w:val="24"/>
              </w:rPr>
              <w:t xml:space="preserve">est </w:t>
            </w:r>
            <w:r w:rsidRPr="0080111A">
              <w:rPr>
                <w:color w:val="000000"/>
                <w:sz w:val="24"/>
                <w:szCs w:val="24"/>
              </w:rPr>
              <w:t xml:space="preserve"> le</w:t>
            </w:r>
            <w:proofErr w:type="gramEnd"/>
            <w:r w:rsidRPr="0080111A">
              <w:rPr>
                <w:color w:val="000000"/>
                <w:sz w:val="24"/>
                <w:szCs w:val="24"/>
              </w:rPr>
              <w:t xml:space="preserve"> professeur </w:t>
            </w:r>
            <w:r>
              <w:rPr>
                <w:color w:val="000000"/>
                <w:sz w:val="24"/>
                <w:szCs w:val="24"/>
              </w:rPr>
              <w:t xml:space="preserve">de Marie Louise ? </w:t>
            </w:r>
          </w:p>
          <w:p w14:paraId="2699126A" w14:textId="77777777" w:rsidR="00D80693" w:rsidRPr="0080111A" w:rsidRDefault="00D80693" w:rsidP="00E82F39">
            <w:pPr>
              <w:spacing w:before="120"/>
              <w:jc w:val="both"/>
              <w:rPr>
                <w:color w:val="000000"/>
                <w:sz w:val="24"/>
                <w:szCs w:val="24"/>
              </w:rPr>
            </w:pPr>
            <w:r>
              <w:rPr>
                <w:color w:val="000000"/>
                <w:sz w:val="24"/>
                <w:szCs w:val="24"/>
              </w:rPr>
              <w:t xml:space="preserve">- </w:t>
            </w:r>
            <w:r w:rsidRPr="0080111A">
              <w:rPr>
                <w:color w:val="000000"/>
                <w:sz w:val="24"/>
                <w:szCs w:val="24"/>
              </w:rPr>
              <w:t>Qui e</w:t>
            </w:r>
            <w:r>
              <w:rPr>
                <w:color w:val="000000"/>
                <w:sz w:val="24"/>
                <w:szCs w:val="24"/>
              </w:rPr>
              <w:t>st bonne élève entre les deux ?</w:t>
            </w:r>
          </w:p>
          <w:p w14:paraId="5964271A" w14:textId="77777777" w:rsidR="00D80693" w:rsidRPr="0080111A" w:rsidRDefault="00D80693" w:rsidP="00E82F39">
            <w:pPr>
              <w:spacing w:before="120"/>
              <w:jc w:val="both"/>
              <w:rPr>
                <w:color w:val="000000"/>
                <w:sz w:val="24"/>
                <w:szCs w:val="24"/>
              </w:rPr>
            </w:pPr>
            <w:r>
              <w:rPr>
                <w:color w:val="000000"/>
                <w:sz w:val="24"/>
                <w:szCs w:val="24"/>
              </w:rPr>
              <w:t xml:space="preserve">- </w:t>
            </w:r>
            <w:r w:rsidRPr="0080111A">
              <w:rPr>
                <w:color w:val="000000"/>
                <w:sz w:val="24"/>
                <w:szCs w:val="24"/>
              </w:rPr>
              <w:t>Ecris (vrai) V ou (faux) F devant la phrase correcte</w:t>
            </w:r>
            <w:r>
              <w:rPr>
                <w:color w:val="000000"/>
                <w:sz w:val="24"/>
                <w:szCs w:val="24"/>
              </w:rPr>
              <w:t>.</w:t>
            </w:r>
          </w:p>
          <w:p w14:paraId="723CEBEE" w14:textId="77777777" w:rsidR="00D80693" w:rsidRPr="0080111A" w:rsidRDefault="00D80693" w:rsidP="00E82F39">
            <w:pPr>
              <w:spacing w:before="120"/>
              <w:rPr>
                <w:color w:val="000000"/>
                <w:sz w:val="24"/>
                <w:szCs w:val="24"/>
              </w:rPr>
            </w:pPr>
            <w:r>
              <w:rPr>
                <w:color w:val="000000"/>
                <w:sz w:val="24"/>
                <w:szCs w:val="24"/>
              </w:rPr>
              <w:t xml:space="preserve">- Recopiez et </w:t>
            </w:r>
            <w:proofErr w:type="gramStart"/>
            <w:r>
              <w:rPr>
                <w:color w:val="000000"/>
                <w:sz w:val="24"/>
                <w:szCs w:val="24"/>
              </w:rPr>
              <w:t>r</w:t>
            </w:r>
            <w:r w:rsidRPr="0080111A">
              <w:rPr>
                <w:color w:val="000000"/>
                <w:sz w:val="24"/>
                <w:szCs w:val="24"/>
              </w:rPr>
              <w:t>eliez </w:t>
            </w:r>
            <w:r>
              <w:rPr>
                <w:color w:val="000000"/>
                <w:sz w:val="24"/>
                <w:szCs w:val="24"/>
              </w:rPr>
              <w:t xml:space="preserve"> ces</w:t>
            </w:r>
            <w:proofErr w:type="gramEnd"/>
            <w:r>
              <w:rPr>
                <w:color w:val="000000"/>
                <w:sz w:val="24"/>
                <w:szCs w:val="24"/>
              </w:rPr>
              <w:t xml:space="preserve"> mots.</w:t>
            </w:r>
          </w:p>
          <w:p w14:paraId="26340159" w14:textId="77777777" w:rsidR="00D80693" w:rsidRDefault="00D80693" w:rsidP="00E82F39">
            <w:pPr>
              <w:spacing w:before="120"/>
              <w:rPr>
                <w:color w:val="000000"/>
                <w:sz w:val="24"/>
                <w:szCs w:val="24"/>
              </w:rPr>
            </w:pPr>
            <w:r>
              <w:rPr>
                <w:color w:val="000000"/>
                <w:sz w:val="24"/>
                <w:szCs w:val="24"/>
              </w:rPr>
              <w:t xml:space="preserve">- </w:t>
            </w:r>
            <w:r w:rsidRPr="0080111A">
              <w:rPr>
                <w:color w:val="000000"/>
                <w:sz w:val="24"/>
                <w:szCs w:val="24"/>
              </w:rPr>
              <w:t>Complétez les espaces vides avec le</w:t>
            </w:r>
            <w:r>
              <w:rPr>
                <w:color w:val="000000"/>
                <w:sz w:val="24"/>
                <w:szCs w:val="24"/>
              </w:rPr>
              <w:t xml:space="preserve"> verbe </w:t>
            </w:r>
            <w:r w:rsidRPr="00AC18D2">
              <w:rPr>
                <w:b/>
                <w:color w:val="000000"/>
                <w:sz w:val="24"/>
                <w:szCs w:val="24"/>
              </w:rPr>
              <w:t>être</w:t>
            </w:r>
            <w:r>
              <w:rPr>
                <w:color w:val="000000"/>
                <w:sz w:val="24"/>
                <w:szCs w:val="24"/>
              </w:rPr>
              <w:t xml:space="preserve"> ou </w:t>
            </w:r>
            <w:r w:rsidRPr="00AC18D2">
              <w:rPr>
                <w:b/>
                <w:color w:val="000000"/>
                <w:sz w:val="24"/>
                <w:szCs w:val="24"/>
              </w:rPr>
              <w:t>avoir</w:t>
            </w:r>
            <w:r>
              <w:rPr>
                <w:color w:val="000000"/>
                <w:sz w:val="24"/>
                <w:szCs w:val="24"/>
              </w:rPr>
              <w:t xml:space="preserve">. </w:t>
            </w:r>
          </w:p>
          <w:p w14:paraId="34247EC9" w14:textId="77777777" w:rsidR="00D80693" w:rsidRPr="0080111A" w:rsidRDefault="00D80693" w:rsidP="00E82F39">
            <w:pPr>
              <w:spacing w:before="120"/>
              <w:jc w:val="both"/>
              <w:rPr>
                <w:color w:val="000000"/>
                <w:sz w:val="24"/>
                <w:szCs w:val="24"/>
              </w:rPr>
            </w:pPr>
            <w:r w:rsidRPr="0080111A">
              <w:rPr>
                <w:color w:val="000000"/>
                <w:sz w:val="24"/>
                <w:szCs w:val="24"/>
              </w:rPr>
              <w:t>-Quels sont les personnages principaux du texte ?</w:t>
            </w:r>
          </w:p>
          <w:p w14:paraId="7720BB7C" w14:textId="77777777" w:rsidR="00D80693" w:rsidRPr="0080111A" w:rsidRDefault="00D80693" w:rsidP="00E82F39">
            <w:pPr>
              <w:spacing w:before="120"/>
              <w:jc w:val="both"/>
              <w:rPr>
                <w:color w:val="000000"/>
                <w:sz w:val="24"/>
                <w:szCs w:val="24"/>
              </w:rPr>
            </w:pPr>
            <w:r w:rsidRPr="0080111A">
              <w:rPr>
                <w:color w:val="000000"/>
                <w:sz w:val="24"/>
                <w:szCs w:val="24"/>
              </w:rPr>
              <w:t>-Comment est composée la famille de Marie ?</w:t>
            </w:r>
          </w:p>
          <w:p w14:paraId="3DC5756A" w14:textId="77777777" w:rsidR="00D80693" w:rsidRPr="0080111A" w:rsidRDefault="00D80693" w:rsidP="00E82F39">
            <w:pPr>
              <w:spacing w:before="120"/>
              <w:jc w:val="both"/>
              <w:rPr>
                <w:color w:val="000000"/>
                <w:sz w:val="24"/>
                <w:szCs w:val="24"/>
              </w:rPr>
            </w:pPr>
            <w:r w:rsidRPr="0080111A">
              <w:rPr>
                <w:color w:val="000000"/>
                <w:sz w:val="24"/>
                <w:szCs w:val="24"/>
              </w:rPr>
              <w:t>-Qui cuisine chez Paul ?</w:t>
            </w:r>
          </w:p>
          <w:p w14:paraId="5B36369A" w14:textId="77777777" w:rsidR="00D80693" w:rsidRDefault="00D80693" w:rsidP="00E82F39">
            <w:pPr>
              <w:spacing w:before="120"/>
              <w:rPr>
                <w:color w:val="000000"/>
                <w:sz w:val="24"/>
                <w:szCs w:val="24"/>
              </w:rPr>
            </w:pPr>
            <w:r w:rsidRPr="0080111A">
              <w:rPr>
                <w:color w:val="000000"/>
                <w:sz w:val="24"/>
                <w:szCs w:val="24"/>
              </w:rPr>
              <w:t>-Complétez les espaces vides avec les adjectifs possessifs qui conviennent</w:t>
            </w:r>
            <w:r>
              <w:rPr>
                <w:color w:val="000000"/>
                <w:sz w:val="24"/>
                <w:szCs w:val="24"/>
              </w:rPr>
              <w:t>.</w:t>
            </w:r>
          </w:p>
          <w:p w14:paraId="49D99CA5" w14:textId="77777777" w:rsidR="00D80693" w:rsidRPr="0080111A" w:rsidRDefault="00D80693" w:rsidP="00E82F39">
            <w:pPr>
              <w:spacing w:before="120"/>
              <w:jc w:val="both"/>
              <w:rPr>
                <w:color w:val="000000"/>
                <w:sz w:val="24"/>
                <w:szCs w:val="24"/>
              </w:rPr>
            </w:pPr>
            <w:r>
              <w:rPr>
                <w:color w:val="000000"/>
                <w:sz w:val="24"/>
                <w:szCs w:val="24"/>
              </w:rPr>
              <w:t>-</w:t>
            </w:r>
            <w:r w:rsidRPr="0080111A">
              <w:rPr>
                <w:color w:val="000000"/>
                <w:sz w:val="24"/>
                <w:szCs w:val="24"/>
              </w:rPr>
              <w:t>Lisez le texte et remplissez la fiche d’identité de Sylvie Ferlay</w:t>
            </w:r>
            <w:r>
              <w:rPr>
                <w:color w:val="000000"/>
                <w:sz w:val="24"/>
                <w:szCs w:val="24"/>
              </w:rPr>
              <w:t>.</w:t>
            </w:r>
          </w:p>
          <w:p w14:paraId="3C5B3298" w14:textId="77777777" w:rsidR="00D80693" w:rsidRPr="00D80693" w:rsidRDefault="00D80693" w:rsidP="00E82F39">
            <w:pPr>
              <w:spacing w:before="120"/>
              <w:jc w:val="both"/>
              <w:rPr>
                <w:color w:val="000000"/>
                <w:sz w:val="24"/>
                <w:szCs w:val="24"/>
                <w:lang w:val="pt-PT"/>
              </w:rPr>
            </w:pPr>
            <w:r>
              <w:rPr>
                <w:color w:val="000000"/>
                <w:sz w:val="24"/>
                <w:szCs w:val="24"/>
              </w:rPr>
              <w:t>-</w:t>
            </w:r>
            <w:r w:rsidRPr="0080111A">
              <w:rPr>
                <w:color w:val="000000"/>
                <w:sz w:val="24"/>
                <w:szCs w:val="24"/>
              </w:rPr>
              <w:t xml:space="preserve">Conjuguez le verbe </w:t>
            </w:r>
            <w:r w:rsidRPr="008B50BC">
              <w:rPr>
                <w:b/>
                <w:color w:val="000000"/>
                <w:sz w:val="24"/>
                <w:szCs w:val="24"/>
              </w:rPr>
              <w:t>habiter</w:t>
            </w:r>
            <w:r w:rsidRPr="0080111A">
              <w:rPr>
                <w:b/>
                <w:color w:val="000000"/>
                <w:sz w:val="24"/>
                <w:szCs w:val="24"/>
              </w:rPr>
              <w:t xml:space="preserve"> </w:t>
            </w:r>
            <w:r w:rsidRPr="0080111A">
              <w:rPr>
                <w:color w:val="000000"/>
                <w:sz w:val="24"/>
                <w:szCs w:val="24"/>
              </w:rPr>
              <w:t>au temps présent de l’indicatif à la forme affirmative</w:t>
            </w:r>
            <w:r>
              <w:rPr>
                <w:color w:val="000000"/>
                <w:sz w:val="24"/>
                <w:szCs w:val="24"/>
              </w:rPr>
              <w:t>.</w:t>
            </w:r>
            <w:r w:rsidRPr="0056421A">
              <w:rPr>
                <w:color w:val="000000"/>
                <w:sz w:val="24"/>
                <w:szCs w:val="24"/>
              </w:rPr>
              <w:t xml:space="preserve"> </w:t>
            </w:r>
            <w:r w:rsidRPr="00D80693">
              <w:rPr>
                <w:color w:val="000000"/>
                <w:sz w:val="24"/>
                <w:szCs w:val="24"/>
                <w:lang w:val="pt-PT"/>
              </w:rPr>
              <w:t xml:space="preserve">(Conjugue o verbo </w:t>
            </w:r>
            <w:r w:rsidRPr="00D80693">
              <w:rPr>
                <w:b/>
                <w:color w:val="000000"/>
                <w:sz w:val="24"/>
                <w:szCs w:val="24"/>
                <w:lang w:val="pt-PT"/>
              </w:rPr>
              <w:t>Habitar</w:t>
            </w:r>
            <w:r w:rsidRPr="00D80693">
              <w:rPr>
                <w:color w:val="000000"/>
                <w:sz w:val="24"/>
                <w:szCs w:val="24"/>
                <w:lang w:val="pt-PT"/>
              </w:rPr>
              <w:t xml:space="preserve"> no presente do indicativo na forma afirmativa).</w:t>
            </w:r>
          </w:p>
          <w:p w14:paraId="11B0C418" w14:textId="77777777" w:rsidR="00D80693" w:rsidRPr="00D80693" w:rsidRDefault="00D80693" w:rsidP="00E82F39">
            <w:pPr>
              <w:spacing w:before="120"/>
              <w:jc w:val="both"/>
              <w:rPr>
                <w:color w:val="000000"/>
                <w:sz w:val="24"/>
                <w:szCs w:val="24"/>
                <w:lang w:val="pt-PT"/>
              </w:rPr>
            </w:pPr>
            <w:r>
              <w:rPr>
                <w:color w:val="000000"/>
                <w:sz w:val="24"/>
                <w:szCs w:val="24"/>
              </w:rPr>
              <w:t>-</w:t>
            </w:r>
            <w:r w:rsidRPr="0080111A">
              <w:rPr>
                <w:color w:val="000000"/>
                <w:sz w:val="24"/>
                <w:szCs w:val="24"/>
              </w:rPr>
              <w:t xml:space="preserve">Conjuguez le verbe </w:t>
            </w:r>
            <w:r>
              <w:rPr>
                <w:b/>
                <w:color w:val="000000"/>
                <w:sz w:val="24"/>
                <w:szCs w:val="24"/>
              </w:rPr>
              <w:t>être</w:t>
            </w:r>
            <w:r w:rsidRPr="0080111A">
              <w:rPr>
                <w:b/>
                <w:color w:val="000000"/>
                <w:sz w:val="24"/>
                <w:szCs w:val="24"/>
              </w:rPr>
              <w:t xml:space="preserve"> </w:t>
            </w:r>
            <w:r w:rsidRPr="0080111A">
              <w:rPr>
                <w:color w:val="000000"/>
                <w:sz w:val="24"/>
                <w:szCs w:val="24"/>
              </w:rPr>
              <w:t>au temps présent de l’indicatif à la forme négative</w:t>
            </w:r>
            <w:r>
              <w:rPr>
                <w:color w:val="000000"/>
                <w:sz w:val="24"/>
                <w:szCs w:val="24"/>
              </w:rPr>
              <w:t xml:space="preserve">. </w:t>
            </w:r>
            <w:r w:rsidRPr="00D80693">
              <w:rPr>
                <w:color w:val="000000"/>
                <w:sz w:val="24"/>
                <w:szCs w:val="24"/>
                <w:lang w:val="pt-PT"/>
              </w:rPr>
              <w:t xml:space="preserve">(Conjugue o verbo </w:t>
            </w:r>
            <w:r w:rsidRPr="00D80693">
              <w:rPr>
                <w:b/>
                <w:color w:val="000000"/>
                <w:sz w:val="24"/>
                <w:szCs w:val="24"/>
                <w:lang w:val="pt-PT"/>
              </w:rPr>
              <w:t>Ser ou Estar</w:t>
            </w:r>
            <w:r w:rsidRPr="00D80693">
              <w:rPr>
                <w:color w:val="000000"/>
                <w:sz w:val="24"/>
                <w:szCs w:val="24"/>
                <w:lang w:val="pt-PT"/>
              </w:rPr>
              <w:t xml:space="preserve"> no presente do indicativo na forma negativa)</w:t>
            </w:r>
          </w:p>
          <w:p w14:paraId="455F7C26" w14:textId="77777777" w:rsidR="00D80693" w:rsidRPr="008B50BC" w:rsidRDefault="00D80693" w:rsidP="00E82F39">
            <w:pPr>
              <w:spacing w:before="120"/>
              <w:jc w:val="both"/>
              <w:rPr>
                <w:color w:val="000000"/>
                <w:sz w:val="24"/>
                <w:szCs w:val="24"/>
              </w:rPr>
            </w:pPr>
            <w:r>
              <w:rPr>
                <w:color w:val="000000"/>
                <w:sz w:val="24"/>
                <w:szCs w:val="24"/>
              </w:rPr>
              <w:t>-</w:t>
            </w:r>
            <w:r w:rsidRPr="0080111A">
              <w:rPr>
                <w:color w:val="000000"/>
                <w:sz w:val="24"/>
                <w:szCs w:val="24"/>
              </w:rPr>
              <w:t>Reliez les phrases suivantes par une flèche.</w:t>
            </w:r>
          </w:p>
          <w:p w14:paraId="7B2A96D1" w14:textId="77777777" w:rsidR="00D80693" w:rsidRPr="0080111A" w:rsidRDefault="00D80693" w:rsidP="00E82F39">
            <w:pPr>
              <w:spacing w:before="120"/>
              <w:jc w:val="both"/>
              <w:rPr>
                <w:color w:val="000000"/>
                <w:sz w:val="24"/>
                <w:szCs w:val="24"/>
              </w:rPr>
            </w:pPr>
            <w:r>
              <w:rPr>
                <w:b/>
                <w:color w:val="000000"/>
                <w:sz w:val="24"/>
                <w:szCs w:val="24"/>
              </w:rPr>
              <w:t>-</w:t>
            </w:r>
            <w:r w:rsidRPr="0080111A">
              <w:rPr>
                <w:color w:val="000000"/>
                <w:sz w:val="24"/>
                <w:szCs w:val="24"/>
              </w:rPr>
              <w:t xml:space="preserve">Mettez les mots suivants au féminin. </w:t>
            </w:r>
          </w:p>
          <w:p w14:paraId="2BE8C80A" w14:textId="77777777" w:rsidR="00D80693" w:rsidRDefault="00D80693" w:rsidP="00E82F39">
            <w:pPr>
              <w:spacing w:before="120"/>
              <w:jc w:val="both"/>
              <w:rPr>
                <w:color w:val="000000"/>
                <w:sz w:val="24"/>
                <w:szCs w:val="24"/>
              </w:rPr>
            </w:pPr>
            <w:r>
              <w:rPr>
                <w:color w:val="000000"/>
                <w:sz w:val="24"/>
                <w:szCs w:val="24"/>
              </w:rPr>
              <w:t>-</w:t>
            </w:r>
            <w:r w:rsidRPr="0080111A">
              <w:rPr>
                <w:color w:val="000000"/>
                <w:sz w:val="24"/>
                <w:szCs w:val="24"/>
              </w:rPr>
              <w:t>Soulignez tous les adjectifs possessifs qui se trouvent dans ces phrases.</w:t>
            </w:r>
          </w:p>
          <w:p w14:paraId="1C4EE1B4" w14:textId="77777777" w:rsidR="00D80693" w:rsidRPr="0080111A" w:rsidRDefault="00D80693" w:rsidP="00E82F39">
            <w:pPr>
              <w:spacing w:before="120"/>
              <w:jc w:val="both"/>
              <w:rPr>
                <w:color w:val="000000"/>
                <w:sz w:val="24"/>
                <w:szCs w:val="24"/>
              </w:rPr>
            </w:pPr>
            <w:r w:rsidRPr="0080111A">
              <w:rPr>
                <w:color w:val="000000"/>
                <w:sz w:val="24"/>
                <w:szCs w:val="24"/>
              </w:rPr>
              <w:t>- A quel moment du jour, prends-tu ton bain, brosses-tu les dents et peignes-tu les cheveux pour aller à l’école ?</w:t>
            </w:r>
          </w:p>
          <w:p w14:paraId="19358777" w14:textId="77777777" w:rsidR="00D80693" w:rsidRPr="0080111A" w:rsidRDefault="00D80693" w:rsidP="00E82F39">
            <w:pPr>
              <w:spacing w:before="120"/>
              <w:jc w:val="both"/>
              <w:rPr>
                <w:color w:val="000000"/>
                <w:sz w:val="24"/>
                <w:szCs w:val="24"/>
              </w:rPr>
            </w:pPr>
            <w:r w:rsidRPr="0080111A">
              <w:rPr>
                <w:color w:val="000000"/>
                <w:sz w:val="24"/>
                <w:szCs w:val="24"/>
              </w:rPr>
              <w:t xml:space="preserve">- En marchant, qu’est-ce qui nous protège contre </w:t>
            </w:r>
            <w:proofErr w:type="gramStart"/>
            <w:r w:rsidRPr="0080111A">
              <w:rPr>
                <w:color w:val="000000"/>
                <w:sz w:val="24"/>
                <w:szCs w:val="24"/>
              </w:rPr>
              <w:t>le germes</w:t>
            </w:r>
            <w:proofErr w:type="gramEnd"/>
            <w:r w:rsidRPr="0080111A">
              <w:rPr>
                <w:color w:val="000000"/>
                <w:sz w:val="24"/>
                <w:szCs w:val="24"/>
              </w:rPr>
              <w:t xml:space="preserve"> et les microbes ?</w:t>
            </w:r>
          </w:p>
          <w:p w14:paraId="359AA83D" w14:textId="77777777" w:rsidR="00D80693" w:rsidRPr="0080111A" w:rsidRDefault="00D80693" w:rsidP="00E82F39">
            <w:pPr>
              <w:spacing w:before="120"/>
              <w:jc w:val="both"/>
              <w:rPr>
                <w:b/>
                <w:color w:val="000000"/>
                <w:sz w:val="8"/>
                <w:szCs w:val="24"/>
                <w:u w:val="single"/>
              </w:rPr>
            </w:pPr>
            <w:r>
              <w:rPr>
                <w:color w:val="000000"/>
                <w:sz w:val="24"/>
                <w:szCs w:val="24"/>
              </w:rPr>
              <w:t>-</w:t>
            </w:r>
            <w:r w:rsidRPr="0080111A">
              <w:rPr>
                <w:color w:val="000000"/>
                <w:sz w:val="24"/>
                <w:szCs w:val="24"/>
              </w:rPr>
              <w:t xml:space="preserve"> L’eau de la rivière est-elle potable ?   </w:t>
            </w:r>
          </w:p>
          <w:p w14:paraId="0934F4FE" w14:textId="77777777" w:rsidR="00D80693" w:rsidRPr="0080111A" w:rsidRDefault="00D80693" w:rsidP="00E82F39">
            <w:pPr>
              <w:spacing w:before="120"/>
              <w:jc w:val="both"/>
              <w:rPr>
                <w:color w:val="000000"/>
                <w:sz w:val="10"/>
                <w:szCs w:val="24"/>
              </w:rPr>
            </w:pPr>
            <w:r w:rsidRPr="0080111A">
              <w:rPr>
                <w:b/>
                <w:color w:val="000000"/>
                <w:sz w:val="24"/>
                <w:szCs w:val="24"/>
              </w:rPr>
              <w:t xml:space="preserve">- </w:t>
            </w:r>
            <w:r w:rsidRPr="006F36B3">
              <w:rPr>
                <w:color w:val="000000"/>
                <w:sz w:val="24"/>
                <w:szCs w:val="24"/>
              </w:rPr>
              <w:t xml:space="preserve">Conjuguez les verbes entre </w:t>
            </w:r>
            <w:proofErr w:type="gramStart"/>
            <w:r w:rsidRPr="006F36B3">
              <w:rPr>
                <w:color w:val="000000"/>
                <w:sz w:val="24"/>
                <w:szCs w:val="24"/>
              </w:rPr>
              <w:t>( )</w:t>
            </w:r>
            <w:proofErr w:type="gramEnd"/>
            <w:r w:rsidRPr="006F36B3">
              <w:rPr>
                <w:color w:val="000000"/>
                <w:sz w:val="24"/>
                <w:szCs w:val="24"/>
              </w:rPr>
              <w:t xml:space="preserve"> au présent de l’indicatif</w:t>
            </w:r>
            <w:r>
              <w:rPr>
                <w:color w:val="000000"/>
                <w:sz w:val="24"/>
                <w:szCs w:val="24"/>
              </w:rPr>
              <w:t>.</w:t>
            </w:r>
            <w:r w:rsidRPr="0080111A">
              <w:rPr>
                <w:b/>
                <w:color w:val="000000"/>
                <w:sz w:val="24"/>
                <w:szCs w:val="24"/>
              </w:rPr>
              <w:t xml:space="preserve"> </w:t>
            </w:r>
          </w:p>
          <w:p w14:paraId="4FA77D07" w14:textId="77777777" w:rsidR="00D80693" w:rsidRPr="006F36B3" w:rsidRDefault="00D80693" w:rsidP="00E82F39">
            <w:pPr>
              <w:spacing w:before="120"/>
              <w:jc w:val="both"/>
              <w:rPr>
                <w:color w:val="000000"/>
                <w:sz w:val="14"/>
                <w:szCs w:val="24"/>
              </w:rPr>
            </w:pPr>
            <w:r w:rsidRPr="0080111A">
              <w:rPr>
                <w:b/>
                <w:color w:val="000000"/>
                <w:sz w:val="24"/>
                <w:szCs w:val="24"/>
              </w:rPr>
              <w:t xml:space="preserve">- </w:t>
            </w:r>
            <w:r w:rsidRPr="006F36B3">
              <w:rPr>
                <w:color w:val="000000"/>
                <w:sz w:val="24"/>
                <w:szCs w:val="24"/>
              </w:rPr>
              <w:t xml:space="preserve">Mettez au pluriel les mots soulignés. </w:t>
            </w:r>
          </w:p>
          <w:p w14:paraId="67745DB1" w14:textId="77777777" w:rsidR="00D80693" w:rsidRPr="0080111A" w:rsidRDefault="00D80693" w:rsidP="00E82F39">
            <w:pPr>
              <w:spacing w:before="120"/>
              <w:jc w:val="both"/>
              <w:rPr>
                <w:b/>
                <w:color w:val="000000"/>
                <w:sz w:val="24"/>
                <w:szCs w:val="24"/>
              </w:rPr>
            </w:pPr>
            <w:r w:rsidRPr="0080111A">
              <w:rPr>
                <w:b/>
                <w:color w:val="000000"/>
                <w:sz w:val="24"/>
                <w:szCs w:val="24"/>
              </w:rPr>
              <w:t xml:space="preserve">- </w:t>
            </w:r>
            <w:r w:rsidRPr="006F36B3">
              <w:rPr>
                <w:color w:val="000000"/>
                <w:sz w:val="24"/>
                <w:szCs w:val="24"/>
              </w:rPr>
              <w:t>Ecrivez correctement ces mots</w:t>
            </w:r>
            <w:r>
              <w:rPr>
                <w:color w:val="000000"/>
                <w:sz w:val="24"/>
                <w:szCs w:val="24"/>
              </w:rPr>
              <w:t>.</w:t>
            </w:r>
            <w:r>
              <w:rPr>
                <w:b/>
                <w:color w:val="000000"/>
                <w:sz w:val="24"/>
                <w:szCs w:val="24"/>
              </w:rPr>
              <w:t xml:space="preserve"> </w:t>
            </w:r>
          </w:p>
          <w:p w14:paraId="763B3B92" w14:textId="77777777" w:rsidR="00D80693" w:rsidRDefault="00D80693" w:rsidP="00E82F39">
            <w:pPr>
              <w:spacing w:before="120"/>
              <w:jc w:val="both"/>
              <w:rPr>
                <w:b/>
                <w:color w:val="000000"/>
              </w:rPr>
            </w:pPr>
          </w:p>
        </w:tc>
      </w:tr>
      <w:tr w:rsidR="00D80693" w14:paraId="7113C651" w14:textId="77777777" w:rsidTr="00026258">
        <w:tc>
          <w:tcPr>
            <w:tcW w:w="2122" w:type="dxa"/>
          </w:tcPr>
          <w:p w14:paraId="352D2F3E" w14:textId="77777777" w:rsidR="00D80693" w:rsidRPr="002F00BF" w:rsidRDefault="00D80693" w:rsidP="00E82F39">
            <w:pPr>
              <w:spacing w:before="120"/>
              <w:rPr>
                <w:color w:val="000000"/>
                <w:sz w:val="24"/>
                <w:szCs w:val="24"/>
              </w:rPr>
            </w:pPr>
            <w:r>
              <w:rPr>
                <w:color w:val="000000"/>
                <w:sz w:val="24"/>
                <w:szCs w:val="24"/>
              </w:rPr>
              <w:t>Question</w:t>
            </w:r>
            <w:r w:rsidRPr="002F00BF">
              <w:rPr>
                <w:color w:val="000000"/>
                <w:sz w:val="24"/>
                <w:szCs w:val="24"/>
              </w:rPr>
              <w:t xml:space="preserve"> de </w:t>
            </w:r>
            <w:r>
              <w:rPr>
                <w:color w:val="000000"/>
                <w:sz w:val="24"/>
                <w:szCs w:val="24"/>
              </w:rPr>
              <w:t>production courte</w:t>
            </w:r>
          </w:p>
        </w:tc>
        <w:tc>
          <w:tcPr>
            <w:tcW w:w="6938" w:type="dxa"/>
          </w:tcPr>
          <w:p w14:paraId="217A3B30" w14:textId="77777777" w:rsidR="00D80693" w:rsidRDefault="00D80693" w:rsidP="00E82F39">
            <w:pPr>
              <w:spacing w:before="120"/>
              <w:jc w:val="both"/>
              <w:rPr>
                <w:color w:val="000000"/>
                <w:sz w:val="24"/>
                <w:szCs w:val="24"/>
              </w:rPr>
            </w:pPr>
            <w:r w:rsidRPr="0080111A">
              <w:rPr>
                <w:color w:val="000000"/>
                <w:sz w:val="24"/>
                <w:szCs w:val="24"/>
              </w:rPr>
              <w:t>-Donnez un titre au texte ?</w:t>
            </w:r>
          </w:p>
          <w:p w14:paraId="693D55DC" w14:textId="77777777" w:rsidR="00D80693" w:rsidRDefault="00D80693" w:rsidP="00E82F39">
            <w:pPr>
              <w:spacing w:before="120"/>
              <w:jc w:val="both"/>
              <w:rPr>
                <w:b/>
                <w:color w:val="000000"/>
              </w:rPr>
            </w:pPr>
            <w:r>
              <w:rPr>
                <w:color w:val="000000"/>
                <w:sz w:val="24"/>
                <w:szCs w:val="24"/>
              </w:rPr>
              <w:t>-</w:t>
            </w:r>
            <w:r w:rsidRPr="0080111A">
              <w:rPr>
                <w:color w:val="000000"/>
                <w:sz w:val="24"/>
                <w:szCs w:val="24"/>
              </w:rPr>
              <w:t>Pourquoi te laves-tu les mains avant de manger ?</w:t>
            </w:r>
          </w:p>
        </w:tc>
      </w:tr>
      <w:tr w:rsidR="00D80693" w14:paraId="1077B219" w14:textId="77777777" w:rsidTr="00026258">
        <w:tc>
          <w:tcPr>
            <w:tcW w:w="2122" w:type="dxa"/>
          </w:tcPr>
          <w:p w14:paraId="1EABF2C3" w14:textId="77777777" w:rsidR="00D80693" w:rsidRPr="002F00BF" w:rsidRDefault="00D80693" w:rsidP="00E82F39">
            <w:pPr>
              <w:spacing w:before="120"/>
              <w:rPr>
                <w:color w:val="000000"/>
                <w:sz w:val="24"/>
                <w:szCs w:val="24"/>
              </w:rPr>
            </w:pPr>
            <w:r w:rsidRPr="002F00BF">
              <w:rPr>
                <w:color w:val="000000"/>
                <w:sz w:val="24"/>
                <w:szCs w:val="24"/>
              </w:rPr>
              <w:t>Question de</w:t>
            </w:r>
            <w:r>
              <w:rPr>
                <w:color w:val="000000"/>
                <w:sz w:val="24"/>
                <w:szCs w:val="24"/>
              </w:rPr>
              <w:t xml:space="preserve"> production longue </w:t>
            </w:r>
          </w:p>
        </w:tc>
        <w:tc>
          <w:tcPr>
            <w:tcW w:w="6938" w:type="dxa"/>
          </w:tcPr>
          <w:p w14:paraId="458CD484" w14:textId="77777777" w:rsidR="00D80693" w:rsidRPr="0080111A" w:rsidRDefault="00D80693" w:rsidP="00E82F39">
            <w:pPr>
              <w:spacing w:before="120"/>
              <w:rPr>
                <w:color w:val="000000"/>
                <w:sz w:val="24"/>
                <w:szCs w:val="24"/>
              </w:rPr>
            </w:pPr>
            <w:r>
              <w:rPr>
                <w:color w:val="000000"/>
                <w:sz w:val="24"/>
                <w:szCs w:val="24"/>
              </w:rPr>
              <w:t>-</w:t>
            </w:r>
            <w:r w:rsidRPr="0080111A">
              <w:rPr>
                <w:color w:val="000000"/>
                <w:sz w:val="24"/>
                <w:szCs w:val="24"/>
              </w:rPr>
              <w:t xml:space="preserve">Parlez un peu sur la composition de ta famille. </w:t>
            </w:r>
          </w:p>
          <w:p w14:paraId="46C1B634" w14:textId="77777777" w:rsidR="00D80693" w:rsidRDefault="00D80693" w:rsidP="00E82F39">
            <w:pPr>
              <w:spacing w:before="120"/>
              <w:jc w:val="both"/>
              <w:rPr>
                <w:b/>
                <w:color w:val="000000"/>
              </w:rPr>
            </w:pPr>
          </w:p>
        </w:tc>
      </w:tr>
    </w:tbl>
    <w:p w14:paraId="5AF82E51" w14:textId="77777777" w:rsidR="00D80693" w:rsidRDefault="00D80693" w:rsidP="00E82F39">
      <w:pPr>
        <w:spacing w:before="120"/>
        <w:jc w:val="both"/>
        <w:rPr>
          <w:i/>
        </w:rPr>
      </w:pPr>
      <w:r w:rsidRPr="003451FF">
        <w:rPr>
          <w:i/>
        </w:rPr>
        <w:t>Source : Données de recherche</w:t>
      </w:r>
      <w:r>
        <w:rPr>
          <w:i/>
        </w:rPr>
        <w:t xml:space="preserve"> personnelle</w:t>
      </w:r>
    </w:p>
    <w:p w14:paraId="2099943E" w14:textId="77777777" w:rsidR="00D80693" w:rsidRDefault="00D80693" w:rsidP="00E82F39">
      <w:pPr>
        <w:spacing w:before="120"/>
        <w:jc w:val="both"/>
        <w:rPr>
          <w:color w:val="000000"/>
          <w:sz w:val="24"/>
          <w:szCs w:val="24"/>
        </w:rPr>
      </w:pPr>
      <w:r>
        <w:rPr>
          <w:color w:val="000000"/>
          <w:sz w:val="24"/>
          <w:szCs w:val="24"/>
        </w:rPr>
        <w:t>Dans ce tableau</w:t>
      </w:r>
      <w:r w:rsidRPr="00106660">
        <w:rPr>
          <w:color w:val="000000"/>
          <w:sz w:val="24"/>
          <w:szCs w:val="24"/>
        </w:rPr>
        <w:t xml:space="preserve">, nous remarquons que </w:t>
      </w:r>
      <w:r>
        <w:rPr>
          <w:color w:val="000000"/>
          <w:sz w:val="24"/>
          <w:szCs w:val="24"/>
        </w:rPr>
        <w:t>la plupart des</w:t>
      </w:r>
      <w:r w:rsidRPr="00106660">
        <w:rPr>
          <w:color w:val="000000"/>
          <w:sz w:val="24"/>
          <w:szCs w:val="24"/>
        </w:rPr>
        <w:t xml:space="preserve"> questions posées sont étroites ou fermées</w:t>
      </w:r>
      <w:r>
        <w:rPr>
          <w:color w:val="000000"/>
          <w:sz w:val="24"/>
          <w:szCs w:val="24"/>
        </w:rPr>
        <w:t>, limitées au choix des réponses</w:t>
      </w:r>
      <w:r w:rsidRPr="00106660">
        <w:rPr>
          <w:color w:val="000000"/>
          <w:sz w:val="24"/>
          <w:szCs w:val="24"/>
        </w:rPr>
        <w:t>. Elles portent généralement sur des informations ou d</w:t>
      </w:r>
      <w:r>
        <w:rPr>
          <w:color w:val="000000"/>
          <w:sz w:val="24"/>
          <w:szCs w:val="24"/>
        </w:rPr>
        <w:t>es faits annoncés dans le texte</w:t>
      </w:r>
      <w:r w:rsidRPr="00106660">
        <w:rPr>
          <w:color w:val="000000"/>
          <w:sz w:val="24"/>
          <w:szCs w:val="24"/>
        </w:rPr>
        <w:t xml:space="preserve">. A travers ces questions, les réponses attendues ne sont qu’un simple rappel, une simple reproduction ou une restitution de ce qui a déjà été dit, vu ou entendu. Ces questions sont dites « </w:t>
      </w:r>
      <w:proofErr w:type="gramStart"/>
      <w:r w:rsidRPr="00106660">
        <w:rPr>
          <w:color w:val="000000"/>
          <w:sz w:val="24"/>
          <w:szCs w:val="24"/>
        </w:rPr>
        <w:t>contraignantes»</w:t>
      </w:r>
      <w:proofErr w:type="gramEnd"/>
      <w:r w:rsidRPr="00106660">
        <w:rPr>
          <w:color w:val="000000"/>
          <w:sz w:val="24"/>
          <w:szCs w:val="24"/>
        </w:rPr>
        <w:t xml:space="preserve"> parce qu’elles laissent très peu de liberté à l’</w:t>
      </w:r>
      <w:r>
        <w:rPr>
          <w:color w:val="000000"/>
          <w:sz w:val="24"/>
          <w:szCs w:val="24"/>
        </w:rPr>
        <w:t>apprenant</w:t>
      </w:r>
      <w:r w:rsidRPr="00106660">
        <w:rPr>
          <w:color w:val="000000"/>
          <w:sz w:val="24"/>
          <w:szCs w:val="24"/>
        </w:rPr>
        <w:t xml:space="preserve"> de rechercher la réponse valable.</w:t>
      </w:r>
    </w:p>
    <w:p w14:paraId="65722DFF" w14:textId="5869E944" w:rsidR="00D80693" w:rsidRPr="00026258" w:rsidRDefault="00D80693" w:rsidP="00E82F39">
      <w:pPr>
        <w:spacing w:before="120"/>
        <w:jc w:val="both"/>
        <w:rPr>
          <w:color w:val="000000"/>
          <w:sz w:val="24"/>
          <w:szCs w:val="24"/>
        </w:rPr>
      </w:pPr>
      <w:r w:rsidRPr="00106660">
        <w:rPr>
          <w:color w:val="000000"/>
          <w:spacing w:val="-4"/>
          <w:sz w:val="24"/>
          <w:szCs w:val="24"/>
        </w:rPr>
        <w:t>L’enseignant, en élaborant ce questionnaire</w:t>
      </w:r>
      <w:r>
        <w:rPr>
          <w:color w:val="000000"/>
          <w:spacing w:val="-4"/>
          <w:sz w:val="24"/>
          <w:szCs w:val="24"/>
        </w:rPr>
        <w:t xml:space="preserve"> </w:t>
      </w:r>
      <w:r>
        <w:rPr>
          <w:color w:val="000000"/>
          <w:sz w:val="24"/>
          <w:szCs w:val="24"/>
        </w:rPr>
        <w:t>n’aide pas l’apprenant à développer la compétence communicative en français langue étrangère puisque l</w:t>
      </w:r>
      <w:r w:rsidRPr="00106660">
        <w:rPr>
          <w:color w:val="000000"/>
          <w:sz w:val="24"/>
          <w:szCs w:val="24"/>
        </w:rPr>
        <w:t xml:space="preserve">e niveau des questions est resté statique de la première à la dernière question. En plus, ces questions reflètent une certaine monotonie. Même adressées aux </w:t>
      </w:r>
      <w:r>
        <w:rPr>
          <w:color w:val="000000"/>
          <w:sz w:val="24"/>
          <w:szCs w:val="24"/>
        </w:rPr>
        <w:t>apprenants</w:t>
      </w:r>
      <w:r w:rsidRPr="00106660">
        <w:rPr>
          <w:color w:val="000000"/>
          <w:sz w:val="24"/>
          <w:szCs w:val="24"/>
        </w:rPr>
        <w:t xml:space="preserve"> de la classe de 10</w:t>
      </w:r>
      <w:r w:rsidRPr="00106660">
        <w:rPr>
          <w:color w:val="000000"/>
          <w:sz w:val="24"/>
          <w:szCs w:val="24"/>
          <w:vertAlign w:val="superscript"/>
        </w:rPr>
        <w:t>ème</w:t>
      </w:r>
      <w:r w:rsidRPr="00106660">
        <w:rPr>
          <w:color w:val="000000"/>
          <w:sz w:val="24"/>
          <w:szCs w:val="24"/>
        </w:rPr>
        <w:t>, les questions posées sont restées trop ordinaires, sans beaucoup de profondeur, sans grande envergure.</w:t>
      </w:r>
      <w:r>
        <w:rPr>
          <w:color w:val="000000"/>
          <w:sz w:val="24"/>
          <w:szCs w:val="24"/>
        </w:rPr>
        <w:t xml:space="preserve"> </w:t>
      </w:r>
      <w:r w:rsidRPr="00106660">
        <w:rPr>
          <w:color w:val="000000"/>
          <w:sz w:val="24"/>
          <w:szCs w:val="24"/>
        </w:rPr>
        <w:t>L’absence de ces dernières empêche les apprenants de développer leur pensée ou leur jugement beaucoup plus autonome</w:t>
      </w:r>
      <w:r>
        <w:rPr>
          <w:color w:val="000000"/>
          <w:sz w:val="24"/>
          <w:szCs w:val="24"/>
        </w:rPr>
        <w:t xml:space="preserve"> </w:t>
      </w:r>
      <w:r w:rsidRPr="00106660">
        <w:rPr>
          <w:color w:val="000000"/>
          <w:sz w:val="24"/>
          <w:szCs w:val="24"/>
        </w:rPr>
        <w:t xml:space="preserve">pendant que le texte proposé offre assez de possibilités pour faire par exemple des rapprochements des comportements, des caractères en vue d’en tirer éventuellement des spécificités, des traits caractéristiques pleins de renseignements utiles. </w:t>
      </w:r>
      <w:r>
        <w:rPr>
          <w:color w:val="000000"/>
          <w:sz w:val="24"/>
          <w:szCs w:val="24"/>
        </w:rPr>
        <w:t>Cela</w:t>
      </w:r>
      <w:r w:rsidRPr="00106660">
        <w:rPr>
          <w:color w:val="000000"/>
          <w:sz w:val="24"/>
          <w:szCs w:val="24"/>
        </w:rPr>
        <w:t xml:space="preserve"> les</w:t>
      </w:r>
      <w:r>
        <w:rPr>
          <w:color w:val="000000"/>
          <w:sz w:val="24"/>
          <w:szCs w:val="24"/>
        </w:rPr>
        <w:t xml:space="preserve"> </w:t>
      </w:r>
      <w:r w:rsidRPr="00106660">
        <w:rPr>
          <w:color w:val="000000"/>
          <w:sz w:val="24"/>
          <w:szCs w:val="24"/>
        </w:rPr>
        <w:t xml:space="preserve">rendrait </w:t>
      </w:r>
      <w:r>
        <w:rPr>
          <w:color w:val="000000"/>
          <w:sz w:val="24"/>
          <w:szCs w:val="24"/>
        </w:rPr>
        <w:t xml:space="preserve">les apprenants </w:t>
      </w:r>
      <w:r w:rsidRPr="00106660">
        <w:rPr>
          <w:color w:val="000000"/>
          <w:sz w:val="24"/>
          <w:szCs w:val="24"/>
        </w:rPr>
        <w:t>plus dynamiques</w:t>
      </w:r>
      <w:r>
        <w:rPr>
          <w:color w:val="000000"/>
          <w:sz w:val="24"/>
          <w:szCs w:val="24"/>
        </w:rPr>
        <w:t>, plus inventifs, plus créatifs et</w:t>
      </w:r>
      <w:r w:rsidRPr="00106660">
        <w:rPr>
          <w:color w:val="000000"/>
          <w:sz w:val="24"/>
          <w:szCs w:val="24"/>
        </w:rPr>
        <w:t xml:space="preserve"> plus originaux</w:t>
      </w:r>
      <w:r>
        <w:rPr>
          <w:color w:val="000000"/>
          <w:sz w:val="24"/>
          <w:szCs w:val="24"/>
        </w:rPr>
        <w:t>.</w:t>
      </w:r>
    </w:p>
    <w:p w14:paraId="685B8738" w14:textId="77777777" w:rsidR="00D80693" w:rsidRPr="00D9076B" w:rsidRDefault="00D80693" w:rsidP="00E82F39">
      <w:pPr>
        <w:spacing w:before="120"/>
        <w:jc w:val="both"/>
        <w:rPr>
          <w:i/>
          <w:sz w:val="24"/>
          <w:szCs w:val="24"/>
        </w:rPr>
      </w:pPr>
      <w:r w:rsidRPr="00106660">
        <w:rPr>
          <w:color w:val="000000"/>
          <w:sz w:val="24"/>
          <w:szCs w:val="24"/>
        </w:rPr>
        <w:t>En ce qui concerne leur qualité, nous pouvons dire qu</w:t>
      </w:r>
      <w:r>
        <w:rPr>
          <w:color w:val="000000"/>
          <w:sz w:val="24"/>
          <w:szCs w:val="24"/>
        </w:rPr>
        <w:t xml:space="preserve">e la majorité des </w:t>
      </w:r>
      <w:proofErr w:type="gramStart"/>
      <w:r>
        <w:rPr>
          <w:color w:val="000000"/>
          <w:sz w:val="24"/>
          <w:szCs w:val="24"/>
        </w:rPr>
        <w:t xml:space="preserve">questions  </w:t>
      </w:r>
      <w:r w:rsidRPr="00106660">
        <w:rPr>
          <w:color w:val="000000"/>
          <w:sz w:val="24"/>
          <w:szCs w:val="24"/>
        </w:rPr>
        <w:t>sont</w:t>
      </w:r>
      <w:proofErr w:type="gramEnd"/>
      <w:r w:rsidRPr="00106660">
        <w:rPr>
          <w:color w:val="000000"/>
          <w:sz w:val="24"/>
          <w:szCs w:val="24"/>
        </w:rPr>
        <w:t xml:space="preserve"> claires, simples et adaptées. </w:t>
      </w:r>
      <w:r w:rsidRPr="00D9076B">
        <w:rPr>
          <w:sz w:val="24"/>
          <w:szCs w:val="24"/>
        </w:rPr>
        <w:t xml:space="preserve">Elles ne prêtent aucune confusion quant à leur interprétation ou compréhension. </w:t>
      </w:r>
      <w:r>
        <w:rPr>
          <w:sz w:val="24"/>
          <w:szCs w:val="24"/>
        </w:rPr>
        <w:t>I</w:t>
      </w:r>
      <w:r w:rsidRPr="00D9076B">
        <w:rPr>
          <w:sz w:val="24"/>
          <w:szCs w:val="24"/>
        </w:rPr>
        <w:t>l ressort que</w:t>
      </w:r>
      <w:r>
        <w:rPr>
          <w:sz w:val="24"/>
          <w:szCs w:val="24"/>
        </w:rPr>
        <w:t xml:space="preserve"> l</w:t>
      </w:r>
      <w:r w:rsidRPr="00D9076B">
        <w:rPr>
          <w:sz w:val="24"/>
          <w:szCs w:val="24"/>
        </w:rPr>
        <w:t xml:space="preserve">a question « Comment est composée la famille de Marie ? » est un peu ambigüe. Pour plus de clarté, on aurait : Quels sont les membres de la famille de Marie ? Citez les membres de la famille ?   Parlez des activités journalières de chaque membre de la famille. </w:t>
      </w:r>
    </w:p>
    <w:p w14:paraId="59B1A641" w14:textId="4CD675FB" w:rsidR="00D80693" w:rsidRDefault="00D80693" w:rsidP="00E82F39">
      <w:pPr>
        <w:spacing w:before="120"/>
        <w:jc w:val="both"/>
        <w:rPr>
          <w:sz w:val="24"/>
          <w:szCs w:val="24"/>
        </w:rPr>
      </w:pPr>
      <w:r>
        <w:rPr>
          <w:sz w:val="24"/>
          <w:szCs w:val="24"/>
        </w:rPr>
        <w:t xml:space="preserve">Dans certains questionnaires, il y a lieu de signaler que </w:t>
      </w:r>
      <w:r w:rsidRPr="00D9076B">
        <w:rPr>
          <w:sz w:val="24"/>
          <w:szCs w:val="24"/>
        </w:rPr>
        <w:t>l</w:t>
      </w:r>
      <w:r>
        <w:rPr>
          <w:sz w:val="24"/>
          <w:szCs w:val="24"/>
        </w:rPr>
        <w:t>’ordre d</w:t>
      </w:r>
      <w:r w:rsidRPr="00D9076B">
        <w:rPr>
          <w:sz w:val="24"/>
          <w:szCs w:val="24"/>
        </w:rPr>
        <w:t xml:space="preserve">es questions </w:t>
      </w:r>
      <w:r>
        <w:rPr>
          <w:sz w:val="24"/>
          <w:szCs w:val="24"/>
        </w:rPr>
        <w:t xml:space="preserve">n’est pas respecté. </w:t>
      </w:r>
      <w:r w:rsidR="00026258">
        <w:rPr>
          <w:sz w:val="24"/>
          <w:szCs w:val="24"/>
        </w:rPr>
        <w:t>L</w:t>
      </w:r>
      <w:r w:rsidR="00026258" w:rsidRPr="00D9076B">
        <w:rPr>
          <w:sz w:val="24"/>
          <w:szCs w:val="24"/>
        </w:rPr>
        <w:t>’enseignant commence</w:t>
      </w:r>
      <w:r w:rsidRPr="00D9076B">
        <w:rPr>
          <w:sz w:val="24"/>
          <w:szCs w:val="24"/>
        </w:rPr>
        <w:t xml:space="preserve"> par la question de production courte, ensuite sont venues les questions fermées, enfin la question de production longue.</w:t>
      </w:r>
    </w:p>
    <w:p w14:paraId="3E137ECB" w14:textId="77777777" w:rsidR="00D80693" w:rsidRDefault="00D80693" w:rsidP="00E82F39">
      <w:pPr>
        <w:spacing w:before="120"/>
        <w:jc w:val="both"/>
        <w:rPr>
          <w:color w:val="000000"/>
          <w:sz w:val="24"/>
          <w:szCs w:val="24"/>
        </w:rPr>
      </w:pPr>
      <w:r w:rsidRPr="00106660">
        <w:rPr>
          <w:color w:val="000000"/>
          <w:sz w:val="24"/>
          <w:szCs w:val="24"/>
        </w:rPr>
        <w:t xml:space="preserve">Enfin, les questions </w:t>
      </w:r>
      <w:r>
        <w:rPr>
          <w:color w:val="000000"/>
          <w:sz w:val="24"/>
          <w:szCs w:val="24"/>
        </w:rPr>
        <w:t xml:space="preserve">comme « Conjuguez le verbe </w:t>
      </w:r>
      <w:r w:rsidRPr="00E17E42">
        <w:rPr>
          <w:i/>
          <w:color w:val="000000"/>
          <w:sz w:val="24"/>
          <w:szCs w:val="24"/>
        </w:rPr>
        <w:t>habiter</w:t>
      </w:r>
      <w:r>
        <w:rPr>
          <w:color w:val="000000"/>
          <w:sz w:val="24"/>
          <w:szCs w:val="24"/>
        </w:rPr>
        <w:t xml:space="preserve"> et </w:t>
      </w:r>
      <w:r w:rsidRPr="00E17E42">
        <w:rPr>
          <w:i/>
          <w:color w:val="000000"/>
          <w:sz w:val="24"/>
          <w:szCs w:val="24"/>
        </w:rPr>
        <w:t>être</w:t>
      </w:r>
      <w:r>
        <w:rPr>
          <w:color w:val="000000"/>
          <w:sz w:val="24"/>
          <w:szCs w:val="24"/>
        </w:rPr>
        <w:t xml:space="preserve"> au présent de l’indicatif respectivement à la forme affirmative et négative » ne facilitent pas le développement de la compétence communicative. Ces formes verbales ne sont pas utilisées dans des contextes plus explicites et </w:t>
      </w:r>
      <w:r w:rsidRPr="00106660">
        <w:rPr>
          <w:color w:val="000000"/>
          <w:sz w:val="24"/>
          <w:szCs w:val="24"/>
        </w:rPr>
        <w:t>plus adéquats.</w:t>
      </w:r>
      <w:r w:rsidRPr="00BB2025">
        <w:rPr>
          <w:color w:val="000000"/>
          <w:sz w:val="24"/>
          <w:szCs w:val="24"/>
        </w:rPr>
        <w:t xml:space="preserve"> </w:t>
      </w:r>
      <w:r w:rsidRPr="00106660">
        <w:rPr>
          <w:color w:val="000000"/>
          <w:sz w:val="24"/>
          <w:szCs w:val="24"/>
        </w:rPr>
        <w:t xml:space="preserve">En observant ce questionnaire, nous constatons d’une part que l’évaluateur a eu recours à la langue portugaise pour faire comprendre les énoncés. Ce procédé est pédagogiquement interdit dans l’enseignement des langues vivantes. Il ne favorise pas l’épanouissement des acquisitions linguistiques des </w:t>
      </w:r>
      <w:r>
        <w:rPr>
          <w:color w:val="000000"/>
          <w:sz w:val="24"/>
          <w:szCs w:val="24"/>
        </w:rPr>
        <w:t>apprenants</w:t>
      </w:r>
      <w:r w:rsidRPr="00106660">
        <w:rPr>
          <w:color w:val="000000"/>
          <w:sz w:val="24"/>
          <w:szCs w:val="24"/>
        </w:rPr>
        <w:t xml:space="preserve"> dans le processus d’apprentissage d’une langue étrangère. </w:t>
      </w:r>
      <w:r>
        <w:rPr>
          <w:color w:val="000000"/>
          <w:sz w:val="24"/>
          <w:szCs w:val="24"/>
        </w:rPr>
        <w:t xml:space="preserve">Qu’adviendra-t-il si l’apprenant répondait en langue portugaise ? </w:t>
      </w:r>
    </w:p>
    <w:p w14:paraId="0603727C" w14:textId="77777777" w:rsidR="00D80693" w:rsidRDefault="00D80693" w:rsidP="00E82F39">
      <w:pPr>
        <w:spacing w:before="120"/>
        <w:jc w:val="both"/>
        <w:rPr>
          <w:color w:val="000000"/>
          <w:sz w:val="24"/>
          <w:szCs w:val="24"/>
        </w:rPr>
      </w:pPr>
      <w:r>
        <w:rPr>
          <w:color w:val="000000"/>
          <w:sz w:val="24"/>
          <w:szCs w:val="24"/>
        </w:rPr>
        <w:t>En outre</w:t>
      </w:r>
      <w:r w:rsidRPr="00106660">
        <w:rPr>
          <w:color w:val="000000"/>
          <w:sz w:val="24"/>
          <w:szCs w:val="24"/>
        </w:rPr>
        <w:t xml:space="preserve">, </w:t>
      </w:r>
      <w:r>
        <w:rPr>
          <w:color w:val="000000"/>
          <w:sz w:val="24"/>
          <w:szCs w:val="24"/>
        </w:rPr>
        <w:t>il arrive de fois à noter que, dans un questionnaire,</w:t>
      </w:r>
      <w:r w:rsidRPr="00106660">
        <w:rPr>
          <w:color w:val="000000"/>
          <w:sz w:val="24"/>
          <w:szCs w:val="24"/>
        </w:rPr>
        <w:t xml:space="preserve"> le </w:t>
      </w:r>
      <w:r>
        <w:rPr>
          <w:color w:val="000000"/>
          <w:sz w:val="24"/>
          <w:szCs w:val="24"/>
        </w:rPr>
        <w:t>nombre d</w:t>
      </w:r>
      <w:r w:rsidRPr="00106660">
        <w:rPr>
          <w:color w:val="000000"/>
          <w:sz w:val="24"/>
          <w:szCs w:val="24"/>
        </w:rPr>
        <w:t xml:space="preserve">es questions réservé à la conjugaison prédomine sur d’autres aspects. </w:t>
      </w:r>
      <w:r>
        <w:rPr>
          <w:color w:val="000000"/>
          <w:sz w:val="24"/>
          <w:szCs w:val="24"/>
        </w:rPr>
        <w:t>I</w:t>
      </w:r>
      <w:r w:rsidRPr="00106660">
        <w:rPr>
          <w:color w:val="000000"/>
          <w:sz w:val="24"/>
          <w:szCs w:val="24"/>
        </w:rPr>
        <w:t>l</w:t>
      </w:r>
      <w:r>
        <w:rPr>
          <w:color w:val="000000"/>
          <w:sz w:val="24"/>
          <w:szCs w:val="24"/>
        </w:rPr>
        <w:t xml:space="preserve"> n’est pas </w:t>
      </w:r>
      <w:r w:rsidRPr="00106660">
        <w:rPr>
          <w:color w:val="000000"/>
          <w:sz w:val="24"/>
          <w:szCs w:val="24"/>
        </w:rPr>
        <w:t>nécess</w:t>
      </w:r>
      <w:r>
        <w:rPr>
          <w:color w:val="000000"/>
          <w:sz w:val="24"/>
          <w:szCs w:val="24"/>
        </w:rPr>
        <w:t xml:space="preserve">aire la distinction de </w:t>
      </w:r>
      <w:r w:rsidRPr="00106660">
        <w:rPr>
          <w:color w:val="000000"/>
          <w:sz w:val="24"/>
          <w:szCs w:val="24"/>
        </w:rPr>
        <w:t xml:space="preserve">la grammaire </w:t>
      </w:r>
      <w:r>
        <w:rPr>
          <w:color w:val="000000"/>
          <w:sz w:val="24"/>
          <w:szCs w:val="24"/>
        </w:rPr>
        <w:t xml:space="preserve">et </w:t>
      </w:r>
      <w:r w:rsidRPr="00106660">
        <w:rPr>
          <w:color w:val="000000"/>
          <w:sz w:val="24"/>
          <w:szCs w:val="24"/>
        </w:rPr>
        <w:t>la conjugaison pendant que la seconde fait partie intégrante de la première.</w:t>
      </w:r>
    </w:p>
    <w:p w14:paraId="6A0167E3" w14:textId="77777777" w:rsidR="00D80693" w:rsidRDefault="00D80693" w:rsidP="00E82F39">
      <w:pPr>
        <w:spacing w:before="120"/>
        <w:jc w:val="center"/>
        <w:rPr>
          <w:b/>
          <w:i/>
          <w:color w:val="000000"/>
          <w:vertAlign w:val="superscript"/>
        </w:rPr>
      </w:pPr>
      <w:proofErr w:type="gramStart"/>
      <w:r w:rsidRPr="00B87A22">
        <w:rPr>
          <w:b/>
          <w:i/>
          <w:color w:val="000000"/>
        </w:rPr>
        <w:t xml:space="preserve">Tableau </w:t>
      </w:r>
      <w:r>
        <w:rPr>
          <w:b/>
          <w:i/>
          <w:color w:val="000000"/>
        </w:rPr>
        <w:t xml:space="preserve"> n</w:t>
      </w:r>
      <w:proofErr w:type="gramEnd"/>
      <w:r>
        <w:rPr>
          <w:b/>
          <w:i/>
          <w:color w:val="000000"/>
        </w:rPr>
        <w:t xml:space="preserve">° </w:t>
      </w:r>
      <w:r w:rsidRPr="00C838E3">
        <w:rPr>
          <w:b/>
          <w:i/>
        </w:rPr>
        <w:t>07 </w:t>
      </w:r>
      <w:r w:rsidRPr="00B87A22">
        <w:rPr>
          <w:b/>
          <w:i/>
          <w:color w:val="000000"/>
        </w:rPr>
        <w:t>: Questionnaire de la classe de 11</w:t>
      </w:r>
      <w:r w:rsidRPr="00B87A22">
        <w:rPr>
          <w:b/>
          <w:i/>
          <w:color w:val="000000"/>
          <w:vertAlign w:val="superscript"/>
        </w:rPr>
        <w:t>ème</w:t>
      </w:r>
    </w:p>
    <w:tbl>
      <w:tblPr>
        <w:tblStyle w:val="TableGrid10"/>
        <w:tblW w:w="0" w:type="auto"/>
        <w:tblLook w:val="04A0" w:firstRow="1" w:lastRow="0" w:firstColumn="1" w:lastColumn="0" w:noHBand="0" w:noVBand="1"/>
      </w:tblPr>
      <w:tblGrid>
        <w:gridCol w:w="2689"/>
        <w:gridCol w:w="6371"/>
      </w:tblGrid>
      <w:tr w:rsidR="00D80693" w14:paraId="1D5BDAF1" w14:textId="77777777" w:rsidTr="00026258">
        <w:tc>
          <w:tcPr>
            <w:tcW w:w="2689" w:type="dxa"/>
            <w:shd w:val="clear" w:color="auto" w:fill="00B0F0"/>
          </w:tcPr>
          <w:p w14:paraId="52FB5DFC" w14:textId="77777777" w:rsidR="00D80693" w:rsidRPr="006E6625" w:rsidRDefault="00D80693" w:rsidP="00026258">
            <w:pPr>
              <w:spacing w:before="120"/>
              <w:contextualSpacing/>
              <w:jc w:val="both"/>
              <w:rPr>
                <w:b/>
                <w:color w:val="000000"/>
                <w:sz w:val="24"/>
                <w:szCs w:val="24"/>
              </w:rPr>
            </w:pPr>
            <w:r w:rsidRPr="006E6625">
              <w:rPr>
                <w:b/>
                <w:color w:val="000000"/>
                <w:sz w:val="24"/>
                <w:szCs w:val="24"/>
              </w:rPr>
              <w:t>Types de questions</w:t>
            </w:r>
          </w:p>
        </w:tc>
        <w:tc>
          <w:tcPr>
            <w:tcW w:w="6371" w:type="dxa"/>
            <w:shd w:val="clear" w:color="auto" w:fill="00B0F0"/>
          </w:tcPr>
          <w:p w14:paraId="10516351" w14:textId="77777777" w:rsidR="00D80693" w:rsidRPr="006E6625" w:rsidRDefault="00D80693" w:rsidP="00026258">
            <w:pPr>
              <w:spacing w:before="120"/>
              <w:contextualSpacing/>
              <w:jc w:val="both"/>
              <w:rPr>
                <w:b/>
                <w:color w:val="000000"/>
                <w:sz w:val="24"/>
                <w:szCs w:val="24"/>
              </w:rPr>
            </w:pPr>
            <w:r w:rsidRPr="006E6625">
              <w:rPr>
                <w:b/>
                <w:color w:val="000000"/>
                <w:sz w:val="24"/>
                <w:szCs w:val="24"/>
              </w:rPr>
              <w:t>Questions posées</w:t>
            </w:r>
          </w:p>
        </w:tc>
      </w:tr>
      <w:tr w:rsidR="00D80693" w14:paraId="3CAA8A1E" w14:textId="77777777" w:rsidTr="00026258">
        <w:tc>
          <w:tcPr>
            <w:tcW w:w="2689" w:type="dxa"/>
          </w:tcPr>
          <w:p w14:paraId="67EB1216" w14:textId="77777777" w:rsidR="00D80693" w:rsidRPr="002F00BF" w:rsidRDefault="00D80693" w:rsidP="00026258">
            <w:pPr>
              <w:spacing w:before="120"/>
              <w:contextualSpacing/>
              <w:jc w:val="both"/>
              <w:rPr>
                <w:color w:val="000000"/>
                <w:sz w:val="24"/>
                <w:szCs w:val="24"/>
              </w:rPr>
            </w:pPr>
            <w:r>
              <w:rPr>
                <w:color w:val="000000"/>
                <w:sz w:val="24"/>
                <w:szCs w:val="24"/>
              </w:rPr>
              <w:t>Questions fermées</w:t>
            </w:r>
          </w:p>
        </w:tc>
        <w:tc>
          <w:tcPr>
            <w:tcW w:w="6371" w:type="dxa"/>
          </w:tcPr>
          <w:p w14:paraId="4021BB38" w14:textId="77777777" w:rsidR="00D80693" w:rsidRPr="0080111A" w:rsidRDefault="00D80693" w:rsidP="00026258">
            <w:pPr>
              <w:spacing w:before="120"/>
              <w:contextualSpacing/>
              <w:rPr>
                <w:b/>
                <w:color w:val="000000"/>
                <w:sz w:val="24"/>
                <w:szCs w:val="24"/>
              </w:rPr>
            </w:pPr>
            <w:r w:rsidRPr="0080111A">
              <w:rPr>
                <w:b/>
                <w:color w:val="000000"/>
                <w:sz w:val="24"/>
                <w:szCs w:val="24"/>
              </w:rPr>
              <w:t xml:space="preserve">- </w:t>
            </w:r>
            <w:r>
              <w:rPr>
                <w:color w:val="000000"/>
                <w:sz w:val="24"/>
                <w:szCs w:val="24"/>
              </w:rPr>
              <w:t>C</w:t>
            </w:r>
            <w:r w:rsidRPr="005B1D78">
              <w:rPr>
                <w:color w:val="000000"/>
                <w:sz w:val="24"/>
                <w:szCs w:val="24"/>
              </w:rPr>
              <w:t>omplétez avec l’article défini</w:t>
            </w:r>
            <w:r>
              <w:rPr>
                <w:color w:val="000000"/>
                <w:sz w:val="24"/>
                <w:szCs w:val="24"/>
              </w:rPr>
              <w:t>.</w:t>
            </w:r>
          </w:p>
          <w:p w14:paraId="69183C64" w14:textId="77777777" w:rsidR="00D80693" w:rsidRPr="0080111A" w:rsidRDefault="00D80693" w:rsidP="00026258">
            <w:pPr>
              <w:spacing w:before="120"/>
              <w:contextualSpacing/>
              <w:rPr>
                <w:b/>
                <w:color w:val="000000"/>
                <w:sz w:val="24"/>
                <w:szCs w:val="24"/>
              </w:rPr>
            </w:pPr>
            <w:r w:rsidRPr="0080111A">
              <w:rPr>
                <w:b/>
                <w:color w:val="000000"/>
                <w:sz w:val="24"/>
                <w:szCs w:val="24"/>
              </w:rPr>
              <w:t xml:space="preserve">- </w:t>
            </w:r>
            <w:r w:rsidRPr="005B1D78">
              <w:rPr>
                <w:color w:val="000000"/>
                <w:sz w:val="24"/>
                <w:szCs w:val="24"/>
              </w:rPr>
              <w:t>Employez l’article indéfini</w:t>
            </w:r>
            <w:r>
              <w:rPr>
                <w:color w:val="000000"/>
                <w:sz w:val="24"/>
                <w:szCs w:val="24"/>
              </w:rPr>
              <w:t>.</w:t>
            </w:r>
          </w:p>
          <w:p w14:paraId="61D1BB7E" w14:textId="77777777" w:rsidR="00D80693" w:rsidRPr="005B1D78" w:rsidRDefault="00D80693" w:rsidP="00026258">
            <w:pPr>
              <w:spacing w:before="120"/>
              <w:contextualSpacing/>
              <w:rPr>
                <w:color w:val="000000"/>
                <w:sz w:val="24"/>
                <w:szCs w:val="24"/>
              </w:rPr>
            </w:pPr>
            <w:r w:rsidRPr="0080111A">
              <w:rPr>
                <w:b/>
                <w:color w:val="000000"/>
                <w:sz w:val="24"/>
                <w:szCs w:val="24"/>
              </w:rPr>
              <w:t xml:space="preserve">- </w:t>
            </w:r>
            <w:r>
              <w:rPr>
                <w:color w:val="000000"/>
                <w:sz w:val="24"/>
                <w:szCs w:val="24"/>
              </w:rPr>
              <w:t>M</w:t>
            </w:r>
            <w:r w:rsidRPr="005B1D78">
              <w:rPr>
                <w:color w:val="000000"/>
                <w:sz w:val="24"/>
                <w:szCs w:val="24"/>
              </w:rPr>
              <w:t xml:space="preserve">ettez le verbe entre parenthèses </w:t>
            </w:r>
            <w:r>
              <w:rPr>
                <w:color w:val="000000"/>
                <w:sz w:val="24"/>
                <w:szCs w:val="24"/>
              </w:rPr>
              <w:t>à</w:t>
            </w:r>
            <w:r w:rsidRPr="005B1D78">
              <w:rPr>
                <w:color w:val="000000"/>
                <w:sz w:val="24"/>
                <w:szCs w:val="24"/>
              </w:rPr>
              <w:t xml:space="preserve"> l’imparfait, mode indicatif</w:t>
            </w:r>
            <w:r>
              <w:rPr>
                <w:color w:val="000000"/>
                <w:sz w:val="24"/>
                <w:szCs w:val="24"/>
              </w:rPr>
              <w:t>.</w:t>
            </w:r>
          </w:p>
          <w:p w14:paraId="4612B195" w14:textId="77777777" w:rsidR="00D80693" w:rsidRDefault="00D80693" w:rsidP="00026258">
            <w:pPr>
              <w:spacing w:before="120"/>
              <w:contextualSpacing/>
              <w:jc w:val="both"/>
              <w:rPr>
                <w:color w:val="000000"/>
                <w:sz w:val="24"/>
                <w:szCs w:val="24"/>
              </w:rPr>
            </w:pPr>
            <w:r w:rsidRPr="0080111A">
              <w:rPr>
                <w:b/>
                <w:color w:val="000000"/>
                <w:sz w:val="24"/>
                <w:szCs w:val="24"/>
              </w:rPr>
              <w:t xml:space="preserve">- </w:t>
            </w:r>
            <w:r>
              <w:rPr>
                <w:color w:val="000000"/>
                <w:sz w:val="24"/>
                <w:szCs w:val="24"/>
              </w:rPr>
              <w:t>C</w:t>
            </w:r>
            <w:r w:rsidRPr="005B1D78">
              <w:rPr>
                <w:color w:val="000000"/>
                <w:sz w:val="24"/>
                <w:szCs w:val="24"/>
              </w:rPr>
              <w:t xml:space="preserve">onjuguez le verbe </w:t>
            </w:r>
            <w:r w:rsidRPr="005B1D78">
              <w:rPr>
                <w:b/>
                <w:color w:val="000000"/>
                <w:sz w:val="24"/>
                <w:szCs w:val="24"/>
              </w:rPr>
              <w:t>se laver</w:t>
            </w:r>
            <w:r>
              <w:rPr>
                <w:color w:val="000000"/>
                <w:sz w:val="24"/>
                <w:szCs w:val="24"/>
              </w:rPr>
              <w:t xml:space="preserve"> au présent de l’indicatif, à la </w:t>
            </w:r>
            <w:r w:rsidRPr="005B1D78">
              <w:rPr>
                <w:color w:val="000000"/>
                <w:sz w:val="24"/>
                <w:szCs w:val="24"/>
              </w:rPr>
              <w:t>forme négative</w:t>
            </w:r>
            <w:r>
              <w:rPr>
                <w:color w:val="000000"/>
                <w:sz w:val="24"/>
                <w:szCs w:val="24"/>
              </w:rPr>
              <w:t>.</w:t>
            </w:r>
          </w:p>
          <w:p w14:paraId="56336EAE" w14:textId="69B9CF4E" w:rsidR="00D80693" w:rsidRPr="0080111A" w:rsidRDefault="00D80693" w:rsidP="00026258">
            <w:pPr>
              <w:spacing w:before="120"/>
              <w:contextualSpacing/>
              <w:jc w:val="both"/>
              <w:rPr>
                <w:b/>
                <w:color w:val="000000"/>
                <w:sz w:val="24"/>
                <w:szCs w:val="24"/>
              </w:rPr>
            </w:pPr>
            <w:r w:rsidRPr="0080111A">
              <w:rPr>
                <w:color w:val="000000"/>
                <w:spacing w:val="-4"/>
                <w:sz w:val="24"/>
                <w:szCs w:val="24"/>
              </w:rPr>
              <w:t xml:space="preserve">- Selon le </w:t>
            </w:r>
            <w:r w:rsidR="00E82F39" w:rsidRPr="0080111A">
              <w:rPr>
                <w:color w:val="000000"/>
                <w:spacing w:val="-4"/>
                <w:sz w:val="24"/>
                <w:szCs w:val="24"/>
              </w:rPr>
              <w:t>contenu présenté</w:t>
            </w:r>
            <w:r w:rsidRPr="0080111A">
              <w:rPr>
                <w:color w:val="000000"/>
                <w:spacing w:val="-4"/>
                <w:sz w:val="24"/>
                <w:szCs w:val="24"/>
              </w:rPr>
              <w:t xml:space="preserve"> par le texte, réponds si les affirmations faites ci-dessous sont vraies (V) ou fausses (F)</w:t>
            </w:r>
            <w:r>
              <w:rPr>
                <w:color w:val="000000"/>
                <w:spacing w:val="-4"/>
                <w:sz w:val="24"/>
                <w:szCs w:val="24"/>
              </w:rPr>
              <w:t>.</w:t>
            </w:r>
          </w:p>
          <w:p w14:paraId="0E29E2FA" w14:textId="77777777" w:rsidR="00D80693" w:rsidRPr="0080111A" w:rsidRDefault="00D80693" w:rsidP="00026258">
            <w:pPr>
              <w:spacing w:before="120"/>
              <w:contextualSpacing/>
              <w:rPr>
                <w:color w:val="000000"/>
                <w:sz w:val="24"/>
                <w:szCs w:val="24"/>
              </w:rPr>
            </w:pPr>
            <w:r w:rsidRPr="0080111A">
              <w:rPr>
                <w:color w:val="000000"/>
                <w:sz w:val="24"/>
                <w:szCs w:val="24"/>
              </w:rPr>
              <w:t>- Complétez les espaces en blanc ave</w:t>
            </w:r>
            <w:r>
              <w:rPr>
                <w:color w:val="000000"/>
                <w:sz w:val="24"/>
                <w:szCs w:val="24"/>
              </w:rPr>
              <w:t>c les pronoms personnels sujets.</w:t>
            </w:r>
          </w:p>
          <w:p w14:paraId="77F55B85" w14:textId="77777777" w:rsidR="00D80693" w:rsidRDefault="00D80693" w:rsidP="00026258">
            <w:pPr>
              <w:spacing w:before="120"/>
              <w:contextualSpacing/>
              <w:rPr>
                <w:color w:val="000000"/>
                <w:spacing w:val="-6"/>
                <w:sz w:val="24"/>
                <w:szCs w:val="24"/>
              </w:rPr>
            </w:pPr>
            <w:r w:rsidRPr="0080111A">
              <w:rPr>
                <w:color w:val="000000"/>
                <w:spacing w:val="-6"/>
                <w:sz w:val="24"/>
                <w:szCs w:val="24"/>
              </w:rPr>
              <w:t xml:space="preserve">- Dans les phrases ci- dessous, remplacez les noms </w:t>
            </w:r>
            <w:proofErr w:type="gramStart"/>
            <w:r w:rsidRPr="0080111A">
              <w:rPr>
                <w:color w:val="000000"/>
                <w:spacing w:val="-6"/>
                <w:sz w:val="24"/>
                <w:szCs w:val="24"/>
              </w:rPr>
              <w:t>soulignés  par</w:t>
            </w:r>
            <w:proofErr w:type="gramEnd"/>
            <w:r w:rsidRPr="0080111A">
              <w:rPr>
                <w:color w:val="000000"/>
                <w:spacing w:val="-6"/>
                <w:sz w:val="24"/>
                <w:szCs w:val="24"/>
              </w:rPr>
              <w:t xml:space="preserve"> un pronom personnel</w:t>
            </w:r>
            <w:r>
              <w:rPr>
                <w:color w:val="000000"/>
                <w:spacing w:val="-6"/>
                <w:sz w:val="24"/>
                <w:szCs w:val="24"/>
              </w:rPr>
              <w:t>.</w:t>
            </w:r>
          </w:p>
          <w:p w14:paraId="1AC50131" w14:textId="2CC0CBC9" w:rsidR="00D80693" w:rsidRPr="0080111A" w:rsidRDefault="00D80693" w:rsidP="00026258">
            <w:pPr>
              <w:spacing w:before="120"/>
              <w:contextualSpacing/>
              <w:rPr>
                <w:b/>
                <w:color w:val="000000"/>
                <w:sz w:val="24"/>
                <w:szCs w:val="24"/>
              </w:rPr>
            </w:pPr>
            <w:r>
              <w:rPr>
                <w:b/>
                <w:color w:val="000000"/>
                <w:sz w:val="24"/>
                <w:szCs w:val="24"/>
              </w:rPr>
              <w:t xml:space="preserve">- </w:t>
            </w:r>
            <w:r w:rsidRPr="0080111A">
              <w:rPr>
                <w:color w:val="000000"/>
                <w:sz w:val="24"/>
                <w:szCs w:val="24"/>
              </w:rPr>
              <w:t>Conjuguez les</w:t>
            </w:r>
            <w:r>
              <w:rPr>
                <w:color w:val="000000"/>
                <w:sz w:val="24"/>
                <w:szCs w:val="24"/>
              </w:rPr>
              <w:t xml:space="preserve"> verbes </w:t>
            </w:r>
            <w:r w:rsidRPr="005B1D78">
              <w:rPr>
                <w:color w:val="000000"/>
                <w:sz w:val="24"/>
                <w:szCs w:val="24"/>
              </w:rPr>
              <w:t xml:space="preserve">entre </w:t>
            </w:r>
            <w:r w:rsidR="00E82F39" w:rsidRPr="005B1D78">
              <w:rPr>
                <w:color w:val="000000"/>
                <w:sz w:val="24"/>
                <w:szCs w:val="24"/>
              </w:rPr>
              <w:t xml:space="preserve">parenthèses </w:t>
            </w:r>
            <w:r w:rsidR="00E82F39">
              <w:rPr>
                <w:color w:val="000000"/>
                <w:sz w:val="24"/>
                <w:szCs w:val="24"/>
              </w:rPr>
              <w:t>aux</w:t>
            </w:r>
            <w:r>
              <w:rPr>
                <w:color w:val="000000"/>
                <w:sz w:val="24"/>
                <w:szCs w:val="24"/>
              </w:rPr>
              <w:t xml:space="preserve"> temps indiqués.</w:t>
            </w:r>
          </w:p>
          <w:p w14:paraId="12CB82A8" w14:textId="45E4469B" w:rsidR="00D80693" w:rsidRPr="0080111A" w:rsidRDefault="00D80693" w:rsidP="00026258">
            <w:pPr>
              <w:spacing w:before="120"/>
              <w:contextualSpacing/>
              <w:rPr>
                <w:color w:val="000000"/>
                <w:sz w:val="24"/>
                <w:szCs w:val="24"/>
              </w:rPr>
            </w:pPr>
            <w:r>
              <w:rPr>
                <w:b/>
                <w:color w:val="000000"/>
                <w:sz w:val="24"/>
                <w:szCs w:val="24"/>
              </w:rPr>
              <w:t xml:space="preserve">- </w:t>
            </w:r>
            <w:r w:rsidRPr="0080111A">
              <w:rPr>
                <w:color w:val="000000"/>
                <w:sz w:val="24"/>
                <w:szCs w:val="24"/>
              </w:rPr>
              <w:t xml:space="preserve">Complétez les </w:t>
            </w:r>
            <w:r w:rsidR="00E82F39" w:rsidRPr="0080111A">
              <w:rPr>
                <w:color w:val="000000"/>
                <w:sz w:val="24"/>
                <w:szCs w:val="24"/>
              </w:rPr>
              <w:t>phrases suivantes</w:t>
            </w:r>
            <w:r w:rsidRPr="0080111A">
              <w:rPr>
                <w:color w:val="000000"/>
                <w:sz w:val="24"/>
                <w:szCs w:val="24"/>
              </w:rPr>
              <w:t xml:space="preserve"> </w:t>
            </w:r>
            <w:r>
              <w:rPr>
                <w:color w:val="000000"/>
                <w:sz w:val="24"/>
                <w:szCs w:val="24"/>
              </w:rPr>
              <w:t>par</w:t>
            </w:r>
            <w:r w:rsidRPr="0080111A">
              <w:rPr>
                <w:color w:val="000000"/>
                <w:sz w:val="24"/>
                <w:szCs w:val="24"/>
              </w:rPr>
              <w:t xml:space="preserve"> les prépositions qui conviennent</w:t>
            </w:r>
            <w:r>
              <w:rPr>
                <w:color w:val="000000"/>
                <w:sz w:val="24"/>
                <w:szCs w:val="24"/>
              </w:rPr>
              <w:t>.</w:t>
            </w:r>
          </w:p>
          <w:p w14:paraId="24600FF2" w14:textId="75732D70" w:rsidR="00D80693" w:rsidRDefault="00D80693" w:rsidP="00026258">
            <w:pPr>
              <w:spacing w:before="120"/>
              <w:contextualSpacing/>
              <w:rPr>
                <w:color w:val="000000"/>
                <w:sz w:val="24"/>
                <w:szCs w:val="24"/>
              </w:rPr>
            </w:pPr>
            <w:r>
              <w:rPr>
                <w:b/>
                <w:color w:val="000000"/>
                <w:sz w:val="24"/>
                <w:szCs w:val="24"/>
              </w:rPr>
              <w:t>-</w:t>
            </w:r>
            <w:r w:rsidR="00E82F39" w:rsidRPr="0080111A">
              <w:rPr>
                <w:color w:val="000000"/>
                <w:sz w:val="24"/>
                <w:szCs w:val="24"/>
              </w:rPr>
              <w:t>Traduisez ces</w:t>
            </w:r>
            <w:r w:rsidRPr="0080111A">
              <w:rPr>
                <w:color w:val="000000"/>
                <w:sz w:val="24"/>
                <w:szCs w:val="24"/>
              </w:rPr>
              <w:t xml:space="preserve"> expressions</w:t>
            </w:r>
            <w:r>
              <w:rPr>
                <w:color w:val="000000"/>
                <w:sz w:val="24"/>
                <w:szCs w:val="24"/>
              </w:rPr>
              <w:t xml:space="preserve"> portugaises</w:t>
            </w:r>
            <w:r w:rsidRPr="0080111A">
              <w:rPr>
                <w:color w:val="000000"/>
                <w:sz w:val="24"/>
                <w:szCs w:val="24"/>
              </w:rPr>
              <w:t xml:space="preserve"> en français</w:t>
            </w:r>
            <w:r>
              <w:rPr>
                <w:color w:val="000000"/>
                <w:sz w:val="24"/>
                <w:szCs w:val="24"/>
              </w:rPr>
              <w:t>.</w:t>
            </w:r>
          </w:p>
          <w:p w14:paraId="14507123" w14:textId="316F4F90" w:rsidR="00D80693" w:rsidRPr="0080111A" w:rsidRDefault="00D80693" w:rsidP="00026258">
            <w:pPr>
              <w:spacing w:before="120"/>
              <w:contextualSpacing/>
              <w:rPr>
                <w:color w:val="000000"/>
                <w:sz w:val="24"/>
                <w:szCs w:val="24"/>
              </w:rPr>
            </w:pPr>
            <w:r>
              <w:rPr>
                <w:color w:val="000000"/>
                <w:sz w:val="24"/>
                <w:szCs w:val="24"/>
              </w:rPr>
              <w:t>-</w:t>
            </w:r>
            <w:r w:rsidRPr="0080111A">
              <w:rPr>
                <w:color w:val="000000"/>
                <w:sz w:val="24"/>
                <w:szCs w:val="24"/>
              </w:rPr>
              <w:t xml:space="preserve"> </w:t>
            </w:r>
            <w:r w:rsidR="00E82F39" w:rsidRPr="0080111A">
              <w:rPr>
                <w:color w:val="000000"/>
                <w:sz w:val="24"/>
                <w:szCs w:val="24"/>
              </w:rPr>
              <w:t>Citez les</w:t>
            </w:r>
            <w:r w:rsidRPr="0080111A">
              <w:rPr>
                <w:color w:val="000000"/>
                <w:sz w:val="24"/>
                <w:szCs w:val="24"/>
              </w:rPr>
              <w:t xml:space="preserve"> personnages du texte.</w:t>
            </w:r>
          </w:p>
          <w:p w14:paraId="6D11045C" w14:textId="77777777" w:rsidR="00D80693" w:rsidRPr="0080111A" w:rsidRDefault="00D80693" w:rsidP="00026258">
            <w:pPr>
              <w:spacing w:before="120"/>
              <w:contextualSpacing/>
              <w:rPr>
                <w:color w:val="000000"/>
                <w:sz w:val="24"/>
                <w:szCs w:val="24"/>
              </w:rPr>
            </w:pPr>
            <w:r>
              <w:rPr>
                <w:color w:val="000000"/>
                <w:sz w:val="24"/>
                <w:szCs w:val="24"/>
              </w:rPr>
              <w:t>-</w:t>
            </w:r>
            <w:r w:rsidRPr="0080111A">
              <w:rPr>
                <w:color w:val="000000"/>
                <w:sz w:val="24"/>
                <w:szCs w:val="24"/>
              </w:rPr>
              <w:t xml:space="preserve"> Comment appelle-t-on les </w:t>
            </w:r>
            <w:proofErr w:type="gramStart"/>
            <w:r w:rsidRPr="0080111A">
              <w:rPr>
                <w:color w:val="000000"/>
                <w:sz w:val="24"/>
                <w:szCs w:val="24"/>
              </w:rPr>
              <w:t>arbres  qui</w:t>
            </w:r>
            <w:proofErr w:type="gramEnd"/>
            <w:r w:rsidRPr="0080111A">
              <w:rPr>
                <w:color w:val="000000"/>
                <w:sz w:val="24"/>
                <w:szCs w:val="24"/>
              </w:rPr>
              <w:t xml:space="preserve"> donnent des mangues</w:t>
            </w:r>
            <w:r>
              <w:rPr>
                <w:color w:val="000000"/>
                <w:sz w:val="24"/>
                <w:szCs w:val="24"/>
              </w:rPr>
              <w:t xml:space="preserve"> ?  </w:t>
            </w:r>
          </w:p>
          <w:p w14:paraId="40E1238D" w14:textId="77777777" w:rsidR="00D80693" w:rsidRPr="0080111A" w:rsidRDefault="00D80693" w:rsidP="00026258">
            <w:pPr>
              <w:spacing w:before="120"/>
              <w:contextualSpacing/>
              <w:rPr>
                <w:color w:val="000000"/>
                <w:sz w:val="24"/>
                <w:szCs w:val="24"/>
              </w:rPr>
            </w:pPr>
            <w:r>
              <w:rPr>
                <w:color w:val="000000"/>
                <w:sz w:val="24"/>
                <w:szCs w:val="24"/>
              </w:rPr>
              <w:t>-</w:t>
            </w:r>
            <w:r w:rsidRPr="0080111A">
              <w:rPr>
                <w:color w:val="000000"/>
                <w:sz w:val="24"/>
                <w:szCs w:val="24"/>
              </w:rPr>
              <w:t xml:space="preserve"> Pourquoi Karim dit-</w:t>
            </w:r>
            <w:proofErr w:type="gramStart"/>
            <w:r w:rsidRPr="0080111A">
              <w:rPr>
                <w:color w:val="000000"/>
                <w:sz w:val="24"/>
                <w:szCs w:val="24"/>
              </w:rPr>
              <w:t>il  que</w:t>
            </w:r>
            <w:proofErr w:type="gramEnd"/>
            <w:r w:rsidRPr="0080111A">
              <w:rPr>
                <w:color w:val="000000"/>
                <w:sz w:val="24"/>
                <w:szCs w:val="24"/>
              </w:rPr>
              <w:t xml:space="preserve"> la récolte va être bonne ?</w:t>
            </w:r>
          </w:p>
          <w:p w14:paraId="181DA1E1" w14:textId="77777777" w:rsidR="00D80693" w:rsidRPr="0080111A" w:rsidRDefault="00D80693" w:rsidP="00026258">
            <w:pPr>
              <w:spacing w:before="120"/>
              <w:contextualSpacing/>
              <w:rPr>
                <w:color w:val="000000"/>
                <w:sz w:val="24"/>
                <w:szCs w:val="24"/>
              </w:rPr>
            </w:pPr>
            <w:r>
              <w:rPr>
                <w:color w:val="000000"/>
                <w:sz w:val="24"/>
                <w:szCs w:val="24"/>
              </w:rPr>
              <w:t>-</w:t>
            </w:r>
            <w:r w:rsidRPr="0080111A">
              <w:rPr>
                <w:color w:val="000000"/>
                <w:sz w:val="24"/>
                <w:szCs w:val="24"/>
              </w:rPr>
              <w:t xml:space="preserve"> Qu’est-ce qu’on va planter avant la saison des pluies</w:t>
            </w:r>
            <w:r>
              <w:rPr>
                <w:color w:val="000000"/>
                <w:sz w:val="24"/>
                <w:szCs w:val="24"/>
              </w:rPr>
              <w:t> ?</w:t>
            </w:r>
          </w:p>
          <w:p w14:paraId="43D7FD6B" w14:textId="77777777" w:rsidR="00D80693" w:rsidRDefault="00D80693" w:rsidP="00026258">
            <w:pPr>
              <w:spacing w:before="120"/>
              <w:contextualSpacing/>
              <w:rPr>
                <w:color w:val="000000"/>
                <w:sz w:val="24"/>
                <w:szCs w:val="24"/>
              </w:rPr>
            </w:pPr>
            <w:r>
              <w:rPr>
                <w:b/>
                <w:color w:val="000000"/>
                <w:sz w:val="24"/>
                <w:szCs w:val="24"/>
              </w:rPr>
              <w:t>-</w:t>
            </w:r>
            <w:r w:rsidRPr="004B60E2">
              <w:rPr>
                <w:b/>
                <w:color w:val="000000"/>
                <w:sz w:val="24"/>
                <w:szCs w:val="24"/>
              </w:rPr>
              <w:t xml:space="preserve"> </w:t>
            </w:r>
            <w:r w:rsidRPr="004B60E2">
              <w:rPr>
                <w:color w:val="000000"/>
                <w:sz w:val="24"/>
                <w:szCs w:val="24"/>
              </w:rPr>
              <w:t>Dites les fonctions grammaticales de mots soulignés.</w:t>
            </w:r>
          </w:p>
          <w:p w14:paraId="5021D30D" w14:textId="77777777" w:rsidR="00D80693" w:rsidRDefault="00D80693" w:rsidP="00026258">
            <w:pPr>
              <w:spacing w:before="120"/>
              <w:contextualSpacing/>
              <w:rPr>
                <w:b/>
                <w:color w:val="000000"/>
              </w:rPr>
            </w:pPr>
            <w:r>
              <w:rPr>
                <w:b/>
                <w:color w:val="000000"/>
                <w:sz w:val="24"/>
                <w:szCs w:val="24"/>
              </w:rPr>
              <w:t xml:space="preserve">- </w:t>
            </w:r>
            <w:r w:rsidRPr="004B60E2">
              <w:rPr>
                <w:color w:val="000000"/>
                <w:sz w:val="24"/>
                <w:szCs w:val="24"/>
              </w:rPr>
              <w:t>Donnez le contraire des mots suivants.</w:t>
            </w:r>
          </w:p>
        </w:tc>
      </w:tr>
      <w:tr w:rsidR="00D80693" w14:paraId="10344A99" w14:textId="77777777" w:rsidTr="00026258">
        <w:tc>
          <w:tcPr>
            <w:tcW w:w="2689" w:type="dxa"/>
          </w:tcPr>
          <w:p w14:paraId="7581660E" w14:textId="77777777" w:rsidR="00D80693" w:rsidRPr="002F00BF" w:rsidRDefault="00D80693" w:rsidP="00026258">
            <w:pPr>
              <w:spacing w:before="120"/>
              <w:contextualSpacing/>
              <w:rPr>
                <w:color w:val="000000"/>
                <w:sz w:val="24"/>
                <w:szCs w:val="24"/>
              </w:rPr>
            </w:pPr>
            <w:r>
              <w:rPr>
                <w:color w:val="000000"/>
                <w:sz w:val="24"/>
                <w:szCs w:val="24"/>
              </w:rPr>
              <w:t>Question</w:t>
            </w:r>
            <w:r w:rsidRPr="002F00BF">
              <w:rPr>
                <w:color w:val="000000"/>
                <w:sz w:val="24"/>
                <w:szCs w:val="24"/>
              </w:rPr>
              <w:t xml:space="preserve"> de </w:t>
            </w:r>
            <w:r>
              <w:rPr>
                <w:color w:val="000000"/>
                <w:sz w:val="24"/>
                <w:szCs w:val="24"/>
              </w:rPr>
              <w:t>production courte</w:t>
            </w:r>
          </w:p>
        </w:tc>
        <w:tc>
          <w:tcPr>
            <w:tcW w:w="6371" w:type="dxa"/>
          </w:tcPr>
          <w:p w14:paraId="00351A08" w14:textId="77777777" w:rsidR="00D80693" w:rsidRDefault="00D80693" w:rsidP="00026258">
            <w:pPr>
              <w:spacing w:before="120"/>
              <w:contextualSpacing/>
              <w:jc w:val="both"/>
              <w:rPr>
                <w:b/>
                <w:color w:val="000000"/>
              </w:rPr>
            </w:pPr>
            <w:r w:rsidRPr="0080111A">
              <w:rPr>
                <w:color w:val="000000"/>
                <w:sz w:val="24"/>
                <w:szCs w:val="24"/>
              </w:rPr>
              <w:t>-</w:t>
            </w:r>
            <w:r>
              <w:rPr>
                <w:b/>
                <w:color w:val="000000"/>
              </w:rPr>
              <w:t xml:space="preserve"> </w:t>
            </w:r>
            <w:r w:rsidRPr="004B60E2">
              <w:rPr>
                <w:color w:val="000000"/>
                <w:sz w:val="24"/>
                <w:szCs w:val="24"/>
              </w:rPr>
              <w:t>Formez 6 phrases avec les verbes suivants.</w:t>
            </w:r>
          </w:p>
        </w:tc>
      </w:tr>
      <w:tr w:rsidR="00D80693" w14:paraId="20530F6E" w14:textId="77777777" w:rsidTr="00026258">
        <w:tc>
          <w:tcPr>
            <w:tcW w:w="2689" w:type="dxa"/>
          </w:tcPr>
          <w:p w14:paraId="411E9112" w14:textId="77777777" w:rsidR="00D80693" w:rsidRPr="002F00BF" w:rsidRDefault="00D80693" w:rsidP="00026258">
            <w:pPr>
              <w:spacing w:before="120"/>
              <w:contextualSpacing/>
              <w:rPr>
                <w:color w:val="000000"/>
                <w:sz w:val="24"/>
                <w:szCs w:val="24"/>
              </w:rPr>
            </w:pPr>
            <w:r w:rsidRPr="002F00BF">
              <w:rPr>
                <w:color w:val="000000"/>
                <w:sz w:val="24"/>
                <w:szCs w:val="24"/>
              </w:rPr>
              <w:t>Question de</w:t>
            </w:r>
            <w:r>
              <w:rPr>
                <w:color w:val="000000"/>
                <w:sz w:val="24"/>
                <w:szCs w:val="24"/>
              </w:rPr>
              <w:t xml:space="preserve"> production longue </w:t>
            </w:r>
          </w:p>
        </w:tc>
        <w:tc>
          <w:tcPr>
            <w:tcW w:w="6371" w:type="dxa"/>
          </w:tcPr>
          <w:p w14:paraId="4CB03E4E" w14:textId="77777777" w:rsidR="00D80693" w:rsidRDefault="00D80693" w:rsidP="00026258">
            <w:pPr>
              <w:spacing w:before="120"/>
              <w:contextualSpacing/>
              <w:rPr>
                <w:b/>
                <w:color w:val="000000"/>
              </w:rPr>
            </w:pPr>
          </w:p>
        </w:tc>
      </w:tr>
    </w:tbl>
    <w:p w14:paraId="2DD0564D" w14:textId="77777777" w:rsidR="00D80693" w:rsidRPr="003451FF" w:rsidRDefault="00D80693" w:rsidP="00E82F39">
      <w:pPr>
        <w:spacing w:before="120"/>
        <w:jc w:val="both"/>
        <w:rPr>
          <w:i/>
          <w:color w:val="000000"/>
          <w:sz w:val="24"/>
          <w:szCs w:val="24"/>
        </w:rPr>
      </w:pPr>
      <w:r w:rsidRPr="003451FF">
        <w:rPr>
          <w:i/>
        </w:rPr>
        <w:t>Source : Données de recherche</w:t>
      </w:r>
      <w:r>
        <w:rPr>
          <w:i/>
        </w:rPr>
        <w:t xml:space="preserve"> personnelle</w:t>
      </w:r>
    </w:p>
    <w:p w14:paraId="2C8B9274" w14:textId="77777777" w:rsidR="00D80693" w:rsidRDefault="00D80693" w:rsidP="00E82F39">
      <w:pPr>
        <w:spacing w:before="120"/>
        <w:jc w:val="both"/>
        <w:rPr>
          <w:b/>
          <w:color w:val="000000"/>
          <w:sz w:val="10"/>
          <w:szCs w:val="24"/>
        </w:rPr>
      </w:pPr>
    </w:p>
    <w:p w14:paraId="61BA5D99" w14:textId="78BF02E6" w:rsidR="00D80693" w:rsidRDefault="00D80693" w:rsidP="00E82F39">
      <w:pPr>
        <w:spacing w:before="120"/>
        <w:jc w:val="both"/>
        <w:rPr>
          <w:color w:val="000000"/>
          <w:sz w:val="24"/>
          <w:szCs w:val="24"/>
        </w:rPr>
      </w:pPr>
      <w:r w:rsidRPr="00783428">
        <w:rPr>
          <w:sz w:val="24"/>
          <w:szCs w:val="24"/>
        </w:rPr>
        <w:t>L’analyse de ce questionnaire nous fait voir que l’évaluateur s’est plus cantonné au premier niveau des questions, c’est-à-dire aux questions fermées ou étroites. Dans un univers de 17 questions, 16 questions sont fermées ou étroites et une (1</w:t>
      </w:r>
      <w:proofErr w:type="gramStart"/>
      <w:r w:rsidRPr="00783428">
        <w:rPr>
          <w:sz w:val="24"/>
          <w:szCs w:val="24"/>
        </w:rPr>
        <w:t>)  seule</w:t>
      </w:r>
      <w:proofErr w:type="gramEnd"/>
      <w:r w:rsidRPr="00783428">
        <w:rPr>
          <w:sz w:val="24"/>
          <w:szCs w:val="24"/>
        </w:rPr>
        <w:t xml:space="preserve"> est de production courte.  L’aspect de la </w:t>
      </w:r>
      <w:proofErr w:type="gramStart"/>
      <w:r w:rsidRPr="00783428">
        <w:rPr>
          <w:sz w:val="24"/>
          <w:szCs w:val="24"/>
        </w:rPr>
        <w:t>production  est</w:t>
      </w:r>
      <w:proofErr w:type="gramEnd"/>
      <w:r w:rsidRPr="00783428">
        <w:rPr>
          <w:sz w:val="24"/>
          <w:szCs w:val="24"/>
        </w:rPr>
        <w:t xml:space="preserve"> moins sollicité</w:t>
      </w:r>
      <w:r w:rsidRPr="00106660">
        <w:rPr>
          <w:color w:val="000000"/>
          <w:sz w:val="24"/>
          <w:szCs w:val="24"/>
        </w:rPr>
        <w:t xml:space="preserve">. </w:t>
      </w:r>
      <w:r>
        <w:rPr>
          <w:color w:val="000000"/>
          <w:spacing w:val="4"/>
          <w:sz w:val="24"/>
          <w:szCs w:val="24"/>
        </w:rPr>
        <w:t xml:space="preserve">Ce questionnaire n’aide en rien au développement de la compétence communicative des apprenants. </w:t>
      </w:r>
      <w:r w:rsidRPr="00106660">
        <w:rPr>
          <w:color w:val="000000"/>
          <w:spacing w:val="4"/>
          <w:sz w:val="24"/>
          <w:szCs w:val="24"/>
        </w:rPr>
        <w:t xml:space="preserve">Toutes les questions formulées sont étroites ou fermées </w:t>
      </w:r>
      <w:proofErr w:type="gramStart"/>
      <w:r w:rsidRPr="00106660">
        <w:rPr>
          <w:color w:val="000000"/>
          <w:spacing w:val="4"/>
          <w:sz w:val="24"/>
          <w:szCs w:val="24"/>
        </w:rPr>
        <w:t>et  à</w:t>
      </w:r>
      <w:proofErr w:type="gramEnd"/>
      <w:r w:rsidRPr="00106660">
        <w:rPr>
          <w:color w:val="000000"/>
          <w:spacing w:val="4"/>
          <w:sz w:val="24"/>
          <w:szCs w:val="24"/>
        </w:rPr>
        <w:t xml:space="preserve"> caractère suggestif. </w:t>
      </w:r>
      <w:r w:rsidRPr="00106660">
        <w:rPr>
          <w:color w:val="000000"/>
          <w:sz w:val="24"/>
          <w:szCs w:val="24"/>
        </w:rPr>
        <w:t>Aucune question stimulante</w:t>
      </w:r>
      <w:r>
        <w:rPr>
          <w:color w:val="000000"/>
          <w:sz w:val="24"/>
          <w:szCs w:val="24"/>
        </w:rPr>
        <w:t xml:space="preserve"> ou de production </w:t>
      </w:r>
      <w:proofErr w:type="gramStart"/>
      <w:r>
        <w:rPr>
          <w:color w:val="000000"/>
          <w:sz w:val="24"/>
          <w:szCs w:val="24"/>
        </w:rPr>
        <w:t xml:space="preserve">longue </w:t>
      </w:r>
      <w:r w:rsidRPr="00106660">
        <w:rPr>
          <w:color w:val="000000"/>
          <w:sz w:val="24"/>
          <w:szCs w:val="24"/>
        </w:rPr>
        <w:t xml:space="preserve"> ne</w:t>
      </w:r>
      <w:proofErr w:type="gramEnd"/>
      <w:r w:rsidRPr="00106660">
        <w:rPr>
          <w:color w:val="000000"/>
          <w:sz w:val="24"/>
          <w:szCs w:val="24"/>
        </w:rPr>
        <w:t xml:space="preserve"> figure à ce questionnaire.</w:t>
      </w:r>
      <w:r w:rsidRPr="00387044">
        <w:rPr>
          <w:color w:val="000000"/>
          <w:sz w:val="24"/>
          <w:szCs w:val="24"/>
        </w:rPr>
        <w:t xml:space="preserve"> </w:t>
      </w:r>
      <w:r>
        <w:rPr>
          <w:color w:val="000000"/>
          <w:sz w:val="24"/>
          <w:szCs w:val="24"/>
        </w:rPr>
        <w:t xml:space="preserve">Toutes les </w:t>
      </w:r>
      <w:r w:rsidRPr="00106660">
        <w:rPr>
          <w:color w:val="000000"/>
          <w:sz w:val="24"/>
          <w:szCs w:val="24"/>
        </w:rPr>
        <w:t xml:space="preserve">questions </w:t>
      </w:r>
      <w:r>
        <w:rPr>
          <w:color w:val="000000"/>
          <w:sz w:val="24"/>
          <w:szCs w:val="24"/>
        </w:rPr>
        <w:t xml:space="preserve">posées sont </w:t>
      </w:r>
      <w:r w:rsidRPr="00106660">
        <w:rPr>
          <w:color w:val="000000"/>
          <w:sz w:val="24"/>
          <w:szCs w:val="24"/>
        </w:rPr>
        <w:t>étroites ou fermées</w:t>
      </w:r>
      <w:r>
        <w:rPr>
          <w:color w:val="000000"/>
          <w:sz w:val="24"/>
          <w:szCs w:val="24"/>
        </w:rPr>
        <w:t xml:space="preserve">. </w:t>
      </w:r>
      <w:r>
        <w:rPr>
          <w:color w:val="000000"/>
          <w:spacing w:val="4"/>
          <w:sz w:val="24"/>
          <w:szCs w:val="24"/>
        </w:rPr>
        <w:t xml:space="preserve"> </w:t>
      </w:r>
      <w:r w:rsidRPr="00106660">
        <w:rPr>
          <w:color w:val="000000"/>
          <w:sz w:val="24"/>
          <w:szCs w:val="24"/>
        </w:rPr>
        <w:t xml:space="preserve">De la manière dont les questions </w:t>
      </w:r>
      <w:r>
        <w:rPr>
          <w:color w:val="000000"/>
          <w:sz w:val="24"/>
          <w:szCs w:val="24"/>
        </w:rPr>
        <w:t>(</w:t>
      </w:r>
      <w:r w:rsidRPr="00F70D68">
        <w:rPr>
          <w:color w:val="000000"/>
          <w:sz w:val="24"/>
          <w:szCs w:val="24"/>
        </w:rPr>
        <w:t xml:space="preserve">Complétez </w:t>
      </w:r>
      <w:r w:rsidRPr="005B1D78">
        <w:rPr>
          <w:color w:val="000000"/>
          <w:sz w:val="24"/>
          <w:szCs w:val="24"/>
        </w:rPr>
        <w:t>avec l’article défini</w:t>
      </w:r>
      <w:r>
        <w:rPr>
          <w:color w:val="000000"/>
          <w:sz w:val="24"/>
          <w:szCs w:val="24"/>
        </w:rPr>
        <w:t xml:space="preserve"> et </w:t>
      </w:r>
      <w:r w:rsidRPr="005B1D78">
        <w:rPr>
          <w:color w:val="000000"/>
          <w:sz w:val="24"/>
          <w:szCs w:val="24"/>
        </w:rPr>
        <w:t>Employez l’article indéfini</w:t>
      </w:r>
      <w:r>
        <w:rPr>
          <w:color w:val="000000"/>
          <w:sz w:val="24"/>
          <w:szCs w:val="24"/>
        </w:rPr>
        <w:t>)</w:t>
      </w:r>
      <w:r w:rsidRPr="00106660">
        <w:rPr>
          <w:color w:val="000000"/>
          <w:sz w:val="24"/>
          <w:szCs w:val="24"/>
        </w:rPr>
        <w:t xml:space="preserve"> sont formulées, elles paraissent suggestives (ce qui est interdit dans la technique de questionnement).</w:t>
      </w:r>
      <w:r w:rsidRPr="009026F5">
        <w:rPr>
          <w:color w:val="000000"/>
          <w:sz w:val="24"/>
          <w:szCs w:val="24"/>
        </w:rPr>
        <w:t xml:space="preserve"> </w:t>
      </w:r>
      <w:r>
        <w:rPr>
          <w:color w:val="000000"/>
          <w:sz w:val="24"/>
          <w:szCs w:val="24"/>
        </w:rPr>
        <w:t>On constate</w:t>
      </w:r>
      <w:r w:rsidRPr="00106660">
        <w:rPr>
          <w:color w:val="000000"/>
          <w:sz w:val="24"/>
          <w:szCs w:val="24"/>
        </w:rPr>
        <w:t xml:space="preserve"> une certaine ambiguïté dans la formulation de la question</w:t>
      </w:r>
      <w:r>
        <w:rPr>
          <w:color w:val="000000"/>
          <w:sz w:val="24"/>
          <w:szCs w:val="24"/>
        </w:rPr>
        <w:t xml:space="preserve"> (Formez 6 phrases avec les verbes suivants.)</w:t>
      </w:r>
      <w:r w:rsidRPr="00106660">
        <w:rPr>
          <w:color w:val="000000"/>
          <w:sz w:val="24"/>
          <w:szCs w:val="24"/>
        </w:rPr>
        <w:t xml:space="preserve"> Nous ne savons pas l</w:t>
      </w:r>
      <w:r>
        <w:rPr>
          <w:color w:val="000000"/>
          <w:sz w:val="24"/>
          <w:szCs w:val="24"/>
        </w:rPr>
        <w:t xml:space="preserve">a finalité </w:t>
      </w:r>
      <w:r w:rsidRPr="00106660">
        <w:rPr>
          <w:color w:val="000000"/>
          <w:sz w:val="24"/>
          <w:szCs w:val="24"/>
        </w:rPr>
        <w:t xml:space="preserve">ou l’objectif de l’évaluateur quand il demande aux </w:t>
      </w:r>
      <w:r>
        <w:rPr>
          <w:color w:val="000000"/>
          <w:sz w:val="24"/>
          <w:szCs w:val="24"/>
        </w:rPr>
        <w:t>apprenants d</w:t>
      </w:r>
      <w:r w:rsidRPr="00106660">
        <w:rPr>
          <w:color w:val="000000"/>
          <w:sz w:val="24"/>
          <w:szCs w:val="24"/>
        </w:rPr>
        <w:t xml:space="preserve">e former des phrases avec les </w:t>
      </w:r>
      <w:r w:rsidRPr="00BC6B82">
        <w:rPr>
          <w:sz w:val="24"/>
          <w:szCs w:val="24"/>
        </w:rPr>
        <w:t xml:space="preserve">verbes </w:t>
      </w:r>
      <w:r>
        <w:rPr>
          <w:sz w:val="24"/>
          <w:szCs w:val="24"/>
        </w:rPr>
        <w:t>proposés</w:t>
      </w:r>
      <w:r w:rsidRPr="00106660">
        <w:rPr>
          <w:color w:val="000000"/>
          <w:sz w:val="24"/>
          <w:szCs w:val="24"/>
        </w:rPr>
        <w:t xml:space="preserve">. </w:t>
      </w:r>
    </w:p>
    <w:p w14:paraId="22763F51" w14:textId="692330AF" w:rsidR="00D80693" w:rsidRDefault="00D80693" w:rsidP="00E82F39">
      <w:pPr>
        <w:spacing w:before="120"/>
        <w:jc w:val="both"/>
        <w:rPr>
          <w:color w:val="000000"/>
          <w:sz w:val="24"/>
          <w:szCs w:val="24"/>
        </w:rPr>
      </w:pPr>
      <w:r w:rsidRPr="00106660">
        <w:rPr>
          <w:color w:val="000000"/>
          <w:sz w:val="24"/>
          <w:szCs w:val="24"/>
        </w:rPr>
        <w:t xml:space="preserve">En observant ce questionnaire, en lieu et place de </w:t>
      </w:r>
      <w:r>
        <w:rPr>
          <w:color w:val="000000"/>
          <w:sz w:val="24"/>
          <w:szCs w:val="24"/>
        </w:rPr>
        <w:t>deux</w:t>
      </w:r>
      <w:r w:rsidRPr="00106660">
        <w:rPr>
          <w:color w:val="000000"/>
          <w:sz w:val="24"/>
          <w:szCs w:val="24"/>
        </w:rPr>
        <w:t xml:space="preserve"> questions</w:t>
      </w:r>
      <w:r>
        <w:rPr>
          <w:color w:val="000000"/>
          <w:sz w:val="24"/>
          <w:szCs w:val="24"/>
        </w:rPr>
        <w:t xml:space="preserve"> (C</w:t>
      </w:r>
      <w:r w:rsidRPr="005B1D78">
        <w:rPr>
          <w:color w:val="000000"/>
          <w:sz w:val="24"/>
          <w:szCs w:val="24"/>
        </w:rPr>
        <w:t>omplétez avec l’article défini</w:t>
      </w:r>
      <w:r>
        <w:rPr>
          <w:color w:val="000000"/>
          <w:sz w:val="24"/>
          <w:szCs w:val="24"/>
        </w:rPr>
        <w:t xml:space="preserve"> et </w:t>
      </w:r>
      <w:r w:rsidRPr="00783428">
        <w:rPr>
          <w:color w:val="000000"/>
          <w:sz w:val="24"/>
          <w:szCs w:val="24"/>
        </w:rPr>
        <w:t>Employez l’article indéfini</w:t>
      </w:r>
      <w:r>
        <w:rPr>
          <w:color w:val="000000"/>
          <w:sz w:val="24"/>
          <w:szCs w:val="24"/>
        </w:rPr>
        <w:t xml:space="preserve">), </w:t>
      </w:r>
      <w:r w:rsidRPr="00106660">
        <w:rPr>
          <w:color w:val="000000"/>
          <w:sz w:val="24"/>
          <w:szCs w:val="24"/>
        </w:rPr>
        <w:t xml:space="preserve">on en aurait seulement </w:t>
      </w:r>
      <w:r>
        <w:rPr>
          <w:color w:val="000000"/>
          <w:sz w:val="24"/>
          <w:szCs w:val="24"/>
        </w:rPr>
        <w:t xml:space="preserve">une dans la mesure où les </w:t>
      </w:r>
      <w:proofErr w:type="gramStart"/>
      <w:r>
        <w:rPr>
          <w:color w:val="000000"/>
          <w:sz w:val="24"/>
          <w:szCs w:val="24"/>
        </w:rPr>
        <w:t xml:space="preserve">deux </w:t>
      </w:r>
      <w:r w:rsidRPr="00106660">
        <w:rPr>
          <w:color w:val="000000"/>
          <w:sz w:val="24"/>
          <w:szCs w:val="24"/>
        </w:rPr>
        <w:t xml:space="preserve"> parlent</w:t>
      </w:r>
      <w:proofErr w:type="gramEnd"/>
      <w:r w:rsidRPr="00106660">
        <w:rPr>
          <w:color w:val="000000"/>
          <w:sz w:val="24"/>
          <w:szCs w:val="24"/>
        </w:rPr>
        <w:t xml:space="preserve"> de l’emploi de l’article. On aurait seulement demandé : « </w:t>
      </w:r>
      <w:r w:rsidRPr="00106660">
        <w:rPr>
          <w:i/>
          <w:color w:val="000000"/>
          <w:sz w:val="24"/>
          <w:szCs w:val="24"/>
        </w:rPr>
        <w:t>Complétez ces phrases par l’article convenable</w:t>
      </w:r>
      <w:r w:rsidRPr="00106660">
        <w:rPr>
          <w:color w:val="000000"/>
          <w:sz w:val="24"/>
          <w:szCs w:val="24"/>
        </w:rPr>
        <w:t> ».</w:t>
      </w:r>
      <w:r w:rsidRPr="00FC60BD">
        <w:rPr>
          <w:color w:val="000000"/>
          <w:sz w:val="12"/>
          <w:szCs w:val="24"/>
        </w:rPr>
        <w:t xml:space="preserve"> </w:t>
      </w:r>
      <w:r>
        <w:rPr>
          <w:color w:val="000000"/>
          <w:sz w:val="12"/>
          <w:szCs w:val="24"/>
        </w:rPr>
        <w:t xml:space="preserve"> </w:t>
      </w:r>
      <w:r w:rsidRPr="00106660">
        <w:rPr>
          <w:color w:val="000000"/>
          <w:sz w:val="24"/>
          <w:szCs w:val="24"/>
        </w:rPr>
        <w:t xml:space="preserve">D’autre part, les questions </w:t>
      </w:r>
      <w:r>
        <w:rPr>
          <w:color w:val="000000"/>
          <w:sz w:val="24"/>
          <w:szCs w:val="24"/>
        </w:rPr>
        <w:t>(M</w:t>
      </w:r>
      <w:r w:rsidRPr="005B1D78">
        <w:rPr>
          <w:color w:val="000000"/>
          <w:sz w:val="24"/>
          <w:szCs w:val="24"/>
        </w:rPr>
        <w:t xml:space="preserve">ettez le verbe entre parenthèses </w:t>
      </w:r>
      <w:proofErr w:type="gramStart"/>
      <w:r w:rsidRPr="005B1D78">
        <w:rPr>
          <w:color w:val="000000"/>
          <w:sz w:val="24"/>
          <w:szCs w:val="24"/>
        </w:rPr>
        <w:t>a</w:t>
      </w:r>
      <w:proofErr w:type="gramEnd"/>
      <w:r w:rsidRPr="005B1D78">
        <w:rPr>
          <w:color w:val="000000"/>
          <w:sz w:val="24"/>
          <w:szCs w:val="24"/>
        </w:rPr>
        <w:t xml:space="preserve"> l’imparfait, mode </w:t>
      </w:r>
      <w:proofErr w:type="gramStart"/>
      <w:r w:rsidRPr="005B1D78">
        <w:rPr>
          <w:color w:val="000000"/>
          <w:sz w:val="24"/>
          <w:szCs w:val="24"/>
        </w:rPr>
        <w:t>indicatif</w:t>
      </w:r>
      <w:r>
        <w:rPr>
          <w:color w:val="000000"/>
          <w:sz w:val="24"/>
          <w:szCs w:val="24"/>
        </w:rPr>
        <w:t xml:space="preserve">  et</w:t>
      </w:r>
      <w:proofErr w:type="gramEnd"/>
      <w:r>
        <w:rPr>
          <w:color w:val="000000"/>
          <w:sz w:val="24"/>
          <w:szCs w:val="24"/>
        </w:rPr>
        <w:t xml:space="preserve"> C</w:t>
      </w:r>
      <w:r w:rsidRPr="005B1D78">
        <w:rPr>
          <w:color w:val="000000"/>
          <w:sz w:val="24"/>
          <w:szCs w:val="24"/>
        </w:rPr>
        <w:t xml:space="preserve">onjuguez le verbe </w:t>
      </w:r>
      <w:r w:rsidRPr="009026F5">
        <w:rPr>
          <w:i/>
          <w:color w:val="000000"/>
          <w:sz w:val="24"/>
          <w:szCs w:val="24"/>
        </w:rPr>
        <w:t>se laver</w:t>
      </w:r>
      <w:r>
        <w:rPr>
          <w:color w:val="000000"/>
          <w:sz w:val="24"/>
          <w:szCs w:val="24"/>
        </w:rPr>
        <w:t xml:space="preserve"> au présent de l’indicatif à la </w:t>
      </w:r>
      <w:r w:rsidRPr="005B1D78">
        <w:rPr>
          <w:color w:val="000000"/>
          <w:sz w:val="24"/>
          <w:szCs w:val="24"/>
        </w:rPr>
        <w:t>forme négative</w:t>
      </w:r>
      <w:r>
        <w:rPr>
          <w:color w:val="000000"/>
          <w:sz w:val="24"/>
          <w:szCs w:val="24"/>
        </w:rPr>
        <w:t xml:space="preserve">) </w:t>
      </w:r>
      <w:r w:rsidRPr="00106660">
        <w:rPr>
          <w:color w:val="000000"/>
          <w:sz w:val="24"/>
          <w:szCs w:val="24"/>
        </w:rPr>
        <w:t>traitant de la conjugaison se résumeraient en une seule : « </w:t>
      </w:r>
      <w:r w:rsidRPr="00106660">
        <w:rPr>
          <w:i/>
          <w:color w:val="000000"/>
          <w:sz w:val="24"/>
          <w:szCs w:val="24"/>
        </w:rPr>
        <w:t>Conjuguez les verbes entre parenthèses au temps et au mode indiqué</w:t>
      </w:r>
      <w:r w:rsidR="00026258">
        <w:rPr>
          <w:i/>
          <w:color w:val="000000"/>
          <w:sz w:val="24"/>
          <w:szCs w:val="24"/>
        </w:rPr>
        <w:t xml:space="preserve"> ». </w:t>
      </w:r>
      <w:r w:rsidRPr="00106660">
        <w:rPr>
          <w:color w:val="000000"/>
          <w:sz w:val="24"/>
          <w:szCs w:val="24"/>
        </w:rPr>
        <w:t xml:space="preserve">En plus, </w:t>
      </w:r>
      <w:r>
        <w:rPr>
          <w:color w:val="000000"/>
          <w:sz w:val="24"/>
          <w:szCs w:val="24"/>
        </w:rPr>
        <w:t>dans une épreuve trimestrielle de français</w:t>
      </w:r>
      <w:r w:rsidRPr="00106660">
        <w:rPr>
          <w:color w:val="000000"/>
          <w:sz w:val="24"/>
          <w:szCs w:val="24"/>
        </w:rPr>
        <w:t xml:space="preserve">, nous constatons que l’enseignant a concentré </w:t>
      </w:r>
      <w:r>
        <w:rPr>
          <w:color w:val="000000"/>
          <w:sz w:val="24"/>
          <w:szCs w:val="24"/>
        </w:rPr>
        <w:t xml:space="preserve">son évaluation uniquement </w:t>
      </w:r>
      <w:r w:rsidRPr="00106660">
        <w:rPr>
          <w:color w:val="000000"/>
          <w:sz w:val="24"/>
          <w:szCs w:val="24"/>
        </w:rPr>
        <w:t>sur « l’emploi des pronoms personnels ». Qu’adviendrait-il si l’apprenant n’as pas compris ou dominé l’emploi de ce type de pronoms ?</w:t>
      </w:r>
      <w:r>
        <w:rPr>
          <w:color w:val="000000"/>
          <w:sz w:val="24"/>
          <w:szCs w:val="24"/>
        </w:rPr>
        <w:t xml:space="preserve"> Ne serait-il pas souhaitable que, </w:t>
      </w:r>
      <w:r>
        <w:rPr>
          <w:sz w:val="24"/>
          <w:szCs w:val="24"/>
        </w:rPr>
        <w:t>p</w:t>
      </w:r>
      <w:r w:rsidRPr="00486222">
        <w:rPr>
          <w:sz w:val="24"/>
          <w:szCs w:val="24"/>
        </w:rPr>
        <w:t xml:space="preserve">our plus d’objectivité et d’équilibre, un questionnaire en </w:t>
      </w:r>
      <w:r>
        <w:rPr>
          <w:sz w:val="24"/>
          <w:szCs w:val="24"/>
        </w:rPr>
        <w:t xml:space="preserve">couvre </w:t>
      </w:r>
      <w:r w:rsidRPr="00486222">
        <w:rPr>
          <w:sz w:val="24"/>
          <w:szCs w:val="24"/>
        </w:rPr>
        <w:t>toute la matière étudiée, ou du moins la plus grande partie de cette matière</w:t>
      </w:r>
      <w:r>
        <w:rPr>
          <w:sz w:val="24"/>
          <w:szCs w:val="24"/>
        </w:rPr>
        <w:t> ?</w:t>
      </w:r>
      <w:r w:rsidRPr="00106660">
        <w:rPr>
          <w:color w:val="000000"/>
          <w:sz w:val="24"/>
          <w:szCs w:val="24"/>
        </w:rPr>
        <w:t xml:space="preserve"> </w:t>
      </w:r>
      <w:r>
        <w:rPr>
          <w:color w:val="000000"/>
          <w:sz w:val="24"/>
          <w:szCs w:val="24"/>
        </w:rPr>
        <w:t>En</w:t>
      </w:r>
      <w:r w:rsidRPr="00106660">
        <w:rPr>
          <w:color w:val="000000"/>
          <w:sz w:val="24"/>
          <w:szCs w:val="24"/>
        </w:rPr>
        <w:t>fin</w:t>
      </w:r>
      <w:r>
        <w:rPr>
          <w:color w:val="000000"/>
          <w:sz w:val="24"/>
          <w:szCs w:val="24"/>
        </w:rPr>
        <w:t>, en</w:t>
      </w:r>
      <w:r w:rsidRPr="00106660">
        <w:rPr>
          <w:color w:val="000000"/>
          <w:sz w:val="24"/>
          <w:szCs w:val="24"/>
        </w:rPr>
        <w:t xml:space="preserve"> lieu et place de la traduction</w:t>
      </w:r>
      <w:r>
        <w:rPr>
          <w:color w:val="000000"/>
          <w:sz w:val="24"/>
          <w:szCs w:val="24"/>
        </w:rPr>
        <w:t xml:space="preserve"> (</w:t>
      </w:r>
      <w:proofErr w:type="gramStart"/>
      <w:r w:rsidRPr="0080111A">
        <w:rPr>
          <w:color w:val="000000"/>
          <w:sz w:val="24"/>
          <w:szCs w:val="24"/>
        </w:rPr>
        <w:t>Traduisez  ces</w:t>
      </w:r>
      <w:proofErr w:type="gramEnd"/>
      <w:r w:rsidRPr="0080111A">
        <w:rPr>
          <w:color w:val="000000"/>
          <w:sz w:val="24"/>
          <w:szCs w:val="24"/>
        </w:rPr>
        <w:t xml:space="preserve"> expressions en français</w:t>
      </w:r>
      <w:r>
        <w:rPr>
          <w:color w:val="000000"/>
          <w:sz w:val="24"/>
          <w:szCs w:val="24"/>
        </w:rPr>
        <w:t>)</w:t>
      </w:r>
      <w:r w:rsidRPr="00106660">
        <w:rPr>
          <w:color w:val="000000"/>
          <w:sz w:val="24"/>
          <w:szCs w:val="24"/>
        </w:rPr>
        <w:t>, il serait préférable de poser des questions portant sur la synonymie et</w:t>
      </w:r>
      <w:r>
        <w:rPr>
          <w:color w:val="000000"/>
          <w:sz w:val="24"/>
          <w:szCs w:val="24"/>
        </w:rPr>
        <w:t xml:space="preserve"> l’antonymie, ou </w:t>
      </w:r>
      <w:proofErr w:type="gramStart"/>
      <w:r>
        <w:rPr>
          <w:color w:val="000000"/>
          <w:sz w:val="24"/>
          <w:szCs w:val="24"/>
        </w:rPr>
        <w:t>sur  la</w:t>
      </w:r>
      <w:proofErr w:type="gramEnd"/>
      <w:r>
        <w:rPr>
          <w:color w:val="000000"/>
          <w:sz w:val="24"/>
          <w:szCs w:val="24"/>
        </w:rPr>
        <w:t xml:space="preserve"> </w:t>
      </w:r>
      <w:r w:rsidRPr="00106660">
        <w:rPr>
          <w:color w:val="000000"/>
          <w:sz w:val="24"/>
          <w:szCs w:val="24"/>
        </w:rPr>
        <w:t>phraséologie.</w:t>
      </w:r>
    </w:p>
    <w:p w14:paraId="794A20C2" w14:textId="77777777" w:rsidR="00D80693" w:rsidRDefault="00D80693" w:rsidP="00E82F39">
      <w:pPr>
        <w:spacing w:before="120"/>
        <w:jc w:val="center"/>
        <w:rPr>
          <w:b/>
          <w:i/>
          <w:color w:val="000000"/>
          <w:vertAlign w:val="superscript"/>
        </w:rPr>
      </w:pPr>
      <w:proofErr w:type="gramStart"/>
      <w:r w:rsidRPr="00B87A22">
        <w:rPr>
          <w:b/>
          <w:i/>
          <w:color w:val="000000"/>
        </w:rPr>
        <w:t xml:space="preserve">Tableau </w:t>
      </w:r>
      <w:r>
        <w:rPr>
          <w:b/>
          <w:i/>
          <w:color w:val="000000"/>
        </w:rPr>
        <w:t xml:space="preserve"> n</w:t>
      </w:r>
      <w:proofErr w:type="gramEnd"/>
      <w:r>
        <w:rPr>
          <w:b/>
          <w:i/>
          <w:color w:val="000000"/>
        </w:rPr>
        <w:t xml:space="preserve">° </w:t>
      </w:r>
      <w:r w:rsidRPr="00C838E3">
        <w:rPr>
          <w:b/>
          <w:i/>
        </w:rPr>
        <w:t>08</w:t>
      </w:r>
      <w:r w:rsidRPr="00B87A22">
        <w:rPr>
          <w:b/>
          <w:i/>
          <w:color w:val="000000"/>
        </w:rPr>
        <w:t xml:space="preserve"> : </w:t>
      </w:r>
      <w:r>
        <w:rPr>
          <w:b/>
          <w:i/>
          <w:color w:val="000000"/>
        </w:rPr>
        <w:t>Questionnaire</w:t>
      </w:r>
      <w:r w:rsidRPr="00B87A22">
        <w:rPr>
          <w:b/>
          <w:i/>
          <w:color w:val="000000"/>
        </w:rPr>
        <w:t xml:space="preserve"> de la classe de 12</w:t>
      </w:r>
      <w:r w:rsidRPr="00B87A22">
        <w:rPr>
          <w:b/>
          <w:i/>
          <w:color w:val="000000"/>
          <w:vertAlign w:val="superscript"/>
        </w:rPr>
        <w:t>ème</w:t>
      </w:r>
    </w:p>
    <w:tbl>
      <w:tblPr>
        <w:tblStyle w:val="TableGrid10"/>
        <w:tblW w:w="0" w:type="auto"/>
        <w:tblLook w:val="04A0" w:firstRow="1" w:lastRow="0" w:firstColumn="1" w:lastColumn="0" w:noHBand="0" w:noVBand="1"/>
      </w:tblPr>
      <w:tblGrid>
        <w:gridCol w:w="3026"/>
        <w:gridCol w:w="6034"/>
      </w:tblGrid>
      <w:tr w:rsidR="00D80693" w14:paraId="3B176CF1" w14:textId="77777777" w:rsidTr="00D72320">
        <w:tc>
          <w:tcPr>
            <w:tcW w:w="3070" w:type="dxa"/>
            <w:shd w:val="clear" w:color="auto" w:fill="00B0F0"/>
          </w:tcPr>
          <w:p w14:paraId="2BD7A977" w14:textId="77777777" w:rsidR="00D80693" w:rsidRPr="006E6625" w:rsidRDefault="00D80693" w:rsidP="00026258">
            <w:pPr>
              <w:spacing w:before="120"/>
              <w:contextualSpacing/>
              <w:jc w:val="both"/>
              <w:rPr>
                <w:b/>
                <w:color w:val="000000"/>
                <w:sz w:val="24"/>
                <w:szCs w:val="24"/>
              </w:rPr>
            </w:pPr>
            <w:r w:rsidRPr="006E6625">
              <w:rPr>
                <w:b/>
                <w:color w:val="000000"/>
                <w:sz w:val="24"/>
                <w:szCs w:val="24"/>
              </w:rPr>
              <w:t>Types de questions</w:t>
            </w:r>
          </w:p>
        </w:tc>
        <w:tc>
          <w:tcPr>
            <w:tcW w:w="6140" w:type="dxa"/>
            <w:shd w:val="clear" w:color="auto" w:fill="00B0F0"/>
          </w:tcPr>
          <w:p w14:paraId="0B8CFECB" w14:textId="77777777" w:rsidR="00D80693" w:rsidRPr="006E6625" w:rsidRDefault="00D80693" w:rsidP="00026258">
            <w:pPr>
              <w:spacing w:before="120"/>
              <w:contextualSpacing/>
              <w:jc w:val="both"/>
              <w:rPr>
                <w:b/>
                <w:color w:val="000000"/>
                <w:sz w:val="24"/>
                <w:szCs w:val="24"/>
              </w:rPr>
            </w:pPr>
            <w:r w:rsidRPr="006E6625">
              <w:rPr>
                <w:b/>
                <w:color w:val="000000"/>
                <w:sz w:val="24"/>
                <w:szCs w:val="24"/>
              </w:rPr>
              <w:t>Questions posées</w:t>
            </w:r>
          </w:p>
        </w:tc>
      </w:tr>
      <w:tr w:rsidR="00D80693" w14:paraId="2FC40CE1" w14:textId="77777777" w:rsidTr="00D72320">
        <w:tc>
          <w:tcPr>
            <w:tcW w:w="3070" w:type="dxa"/>
          </w:tcPr>
          <w:p w14:paraId="0CBB2010" w14:textId="77777777" w:rsidR="00D80693" w:rsidRPr="002F00BF" w:rsidRDefault="00D80693" w:rsidP="00026258">
            <w:pPr>
              <w:spacing w:before="120"/>
              <w:contextualSpacing/>
              <w:jc w:val="both"/>
              <w:rPr>
                <w:color w:val="000000"/>
                <w:sz w:val="24"/>
                <w:szCs w:val="24"/>
              </w:rPr>
            </w:pPr>
            <w:r>
              <w:rPr>
                <w:color w:val="000000"/>
                <w:sz w:val="24"/>
                <w:szCs w:val="24"/>
              </w:rPr>
              <w:t>Questions fermées</w:t>
            </w:r>
          </w:p>
        </w:tc>
        <w:tc>
          <w:tcPr>
            <w:tcW w:w="6140" w:type="dxa"/>
          </w:tcPr>
          <w:p w14:paraId="01C9B65F" w14:textId="77777777" w:rsidR="00D80693" w:rsidRPr="00CB7A1E" w:rsidRDefault="00D80693" w:rsidP="00026258">
            <w:pPr>
              <w:spacing w:before="120"/>
              <w:contextualSpacing/>
              <w:rPr>
                <w:sz w:val="24"/>
                <w:szCs w:val="24"/>
              </w:rPr>
            </w:pPr>
            <w:r w:rsidRPr="004230BE">
              <w:t xml:space="preserve">- </w:t>
            </w:r>
            <w:r w:rsidRPr="00CB7A1E">
              <w:rPr>
                <w:sz w:val="24"/>
                <w:szCs w:val="24"/>
              </w:rPr>
              <w:t xml:space="preserve">Employez </w:t>
            </w:r>
            <w:r w:rsidRPr="006E6625">
              <w:rPr>
                <w:i/>
                <w:sz w:val="24"/>
                <w:szCs w:val="24"/>
              </w:rPr>
              <w:t>est</w:t>
            </w:r>
            <w:r w:rsidRPr="00CB7A1E">
              <w:rPr>
                <w:sz w:val="24"/>
                <w:szCs w:val="24"/>
              </w:rPr>
              <w:t xml:space="preserve"> ou </w:t>
            </w:r>
            <w:proofErr w:type="gramStart"/>
            <w:r w:rsidRPr="006E6625">
              <w:rPr>
                <w:i/>
                <w:sz w:val="24"/>
                <w:szCs w:val="24"/>
              </w:rPr>
              <w:t>sont</w:t>
            </w:r>
            <w:r w:rsidRPr="00CB7A1E">
              <w:rPr>
                <w:sz w:val="24"/>
                <w:szCs w:val="24"/>
              </w:rPr>
              <w:t>  dans</w:t>
            </w:r>
            <w:proofErr w:type="gramEnd"/>
            <w:r w:rsidRPr="00CB7A1E">
              <w:rPr>
                <w:sz w:val="24"/>
                <w:szCs w:val="24"/>
              </w:rPr>
              <w:t xml:space="preserve"> ces phrases.</w:t>
            </w:r>
          </w:p>
          <w:p w14:paraId="32660299" w14:textId="77777777" w:rsidR="00D80693" w:rsidRPr="00CB7A1E" w:rsidRDefault="00D80693" w:rsidP="00026258">
            <w:pPr>
              <w:spacing w:before="120"/>
              <w:contextualSpacing/>
              <w:rPr>
                <w:sz w:val="24"/>
                <w:szCs w:val="24"/>
                <w:u w:val="single"/>
              </w:rPr>
            </w:pPr>
            <w:r w:rsidRPr="00CB7A1E">
              <w:rPr>
                <w:sz w:val="24"/>
                <w:szCs w:val="24"/>
              </w:rPr>
              <w:t xml:space="preserve">- Remplacez les mots soulignés par les pronoms </w:t>
            </w:r>
            <w:proofErr w:type="gramStart"/>
            <w:r w:rsidRPr="00CB7A1E">
              <w:rPr>
                <w:sz w:val="24"/>
                <w:szCs w:val="24"/>
              </w:rPr>
              <w:t xml:space="preserve">personnels  </w:t>
            </w:r>
            <w:r w:rsidRPr="00CB7A1E">
              <w:rPr>
                <w:i/>
                <w:sz w:val="24"/>
                <w:szCs w:val="24"/>
              </w:rPr>
              <w:t>II</w:t>
            </w:r>
            <w:proofErr w:type="gramEnd"/>
            <w:r w:rsidRPr="00CB7A1E">
              <w:rPr>
                <w:i/>
                <w:sz w:val="24"/>
                <w:szCs w:val="24"/>
              </w:rPr>
              <w:t>, Elle, Ils ou Elles</w:t>
            </w:r>
            <w:r w:rsidRPr="00CB7A1E">
              <w:rPr>
                <w:sz w:val="24"/>
                <w:szCs w:val="24"/>
              </w:rPr>
              <w:t>.</w:t>
            </w:r>
          </w:p>
          <w:p w14:paraId="0E7E883F" w14:textId="77777777" w:rsidR="00D80693" w:rsidRPr="00CB7A1E" w:rsidRDefault="00D80693" w:rsidP="00026258">
            <w:pPr>
              <w:spacing w:before="120"/>
              <w:contextualSpacing/>
              <w:rPr>
                <w:sz w:val="24"/>
                <w:szCs w:val="24"/>
              </w:rPr>
            </w:pPr>
            <w:r w:rsidRPr="00CB7A1E">
              <w:rPr>
                <w:sz w:val="24"/>
                <w:szCs w:val="24"/>
              </w:rPr>
              <w:t>- Ecrivez Vrai (V) ou Faux (F) devant la phrase correcte.</w:t>
            </w:r>
          </w:p>
          <w:p w14:paraId="273D8924" w14:textId="77777777" w:rsidR="00D80693" w:rsidRPr="00CB7A1E" w:rsidRDefault="00D80693" w:rsidP="00026258">
            <w:pPr>
              <w:spacing w:before="120"/>
              <w:contextualSpacing/>
              <w:rPr>
                <w:sz w:val="24"/>
                <w:szCs w:val="24"/>
              </w:rPr>
            </w:pPr>
            <w:r w:rsidRPr="00CB7A1E">
              <w:rPr>
                <w:sz w:val="24"/>
                <w:szCs w:val="24"/>
              </w:rPr>
              <w:t>-Passez les phrases suivantes à la forme négative (ne……pas).</w:t>
            </w:r>
          </w:p>
          <w:p w14:paraId="7EC30304" w14:textId="77777777" w:rsidR="00D80693" w:rsidRPr="00CB7A1E" w:rsidRDefault="00D80693" w:rsidP="00026258">
            <w:pPr>
              <w:spacing w:before="120"/>
              <w:contextualSpacing/>
              <w:rPr>
                <w:sz w:val="24"/>
                <w:szCs w:val="24"/>
              </w:rPr>
            </w:pPr>
            <w:r w:rsidRPr="00CB7A1E">
              <w:rPr>
                <w:sz w:val="24"/>
                <w:szCs w:val="24"/>
              </w:rPr>
              <w:t>- Quels sont les personnages du texte ?</w:t>
            </w:r>
          </w:p>
          <w:p w14:paraId="1A57A199" w14:textId="77777777" w:rsidR="00D80693" w:rsidRPr="00CB7A1E" w:rsidRDefault="00D80693" w:rsidP="00026258">
            <w:pPr>
              <w:spacing w:before="120"/>
              <w:contextualSpacing/>
              <w:rPr>
                <w:sz w:val="24"/>
                <w:szCs w:val="24"/>
              </w:rPr>
            </w:pPr>
            <w:r w:rsidRPr="00CB7A1E">
              <w:rPr>
                <w:sz w:val="24"/>
                <w:szCs w:val="24"/>
              </w:rPr>
              <w:t>- Qu’est-ce que Maud fait ?</w:t>
            </w:r>
          </w:p>
          <w:p w14:paraId="2EDF28D9" w14:textId="77777777" w:rsidR="00D80693" w:rsidRPr="00CB7A1E" w:rsidRDefault="00D80693" w:rsidP="00026258">
            <w:pPr>
              <w:spacing w:before="120"/>
              <w:contextualSpacing/>
              <w:rPr>
                <w:sz w:val="24"/>
                <w:szCs w:val="24"/>
              </w:rPr>
            </w:pPr>
            <w:r w:rsidRPr="00CB7A1E">
              <w:rPr>
                <w:sz w:val="24"/>
                <w:szCs w:val="24"/>
              </w:rPr>
              <w:t xml:space="preserve">- Est-ce que Christophe veut déjà travailler après </w:t>
            </w:r>
            <w:proofErr w:type="gramStart"/>
            <w:r w:rsidRPr="00CB7A1E">
              <w:rPr>
                <w:sz w:val="24"/>
                <w:szCs w:val="24"/>
              </w:rPr>
              <w:t>avoir  terminé</w:t>
            </w:r>
            <w:proofErr w:type="gramEnd"/>
            <w:r w:rsidRPr="00CB7A1E">
              <w:rPr>
                <w:sz w:val="24"/>
                <w:szCs w:val="24"/>
              </w:rPr>
              <w:t xml:space="preserve"> le Lycée ?</w:t>
            </w:r>
          </w:p>
          <w:p w14:paraId="422EE480" w14:textId="77777777" w:rsidR="00D80693" w:rsidRPr="00CB7A1E" w:rsidRDefault="00D80693" w:rsidP="00026258">
            <w:pPr>
              <w:spacing w:before="120"/>
              <w:contextualSpacing/>
              <w:rPr>
                <w:sz w:val="24"/>
                <w:szCs w:val="24"/>
              </w:rPr>
            </w:pPr>
            <w:r w:rsidRPr="00CB7A1E">
              <w:rPr>
                <w:sz w:val="24"/>
                <w:szCs w:val="24"/>
              </w:rPr>
              <w:t>- Pourquoi Maud préfère-t-il travailler à la pâtisserie ?</w:t>
            </w:r>
          </w:p>
          <w:p w14:paraId="1C00C9E9" w14:textId="77777777" w:rsidR="00D80693" w:rsidRPr="00CB7A1E" w:rsidRDefault="00D80693" w:rsidP="00026258">
            <w:pPr>
              <w:spacing w:before="120"/>
              <w:contextualSpacing/>
              <w:rPr>
                <w:sz w:val="24"/>
                <w:szCs w:val="24"/>
              </w:rPr>
            </w:pPr>
            <w:r w:rsidRPr="00CB7A1E">
              <w:rPr>
                <w:sz w:val="24"/>
                <w:szCs w:val="24"/>
              </w:rPr>
              <w:t xml:space="preserve">- Dites si les réponses </w:t>
            </w:r>
            <w:proofErr w:type="gramStart"/>
            <w:r w:rsidRPr="00CB7A1E">
              <w:rPr>
                <w:sz w:val="24"/>
                <w:szCs w:val="24"/>
              </w:rPr>
              <w:t>suivantes  sont</w:t>
            </w:r>
            <w:proofErr w:type="gramEnd"/>
            <w:r w:rsidRPr="00CB7A1E">
              <w:rPr>
                <w:sz w:val="24"/>
                <w:szCs w:val="24"/>
              </w:rPr>
              <w:t xml:space="preserve"> Vraies (V) ou Fausses (F).</w:t>
            </w:r>
          </w:p>
          <w:p w14:paraId="654EA717" w14:textId="77777777" w:rsidR="00D80693" w:rsidRPr="00CB7A1E" w:rsidRDefault="00D80693" w:rsidP="00026258">
            <w:pPr>
              <w:spacing w:before="120"/>
              <w:contextualSpacing/>
              <w:rPr>
                <w:sz w:val="24"/>
                <w:szCs w:val="24"/>
              </w:rPr>
            </w:pPr>
            <w:r w:rsidRPr="00CB7A1E">
              <w:rPr>
                <w:sz w:val="24"/>
                <w:szCs w:val="24"/>
              </w:rPr>
              <w:t>- Quels sont les personnages du texte ?</w:t>
            </w:r>
          </w:p>
          <w:p w14:paraId="156D0715" w14:textId="77777777" w:rsidR="00D80693" w:rsidRPr="00CB7A1E" w:rsidRDefault="00D80693" w:rsidP="00026258">
            <w:pPr>
              <w:spacing w:before="120"/>
              <w:contextualSpacing/>
              <w:rPr>
                <w:sz w:val="24"/>
                <w:szCs w:val="24"/>
              </w:rPr>
            </w:pPr>
            <w:r w:rsidRPr="00CB7A1E">
              <w:rPr>
                <w:sz w:val="24"/>
                <w:szCs w:val="24"/>
              </w:rPr>
              <w:t>- Qui est Tamba Diabaté ?</w:t>
            </w:r>
          </w:p>
          <w:p w14:paraId="12B56F6C" w14:textId="77777777" w:rsidR="00D80693" w:rsidRPr="00CB7A1E" w:rsidRDefault="00D80693" w:rsidP="00026258">
            <w:pPr>
              <w:spacing w:before="120"/>
              <w:contextualSpacing/>
              <w:rPr>
                <w:sz w:val="24"/>
                <w:szCs w:val="24"/>
              </w:rPr>
            </w:pPr>
            <w:r w:rsidRPr="00CB7A1E">
              <w:rPr>
                <w:sz w:val="24"/>
                <w:szCs w:val="24"/>
              </w:rPr>
              <w:t>- Il avait abandonné son village à quel âge ?</w:t>
            </w:r>
          </w:p>
          <w:p w14:paraId="55803DF4" w14:textId="77777777" w:rsidR="00D80693" w:rsidRPr="00CB7A1E" w:rsidRDefault="00D80693" w:rsidP="00026258">
            <w:pPr>
              <w:spacing w:before="120"/>
              <w:contextualSpacing/>
              <w:rPr>
                <w:sz w:val="24"/>
                <w:szCs w:val="24"/>
              </w:rPr>
            </w:pPr>
            <w:r w:rsidRPr="00CB7A1E">
              <w:rPr>
                <w:sz w:val="24"/>
                <w:szCs w:val="24"/>
              </w:rPr>
              <w:t xml:space="preserve">- Pourquoi on a démoli la maison de Namore </w:t>
            </w:r>
            <w:proofErr w:type="spellStart"/>
            <w:r w:rsidRPr="00CB7A1E">
              <w:rPr>
                <w:sz w:val="24"/>
                <w:szCs w:val="24"/>
              </w:rPr>
              <w:t>Adiaffi</w:t>
            </w:r>
            <w:proofErr w:type="spellEnd"/>
            <w:r w:rsidRPr="00CB7A1E">
              <w:rPr>
                <w:sz w:val="24"/>
                <w:szCs w:val="24"/>
              </w:rPr>
              <w:t> ?</w:t>
            </w:r>
          </w:p>
          <w:p w14:paraId="33D58A90" w14:textId="77777777" w:rsidR="00D80693" w:rsidRPr="00CB7A1E" w:rsidRDefault="00D80693" w:rsidP="00026258">
            <w:pPr>
              <w:spacing w:before="120"/>
              <w:contextualSpacing/>
              <w:rPr>
                <w:sz w:val="24"/>
                <w:szCs w:val="24"/>
              </w:rPr>
            </w:pPr>
            <w:r w:rsidRPr="00CB7A1E">
              <w:rPr>
                <w:sz w:val="24"/>
                <w:szCs w:val="24"/>
              </w:rPr>
              <w:t xml:space="preserve">- Pourquoi Tamba Diabaté aimait beaucoup Namore </w:t>
            </w:r>
            <w:proofErr w:type="spellStart"/>
            <w:r w:rsidRPr="00CB7A1E">
              <w:rPr>
                <w:sz w:val="24"/>
                <w:szCs w:val="24"/>
              </w:rPr>
              <w:t>Adiaffi</w:t>
            </w:r>
            <w:proofErr w:type="spellEnd"/>
            <w:r w:rsidRPr="00CB7A1E">
              <w:rPr>
                <w:sz w:val="24"/>
                <w:szCs w:val="24"/>
              </w:rPr>
              <w:t> ?</w:t>
            </w:r>
          </w:p>
          <w:p w14:paraId="223196BF" w14:textId="77777777" w:rsidR="00D80693" w:rsidRPr="00CB7A1E" w:rsidRDefault="00D80693" w:rsidP="00026258">
            <w:pPr>
              <w:spacing w:before="120"/>
              <w:contextualSpacing/>
              <w:rPr>
                <w:sz w:val="24"/>
                <w:szCs w:val="24"/>
              </w:rPr>
            </w:pPr>
            <w:r w:rsidRPr="00CB7A1E">
              <w:rPr>
                <w:sz w:val="24"/>
                <w:szCs w:val="24"/>
              </w:rPr>
              <w:t>-  Complétez le texte par un adjectif possessif.</w:t>
            </w:r>
          </w:p>
          <w:p w14:paraId="6370EE75" w14:textId="77777777" w:rsidR="00D80693" w:rsidRPr="00CB7A1E" w:rsidRDefault="00D80693" w:rsidP="00026258">
            <w:pPr>
              <w:spacing w:before="120"/>
              <w:contextualSpacing/>
              <w:rPr>
                <w:sz w:val="24"/>
                <w:szCs w:val="24"/>
              </w:rPr>
            </w:pPr>
            <w:r w:rsidRPr="00CB7A1E">
              <w:rPr>
                <w:sz w:val="24"/>
                <w:szCs w:val="24"/>
              </w:rPr>
              <w:t>- Complétez par un adjectif démonstratif.</w:t>
            </w:r>
          </w:p>
          <w:p w14:paraId="7E78ECDF" w14:textId="77777777" w:rsidR="00D80693" w:rsidRPr="00CB7A1E" w:rsidRDefault="00D80693" w:rsidP="00026258">
            <w:pPr>
              <w:spacing w:before="120"/>
              <w:contextualSpacing/>
              <w:rPr>
                <w:sz w:val="24"/>
                <w:szCs w:val="24"/>
              </w:rPr>
            </w:pPr>
            <w:r w:rsidRPr="00CB7A1E">
              <w:rPr>
                <w:sz w:val="24"/>
                <w:szCs w:val="24"/>
              </w:rPr>
              <w:t>- Dites si les affirmations suivantes sont Vraies (V) ou Fausses (F).</w:t>
            </w:r>
          </w:p>
          <w:p w14:paraId="00241636" w14:textId="77777777" w:rsidR="00D80693" w:rsidRPr="00CB7A1E" w:rsidRDefault="00D80693" w:rsidP="00026258">
            <w:pPr>
              <w:spacing w:before="120"/>
              <w:contextualSpacing/>
              <w:rPr>
                <w:sz w:val="24"/>
                <w:szCs w:val="24"/>
              </w:rPr>
            </w:pPr>
            <w:r w:rsidRPr="00CB7A1E">
              <w:rPr>
                <w:sz w:val="24"/>
                <w:szCs w:val="24"/>
              </w:rPr>
              <w:t>-Remplacez les noms soulignés par des pronoms correspondants.</w:t>
            </w:r>
          </w:p>
          <w:p w14:paraId="0374B803" w14:textId="77777777" w:rsidR="00D80693" w:rsidRDefault="00D80693" w:rsidP="00026258">
            <w:pPr>
              <w:spacing w:before="120"/>
              <w:contextualSpacing/>
              <w:rPr>
                <w:b/>
              </w:rPr>
            </w:pPr>
            <w:r w:rsidRPr="00CB7A1E">
              <w:rPr>
                <w:sz w:val="24"/>
                <w:szCs w:val="24"/>
              </w:rPr>
              <w:t>- Mettez les auxiliaires manquants.</w:t>
            </w:r>
          </w:p>
        </w:tc>
      </w:tr>
      <w:tr w:rsidR="00D80693" w14:paraId="555205E6" w14:textId="77777777" w:rsidTr="00D72320">
        <w:tc>
          <w:tcPr>
            <w:tcW w:w="3070" w:type="dxa"/>
          </w:tcPr>
          <w:p w14:paraId="0F2EE806" w14:textId="77777777" w:rsidR="00D80693" w:rsidRPr="002F00BF" w:rsidRDefault="00D80693" w:rsidP="00026258">
            <w:pPr>
              <w:spacing w:before="120"/>
              <w:contextualSpacing/>
              <w:rPr>
                <w:color w:val="000000"/>
                <w:sz w:val="24"/>
                <w:szCs w:val="24"/>
              </w:rPr>
            </w:pPr>
            <w:r>
              <w:rPr>
                <w:color w:val="000000"/>
                <w:sz w:val="24"/>
                <w:szCs w:val="24"/>
              </w:rPr>
              <w:t>Question</w:t>
            </w:r>
            <w:r w:rsidRPr="002F00BF">
              <w:rPr>
                <w:color w:val="000000"/>
                <w:sz w:val="24"/>
                <w:szCs w:val="24"/>
              </w:rPr>
              <w:t xml:space="preserve"> de </w:t>
            </w:r>
            <w:r>
              <w:rPr>
                <w:color w:val="000000"/>
                <w:sz w:val="24"/>
                <w:szCs w:val="24"/>
              </w:rPr>
              <w:t>production courte</w:t>
            </w:r>
          </w:p>
        </w:tc>
        <w:tc>
          <w:tcPr>
            <w:tcW w:w="6140" w:type="dxa"/>
          </w:tcPr>
          <w:p w14:paraId="1587D808" w14:textId="77777777" w:rsidR="00D80693" w:rsidRPr="00CB7A1E" w:rsidRDefault="00D80693" w:rsidP="00026258">
            <w:pPr>
              <w:spacing w:before="120"/>
              <w:contextualSpacing/>
              <w:rPr>
                <w:sz w:val="24"/>
                <w:szCs w:val="24"/>
              </w:rPr>
            </w:pPr>
            <w:r w:rsidRPr="00CB7A1E">
              <w:rPr>
                <w:sz w:val="24"/>
                <w:szCs w:val="24"/>
              </w:rPr>
              <w:t>-</w:t>
            </w:r>
            <w:r w:rsidRPr="00CB7A1E">
              <w:rPr>
                <w:b/>
                <w:sz w:val="24"/>
                <w:szCs w:val="24"/>
              </w:rPr>
              <w:t xml:space="preserve"> </w:t>
            </w:r>
            <w:r w:rsidRPr="00CB7A1E">
              <w:rPr>
                <w:sz w:val="24"/>
                <w:szCs w:val="24"/>
              </w:rPr>
              <w:t>Selon le contenu présenté, donnez un titre au texte ?</w:t>
            </w:r>
          </w:p>
          <w:p w14:paraId="17775C53" w14:textId="77777777" w:rsidR="00D80693" w:rsidRPr="00CB7A1E" w:rsidRDefault="00D80693" w:rsidP="00026258">
            <w:pPr>
              <w:spacing w:before="120"/>
              <w:contextualSpacing/>
              <w:rPr>
                <w:sz w:val="24"/>
                <w:szCs w:val="24"/>
              </w:rPr>
            </w:pPr>
            <w:r w:rsidRPr="00CB7A1E">
              <w:rPr>
                <w:sz w:val="24"/>
                <w:szCs w:val="24"/>
              </w:rPr>
              <w:t xml:space="preserve">- Formez quatre phrases avec les </w:t>
            </w:r>
            <w:proofErr w:type="gramStart"/>
            <w:r w:rsidRPr="00CB7A1E">
              <w:rPr>
                <w:sz w:val="24"/>
                <w:szCs w:val="24"/>
              </w:rPr>
              <w:t>adjectifs  interrogatifs</w:t>
            </w:r>
            <w:proofErr w:type="gramEnd"/>
            <w:r w:rsidRPr="00CB7A1E">
              <w:rPr>
                <w:sz w:val="24"/>
                <w:szCs w:val="24"/>
              </w:rPr>
              <w:t xml:space="preserve"> suivants.</w:t>
            </w:r>
          </w:p>
          <w:p w14:paraId="591D9AD4" w14:textId="77777777" w:rsidR="00D80693" w:rsidRDefault="00D80693" w:rsidP="00026258">
            <w:pPr>
              <w:spacing w:before="120"/>
              <w:contextualSpacing/>
              <w:rPr>
                <w:b/>
                <w:sz w:val="24"/>
                <w:szCs w:val="24"/>
              </w:rPr>
            </w:pPr>
            <w:r w:rsidRPr="00CB7A1E">
              <w:rPr>
                <w:sz w:val="24"/>
                <w:szCs w:val="24"/>
              </w:rPr>
              <w:t>- Formez 5 phrases avec les mots suivants</w:t>
            </w:r>
            <w:r w:rsidRPr="00CB7A1E">
              <w:rPr>
                <w:b/>
                <w:sz w:val="24"/>
                <w:szCs w:val="24"/>
              </w:rPr>
              <w:t>.</w:t>
            </w:r>
          </w:p>
          <w:p w14:paraId="5FC9A1D3" w14:textId="77777777" w:rsidR="00D80693" w:rsidRDefault="00D80693" w:rsidP="00026258">
            <w:pPr>
              <w:spacing w:before="120"/>
              <w:contextualSpacing/>
              <w:rPr>
                <w:b/>
              </w:rPr>
            </w:pPr>
            <w:r>
              <w:rPr>
                <w:b/>
                <w:sz w:val="24"/>
                <w:szCs w:val="24"/>
              </w:rPr>
              <w:t>-</w:t>
            </w:r>
            <w:r w:rsidRPr="008E24F7">
              <w:rPr>
                <w:i/>
                <w:sz w:val="24"/>
                <w:szCs w:val="24"/>
              </w:rPr>
              <w:t xml:space="preserve"> </w:t>
            </w:r>
            <w:r w:rsidRPr="000E75FB">
              <w:rPr>
                <w:sz w:val="24"/>
                <w:szCs w:val="24"/>
              </w:rPr>
              <w:t>Cette phrase-là</w:t>
            </w:r>
            <w:r w:rsidRPr="008E24F7">
              <w:rPr>
                <w:i/>
                <w:sz w:val="24"/>
                <w:szCs w:val="24"/>
              </w:rPr>
              <w:t xml:space="preserve">," </w:t>
            </w:r>
            <w:r w:rsidRPr="008E24F7">
              <w:rPr>
                <w:sz w:val="24"/>
                <w:szCs w:val="24"/>
              </w:rPr>
              <w:t>Je suis venu de l’école "</w:t>
            </w:r>
            <w:r w:rsidRPr="000E75FB">
              <w:rPr>
                <w:sz w:val="24"/>
                <w:szCs w:val="24"/>
              </w:rPr>
              <w:t>passez-là à l’intonation, l’inversion, etc. </w:t>
            </w:r>
          </w:p>
        </w:tc>
      </w:tr>
      <w:tr w:rsidR="00D80693" w14:paraId="19B41378" w14:textId="77777777" w:rsidTr="00D72320">
        <w:tc>
          <w:tcPr>
            <w:tcW w:w="3070" w:type="dxa"/>
          </w:tcPr>
          <w:p w14:paraId="46B9381F" w14:textId="77777777" w:rsidR="00D80693" w:rsidRPr="002F00BF" w:rsidRDefault="00D80693" w:rsidP="00026258">
            <w:pPr>
              <w:spacing w:before="120"/>
              <w:contextualSpacing/>
              <w:rPr>
                <w:color w:val="000000"/>
                <w:sz w:val="24"/>
                <w:szCs w:val="24"/>
              </w:rPr>
            </w:pPr>
            <w:r w:rsidRPr="002F00BF">
              <w:rPr>
                <w:color w:val="000000"/>
                <w:sz w:val="24"/>
                <w:szCs w:val="24"/>
              </w:rPr>
              <w:t>Question de</w:t>
            </w:r>
            <w:r>
              <w:rPr>
                <w:color w:val="000000"/>
                <w:sz w:val="24"/>
                <w:szCs w:val="24"/>
              </w:rPr>
              <w:t xml:space="preserve"> production longue </w:t>
            </w:r>
          </w:p>
        </w:tc>
        <w:tc>
          <w:tcPr>
            <w:tcW w:w="6140" w:type="dxa"/>
          </w:tcPr>
          <w:p w14:paraId="4AAAE8DC" w14:textId="77777777" w:rsidR="00D80693" w:rsidRDefault="00D80693" w:rsidP="00026258">
            <w:pPr>
              <w:spacing w:before="120"/>
              <w:contextualSpacing/>
              <w:rPr>
                <w:b/>
                <w:color w:val="000000"/>
              </w:rPr>
            </w:pPr>
          </w:p>
        </w:tc>
      </w:tr>
    </w:tbl>
    <w:p w14:paraId="53A3FF2A" w14:textId="77777777" w:rsidR="00D80693" w:rsidRPr="002D3B10" w:rsidRDefault="00D80693" w:rsidP="00E82F39">
      <w:pPr>
        <w:spacing w:before="120"/>
        <w:jc w:val="both"/>
        <w:rPr>
          <w:i/>
          <w:color w:val="000000"/>
        </w:rPr>
      </w:pPr>
      <w:r w:rsidRPr="002D3B10">
        <w:rPr>
          <w:i/>
        </w:rPr>
        <w:t>Source : Données de recherche</w:t>
      </w:r>
      <w:r>
        <w:rPr>
          <w:i/>
        </w:rPr>
        <w:t xml:space="preserve"> personnelle</w:t>
      </w:r>
    </w:p>
    <w:p w14:paraId="47D420E7" w14:textId="77777777" w:rsidR="00D80693" w:rsidRDefault="00D80693" w:rsidP="00E82F39">
      <w:pPr>
        <w:spacing w:before="120"/>
        <w:jc w:val="both"/>
        <w:rPr>
          <w:sz w:val="24"/>
          <w:szCs w:val="24"/>
        </w:rPr>
      </w:pPr>
      <w:r w:rsidRPr="00106660">
        <w:rPr>
          <w:color w:val="000000"/>
          <w:sz w:val="24"/>
          <w:szCs w:val="24"/>
        </w:rPr>
        <w:t>Le système de questionnement, comme pour les cas précédents, est dominé par les questions étroites ou fermées</w:t>
      </w:r>
      <w:r w:rsidRPr="002B1BA2">
        <w:rPr>
          <w:sz w:val="24"/>
          <w:szCs w:val="24"/>
        </w:rPr>
        <w:t xml:space="preserve">. </w:t>
      </w:r>
      <w:r>
        <w:rPr>
          <w:sz w:val="24"/>
          <w:szCs w:val="24"/>
        </w:rPr>
        <w:t xml:space="preserve">Dans un univers </w:t>
      </w:r>
      <w:proofErr w:type="gramStart"/>
      <w:r>
        <w:rPr>
          <w:sz w:val="24"/>
          <w:szCs w:val="24"/>
        </w:rPr>
        <w:t>de  23</w:t>
      </w:r>
      <w:proofErr w:type="gramEnd"/>
      <w:r>
        <w:rPr>
          <w:sz w:val="24"/>
          <w:szCs w:val="24"/>
        </w:rPr>
        <w:t xml:space="preserve"> questions, 19 sont fermées ou étroites et 4, de production courte.</w:t>
      </w:r>
      <w:r w:rsidRPr="00106660">
        <w:rPr>
          <w:color w:val="000000"/>
          <w:sz w:val="24"/>
          <w:szCs w:val="24"/>
        </w:rPr>
        <w:t xml:space="preserve"> Aucune question</w:t>
      </w:r>
      <w:r>
        <w:rPr>
          <w:color w:val="000000"/>
          <w:sz w:val="24"/>
          <w:szCs w:val="24"/>
        </w:rPr>
        <w:t xml:space="preserve"> ouverte de production longue ne figure </w:t>
      </w:r>
      <w:r w:rsidRPr="00106660">
        <w:rPr>
          <w:color w:val="000000"/>
          <w:sz w:val="24"/>
          <w:szCs w:val="24"/>
        </w:rPr>
        <w:t>dans ce questionnaire</w:t>
      </w:r>
      <w:r>
        <w:rPr>
          <w:color w:val="000000"/>
          <w:sz w:val="24"/>
          <w:szCs w:val="24"/>
        </w:rPr>
        <w:t xml:space="preserve"> de la classe de 12</w:t>
      </w:r>
      <w:r w:rsidRPr="002B1BA2">
        <w:rPr>
          <w:color w:val="000000"/>
          <w:sz w:val="24"/>
          <w:szCs w:val="24"/>
          <w:vertAlign w:val="superscript"/>
        </w:rPr>
        <w:t>ème</w:t>
      </w:r>
      <w:r>
        <w:rPr>
          <w:color w:val="000000"/>
          <w:sz w:val="24"/>
          <w:szCs w:val="24"/>
        </w:rPr>
        <w:t xml:space="preserve">. </w:t>
      </w:r>
      <w:r w:rsidRPr="00106660">
        <w:rPr>
          <w:color w:val="000000"/>
          <w:spacing w:val="6"/>
          <w:sz w:val="24"/>
          <w:szCs w:val="24"/>
        </w:rPr>
        <w:t xml:space="preserve">Cette épreuve ne laisse donc pas, comme nous l’avons déjà </w:t>
      </w:r>
      <w:proofErr w:type="gramStart"/>
      <w:r w:rsidRPr="00106660">
        <w:rPr>
          <w:color w:val="000000"/>
          <w:spacing w:val="6"/>
          <w:sz w:val="24"/>
          <w:szCs w:val="24"/>
        </w:rPr>
        <w:t>dit,  de</w:t>
      </w:r>
      <w:proofErr w:type="gramEnd"/>
      <w:r w:rsidRPr="00106660">
        <w:rPr>
          <w:color w:val="000000"/>
          <w:spacing w:val="6"/>
          <w:sz w:val="24"/>
          <w:szCs w:val="24"/>
        </w:rPr>
        <w:t xml:space="preserve"> liberté aux </w:t>
      </w:r>
      <w:r>
        <w:rPr>
          <w:color w:val="000000"/>
          <w:spacing w:val="6"/>
          <w:sz w:val="24"/>
          <w:szCs w:val="24"/>
        </w:rPr>
        <w:t>apprenants</w:t>
      </w:r>
      <w:r w:rsidRPr="00106660">
        <w:rPr>
          <w:color w:val="000000"/>
          <w:spacing w:val="6"/>
          <w:sz w:val="24"/>
          <w:szCs w:val="24"/>
        </w:rPr>
        <w:t xml:space="preserve"> pour rechercher eux-mêmes le contenu de la réponse correcte ainsi que les moyens linguistiques d’expression à utiliser pour concrétiser leur réponse</w:t>
      </w:r>
      <w:r w:rsidRPr="000E75FB">
        <w:rPr>
          <w:color w:val="000000"/>
          <w:spacing w:val="6"/>
          <w:sz w:val="24"/>
          <w:szCs w:val="24"/>
        </w:rPr>
        <w:t>.</w:t>
      </w:r>
      <w:r w:rsidRPr="000E75FB">
        <w:rPr>
          <w:sz w:val="24"/>
          <w:szCs w:val="24"/>
        </w:rPr>
        <w:t xml:space="preserve"> Les évaluateurs </w:t>
      </w:r>
      <w:r>
        <w:rPr>
          <w:sz w:val="24"/>
          <w:szCs w:val="24"/>
        </w:rPr>
        <w:t xml:space="preserve">se cantonnent à vérifier des informations ou faits bien précis et évidents, de rappeler ces mêmes </w:t>
      </w:r>
      <w:proofErr w:type="gramStart"/>
      <w:r>
        <w:rPr>
          <w:sz w:val="24"/>
          <w:szCs w:val="24"/>
        </w:rPr>
        <w:t>faits  ou</w:t>
      </w:r>
      <w:proofErr w:type="gramEnd"/>
      <w:r>
        <w:rPr>
          <w:sz w:val="24"/>
          <w:szCs w:val="24"/>
        </w:rPr>
        <w:t xml:space="preserve"> informations et de les restituer, énumérer par les personnes interrogées. </w:t>
      </w:r>
    </w:p>
    <w:p w14:paraId="66D7EF50" w14:textId="77777777" w:rsidR="00D80693" w:rsidRPr="000F6DB2" w:rsidRDefault="00D80693" w:rsidP="00E82F39">
      <w:pPr>
        <w:spacing w:before="120"/>
        <w:jc w:val="both"/>
        <w:rPr>
          <w:sz w:val="28"/>
          <w:szCs w:val="28"/>
        </w:rPr>
      </w:pPr>
      <w:r>
        <w:rPr>
          <w:sz w:val="24"/>
          <w:szCs w:val="24"/>
        </w:rPr>
        <w:t xml:space="preserve">Au lieu de se cantonner ou de se limiter seulement aux questions étroites ou fermées, il est vivement recommandé de sortir de ce carcan contraignant et de se servir seulement de ce type de questions comme des tremplins ou de « base de lancement » pour monter plus haut sur l’échelle de la réflexion, du raisonnement ou de l’imagination, donc pour passer sans tarder aux questions de production courte et longue qui doivent le plus préoccuper le communicateur à ce niveau scolaire.  </w:t>
      </w:r>
    </w:p>
    <w:p w14:paraId="215B190C" w14:textId="77777777" w:rsidR="00D80693" w:rsidRPr="008E24F7" w:rsidRDefault="00D80693" w:rsidP="00E82F39">
      <w:pPr>
        <w:spacing w:before="120"/>
        <w:jc w:val="both"/>
        <w:rPr>
          <w:sz w:val="24"/>
          <w:szCs w:val="24"/>
        </w:rPr>
      </w:pPr>
      <w:r w:rsidRPr="008E24F7">
        <w:rPr>
          <w:sz w:val="24"/>
          <w:szCs w:val="24"/>
        </w:rPr>
        <w:t xml:space="preserve">Les questions </w:t>
      </w:r>
      <w:r>
        <w:rPr>
          <w:sz w:val="24"/>
          <w:szCs w:val="24"/>
        </w:rPr>
        <w:t xml:space="preserve">portant </w:t>
      </w:r>
      <w:proofErr w:type="gramStart"/>
      <w:r>
        <w:rPr>
          <w:sz w:val="24"/>
          <w:szCs w:val="24"/>
        </w:rPr>
        <w:t>sur  la</w:t>
      </w:r>
      <w:proofErr w:type="gramEnd"/>
      <w:r>
        <w:rPr>
          <w:sz w:val="24"/>
          <w:szCs w:val="24"/>
        </w:rPr>
        <w:t xml:space="preserve"> grammaire</w:t>
      </w:r>
      <w:r w:rsidRPr="008E24F7">
        <w:rPr>
          <w:sz w:val="24"/>
          <w:szCs w:val="24"/>
        </w:rPr>
        <w:t xml:space="preserve"> ne sont pas bien formulées. </w:t>
      </w:r>
      <w:r>
        <w:rPr>
          <w:sz w:val="24"/>
          <w:szCs w:val="24"/>
        </w:rPr>
        <w:t>Tel est le cas de</w:t>
      </w:r>
      <w:r w:rsidRPr="008E24F7">
        <w:rPr>
          <w:sz w:val="24"/>
          <w:szCs w:val="24"/>
        </w:rPr>
        <w:t> : « Formez quatre phrases avec des adjectifs interrogatifs suivants : Comment ? Qui ? Combien ? Où ? </w:t>
      </w:r>
      <w:proofErr w:type="gramStart"/>
      <w:r w:rsidRPr="008E24F7">
        <w:rPr>
          <w:sz w:val="24"/>
          <w:szCs w:val="24"/>
        </w:rPr>
        <w:t>».Ceux</w:t>
      </w:r>
      <w:proofErr w:type="gramEnd"/>
      <w:r w:rsidRPr="008E24F7">
        <w:rPr>
          <w:sz w:val="24"/>
          <w:szCs w:val="24"/>
        </w:rPr>
        <w:t>-ci morphologiquement parlant n’ont jamais été des adjectifs interrogatifs, mais plutôt des adverbes interrogatifs (</w:t>
      </w:r>
      <w:proofErr w:type="gramStart"/>
      <w:r w:rsidRPr="008E24F7">
        <w:rPr>
          <w:sz w:val="24"/>
          <w:szCs w:val="24"/>
        </w:rPr>
        <w:t>Comment ?,</w:t>
      </w:r>
      <w:proofErr w:type="gramEnd"/>
      <w:r w:rsidRPr="008E24F7">
        <w:rPr>
          <w:sz w:val="24"/>
          <w:szCs w:val="24"/>
        </w:rPr>
        <w:t xml:space="preserve"> </w:t>
      </w:r>
      <w:proofErr w:type="gramStart"/>
      <w:r w:rsidRPr="008E24F7">
        <w:rPr>
          <w:sz w:val="24"/>
          <w:szCs w:val="24"/>
        </w:rPr>
        <w:t>Combien ?,</w:t>
      </w:r>
      <w:proofErr w:type="gramEnd"/>
      <w:r w:rsidRPr="008E24F7">
        <w:rPr>
          <w:sz w:val="24"/>
          <w:szCs w:val="24"/>
        </w:rPr>
        <w:t xml:space="preserve"> Où ?) et le pronom interrogatif (Qui ?).</w:t>
      </w:r>
      <w:r>
        <w:rPr>
          <w:sz w:val="24"/>
          <w:szCs w:val="24"/>
        </w:rPr>
        <w:t xml:space="preserve"> </w:t>
      </w:r>
      <w:r w:rsidRPr="008E24F7">
        <w:rPr>
          <w:sz w:val="24"/>
          <w:szCs w:val="24"/>
        </w:rPr>
        <w:t>Pour éviter cette confusion, on peut remplacer tout simplement pronoms ou adverbes par le vocable</w:t>
      </w:r>
      <w:proofErr w:type="gramStart"/>
      <w:r w:rsidRPr="008E24F7">
        <w:rPr>
          <w:sz w:val="24"/>
          <w:szCs w:val="24"/>
        </w:rPr>
        <w:t xml:space="preserve"> «mot</w:t>
      </w:r>
      <w:proofErr w:type="gramEnd"/>
      <w:r w:rsidRPr="008E24F7">
        <w:rPr>
          <w:sz w:val="24"/>
          <w:szCs w:val="24"/>
        </w:rPr>
        <w:t xml:space="preserve"> </w:t>
      </w:r>
      <w:proofErr w:type="gramStart"/>
      <w:r w:rsidRPr="008E24F7">
        <w:rPr>
          <w:sz w:val="24"/>
          <w:szCs w:val="24"/>
        </w:rPr>
        <w:t>interrogatif»</w:t>
      </w:r>
      <w:proofErr w:type="gramEnd"/>
      <w:r w:rsidRPr="008E24F7">
        <w:rPr>
          <w:sz w:val="24"/>
          <w:szCs w:val="24"/>
        </w:rPr>
        <w:t xml:space="preserve"> qui est neutre.</w:t>
      </w:r>
    </w:p>
    <w:p w14:paraId="2FE4C04D" w14:textId="77777777" w:rsidR="00D80693" w:rsidRDefault="00D80693" w:rsidP="00E82F39">
      <w:pPr>
        <w:spacing w:before="120"/>
        <w:jc w:val="both"/>
        <w:rPr>
          <w:sz w:val="24"/>
          <w:szCs w:val="24"/>
        </w:rPr>
      </w:pPr>
      <w:r>
        <w:rPr>
          <w:sz w:val="24"/>
          <w:szCs w:val="24"/>
        </w:rPr>
        <w:t xml:space="preserve">Une autre </w:t>
      </w:r>
      <w:r w:rsidRPr="008E24F7">
        <w:rPr>
          <w:sz w:val="24"/>
          <w:szCs w:val="24"/>
        </w:rPr>
        <w:t>question</w:t>
      </w:r>
      <w:r>
        <w:rPr>
          <w:sz w:val="24"/>
          <w:szCs w:val="24"/>
        </w:rPr>
        <w:t xml:space="preserve"> confuse notée est la suivante :</w:t>
      </w:r>
      <w:r w:rsidRPr="008E24F7">
        <w:rPr>
          <w:sz w:val="24"/>
          <w:szCs w:val="24"/>
        </w:rPr>
        <w:t xml:space="preserve"> </w:t>
      </w:r>
      <w:r w:rsidRPr="00F24E3A">
        <w:rPr>
          <w:sz w:val="24"/>
          <w:szCs w:val="24"/>
        </w:rPr>
        <w:t>«</w:t>
      </w:r>
      <w:r w:rsidRPr="006437B3">
        <w:rPr>
          <w:i/>
          <w:sz w:val="24"/>
          <w:szCs w:val="24"/>
        </w:rPr>
        <w:t> </w:t>
      </w:r>
      <w:r w:rsidRPr="00396964">
        <w:rPr>
          <w:sz w:val="24"/>
          <w:szCs w:val="24"/>
        </w:rPr>
        <w:t xml:space="preserve">Cette phrase-là," Je suis venu de l’école "passez-là à l’intonation, l’inversion, etc. ». </w:t>
      </w:r>
      <w:r w:rsidRPr="008E24F7">
        <w:rPr>
          <w:sz w:val="24"/>
          <w:szCs w:val="24"/>
        </w:rPr>
        <w:t>Nous observons une certaine ambigüité, car l’évaluateur ne dit pas exactement ce qu’il attend de l’apprenant. Une reformulation claire et simple stipulerait : « </w:t>
      </w:r>
      <w:r>
        <w:rPr>
          <w:sz w:val="24"/>
          <w:szCs w:val="24"/>
        </w:rPr>
        <w:t>À</w:t>
      </w:r>
      <w:r w:rsidRPr="00396964">
        <w:rPr>
          <w:sz w:val="24"/>
          <w:szCs w:val="24"/>
        </w:rPr>
        <w:t xml:space="preserve"> partir de cette phrase </w:t>
      </w:r>
      <w:proofErr w:type="gramStart"/>
      <w:r w:rsidRPr="00396964">
        <w:rPr>
          <w:sz w:val="24"/>
          <w:szCs w:val="24"/>
        </w:rPr>
        <w:t>affirmative:</w:t>
      </w:r>
      <w:proofErr w:type="gramEnd"/>
      <w:r w:rsidRPr="00396964">
        <w:rPr>
          <w:sz w:val="24"/>
          <w:szCs w:val="24"/>
        </w:rPr>
        <w:t xml:space="preserve"> « </w:t>
      </w:r>
      <w:r>
        <w:rPr>
          <w:sz w:val="24"/>
          <w:szCs w:val="24"/>
        </w:rPr>
        <w:t>J</w:t>
      </w:r>
      <w:r w:rsidRPr="00396964">
        <w:rPr>
          <w:sz w:val="24"/>
          <w:szCs w:val="24"/>
        </w:rPr>
        <w:t>e suis venu de l’école », posez la question en utilisant les formes ci-après : - intonation, - inversion, - et avec l’expression est-ce que ?</w:t>
      </w:r>
      <w:r w:rsidRPr="008E24F7">
        <w:rPr>
          <w:i/>
          <w:sz w:val="24"/>
          <w:szCs w:val="24"/>
        </w:rPr>
        <w:t> ».</w:t>
      </w:r>
      <w:r w:rsidRPr="003F6FAE">
        <w:rPr>
          <w:sz w:val="24"/>
          <w:szCs w:val="24"/>
        </w:rPr>
        <w:t xml:space="preserve"> </w:t>
      </w:r>
      <w:r>
        <w:rPr>
          <w:sz w:val="24"/>
          <w:szCs w:val="24"/>
        </w:rPr>
        <w:t xml:space="preserve"> </w:t>
      </w:r>
    </w:p>
    <w:p w14:paraId="75B226E1" w14:textId="77777777" w:rsidR="00D80693" w:rsidRDefault="00D80693" w:rsidP="00E82F39">
      <w:pPr>
        <w:spacing w:before="120"/>
        <w:jc w:val="both"/>
        <w:rPr>
          <w:sz w:val="24"/>
          <w:szCs w:val="24"/>
        </w:rPr>
      </w:pPr>
      <w:r>
        <w:rPr>
          <w:sz w:val="24"/>
          <w:szCs w:val="24"/>
        </w:rPr>
        <w:t>L’évaluateur ou l’enseignant doit éviter les questions qui suggèrent les réponses comme celle-</w:t>
      </w:r>
      <w:proofErr w:type="gramStart"/>
      <w:r>
        <w:rPr>
          <w:sz w:val="24"/>
          <w:szCs w:val="24"/>
        </w:rPr>
        <w:t>ci:</w:t>
      </w:r>
      <w:proofErr w:type="gramEnd"/>
      <w:r>
        <w:rPr>
          <w:sz w:val="24"/>
          <w:szCs w:val="24"/>
        </w:rPr>
        <w:t xml:space="preserve"> « </w:t>
      </w:r>
      <w:r w:rsidRPr="00CB7A1E">
        <w:rPr>
          <w:sz w:val="24"/>
          <w:szCs w:val="24"/>
        </w:rPr>
        <w:t>Passez les phrases suivante</w:t>
      </w:r>
      <w:r>
        <w:rPr>
          <w:sz w:val="24"/>
          <w:szCs w:val="24"/>
        </w:rPr>
        <w:t>s à la forme négative (ne……pas) ». En Classe de 12</w:t>
      </w:r>
      <w:r w:rsidRPr="00036A41">
        <w:rPr>
          <w:sz w:val="24"/>
          <w:szCs w:val="24"/>
          <w:vertAlign w:val="superscript"/>
        </w:rPr>
        <w:t>ème</w:t>
      </w:r>
      <w:r>
        <w:rPr>
          <w:sz w:val="24"/>
          <w:szCs w:val="24"/>
        </w:rPr>
        <w:t xml:space="preserve"> année, il ne serait pas important suggérer l’adverbe de négation pour passer à la forme négative.  </w:t>
      </w:r>
    </w:p>
    <w:p w14:paraId="4E8A8EEE" w14:textId="77777777" w:rsidR="00D80693" w:rsidRPr="008E24F7" w:rsidRDefault="00D80693" w:rsidP="00E82F39">
      <w:pPr>
        <w:spacing w:before="120"/>
        <w:jc w:val="both"/>
        <w:rPr>
          <w:sz w:val="24"/>
          <w:szCs w:val="24"/>
        </w:rPr>
      </w:pPr>
    </w:p>
    <w:p w14:paraId="349A30C8" w14:textId="77777777" w:rsidR="00D80693" w:rsidRDefault="00D80693" w:rsidP="00E82F39">
      <w:pPr>
        <w:spacing w:before="120"/>
        <w:jc w:val="both"/>
        <w:rPr>
          <w:color w:val="000000"/>
          <w:sz w:val="24"/>
          <w:szCs w:val="24"/>
        </w:rPr>
      </w:pPr>
      <w:r>
        <w:rPr>
          <w:color w:val="000000"/>
          <w:sz w:val="24"/>
          <w:szCs w:val="24"/>
        </w:rPr>
        <w:t xml:space="preserve">Un </w:t>
      </w:r>
      <w:proofErr w:type="gramStart"/>
      <w:r>
        <w:rPr>
          <w:color w:val="000000"/>
          <w:sz w:val="24"/>
          <w:szCs w:val="24"/>
        </w:rPr>
        <w:t xml:space="preserve">des </w:t>
      </w:r>
      <w:r w:rsidRPr="00106660">
        <w:rPr>
          <w:color w:val="000000"/>
          <w:sz w:val="24"/>
          <w:szCs w:val="24"/>
        </w:rPr>
        <w:t>questionnaire</w:t>
      </w:r>
      <w:r>
        <w:rPr>
          <w:color w:val="000000"/>
          <w:sz w:val="24"/>
          <w:szCs w:val="24"/>
        </w:rPr>
        <w:t>s recueilli</w:t>
      </w:r>
      <w:proofErr w:type="gramEnd"/>
      <w:r>
        <w:rPr>
          <w:color w:val="000000"/>
          <w:sz w:val="24"/>
          <w:szCs w:val="24"/>
        </w:rPr>
        <w:t xml:space="preserve"> a été</w:t>
      </w:r>
      <w:r w:rsidRPr="00106660">
        <w:rPr>
          <w:color w:val="000000"/>
          <w:sz w:val="24"/>
          <w:szCs w:val="24"/>
        </w:rPr>
        <w:t xml:space="preserve"> structuré de manière extraordinaire. Il </w:t>
      </w:r>
      <w:r>
        <w:rPr>
          <w:color w:val="000000"/>
          <w:sz w:val="24"/>
          <w:szCs w:val="24"/>
        </w:rPr>
        <w:t xml:space="preserve">commence par </w:t>
      </w:r>
      <w:r w:rsidRPr="00106660">
        <w:rPr>
          <w:color w:val="000000"/>
          <w:sz w:val="24"/>
          <w:szCs w:val="24"/>
        </w:rPr>
        <w:t xml:space="preserve">la grammaire pour terminer </w:t>
      </w:r>
      <w:r>
        <w:rPr>
          <w:color w:val="000000"/>
          <w:sz w:val="24"/>
          <w:szCs w:val="24"/>
        </w:rPr>
        <w:t>par</w:t>
      </w:r>
      <w:r w:rsidRPr="00106660">
        <w:rPr>
          <w:color w:val="000000"/>
          <w:sz w:val="24"/>
          <w:szCs w:val="24"/>
        </w:rPr>
        <w:t xml:space="preserve"> la compréhension de texte : C’est le manque manifeste de cohérence</w:t>
      </w:r>
      <w:r>
        <w:rPr>
          <w:color w:val="000000"/>
          <w:sz w:val="24"/>
          <w:szCs w:val="24"/>
        </w:rPr>
        <w:t>.</w:t>
      </w:r>
      <w:r w:rsidRPr="00106660">
        <w:rPr>
          <w:color w:val="000000"/>
          <w:sz w:val="24"/>
          <w:szCs w:val="24"/>
        </w:rPr>
        <w:t xml:space="preserve"> Normalement, il aurait fallu commencer par le texte, avant de poser des questions sur l</w:t>
      </w:r>
      <w:r>
        <w:rPr>
          <w:color w:val="000000"/>
          <w:sz w:val="24"/>
          <w:szCs w:val="24"/>
        </w:rPr>
        <w:t xml:space="preserve">’exploitation </w:t>
      </w:r>
      <w:r w:rsidRPr="00106660">
        <w:rPr>
          <w:color w:val="000000"/>
          <w:sz w:val="24"/>
          <w:szCs w:val="24"/>
        </w:rPr>
        <w:t>gramma</w:t>
      </w:r>
      <w:r>
        <w:rPr>
          <w:color w:val="000000"/>
          <w:sz w:val="24"/>
          <w:szCs w:val="24"/>
        </w:rPr>
        <w:t>t</w:t>
      </w:r>
      <w:r w:rsidRPr="00106660">
        <w:rPr>
          <w:color w:val="000000"/>
          <w:sz w:val="24"/>
          <w:szCs w:val="24"/>
        </w:rPr>
        <w:t>i</w:t>
      </w:r>
      <w:r>
        <w:rPr>
          <w:color w:val="000000"/>
          <w:sz w:val="24"/>
          <w:szCs w:val="24"/>
        </w:rPr>
        <w:t>cale</w:t>
      </w:r>
      <w:r w:rsidRPr="00106660">
        <w:rPr>
          <w:color w:val="000000"/>
          <w:sz w:val="24"/>
          <w:szCs w:val="24"/>
        </w:rPr>
        <w:t xml:space="preserve"> et la rédaction à partir du thème </w:t>
      </w:r>
      <w:proofErr w:type="gramStart"/>
      <w:r w:rsidRPr="00106660">
        <w:rPr>
          <w:color w:val="000000"/>
          <w:sz w:val="24"/>
          <w:szCs w:val="24"/>
        </w:rPr>
        <w:t>abordé  par</w:t>
      </w:r>
      <w:proofErr w:type="gramEnd"/>
      <w:r w:rsidRPr="00106660">
        <w:rPr>
          <w:color w:val="000000"/>
          <w:sz w:val="24"/>
          <w:szCs w:val="24"/>
        </w:rPr>
        <w:t xml:space="preserve"> le texte.</w:t>
      </w:r>
      <w:r w:rsidRPr="00A12689">
        <w:rPr>
          <w:color w:val="000000"/>
          <w:sz w:val="24"/>
          <w:szCs w:val="24"/>
        </w:rPr>
        <w:t xml:space="preserve"> </w:t>
      </w:r>
      <w:r>
        <w:rPr>
          <w:color w:val="000000"/>
          <w:sz w:val="24"/>
          <w:szCs w:val="24"/>
        </w:rPr>
        <w:t xml:space="preserve">À cela s’ajoute un questionnaire où il </w:t>
      </w:r>
      <w:r w:rsidRPr="00106660">
        <w:rPr>
          <w:color w:val="000000"/>
          <w:sz w:val="24"/>
          <w:szCs w:val="24"/>
        </w:rPr>
        <w:t xml:space="preserve">n’y a </w:t>
      </w:r>
      <w:r>
        <w:rPr>
          <w:color w:val="000000"/>
          <w:sz w:val="24"/>
          <w:szCs w:val="24"/>
        </w:rPr>
        <w:t>aucune question</w:t>
      </w:r>
      <w:r w:rsidRPr="00106660">
        <w:rPr>
          <w:color w:val="000000"/>
          <w:sz w:val="24"/>
          <w:szCs w:val="24"/>
        </w:rPr>
        <w:t xml:space="preserve"> de compréhension de texte, car il n’y a pas de texte. Toutes les questions posées</w:t>
      </w:r>
      <w:r>
        <w:rPr>
          <w:color w:val="000000"/>
          <w:sz w:val="24"/>
          <w:szCs w:val="24"/>
        </w:rPr>
        <w:t xml:space="preserve"> </w:t>
      </w:r>
      <w:r w:rsidRPr="00106660">
        <w:rPr>
          <w:color w:val="000000"/>
          <w:sz w:val="24"/>
          <w:szCs w:val="24"/>
        </w:rPr>
        <w:t>par l’évaluateur</w:t>
      </w:r>
      <w:r w:rsidRPr="00036A41">
        <w:rPr>
          <w:color w:val="000000"/>
          <w:sz w:val="24"/>
          <w:szCs w:val="24"/>
        </w:rPr>
        <w:t xml:space="preserve"> </w:t>
      </w:r>
      <w:r>
        <w:rPr>
          <w:color w:val="000000"/>
          <w:sz w:val="24"/>
          <w:szCs w:val="24"/>
        </w:rPr>
        <w:t xml:space="preserve">étant fermées ou étroites </w:t>
      </w:r>
      <w:proofErr w:type="gramStart"/>
      <w:r>
        <w:rPr>
          <w:color w:val="000000"/>
          <w:sz w:val="24"/>
          <w:szCs w:val="24"/>
        </w:rPr>
        <w:t xml:space="preserve">ne </w:t>
      </w:r>
      <w:r w:rsidRPr="00106660">
        <w:rPr>
          <w:color w:val="000000"/>
          <w:sz w:val="24"/>
          <w:szCs w:val="24"/>
        </w:rPr>
        <w:t xml:space="preserve"> concernent</w:t>
      </w:r>
      <w:proofErr w:type="gramEnd"/>
      <w:r w:rsidRPr="00106660">
        <w:rPr>
          <w:color w:val="000000"/>
          <w:sz w:val="24"/>
          <w:szCs w:val="24"/>
        </w:rPr>
        <w:t xml:space="preserve"> </w:t>
      </w:r>
      <w:r>
        <w:rPr>
          <w:color w:val="000000"/>
          <w:sz w:val="24"/>
          <w:szCs w:val="24"/>
        </w:rPr>
        <w:t xml:space="preserve">que </w:t>
      </w:r>
      <w:r w:rsidRPr="00106660">
        <w:rPr>
          <w:color w:val="000000"/>
          <w:sz w:val="24"/>
          <w:szCs w:val="24"/>
        </w:rPr>
        <w:t>la grammaire.</w:t>
      </w:r>
      <w:r>
        <w:rPr>
          <w:color w:val="000000"/>
          <w:sz w:val="24"/>
          <w:szCs w:val="24"/>
        </w:rPr>
        <w:t xml:space="preserve"> </w:t>
      </w:r>
      <w:r w:rsidRPr="00106660">
        <w:rPr>
          <w:color w:val="000000"/>
          <w:sz w:val="24"/>
          <w:szCs w:val="24"/>
        </w:rPr>
        <w:t xml:space="preserve">Ce type d’exercices développe chez les </w:t>
      </w:r>
      <w:r>
        <w:rPr>
          <w:color w:val="000000"/>
          <w:sz w:val="24"/>
          <w:szCs w:val="24"/>
        </w:rPr>
        <w:t>apprenants</w:t>
      </w:r>
      <w:r w:rsidRPr="00106660">
        <w:rPr>
          <w:color w:val="000000"/>
          <w:sz w:val="24"/>
          <w:szCs w:val="24"/>
        </w:rPr>
        <w:t xml:space="preserve"> un certain automatisme des réponses. </w:t>
      </w:r>
    </w:p>
    <w:p w14:paraId="43352388" w14:textId="77777777" w:rsidR="00D80693" w:rsidRPr="00036A41" w:rsidRDefault="00D80693" w:rsidP="00E82F39">
      <w:pPr>
        <w:spacing w:before="120"/>
        <w:jc w:val="both"/>
        <w:rPr>
          <w:color w:val="000000"/>
          <w:sz w:val="24"/>
          <w:szCs w:val="24"/>
        </w:rPr>
      </w:pPr>
      <w:r w:rsidRPr="00106660">
        <w:rPr>
          <w:color w:val="000000"/>
          <w:sz w:val="24"/>
          <w:szCs w:val="24"/>
        </w:rPr>
        <w:t xml:space="preserve">Comme nous pouvons le voir, l’évaluateur est resté trop longtemps cantonné aux questions fermées, sans se soucier le passage de la reproduction à la réflexion ou au raisonnement, donc sans passer aux questions ouvertes et stimulantes qui doivent être le prolongement indispensable des questions étroites ou fermées. </w:t>
      </w:r>
      <w:r w:rsidRPr="00036A41">
        <w:rPr>
          <w:sz w:val="24"/>
          <w:szCs w:val="24"/>
        </w:rPr>
        <w:t xml:space="preserve">En conversation avec l’enseignant, il nous a laissé entendre que ce genre de questions fermées facilite la correction des examens, compte tenu du volume de travail à réaliser et du nombre de feuilles à apprécier.  </w:t>
      </w:r>
    </w:p>
    <w:p w14:paraId="0083423A" w14:textId="77777777" w:rsidR="00D80693" w:rsidRPr="00B25B8E" w:rsidRDefault="00D80693" w:rsidP="00E82F39">
      <w:pPr>
        <w:spacing w:before="120"/>
        <w:rPr>
          <w:b/>
          <w:color w:val="000000"/>
          <w:sz w:val="28"/>
          <w:szCs w:val="28"/>
        </w:rPr>
      </w:pPr>
      <w:r w:rsidRPr="00B25B8E">
        <w:rPr>
          <w:b/>
          <w:color w:val="000000"/>
          <w:sz w:val="28"/>
          <w:szCs w:val="28"/>
        </w:rPr>
        <w:t>Conclusion</w:t>
      </w:r>
    </w:p>
    <w:p w14:paraId="2A967D66" w14:textId="77777777" w:rsidR="00D80693" w:rsidRPr="00875144" w:rsidRDefault="00D80693" w:rsidP="00E82F39">
      <w:pPr>
        <w:spacing w:before="120"/>
        <w:jc w:val="both"/>
        <w:rPr>
          <w:color w:val="000000"/>
          <w:sz w:val="24"/>
          <w:szCs w:val="24"/>
        </w:rPr>
      </w:pPr>
      <w:r w:rsidRPr="00875144">
        <w:rPr>
          <w:color w:val="000000"/>
          <w:sz w:val="24"/>
          <w:szCs w:val="24"/>
        </w:rPr>
        <w:t xml:space="preserve">Les résultats obtenus </w:t>
      </w:r>
      <w:r>
        <w:rPr>
          <w:color w:val="000000"/>
          <w:sz w:val="24"/>
          <w:szCs w:val="24"/>
        </w:rPr>
        <w:t>no</w:t>
      </w:r>
      <w:r w:rsidRPr="00875144">
        <w:rPr>
          <w:color w:val="000000"/>
          <w:sz w:val="24"/>
          <w:szCs w:val="24"/>
        </w:rPr>
        <w:t xml:space="preserve">us révèlent que les enseignants, en élaborant leur questionnaire d’évaluation se limitent généralement aux questions </w:t>
      </w:r>
      <w:r>
        <w:rPr>
          <w:color w:val="000000"/>
          <w:sz w:val="24"/>
          <w:szCs w:val="24"/>
        </w:rPr>
        <w:t>à choix de réponse</w:t>
      </w:r>
      <w:r w:rsidRPr="00875144">
        <w:rPr>
          <w:color w:val="000000"/>
          <w:sz w:val="24"/>
          <w:szCs w:val="24"/>
        </w:rPr>
        <w:t xml:space="preserve">, c'est-à-dire les questions fermées ou étroites, celles qui se limitent au rappel ou à la répétition de ce qui a déjà été dit, vu, lu ou </w:t>
      </w:r>
      <w:proofErr w:type="gramStart"/>
      <w:r w:rsidRPr="00875144">
        <w:rPr>
          <w:color w:val="000000"/>
          <w:sz w:val="24"/>
          <w:szCs w:val="24"/>
        </w:rPr>
        <w:t>entendu,  ce</w:t>
      </w:r>
      <w:proofErr w:type="gramEnd"/>
      <w:r w:rsidRPr="00875144">
        <w:rPr>
          <w:color w:val="000000"/>
          <w:sz w:val="24"/>
          <w:szCs w:val="24"/>
        </w:rPr>
        <w:t xml:space="preserve"> qui relève de l’évidence et qui n’exige pas beaucoup de réflexion.</w:t>
      </w:r>
    </w:p>
    <w:p w14:paraId="450A7145" w14:textId="77777777" w:rsidR="00D80693" w:rsidRPr="00875144" w:rsidRDefault="00D80693" w:rsidP="00E82F39">
      <w:pPr>
        <w:spacing w:before="120"/>
        <w:jc w:val="both"/>
        <w:rPr>
          <w:color w:val="000000"/>
          <w:sz w:val="24"/>
          <w:szCs w:val="24"/>
        </w:rPr>
      </w:pPr>
      <w:r w:rsidRPr="00875144">
        <w:rPr>
          <w:color w:val="000000"/>
          <w:sz w:val="24"/>
          <w:szCs w:val="24"/>
        </w:rPr>
        <w:t>Un questionnaire doit, en principe, couvrir toute la matière étudiée, ou du moins la plus grande partie de celle-ci. Mais il doit aussi solliciter la comparaison, l’analyse, la déduction, l’induction, etc. Il doit donc comporter un certain nombre d’occasions de prétextes variables de réflexions pour que tous les apprenants puissent y trouver leur compte.</w:t>
      </w:r>
    </w:p>
    <w:p w14:paraId="1ECBAE67" w14:textId="77777777" w:rsidR="00D80693" w:rsidRDefault="00D80693" w:rsidP="00E82F39">
      <w:pPr>
        <w:spacing w:before="120"/>
        <w:jc w:val="both"/>
        <w:rPr>
          <w:color w:val="000000"/>
          <w:sz w:val="24"/>
          <w:szCs w:val="24"/>
        </w:rPr>
      </w:pPr>
      <w:r w:rsidRPr="00875144">
        <w:rPr>
          <w:color w:val="000000"/>
          <w:sz w:val="24"/>
          <w:szCs w:val="24"/>
        </w:rPr>
        <w:t>Le programme de français langue étrangère et vivante préconise d’évaluer la capacité à utiliser la langue en situation, c’est-à-dire dans des contextes bien appropriés appelés</w:t>
      </w:r>
      <w:proofErr w:type="gramStart"/>
      <w:r w:rsidRPr="00875144">
        <w:rPr>
          <w:color w:val="000000"/>
          <w:sz w:val="24"/>
          <w:szCs w:val="24"/>
        </w:rPr>
        <w:t xml:space="preserve"> «situations</w:t>
      </w:r>
      <w:proofErr w:type="gramEnd"/>
      <w:r w:rsidRPr="00875144">
        <w:rPr>
          <w:color w:val="000000"/>
          <w:sz w:val="24"/>
          <w:szCs w:val="24"/>
        </w:rPr>
        <w:t xml:space="preserve"> de </w:t>
      </w:r>
      <w:proofErr w:type="gramStart"/>
      <w:r w:rsidRPr="00875144">
        <w:rPr>
          <w:color w:val="000000"/>
          <w:sz w:val="24"/>
          <w:szCs w:val="24"/>
        </w:rPr>
        <w:t>communications»</w:t>
      </w:r>
      <w:proofErr w:type="gramEnd"/>
      <w:r w:rsidRPr="00875144">
        <w:rPr>
          <w:color w:val="000000"/>
          <w:sz w:val="24"/>
          <w:szCs w:val="24"/>
        </w:rPr>
        <w:t xml:space="preserve">.  </w:t>
      </w:r>
    </w:p>
    <w:p w14:paraId="0233CB17" w14:textId="77777777" w:rsidR="00D80693" w:rsidRPr="00875144" w:rsidRDefault="00D80693" w:rsidP="00E82F39">
      <w:pPr>
        <w:spacing w:before="120"/>
        <w:jc w:val="both"/>
        <w:rPr>
          <w:color w:val="000000"/>
          <w:spacing w:val="6"/>
          <w:sz w:val="24"/>
          <w:szCs w:val="24"/>
        </w:rPr>
      </w:pPr>
      <w:r w:rsidRPr="00875144">
        <w:rPr>
          <w:color w:val="000000"/>
          <w:spacing w:val="6"/>
          <w:sz w:val="24"/>
          <w:szCs w:val="24"/>
        </w:rPr>
        <w:t xml:space="preserve">L’évaluation de la performance, c'est-à-dire de ce qu’un </w:t>
      </w:r>
      <w:r>
        <w:rPr>
          <w:color w:val="000000"/>
          <w:spacing w:val="6"/>
          <w:sz w:val="24"/>
          <w:szCs w:val="24"/>
        </w:rPr>
        <w:t>apprenant</w:t>
      </w:r>
      <w:r w:rsidRPr="00875144">
        <w:rPr>
          <w:color w:val="000000"/>
          <w:spacing w:val="6"/>
          <w:sz w:val="24"/>
          <w:szCs w:val="24"/>
        </w:rPr>
        <w:t xml:space="preserve"> peut effectivement faire, est rare,</w:t>
      </w:r>
      <w:r>
        <w:rPr>
          <w:color w:val="000000"/>
          <w:spacing w:val="6"/>
          <w:sz w:val="24"/>
          <w:szCs w:val="24"/>
        </w:rPr>
        <w:t xml:space="preserve"> car cela </w:t>
      </w:r>
      <w:r w:rsidRPr="00875144">
        <w:rPr>
          <w:color w:val="000000"/>
          <w:spacing w:val="6"/>
          <w:sz w:val="24"/>
          <w:szCs w:val="24"/>
        </w:rPr>
        <w:t xml:space="preserve">doit se faire à travers des tâches de communications langagières. S’il est vrai que la langue française est utilisée dans le cadre scolaire, qui est souvent un cadre artificiel, cette utilisation doit, le plus souvent possible, se référer ou être transposée à la situation ou dans le contexte socioculturel propre des </w:t>
      </w:r>
      <w:r>
        <w:rPr>
          <w:color w:val="000000"/>
          <w:spacing w:val="6"/>
          <w:sz w:val="24"/>
          <w:szCs w:val="24"/>
        </w:rPr>
        <w:t>apprenants</w:t>
      </w:r>
      <w:r w:rsidRPr="00875144">
        <w:rPr>
          <w:color w:val="000000"/>
          <w:spacing w:val="6"/>
          <w:sz w:val="24"/>
          <w:szCs w:val="24"/>
        </w:rPr>
        <w:t xml:space="preserve">. Ce contexte doit bien sûr être parfaitement connu par l’enseignant de français, en dehors de sa bonne maîtrise de cette langue. </w:t>
      </w:r>
    </w:p>
    <w:p w14:paraId="416518D0" w14:textId="77777777" w:rsidR="00D80693" w:rsidRDefault="00D80693" w:rsidP="00E82F39">
      <w:pPr>
        <w:tabs>
          <w:tab w:val="left" w:pos="1027"/>
        </w:tabs>
        <w:spacing w:before="120"/>
        <w:jc w:val="both"/>
        <w:rPr>
          <w:b/>
          <w:color w:val="000000"/>
          <w:sz w:val="28"/>
          <w:szCs w:val="28"/>
        </w:rPr>
      </w:pPr>
      <w:r w:rsidRPr="00B25B8E">
        <w:rPr>
          <w:b/>
          <w:color w:val="000000"/>
          <w:sz w:val="28"/>
          <w:szCs w:val="28"/>
        </w:rPr>
        <w:t>Références bibliographiques</w:t>
      </w:r>
    </w:p>
    <w:p w14:paraId="6620C7E4" w14:textId="77777777" w:rsidR="00D80693" w:rsidRPr="00E67457" w:rsidRDefault="00D80693" w:rsidP="00026258">
      <w:pPr>
        <w:spacing w:before="120"/>
        <w:ind w:left="993" w:hanging="993"/>
        <w:jc w:val="both"/>
        <w:rPr>
          <w:color w:val="000000"/>
          <w:sz w:val="24"/>
          <w:szCs w:val="24"/>
        </w:rPr>
      </w:pPr>
      <w:r w:rsidRPr="00E67457">
        <w:rPr>
          <w:color w:val="000000"/>
          <w:sz w:val="24"/>
          <w:szCs w:val="24"/>
        </w:rPr>
        <w:t>B</w:t>
      </w:r>
      <w:r>
        <w:rPr>
          <w:color w:val="000000"/>
          <w:sz w:val="24"/>
          <w:szCs w:val="24"/>
        </w:rPr>
        <w:t>é</w:t>
      </w:r>
      <w:r w:rsidRPr="00E67457">
        <w:rPr>
          <w:color w:val="000000"/>
          <w:sz w:val="24"/>
          <w:szCs w:val="24"/>
        </w:rPr>
        <w:t>langer, C. (2009</w:t>
      </w:r>
      <w:proofErr w:type="gramStart"/>
      <w:r w:rsidRPr="00E67457">
        <w:rPr>
          <w:color w:val="000000"/>
          <w:sz w:val="24"/>
          <w:szCs w:val="24"/>
        </w:rPr>
        <w:t>).</w:t>
      </w:r>
      <w:r w:rsidRPr="00E67457">
        <w:rPr>
          <w:i/>
          <w:color w:val="000000"/>
          <w:sz w:val="24"/>
          <w:szCs w:val="24"/>
        </w:rPr>
        <w:t>Guide</w:t>
      </w:r>
      <w:proofErr w:type="gramEnd"/>
      <w:r w:rsidRPr="00E67457">
        <w:rPr>
          <w:i/>
          <w:color w:val="000000"/>
          <w:sz w:val="24"/>
          <w:szCs w:val="24"/>
        </w:rPr>
        <w:t xml:space="preserve"> d’élaboration d’un examen</w:t>
      </w:r>
      <w:r w:rsidRPr="00E67457">
        <w:rPr>
          <w:color w:val="000000"/>
          <w:sz w:val="24"/>
          <w:szCs w:val="24"/>
        </w:rPr>
        <w:t>. CEFES.</w:t>
      </w:r>
    </w:p>
    <w:p w14:paraId="12A155E4" w14:textId="77777777" w:rsidR="00D80693" w:rsidRPr="00745FE0" w:rsidRDefault="00D80693" w:rsidP="00026258">
      <w:pPr>
        <w:spacing w:before="120"/>
        <w:ind w:left="993" w:hanging="993"/>
        <w:jc w:val="both"/>
        <w:rPr>
          <w:sz w:val="24"/>
          <w:szCs w:val="24"/>
          <w:lang w:val="pt-PT"/>
        </w:rPr>
      </w:pPr>
      <w:r w:rsidRPr="00E67457">
        <w:rPr>
          <w:sz w:val="24"/>
          <w:szCs w:val="24"/>
        </w:rPr>
        <w:t xml:space="preserve">Hadji, </w:t>
      </w:r>
      <w:proofErr w:type="gramStart"/>
      <w:r w:rsidRPr="00E67457">
        <w:rPr>
          <w:sz w:val="24"/>
          <w:szCs w:val="24"/>
        </w:rPr>
        <w:t>C.(</w:t>
      </w:r>
      <w:proofErr w:type="gramEnd"/>
      <w:r w:rsidRPr="00E67457">
        <w:rPr>
          <w:sz w:val="24"/>
          <w:szCs w:val="24"/>
        </w:rPr>
        <w:t>1997</w:t>
      </w:r>
      <w:proofErr w:type="gramStart"/>
      <w:r w:rsidRPr="00E67457">
        <w:rPr>
          <w:sz w:val="24"/>
          <w:szCs w:val="24"/>
        </w:rPr>
        <w:t>).</w:t>
      </w:r>
      <w:r w:rsidRPr="00E67457">
        <w:rPr>
          <w:i/>
          <w:sz w:val="24"/>
          <w:szCs w:val="24"/>
        </w:rPr>
        <w:t>L’évaluation</w:t>
      </w:r>
      <w:proofErr w:type="gramEnd"/>
      <w:r w:rsidRPr="00E67457">
        <w:rPr>
          <w:i/>
          <w:sz w:val="24"/>
          <w:szCs w:val="24"/>
        </w:rPr>
        <w:t xml:space="preserve"> démystifiée</w:t>
      </w:r>
      <w:r w:rsidRPr="00E67457">
        <w:rPr>
          <w:sz w:val="24"/>
          <w:szCs w:val="24"/>
        </w:rPr>
        <w:t xml:space="preserve">. </w:t>
      </w:r>
      <w:r w:rsidRPr="00745FE0">
        <w:rPr>
          <w:sz w:val="24"/>
          <w:szCs w:val="24"/>
          <w:lang w:val="pt-PT"/>
        </w:rPr>
        <w:t>Paris: ESF éditeur.</w:t>
      </w:r>
    </w:p>
    <w:p w14:paraId="5268BA0F" w14:textId="77777777" w:rsidR="00D80693" w:rsidRPr="00BB6ADE" w:rsidRDefault="00D80693" w:rsidP="00026258">
      <w:pPr>
        <w:tabs>
          <w:tab w:val="left" w:pos="993"/>
        </w:tabs>
        <w:spacing w:before="120"/>
        <w:ind w:left="993" w:hanging="993"/>
        <w:jc w:val="both"/>
        <w:rPr>
          <w:color w:val="000000"/>
          <w:sz w:val="24"/>
          <w:szCs w:val="24"/>
          <w:lang w:val="pt-PT"/>
        </w:rPr>
      </w:pPr>
      <w:r w:rsidRPr="00BB6ADE">
        <w:rPr>
          <w:color w:val="000000"/>
          <w:sz w:val="24"/>
          <w:szCs w:val="24"/>
          <w:lang w:val="pt-PT"/>
        </w:rPr>
        <w:t>Inide</w:t>
      </w:r>
      <w:r>
        <w:rPr>
          <w:color w:val="000000"/>
          <w:sz w:val="24"/>
          <w:szCs w:val="24"/>
          <w:lang w:val="pt-PT"/>
        </w:rPr>
        <w:t xml:space="preserve">. </w:t>
      </w:r>
      <w:r w:rsidRPr="00BB6ADE">
        <w:rPr>
          <w:color w:val="000000"/>
          <w:sz w:val="24"/>
          <w:szCs w:val="24"/>
          <w:lang w:val="pt-PT"/>
        </w:rPr>
        <w:t xml:space="preserve">Reforma Educativa, </w:t>
      </w:r>
      <w:r w:rsidRPr="00BB6ADE">
        <w:rPr>
          <w:i/>
          <w:color w:val="000000"/>
          <w:sz w:val="24"/>
          <w:szCs w:val="24"/>
          <w:lang w:val="pt-PT"/>
        </w:rPr>
        <w:t xml:space="preserve">Programa de Francês (de </w:t>
      </w:r>
      <w:r w:rsidRPr="00BB6ADE">
        <w:rPr>
          <w:color w:val="000000"/>
          <w:sz w:val="24"/>
          <w:szCs w:val="24"/>
          <w:lang w:val="pt-PT"/>
        </w:rPr>
        <w:t>iniciação</w:t>
      </w:r>
      <w:r w:rsidRPr="00BB6ADE">
        <w:rPr>
          <w:i/>
          <w:color w:val="000000"/>
          <w:sz w:val="24"/>
          <w:szCs w:val="24"/>
          <w:lang w:val="pt-PT"/>
        </w:rPr>
        <w:t>), 10ª,11ª e 12ª classe</w:t>
      </w:r>
      <w:r w:rsidRPr="00BB6ADE">
        <w:rPr>
          <w:color w:val="000000"/>
          <w:sz w:val="24"/>
          <w:szCs w:val="24"/>
          <w:lang w:val="pt-PT"/>
        </w:rPr>
        <w:t>  segundo ciclo do Ensino S</w:t>
      </w:r>
      <w:r>
        <w:rPr>
          <w:color w:val="000000"/>
          <w:sz w:val="24"/>
          <w:szCs w:val="24"/>
          <w:lang w:val="pt-PT"/>
        </w:rPr>
        <w:t>ecundário, Todas áreas; Luanda.</w:t>
      </w:r>
    </w:p>
    <w:p w14:paraId="794062C4" w14:textId="77777777" w:rsidR="00D80693" w:rsidRPr="0080111A" w:rsidRDefault="00D80693" w:rsidP="00026258">
      <w:pPr>
        <w:tabs>
          <w:tab w:val="left" w:pos="709"/>
          <w:tab w:val="left" w:pos="851"/>
        </w:tabs>
        <w:spacing w:before="120"/>
        <w:ind w:left="993" w:hanging="993"/>
        <w:jc w:val="both"/>
        <w:rPr>
          <w:rFonts w:ascii="Bookman Old Style" w:hAnsi="Bookman Old Style"/>
          <w:color w:val="000000"/>
          <w:sz w:val="28"/>
          <w:szCs w:val="28"/>
          <w:lang w:val="pt-PT"/>
        </w:rPr>
      </w:pPr>
      <w:r w:rsidRPr="00BB6ADE">
        <w:rPr>
          <w:color w:val="000000"/>
          <w:sz w:val="24"/>
          <w:szCs w:val="24"/>
          <w:lang w:val="pt-PT"/>
        </w:rPr>
        <w:t>Inide</w:t>
      </w:r>
      <w:r>
        <w:rPr>
          <w:color w:val="000000"/>
          <w:sz w:val="24"/>
          <w:szCs w:val="24"/>
          <w:lang w:val="pt-PT"/>
        </w:rPr>
        <w:t xml:space="preserve">. </w:t>
      </w:r>
      <w:r w:rsidRPr="00BB6ADE">
        <w:rPr>
          <w:color w:val="000000"/>
          <w:sz w:val="24"/>
          <w:szCs w:val="24"/>
          <w:lang w:val="pt-PT"/>
        </w:rPr>
        <w:t xml:space="preserve">Reforma Educativa, </w:t>
      </w:r>
      <w:r w:rsidRPr="00BB6ADE">
        <w:rPr>
          <w:i/>
          <w:color w:val="000000"/>
          <w:sz w:val="24"/>
          <w:szCs w:val="24"/>
          <w:lang w:val="pt-PT"/>
        </w:rPr>
        <w:t xml:space="preserve">Programa de Francês </w:t>
      </w:r>
      <w:r w:rsidRPr="00BB6ADE">
        <w:rPr>
          <w:color w:val="000000"/>
          <w:sz w:val="24"/>
          <w:szCs w:val="24"/>
          <w:lang w:val="pt-PT"/>
        </w:rPr>
        <w:t>(continuidade</w:t>
      </w:r>
      <w:r w:rsidRPr="00BB6ADE">
        <w:rPr>
          <w:i/>
          <w:color w:val="000000"/>
          <w:sz w:val="24"/>
          <w:szCs w:val="24"/>
          <w:lang w:val="pt-PT"/>
        </w:rPr>
        <w:t>) 10ª,11ª e 12ª classe</w:t>
      </w:r>
      <w:r w:rsidRPr="00BB6ADE">
        <w:rPr>
          <w:color w:val="000000"/>
          <w:sz w:val="24"/>
          <w:szCs w:val="24"/>
          <w:lang w:val="pt-PT"/>
        </w:rPr>
        <w:t>  segundo ciclo do Ensino Secundário, Todas áreas; Luanda</w:t>
      </w:r>
      <w:r>
        <w:rPr>
          <w:rFonts w:ascii="Bookman Old Style" w:hAnsi="Bookman Old Style"/>
          <w:color w:val="000000"/>
          <w:sz w:val="28"/>
          <w:szCs w:val="28"/>
          <w:lang w:val="pt-PT"/>
        </w:rPr>
        <w:t>.</w:t>
      </w:r>
    </w:p>
    <w:p w14:paraId="1D95FBB3" w14:textId="77777777" w:rsidR="00D80693" w:rsidRPr="00E67457" w:rsidRDefault="00D80693" w:rsidP="00026258">
      <w:pPr>
        <w:spacing w:before="120"/>
        <w:ind w:left="993" w:hanging="993"/>
        <w:jc w:val="both"/>
        <w:rPr>
          <w:i/>
          <w:color w:val="000000"/>
          <w:sz w:val="24"/>
          <w:szCs w:val="24"/>
        </w:rPr>
      </w:pPr>
      <w:proofErr w:type="spellStart"/>
      <w:r w:rsidRPr="00E67457">
        <w:rPr>
          <w:color w:val="000000"/>
          <w:sz w:val="24"/>
          <w:szCs w:val="24"/>
        </w:rPr>
        <w:t>Landsheere</w:t>
      </w:r>
      <w:proofErr w:type="spellEnd"/>
      <w:r w:rsidRPr="00E67457">
        <w:rPr>
          <w:color w:val="000000"/>
          <w:sz w:val="24"/>
          <w:szCs w:val="24"/>
        </w:rPr>
        <w:t xml:space="preserve"> (De), </w:t>
      </w:r>
      <w:proofErr w:type="gramStart"/>
      <w:r w:rsidRPr="00E67457">
        <w:rPr>
          <w:color w:val="000000"/>
          <w:sz w:val="24"/>
          <w:szCs w:val="24"/>
        </w:rPr>
        <w:t>G.(</w:t>
      </w:r>
      <w:proofErr w:type="gramEnd"/>
      <w:r w:rsidRPr="00E67457">
        <w:rPr>
          <w:color w:val="000000"/>
          <w:sz w:val="24"/>
          <w:szCs w:val="24"/>
        </w:rPr>
        <w:t>1974</w:t>
      </w:r>
      <w:proofErr w:type="gramStart"/>
      <w:r w:rsidRPr="00E67457">
        <w:rPr>
          <w:color w:val="000000"/>
          <w:sz w:val="24"/>
          <w:szCs w:val="24"/>
        </w:rPr>
        <w:t>).</w:t>
      </w:r>
      <w:r w:rsidRPr="00E67457">
        <w:rPr>
          <w:i/>
          <w:color w:val="000000"/>
          <w:sz w:val="24"/>
          <w:szCs w:val="24"/>
        </w:rPr>
        <w:t>Évaluation</w:t>
      </w:r>
      <w:proofErr w:type="gramEnd"/>
      <w:r w:rsidRPr="00E67457">
        <w:rPr>
          <w:i/>
          <w:color w:val="000000"/>
          <w:sz w:val="24"/>
          <w:szCs w:val="24"/>
        </w:rPr>
        <w:t xml:space="preserve"> continue et examens : Précis </w:t>
      </w:r>
      <w:proofErr w:type="gramStart"/>
      <w:r w:rsidRPr="00E67457">
        <w:rPr>
          <w:i/>
          <w:color w:val="000000"/>
          <w:sz w:val="24"/>
          <w:szCs w:val="24"/>
        </w:rPr>
        <w:t>de  docimolo</w:t>
      </w:r>
      <w:r>
        <w:rPr>
          <w:i/>
          <w:color w:val="000000"/>
          <w:sz w:val="24"/>
          <w:szCs w:val="24"/>
        </w:rPr>
        <w:t>gie</w:t>
      </w:r>
      <w:proofErr w:type="gramEnd"/>
      <w:r>
        <w:rPr>
          <w:i/>
          <w:color w:val="000000"/>
          <w:sz w:val="24"/>
          <w:szCs w:val="24"/>
        </w:rPr>
        <w:t xml:space="preserve">. </w:t>
      </w:r>
    </w:p>
    <w:p w14:paraId="1DE5CC82" w14:textId="77777777" w:rsidR="00D80693" w:rsidRDefault="00D80693" w:rsidP="00026258">
      <w:pPr>
        <w:pStyle w:val="Paragraphedeliste"/>
        <w:ind w:left="993" w:hanging="993"/>
        <w:rPr>
          <w:color w:val="000000"/>
          <w:sz w:val="24"/>
          <w:szCs w:val="24"/>
        </w:rPr>
      </w:pPr>
      <w:r>
        <w:rPr>
          <w:color w:val="000000"/>
          <w:sz w:val="24"/>
          <w:szCs w:val="24"/>
        </w:rPr>
        <w:t xml:space="preserve">                               Bruxelles : éd. </w:t>
      </w:r>
      <w:r w:rsidRPr="00434CCE">
        <w:rPr>
          <w:color w:val="000000"/>
          <w:sz w:val="24"/>
          <w:szCs w:val="24"/>
        </w:rPr>
        <w:t>Labor.</w:t>
      </w:r>
    </w:p>
    <w:p w14:paraId="13E35FD6" w14:textId="77777777" w:rsidR="00D80693" w:rsidRPr="00745FE0" w:rsidRDefault="00D80693" w:rsidP="00026258">
      <w:pPr>
        <w:spacing w:before="120"/>
        <w:ind w:left="993" w:hanging="993"/>
        <w:jc w:val="both"/>
        <w:rPr>
          <w:color w:val="000000"/>
          <w:sz w:val="24"/>
          <w:szCs w:val="24"/>
        </w:rPr>
      </w:pPr>
      <w:r w:rsidRPr="00F24A15">
        <w:rPr>
          <w:color w:val="000000"/>
          <w:sz w:val="24"/>
          <w:szCs w:val="24"/>
        </w:rPr>
        <w:t>Leroy,</w:t>
      </w:r>
      <w:r>
        <w:rPr>
          <w:color w:val="000000"/>
          <w:sz w:val="24"/>
          <w:szCs w:val="24"/>
        </w:rPr>
        <w:t xml:space="preserve"> </w:t>
      </w:r>
      <w:proofErr w:type="gramStart"/>
      <w:r w:rsidRPr="00F24A15">
        <w:rPr>
          <w:color w:val="000000"/>
          <w:sz w:val="24"/>
          <w:szCs w:val="24"/>
        </w:rPr>
        <w:t>G.(</w:t>
      </w:r>
      <w:proofErr w:type="gramEnd"/>
      <w:r w:rsidRPr="00F24A15">
        <w:rPr>
          <w:color w:val="000000"/>
          <w:sz w:val="24"/>
          <w:szCs w:val="24"/>
        </w:rPr>
        <w:t xml:space="preserve">1970). </w:t>
      </w:r>
      <w:r w:rsidRPr="00F24A15">
        <w:rPr>
          <w:i/>
          <w:color w:val="000000"/>
          <w:sz w:val="24"/>
          <w:szCs w:val="24"/>
        </w:rPr>
        <w:t>Le dialogue en éducation</w:t>
      </w:r>
      <w:r>
        <w:rPr>
          <w:color w:val="000000"/>
          <w:sz w:val="24"/>
          <w:szCs w:val="24"/>
        </w:rPr>
        <w:t xml:space="preserve">. </w:t>
      </w:r>
      <w:proofErr w:type="gramStart"/>
      <w:r w:rsidRPr="00745FE0">
        <w:rPr>
          <w:color w:val="000000"/>
          <w:sz w:val="24"/>
          <w:szCs w:val="24"/>
        </w:rPr>
        <w:t>Paris:</w:t>
      </w:r>
      <w:proofErr w:type="gramEnd"/>
      <w:r w:rsidRPr="00745FE0">
        <w:rPr>
          <w:color w:val="000000"/>
          <w:sz w:val="24"/>
          <w:szCs w:val="24"/>
        </w:rPr>
        <w:t xml:space="preserve"> PUF.</w:t>
      </w:r>
    </w:p>
    <w:p w14:paraId="14E04898" w14:textId="77777777" w:rsidR="00D80693" w:rsidRDefault="00D80693" w:rsidP="00026258">
      <w:pPr>
        <w:tabs>
          <w:tab w:val="left" w:pos="851"/>
        </w:tabs>
        <w:spacing w:before="120"/>
        <w:ind w:left="993" w:hanging="993"/>
        <w:jc w:val="both"/>
        <w:rPr>
          <w:i/>
          <w:color w:val="000000"/>
          <w:sz w:val="24"/>
          <w:szCs w:val="24"/>
        </w:rPr>
      </w:pPr>
      <w:r w:rsidRPr="0065773E">
        <w:rPr>
          <w:color w:val="000000"/>
          <w:sz w:val="24"/>
          <w:szCs w:val="24"/>
          <w:lang w:val="pt-PT"/>
        </w:rPr>
        <w:t xml:space="preserve">Nkongolo T.K.M, J.J. (2010). </w:t>
      </w:r>
      <w:r w:rsidRPr="00812D9C">
        <w:rPr>
          <w:i/>
          <w:color w:val="000000"/>
          <w:sz w:val="24"/>
          <w:szCs w:val="24"/>
        </w:rPr>
        <w:t xml:space="preserve">Savoir poser des </w:t>
      </w:r>
      <w:proofErr w:type="gramStart"/>
      <w:r w:rsidRPr="00812D9C">
        <w:rPr>
          <w:i/>
          <w:color w:val="000000"/>
          <w:sz w:val="24"/>
          <w:szCs w:val="24"/>
        </w:rPr>
        <w:t>questions:</w:t>
      </w:r>
      <w:proofErr w:type="gramEnd"/>
      <w:r w:rsidRPr="00812D9C">
        <w:rPr>
          <w:i/>
          <w:color w:val="000000"/>
          <w:sz w:val="24"/>
          <w:szCs w:val="24"/>
        </w:rPr>
        <w:t xml:space="preserve"> une compétence </w:t>
      </w:r>
      <w:r>
        <w:rPr>
          <w:i/>
          <w:color w:val="000000"/>
          <w:sz w:val="24"/>
          <w:szCs w:val="24"/>
        </w:rPr>
        <w:t>pédago-</w:t>
      </w:r>
    </w:p>
    <w:p w14:paraId="7B4DBD5E" w14:textId="77777777" w:rsidR="00D80693" w:rsidRDefault="00D80693" w:rsidP="00026258">
      <w:pPr>
        <w:tabs>
          <w:tab w:val="left" w:pos="851"/>
        </w:tabs>
        <w:spacing w:before="120"/>
        <w:ind w:left="993" w:hanging="993"/>
        <w:jc w:val="both"/>
        <w:rPr>
          <w:i/>
          <w:color w:val="000000"/>
          <w:sz w:val="24"/>
          <w:szCs w:val="24"/>
        </w:rPr>
      </w:pPr>
      <w:proofErr w:type="spellStart"/>
      <w:proofErr w:type="gramStart"/>
      <w:r>
        <w:rPr>
          <w:i/>
          <w:color w:val="000000"/>
          <w:sz w:val="24"/>
          <w:szCs w:val="24"/>
        </w:rPr>
        <w:t>gique</w:t>
      </w:r>
      <w:proofErr w:type="spellEnd"/>
      <w:proofErr w:type="gramEnd"/>
      <w:r>
        <w:rPr>
          <w:i/>
          <w:color w:val="000000"/>
          <w:sz w:val="24"/>
          <w:szCs w:val="24"/>
        </w:rPr>
        <w:t xml:space="preserve"> à acquérir. </w:t>
      </w:r>
      <w:r w:rsidRPr="00812D9C">
        <w:rPr>
          <w:color w:val="000000"/>
          <w:sz w:val="24"/>
          <w:szCs w:val="24"/>
        </w:rPr>
        <w:t>Kinshasa</w:t>
      </w:r>
      <w:r>
        <w:rPr>
          <w:color w:val="000000"/>
          <w:sz w:val="24"/>
          <w:szCs w:val="24"/>
        </w:rPr>
        <w:t> : Centre de Recherche de l’Université</w:t>
      </w:r>
    </w:p>
    <w:p w14:paraId="7066AA4B" w14:textId="77777777" w:rsidR="00D80693" w:rsidRPr="00C5132D" w:rsidRDefault="00D80693" w:rsidP="00026258">
      <w:pPr>
        <w:tabs>
          <w:tab w:val="left" w:pos="851"/>
        </w:tabs>
        <w:spacing w:before="120"/>
        <w:ind w:left="993" w:hanging="993"/>
        <w:jc w:val="both"/>
        <w:rPr>
          <w:color w:val="000000"/>
          <w:sz w:val="24"/>
          <w:szCs w:val="24"/>
        </w:rPr>
      </w:pPr>
      <w:r>
        <w:rPr>
          <w:color w:val="000000"/>
          <w:sz w:val="24"/>
          <w:szCs w:val="24"/>
        </w:rPr>
        <w:t xml:space="preserve">                               Pédagogique Nationale.</w:t>
      </w:r>
    </w:p>
    <w:p w14:paraId="2D9FF5DC" w14:textId="77777777" w:rsidR="00D80693" w:rsidRPr="00E67457" w:rsidRDefault="00D80693" w:rsidP="00026258">
      <w:pPr>
        <w:spacing w:before="120"/>
        <w:ind w:left="993" w:hanging="993"/>
        <w:jc w:val="both"/>
        <w:rPr>
          <w:color w:val="000000"/>
          <w:sz w:val="24"/>
          <w:szCs w:val="24"/>
        </w:rPr>
      </w:pPr>
      <w:r w:rsidRPr="00E67457">
        <w:rPr>
          <w:color w:val="000000"/>
          <w:sz w:val="24"/>
          <w:szCs w:val="24"/>
        </w:rPr>
        <w:t xml:space="preserve">Theunissen, </w:t>
      </w:r>
      <w:proofErr w:type="gramStart"/>
      <w:r w:rsidRPr="00E67457">
        <w:rPr>
          <w:color w:val="000000"/>
          <w:sz w:val="24"/>
          <w:szCs w:val="24"/>
        </w:rPr>
        <w:t>J.(</w:t>
      </w:r>
      <w:proofErr w:type="gramEnd"/>
      <w:r w:rsidRPr="00E67457">
        <w:rPr>
          <w:color w:val="000000"/>
          <w:sz w:val="24"/>
          <w:szCs w:val="24"/>
        </w:rPr>
        <w:t xml:space="preserve">1986). </w:t>
      </w:r>
      <w:r w:rsidRPr="00E67457">
        <w:rPr>
          <w:i/>
          <w:color w:val="000000"/>
          <w:sz w:val="24"/>
          <w:szCs w:val="24"/>
        </w:rPr>
        <w:t>L’éducation intellectuelle : Méthodologie générale</w:t>
      </w:r>
      <w:r w:rsidRPr="00E67457">
        <w:rPr>
          <w:color w:val="000000"/>
          <w:sz w:val="24"/>
          <w:szCs w:val="24"/>
        </w:rPr>
        <w:t>. Kinshasa </w:t>
      </w:r>
    </w:p>
    <w:p w14:paraId="6CA7C113" w14:textId="77777777" w:rsidR="00D80693" w:rsidRDefault="00D80693" w:rsidP="00026258">
      <w:pPr>
        <w:pStyle w:val="Paragraphedeliste"/>
        <w:ind w:left="993" w:hanging="993"/>
        <w:rPr>
          <w:color w:val="000000"/>
          <w:sz w:val="24"/>
          <w:szCs w:val="24"/>
        </w:rPr>
      </w:pPr>
      <w:r>
        <w:rPr>
          <w:color w:val="000000"/>
          <w:sz w:val="24"/>
          <w:szCs w:val="24"/>
        </w:rPr>
        <w:t xml:space="preserve">                                : éd. CRP. </w:t>
      </w:r>
    </w:p>
    <w:p w14:paraId="7AA6F308" w14:textId="77777777" w:rsidR="00D80693" w:rsidRPr="0065773E" w:rsidRDefault="00D80693" w:rsidP="00D80693">
      <w:pPr>
        <w:pStyle w:val="Paragraphedeliste"/>
        <w:spacing w:line="360" w:lineRule="auto"/>
        <w:ind w:left="360"/>
        <w:rPr>
          <w:color w:val="000000"/>
          <w:sz w:val="24"/>
          <w:szCs w:val="24"/>
        </w:rPr>
        <w:sectPr w:rsidR="00D80693" w:rsidRPr="0065773E" w:rsidSect="00026258">
          <w:headerReference w:type="default" r:id="rId128"/>
          <w:footerReference w:type="default" r:id="rId129"/>
          <w:pgSz w:w="11906" w:h="16838"/>
          <w:pgMar w:top="1418" w:right="1418" w:bottom="993" w:left="1418" w:header="568" w:footer="709" w:gutter="0"/>
          <w:cols w:space="708"/>
          <w:docGrid w:linePitch="360"/>
        </w:sectPr>
      </w:pPr>
    </w:p>
    <w:p w14:paraId="71C660EE" w14:textId="7218D0D7" w:rsidR="00D80693" w:rsidRPr="0016777C" w:rsidRDefault="0016777C" w:rsidP="0016777C">
      <w:pPr>
        <w:pStyle w:val="Titre1"/>
        <w:spacing w:before="120"/>
        <w:ind w:left="164"/>
        <w:rPr>
          <w:i/>
          <w:iCs/>
          <w:color w:val="000000"/>
          <w:lang w:eastAsia="fr-FR"/>
        </w:rPr>
      </w:pPr>
      <w:bookmarkStart w:id="237" w:name="_Toc219272582"/>
      <w:r w:rsidRPr="0016777C">
        <w:rPr>
          <w:i/>
          <w:iCs/>
          <w:color w:val="000000"/>
          <w:lang w:eastAsia="fr-FR"/>
        </w:rPr>
        <w:t>Compétences émotionnelles et développement des capacités d’adaptation sociale chez des adolescents extrême-nord camerounais déplacés à l’Est à la suite des inondations</w:t>
      </w:r>
      <w:bookmarkEnd w:id="237"/>
      <w:r w:rsidRPr="0016777C">
        <w:rPr>
          <w:i/>
          <w:iCs/>
          <w:color w:val="000000"/>
          <w:lang w:eastAsia="fr-FR"/>
        </w:rPr>
        <w:t xml:space="preserve"> </w:t>
      </w:r>
    </w:p>
    <w:p w14:paraId="6281815F" w14:textId="4D8EE091" w:rsidR="00D80693" w:rsidRPr="0016777C" w:rsidRDefault="00D80693" w:rsidP="0016777C">
      <w:pPr>
        <w:pStyle w:val="Titre1"/>
        <w:spacing w:before="120"/>
        <w:ind w:left="164"/>
        <w:rPr>
          <w:rFonts w:eastAsia="DejaVu Sans"/>
        </w:rPr>
      </w:pPr>
      <w:bookmarkStart w:id="238" w:name="_Toc219272583"/>
      <w:r w:rsidRPr="0016777C">
        <w:rPr>
          <w:rFonts w:eastAsia="DejaVu Sans"/>
        </w:rPr>
        <w:t xml:space="preserve">Yannick </w:t>
      </w:r>
      <w:r w:rsidR="0016777C" w:rsidRPr="0016777C">
        <w:rPr>
          <w:rFonts w:eastAsia="DejaVu Sans"/>
        </w:rPr>
        <w:t xml:space="preserve">TAMO FOGUE </w:t>
      </w:r>
      <w:r w:rsidRPr="0016777C">
        <w:rPr>
          <w:rFonts w:eastAsia="DejaVu Sans"/>
        </w:rPr>
        <w:t>et Valère</w:t>
      </w:r>
      <w:r w:rsidR="0016777C" w:rsidRPr="0016777C">
        <w:rPr>
          <w:rFonts w:eastAsia="DejaVu Sans"/>
        </w:rPr>
        <w:t xml:space="preserve"> </w:t>
      </w:r>
      <w:r w:rsidR="0016777C" w:rsidRPr="0016777C">
        <w:rPr>
          <w:rFonts w:eastAsia="DejaVu Sans"/>
        </w:rPr>
        <w:t>NKELZOK KOMTSINDI</w:t>
      </w:r>
      <w:bookmarkEnd w:id="238"/>
    </w:p>
    <w:p w14:paraId="1D4CFD8B" w14:textId="77777777" w:rsidR="00D80693" w:rsidRPr="0016777C" w:rsidRDefault="00D80693" w:rsidP="00D80693">
      <w:pPr>
        <w:adjustRightInd w:val="0"/>
        <w:spacing w:before="240"/>
        <w:jc w:val="both"/>
        <w:rPr>
          <w:b/>
          <w:bCs/>
          <w:sz w:val="24"/>
          <w:szCs w:val="24"/>
          <w:lang w:eastAsia="fr-FR"/>
        </w:rPr>
      </w:pPr>
      <w:r w:rsidRPr="0016777C">
        <w:rPr>
          <w:b/>
          <w:bCs/>
          <w:sz w:val="24"/>
          <w:szCs w:val="24"/>
          <w:lang w:eastAsia="fr-FR"/>
        </w:rPr>
        <w:t>Résumé</w:t>
      </w:r>
    </w:p>
    <w:p w14:paraId="2DA783C8" w14:textId="77777777" w:rsidR="00D80693" w:rsidRDefault="00D80693" w:rsidP="00D80693">
      <w:pPr>
        <w:spacing w:after="12"/>
        <w:ind w:left="-5" w:hanging="10"/>
        <w:jc w:val="both"/>
        <w:rPr>
          <w:color w:val="000000"/>
          <w:sz w:val="24"/>
          <w:szCs w:val="24"/>
          <w:lang w:eastAsia="fr-FR"/>
        </w:rPr>
      </w:pPr>
      <w:bookmarkStart w:id="239" w:name="_Hlk190334655"/>
      <w:bookmarkStart w:id="240" w:name="_Hlk190334262"/>
      <w:r w:rsidRPr="0016777C">
        <w:rPr>
          <w:color w:val="000000"/>
          <w:sz w:val="24"/>
          <w:szCs w:val="24"/>
          <w:lang w:eastAsia="fr-FR"/>
        </w:rPr>
        <w:t xml:space="preserve">Cet article pose le problème du développement émotionnel et socio-adaptatif des adolescents déplacés internes du fait des inondations dans l’Extrême-Nord du Cameroun. La visée est de comparer leurs capacités d’adaptation sociale en fonction de leurs compétences émotionnelles. </w:t>
      </w:r>
      <w:r w:rsidRPr="0016777C">
        <w:rPr>
          <w:color w:val="000000"/>
          <w:kern w:val="36"/>
          <w:sz w:val="24"/>
          <w:szCs w:val="24"/>
          <w:lang w:eastAsia="fr-FR"/>
        </w:rPr>
        <w:t xml:space="preserve">L’étude a été </w:t>
      </w:r>
      <w:r w:rsidRPr="0016777C">
        <w:rPr>
          <w:color w:val="000000"/>
          <w:sz w:val="24"/>
          <w:szCs w:val="24"/>
          <w:lang w:eastAsia="fr-FR"/>
        </w:rPr>
        <w:t xml:space="preserve">réalisée auprès de </w:t>
      </w:r>
      <w:r w:rsidRPr="0016777C">
        <w:rPr>
          <w:bCs/>
          <w:color w:val="000000"/>
          <w:sz w:val="24"/>
          <w:szCs w:val="24"/>
          <w:lang w:eastAsia="fr-FR"/>
        </w:rPr>
        <w:t>113 adolescents Extrême-Nord camerounais, déplacés internes suites aux inondations de l’année 2023, installés et scolarisés à l’</w:t>
      </w:r>
      <w:r w:rsidRPr="0016777C">
        <w:rPr>
          <w:color w:val="000000"/>
          <w:sz w:val="24"/>
          <w:szCs w:val="24"/>
          <w:lang w:eastAsia="fr-FR"/>
        </w:rPr>
        <w:t>Est-Cameroun depuis au moins un an. Il en ressort qu’ils développent plus d’émotions positives (70,80%) que négatives (29,20%), mais ont presque les mêmes capacités d’adaptation sociale. Cependant, ils les régulent plus par réévaluation (61,61%) que par suppression (38,39%), mais ceux utilisant la réévaluation s’adaptent socialement plus. Avec un coping cognitif majoritairement non adaptatif (50,89%) qu’adaptatif (49,11%), ceux qui ont un coping adaptatif développent une plus grande capacité d’adaptation sociale. Ce qui implique la nécessité d’optimiser des stratégies pour promouvoir un épanouissement émotionnel et socio-adaptatif harmonieux et plus durable chez ces adolescents</w:t>
      </w:r>
      <w:bookmarkEnd w:id="239"/>
      <w:r w:rsidRPr="0016777C">
        <w:rPr>
          <w:color w:val="000000"/>
          <w:sz w:val="24"/>
          <w:szCs w:val="24"/>
          <w:lang w:eastAsia="fr-FR"/>
        </w:rPr>
        <w:t xml:space="preserve">. </w:t>
      </w:r>
    </w:p>
    <w:p w14:paraId="0ADE26DC" w14:textId="77777777" w:rsidR="0016777C" w:rsidRPr="0016777C" w:rsidRDefault="0016777C" w:rsidP="00D80693">
      <w:pPr>
        <w:spacing w:after="12"/>
        <w:ind w:left="-5" w:hanging="10"/>
        <w:jc w:val="both"/>
        <w:rPr>
          <w:color w:val="000000"/>
          <w:sz w:val="24"/>
          <w:szCs w:val="24"/>
          <w:lang w:eastAsia="fr-FR"/>
        </w:rPr>
      </w:pPr>
    </w:p>
    <w:bookmarkEnd w:id="240"/>
    <w:p w14:paraId="0E7751AC" w14:textId="77777777" w:rsidR="00D80693" w:rsidRPr="0016777C" w:rsidRDefault="00D80693" w:rsidP="00D80693">
      <w:pPr>
        <w:tabs>
          <w:tab w:val="left" w:pos="6300"/>
        </w:tabs>
        <w:spacing w:after="12"/>
        <w:ind w:left="-5" w:hanging="10"/>
        <w:jc w:val="both"/>
        <w:rPr>
          <w:color w:val="000000"/>
          <w:sz w:val="24"/>
          <w:szCs w:val="24"/>
          <w:lang w:eastAsia="fr-FR"/>
        </w:rPr>
      </w:pPr>
      <w:r w:rsidRPr="0016777C">
        <w:rPr>
          <w:color w:val="000000"/>
          <w:sz w:val="24"/>
          <w:szCs w:val="24"/>
          <w:lang w:eastAsia="fr-FR"/>
        </w:rPr>
        <w:tab/>
      </w:r>
      <w:r w:rsidRPr="0016777C">
        <w:rPr>
          <w:b/>
          <w:color w:val="000000"/>
          <w:sz w:val="24"/>
          <w:szCs w:val="24"/>
          <w:lang w:eastAsia="fr-FR"/>
        </w:rPr>
        <w:t xml:space="preserve">Mots clés : </w:t>
      </w:r>
      <w:r w:rsidRPr="0016777C">
        <w:rPr>
          <w:color w:val="000000"/>
          <w:sz w:val="24"/>
          <w:szCs w:val="24"/>
          <w:lang w:eastAsia="fr-FR"/>
        </w:rPr>
        <w:t>Emotion, régulation émotionnelle, coping cognitif, adaptation sociale, adolescents déplacé interne.</w:t>
      </w:r>
    </w:p>
    <w:p w14:paraId="1284E7F0" w14:textId="77777777" w:rsidR="00D80693" w:rsidRPr="0016777C" w:rsidRDefault="00D80693" w:rsidP="00D80693">
      <w:pPr>
        <w:adjustRightInd w:val="0"/>
        <w:spacing w:before="240"/>
        <w:jc w:val="both"/>
        <w:rPr>
          <w:b/>
          <w:bCs/>
          <w:sz w:val="24"/>
          <w:szCs w:val="24"/>
          <w:lang w:val="en-US" w:eastAsia="fr-FR"/>
        </w:rPr>
      </w:pPr>
      <w:r w:rsidRPr="0016777C">
        <w:rPr>
          <w:b/>
          <w:bCs/>
          <w:sz w:val="24"/>
          <w:szCs w:val="24"/>
          <w:lang w:val="en-US" w:eastAsia="fr-FR"/>
        </w:rPr>
        <w:t>Abstract</w:t>
      </w:r>
    </w:p>
    <w:p w14:paraId="0FC29B5C" w14:textId="77777777" w:rsidR="00D80693" w:rsidRDefault="00D80693" w:rsidP="00D80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en-US" w:eastAsia="fr-FR"/>
        </w:rPr>
      </w:pPr>
      <w:r w:rsidRPr="0016777C">
        <w:rPr>
          <w:sz w:val="24"/>
          <w:szCs w:val="24"/>
          <w:lang w:val="en-US" w:eastAsia="fr-FR"/>
        </w:rPr>
        <w:t xml:space="preserve">This article addresses the issue of emotional and socio-adaptive development of adolescents internally displaced by floods in the Far North of Cameroon. The aim is to compare their social adaptation capacities based on their emotional skills. The study was conducted among 113 adolescents from the Far North of Cameroon, internally displaced following the floods of 2023, who had been living and attending school in East Cameroon for at least one year. </w:t>
      </w:r>
      <w:r w:rsidRPr="0016777C">
        <w:rPr>
          <w:color w:val="000000"/>
          <w:sz w:val="24"/>
          <w:szCs w:val="24"/>
          <w:lang w:val="en-US" w:eastAsia="fr-FR"/>
        </w:rPr>
        <w:t>It turns out that they develop more positive emotions (70.80%) than negative ones (29.20%</w:t>
      </w:r>
      <w:proofErr w:type="gramStart"/>
      <w:r w:rsidRPr="0016777C">
        <w:rPr>
          <w:color w:val="000000"/>
          <w:sz w:val="24"/>
          <w:szCs w:val="24"/>
          <w:lang w:val="en-US" w:eastAsia="fr-FR"/>
        </w:rPr>
        <w:t>), but</w:t>
      </w:r>
      <w:proofErr w:type="gramEnd"/>
      <w:r w:rsidRPr="0016777C">
        <w:rPr>
          <w:color w:val="000000"/>
          <w:sz w:val="24"/>
          <w:szCs w:val="24"/>
          <w:lang w:val="en-US" w:eastAsia="fr-FR"/>
        </w:rPr>
        <w:t xml:space="preserve"> have almost the same social adaptation capacities. However, they regulate them more by reappraisal (61.61%) than by suppression (38.39%), but those using reappraisal adapt socially more. With </w:t>
      </w:r>
      <w:proofErr w:type="gramStart"/>
      <w:r w:rsidRPr="0016777C">
        <w:rPr>
          <w:color w:val="000000"/>
          <w:sz w:val="24"/>
          <w:szCs w:val="24"/>
          <w:lang w:val="en-US" w:eastAsia="fr-FR"/>
        </w:rPr>
        <w:t>a cognitive</w:t>
      </w:r>
      <w:proofErr w:type="gramEnd"/>
      <w:r w:rsidRPr="0016777C">
        <w:rPr>
          <w:color w:val="000000"/>
          <w:sz w:val="24"/>
          <w:szCs w:val="24"/>
          <w:lang w:val="en-US" w:eastAsia="fr-FR"/>
        </w:rPr>
        <w:t xml:space="preserve"> coping that is predominantly non-adaptive (50.89%) than adaptive (49.11%), those who have adaptive coping develop a greater capacity for social adaptation. This implies the need to optimize strategies to promote harmonious and more sustainable emotional and socio-adaptive development in these adolescents.</w:t>
      </w:r>
    </w:p>
    <w:p w14:paraId="075A1AF0" w14:textId="77777777" w:rsidR="0016777C" w:rsidRPr="0016777C" w:rsidRDefault="0016777C" w:rsidP="00D80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US" w:eastAsia="fr-FR"/>
        </w:rPr>
      </w:pPr>
    </w:p>
    <w:p w14:paraId="37CEE29A" w14:textId="77777777" w:rsidR="00D80693" w:rsidRPr="0016777C" w:rsidRDefault="00D80693" w:rsidP="00D80693">
      <w:pPr>
        <w:tabs>
          <w:tab w:val="left" w:pos="6300"/>
        </w:tabs>
        <w:spacing w:after="12"/>
        <w:ind w:left="-5" w:hanging="10"/>
        <w:jc w:val="both"/>
        <w:rPr>
          <w:color w:val="000000"/>
          <w:sz w:val="24"/>
          <w:szCs w:val="24"/>
          <w:lang w:val="en-US" w:eastAsia="fr-FR"/>
        </w:rPr>
      </w:pPr>
      <w:r w:rsidRPr="0016777C">
        <w:rPr>
          <w:b/>
          <w:bCs/>
          <w:color w:val="000000"/>
          <w:sz w:val="24"/>
          <w:szCs w:val="24"/>
          <w:lang w:val="en-US" w:eastAsia="fr-FR"/>
        </w:rPr>
        <w:t>Keywords:</w:t>
      </w:r>
      <w:r w:rsidRPr="0016777C">
        <w:rPr>
          <w:color w:val="000000"/>
          <w:sz w:val="24"/>
          <w:szCs w:val="24"/>
          <w:lang w:val="en-US" w:eastAsia="fr-FR"/>
        </w:rPr>
        <w:t xml:space="preserve"> Emotion, emotional regulation, cognitive coping, social adaptation, internally displaced adolescents.</w:t>
      </w:r>
    </w:p>
    <w:p w14:paraId="47883461" w14:textId="77777777" w:rsidR="0016777C" w:rsidRPr="001928FA" w:rsidRDefault="0016777C">
      <w:pPr>
        <w:rPr>
          <w:b/>
          <w:bCs/>
          <w:color w:val="000000"/>
          <w:sz w:val="28"/>
          <w:szCs w:val="28"/>
          <w:lang w:val="en-US" w:eastAsia="fr-FR"/>
        </w:rPr>
      </w:pPr>
      <w:r w:rsidRPr="001928FA">
        <w:rPr>
          <w:b/>
          <w:bCs/>
          <w:color w:val="000000"/>
          <w:sz w:val="28"/>
          <w:szCs w:val="28"/>
          <w:lang w:val="en-US" w:eastAsia="fr-FR"/>
        </w:rPr>
        <w:br w:type="page"/>
      </w:r>
    </w:p>
    <w:p w14:paraId="16D8010B" w14:textId="3D10C5FC" w:rsidR="00D80693" w:rsidRPr="007C32BA" w:rsidRDefault="00D80693" w:rsidP="00D80693">
      <w:pPr>
        <w:tabs>
          <w:tab w:val="left" w:pos="6300"/>
        </w:tabs>
        <w:spacing w:before="240"/>
        <w:jc w:val="both"/>
        <w:rPr>
          <w:b/>
          <w:bCs/>
          <w:color w:val="000000"/>
          <w:sz w:val="28"/>
          <w:szCs w:val="28"/>
          <w:lang w:eastAsia="fr-FR"/>
        </w:rPr>
      </w:pPr>
      <w:r w:rsidRPr="007C32BA">
        <w:rPr>
          <w:b/>
          <w:bCs/>
          <w:color w:val="000000"/>
          <w:sz w:val="28"/>
          <w:szCs w:val="28"/>
          <w:lang w:eastAsia="fr-FR"/>
        </w:rPr>
        <w:t>Introduction</w:t>
      </w:r>
    </w:p>
    <w:p w14:paraId="77ACC754" w14:textId="77777777" w:rsidR="00D80693" w:rsidRPr="003A6EBA" w:rsidRDefault="00D80693" w:rsidP="0016777C">
      <w:pPr>
        <w:spacing w:before="240"/>
        <w:jc w:val="both"/>
        <w:rPr>
          <w:color w:val="000000"/>
          <w:sz w:val="24"/>
          <w:lang w:eastAsia="fr-FR"/>
        </w:rPr>
      </w:pPr>
      <w:r w:rsidRPr="003A6EBA">
        <w:rPr>
          <w:color w:val="000000"/>
          <w:sz w:val="24"/>
          <w:lang w:eastAsia="fr-FR"/>
        </w:rPr>
        <w:t>Depuis plusieurs décennies, le monde entier connait une croissance de plus en plus préoccupante de la température avec pour corollaire, l’augmentation du niveau et débit des cours d’eau, le renforcement de l’intensité des tempêtes, des vents, des sècheresses et des précipitations qui causent des incendies, des éboulements/glissements de terrains et des inondations. Ces catastrophes naturelles sévissent au Cameroun presque chaque année depuis bientôt une décennie, plus régulièrement dans la région de l’Extrême-Nord avec des inondations qui s’y succèdent, entrainant à chaque fois un bouleversement total de la dynamique socioéconomique des populations. Les départements les plus régulièrement touchés sont ceux du Logone-et-Chari et du Mayo-Danay où près de 97% des déplacements internes sont liés aux inondations (Organisation Internationale pour les Migrations, 2023) ; où l’on compte presque au deux-tiers (64%) des mineurs de moins de 18 ans (</w:t>
      </w:r>
      <w:proofErr w:type="gramStart"/>
      <w:r w:rsidRPr="003A6EBA">
        <w:rPr>
          <w:color w:val="000000"/>
          <w:sz w:val="24"/>
          <w:lang w:eastAsia="fr-FR"/>
        </w:rPr>
        <w:t>Ministère</w:t>
      </w:r>
      <w:proofErr w:type="gramEnd"/>
      <w:r w:rsidRPr="003A6EBA">
        <w:rPr>
          <w:color w:val="000000"/>
          <w:sz w:val="24"/>
          <w:lang w:eastAsia="fr-FR"/>
        </w:rPr>
        <w:t xml:space="preserve"> des Affaires Sociales [MINAS], Fond des Nations Unies pour l’Enfance [UNICEF], 2024). Cela entraine à chaque fois une aggravation de la pauvreté et un reculement profond de la justice sociale causés par la destruction des milliers d’hectares de culture</w:t>
      </w:r>
      <w:r>
        <w:rPr>
          <w:color w:val="000000"/>
          <w:sz w:val="24"/>
          <w:lang w:eastAsia="fr-FR"/>
        </w:rPr>
        <w:t xml:space="preserve">s et des maisons, la perte des </w:t>
      </w:r>
      <w:r w:rsidRPr="003A6EBA">
        <w:rPr>
          <w:color w:val="000000"/>
          <w:sz w:val="24"/>
          <w:lang w:eastAsia="fr-FR"/>
        </w:rPr>
        <w:t xml:space="preserve">animaux, l’accroissement des risques d’infection, les déplacements forcées causées par la famine et le manque d’abris, … (International Crisis Group, 2024). Outre leurs coûts humains directs et immédiats, ces évènements de vie, vu leur potentiel traumatique, ont un retentissement et une résonance psychologiques significatifs sur l’individu, particulièrement les enfants et les adolescents (Amana &amp; Tamo </w:t>
      </w:r>
      <w:proofErr w:type="spellStart"/>
      <w:r w:rsidRPr="003A6EBA">
        <w:rPr>
          <w:color w:val="000000"/>
          <w:sz w:val="24"/>
          <w:lang w:eastAsia="fr-FR"/>
        </w:rPr>
        <w:t>Fogué</w:t>
      </w:r>
      <w:proofErr w:type="spellEnd"/>
      <w:r w:rsidRPr="003A6EBA">
        <w:rPr>
          <w:color w:val="000000"/>
          <w:sz w:val="24"/>
          <w:lang w:eastAsia="fr-FR"/>
        </w:rPr>
        <w:t xml:space="preserve">, 2024). Cependant, en s’appuyant sur la fréquence d’échec, d’abandon et d’exclusion scolaires, de rigidité comportementale, d’agressivité, d’inadvertance et d’invalidité sociales empiriquement observés chez ces derniers, précisément ceux </w:t>
      </w:r>
      <w:r w:rsidRPr="003A6EBA">
        <w:rPr>
          <w:bCs/>
          <w:color w:val="000000"/>
          <w:sz w:val="24"/>
          <w:lang w:eastAsia="fr-FR"/>
        </w:rPr>
        <w:t>installés dans la localité de Garoua-Boulai à l’</w:t>
      </w:r>
      <w:r w:rsidRPr="003A6EBA">
        <w:rPr>
          <w:color w:val="000000"/>
          <w:sz w:val="24"/>
          <w:szCs w:val="24"/>
          <w:lang w:eastAsia="fr-FR"/>
        </w:rPr>
        <w:t>Est-Cameroun</w:t>
      </w:r>
      <w:r w:rsidRPr="003A6EBA">
        <w:rPr>
          <w:color w:val="000000"/>
          <w:sz w:val="24"/>
          <w:lang w:eastAsia="fr-FR"/>
        </w:rPr>
        <w:t>, l’on suspecte que les variations apparentes observées dans leurs expressions émotionnelles affecteraient leurs capacités de socialisation.</w:t>
      </w:r>
    </w:p>
    <w:p w14:paraId="3A67D488" w14:textId="77777777" w:rsidR="00D80693" w:rsidRPr="003A6EBA" w:rsidRDefault="00D80693" w:rsidP="0016777C">
      <w:pPr>
        <w:adjustRightInd w:val="0"/>
        <w:spacing w:before="240"/>
        <w:jc w:val="both"/>
        <w:rPr>
          <w:sz w:val="24"/>
          <w:szCs w:val="24"/>
          <w:lang w:eastAsia="fr-FR"/>
        </w:rPr>
      </w:pPr>
      <w:r w:rsidRPr="003A6EBA">
        <w:rPr>
          <w:sz w:val="24"/>
          <w:szCs w:val="24"/>
          <w:lang w:eastAsia="fr-FR"/>
        </w:rPr>
        <w:t>Dans le but d’analyser scientifiquement l'ensemble des indicateurs de compétences émotionnelles chez ces adolescents</w:t>
      </w:r>
      <w:r>
        <w:rPr>
          <w:sz w:val="24"/>
          <w:szCs w:val="24"/>
          <w:lang w:eastAsia="fr-FR"/>
        </w:rPr>
        <w:t xml:space="preserve"> </w:t>
      </w:r>
      <w:r w:rsidRPr="003A6EBA">
        <w:rPr>
          <w:sz w:val="24"/>
          <w:szCs w:val="24"/>
          <w:lang w:eastAsia="fr-FR"/>
        </w:rPr>
        <w:t>déplacés internes</w:t>
      </w:r>
      <w:r w:rsidRPr="003A6EBA">
        <w:rPr>
          <w:lang w:eastAsia="fr-FR"/>
        </w:rPr>
        <w:t xml:space="preserve">, </w:t>
      </w:r>
      <w:r w:rsidRPr="003A6EBA">
        <w:rPr>
          <w:sz w:val="24"/>
          <w:szCs w:val="24"/>
          <w:lang w:eastAsia="fr-FR"/>
        </w:rPr>
        <w:t xml:space="preserve">en dégageant leurs effets différentiels sur les capacités d’adaptation sociale de ceux-ci, une étude sur leurs compétences émotionnelles et le développement de leurs capacités d’adaptation sociale se doit d’être menée. Elle objecte principalement de comparer la variation du développement de ces capacités en fonction de leurs compétences émotionnelles face à leurs expériences de vie en milieu d’accueil. A la fin, les résultats et suggestions pourraient être optimisés au profit d’une meilleure intervention pour leur resocialisation. Elle aidera également à promouvoir un meilleur accompagnement psychologique pour un épanouissement émotionnel et socio-adaptatif durables de ces derniers. </w:t>
      </w:r>
    </w:p>
    <w:p w14:paraId="3C51385A" w14:textId="77777777" w:rsidR="00D80693" w:rsidRPr="003A6EBA" w:rsidRDefault="00D80693" w:rsidP="00D80693">
      <w:pPr>
        <w:widowControl/>
        <w:numPr>
          <w:ilvl w:val="0"/>
          <w:numId w:val="187"/>
        </w:numPr>
        <w:adjustRightInd w:val="0"/>
        <w:spacing w:before="240"/>
        <w:jc w:val="both"/>
        <w:rPr>
          <w:b/>
          <w:bCs/>
          <w:sz w:val="28"/>
          <w:szCs w:val="28"/>
          <w:lang w:eastAsia="fr-FR"/>
        </w:rPr>
      </w:pPr>
      <w:bookmarkStart w:id="241" w:name="_Toc493860703"/>
      <w:r w:rsidRPr="003A6EBA">
        <w:rPr>
          <w:b/>
          <w:sz w:val="28"/>
          <w:szCs w:val="28"/>
          <w:lang w:eastAsia="fr-FR"/>
        </w:rPr>
        <w:t>Problématique</w:t>
      </w:r>
    </w:p>
    <w:p w14:paraId="12EBB176" w14:textId="77777777" w:rsidR="00D80693" w:rsidRPr="003A6EBA" w:rsidRDefault="00D80693" w:rsidP="00D80693">
      <w:pPr>
        <w:widowControl/>
        <w:numPr>
          <w:ilvl w:val="1"/>
          <w:numId w:val="188"/>
        </w:numPr>
        <w:adjustRightInd w:val="0"/>
        <w:jc w:val="both"/>
        <w:rPr>
          <w:b/>
          <w:bCs/>
          <w:sz w:val="24"/>
          <w:szCs w:val="24"/>
          <w:lang w:eastAsia="fr-FR"/>
        </w:rPr>
      </w:pPr>
      <w:r w:rsidRPr="003A6EBA">
        <w:rPr>
          <w:b/>
          <w:sz w:val="24"/>
          <w:szCs w:val="24"/>
          <w:lang w:eastAsia="fr-FR"/>
        </w:rPr>
        <w:t xml:space="preserve">Etat de la question </w:t>
      </w:r>
      <w:bookmarkEnd w:id="241"/>
    </w:p>
    <w:p w14:paraId="7703AA65" w14:textId="77777777" w:rsidR="00D80693" w:rsidRPr="003A6EBA" w:rsidRDefault="00D80693" w:rsidP="0016777C">
      <w:pPr>
        <w:spacing w:before="240"/>
        <w:jc w:val="both"/>
        <w:rPr>
          <w:sz w:val="24"/>
          <w:szCs w:val="24"/>
          <w:lang w:eastAsia="fr-FR"/>
        </w:rPr>
      </w:pPr>
      <w:r w:rsidRPr="003A6EBA">
        <w:rPr>
          <w:sz w:val="24"/>
          <w:szCs w:val="24"/>
          <w:lang w:eastAsia="fr-FR"/>
        </w:rPr>
        <w:t>Les inondations constituent l’essentiel des catastrophes naturelles qui sévissent plus fréquemment dans l’Extrême-Nord du Cameroun et qui causent des dommages matériels les plus importants.</w:t>
      </w:r>
      <w:r>
        <w:rPr>
          <w:sz w:val="24"/>
          <w:szCs w:val="24"/>
          <w:lang w:eastAsia="fr-FR"/>
        </w:rPr>
        <w:t xml:space="preserve"> </w:t>
      </w:r>
      <w:r w:rsidRPr="003A6EBA">
        <w:rPr>
          <w:sz w:val="24"/>
          <w:szCs w:val="24"/>
          <w:lang w:eastAsia="fr-FR"/>
        </w:rPr>
        <w:t>Selon la littérature scientifique, l’exposition à ces désastres pourrait non seulement entrainer des troubles psychologiques majeurs, mais surtout perturber significativement le processus du développement</w:t>
      </w:r>
      <w:r>
        <w:rPr>
          <w:sz w:val="24"/>
          <w:szCs w:val="24"/>
          <w:lang w:eastAsia="fr-FR"/>
        </w:rPr>
        <w:t xml:space="preserve"> </w:t>
      </w:r>
      <w:r w:rsidRPr="003A6EBA">
        <w:rPr>
          <w:sz w:val="24"/>
          <w:szCs w:val="24"/>
          <w:lang w:eastAsia="fr-FR"/>
        </w:rPr>
        <w:t>de tout individu</w:t>
      </w:r>
      <w:r>
        <w:rPr>
          <w:sz w:val="24"/>
          <w:szCs w:val="24"/>
          <w:lang w:eastAsia="fr-FR"/>
        </w:rPr>
        <w:t xml:space="preserve"> </w:t>
      </w:r>
      <w:r w:rsidRPr="003A6EBA">
        <w:rPr>
          <w:sz w:val="24"/>
          <w:szCs w:val="24"/>
          <w:lang w:eastAsia="fr-FR"/>
        </w:rPr>
        <w:t xml:space="preserve">(Grelot &amp; </w:t>
      </w:r>
      <w:proofErr w:type="spellStart"/>
      <w:r w:rsidRPr="003A6EBA">
        <w:rPr>
          <w:sz w:val="24"/>
          <w:szCs w:val="24"/>
          <w:lang w:eastAsia="fr-FR"/>
        </w:rPr>
        <w:t>Balzergue</w:t>
      </w:r>
      <w:proofErr w:type="spellEnd"/>
      <w:r w:rsidRPr="003A6EBA">
        <w:rPr>
          <w:sz w:val="24"/>
          <w:szCs w:val="24"/>
          <w:lang w:eastAsia="fr-FR"/>
        </w:rPr>
        <w:t>, 2022).</w:t>
      </w:r>
      <w:r>
        <w:rPr>
          <w:sz w:val="24"/>
          <w:szCs w:val="24"/>
          <w:lang w:eastAsia="fr-FR"/>
        </w:rPr>
        <w:t xml:space="preserve"> </w:t>
      </w:r>
      <w:r w:rsidRPr="005601B5">
        <w:rPr>
          <w:sz w:val="24"/>
          <w:szCs w:val="24"/>
          <w:lang w:eastAsia="fr-FR"/>
        </w:rPr>
        <w:t>Face aux</w:t>
      </w:r>
      <w:r w:rsidRPr="003A6EBA">
        <w:rPr>
          <w:sz w:val="24"/>
          <w:szCs w:val="24"/>
          <w:lang w:eastAsia="fr-FR"/>
        </w:rPr>
        <w:t xml:space="preserve"> difficultés à s’adapter aux modifications subies par leurs environnements physiques et socia</w:t>
      </w:r>
      <w:r>
        <w:rPr>
          <w:sz w:val="24"/>
          <w:szCs w:val="24"/>
          <w:lang w:eastAsia="fr-FR"/>
        </w:rPr>
        <w:t>ux</w:t>
      </w:r>
      <w:r w:rsidRPr="003A6EBA">
        <w:rPr>
          <w:sz w:val="24"/>
          <w:szCs w:val="24"/>
          <w:lang w:eastAsia="fr-FR"/>
        </w:rPr>
        <w:t xml:space="preserve">, plusieurs personnes ayant été victimes de ces sinistres sombrent dans les névroses traumatiques (stress post-traumatique), les troubles anxio-dépressifs et de l’humeur, ainsi que des troubles psychosomatiques divers (Rouquette, </w:t>
      </w:r>
      <w:proofErr w:type="spellStart"/>
      <w:r w:rsidRPr="003A6EBA">
        <w:rPr>
          <w:sz w:val="24"/>
          <w:szCs w:val="24"/>
          <w:lang w:eastAsia="fr-FR"/>
        </w:rPr>
        <w:t>Chemerik</w:t>
      </w:r>
      <w:proofErr w:type="spellEnd"/>
      <w:r w:rsidRPr="003A6EBA">
        <w:rPr>
          <w:sz w:val="24"/>
          <w:szCs w:val="24"/>
          <w:lang w:eastAsia="fr-FR"/>
        </w:rPr>
        <w:t xml:space="preserve">, &amp; </w:t>
      </w:r>
      <w:proofErr w:type="spellStart"/>
      <w:r w:rsidRPr="003A6EBA">
        <w:rPr>
          <w:sz w:val="24"/>
          <w:szCs w:val="24"/>
          <w:lang w:eastAsia="fr-FR"/>
        </w:rPr>
        <w:t>Bihay</w:t>
      </w:r>
      <w:proofErr w:type="spellEnd"/>
      <w:r w:rsidRPr="003A6EBA">
        <w:rPr>
          <w:sz w:val="24"/>
          <w:szCs w:val="24"/>
          <w:lang w:eastAsia="fr-FR"/>
        </w:rPr>
        <w:t>, 2024). Cela affecte également leurs relations sociales,</w:t>
      </w:r>
      <w:r>
        <w:rPr>
          <w:sz w:val="24"/>
          <w:szCs w:val="24"/>
          <w:lang w:eastAsia="fr-FR"/>
        </w:rPr>
        <w:t xml:space="preserve"> </w:t>
      </w:r>
      <w:r w:rsidRPr="003A6EBA">
        <w:rPr>
          <w:sz w:val="24"/>
          <w:szCs w:val="24"/>
          <w:lang w:eastAsia="fr-FR"/>
        </w:rPr>
        <w:t xml:space="preserve">la scolarité des enfants/adolescents, l’exacerbation des conflits et la détérioration de leur estime de soi, avec une accessibilité limitée à l’aide et au soutien social (Mathias, Hamel, &amp; </w:t>
      </w:r>
      <w:proofErr w:type="spellStart"/>
      <w:r w:rsidRPr="003A6EBA">
        <w:rPr>
          <w:sz w:val="24"/>
          <w:szCs w:val="24"/>
          <w:lang w:eastAsia="fr-FR"/>
        </w:rPr>
        <w:t>Lansard</w:t>
      </w:r>
      <w:proofErr w:type="spellEnd"/>
      <w:r w:rsidRPr="003A6EBA">
        <w:rPr>
          <w:sz w:val="24"/>
          <w:szCs w:val="24"/>
          <w:lang w:eastAsia="fr-FR"/>
        </w:rPr>
        <w:t>, 2023). L’on pourra également relever un</w:t>
      </w:r>
      <w:r>
        <w:rPr>
          <w:sz w:val="24"/>
          <w:szCs w:val="24"/>
          <w:lang w:eastAsia="fr-FR"/>
        </w:rPr>
        <w:t>e</w:t>
      </w:r>
      <w:r w:rsidRPr="003A6EBA">
        <w:rPr>
          <w:sz w:val="24"/>
          <w:szCs w:val="24"/>
          <w:lang w:eastAsia="fr-FR"/>
        </w:rPr>
        <w:t xml:space="preserve"> régulation interne ou émotionnelle déficitaire en contexte de déplacement, associée à moins de flexibilité ou de créativité dans les tâches de résolution des problèmes socio-affectifs (Egeland et al., 1983). Dans cette logique, Pool (2011) avait démontré à partir d’un échantillon </w:t>
      </w:r>
      <w:r w:rsidRPr="0099019A">
        <w:rPr>
          <w:sz w:val="24"/>
          <w:szCs w:val="24"/>
          <w:lang w:eastAsia="fr-FR"/>
        </w:rPr>
        <w:t>de 5</w:t>
      </w:r>
      <w:r>
        <w:rPr>
          <w:sz w:val="24"/>
          <w:szCs w:val="24"/>
          <w:lang w:eastAsia="fr-FR"/>
        </w:rPr>
        <w:t>1</w:t>
      </w:r>
      <w:r w:rsidRPr="0099019A">
        <w:rPr>
          <w:sz w:val="24"/>
          <w:szCs w:val="24"/>
          <w:lang w:eastAsia="fr-FR"/>
        </w:rPr>
        <w:t xml:space="preserve"> participants</w:t>
      </w:r>
      <w:r>
        <w:rPr>
          <w:color w:val="FF0000"/>
          <w:sz w:val="24"/>
          <w:szCs w:val="24"/>
          <w:lang w:eastAsia="fr-FR"/>
        </w:rPr>
        <w:t xml:space="preserve"> </w:t>
      </w:r>
      <w:r w:rsidRPr="00156491">
        <w:rPr>
          <w:sz w:val="24"/>
          <w:szCs w:val="24"/>
          <w:lang w:eastAsia="fr-FR"/>
        </w:rPr>
        <w:t>dont 26 femmes et 25 hommes âgés</w:t>
      </w:r>
      <w:r w:rsidRPr="00156491">
        <w:rPr>
          <w:color w:val="FF0000"/>
          <w:sz w:val="24"/>
          <w:szCs w:val="24"/>
          <w:lang w:eastAsia="fr-FR"/>
        </w:rPr>
        <w:t xml:space="preserve"> </w:t>
      </w:r>
      <w:r w:rsidRPr="003A6EBA">
        <w:rPr>
          <w:sz w:val="24"/>
          <w:szCs w:val="24"/>
          <w:lang w:eastAsia="fr-FR"/>
        </w:rPr>
        <w:t>en moyen de 22,5 et 24,24 ans respectivement, que les optimistes auraient une régulation émotionnelle consciente particulièrement adaptative et une socialisation harmonieuse. Qu’en serait-il des adolescents ayant vécu ces inondations et qui sont aujourd’hui</w:t>
      </w:r>
      <w:r>
        <w:rPr>
          <w:sz w:val="24"/>
          <w:szCs w:val="24"/>
          <w:lang w:eastAsia="fr-FR"/>
        </w:rPr>
        <w:t xml:space="preserve"> </w:t>
      </w:r>
      <w:r w:rsidRPr="003A6EBA">
        <w:rPr>
          <w:sz w:val="24"/>
          <w:szCs w:val="24"/>
          <w:lang w:eastAsia="fr-FR"/>
        </w:rPr>
        <w:t>déplacés internes</w:t>
      </w:r>
      <w:r>
        <w:rPr>
          <w:sz w:val="24"/>
          <w:szCs w:val="24"/>
          <w:lang w:eastAsia="fr-FR"/>
        </w:rPr>
        <w:t xml:space="preserve"> </w:t>
      </w:r>
      <w:r w:rsidRPr="003A6EBA">
        <w:rPr>
          <w:sz w:val="24"/>
          <w:szCs w:val="24"/>
          <w:lang w:eastAsia="fr-FR"/>
        </w:rPr>
        <w:t>et scolarisés loin de leurs environnements socio-scolaire habituels ? Cette interrogation impose une lecture théorique minutieuse du problème posé.</w:t>
      </w:r>
    </w:p>
    <w:p w14:paraId="62ACDD2D" w14:textId="77777777" w:rsidR="00D80693" w:rsidRPr="00CF26B3" w:rsidRDefault="00D80693" w:rsidP="0016777C">
      <w:pPr>
        <w:spacing w:before="240"/>
        <w:jc w:val="both"/>
        <w:rPr>
          <w:color w:val="5B9BD5"/>
          <w:sz w:val="24"/>
          <w:szCs w:val="24"/>
          <w:lang w:eastAsia="fr-FR"/>
        </w:rPr>
      </w:pPr>
      <w:r w:rsidRPr="003A6EBA">
        <w:rPr>
          <w:sz w:val="24"/>
          <w:szCs w:val="24"/>
          <w:lang w:eastAsia="fr-FR"/>
        </w:rPr>
        <w:t>La rigidité comportementale et cognitive observée chez plusieurs de ces adolescents, leur complaisance compulsive envers les requêtes des adultes (surtout à l’école), le contrebalancement de leur sentiment d’impuissance face à la compétitivité sociale seraient liés aux traces mnésiques des évènements vécus précocement dans leurs villages d’origines et aux conditions</w:t>
      </w:r>
      <w:r>
        <w:rPr>
          <w:sz w:val="24"/>
          <w:szCs w:val="24"/>
          <w:lang w:eastAsia="fr-FR"/>
        </w:rPr>
        <w:t xml:space="preserve"> </w:t>
      </w:r>
      <w:r w:rsidRPr="003A6EBA">
        <w:rPr>
          <w:sz w:val="24"/>
          <w:szCs w:val="24"/>
          <w:lang w:eastAsia="fr-FR"/>
        </w:rPr>
        <w:t>d’inconfort de scolarisation en contexte de déplacement (</w:t>
      </w:r>
      <w:r w:rsidRPr="003A6EBA">
        <w:rPr>
          <w:bCs/>
          <w:color w:val="000000"/>
          <w:sz w:val="24"/>
          <w:szCs w:val="24"/>
          <w:lang w:eastAsia="fr-FR"/>
        </w:rPr>
        <w:t xml:space="preserve">Tamo </w:t>
      </w:r>
      <w:proofErr w:type="spellStart"/>
      <w:r w:rsidRPr="003A6EBA">
        <w:rPr>
          <w:bCs/>
          <w:color w:val="000000"/>
          <w:sz w:val="24"/>
          <w:szCs w:val="24"/>
          <w:lang w:eastAsia="fr-FR"/>
        </w:rPr>
        <w:t>Fogué</w:t>
      </w:r>
      <w:proofErr w:type="spellEnd"/>
      <w:r w:rsidRPr="003A6EBA">
        <w:rPr>
          <w:bCs/>
          <w:color w:val="000000"/>
          <w:sz w:val="24"/>
          <w:szCs w:val="24"/>
          <w:lang w:eastAsia="fr-FR"/>
        </w:rPr>
        <w:t xml:space="preserve">, </w:t>
      </w:r>
      <w:proofErr w:type="spellStart"/>
      <w:r w:rsidRPr="003A6EBA">
        <w:rPr>
          <w:bCs/>
          <w:color w:val="000000"/>
          <w:sz w:val="24"/>
          <w:szCs w:val="24"/>
          <w:lang w:eastAsia="fr-FR"/>
        </w:rPr>
        <w:t>Tcheundjio</w:t>
      </w:r>
      <w:proofErr w:type="spellEnd"/>
      <w:r w:rsidRPr="003A6EBA">
        <w:rPr>
          <w:color w:val="000000"/>
          <w:sz w:val="24"/>
          <w:szCs w:val="24"/>
          <w:lang w:eastAsia="fr-FR"/>
        </w:rPr>
        <w:t>,</w:t>
      </w:r>
      <w:r>
        <w:rPr>
          <w:color w:val="000000"/>
          <w:sz w:val="24"/>
          <w:szCs w:val="24"/>
          <w:lang w:eastAsia="fr-FR"/>
        </w:rPr>
        <w:t xml:space="preserve"> </w:t>
      </w:r>
      <w:r w:rsidRPr="003A6EBA">
        <w:rPr>
          <w:color w:val="000000"/>
          <w:sz w:val="24"/>
          <w:szCs w:val="24"/>
          <w:lang w:eastAsia="fr-FR"/>
        </w:rPr>
        <w:t xml:space="preserve">Nguimfack, </w:t>
      </w:r>
      <w:proofErr w:type="spellStart"/>
      <w:r w:rsidRPr="003A6EBA">
        <w:rPr>
          <w:color w:val="000000"/>
          <w:sz w:val="24"/>
          <w:szCs w:val="24"/>
          <w:lang w:eastAsia="fr-FR"/>
        </w:rPr>
        <w:t>Nkelzok</w:t>
      </w:r>
      <w:proofErr w:type="spellEnd"/>
      <w:r w:rsidRPr="003A6EBA">
        <w:rPr>
          <w:color w:val="000000"/>
          <w:sz w:val="24"/>
          <w:szCs w:val="24"/>
          <w:lang w:eastAsia="fr-FR"/>
        </w:rPr>
        <w:t xml:space="preserve"> Komtsindi,&amp; Tsala Tsala,2020)</w:t>
      </w:r>
      <w:r w:rsidRPr="003A6EBA">
        <w:rPr>
          <w:sz w:val="24"/>
          <w:szCs w:val="24"/>
          <w:lang w:eastAsia="fr-FR"/>
        </w:rPr>
        <w:t>. Or c’est pendant la petite enfance et l’enfance que se construirait un premier modèle du monde chez le sujet et qu’émergerait le socle des fonctions adaptatives qu’il utilisera plus tard (Crittenden &amp; Di</w:t>
      </w:r>
      <w:r>
        <w:rPr>
          <w:sz w:val="24"/>
          <w:szCs w:val="24"/>
          <w:lang w:eastAsia="fr-FR"/>
        </w:rPr>
        <w:t xml:space="preserve"> </w:t>
      </w:r>
      <w:r w:rsidRPr="003A6EBA">
        <w:rPr>
          <w:sz w:val="24"/>
          <w:szCs w:val="24"/>
          <w:lang w:eastAsia="fr-FR"/>
        </w:rPr>
        <w:t xml:space="preserve">Lalla, 1988). Ce faisant, tout évènement abusif ou causant sa négligence conduit à une perturbation tardive de ces fonctions (Egeland, Sroufe, &amp; Erickson, 1983). </w:t>
      </w:r>
    </w:p>
    <w:p w14:paraId="1CADE430" w14:textId="77777777" w:rsidR="00D80693" w:rsidRPr="003A6EBA" w:rsidRDefault="00D80693" w:rsidP="0016777C">
      <w:pPr>
        <w:spacing w:before="240"/>
        <w:jc w:val="both"/>
        <w:rPr>
          <w:sz w:val="24"/>
          <w:szCs w:val="24"/>
          <w:lang w:eastAsia="fr-FR"/>
        </w:rPr>
      </w:pPr>
      <w:r w:rsidRPr="003A6EBA">
        <w:rPr>
          <w:sz w:val="24"/>
          <w:szCs w:val="24"/>
          <w:lang w:eastAsia="fr-FR"/>
        </w:rPr>
        <w:t>De même</w:t>
      </w:r>
      <w:r w:rsidRPr="005857F8">
        <w:rPr>
          <w:sz w:val="24"/>
          <w:szCs w:val="24"/>
          <w:lang w:eastAsia="fr-FR"/>
        </w:rPr>
        <w:t>, la survenue</w:t>
      </w:r>
      <w:r w:rsidRPr="003A6EBA">
        <w:rPr>
          <w:sz w:val="24"/>
          <w:szCs w:val="24"/>
          <w:lang w:eastAsia="fr-FR"/>
        </w:rPr>
        <w:t xml:space="preserve"> des catastrophes naturelles entrainera une privation sensorielle et émotionnelle, un retard de la production et de la compréhension du langage, puis affectera la socialisation de l’individu qui au fil du temps, intériorise et consolide un sens de l’identité moins sûr, moins stable et moins intègre (Bowlby, 1988). En effet, dans le cadre de l’adaptation socio-scolaire, l’on note dès la maternelle, que l’individu pourrait présenter une intolérance à la frustration, beaucoup de colère ou d’incompréhension et de dépendance envers les autres (Egeland et al., 1983 ; </w:t>
      </w:r>
      <w:r w:rsidRPr="00526FDF">
        <w:rPr>
          <w:sz w:val="24"/>
          <w:szCs w:val="24"/>
          <w:lang w:eastAsia="fr-FR"/>
        </w:rPr>
        <w:t>Vondra et al., 1990). A l’école primaire, ils pourraient présenter moins de persévérance, de l’évitement face aux tâches cognitives difficiles ; de l’hyper dépendance vis-à-vis de l’aide et des réactions des enseignants (Shonk &amp; Cicchetti, 2001). Au secondaire (à l’adolescence), ils pourraient présenter des performances fréquemment en dessous de la moyenne et des taux très élevés de suspensions et de</w:t>
      </w:r>
      <w:r w:rsidRPr="003A6EBA">
        <w:rPr>
          <w:sz w:val="24"/>
          <w:szCs w:val="24"/>
          <w:lang w:eastAsia="fr-FR"/>
        </w:rPr>
        <w:t xml:space="preserve"> renvois (Eckenrode, Laird, &amp; Doris, 1993). Dans cette logique, Guillaume (2014, P.48) relève que « le manque de contrôle comportemental (ou impulsivité) tient en partie à un déficit des fonctions exécutives, notamment des capacités cognitives responsables de la planification, de l’organisation, de la temporisation et du contrôle des comportements ».</w:t>
      </w:r>
      <w:r>
        <w:rPr>
          <w:color w:val="4F81BD" w:themeColor="accent1"/>
          <w:sz w:val="24"/>
          <w:szCs w:val="24"/>
          <w:lang w:eastAsia="fr-FR"/>
        </w:rPr>
        <w:t xml:space="preserve"> </w:t>
      </w:r>
      <w:r w:rsidRPr="003A6EBA">
        <w:rPr>
          <w:sz w:val="24"/>
          <w:szCs w:val="24"/>
          <w:lang w:eastAsia="fr-FR"/>
        </w:rPr>
        <w:t xml:space="preserve">Ceci justifierait l’augmentation des réponses impulsives telles que l’agression, l’automutilation, les comportements hypersexués, comme conséquences des évènements d’inconfort sur l’adolescent. </w:t>
      </w:r>
    </w:p>
    <w:p w14:paraId="5617BAEF" w14:textId="77777777" w:rsidR="00D80693" w:rsidRPr="003A6EBA" w:rsidRDefault="00D80693" w:rsidP="0016777C">
      <w:pPr>
        <w:spacing w:before="240"/>
        <w:jc w:val="both"/>
        <w:rPr>
          <w:sz w:val="24"/>
          <w:szCs w:val="24"/>
          <w:lang w:eastAsia="fr-FR"/>
        </w:rPr>
      </w:pPr>
      <w:r w:rsidRPr="003A6EBA">
        <w:rPr>
          <w:sz w:val="24"/>
          <w:szCs w:val="24"/>
          <w:lang w:eastAsia="fr-FR"/>
        </w:rPr>
        <w:t xml:space="preserve">Les événements d’adversité précoces interfèrent grandement avec le développement de la conscience émotionnelle. Ainsi, avoir vécu dans un environnement dangereux (de catastrophes naturelles) empêche </w:t>
      </w:r>
      <w:proofErr w:type="gramStart"/>
      <w:r w:rsidRPr="003A6EBA">
        <w:rPr>
          <w:sz w:val="24"/>
          <w:szCs w:val="24"/>
          <w:lang w:eastAsia="fr-FR"/>
        </w:rPr>
        <w:t>aux</w:t>
      </w:r>
      <w:proofErr w:type="gramEnd"/>
      <w:r w:rsidRPr="003A6EBA">
        <w:rPr>
          <w:sz w:val="24"/>
          <w:szCs w:val="24"/>
          <w:lang w:eastAsia="fr-FR"/>
        </w:rPr>
        <w:t xml:space="preserve"> réponses émotionnelles de jouer leur rôle habituel dans l’orientation des actions et des comportements. En effet, les individus qui expérimentent ces situations apprennent que les réponses émotionnelles envers les situations traumatiques sont inutiles, ce qui les pousse à se dissocier de leur vécu émotionnel (Maltais &amp; Gilbert, 2022). Ceci pourrait pousser l’émotion à s’enfuir ou éviter la situation traumatique. Les études antérieures rapportent que ces situations entrainent un plus faible score aux échelles de conscience émotionnelle (</w:t>
      </w:r>
      <w:r w:rsidRPr="003A6EBA">
        <w:rPr>
          <w:iCs/>
          <w:sz w:val="24"/>
          <w:szCs w:val="24"/>
          <w:lang w:eastAsia="fr-FR"/>
        </w:rPr>
        <w:t xml:space="preserve">Levels </w:t>
      </w:r>
      <w:proofErr w:type="spellStart"/>
      <w:r w:rsidRPr="003A6EBA">
        <w:rPr>
          <w:iCs/>
          <w:sz w:val="24"/>
          <w:szCs w:val="24"/>
          <w:lang w:eastAsia="fr-FR"/>
        </w:rPr>
        <w:t>ofEmotional</w:t>
      </w:r>
      <w:proofErr w:type="spellEnd"/>
      <w:r w:rsidRPr="003A6EBA">
        <w:rPr>
          <w:iCs/>
          <w:sz w:val="24"/>
          <w:szCs w:val="24"/>
          <w:lang w:eastAsia="fr-FR"/>
        </w:rPr>
        <w:t xml:space="preserve"> </w:t>
      </w:r>
      <w:proofErr w:type="spellStart"/>
      <w:r w:rsidRPr="003A6EBA">
        <w:rPr>
          <w:iCs/>
          <w:sz w:val="24"/>
          <w:szCs w:val="24"/>
          <w:lang w:eastAsia="fr-FR"/>
        </w:rPr>
        <w:t>Awareness</w:t>
      </w:r>
      <w:proofErr w:type="spellEnd"/>
      <w:r w:rsidRPr="003A6EBA">
        <w:rPr>
          <w:iCs/>
          <w:sz w:val="24"/>
          <w:szCs w:val="24"/>
          <w:lang w:eastAsia="fr-FR"/>
        </w:rPr>
        <w:t xml:space="preserve"> Scale</w:t>
      </w:r>
      <w:r w:rsidRPr="003A6EBA">
        <w:rPr>
          <w:sz w:val="24"/>
          <w:szCs w:val="24"/>
          <w:lang w:eastAsia="fr-FR"/>
        </w:rPr>
        <w:t>), de plus hauts niveaux d’alexithymie et des niveaux très élevés d’anesthésie émotionnelle (Frewen, Dozois, Neufeld, &amp; Lanius, 2012).</w:t>
      </w:r>
    </w:p>
    <w:p w14:paraId="676B5730" w14:textId="77777777" w:rsidR="00D80693" w:rsidRPr="003A6EBA" w:rsidRDefault="00D80693" w:rsidP="0016777C">
      <w:pPr>
        <w:spacing w:before="240"/>
        <w:jc w:val="both"/>
        <w:rPr>
          <w:sz w:val="24"/>
          <w:szCs w:val="24"/>
          <w:lang w:eastAsia="fr-FR"/>
        </w:rPr>
      </w:pPr>
      <w:r w:rsidRPr="003A6EBA">
        <w:rPr>
          <w:sz w:val="24"/>
          <w:szCs w:val="24"/>
          <w:lang w:eastAsia="fr-FR"/>
        </w:rPr>
        <w:t xml:space="preserve">Chez les adolescents déplacés internes </w:t>
      </w:r>
      <w:proofErr w:type="gramStart"/>
      <w:r w:rsidRPr="003A6EBA">
        <w:rPr>
          <w:sz w:val="24"/>
          <w:szCs w:val="24"/>
          <w:lang w:eastAsia="fr-FR"/>
        </w:rPr>
        <w:t>suite aux</w:t>
      </w:r>
      <w:proofErr w:type="gramEnd"/>
      <w:r w:rsidRPr="003A6EBA">
        <w:rPr>
          <w:sz w:val="24"/>
          <w:szCs w:val="24"/>
          <w:lang w:eastAsia="fr-FR"/>
        </w:rPr>
        <w:t xml:space="preserve"> catastrophes naturelles, ces difficultés émotionnelles seraient fréquentes et particulièrement handicapantes, d’autant plus qu’elles sont liées à des modifications de l’activité de plusieurs circuits neuronaux et</w:t>
      </w:r>
      <w:r>
        <w:rPr>
          <w:sz w:val="24"/>
          <w:szCs w:val="24"/>
          <w:lang w:eastAsia="fr-FR"/>
        </w:rPr>
        <w:t xml:space="preserve"> </w:t>
      </w:r>
      <w:r w:rsidRPr="003A6EBA">
        <w:rPr>
          <w:sz w:val="24"/>
          <w:szCs w:val="24"/>
          <w:lang w:eastAsia="fr-FR"/>
        </w:rPr>
        <w:t>de plusieurs fonctions cognitives (Boden, Bonn-Miller, Kashdan, Alvarez, &amp; Gross, 2012).</w:t>
      </w:r>
      <w:r>
        <w:rPr>
          <w:sz w:val="24"/>
          <w:szCs w:val="24"/>
          <w:lang w:eastAsia="fr-FR"/>
        </w:rPr>
        <w:t xml:space="preserve"> </w:t>
      </w:r>
      <w:r w:rsidRPr="003A6EBA">
        <w:rPr>
          <w:sz w:val="24"/>
          <w:szCs w:val="24"/>
          <w:lang w:eastAsia="fr-FR"/>
        </w:rPr>
        <w:t>Dès lors, il n’est pas étonnant de constater que certains d’entre eux qui sont scolarisés, et qui vivent dans les camps et communautés d’accueil, éprouvent des difficultés à prendre conscience de leurs états affectifs ainsi qu’à identifier et étiqueter leur ressenti (Guillaume, 2014). Sortant d’une situation anxiogène et traumatogène,</w:t>
      </w:r>
      <w:r>
        <w:rPr>
          <w:sz w:val="24"/>
          <w:szCs w:val="24"/>
          <w:lang w:eastAsia="fr-FR"/>
        </w:rPr>
        <w:t xml:space="preserve"> </w:t>
      </w:r>
      <w:r w:rsidRPr="003A6EBA">
        <w:rPr>
          <w:sz w:val="24"/>
          <w:szCs w:val="24"/>
          <w:lang w:eastAsia="fr-FR"/>
        </w:rPr>
        <w:t>ils présentent également des profils sévères en termes de développement socio-adaptatif et des conduites problématiques au niveau comportemental et émotionnel (</w:t>
      </w:r>
      <w:proofErr w:type="gramStart"/>
      <w:r w:rsidRPr="003A6EBA">
        <w:rPr>
          <w:color w:val="000000"/>
          <w:sz w:val="24"/>
          <w:szCs w:val="24"/>
          <w:lang w:eastAsia="fr-FR"/>
        </w:rPr>
        <w:t>Ministère</w:t>
      </w:r>
      <w:proofErr w:type="gramEnd"/>
      <w:r w:rsidRPr="003A6EBA">
        <w:rPr>
          <w:color w:val="000000"/>
          <w:sz w:val="24"/>
          <w:szCs w:val="24"/>
          <w:lang w:eastAsia="fr-FR"/>
        </w:rPr>
        <w:t xml:space="preserve"> des Affaires Sociales &amp; Fond des Nations Unies pour l’Enfance, 2024)</w:t>
      </w:r>
      <w:r w:rsidRPr="003A6EBA">
        <w:rPr>
          <w:sz w:val="24"/>
          <w:szCs w:val="24"/>
          <w:lang w:eastAsia="fr-FR"/>
        </w:rPr>
        <w:t>. D’où la nécessité de faire une analyse comparative</w:t>
      </w:r>
      <w:r>
        <w:rPr>
          <w:sz w:val="24"/>
          <w:szCs w:val="24"/>
          <w:lang w:eastAsia="fr-FR"/>
        </w:rPr>
        <w:t xml:space="preserve"> </w:t>
      </w:r>
      <w:r w:rsidRPr="003A6EBA">
        <w:rPr>
          <w:sz w:val="24"/>
          <w:szCs w:val="24"/>
          <w:lang w:eastAsia="fr-FR"/>
        </w:rPr>
        <w:t xml:space="preserve">des capacités d’adaptation sociale des adolescents déplacés internes </w:t>
      </w:r>
      <w:proofErr w:type="gramStart"/>
      <w:r w:rsidRPr="003A6EBA">
        <w:rPr>
          <w:sz w:val="24"/>
          <w:szCs w:val="24"/>
          <w:lang w:eastAsia="fr-FR"/>
        </w:rPr>
        <w:t>suite aux</w:t>
      </w:r>
      <w:proofErr w:type="gramEnd"/>
      <w:r w:rsidRPr="003A6EBA">
        <w:rPr>
          <w:sz w:val="24"/>
          <w:szCs w:val="24"/>
          <w:lang w:eastAsia="fr-FR"/>
        </w:rPr>
        <w:t xml:space="preserve"> inondations et qui sont scolarisés dans un environnement socio-scolaire différent, en fonction de leurs compétences émotionnelles. </w:t>
      </w:r>
    </w:p>
    <w:p w14:paraId="1BFCA9A7" w14:textId="77777777" w:rsidR="00D80693" w:rsidRPr="003A6EBA" w:rsidRDefault="00D80693" w:rsidP="00D80693">
      <w:pPr>
        <w:widowControl/>
        <w:numPr>
          <w:ilvl w:val="1"/>
          <w:numId w:val="188"/>
        </w:numPr>
        <w:adjustRightInd w:val="0"/>
        <w:spacing w:before="240"/>
        <w:jc w:val="both"/>
        <w:rPr>
          <w:b/>
          <w:bCs/>
          <w:sz w:val="24"/>
          <w:szCs w:val="24"/>
          <w:lang w:eastAsia="fr-FR"/>
        </w:rPr>
      </w:pPr>
      <w:r>
        <w:rPr>
          <w:b/>
          <w:sz w:val="24"/>
          <w:szCs w:val="24"/>
          <w:lang w:eastAsia="fr-FR"/>
        </w:rPr>
        <w:t xml:space="preserve"> </w:t>
      </w:r>
      <w:r w:rsidRPr="003A6EBA">
        <w:rPr>
          <w:b/>
          <w:sz w:val="24"/>
          <w:szCs w:val="24"/>
          <w:lang w:eastAsia="fr-FR"/>
        </w:rPr>
        <w:t xml:space="preserve">Formulation du problème </w:t>
      </w:r>
    </w:p>
    <w:p w14:paraId="47051DA5" w14:textId="77777777" w:rsidR="00D80693" w:rsidRPr="003A6EBA" w:rsidRDefault="00D80693" w:rsidP="0016777C">
      <w:pPr>
        <w:spacing w:before="240"/>
        <w:jc w:val="both"/>
        <w:rPr>
          <w:sz w:val="24"/>
          <w:szCs w:val="24"/>
          <w:lang w:eastAsia="fr-FR"/>
        </w:rPr>
      </w:pPr>
      <w:r w:rsidRPr="003A6EBA">
        <w:rPr>
          <w:sz w:val="24"/>
          <w:szCs w:val="24"/>
          <w:lang w:eastAsia="fr-FR"/>
        </w:rPr>
        <w:t>La littérature scientifique sur les compétences émotionnelles montre que les évènements aversifs répétés chez les adolescents perturbent à la fois leurs processus d’évaluation des signaux et intensités émotionnels, mais aussi leurs stratégies et processus de régulation (</w:t>
      </w:r>
      <w:r w:rsidRPr="003A6EBA">
        <w:rPr>
          <w:color w:val="000000"/>
          <w:sz w:val="24"/>
          <w:szCs w:val="24"/>
          <w:lang w:eastAsia="fr-FR"/>
        </w:rPr>
        <w:t xml:space="preserve">Amana &amp; Tamo Fogué,2024 ; </w:t>
      </w:r>
      <w:r w:rsidRPr="003A6EBA">
        <w:rPr>
          <w:sz w:val="24"/>
          <w:szCs w:val="24"/>
          <w:lang w:eastAsia="fr-FR"/>
        </w:rPr>
        <w:t>Boden, Bonn-Miller, Kashdan, Alvarez, &amp; Gross, 2012</w:t>
      </w:r>
      <w:r>
        <w:rPr>
          <w:sz w:val="24"/>
          <w:szCs w:val="24"/>
          <w:lang w:eastAsia="fr-FR"/>
        </w:rPr>
        <w:t xml:space="preserve"> </w:t>
      </w:r>
      <w:r w:rsidRPr="003A6EBA">
        <w:rPr>
          <w:color w:val="000000"/>
          <w:sz w:val="24"/>
          <w:szCs w:val="24"/>
          <w:lang w:eastAsia="fr-FR"/>
        </w:rPr>
        <w:t>;</w:t>
      </w:r>
      <w:r>
        <w:rPr>
          <w:color w:val="000000"/>
          <w:sz w:val="24"/>
          <w:szCs w:val="24"/>
          <w:lang w:eastAsia="fr-FR"/>
        </w:rPr>
        <w:t xml:space="preserve"> </w:t>
      </w:r>
      <w:r w:rsidRPr="003A6EBA">
        <w:rPr>
          <w:sz w:val="24"/>
          <w:szCs w:val="24"/>
          <w:lang w:eastAsia="fr-FR"/>
        </w:rPr>
        <w:t>Maltais</w:t>
      </w:r>
      <w:r>
        <w:rPr>
          <w:sz w:val="24"/>
          <w:szCs w:val="24"/>
          <w:lang w:eastAsia="fr-FR"/>
        </w:rPr>
        <w:t xml:space="preserve"> </w:t>
      </w:r>
      <w:r w:rsidRPr="003A6EBA">
        <w:rPr>
          <w:sz w:val="24"/>
          <w:szCs w:val="24"/>
          <w:lang w:eastAsia="fr-FR"/>
        </w:rPr>
        <w:t>&amp; Gilbert, 2022). En effet, des recherches relèvent</w:t>
      </w:r>
      <w:r>
        <w:rPr>
          <w:sz w:val="24"/>
          <w:szCs w:val="24"/>
          <w:lang w:eastAsia="fr-FR"/>
        </w:rPr>
        <w:t xml:space="preserve"> </w:t>
      </w:r>
      <w:r w:rsidRPr="003A6EBA">
        <w:rPr>
          <w:sz w:val="24"/>
          <w:szCs w:val="24"/>
          <w:lang w:eastAsia="fr-FR"/>
        </w:rPr>
        <w:t xml:space="preserve">que ces évènements causent une défaillance émotionnelle parentale à </w:t>
      </w:r>
      <w:proofErr w:type="gramStart"/>
      <w:r w:rsidRPr="003A6EBA">
        <w:rPr>
          <w:sz w:val="24"/>
          <w:szCs w:val="24"/>
          <w:lang w:eastAsia="fr-FR"/>
        </w:rPr>
        <w:t>valence</w:t>
      </w:r>
      <w:proofErr w:type="gramEnd"/>
      <w:r w:rsidRPr="003A6EBA">
        <w:rPr>
          <w:sz w:val="24"/>
          <w:szCs w:val="24"/>
          <w:lang w:eastAsia="fr-FR"/>
        </w:rPr>
        <w:t xml:space="preserve"> de dépressions et d’anxiétés</w:t>
      </w:r>
      <w:r>
        <w:rPr>
          <w:sz w:val="24"/>
          <w:szCs w:val="24"/>
          <w:lang w:eastAsia="fr-FR"/>
        </w:rPr>
        <w:t xml:space="preserve"> </w:t>
      </w:r>
      <w:r w:rsidRPr="003A6EBA">
        <w:rPr>
          <w:sz w:val="24"/>
          <w:szCs w:val="24"/>
          <w:lang w:eastAsia="fr-FR"/>
        </w:rPr>
        <w:t>(</w:t>
      </w:r>
      <w:proofErr w:type="spellStart"/>
      <w:r w:rsidRPr="003A6EBA">
        <w:rPr>
          <w:sz w:val="24"/>
          <w:szCs w:val="24"/>
          <w:lang w:eastAsia="fr-FR"/>
        </w:rPr>
        <w:t>Hautmann</w:t>
      </w:r>
      <w:proofErr w:type="spellEnd"/>
      <w:r w:rsidRPr="003A6EBA">
        <w:rPr>
          <w:sz w:val="24"/>
          <w:szCs w:val="24"/>
          <w:lang w:eastAsia="fr-FR"/>
        </w:rPr>
        <w:t xml:space="preserve">, Eichelberger, Hanisch, Pluck, Walter, &amp; </w:t>
      </w:r>
      <w:proofErr w:type="spellStart"/>
      <w:r w:rsidRPr="003A6EBA">
        <w:rPr>
          <w:sz w:val="24"/>
          <w:szCs w:val="24"/>
          <w:lang w:eastAsia="fr-FR"/>
        </w:rPr>
        <w:t>Dopfner</w:t>
      </w:r>
      <w:proofErr w:type="spellEnd"/>
      <w:r w:rsidRPr="003A6EBA">
        <w:rPr>
          <w:sz w:val="24"/>
          <w:szCs w:val="24"/>
          <w:lang w:eastAsia="fr-FR"/>
        </w:rPr>
        <w:t>, 2015). Elles soulignent aussi une tendance à rejouer certains aspects de ces évènements, comme réaction automatique ou tentative de maitrise ou de contrôle de tout stimulus lié à l’inconfort vécu. Mais en phase avec le principe de la référenciation sociale et la théorie de l’esprit, la littérature montre à travers les théories cognitives des émotions, notamment le modèle du processus</w:t>
      </w:r>
      <w:r>
        <w:rPr>
          <w:sz w:val="24"/>
          <w:szCs w:val="24"/>
          <w:lang w:eastAsia="fr-FR"/>
        </w:rPr>
        <w:t xml:space="preserve"> </w:t>
      </w:r>
      <w:r w:rsidRPr="003A6EBA">
        <w:rPr>
          <w:sz w:val="24"/>
          <w:szCs w:val="24"/>
          <w:lang w:eastAsia="fr-FR"/>
        </w:rPr>
        <w:t>émotionnel de Fridja (2006) que, la conscience de la contextualisation de l’expression émotionnelle</w:t>
      </w:r>
      <w:r>
        <w:rPr>
          <w:sz w:val="24"/>
          <w:szCs w:val="24"/>
          <w:lang w:eastAsia="fr-FR"/>
        </w:rPr>
        <w:t xml:space="preserve"> </w:t>
      </w:r>
      <w:r w:rsidRPr="003A6EBA">
        <w:rPr>
          <w:sz w:val="24"/>
          <w:szCs w:val="24"/>
          <w:lang w:eastAsia="fr-FR"/>
        </w:rPr>
        <w:t>apparait chez les enfants vers 8 à 9 ans (</w:t>
      </w:r>
      <w:proofErr w:type="spellStart"/>
      <w:r w:rsidRPr="003A6EBA">
        <w:rPr>
          <w:sz w:val="24"/>
          <w:szCs w:val="24"/>
          <w:lang w:eastAsia="fr-FR"/>
        </w:rPr>
        <w:t>Hayaschi</w:t>
      </w:r>
      <w:proofErr w:type="spellEnd"/>
      <w:r w:rsidRPr="003A6EBA">
        <w:rPr>
          <w:sz w:val="24"/>
          <w:szCs w:val="24"/>
          <w:lang w:eastAsia="fr-FR"/>
        </w:rPr>
        <w:t xml:space="preserve"> &amp; </w:t>
      </w:r>
      <w:proofErr w:type="spellStart"/>
      <w:r w:rsidRPr="003A6EBA">
        <w:rPr>
          <w:sz w:val="24"/>
          <w:szCs w:val="24"/>
          <w:lang w:eastAsia="fr-FR"/>
        </w:rPr>
        <w:t>shiomi</w:t>
      </w:r>
      <w:proofErr w:type="spellEnd"/>
      <w:r w:rsidRPr="003A6EBA">
        <w:rPr>
          <w:sz w:val="24"/>
          <w:szCs w:val="24"/>
          <w:lang w:eastAsia="fr-FR"/>
        </w:rPr>
        <w:t xml:space="preserve">, 2015). </w:t>
      </w:r>
    </w:p>
    <w:p w14:paraId="2A4F22B4" w14:textId="77777777" w:rsidR="00D80693" w:rsidRPr="003A6EBA" w:rsidRDefault="00D80693" w:rsidP="0016777C">
      <w:pPr>
        <w:spacing w:before="240"/>
        <w:ind w:left="-5"/>
        <w:jc w:val="both"/>
        <w:rPr>
          <w:sz w:val="24"/>
          <w:szCs w:val="24"/>
          <w:lang w:eastAsia="fr-FR"/>
        </w:rPr>
      </w:pPr>
      <w:r w:rsidRPr="003A6EBA">
        <w:rPr>
          <w:sz w:val="24"/>
          <w:szCs w:val="24"/>
          <w:lang w:eastAsia="fr-FR"/>
        </w:rPr>
        <w:t>Paradoxalement,</w:t>
      </w:r>
      <w:r>
        <w:rPr>
          <w:sz w:val="24"/>
          <w:szCs w:val="24"/>
          <w:lang w:eastAsia="fr-FR"/>
        </w:rPr>
        <w:t xml:space="preserve"> </w:t>
      </w:r>
      <w:r w:rsidRPr="003A6EBA">
        <w:rPr>
          <w:sz w:val="24"/>
          <w:szCs w:val="24"/>
          <w:lang w:eastAsia="fr-FR"/>
        </w:rPr>
        <w:t>en s’appuyant sur la fréquence d’échec, d’abandon et d’exclusion scolaire, de rigidité comportementale, d’agressivité, d’inadvertance et d’invalidité sociales empiriquement observés chez certains adolescents Extrême-Nord camerounais, déplacés internes pour cause d’inondations fréquentes</w:t>
      </w:r>
      <w:r>
        <w:rPr>
          <w:sz w:val="24"/>
          <w:szCs w:val="24"/>
          <w:lang w:eastAsia="fr-FR"/>
        </w:rPr>
        <w:t xml:space="preserve"> </w:t>
      </w:r>
      <w:r w:rsidRPr="003A6EBA">
        <w:rPr>
          <w:sz w:val="24"/>
          <w:szCs w:val="24"/>
          <w:lang w:eastAsia="fr-FR"/>
        </w:rPr>
        <w:t>et scolarisés à l’Est-Cameroun, l’on note que les variations apparentes observées dans leurs expressions émotionnelles affectent leurs capacités de socialisation. Or à notre connaissance, peu</w:t>
      </w:r>
      <w:r>
        <w:rPr>
          <w:sz w:val="24"/>
          <w:szCs w:val="24"/>
          <w:lang w:eastAsia="fr-FR"/>
        </w:rPr>
        <w:t xml:space="preserve"> </w:t>
      </w:r>
      <w:r w:rsidRPr="003A6EBA">
        <w:rPr>
          <w:sz w:val="24"/>
          <w:szCs w:val="24"/>
          <w:lang w:eastAsia="fr-FR"/>
        </w:rPr>
        <w:t>d’analyses comparatives de l’adaptation sociale des adolescents déplacés internes en fonction de leurs compétences émotionnelles sont</w:t>
      </w:r>
      <w:r>
        <w:rPr>
          <w:sz w:val="24"/>
          <w:szCs w:val="24"/>
          <w:lang w:eastAsia="fr-FR"/>
        </w:rPr>
        <w:t xml:space="preserve"> </w:t>
      </w:r>
      <w:r w:rsidRPr="003A6EBA">
        <w:rPr>
          <w:sz w:val="24"/>
          <w:szCs w:val="24"/>
          <w:lang w:eastAsia="fr-FR"/>
        </w:rPr>
        <w:t>faites dans la littérature scientifique. La présente recherche</w:t>
      </w:r>
      <w:r>
        <w:rPr>
          <w:sz w:val="24"/>
          <w:szCs w:val="24"/>
          <w:lang w:eastAsia="fr-FR"/>
        </w:rPr>
        <w:t xml:space="preserve"> </w:t>
      </w:r>
      <w:r w:rsidRPr="003A6EBA">
        <w:rPr>
          <w:sz w:val="24"/>
          <w:szCs w:val="24"/>
          <w:lang w:eastAsia="fr-FR"/>
        </w:rPr>
        <w:t>étudie</w:t>
      </w:r>
      <w:r>
        <w:rPr>
          <w:sz w:val="24"/>
          <w:szCs w:val="24"/>
          <w:lang w:eastAsia="fr-FR"/>
        </w:rPr>
        <w:t xml:space="preserve"> </w:t>
      </w:r>
      <w:r w:rsidRPr="003A6EBA">
        <w:rPr>
          <w:sz w:val="24"/>
          <w:szCs w:val="24"/>
          <w:lang w:eastAsia="fr-FR"/>
        </w:rPr>
        <w:t>donc leurs compétences émotionnelles, comme déterminant probant des différences dans le développement de leurs</w:t>
      </w:r>
      <w:r>
        <w:rPr>
          <w:sz w:val="24"/>
          <w:szCs w:val="24"/>
          <w:lang w:eastAsia="fr-FR"/>
        </w:rPr>
        <w:t xml:space="preserve"> </w:t>
      </w:r>
      <w:r w:rsidRPr="003A6EBA">
        <w:rPr>
          <w:sz w:val="24"/>
          <w:szCs w:val="24"/>
          <w:lang w:eastAsia="fr-FR"/>
        </w:rPr>
        <w:t xml:space="preserve">capacités socio-adaptatives. </w:t>
      </w:r>
    </w:p>
    <w:p w14:paraId="38F30C1D" w14:textId="77777777" w:rsidR="00D80693" w:rsidRPr="003A6EBA" w:rsidRDefault="00D80693" w:rsidP="00D80693">
      <w:pPr>
        <w:widowControl/>
        <w:numPr>
          <w:ilvl w:val="1"/>
          <w:numId w:val="188"/>
        </w:numPr>
        <w:adjustRightInd w:val="0"/>
        <w:spacing w:before="240"/>
        <w:jc w:val="both"/>
        <w:rPr>
          <w:b/>
          <w:bCs/>
          <w:sz w:val="24"/>
          <w:szCs w:val="24"/>
          <w:lang w:eastAsia="fr-FR"/>
        </w:rPr>
      </w:pPr>
      <w:r w:rsidRPr="003A6EBA">
        <w:rPr>
          <w:b/>
          <w:sz w:val="24"/>
          <w:szCs w:val="24"/>
          <w:lang w:eastAsia="fr-FR"/>
        </w:rPr>
        <w:t>Hypothèse de recherche</w:t>
      </w:r>
    </w:p>
    <w:p w14:paraId="5F247B44" w14:textId="77777777" w:rsidR="00D80693" w:rsidRPr="003A6EBA" w:rsidRDefault="00D80693" w:rsidP="0016777C">
      <w:pPr>
        <w:ind w:left="-5"/>
        <w:jc w:val="both"/>
        <w:rPr>
          <w:sz w:val="24"/>
          <w:szCs w:val="24"/>
          <w:lang w:eastAsia="fr-FR"/>
        </w:rPr>
      </w:pPr>
      <w:r w:rsidRPr="003A6EBA">
        <w:rPr>
          <w:sz w:val="24"/>
          <w:szCs w:val="24"/>
          <w:lang w:eastAsia="fr-FR"/>
        </w:rPr>
        <w:t xml:space="preserve">Deux référentiels servent de base théorique à la présente étude : Principalement le modèle heuristique des compétences sociales (Nader-Grosbois, 2011, Yeates et al., 2007) qui </w:t>
      </w:r>
      <w:r>
        <w:rPr>
          <w:sz w:val="24"/>
          <w:szCs w:val="24"/>
          <w:lang w:eastAsia="fr-FR"/>
        </w:rPr>
        <w:t>a posé les jalons de</w:t>
      </w:r>
      <w:r w:rsidRPr="003A6EBA">
        <w:rPr>
          <w:sz w:val="24"/>
          <w:szCs w:val="24"/>
          <w:lang w:eastAsia="fr-FR"/>
        </w:rPr>
        <w:t xml:space="preserve"> nos observations empiriques et </w:t>
      </w:r>
      <w:r>
        <w:rPr>
          <w:sz w:val="24"/>
          <w:szCs w:val="24"/>
          <w:lang w:eastAsia="fr-FR"/>
        </w:rPr>
        <w:t>de</w:t>
      </w:r>
      <w:r w:rsidRPr="003A6EBA">
        <w:rPr>
          <w:sz w:val="24"/>
          <w:szCs w:val="24"/>
          <w:lang w:eastAsia="fr-FR"/>
        </w:rPr>
        <w:t xml:space="preserve"> l’élaboration de nos hypothèses ; Et secondairement, le modèle du processus émotionnel de Fridja (2006) qui consacre l’aptitude du sujet à développer un type d’émotion, sa stratégie de régulation émotionnelle, ses difficultés de régulation et sa capacité de coping cognitif ou à faire face aux évènements désagréables, comme modalités des compétences émotionnelles. Ils permettent de prédire</w:t>
      </w:r>
      <w:r>
        <w:rPr>
          <w:sz w:val="24"/>
          <w:szCs w:val="24"/>
          <w:lang w:eastAsia="fr-FR"/>
        </w:rPr>
        <w:t xml:space="preserve"> </w:t>
      </w:r>
      <w:r w:rsidRPr="003A6EBA">
        <w:rPr>
          <w:sz w:val="24"/>
          <w:szCs w:val="24"/>
          <w:lang w:eastAsia="fr-FR"/>
        </w:rPr>
        <w:t>que le développement des capacités d’adaptation sociale des adolescents Extrême-Nord camerounais,</w:t>
      </w:r>
      <w:r>
        <w:rPr>
          <w:sz w:val="24"/>
          <w:szCs w:val="24"/>
          <w:lang w:eastAsia="fr-FR"/>
        </w:rPr>
        <w:t xml:space="preserve"> </w:t>
      </w:r>
      <w:r w:rsidRPr="003A6EBA">
        <w:rPr>
          <w:sz w:val="24"/>
          <w:szCs w:val="24"/>
          <w:lang w:eastAsia="fr-FR"/>
        </w:rPr>
        <w:t>déplacés internes pour cause d’inondations</w:t>
      </w:r>
      <w:r>
        <w:rPr>
          <w:sz w:val="24"/>
          <w:szCs w:val="24"/>
          <w:lang w:eastAsia="fr-FR"/>
        </w:rPr>
        <w:t xml:space="preserve"> </w:t>
      </w:r>
      <w:r w:rsidRPr="003A6EBA">
        <w:rPr>
          <w:sz w:val="24"/>
          <w:szCs w:val="24"/>
          <w:lang w:eastAsia="fr-FR"/>
        </w:rPr>
        <w:t>et scolarisés à l’Est, varie en fonction de leurs compétences émotionnelles. Plus spécifiquement :</w:t>
      </w:r>
    </w:p>
    <w:p w14:paraId="1599CB87" w14:textId="77777777" w:rsidR="00D80693" w:rsidRPr="007B7C5D" w:rsidRDefault="00D80693" w:rsidP="00D80693">
      <w:pPr>
        <w:spacing w:before="240"/>
        <w:ind w:left="-5" w:hanging="10"/>
        <w:jc w:val="both"/>
        <w:rPr>
          <w:sz w:val="24"/>
          <w:szCs w:val="24"/>
          <w:lang w:eastAsia="fr-FR"/>
        </w:rPr>
      </w:pPr>
      <w:bookmarkStart w:id="242" w:name="_Hlk192569971"/>
      <w:r w:rsidRPr="007B7C5D">
        <w:rPr>
          <w:sz w:val="24"/>
          <w:szCs w:val="24"/>
          <w:lang w:eastAsia="fr-FR"/>
        </w:rPr>
        <w:t>Ceux qui développent</w:t>
      </w:r>
      <w:r>
        <w:rPr>
          <w:sz w:val="24"/>
          <w:szCs w:val="24"/>
          <w:lang w:eastAsia="fr-FR"/>
        </w:rPr>
        <w:t xml:space="preserve"> </w:t>
      </w:r>
      <w:r w:rsidRPr="007B7C5D">
        <w:rPr>
          <w:sz w:val="24"/>
          <w:szCs w:val="24"/>
          <w:lang w:eastAsia="fr-FR"/>
        </w:rPr>
        <w:t>fréquemment des émotions positives s’adaptent socialement plus que ceux dont les émotions sont fréquemment négatives </w:t>
      </w:r>
      <w:bookmarkEnd w:id="242"/>
      <w:r w:rsidRPr="007B7C5D">
        <w:rPr>
          <w:sz w:val="24"/>
          <w:szCs w:val="24"/>
          <w:lang w:eastAsia="fr-FR"/>
        </w:rPr>
        <w:t xml:space="preserve">; </w:t>
      </w:r>
    </w:p>
    <w:p w14:paraId="4821BC21" w14:textId="77777777" w:rsidR="00D80693" w:rsidRPr="007B7C5D" w:rsidRDefault="00D80693" w:rsidP="00D80693">
      <w:pPr>
        <w:spacing w:before="240"/>
        <w:ind w:left="-5" w:hanging="10"/>
        <w:jc w:val="both"/>
        <w:rPr>
          <w:sz w:val="24"/>
          <w:szCs w:val="24"/>
          <w:lang w:eastAsia="fr-FR"/>
        </w:rPr>
      </w:pPr>
      <w:r w:rsidRPr="007B7C5D">
        <w:rPr>
          <w:sz w:val="24"/>
          <w:szCs w:val="24"/>
          <w:lang w:eastAsia="fr-FR"/>
        </w:rPr>
        <w:t>Ceux qui régulent leurs émotions par la réévaluation s’adaptent socialement plus que ceux qui le font par la suppression ;</w:t>
      </w:r>
    </w:p>
    <w:p w14:paraId="513B1FC5" w14:textId="77777777" w:rsidR="00D80693" w:rsidRPr="007B7C5D" w:rsidRDefault="00D80693" w:rsidP="00D80693">
      <w:pPr>
        <w:spacing w:before="240"/>
        <w:ind w:left="-5" w:hanging="10"/>
        <w:jc w:val="both"/>
        <w:rPr>
          <w:sz w:val="24"/>
          <w:szCs w:val="24"/>
          <w:lang w:eastAsia="fr-FR"/>
        </w:rPr>
      </w:pPr>
      <w:r w:rsidRPr="007B7C5D">
        <w:rPr>
          <w:sz w:val="24"/>
          <w:szCs w:val="24"/>
          <w:lang w:eastAsia="fr-FR"/>
        </w:rPr>
        <w:t>Ceux qui développent un coping cognitif</w:t>
      </w:r>
      <w:r>
        <w:rPr>
          <w:sz w:val="24"/>
          <w:szCs w:val="24"/>
          <w:lang w:eastAsia="fr-FR"/>
        </w:rPr>
        <w:t xml:space="preserve"> </w:t>
      </w:r>
      <w:r w:rsidRPr="007B7C5D">
        <w:rPr>
          <w:sz w:val="24"/>
          <w:szCs w:val="24"/>
          <w:lang w:eastAsia="fr-FR"/>
        </w:rPr>
        <w:t>adaptatif</w:t>
      </w:r>
      <w:r>
        <w:rPr>
          <w:sz w:val="24"/>
          <w:szCs w:val="24"/>
          <w:lang w:eastAsia="fr-FR"/>
        </w:rPr>
        <w:t xml:space="preserve"> </w:t>
      </w:r>
      <w:r w:rsidRPr="007B7C5D">
        <w:rPr>
          <w:sz w:val="24"/>
          <w:szCs w:val="24"/>
          <w:lang w:eastAsia="fr-FR"/>
        </w:rPr>
        <w:t>s’adaptent socialement plus</w:t>
      </w:r>
      <w:r>
        <w:rPr>
          <w:sz w:val="24"/>
          <w:szCs w:val="24"/>
          <w:lang w:eastAsia="fr-FR"/>
        </w:rPr>
        <w:t xml:space="preserve"> </w:t>
      </w:r>
      <w:r w:rsidRPr="007B7C5D">
        <w:rPr>
          <w:sz w:val="24"/>
          <w:szCs w:val="24"/>
          <w:lang w:eastAsia="fr-FR"/>
        </w:rPr>
        <w:t>que ceux dont le coping est non adaptatif.</w:t>
      </w:r>
    </w:p>
    <w:p w14:paraId="643EA3FA" w14:textId="77777777" w:rsidR="00D80693" w:rsidRPr="003A6EBA" w:rsidRDefault="00D80693" w:rsidP="00D80693">
      <w:pPr>
        <w:widowControl/>
        <w:numPr>
          <w:ilvl w:val="0"/>
          <w:numId w:val="188"/>
        </w:numPr>
        <w:adjustRightInd w:val="0"/>
        <w:spacing w:before="240"/>
        <w:jc w:val="both"/>
        <w:rPr>
          <w:b/>
          <w:bCs/>
          <w:sz w:val="28"/>
          <w:szCs w:val="28"/>
          <w:lang w:eastAsia="fr-FR"/>
        </w:rPr>
      </w:pPr>
      <w:bookmarkStart w:id="243" w:name="_Toc493860751"/>
      <w:bookmarkStart w:id="244" w:name="_Toc467091348"/>
      <w:r w:rsidRPr="003A6EBA">
        <w:rPr>
          <w:b/>
          <w:sz w:val="28"/>
          <w:szCs w:val="28"/>
          <w:lang w:eastAsia="fr-FR"/>
        </w:rPr>
        <w:t>Méthode</w:t>
      </w:r>
    </w:p>
    <w:bookmarkEnd w:id="243"/>
    <w:p w14:paraId="52259EBD" w14:textId="77777777" w:rsidR="00D80693" w:rsidRPr="003A6EBA" w:rsidRDefault="00D80693" w:rsidP="00D80693">
      <w:pPr>
        <w:widowControl/>
        <w:numPr>
          <w:ilvl w:val="1"/>
          <w:numId w:val="188"/>
        </w:numPr>
        <w:adjustRightInd w:val="0"/>
        <w:jc w:val="both"/>
        <w:rPr>
          <w:b/>
          <w:sz w:val="24"/>
          <w:szCs w:val="24"/>
          <w:lang w:eastAsia="fr-FR"/>
        </w:rPr>
      </w:pPr>
      <w:r>
        <w:rPr>
          <w:b/>
          <w:sz w:val="24"/>
          <w:szCs w:val="24"/>
          <w:lang w:eastAsia="fr-FR"/>
        </w:rPr>
        <w:t xml:space="preserve"> </w:t>
      </w:r>
      <w:r w:rsidRPr="003A6EBA">
        <w:rPr>
          <w:b/>
          <w:sz w:val="24"/>
          <w:szCs w:val="24"/>
          <w:lang w:eastAsia="fr-FR"/>
        </w:rPr>
        <w:t>Participants</w:t>
      </w:r>
    </w:p>
    <w:p w14:paraId="0847883D" w14:textId="77777777" w:rsidR="00D80693" w:rsidRPr="003A6EBA" w:rsidRDefault="00D80693" w:rsidP="0016777C">
      <w:pPr>
        <w:jc w:val="both"/>
        <w:rPr>
          <w:bCs/>
          <w:sz w:val="24"/>
          <w:szCs w:val="24"/>
          <w:lang w:eastAsia="fr-FR"/>
        </w:rPr>
      </w:pPr>
      <w:r w:rsidRPr="003A6EBA">
        <w:rPr>
          <w:sz w:val="24"/>
          <w:szCs w:val="24"/>
          <w:lang w:eastAsia="fr-FR"/>
        </w:rPr>
        <w:t xml:space="preserve">La population cible de cette recherche est l’ensemble des adolescents déplacés internes, précisément ceux qui se trouvent </w:t>
      </w:r>
      <w:r w:rsidRPr="003A6EBA">
        <w:rPr>
          <w:bCs/>
          <w:sz w:val="24"/>
          <w:szCs w:val="24"/>
          <w:lang w:eastAsia="fr-FR"/>
        </w:rPr>
        <w:t>dans les communautés d’accueil</w:t>
      </w:r>
      <w:r w:rsidRPr="003A6EBA">
        <w:rPr>
          <w:sz w:val="24"/>
          <w:szCs w:val="24"/>
          <w:lang w:eastAsia="fr-FR"/>
        </w:rPr>
        <w:t xml:space="preserve"> du Département du Lom-et-</w:t>
      </w:r>
      <w:proofErr w:type="spellStart"/>
      <w:r w:rsidRPr="003A6EBA">
        <w:rPr>
          <w:sz w:val="24"/>
          <w:szCs w:val="24"/>
          <w:lang w:eastAsia="fr-FR"/>
        </w:rPr>
        <w:t>Djérem</w:t>
      </w:r>
      <w:proofErr w:type="spellEnd"/>
      <w:r w:rsidRPr="003A6EBA">
        <w:rPr>
          <w:sz w:val="24"/>
          <w:szCs w:val="24"/>
          <w:lang w:eastAsia="fr-FR"/>
        </w:rPr>
        <w:t xml:space="preserve"> à l’</w:t>
      </w:r>
      <w:r w:rsidRPr="003A6EBA">
        <w:rPr>
          <w:bCs/>
          <w:sz w:val="24"/>
          <w:szCs w:val="24"/>
          <w:lang w:eastAsia="fr-FR"/>
        </w:rPr>
        <w:t>Est-Cameroun.</w:t>
      </w:r>
      <w:r w:rsidRPr="003A6EBA">
        <w:rPr>
          <w:sz w:val="24"/>
          <w:szCs w:val="24"/>
          <w:lang w:eastAsia="fr-FR"/>
        </w:rPr>
        <w:t xml:space="preserve"> Cependant, la population d’échantillonnage de l’étude est l’ensemble des adolescents Extrême-Nord camerounais,</w:t>
      </w:r>
      <w:r>
        <w:rPr>
          <w:sz w:val="24"/>
          <w:szCs w:val="24"/>
          <w:lang w:eastAsia="fr-FR"/>
        </w:rPr>
        <w:t xml:space="preserve"> </w:t>
      </w:r>
      <w:r w:rsidRPr="003A6EBA">
        <w:rPr>
          <w:sz w:val="24"/>
          <w:szCs w:val="24"/>
          <w:lang w:eastAsia="fr-FR"/>
        </w:rPr>
        <w:t>déplacés internes pour cause d’inondations</w:t>
      </w:r>
      <w:r>
        <w:rPr>
          <w:sz w:val="24"/>
          <w:szCs w:val="24"/>
          <w:lang w:eastAsia="fr-FR"/>
        </w:rPr>
        <w:t xml:space="preserve"> </w:t>
      </w:r>
      <w:r w:rsidRPr="003A6EBA">
        <w:rPr>
          <w:sz w:val="24"/>
          <w:szCs w:val="24"/>
          <w:lang w:eastAsia="fr-FR"/>
        </w:rPr>
        <w:t>et scolarisés dans les communautés de l’arrondissement</w:t>
      </w:r>
      <w:r>
        <w:rPr>
          <w:sz w:val="24"/>
          <w:szCs w:val="24"/>
          <w:lang w:eastAsia="fr-FR"/>
        </w:rPr>
        <w:t xml:space="preserve"> </w:t>
      </w:r>
      <w:r w:rsidRPr="003A6EBA">
        <w:rPr>
          <w:sz w:val="24"/>
          <w:szCs w:val="24"/>
          <w:lang w:eastAsia="fr-FR"/>
        </w:rPr>
        <w:t>de Garoua-</w:t>
      </w:r>
      <w:proofErr w:type="spellStart"/>
      <w:r w:rsidRPr="003A6EBA">
        <w:rPr>
          <w:sz w:val="24"/>
          <w:szCs w:val="24"/>
          <w:lang w:eastAsia="fr-FR"/>
        </w:rPr>
        <w:t>Boulaïà</w:t>
      </w:r>
      <w:proofErr w:type="spellEnd"/>
      <w:r w:rsidRPr="003A6EBA">
        <w:rPr>
          <w:sz w:val="24"/>
          <w:szCs w:val="24"/>
          <w:lang w:eastAsia="fr-FR"/>
        </w:rPr>
        <w:t xml:space="preserve"> l’Est-Cameroun, qui en accueillent un très grand nombre. Le choix de ce site est justifié par le fait qu’il impose une scolarisation en contexte totalement différent de leur environnement scolaire de départ.</w:t>
      </w:r>
      <w:r>
        <w:rPr>
          <w:sz w:val="24"/>
          <w:szCs w:val="24"/>
          <w:lang w:eastAsia="fr-FR"/>
        </w:rPr>
        <w:t xml:space="preserve"> </w:t>
      </w:r>
      <w:r w:rsidRPr="003A6EBA">
        <w:rPr>
          <w:sz w:val="24"/>
          <w:szCs w:val="24"/>
          <w:lang w:eastAsia="fr-FR"/>
        </w:rPr>
        <w:t xml:space="preserve">En référence à la position </w:t>
      </w:r>
      <w:proofErr w:type="spellStart"/>
      <w:r w:rsidRPr="003A6EBA">
        <w:rPr>
          <w:sz w:val="24"/>
          <w:szCs w:val="24"/>
          <w:lang w:eastAsia="fr-FR"/>
        </w:rPr>
        <w:t>wallonienne</w:t>
      </w:r>
      <w:proofErr w:type="spellEnd"/>
      <w:r w:rsidRPr="003A6EBA">
        <w:rPr>
          <w:sz w:val="24"/>
          <w:szCs w:val="24"/>
          <w:lang w:eastAsia="fr-FR"/>
        </w:rPr>
        <w:t xml:space="preserve"> et piagétienne sur le développement cognitif et psychosocial, notamment les âges correspondant à l’adolescence, et par souci de standardisation, les participants de cette étude étaient âgés de 12 à 18 ans, des deux sexes, scolarisés au premier cycle du secondaire. Ils étaient tous originaires </w:t>
      </w:r>
      <w:r w:rsidRPr="003A6EBA">
        <w:rPr>
          <w:sz w:val="24"/>
          <w:lang w:eastAsia="fr-FR"/>
        </w:rPr>
        <w:t>des Départements du Logone-et-Chari et du Mayo-</w:t>
      </w:r>
      <w:proofErr w:type="spellStart"/>
      <w:r w:rsidRPr="003A6EBA">
        <w:rPr>
          <w:sz w:val="24"/>
          <w:lang w:eastAsia="fr-FR"/>
        </w:rPr>
        <w:t>Danay</w:t>
      </w:r>
      <w:r w:rsidRPr="003A6EBA">
        <w:rPr>
          <w:sz w:val="24"/>
          <w:szCs w:val="24"/>
          <w:lang w:eastAsia="fr-FR"/>
        </w:rPr>
        <w:t>dans</w:t>
      </w:r>
      <w:proofErr w:type="spellEnd"/>
      <w:r w:rsidRPr="003A6EBA">
        <w:rPr>
          <w:sz w:val="24"/>
          <w:szCs w:val="24"/>
          <w:lang w:eastAsia="fr-FR"/>
        </w:rPr>
        <w:t xml:space="preserve"> l’Extrême-Nord</w:t>
      </w:r>
      <w:r w:rsidRPr="003A6EBA">
        <w:rPr>
          <w:sz w:val="24"/>
          <w:lang w:eastAsia="fr-FR"/>
        </w:rPr>
        <w:t>, qui sont les plus touchés par les inondations ces trois dernières années (Organisation Internationale pour les Migrations, 2023)</w:t>
      </w:r>
      <w:r w:rsidRPr="003A6EBA">
        <w:rPr>
          <w:sz w:val="24"/>
          <w:szCs w:val="24"/>
          <w:lang w:eastAsia="fr-FR"/>
        </w:rPr>
        <w:t xml:space="preserve">, et vivent actuellement à l’Est-Cameroun depuis au plus 2023. Ceux retenus ont été obtenus selon un système de quota raisonné avec une méthode probabiliste de sélection des participants, notamment l’échantillonnage aléatoire simple. </w:t>
      </w:r>
      <w:proofErr w:type="gramStart"/>
      <w:r w:rsidRPr="003A6EBA">
        <w:rPr>
          <w:sz w:val="24"/>
          <w:szCs w:val="24"/>
          <w:lang w:eastAsia="fr-FR"/>
        </w:rPr>
        <w:t>Au final</w:t>
      </w:r>
      <w:proofErr w:type="gramEnd"/>
      <w:r w:rsidRPr="003A6EBA">
        <w:rPr>
          <w:sz w:val="24"/>
          <w:szCs w:val="24"/>
          <w:lang w:eastAsia="fr-FR"/>
        </w:rPr>
        <w:t>,</w:t>
      </w:r>
      <w:r w:rsidRPr="003A6EBA">
        <w:rPr>
          <w:bCs/>
          <w:sz w:val="24"/>
          <w:szCs w:val="24"/>
          <w:lang w:eastAsia="fr-FR"/>
        </w:rPr>
        <w:t xml:space="preserve"> 113 adolescents déplacés internes ont obéit à tous les critères d’inclusion de cette recherche.</w:t>
      </w:r>
      <w:bookmarkStart w:id="245" w:name="_Toc485211121"/>
      <w:bookmarkStart w:id="246" w:name="_Toc493860768"/>
    </w:p>
    <w:p w14:paraId="3B423BE4" w14:textId="77777777" w:rsidR="00D80693" w:rsidRPr="0022232A" w:rsidRDefault="00D80693" w:rsidP="00D80693">
      <w:pPr>
        <w:spacing w:before="240"/>
        <w:jc w:val="both"/>
        <w:rPr>
          <w:bCs/>
          <w:i/>
          <w:lang w:eastAsia="fr-FR"/>
        </w:rPr>
      </w:pPr>
      <w:r w:rsidRPr="0022232A">
        <w:rPr>
          <w:b/>
          <w:i/>
          <w:lang w:eastAsia="fr-FR"/>
        </w:rPr>
        <w:t>Tableau 1 :</w:t>
      </w:r>
      <w:r w:rsidRPr="0022232A">
        <w:rPr>
          <w:i/>
          <w:lang w:eastAsia="fr-FR"/>
        </w:rPr>
        <w:t xml:space="preserve"> Distribution des</w:t>
      </w:r>
      <w:r>
        <w:rPr>
          <w:i/>
          <w:lang w:eastAsia="fr-FR"/>
        </w:rPr>
        <w:t xml:space="preserve"> </w:t>
      </w:r>
      <w:r w:rsidRPr="0022232A">
        <w:rPr>
          <w:i/>
          <w:lang w:eastAsia="fr-FR"/>
        </w:rPr>
        <w:t>adolescents déplacés interne</w:t>
      </w:r>
      <w:r>
        <w:rPr>
          <w:i/>
          <w:lang w:eastAsia="fr-FR"/>
        </w:rPr>
        <w:t xml:space="preserve"> </w:t>
      </w:r>
      <w:proofErr w:type="spellStart"/>
      <w:r w:rsidRPr="0022232A">
        <w:rPr>
          <w:i/>
          <w:lang w:eastAsia="fr-FR"/>
        </w:rPr>
        <w:t>sselon</w:t>
      </w:r>
      <w:proofErr w:type="spellEnd"/>
      <w:r w:rsidRPr="0022232A">
        <w:rPr>
          <w:i/>
          <w:lang w:eastAsia="fr-FR"/>
        </w:rPr>
        <w:t xml:space="preserve"> leurs sexes et leurs âges</w:t>
      </w:r>
      <w:bookmarkEnd w:id="245"/>
      <w:bookmarkEnd w:id="246"/>
    </w:p>
    <w:tbl>
      <w:tblPr>
        <w:tblW w:w="9052" w:type="dxa"/>
        <w:tblLayout w:type="fixed"/>
        <w:tblCellMar>
          <w:left w:w="0" w:type="dxa"/>
          <w:right w:w="0" w:type="dxa"/>
        </w:tblCellMar>
        <w:tblLook w:val="0000" w:firstRow="0" w:lastRow="0" w:firstColumn="0" w:lastColumn="0" w:noHBand="0" w:noVBand="0"/>
      </w:tblPr>
      <w:tblGrid>
        <w:gridCol w:w="1398"/>
        <w:gridCol w:w="1791"/>
        <w:gridCol w:w="1894"/>
        <w:gridCol w:w="1843"/>
        <w:gridCol w:w="2126"/>
      </w:tblGrid>
      <w:tr w:rsidR="00D80693" w14:paraId="35ED77B8" w14:textId="77777777" w:rsidTr="00D72320">
        <w:trPr>
          <w:cantSplit/>
        </w:trPr>
        <w:tc>
          <w:tcPr>
            <w:tcW w:w="1398" w:type="dxa"/>
            <w:tcBorders>
              <w:top w:val="single" w:sz="4" w:space="0" w:color="auto"/>
              <w:bottom w:val="single" w:sz="4" w:space="0" w:color="auto"/>
            </w:tcBorders>
            <w:shd w:val="clear" w:color="auto" w:fill="FFFFFF"/>
          </w:tcPr>
          <w:p w14:paraId="7700685A" w14:textId="77777777" w:rsidR="00D80693" w:rsidRPr="00552A66" w:rsidRDefault="00D80693" w:rsidP="00D72320">
            <w:pPr>
              <w:adjustRightInd w:val="0"/>
              <w:ind w:left="-5" w:hanging="10"/>
              <w:jc w:val="both"/>
              <w:rPr>
                <w:sz w:val="24"/>
                <w:szCs w:val="24"/>
                <w:lang w:eastAsia="fr-FR"/>
              </w:rPr>
            </w:pPr>
          </w:p>
        </w:tc>
        <w:tc>
          <w:tcPr>
            <w:tcW w:w="1791" w:type="dxa"/>
            <w:tcBorders>
              <w:top w:val="single" w:sz="4" w:space="0" w:color="auto"/>
              <w:bottom w:val="single" w:sz="4" w:space="0" w:color="auto"/>
            </w:tcBorders>
            <w:shd w:val="clear" w:color="auto" w:fill="FFFFFF"/>
          </w:tcPr>
          <w:p w14:paraId="65B02C52"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[12-14[</w:t>
            </w:r>
          </w:p>
        </w:tc>
        <w:tc>
          <w:tcPr>
            <w:tcW w:w="1894" w:type="dxa"/>
            <w:tcBorders>
              <w:top w:val="single" w:sz="4" w:space="0" w:color="auto"/>
              <w:bottom w:val="single" w:sz="4" w:space="0" w:color="auto"/>
            </w:tcBorders>
            <w:shd w:val="clear" w:color="auto" w:fill="FFFFFF"/>
          </w:tcPr>
          <w:p w14:paraId="32A127B9"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[14-16[</w:t>
            </w:r>
          </w:p>
        </w:tc>
        <w:tc>
          <w:tcPr>
            <w:tcW w:w="1843" w:type="dxa"/>
            <w:tcBorders>
              <w:top w:val="single" w:sz="4" w:space="0" w:color="auto"/>
              <w:bottom w:val="single" w:sz="4" w:space="0" w:color="auto"/>
            </w:tcBorders>
            <w:shd w:val="clear" w:color="auto" w:fill="FFFFFF"/>
          </w:tcPr>
          <w:p w14:paraId="6B7DA731"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[16-18[</w:t>
            </w:r>
          </w:p>
        </w:tc>
        <w:tc>
          <w:tcPr>
            <w:tcW w:w="2126" w:type="dxa"/>
            <w:tcBorders>
              <w:top w:val="single" w:sz="4" w:space="0" w:color="auto"/>
              <w:bottom w:val="single" w:sz="4" w:space="0" w:color="auto"/>
            </w:tcBorders>
            <w:shd w:val="clear" w:color="auto" w:fill="FFFFFF"/>
          </w:tcPr>
          <w:p w14:paraId="4E83EB7A"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Total</w:t>
            </w:r>
          </w:p>
        </w:tc>
      </w:tr>
      <w:tr w:rsidR="00D80693" w14:paraId="1E58B1FE" w14:textId="77777777" w:rsidTr="00D72320">
        <w:trPr>
          <w:cantSplit/>
          <w:trHeight w:val="159"/>
        </w:trPr>
        <w:tc>
          <w:tcPr>
            <w:tcW w:w="1398" w:type="dxa"/>
            <w:tcBorders>
              <w:top w:val="single" w:sz="4" w:space="0" w:color="auto"/>
            </w:tcBorders>
            <w:shd w:val="clear" w:color="auto" w:fill="FFFFFF"/>
            <w:vAlign w:val="center"/>
          </w:tcPr>
          <w:p w14:paraId="7216A3DC" w14:textId="77777777" w:rsidR="00D80693" w:rsidRPr="00552A66" w:rsidRDefault="00D80693" w:rsidP="00D72320">
            <w:pPr>
              <w:adjustRightInd w:val="0"/>
              <w:ind w:left="60" w:right="60" w:hanging="10"/>
              <w:jc w:val="both"/>
              <w:rPr>
                <w:sz w:val="24"/>
                <w:szCs w:val="24"/>
                <w:lang w:eastAsia="fr-FR"/>
              </w:rPr>
            </w:pPr>
            <w:r w:rsidRPr="00552A66">
              <w:rPr>
                <w:sz w:val="24"/>
                <w:szCs w:val="24"/>
                <w:lang w:eastAsia="fr-FR"/>
              </w:rPr>
              <w:t>Garçons</w:t>
            </w:r>
          </w:p>
        </w:tc>
        <w:tc>
          <w:tcPr>
            <w:tcW w:w="1791" w:type="dxa"/>
            <w:tcBorders>
              <w:top w:val="single" w:sz="4" w:space="0" w:color="auto"/>
            </w:tcBorders>
            <w:shd w:val="clear" w:color="auto" w:fill="FFFFFF"/>
          </w:tcPr>
          <w:p w14:paraId="69991CD7"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6,45</w:t>
            </w:r>
          </w:p>
        </w:tc>
        <w:tc>
          <w:tcPr>
            <w:tcW w:w="1894" w:type="dxa"/>
            <w:tcBorders>
              <w:top w:val="single" w:sz="4" w:space="0" w:color="auto"/>
            </w:tcBorders>
            <w:shd w:val="clear" w:color="auto" w:fill="FFFFFF"/>
          </w:tcPr>
          <w:p w14:paraId="31F44FEE"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21,77</w:t>
            </w:r>
          </w:p>
        </w:tc>
        <w:tc>
          <w:tcPr>
            <w:tcW w:w="1843" w:type="dxa"/>
            <w:tcBorders>
              <w:top w:val="single" w:sz="4" w:space="0" w:color="auto"/>
            </w:tcBorders>
            <w:shd w:val="clear" w:color="auto" w:fill="FFFFFF"/>
          </w:tcPr>
          <w:p w14:paraId="04AB1F8D"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38,72</w:t>
            </w:r>
          </w:p>
        </w:tc>
        <w:tc>
          <w:tcPr>
            <w:tcW w:w="2126" w:type="dxa"/>
            <w:tcBorders>
              <w:top w:val="single" w:sz="4" w:space="0" w:color="auto"/>
            </w:tcBorders>
            <w:shd w:val="clear" w:color="auto" w:fill="FFFFFF"/>
          </w:tcPr>
          <w:p w14:paraId="33E61FA4"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66,94</w:t>
            </w:r>
          </w:p>
        </w:tc>
      </w:tr>
      <w:tr w:rsidR="00D80693" w14:paraId="361DF604" w14:textId="77777777" w:rsidTr="00D72320">
        <w:trPr>
          <w:cantSplit/>
          <w:trHeight w:val="159"/>
        </w:trPr>
        <w:tc>
          <w:tcPr>
            <w:tcW w:w="1398" w:type="dxa"/>
            <w:vAlign w:val="center"/>
          </w:tcPr>
          <w:p w14:paraId="4BB127D4" w14:textId="77777777" w:rsidR="00D80693" w:rsidRPr="00552A66" w:rsidRDefault="00D80693" w:rsidP="00D72320">
            <w:pPr>
              <w:adjustRightInd w:val="0"/>
              <w:ind w:left="-5" w:right="60" w:hanging="10"/>
              <w:jc w:val="both"/>
              <w:rPr>
                <w:sz w:val="24"/>
                <w:szCs w:val="24"/>
                <w:lang w:eastAsia="fr-FR"/>
              </w:rPr>
            </w:pPr>
            <w:r w:rsidRPr="00552A66">
              <w:rPr>
                <w:sz w:val="24"/>
                <w:szCs w:val="24"/>
                <w:lang w:eastAsia="fr-FR"/>
              </w:rPr>
              <w:t xml:space="preserve"> Filles</w:t>
            </w:r>
          </w:p>
        </w:tc>
        <w:tc>
          <w:tcPr>
            <w:tcW w:w="1791" w:type="dxa"/>
            <w:shd w:val="clear" w:color="auto" w:fill="FFFFFF"/>
          </w:tcPr>
          <w:p w14:paraId="6651BF96"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5,65</w:t>
            </w:r>
          </w:p>
        </w:tc>
        <w:tc>
          <w:tcPr>
            <w:tcW w:w="1894" w:type="dxa"/>
            <w:shd w:val="clear" w:color="auto" w:fill="FFFFFF"/>
          </w:tcPr>
          <w:p w14:paraId="692FD9F2"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10,49</w:t>
            </w:r>
          </w:p>
        </w:tc>
        <w:tc>
          <w:tcPr>
            <w:tcW w:w="1843" w:type="dxa"/>
            <w:shd w:val="clear" w:color="auto" w:fill="FFFFFF"/>
          </w:tcPr>
          <w:p w14:paraId="6BC90DCD"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16,92</w:t>
            </w:r>
          </w:p>
        </w:tc>
        <w:tc>
          <w:tcPr>
            <w:tcW w:w="2126" w:type="dxa"/>
            <w:shd w:val="clear" w:color="auto" w:fill="FFFFFF"/>
          </w:tcPr>
          <w:p w14:paraId="1B23591A"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33,06</w:t>
            </w:r>
          </w:p>
        </w:tc>
      </w:tr>
      <w:tr w:rsidR="00D80693" w14:paraId="5E6C151F" w14:textId="77777777" w:rsidTr="00D72320">
        <w:trPr>
          <w:cantSplit/>
        </w:trPr>
        <w:tc>
          <w:tcPr>
            <w:tcW w:w="1398" w:type="dxa"/>
            <w:tcBorders>
              <w:bottom w:val="single" w:sz="4" w:space="0" w:color="auto"/>
            </w:tcBorders>
            <w:shd w:val="clear" w:color="auto" w:fill="FFFFFF"/>
            <w:vAlign w:val="center"/>
          </w:tcPr>
          <w:p w14:paraId="3673BA71" w14:textId="77777777" w:rsidR="00D80693" w:rsidRPr="00552A66" w:rsidRDefault="00D80693" w:rsidP="00D72320">
            <w:pPr>
              <w:adjustRightInd w:val="0"/>
              <w:ind w:left="60" w:right="60" w:hanging="10"/>
              <w:jc w:val="both"/>
              <w:rPr>
                <w:sz w:val="24"/>
                <w:szCs w:val="24"/>
                <w:lang w:eastAsia="fr-FR"/>
              </w:rPr>
            </w:pPr>
            <w:r w:rsidRPr="00552A66">
              <w:rPr>
                <w:sz w:val="24"/>
                <w:szCs w:val="24"/>
                <w:lang w:eastAsia="fr-FR"/>
              </w:rPr>
              <w:t>Total</w:t>
            </w:r>
          </w:p>
        </w:tc>
        <w:tc>
          <w:tcPr>
            <w:tcW w:w="1791" w:type="dxa"/>
            <w:tcBorders>
              <w:bottom w:val="single" w:sz="4" w:space="0" w:color="auto"/>
            </w:tcBorders>
            <w:shd w:val="clear" w:color="auto" w:fill="FFFFFF"/>
          </w:tcPr>
          <w:p w14:paraId="10C4435E" w14:textId="77777777" w:rsidR="00D80693" w:rsidRPr="00552A66" w:rsidRDefault="00D80693" w:rsidP="00D72320">
            <w:pPr>
              <w:adjustRightInd w:val="0"/>
              <w:ind w:left="60" w:right="60" w:hanging="10"/>
              <w:jc w:val="center"/>
              <w:rPr>
                <w:sz w:val="24"/>
                <w:szCs w:val="24"/>
                <w:lang w:eastAsia="fr-FR"/>
              </w:rPr>
            </w:pPr>
            <w:r w:rsidRPr="00552A66">
              <w:rPr>
                <w:bCs/>
                <w:sz w:val="24"/>
                <w:szCs w:val="24"/>
                <w:lang w:eastAsia="fr-FR"/>
              </w:rPr>
              <w:t>12,10</w:t>
            </w:r>
          </w:p>
        </w:tc>
        <w:tc>
          <w:tcPr>
            <w:tcW w:w="1894" w:type="dxa"/>
            <w:tcBorders>
              <w:bottom w:val="single" w:sz="4" w:space="0" w:color="auto"/>
            </w:tcBorders>
            <w:shd w:val="clear" w:color="auto" w:fill="FFFFFF"/>
          </w:tcPr>
          <w:p w14:paraId="5459171B" w14:textId="77777777" w:rsidR="00D80693" w:rsidRPr="00552A66" w:rsidRDefault="00D80693" w:rsidP="00D72320">
            <w:pPr>
              <w:adjustRightInd w:val="0"/>
              <w:ind w:left="60" w:right="60" w:hanging="10"/>
              <w:jc w:val="center"/>
              <w:rPr>
                <w:sz w:val="24"/>
                <w:szCs w:val="24"/>
                <w:lang w:eastAsia="fr-FR"/>
              </w:rPr>
            </w:pPr>
            <w:r w:rsidRPr="00552A66">
              <w:rPr>
                <w:bCs/>
                <w:sz w:val="24"/>
                <w:szCs w:val="24"/>
                <w:lang w:eastAsia="fr-FR"/>
              </w:rPr>
              <w:t>32,26</w:t>
            </w:r>
          </w:p>
        </w:tc>
        <w:tc>
          <w:tcPr>
            <w:tcW w:w="1843" w:type="dxa"/>
            <w:tcBorders>
              <w:bottom w:val="single" w:sz="4" w:space="0" w:color="auto"/>
            </w:tcBorders>
            <w:shd w:val="clear" w:color="auto" w:fill="FFFFFF"/>
          </w:tcPr>
          <w:p w14:paraId="78D85C38" w14:textId="77777777" w:rsidR="00D80693" w:rsidRPr="00552A66" w:rsidRDefault="00D80693" w:rsidP="00D72320">
            <w:pPr>
              <w:adjustRightInd w:val="0"/>
              <w:ind w:left="60" w:right="60" w:hanging="10"/>
              <w:jc w:val="center"/>
              <w:rPr>
                <w:sz w:val="24"/>
                <w:szCs w:val="24"/>
                <w:lang w:eastAsia="fr-FR"/>
              </w:rPr>
            </w:pPr>
            <w:r w:rsidRPr="00552A66">
              <w:rPr>
                <w:bCs/>
                <w:sz w:val="24"/>
                <w:szCs w:val="24"/>
                <w:lang w:eastAsia="fr-FR"/>
              </w:rPr>
              <w:t>55,64</w:t>
            </w:r>
          </w:p>
        </w:tc>
        <w:tc>
          <w:tcPr>
            <w:tcW w:w="2126" w:type="dxa"/>
            <w:tcBorders>
              <w:bottom w:val="single" w:sz="4" w:space="0" w:color="auto"/>
            </w:tcBorders>
            <w:shd w:val="clear" w:color="auto" w:fill="FFFFFF"/>
          </w:tcPr>
          <w:p w14:paraId="1F56C263" w14:textId="77777777" w:rsidR="00D80693" w:rsidRPr="00552A66" w:rsidRDefault="00D80693" w:rsidP="00D72320">
            <w:pPr>
              <w:adjustRightInd w:val="0"/>
              <w:ind w:left="60" w:right="60" w:hanging="10"/>
              <w:jc w:val="center"/>
              <w:rPr>
                <w:sz w:val="24"/>
                <w:szCs w:val="24"/>
                <w:lang w:eastAsia="fr-FR"/>
              </w:rPr>
            </w:pPr>
            <w:r w:rsidRPr="00552A66">
              <w:rPr>
                <w:sz w:val="24"/>
                <w:szCs w:val="24"/>
                <w:lang w:eastAsia="fr-FR"/>
              </w:rPr>
              <w:t>100</w:t>
            </w:r>
          </w:p>
        </w:tc>
      </w:tr>
    </w:tbl>
    <w:p w14:paraId="73733933" w14:textId="77777777" w:rsidR="00D80693" w:rsidRPr="00F63588" w:rsidRDefault="00D80693" w:rsidP="00D80693">
      <w:pPr>
        <w:spacing w:after="12"/>
        <w:ind w:firstLine="708"/>
        <w:jc w:val="both"/>
        <w:rPr>
          <w:i/>
          <w:lang w:eastAsia="fr-FR"/>
        </w:rPr>
      </w:pPr>
      <w:r w:rsidRPr="00F63588">
        <w:rPr>
          <w:i/>
          <w:lang w:eastAsia="fr-FR"/>
        </w:rPr>
        <w:t xml:space="preserve">Source : Données de terrain </w:t>
      </w:r>
    </w:p>
    <w:p w14:paraId="26664BCB" w14:textId="77777777" w:rsidR="00D80693" w:rsidRPr="003A6EBA" w:rsidRDefault="00D80693" w:rsidP="0016777C">
      <w:pPr>
        <w:spacing w:before="240"/>
        <w:jc w:val="both"/>
        <w:rPr>
          <w:sz w:val="24"/>
          <w:szCs w:val="24"/>
          <w:lang w:eastAsia="fr-FR"/>
        </w:rPr>
      </w:pPr>
      <w:r w:rsidRPr="00552A66">
        <w:rPr>
          <w:sz w:val="24"/>
          <w:szCs w:val="24"/>
          <w:lang w:eastAsia="fr-FR"/>
        </w:rPr>
        <w:t xml:space="preserve">Ce tableau montre que près de 66,94% des adolescents </w:t>
      </w:r>
      <w:r>
        <w:rPr>
          <w:sz w:val="24"/>
          <w:szCs w:val="24"/>
          <w:lang w:eastAsia="fr-FR"/>
        </w:rPr>
        <w:t>déplacés internes</w:t>
      </w:r>
      <w:r w:rsidRPr="00552A66">
        <w:rPr>
          <w:sz w:val="24"/>
          <w:szCs w:val="24"/>
          <w:lang w:eastAsia="fr-FR"/>
        </w:rPr>
        <w:t xml:space="preserve"> et </w:t>
      </w:r>
      <w:r>
        <w:rPr>
          <w:sz w:val="24"/>
          <w:szCs w:val="24"/>
          <w:lang w:eastAsia="fr-FR"/>
        </w:rPr>
        <w:t>participants de cette étude</w:t>
      </w:r>
      <w:r w:rsidRPr="00552A66">
        <w:rPr>
          <w:sz w:val="24"/>
          <w:szCs w:val="24"/>
          <w:lang w:eastAsia="fr-FR"/>
        </w:rPr>
        <w:t xml:space="preserve"> sont des garçons, pour la plupart âgés de 16 à 18 ans, soit 38,72% et de 14 à 16 ans soit 21,77%. Cependant, seulement 6,45% d’entre eux sont âgés de 12 à 14 ans. Par ailleurs, 33,06% </w:t>
      </w:r>
      <w:r>
        <w:rPr>
          <w:sz w:val="24"/>
          <w:szCs w:val="24"/>
          <w:lang w:eastAsia="fr-FR"/>
        </w:rPr>
        <w:t>qui sont des filles majoritairement</w:t>
      </w:r>
      <w:r w:rsidRPr="00552A66">
        <w:rPr>
          <w:sz w:val="24"/>
          <w:szCs w:val="24"/>
          <w:lang w:eastAsia="fr-FR"/>
        </w:rPr>
        <w:t xml:space="preserve"> en phase terminale de leurs l’adolescence, soit 16,92% de 16 à 18ans, 10,49% à la mi- adolescence, c’est-à-dire de 14 à 16 ans. Seulement 5,65% de ces filles sont âgées de 12 à 14 ans. En effet, les âges de ces adolescents étant organisés en trois classes dont de 12 à 14 ans, de 14 à 16 ans et de 16 ans à 18 ans, respectivement </w:t>
      </w:r>
      <w:r w:rsidRPr="00552A66">
        <w:rPr>
          <w:bCs/>
          <w:sz w:val="24"/>
          <w:szCs w:val="24"/>
          <w:lang w:eastAsia="fr-FR"/>
        </w:rPr>
        <w:t>12,10</w:t>
      </w:r>
      <w:r w:rsidRPr="00552A66">
        <w:rPr>
          <w:sz w:val="24"/>
          <w:szCs w:val="24"/>
          <w:lang w:eastAsia="fr-FR"/>
        </w:rPr>
        <w:t>%</w:t>
      </w:r>
      <w:r>
        <w:rPr>
          <w:sz w:val="24"/>
          <w:szCs w:val="24"/>
          <w:lang w:eastAsia="fr-FR"/>
        </w:rPr>
        <w:t xml:space="preserve"> </w:t>
      </w:r>
      <w:r w:rsidRPr="00552A66">
        <w:rPr>
          <w:sz w:val="24"/>
          <w:szCs w:val="24"/>
          <w:lang w:eastAsia="fr-FR"/>
        </w:rPr>
        <w:t xml:space="preserve">; </w:t>
      </w:r>
      <w:r w:rsidRPr="00552A66">
        <w:rPr>
          <w:bCs/>
          <w:sz w:val="24"/>
          <w:szCs w:val="24"/>
          <w:lang w:eastAsia="fr-FR"/>
        </w:rPr>
        <w:t>32,26</w:t>
      </w:r>
      <w:r w:rsidRPr="00552A66">
        <w:rPr>
          <w:sz w:val="24"/>
          <w:szCs w:val="24"/>
          <w:lang w:eastAsia="fr-FR"/>
        </w:rPr>
        <w:t xml:space="preserve">% et </w:t>
      </w:r>
      <w:r w:rsidRPr="00552A66">
        <w:rPr>
          <w:bCs/>
          <w:sz w:val="24"/>
          <w:szCs w:val="24"/>
          <w:lang w:eastAsia="fr-FR"/>
        </w:rPr>
        <w:t>55,64</w:t>
      </w:r>
      <w:r w:rsidRPr="00552A66">
        <w:rPr>
          <w:sz w:val="24"/>
          <w:szCs w:val="24"/>
          <w:lang w:eastAsia="fr-FR"/>
        </w:rPr>
        <w:t>% de ceux correspondant à ces classes d’âge ont effectivem</w:t>
      </w:r>
      <w:r>
        <w:rPr>
          <w:sz w:val="24"/>
          <w:szCs w:val="24"/>
          <w:lang w:eastAsia="fr-FR"/>
        </w:rPr>
        <w:t>ent participé à cette recherche</w:t>
      </w:r>
      <w:r w:rsidRPr="003A6EBA">
        <w:rPr>
          <w:sz w:val="24"/>
          <w:szCs w:val="24"/>
          <w:lang w:eastAsia="fr-FR"/>
        </w:rPr>
        <w:t xml:space="preserve">. </w:t>
      </w:r>
    </w:p>
    <w:p w14:paraId="3D7684BC" w14:textId="77777777" w:rsidR="00D80693" w:rsidRPr="003A6EBA" w:rsidRDefault="00D80693" w:rsidP="00D80693">
      <w:pPr>
        <w:widowControl/>
        <w:numPr>
          <w:ilvl w:val="1"/>
          <w:numId w:val="188"/>
        </w:numPr>
        <w:adjustRightInd w:val="0"/>
        <w:spacing w:before="240"/>
        <w:jc w:val="both"/>
        <w:rPr>
          <w:b/>
          <w:sz w:val="24"/>
          <w:szCs w:val="24"/>
          <w:lang w:eastAsia="fr-FR"/>
        </w:rPr>
      </w:pPr>
      <w:r w:rsidRPr="003A6EBA">
        <w:rPr>
          <w:b/>
          <w:sz w:val="24"/>
          <w:szCs w:val="24"/>
          <w:lang w:eastAsia="fr-FR"/>
        </w:rPr>
        <w:t>Matériel et procédure</w:t>
      </w:r>
    </w:p>
    <w:p w14:paraId="06CEFFE9" w14:textId="77777777" w:rsidR="00D80693" w:rsidRPr="003A6EBA" w:rsidRDefault="00D80693" w:rsidP="0016777C">
      <w:pPr>
        <w:spacing w:before="240"/>
        <w:ind w:left="-5"/>
        <w:jc w:val="both"/>
        <w:rPr>
          <w:sz w:val="24"/>
          <w:szCs w:val="24"/>
          <w:lang w:eastAsia="fr-FR"/>
        </w:rPr>
      </w:pPr>
      <w:r w:rsidRPr="003A6EBA">
        <w:rPr>
          <w:sz w:val="24"/>
          <w:szCs w:val="24"/>
          <w:lang w:eastAsia="fr-FR"/>
        </w:rPr>
        <w:t>La présente recherche s’inscrit dans une dynamique explicative. En effet, dans le souci du recueil et d’appropriation des informations collectées, elle se base sur une approche quantitative (Weil-</w:t>
      </w:r>
      <w:proofErr w:type="spellStart"/>
      <w:r w:rsidRPr="003A6EBA">
        <w:rPr>
          <w:sz w:val="24"/>
          <w:szCs w:val="24"/>
          <w:lang w:eastAsia="fr-FR"/>
        </w:rPr>
        <w:t>Barais</w:t>
      </w:r>
      <w:proofErr w:type="spellEnd"/>
      <w:r w:rsidRPr="003A6EBA">
        <w:rPr>
          <w:sz w:val="24"/>
          <w:szCs w:val="24"/>
          <w:lang w:eastAsia="fr-FR"/>
        </w:rPr>
        <w:t>, 1997).  Elle est quasi-expérimentale</w:t>
      </w:r>
      <w:r>
        <w:rPr>
          <w:sz w:val="24"/>
          <w:szCs w:val="24"/>
          <w:lang w:eastAsia="fr-FR"/>
        </w:rPr>
        <w:t xml:space="preserve"> </w:t>
      </w:r>
      <w:r w:rsidRPr="003A6EBA">
        <w:rPr>
          <w:sz w:val="24"/>
          <w:szCs w:val="24"/>
          <w:lang w:eastAsia="fr-FR"/>
        </w:rPr>
        <w:t xml:space="preserve">et en s’appuyant sur Reuchlin (1995), le design de la collecte des données est sur fond de groupes contrastés. </w:t>
      </w:r>
    </w:p>
    <w:p w14:paraId="4E3C386E" w14:textId="77777777" w:rsidR="00D80693" w:rsidRPr="003A6EBA" w:rsidRDefault="00D80693" w:rsidP="0016777C">
      <w:pPr>
        <w:spacing w:before="240"/>
        <w:ind w:left="-5"/>
        <w:jc w:val="both"/>
        <w:rPr>
          <w:sz w:val="24"/>
          <w:szCs w:val="24"/>
          <w:lang w:eastAsia="fr-FR"/>
        </w:rPr>
      </w:pPr>
      <w:r w:rsidRPr="003A6EBA">
        <w:rPr>
          <w:sz w:val="24"/>
          <w:szCs w:val="24"/>
          <w:lang w:eastAsia="fr-FR"/>
        </w:rPr>
        <w:t>L’on a d’abord soumis les adolescents déplacés internes à l</w:t>
      </w:r>
      <w:proofErr w:type="gramStart"/>
      <w:r w:rsidRPr="003A6EBA">
        <w:rPr>
          <w:sz w:val="24"/>
          <w:szCs w:val="24"/>
          <w:lang w:eastAsia="fr-FR"/>
        </w:rPr>
        <w:t>’</w:t>
      </w:r>
      <w:r w:rsidRPr="003A6EBA">
        <w:rPr>
          <w:i/>
          <w:sz w:val="24"/>
          <w:szCs w:val="24"/>
          <w:lang w:eastAsia="fr-FR"/>
        </w:rPr>
        <w:t>«</w:t>
      </w:r>
      <w:proofErr w:type="gramEnd"/>
      <w:r w:rsidRPr="003A6EBA">
        <w:rPr>
          <w:i/>
          <w:sz w:val="24"/>
          <w:szCs w:val="24"/>
          <w:lang w:eastAsia="fr-FR"/>
        </w:rPr>
        <w:t> Impact of Event Scale »</w:t>
      </w:r>
      <w:r w:rsidRPr="003A6EBA">
        <w:rPr>
          <w:sz w:val="24"/>
          <w:szCs w:val="24"/>
          <w:lang w:eastAsia="fr-FR"/>
        </w:rPr>
        <w:t xml:space="preserve"> de Horowitz et </w:t>
      </w:r>
      <w:proofErr w:type="gramStart"/>
      <w:r w:rsidRPr="006474F7">
        <w:rPr>
          <w:i/>
          <w:sz w:val="24"/>
          <w:szCs w:val="24"/>
          <w:lang w:eastAsia="fr-FR"/>
        </w:rPr>
        <w:t>al.</w:t>
      </w:r>
      <w:r w:rsidRPr="003A6EBA">
        <w:rPr>
          <w:sz w:val="24"/>
          <w:szCs w:val="24"/>
          <w:lang w:eastAsia="fr-FR"/>
        </w:rPr>
        <w:t>(</w:t>
      </w:r>
      <w:proofErr w:type="gramEnd"/>
      <w:r w:rsidRPr="003A6EBA">
        <w:rPr>
          <w:sz w:val="24"/>
          <w:szCs w:val="24"/>
          <w:lang w:eastAsia="fr-FR"/>
        </w:rPr>
        <w:t>1979), notamment la version traduite de Brunet (1995 ; cité par Weiss et Marmar ; 1997), en vue de diagnostiquer l’état de stress post traumatique (ESPT) chez chacun d’eux.</w:t>
      </w:r>
      <w:r>
        <w:rPr>
          <w:sz w:val="24"/>
          <w:szCs w:val="24"/>
          <w:lang w:eastAsia="fr-FR"/>
        </w:rPr>
        <w:t xml:space="preserve"> </w:t>
      </w:r>
      <w:r w:rsidRPr="003A6EBA">
        <w:rPr>
          <w:sz w:val="24"/>
          <w:szCs w:val="24"/>
          <w:lang w:eastAsia="fr-FR"/>
        </w:rPr>
        <w:t xml:space="preserve">Ce qui a permis de sélectionner et d’inclure seulement ceux ne présentant que des symptômes légers de l’ESPT ou pas du tout (score de 0 à 25 à l’échelle). Selon les analyses factorielles effectuées sur la version originale anglaise, cette échelle évaluerait deux dimensions à savoir : la présence de pensées intrusives dérangeantes </w:t>
      </w:r>
      <w:proofErr w:type="gramStart"/>
      <w:r w:rsidRPr="003A6EBA">
        <w:rPr>
          <w:sz w:val="24"/>
          <w:szCs w:val="24"/>
          <w:lang w:eastAsia="fr-FR"/>
        </w:rPr>
        <w:t>suite à</w:t>
      </w:r>
      <w:proofErr w:type="gramEnd"/>
      <w:r w:rsidRPr="003A6EBA">
        <w:rPr>
          <w:sz w:val="24"/>
          <w:szCs w:val="24"/>
          <w:lang w:eastAsia="fr-FR"/>
        </w:rPr>
        <w:t xml:space="preserve"> l’événement et la présence d’évitement cognitif et/ou comportemental.</w:t>
      </w:r>
      <w:r>
        <w:rPr>
          <w:sz w:val="24"/>
          <w:szCs w:val="24"/>
          <w:lang w:eastAsia="fr-FR"/>
        </w:rPr>
        <w:t xml:space="preserve"> </w:t>
      </w:r>
      <w:r w:rsidRPr="003A6EBA">
        <w:rPr>
          <w:sz w:val="24"/>
          <w:szCs w:val="24"/>
          <w:lang w:eastAsia="fr-FR"/>
        </w:rPr>
        <w:t xml:space="preserve">Cette échelle est composée de 15 items dont la cotation s’effectue sur une échelle de Likert en quatre points : 0 = Jamais, 1 = Rarement ; 2 = Quelque fois ; 3 = Souvent. Le résultat total est obtenu en comptabilisant le score (0, 1, 3 ou 5) à chacun des items (Min = 0 ; </w:t>
      </w:r>
      <w:proofErr w:type="spellStart"/>
      <w:r w:rsidRPr="003A6EBA">
        <w:rPr>
          <w:sz w:val="24"/>
          <w:szCs w:val="24"/>
          <w:lang w:eastAsia="fr-FR"/>
        </w:rPr>
        <w:t>Moy</w:t>
      </w:r>
      <w:proofErr w:type="spellEnd"/>
      <w:r w:rsidRPr="003A6EBA">
        <w:rPr>
          <w:sz w:val="24"/>
          <w:szCs w:val="24"/>
          <w:lang w:eastAsia="fr-FR"/>
        </w:rPr>
        <w:t xml:space="preserve">= 37,5 ; Max = 75). Les scores sont également calculés en fonction des sous-échelles : Intrusion dérangeantes (Items 1, 4, 5, 6, 10, 11, 14) ; Evitement (Items 2, 3, 7, 8, 9, 12, 13, 15). Est considéré comme présentant des symptômes sévères ou modérés de stress post traumatique, celui qui totalise un score supérieur à la moyenne à l’échelle (Score &gt; </w:t>
      </w:r>
      <w:proofErr w:type="spellStart"/>
      <w:r w:rsidRPr="003A6EBA">
        <w:rPr>
          <w:sz w:val="24"/>
          <w:szCs w:val="24"/>
          <w:lang w:eastAsia="fr-FR"/>
        </w:rPr>
        <w:t>Moy</w:t>
      </w:r>
      <w:proofErr w:type="spellEnd"/>
      <w:r w:rsidRPr="003A6EBA">
        <w:rPr>
          <w:sz w:val="24"/>
          <w:szCs w:val="24"/>
          <w:lang w:eastAsia="fr-FR"/>
        </w:rPr>
        <w:t>, (de 37,5 à 75)).</w:t>
      </w:r>
    </w:p>
    <w:p w14:paraId="774DA2EF" w14:textId="77777777" w:rsidR="00D80693" w:rsidRPr="003A6EBA" w:rsidRDefault="00D80693" w:rsidP="0016777C">
      <w:pPr>
        <w:spacing w:before="240"/>
        <w:ind w:left="-5"/>
        <w:jc w:val="both"/>
        <w:rPr>
          <w:sz w:val="24"/>
          <w:szCs w:val="24"/>
          <w:lang w:eastAsia="fr-FR"/>
        </w:rPr>
      </w:pPr>
      <w:r w:rsidRPr="003A6EBA">
        <w:rPr>
          <w:sz w:val="24"/>
          <w:szCs w:val="24"/>
          <w:lang w:eastAsia="fr-FR"/>
        </w:rPr>
        <w:t>Ensuite, le contrôle préalable des carnets de santé a permis d’exclure les adolescents déplacés internes souffrant des pathologies nutritionnelles, car ces dernières auraient des retentissements sur la vie sociale et affective de l’individu (</w:t>
      </w:r>
      <w:proofErr w:type="spellStart"/>
      <w:r w:rsidRPr="003A6EBA">
        <w:rPr>
          <w:sz w:val="24"/>
          <w:szCs w:val="24"/>
          <w:lang w:eastAsia="fr-FR"/>
        </w:rPr>
        <w:t>Barberger</w:t>
      </w:r>
      <w:proofErr w:type="spellEnd"/>
      <w:r w:rsidRPr="003A6EBA">
        <w:rPr>
          <w:sz w:val="24"/>
          <w:szCs w:val="24"/>
          <w:lang w:eastAsia="fr-FR"/>
        </w:rPr>
        <w:t xml:space="preserve">-Gateau &amp; Berr, 2004). </w:t>
      </w:r>
    </w:p>
    <w:p w14:paraId="787095E5" w14:textId="77777777" w:rsidR="00D80693" w:rsidRPr="003A6EBA" w:rsidRDefault="00D80693" w:rsidP="0016777C">
      <w:pPr>
        <w:spacing w:before="240"/>
        <w:ind w:left="-5"/>
        <w:jc w:val="both"/>
        <w:rPr>
          <w:sz w:val="24"/>
          <w:szCs w:val="24"/>
          <w:lang w:eastAsia="fr-FR"/>
        </w:rPr>
      </w:pPr>
      <w:r w:rsidRPr="003A6EBA">
        <w:rPr>
          <w:sz w:val="24"/>
          <w:szCs w:val="24"/>
          <w:lang w:eastAsia="fr-FR"/>
        </w:rPr>
        <w:t>Pour identifier le type d’émotions du</w:t>
      </w:r>
      <w:r>
        <w:rPr>
          <w:sz w:val="24"/>
          <w:szCs w:val="24"/>
          <w:lang w:eastAsia="fr-FR"/>
        </w:rPr>
        <w:t xml:space="preserve"> </w:t>
      </w:r>
      <w:r w:rsidRPr="003A6EBA">
        <w:rPr>
          <w:sz w:val="24"/>
          <w:szCs w:val="24"/>
          <w:lang w:eastAsia="fr-FR"/>
        </w:rPr>
        <w:t xml:space="preserve">sujet, un </w:t>
      </w:r>
      <w:r w:rsidRPr="003A6EBA">
        <w:rPr>
          <w:i/>
          <w:sz w:val="24"/>
          <w:szCs w:val="24"/>
          <w:lang w:eastAsia="fr-FR"/>
        </w:rPr>
        <w:t>« Questionnaire de la vie émotionnelle »</w:t>
      </w:r>
      <w:r>
        <w:rPr>
          <w:i/>
          <w:sz w:val="24"/>
          <w:szCs w:val="24"/>
          <w:lang w:eastAsia="fr-FR"/>
        </w:rPr>
        <w:t xml:space="preserve"> </w:t>
      </w:r>
      <w:r w:rsidRPr="003A6EBA">
        <w:rPr>
          <w:sz w:val="24"/>
          <w:szCs w:val="24"/>
          <w:lang w:eastAsia="fr-FR"/>
        </w:rPr>
        <w:t xml:space="preserve">a été conçu, en s’inspirant du questionnaire de la vie affective de </w:t>
      </w:r>
      <w:r w:rsidRPr="003A6EBA">
        <w:rPr>
          <w:bCs/>
          <w:sz w:val="24"/>
          <w:szCs w:val="24"/>
          <w:lang w:eastAsia="fr-FR"/>
        </w:rPr>
        <w:t xml:space="preserve">Schumacher </w:t>
      </w:r>
      <w:r w:rsidRPr="003A6EBA">
        <w:rPr>
          <w:sz w:val="24"/>
          <w:szCs w:val="24"/>
          <w:lang w:eastAsia="fr-FR"/>
        </w:rPr>
        <w:t xml:space="preserve">(2011). Constitué de 16 items formulés par des objectifs, il a permis de déterminer l’aptitude à développer au quotidien un type d’émotions par chaque adolescent déplacé interne, au cours des deux derniers mois. Organisés autour de deux types d’émotions, notamment positives et négatives, ces items sont cotés à l’aide d’une échelle de Likert à 7 niveaux : 1 = Rarement ou jamais ; 2 = Une fois par mois ; 3 = Plusieurs fois par mois ; 4 = Environ une fois par semaine ; 5 = Plusieurs fois par semaine ; 6 = Environ une fois par jour ; 7 = Plusieurs fois par jour. Les items rendant compte des émotions positives sont : items 2, 5, 6, 7, 10, 12, 16 et ceux correspondant aux émotions négatives sont : items 1, 3, 4, 8, 9, 11, 13, 14, 15. Cette échelle a été étalonnée avec un alpha de </w:t>
      </w:r>
      <w:proofErr w:type="spellStart"/>
      <w:r w:rsidRPr="003A6EBA">
        <w:rPr>
          <w:sz w:val="24"/>
          <w:szCs w:val="24"/>
          <w:lang w:eastAsia="fr-FR"/>
        </w:rPr>
        <w:t>chrombach</w:t>
      </w:r>
      <w:proofErr w:type="spellEnd"/>
      <w:r w:rsidRPr="003A6EBA">
        <w:rPr>
          <w:sz w:val="24"/>
          <w:szCs w:val="24"/>
          <w:lang w:eastAsia="fr-FR"/>
        </w:rPr>
        <w:t xml:space="preserve">  de α= 0,83. Pour chacun des deux types d’émotions, le résultat est obtenu et analysé en comptabilisant le score (1, 2, 3, 4, 5, 6 ou 7) à chacun des items des émotions positives (Min = 0 ; </w:t>
      </w:r>
      <w:proofErr w:type="spellStart"/>
      <w:r w:rsidRPr="003A6EBA">
        <w:rPr>
          <w:sz w:val="24"/>
          <w:szCs w:val="24"/>
          <w:lang w:eastAsia="fr-FR"/>
        </w:rPr>
        <w:t>Moy</w:t>
      </w:r>
      <w:proofErr w:type="spellEnd"/>
      <w:r w:rsidRPr="003A6EBA">
        <w:rPr>
          <w:sz w:val="24"/>
          <w:szCs w:val="24"/>
          <w:lang w:eastAsia="fr-FR"/>
        </w:rPr>
        <w:t xml:space="preserve">= 24,5 ; Max = 49) et des émotions négatives (Min = 0 ; </w:t>
      </w:r>
      <w:proofErr w:type="spellStart"/>
      <w:r w:rsidRPr="003A6EBA">
        <w:rPr>
          <w:sz w:val="24"/>
          <w:szCs w:val="24"/>
          <w:lang w:eastAsia="fr-FR"/>
        </w:rPr>
        <w:t>Moy</w:t>
      </w:r>
      <w:proofErr w:type="spellEnd"/>
      <w:r w:rsidRPr="003A6EBA">
        <w:rPr>
          <w:sz w:val="24"/>
          <w:szCs w:val="24"/>
          <w:lang w:eastAsia="fr-FR"/>
        </w:rPr>
        <w:t>= 31,5 ; Max = 63). Un résultat élevé indique selon la sous-échelle correspondante, que l’individu ressentirait plus fréquemment les émotions positives ou négatives. Ainsi, pour chaque sous-échelle, l’on doit calculer l’écart entre le score du participant et le score moyen.</w:t>
      </w:r>
    </w:p>
    <w:p w14:paraId="123361C3" w14:textId="77777777" w:rsidR="00D80693" w:rsidRPr="003A6EBA" w:rsidRDefault="00D80693" w:rsidP="0016777C">
      <w:pPr>
        <w:spacing w:before="240"/>
        <w:ind w:left="-5"/>
        <w:jc w:val="both"/>
        <w:rPr>
          <w:sz w:val="24"/>
          <w:szCs w:val="24"/>
          <w:lang w:eastAsia="fr-FR"/>
        </w:rPr>
      </w:pPr>
      <w:r w:rsidRPr="003A6EBA">
        <w:rPr>
          <w:sz w:val="24"/>
          <w:szCs w:val="24"/>
          <w:lang w:eastAsia="fr-FR"/>
        </w:rPr>
        <w:t>Pour identifier les stratégies de régulation émotionnelle du sujet,</w:t>
      </w:r>
      <w:r>
        <w:rPr>
          <w:sz w:val="24"/>
          <w:szCs w:val="24"/>
          <w:lang w:eastAsia="fr-FR"/>
        </w:rPr>
        <w:t xml:space="preserve"> </w:t>
      </w:r>
      <w:r w:rsidRPr="003A6EBA">
        <w:rPr>
          <w:sz w:val="24"/>
          <w:szCs w:val="24"/>
          <w:lang w:eastAsia="fr-FR"/>
        </w:rPr>
        <w:t>l</w:t>
      </w:r>
      <w:proofErr w:type="gramStart"/>
      <w:r w:rsidRPr="003A6EBA">
        <w:rPr>
          <w:sz w:val="24"/>
          <w:szCs w:val="24"/>
          <w:lang w:eastAsia="fr-FR"/>
        </w:rPr>
        <w:t>’</w:t>
      </w:r>
      <w:r w:rsidRPr="003A6EBA">
        <w:rPr>
          <w:i/>
          <w:sz w:val="24"/>
          <w:szCs w:val="24"/>
          <w:lang w:eastAsia="fr-FR"/>
        </w:rPr>
        <w:t>«</w:t>
      </w:r>
      <w:proofErr w:type="gramEnd"/>
      <w:r w:rsidRPr="003A6EBA">
        <w:rPr>
          <w:i/>
          <w:sz w:val="24"/>
          <w:szCs w:val="24"/>
          <w:lang w:eastAsia="fr-FR"/>
        </w:rPr>
        <w:t xml:space="preserve"> Emotion </w:t>
      </w:r>
      <w:proofErr w:type="spellStart"/>
      <w:r w:rsidRPr="003A6EBA">
        <w:rPr>
          <w:i/>
          <w:sz w:val="24"/>
          <w:szCs w:val="24"/>
          <w:lang w:eastAsia="fr-FR"/>
        </w:rPr>
        <w:t>Regulation</w:t>
      </w:r>
      <w:proofErr w:type="spellEnd"/>
      <w:r w:rsidRPr="003A6EBA">
        <w:rPr>
          <w:i/>
          <w:sz w:val="24"/>
          <w:szCs w:val="24"/>
          <w:lang w:eastAsia="fr-FR"/>
        </w:rPr>
        <w:t xml:space="preserve"> Questionnaire »</w:t>
      </w:r>
      <w:r>
        <w:rPr>
          <w:i/>
          <w:sz w:val="24"/>
          <w:szCs w:val="24"/>
          <w:lang w:eastAsia="fr-FR"/>
        </w:rPr>
        <w:t xml:space="preserve"> </w:t>
      </w:r>
      <w:r w:rsidRPr="003A6EBA">
        <w:rPr>
          <w:sz w:val="24"/>
          <w:szCs w:val="24"/>
          <w:lang w:eastAsia="fr-FR"/>
        </w:rPr>
        <w:t xml:space="preserve">(Gross &amp; John, 2003), notamment la version française de Christophe, Antoine, Leroy et Delelis (2009), est utilisé. Composé de 10 items, cette échelle permet d’étudier deux aspects de la vie émotionnelle : l’expérience émotionnelle et l’expression émotionnelle (Schumacher, 2011). Cette échelle comporte deux sous-échelles : la réévaluation et la suppression. Elle rend précisément compte de la tendance pour les individus à réguler leurs émotions de deux façons, soit par réévaluation, soit par suppression. Les participants devant répondre à chacun des items sur une échelle de </w:t>
      </w:r>
      <w:proofErr w:type="spellStart"/>
      <w:r w:rsidRPr="003A6EBA">
        <w:rPr>
          <w:sz w:val="24"/>
          <w:szCs w:val="24"/>
          <w:lang w:eastAsia="fr-FR"/>
        </w:rPr>
        <w:t>likert</w:t>
      </w:r>
      <w:proofErr w:type="spellEnd"/>
      <w:r w:rsidRPr="003A6EBA">
        <w:rPr>
          <w:sz w:val="24"/>
          <w:szCs w:val="24"/>
          <w:lang w:eastAsia="fr-FR"/>
        </w:rPr>
        <w:t xml:space="preserve"> à 7 niveaux : 1 = Fortement en désaccord ; 2 = En désaccord ; 3 = Légèrement en désaccord ; 4 = Ni en désaccord ni en accord ; 5 = Légèrement en accord ; 6 = En accord ; 7 = Fortement en accord. Les items 1, 3, 5, 7, 8 et 10 rendent compte des stratégies de régulation émotionnelle par réévaluation, et les items 2, 4, 6 et 9 rendent compte des stratégies de régulation par suppression (Gross &amp; John, 2003). Pour chaque facette, les scores sont obtenus et analysés en comptabilisant le score (1, 2, 3, 4, 5, 6 ou 7) à chacun des items de réévaluation (Min = 0 ; </w:t>
      </w:r>
      <w:proofErr w:type="spellStart"/>
      <w:r w:rsidRPr="003A6EBA">
        <w:rPr>
          <w:sz w:val="24"/>
          <w:szCs w:val="24"/>
          <w:lang w:eastAsia="fr-FR"/>
        </w:rPr>
        <w:t>Moy</w:t>
      </w:r>
      <w:proofErr w:type="spellEnd"/>
      <w:r w:rsidRPr="003A6EBA">
        <w:rPr>
          <w:sz w:val="24"/>
          <w:szCs w:val="24"/>
          <w:lang w:eastAsia="fr-FR"/>
        </w:rPr>
        <w:t xml:space="preserve">= 21 ; Max = 42) et de suppression (Min = 0 ; </w:t>
      </w:r>
      <w:proofErr w:type="spellStart"/>
      <w:r w:rsidRPr="003A6EBA">
        <w:rPr>
          <w:sz w:val="24"/>
          <w:szCs w:val="24"/>
          <w:lang w:eastAsia="fr-FR"/>
        </w:rPr>
        <w:t>Moy</w:t>
      </w:r>
      <w:proofErr w:type="spellEnd"/>
      <w:r w:rsidRPr="003A6EBA">
        <w:rPr>
          <w:sz w:val="24"/>
          <w:szCs w:val="24"/>
          <w:lang w:eastAsia="fr-FR"/>
        </w:rPr>
        <w:t>= 14 ; Max = 28). Un résultat élevé indique selon les cas, que l’individu adopterait plus la réévaluation ou la suppression comme stratégie de régulation émotionnelle. Ainsi, pour chaque sous-échelle, c’est-à-dire de réévaluation et de suppression, l’on doit calculer l’écart entre le score du participant et son score moyen. La sous-échelle où l’écart est plus élevé indique la stratégie la plus régulièrement adoptée par l’individu pour réguler ses émotions.</w:t>
      </w:r>
    </w:p>
    <w:p w14:paraId="583A3B26" w14:textId="77777777" w:rsidR="00D80693" w:rsidRPr="003A6EBA" w:rsidRDefault="00D80693" w:rsidP="0016777C">
      <w:pPr>
        <w:spacing w:before="240"/>
        <w:ind w:left="-5"/>
        <w:jc w:val="both"/>
        <w:rPr>
          <w:sz w:val="24"/>
          <w:szCs w:val="24"/>
          <w:lang w:eastAsia="fr-FR"/>
        </w:rPr>
      </w:pPr>
      <w:r w:rsidRPr="003A6EBA">
        <w:rPr>
          <w:sz w:val="24"/>
          <w:szCs w:val="24"/>
          <w:lang w:eastAsia="fr-FR"/>
        </w:rPr>
        <w:t>Pour identifier les capacités de coping cognitif du sujet,</w:t>
      </w:r>
      <w:r>
        <w:rPr>
          <w:sz w:val="24"/>
          <w:szCs w:val="24"/>
          <w:lang w:eastAsia="fr-FR"/>
        </w:rPr>
        <w:t xml:space="preserve"> </w:t>
      </w:r>
      <w:r w:rsidRPr="003A6EBA">
        <w:rPr>
          <w:sz w:val="24"/>
          <w:szCs w:val="24"/>
          <w:lang w:eastAsia="fr-FR"/>
        </w:rPr>
        <w:t xml:space="preserve">le </w:t>
      </w:r>
      <w:r w:rsidRPr="003A6EBA">
        <w:rPr>
          <w:i/>
          <w:sz w:val="24"/>
          <w:szCs w:val="24"/>
          <w:lang w:eastAsia="fr-FR"/>
        </w:rPr>
        <w:t>«</w:t>
      </w:r>
      <w:r w:rsidRPr="003A6EBA">
        <w:rPr>
          <w:sz w:val="24"/>
          <w:szCs w:val="24"/>
          <w:lang w:eastAsia="fr-FR"/>
        </w:rPr>
        <w:t> </w:t>
      </w:r>
      <w:r w:rsidRPr="003A6EBA">
        <w:rPr>
          <w:i/>
          <w:sz w:val="24"/>
          <w:szCs w:val="24"/>
          <w:lang w:eastAsia="fr-FR"/>
        </w:rPr>
        <w:t xml:space="preserve">Cognitive Emotion </w:t>
      </w:r>
      <w:proofErr w:type="spellStart"/>
      <w:r w:rsidRPr="003A6EBA">
        <w:rPr>
          <w:i/>
          <w:sz w:val="24"/>
          <w:szCs w:val="24"/>
          <w:lang w:eastAsia="fr-FR"/>
        </w:rPr>
        <w:t>Regulation</w:t>
      </w:r>
      <w:proofErr w:type="spellEnd"/>
      <w:r w:rsidRPr="003A6EBA">
        <w:rPr>
          <w:i/>
          <w:sz w:val="24"/>
          <w:szCs w:val="24"/>
          <w:lang w:eastAsia="fr-FR"/>
        </w:rPr>
        <w:t xml:space="preserve"> Questionnaire »</w:t>
      </w:r>
      <w:r>
        <w:rPr>
          <w:i/>
          <w:sz w:val="24"/>
          <w:szCs w:val="24"/>
          <w:lang w:eastAsia="fr-FR"/>
        </w:rPr>
        <w:t xml:space="preserve"> </w:t>
      </w:r>
      <w:r w:rsidRPr="003A6EBA">
        <w:rPr>
          <w:sz w:val="24"/>
          <w:szCs w:val="24"/>
          <w:lang w:eastAsia="fr-FR"/>
        </w:rPr>
        <w:t>(</w:t>
      </w:r>
      <w:proofErr w:type="spellStart"/>
      <w:r w:rsidRPr="003A6EBA">
        <w:rPr>
          <w:sz w:val="24"/>
          <w:szCs w:val="24"/>
          <w:lang w:eastAsia="fr-FR"/>
        </w:rPr>
        <w:t>Garnefsky</w:t>
      </w:r>
      <w:proofErr w:type="spellEnd"/>
      <w:r w:rsidRPr="003A6EBA">
        <w:rPr>
          <w:sz w:val="24"/>
          <w:szCs w:val="24"/>
          <w:lang w:eastAsia="fr-FR"/>
        </w:rPr>
        <w:t xml:space="preserve"> et </w:t>
      </w:r>
      <w:r w:rsidRPr="006474F7">
        <w:rPr>
          <w:i/>
          <w:sz w:val="24"/>
          <w:szCs w:val="24"/>
          <w:lang w:eastAsia="fr-FR"/>
        </w:rPr>
        <w:t>al</w:t>
      </w:r>
      <w:r w:rsidRPr="003A6EBA">
        <w:rPr>
          <w:sz w:val="24"/>
          <w:szCs w:val="24"/>
          <w:lang w:eastAsia="fr-FR"/>
        </w:rPr>
        <w:t xml:space="preserve">., 2001), notamment la version validée en français par Jermann, Van der Linden, </w:t>
      </w:r>
      <w:proofErr w:type="spellStart"/>
      <w:r w:rsidRPr="003A6EBA">
        <w:rPr>
          <w:sz w:val="24"/>
          <w:szCs w:val="24"/>
          <w:lang w:eastAsia="fr-FR"/>
        </w:rPr>
        <w:t>Acremont</w:t>
      </w:r>
      <w:proofErr w:type="spellEnd"/>
      <w:r w:rsidRPr="003A6EBA">
        <w:rPr>
          <w:sz w:val="24"/>
          <w:szCs w:val="24"/>
          <w:lang w:eastAsia="fr-FR"/>
        </w:rPr>
        <w:t xml:space="preserve"> et Zermatten (2006), est employé. C’est un questionnaire d’auto-évaluation de la régulation cognitive des émotions, ayant 36 items cotés à l’aide d’une échelle de Likert à 5 niveaux : 1 = Presque jamais ; 2 = Quelque fois ; 3 = La moitié du temps ; 4 = La plupart du temps ; 5 = Presque toujours. Il permet d’évaluer 9 stratégies de régulation cognitive des émotions, catégorisables en capacités de coping cognitif adaptatives et non adaptatif (Pool, 2011). Les stratégies correspondant aux capacités considérées comme adaptatives sont : l’Acceptation (items 2, 11, 20 et 29), la Centration positive (items 4, 13, 22 et 31), la Centration sur l’action (items 5, 14, 23 et 32), la Réévaluation positive (items 6, 15, 24 et 33), et la Mise en perspective (7, 16, 25 et 34). Les stratégies correspondant aux capacités considérées comme non adaptatives sont : le Blâme de soi (items 1, 10, 19 et 28), la Rumination (3, 12, 21 et 30), la Dramatisation (8, 17, 26 et 35) et le Blâme d’autrui (9, 18, 27 et 36). Au total, ce questionnaire permet d’obtenir 9 scores sur la fréquence d’utilisation de chaque stratégie et deux scores globaux concernant l’utilisation préférentielle des stratégies correspondant aux capacités de coping adaptatif ou non. Il serait important de noter que chaque sous-échelle ayant 4 items, la somme des scores 1, 2, 3, 4 ou 5 aux items donne un minimum de 0 et un maximum de 20. Ce faisant, le résultat global du coping adaptatif découle de la somme des scores aux sous-échelles d’acceptation, centration positive, centration sur l’action, réévaluation positive et mise en perspective (Min = 0 ; </w:t>
      </w:r>
      <w:proofErr w:type="spellStart"/>
      <w:r w:rsidRPr="003A6EBA">
        <w:rPr>
          <w:sz w:val="24"/>
          <w:szCs w:val="24"/>
          <w:lang w:eastAsia="fr-FR"/>
        </w:rPr>
        <w:t>Moy</w:t>
      </w:r>
      <w:proofErr w:type="spellEnd"/>
      <w:r w:rsidRPr="003A6EBA">
        <w:rPr>
          <w:sz w:val="24"/>
          <w:szCs w:val="24"/>
          <w:lang w:eastAsia="fr-FR"/>
        </w:rPr>
        <w:t xml:space="preserve">= 50 ; Max = 100). De plus, pour le coping non adaptatif découle de la somme des scores aux sous-échelles de blâme de soi, rumination, dramatisation, blâme d’autrui (Min = 0 ; </w:t>
      </w:r>
      <w:proofErr w:type="spellStart"/>
      <w:r w:rsidRPr="003A6EBA">
        <w:rPr>
          <w:sz w:val="24"/>
          <w:szCs w:val="24"/>
          <w:lang w:eastAsia="fr-FR"/>
        </w:rPr>
        <w:t>Moy</w:t>
      </w:r>
      <w:proofErr w:type="spellEnd"/>
      <w:r w:rsidRPr="003A6EBA">
        <w:rPr>
          <w:sz w:val="24"/>
          <w:szCs w:val="24"/>
          <w:lang w:eastAsia="fr-FR"/>
        </w:rPr>
        <w:t>= 40 ; Max = 80). Ainsi, pour chaque sous-échelle, notamment les sous-échelles de coping cognitif adaptatif et non adaptatif, l’on doit calculer l’écart entre le score du participant et le score moyen. La sous-échelle où l’écart est plus élevé indique la capacité de coping cognitif ou à faire face aux évènements désagréables ou dangereux du sujet.</w:t>
      </w:r>
    </w:p>
    <w:p w14:paraId="4CFBFB51" w14:textId="77777777" w:rsidR="00D80693" w:rsidRPr="003A6EBA" w:rsidRDefault="00D80693" w:rsidP="0016777C">
      <w:pPr>
        <w:spacing w:before="240"/>
        <w:ind w:left="-5"/>
        <w:jc w:val="both"/>
        <w:rPr>
          <w:sz w:val="24"/>
          <w:szCs w:val="24"/>
          <w:lang w:eastAsia="fr-FR"/>
        </w:rPr>
      </w:pPr>
      <w:r w:rsidRPr="003A6EBA">
        <w:rPr>
          <w:sz w:val="24"/>
          <w:szCs w:val="24"/>
          <w:lang w:eastAsia="fr-FR"/>
        </w:rPr>
        <w:t>Puis, pour chaque hypothèse de recherche, l’on a formé deux groupes correspondant aux modalités de leurs variables indépendantes. C’est-à-dire : un groupe pour les émotions fréquemment positives et un autre pour les émotions fréquemment négatives (Hypothèse 1) ; un groupe pour les stratégies de régulation émotionnelle par réévaluation et un autre pour les stratégies de régulation émotionnelle par suppression (hypothèse 2) ; un groupe pour les capacités de coping cognitif adaptatif et un autre pour les capacités de coping cognitif non adaptatif (hypothèse 3)</w:t>
      </w:r>
      <w:r w:rsidRPr="003A6EBA">
        <w:rPr>
          <w:bCs/>
          <w:sz w:val="24"/>
          <w:szCs w:val="24"/>
          <w:lang w:eastAsia="fr-FR"/>
        </w:rPr>
        <w:t>.</w:t>
      </w:r>
    </w:p>
    <w:p w14:paraId="79E53C72" w14:textId="77777777" w:rsidR="00D80693" w:rsidRPr="003A6EBA" w:rsidRDefault="00D80693" w:rsidP="0016777C">
      <w:pPr>
        <w:spacing w:before="240"/>
        <w:jc w:val="both"/>
        <w:rPr>
          <w:sz w:val="24"/>
          <w:szCs w:val="24"/>
          <w:lang w:eastAsia="fr-FR"/>
        </w:rPr>
      </w:pPr>
      <w:r w:rsidRPr="003A6EBA">
        <w:rPr>
          <w:sz w:val="24"/>
          <w:szCs w:val="24"/>
          <w:lang w:eastAsia="fr-FR"/>
        </w:rPr>
        <w:t xml:space="preserve">Ensuite, </w:t>
      </w:r>
      <w:r w:rsidRPr="003A6EBA">
        <w:rPr>
          <w:bCs/>
          <w:iCs/>
          <w:sz w:val="24"/>
          <w:szCs w:val="24"/>
          <w:lang w:eastAsia="fr-FR"/>
        </w:rPr>
        <w:t xml:space="preserve">un </w:t>
      </w:r>
      <w:r w:rsidRPr="003A6EBA">
        <w:rPr>
          <w:sz w:val="24"/>
          <w:szCs w:val="24"/>
          <w:lang w:eastAsia="fr-FR"/>
        </w:rPr>
        <w:t xml:space="preserve">questionnaire sur les habiletés sociales (Fortin, 2009), notamment la traduction francophone du </w:t>
      </w:r>
      <w:proofErr w:type="spellStart"/>
      <w:r w:rsidRPr="003A6EBA">
        <w:rPr>
          <w:i/>
          <w:iCs/>
          <w:sz w:val="24"/>
          <w:szCs w:val="24"/>
          <w:lang w:eastAsia="fr-FR"/>
        </w:rPr>
        <w:t>SocialSkills</w:t>
      </w:r>
      <w:proofErr w:type="spellEnd"/>
      <w:r w:rsidRPr="003A6EBA">
        <w:rPr>
          <w:i/>
          <w:iCs/>
          <w:sz w:val="24"/>
          <w:szCs w:val="24"/>
          <w:lang w:eastAsia="fr-FR"/>
        </w:rPr>
        <w:t xml:space="preserve"> </w:t>
      </w:r>
      <w:proofErr w:type="spellStart"/>
      <w:r w:rsidRPr="003A6EBA">
        <w:rPr>
          <w:i/>
          <w:iCs/>
          <w:sz w:val="24"/>
          <w:szCs w:val="24"/>
          <w:lang w:eastAsia="fr-FR"/>
        </w:rPr>
        <w:t>Raling</w:t>
      </w:r>
      <w:proofErr w:type="spellEnd"/>
      <w:r w:rsidRPr="003A6EBA">
        <w:rPr>
          <w:i/>
          <w:iCs/>
          <w:sz w:val="24"/>
          <w:szCs w:val="24"/>
          <w:lang w:eastAsia="fr-FR"/>
        </w:rPr>
        <w:t xml:space="preserve"> </w:t>
      </w:r>
      <w:proofErr w:type="spellStart"/>
      <w:r w:rsidRPr="003A6EBA">
        <w:rPr>
          <w:i/>
          <w:iCs/>
          <w:sz w:val="24"/>
          <w:szCs w:val="24"/>
          <w:lang w:eastAsia="fr-FR"/>
        </w:rPr>
        <w:t>Systen</w:t>
      </w:r>
      <w:proofErr w:type="spellEnd"/>
      <w:r w:rsidRPr="003A6EBA">
        <w:rPr>
          <w:i/>
          <w:iCs/>
          <w:sz w:val="24"/>
          <w:szCs w:val="24"/>
          <w:lang w:eastAsia="fr-FR"/>
        </w:rPr>
        <w:t xml:space="preserve"> </w:t>
      </w:r>
      <w:r w:rsidRPr="003A6EBA">
        <w:rPr>
          <w:sz w:val="24"/>
          <w:szCs w:val="24"/>
          <w:lang w:eastAsia="fr-FR"/>
        </w:rPr>
        <w:t xml:space="preserve">(SSRS) de </w:t>
      </w:r>
      <w:proofErr w:type="spellStart"/>
      <w:r w:rsidRPr="003A6EBA">
        <w:rPr>
          <w:sz w:val="24"/>
          <w:szCs w:val="24"/>
          <w:lang w:eastAsia="fr-FR"/>
        </w:rPr>
        <w:t>Greshan</w:t>
      </w:r>
      <w:proofErr w:type="spellEnd"/>
      <w:r w:rsidRPr="003A6EBA">
        <w:rPr>
          <w:sz w:val="24"/>
          <w:szCs w:val="24"/>
          <w:lang w:eastAsia="fr-FR"/>
        </w:rPr>
        <w:t xml:space="preserve"> et Elliot (1990), est utilisée pour décrire à partir des scores obtenus dans chaque dimension de l’échelle, les capacités d’adaptation sociale des adolescents déplacés internes qui constituent chacun des groupes expérimentaux formés.</w:t>
      </w:r>
      <w:r>
        <w:rPr>
          <w:sz w:val="24"/>
          <w:szCs w:val="24"/>
          <w:lang w:eastAsia="fr-FR"/>
        </w:rPr>
        <w:t xml:space="preserve"> </w:t>
      </w:r>
      <w:r w:rsidRPr="003A6EBA">
        <w:rPr>
          <w:sz w:val="24"/>
          <w:szCs w:val="24"/>
          <w:lang w:eastAsia="fr-FR"/>
        </w:rPr>
        <w:t>C’est un questionnaire sur les habiletés sociales qui évalue les compétences socio-adaptatives, ainsi que les troubles du comportement ou d’adaptation sociale intériorisés et extériorisés. Dans une étude auprès de 47 000 jeunes américains âgés de 3 à 18 ans, le SSRS a démontré une bonne fidélité (test-</w:t>
      </w:r>
      <w:proofErr w:type="spellStart"/>
      <w:r w:rsidRPr="003A6EBA">
        <w:rPr>
          <w:sz w:val="24"/>
          <w:szCs w:val="24"/>
          <w:lang w:eastAsia="fr-FR"/>
        </w:rPr>
        <w:t>retest</w:t>
      </w:r>
      <w:proofErr w:type="spellEnd"/>
      <w:r w:rsidRPr="003A6EBA">
        <w:rPr>
          <w:sz w:val="24"/>
          <w:szCs w:val="24"/>
          <w:lang w:eastAsia="fr-FR"/>
        </w:rPr>
        <w:t xml:space="preserve"> : </w:t>
      </w:r>
      <w:r>
        <w:rPr>
          <w:sz w:val="24"/>
          <w:szCs w:val="24"/>
          <w:lang w:eastAsia="fr-FR"/>
        </w:rPr>
        <w:t>0,</w:t>
      </w:r>
      <w:r w:rsidRPr="003A6EBA">
        <w:rPr>
          <w:sz w:val="24"/>
          <w:szCs w:val="24"/>
          <w:lang w:eastAsia="fr-FR"/>
        </w:rPr>
        <w:t>90 ; coefficient alpha :</w:t>
      </w:r>
      <w:r>
        <w:rPr>
          <w:sz w:val="24"/>
          <w:szCs w:val="24"/>
          <w:lang w:eastAsia="fr-FR"/>
        </w:rPr>
        <w:t xml:space="preserve"> 0,</w:t>
      </w:r>
      <w:r w:rsidRPr="003A6EBA">
        <w:rPr>
          <w:sz w:val="24"/>
          <w:szCs w:val="24"/>
          <w:lang w:eastAsia="fr-FR"/>
        </w:rPr>
        <w:t xml:space="preserve">90). Les mêmes résultats se retrouvent dans la version québécoise (Fortin, 2009). Lors d’une étude auprès de 810 élèves du secondaire, le questionnaire a obtenu des coefficients de </w:t>
      </w:r>
      <w:r>
        <w:rPr>
          <w:sz w:val="24"/>
          <w:szCs w:val="24"/>
          <w:lang w:eastAsia="fr-FR"/>
        </w:rPr>
        <w:t>consistance interne variant de 0,79 à 0,</w:t>
      </w:r>
      <w:r w:rsidRPr="003A6EBA">
        <w:rPr>
          <w:sz w:val="24"/>
          <w:szCs w:val="24"/>
          <w:lang w:eastAsia="fr-FR"/>
        </w:rPr>
        <w:t>92 (Fortin 2009).</w:t>
      </w:r>
    </w:p>
    <w:p w14:paraId="6A4CE270" w14:textId="5F09123C" w:rsidR="00D80693" w:rsidRPr="003A6EBA" w:rsidRDefault="00D80693" w:rsidP="00D80693">
      <w:pPr>
        <w:spacing w:before="240"/>
        <w:ind w:left="-15" w:firstLine="10"/>
        <w:jc w:val="both"/>
        <w:rPr>
          <w:sz w:val="24"/>
          <w:szCs w:val="24"/>
          <w:lang w:eastAsia="fr-FR"/>
        </w:rPr>
      </w:pPr>
      <w:r w:rsidRPr="003A6EBA">
        <w:rPr>
          <w:sz w:val="24"/>
          <w:szCs w:val="24"/>
          <w:lang w:eastAsia="fr-FR"/>
        </w:rPr>
        <w:tab/>
        <w:t>Dans cette étude, le SSRS est utilisé pour décrire les capacités d’adaptation sociale des adolescents réfugiés, afin de les classer dans deux catégories : (a)adolescents socialement adaptés ou n'ayant pas de trouble du comportement (ASA</w:t>
      </w:r>
      <w:r w:rsidRPr="003A6EBA">
        <w:rPr>
          <w:i/>
          <w:iCs/>
          <w:sz w:val="24"/>
          <w:szCs w:val="24"/>
          <w:lang w:eastAsia="fr-FR"/>
        </w:rPr>
        <w:t xml:space="preserve">) </w:t>
      </w:r>
      <w:r w:rsidRPr="003A6EBA">
        <w:rPr>
          <w:sz w:val="24"/>
          <w:szCs w:val="24"/>
          <w:lang w:eastAsia="fr-FR"/>
        </w:rPr>
        <w:t xml:space="preserve">et (b) adolescents socialement désadaptés ou en troubles du comportement </w:t>
      </w:r>
      <w:r w:rsidRPr="003A6EBA">
        <w:rPr>
          <w:i/>
          <w:iCs/>
          <w:sz w:val="24"/>
          <w:szCs w:val="24"/>
          <w:lang w:eastAsia="fr-FR"/>
        </w:rPr>
        <w:t>(ASI)</w:t>
      </w:r>
      <w:r w:rsidRPr="003A6EBA">
        <w:rPr>
          <w:iCs/>
          <w:sz w:val="24"/>
          <w:szCs w:val="24"/>
          <w:lang w:eastAsia="fr-FR"/>
        </w:rPr>
        <w:t>, la désadaptation étant un critère de psychopathologie.</w:t>
      </w:r>
      <w:r w:rsidRPr="003A6EBA">
        <w:rPr>
          <w:sz w:val="24"/>
          <w:szCs w:val="24"/>
          <w:lang w:eastAsia="fr-FR"/>
        </w:rPr>
        <w:t xml:space="preserve"> Constitué de 38 items, ce questionnaire s’adresse aux sujets adolescents, ainsi qu’aux adultes présentant un trouble de comportement. Ce questionnaire évalue plusieurs domaines fréquemment considérés dans les échelles de fonctionnement social ou d’autonomie sociale, notamment les tâches de la vie quotidienne, la gestion, la santé générale, les relations familiales et extrafamiliales, la participation à la vie communautaire, la communication, l’autonomie dans la vie quotidienne et la socialisation. </w:t>
      </w:r>
    </w:p>
    <w:p w14:paraId="2297DACD" w14:textId="7A0D6049" w:rsidR="00D80693" w:rsidRPr="003A6EBA" w:rsidRDefault="00D80693" w:rsidP="00D80693">
      <w:pPr>
        <w:spacing w:before="240"/>
        <w:ind w:left="-15" w:firstLine="10"/>
        <w:jc w:val="both"/>
        <w:rPr>
          <w:sz w:val="24"/>
          <w:szCs w:val="24"/>
          <w:lang w:eastAsia="fr-FR"/>
        </w:rPr>
      </w:pPr>
      <w:r w:rsidRPr="003A6EBA">
        <w:rPr>
          <w:sz w:val="24"/>
          <w:szCs w:val="24"/>
          <w:lang w:eastAsia="fr-FR"/>
        </w:rPr>
        <w:tab/>
        <w:t xml:space="preserve">Il s’agit d’un auto-questionnaire dont chaque question se rapporte à la fois à la fréquence d’un comportement socio-adaptatif chez un individu et l’important de ce comportement dans sa relation avec les autres. Dans ces deux dimensions, chaque item est coté sur une échelle de Likert à 3 niveaux (0 point, 1 point ou 2 ponts). Pour la fréquence, les possibilités de réponse sont : 0 = Jamais, 1 = Parfois, 2 = Très souvent. Pour l’importance, elles sont : 0 = Pas important, 1 = Important, 2= Très important. Ainsi, le SSRS permet de calculer 3 indices définis </w:t>
      </w:r>
      <w:r w:rsidRPr="003A6EBA">
        <w:rPr>
          <w:iCs/>
          <w:sz w:val="24"/>
          <w:szCs w:val="24"/>
          <w:lang w:eastAsia="fr-FR"/>
        </w:rPr>
        <w:t>a priori</w:t>
      </w:r>
      <w:r w:rsidRPr="003A6EBA">
        <w:rPr>
          <w:sz w:val="24"/>
          <w:szCs w:val="24"/>
          <w:lang w:eastAsia="fr-FR"/>
        </w:rPr>
        <w:t xml:space="preserve">. L’indice ‘‘F’’ représente la somme des 39 items fréquence (Min = 0 ; </w:t>
      </w:r>
      <w:proofErr w:type="spellStart"/>
      <w:r w:rsidRPr="003A6EBA">
        <w:rPr>
          <w:sz w:val="24"/>
          <w:szCs w:val="24"/>
          <w:lang w:eastAsia="fr-FR"/>
        </w:rPr>
        <w:t>Moy</w:t>
      </w:r>
      <w:proofErr w:type="spellEnd"/>
      <w:r w:rsidRPr="003A6EBA">
        <w:rPr>
          <w:sz w:val="24"/>
          <w:szCs w:val="24"/>
          <w:lang w:eastAsia="fr-FR"/>
        </w:rPr>
        <w:t xml:space="preserve"> = 39 ; Max = 78). L’indice ‘‘I’’ correspond à la somme des 39 items importance (Min = 0 ; </w:t>
      </w:r>
      <w:proofErr w:type="spellStart"/>
      <w:r w:rsidRPr="003A6EBA">
        <w:rPr>
          <w:sz w:val="24"/>
          <w:szCs w:val="24"/>
          <w:lang w:eastAsia="fr-FR"/>
        </w:rPr>
        <w:t>Moy</w:t>
      </w:r>
      <w:proofErr w:type="spellEnd"/>
      <w:r w:rsidRPr="003A6EBA">
        <w:rPr>
          <w:sz w:val="24"/>
          <w:szCs w:val="24"/>
          <w:lang w:eastAsia="fr-FR"/>
        </w:rPr>
        <w:t xml:space="preserve"> = 39 ; Max = 78). Enfin, il est possible d’obtenir un indice global ‘‘G’’ qui représente la somme des indices ‘‘F’’ et ‘‘I’’ (Min = 0 ; </w:t>
      </w:r>
      <w:proofErr w:type="spellStart"/>
      <w:r w:rsidRPr="003A6EBA">
        <w:rPr>
          <w:sz w:val="24"/>
          <w:szCs w:val="24"/>
          <w:lang w:eastAsia="fr-FR"/>
        </w:rPr>
        <w:t>Moy</w:t>
      </w:r>
      <w:proofErr w:type="spellEnd"/>
      <w:r w:rsidRPr="003A6EBA">
        <w:rPr>
          <w:sz w:val="24"/>
          <w:szCs w:val="24"/>
          <w:lang w:eastAsia="fr-FR"/>
        </w:rPr>
        <w:t xml:space="preserve"> = 78 ; Max = 156). Plus le score est élevé, meilleures sont les compétences socio-adaptatives du sujet. Un score inférieur à la moyenne pourrait indiquer une mauvaise capacité d’adaptation sociale chez le sujet (Score &lt; </w:t>
      </w:r>
      <w:proofErr w:type="spellStart"/>
      <w:r w:rsidRPr="003A6EBA">
        <w:rPr>
          <w:sz w:val="24"/>
          <w:szCs w:val="24"/>
          <w:lang w:eastAsia="fr-FR"/>
        </w:rPr>
        <w:t>Moy</w:t>
      </w:r>
      <w:proofErr w:type="spellEnd"/>
      <w:r w:rsidRPr="003A6EBA">
        <w:rPr>
          <w:sz w:val="24"/>
          <w:szCs w:val="24"/>
          <w:lang w:eastAsia="fr-FR"/>
        </w:rPr>
        <w:t xml:space="preserve"> à l’échelle (de 0 à 78)), tandis qu’un score supérieur à cette moyenne pourrait en indiquer une bonne capacité (Score &gt; </w:t>
      </w:r>
      <w:proofErr w:type="spellStart"/>
      <w:r w:rsidRPr="003A6EBA">
        <w:rPr>
          <w:sz w:val="24"/>
          <w:szCs w:val="24"/>
          <w:lang w:eastAsia="fr-FR"/>
        </w:rPr>
        <w:t>Moy</w:t>
      </w:r>
      <w:proofErr w:type="spellEnd"/>
      <w:r w:rsidRPr="003A6EBA">
        <w:rPr>
          <w:sz w:val="24"/>
          <w:szCs w:val="24"/>
          <w:lang w:eastAsia="fr-FR"/>
        </w:rPr>
        <w:t xml:space="preserve"> à l’échelle (de 78 à 156)).</w:t>
      </w:r>
    </w:p>
    <w:p w14:paraId="36B1A478" w14:textId="77777777" w:rsidR="00D80693" w:rsidRPr="003A6EBA" w:rsidRDefault="00D80693" w:rsidP="0016777C">
      <w:pPr>
        <w:spacing w:before="240"/>
        <w:ind w:left="-15"/>
        <w:jc w:val="both"/>
        <w:rPr>
          <w:sz w:val="24"/>
          <w:szCs w:val="24"/>
          <w:lang w:eastAsia="fr-FR"/>
        </w:rPr>
      </w:pPr>
      <w:r w:rsidRPr="003A6EBA">
        <w:rPr>
          <w:sz w:val="24"/>
          <w:szCs w:val="24"/>
          <w:lang w:eastAsia="fr-FR"/>
        </w:rPr>
        <w:t xml:space="preserve">Les 39 questions sont formulées en termes simples </w:t>
      </w:r>
      <w:proofErr w:type="gramStart"/>
      <w:r w:rsidRPr="003A6EBA">
        <w:rPr>
          <w:sz w:val="24"/>
          <w:szCs w:val="24"/>
          <w:lang w:eastAsia="fr-FR"/>
        </w:rPr>
        <w:t>de sorte à ce</w:t>
      </w:r>
      <w:proofErr w:type="gramEnd"/>
      <w:r w:rsidRPr="003A6EBA">
        <w:rPr>
          <w:sz w:val="24"/>
          <w:szCs w:val="24"/>
          <w:lang w:eastAsia="fr-FR"/>
        </w:rPr>
        <w:t xml:space="preserve"> qu’elles soient compréhensibles pour des personnes ayant des connaissances de base de la langue française, et que les sujets fatigables ou encore sévèrement perturbés (hospitalisés ou non) puissent y répondre (Fortin, 2009)</w:t>
      </w:r>
    </w:p>
    <w:p w14:paraId="57FF59B2" w14:textId="77777777" w:rsidR="00D80693" w:rsidRPr="003A6EBA" w:rsidRDefault="00D80693" w:rsidP="0016777C">
      <w:pPr>
        <w:spacing w:before="240"/>
        <w:ind w:left="-5"/>
        <w:jc w:val="both"/>
        <w:rPr>
          <w:bCs/>
          <w:iCs/>
          <w:sz w:val="24"/>
          <w:szCs w:val="24"/>
          <w:lang w:eastAsia="fr-FR"/>
        </w:rPr>
      </w:pPr>
      <w:r w:rsidRPr="003A6EBA">
        <w:rPr>
          <w:bCs/>
          <w:iCs/>
          <w:sz w:val="24"/>
          <w:szCs w:val="24"/>
          <w:lang w:eastAsia="fr-FR"/>
        </w:rPr>
        <w:t xml:space="preserve">Afin de vérifier la fiabilité psychométrique de chacune des échelles de l’étude et de construire le Questionnaire de Vie Emotionnelle utilisé dans cette recherche, l’on a fait un </w:t>
      </w:r>
      <w:r w:rsidRPr="003A6EBA">
        <w:rPr>
          <w:sz w:val="24"/>
          <w:szCs w:val="24"/>
          <w:lang w:eastAsia="fr-FR"/>
        </w:rPr>
        <w:t xml:space="preserve">test préalable auprès des personnes proches des unités d’analyse cibles de cette recherche, notamment 30 adolescents réfugiés dans l’arrondissement de </w:t>
      </w:r>
      <w:proofErr w:type="spellStart"/>
      <w:r w:rsidRPr="003A6EBA">
        <w:rPr>
          <w:sz w:val="24"/>
          <w:szCs w:val="24"/>
          <w:lang w:eastAsia="fr-FR"/>
        </w:rPr>
        <w:t>Ngoura</w:t>
      </w:r>
      <w:proofErr w:type="spellEnd"/>
      <w:r w:rsidRPr="003A6EBA">
        <w:rPr>
          <w:sz w:val="24"/>
          <w:szCs w:val="24"/>
          <w:lang w:eastAsia="fr-FR"/>
        </w:rPr>
        <w:t xml:space="preserve">, afin de juger de leur sensibilité, fidélités et validité. A la suite de ce pré-test, </w:t>
      </w:r>
      <w:r w:rsidRPr="003A6EBA">
        <w:rPr>
          <w:bCs/>
          <w:iCs/>
          <w:sz w:val="24"/>
          <w:szCs w:val="24"/>
          <w:lang w:eastAsia="fr-FR"/>
        </w:rPr>
        <w:t xml:space="preserve">une analyse de la fiabilité psychométrique a été faite sur </w:t>
      </w:r>
      <w:r w:rsidRPr="003A6EBA">
        <w:rPr>
          <w:sz w:val="24"/>
          <w:szCs w:val="24"/>
          <w:lang w:eastAsia="fr-FR"/>
        </w:rPr>
        <w:t xml:space="preserve">le Questionnaire de la Vie Affective de </w:t>
      </w:r>
      <w:r w:rsidRPr="003A6EBA">
        <w:rPr>
          <w:bCs/>
          <w:sz w:val="24"/>
          <w:szCs w:val="24"/>
          <w:lang w:eastAsia="fr-FR"/>
        </w:rPr>
        <w:t xml:space="preserve">Schumacher </w:t>
      </w:r>
      <w:r w:rsidRPr="003A6EBA">
        <w:rPr>
          <w:sz w:val="24"/>
          <w:szCs w:val="24"/>
          <w:lang w:eastAsia="fr-FR"/>
        </w:rPr>
        <w:t>(2011)</w:t>
      </w:r>
      <w:r w:rsidRPr="003A6EBA">
        <w:rPr>
          <w:bCs/>
          <w:iCs/>
          <w:sz w:val="24"/>
          <w:szCs w:val="24"/>
          <w:lang w:eastAsia="fr-FR"/>
        </w:rPr>
        <w:t xml:space="preserve">, à travers la détermination de l’alpha de </w:t>
      </w:r>
      <w:proofErr w:type="spellStart"/>
      <w:r w:rsidRPr="003A6EBA">
        <w:rPr>
          <w:bCs/>
          <w:iCs/>
          <w:sz w:val="24"/>
          <w:szCs w:val="24"/>
          <w:lang w:eastAsia="fr-FR"/>
        </w:rPr>
        <w:t>chrombach</w:t>
      </w:r>
      <w:proofErr w:type="spellEnd"/>
      <w:r w:rsidRPr="003A6EBA">
        <w:rPr>
          <w:bCs/>
          <w:iCs/>
          <w:sz w:val="24"/>
          <w:szCs w:val="24"/>
          <w:lang w:eastAsia="fr-FR"/>
        </w:rPr>
        <w:t xml:space="preserve"> (α) pour chacun de ces items, avec le logiciel </w:t>
      </w:r>
      <w:r w:rsidRPr="003A6EBA">
        <w:rPr>
          <w:bCs/>
          <w:i/>
          <w:iCs/>
          <w:sz w:val="24"/>
          <w:szCs w:val="24"/>
          <w:lang w:eastAsia="fr-FR"/>
        </w:rPr>
        <w:t>« </w:t>
      </w:r>
      <w:proofErr w:type="spellStart"/>
      <w:r w:rsidRPr="003A6EBA">
        <w:rPr>
          <w:bCs/>
          <w:i/>
          <w:iCs/>
          <w:sz w:val="24"/>
          <w:szCs w:val="24"/>
          <w:lang w:eastAsia="fr-FR"/>
        </w:rPr>
        <w:t>Statistical</w:t>
      </w:r>
      <w:proofErr w:type="spellEnd"/>
      <w:r w:rsidRPr="003A6EBA">
        <w:rPr>
          <w:bCs/>
          <w:i/>
          <w:iCs/>
          <w:sz w:val="24"/>
          <w:szCs w:val="24"/>
          <w:lang w:eastAsia="fr-FR"/>
        </w:rPr>
        <w:t xml:space="preserve"> Package for Social Sciences (SPSS) »</w:t>
      </w:r>
      <w:r w:rsidRPr="003A6EBA">
        <w:rPr>
          <w:bCs/>
          <w:iCs/>
          <w:sz w:val="24"/>
          <w:szCs w:val="24"/>
          <w:lang w:eastAsia="fr-FR"/>
        </w:rPr>
        <w:t xml:space="preserve">. Après cet exercice, quelques items ont été révisés ou totalement supprimés pour constituer le Questionnaire de la Vie Emotionnelle en milieu scolaire (donc </w:t>
      </w:r>
      <w:r w:rsidRPr="003A6EBA">
        <w:rPr>
          <w:sz w:val="24"/>
          <w:szCs w:val="24"/>
          <w:lang w:eastAsia="fr-FR"/>
        </w:rPr>
        <w:t>α= 0,83 à l’ensemble de l’échelle</w:t>
      </w:r>
      <w:r w:rsidRPr="003A6EBA">
        <w:rPr>
          <w:bCs/>
          <w:iCs/>
          <w:sz w:val="24"/>
          <w:szCs w:val="24"/>
          <w:lang w:eastAsia="fr-FR"/>
        </w:rPr>
        <w:t xml:space="preserve">). Pour ce qui est des autres échelles, elles ont été administrées dans leurs versions originales sans modification aucune. </w:t>
      </w:r>
    </w:p>
    <w:p w14:paraId="7A20F427" w14:textId="0EB2D836" w:rsidR="00D80693" w:rsidRPr="003A6EBA" w:rsidRDefault="00D80693" w:rsidP="00D80693">
      <w:pPr>
        <w:pStyle w:val="Paragraphedeliste"/>
        <w:widowControl/>
        <w:numPr>
          <w:ilvl w:val="0"/>
          <w:numId w:val="188"/>
        </w:numPr>
        <w:autoSpaceDE/>
        <w:autoSpaceDN/>
        <w:spacing w:before="240"/>
        <w:contextualSpacing/>
        <w:rPr>
          <w:b/>
          <w:bCs/>
          <w:sz w:val="28"/>
          <w:szCs w:val="28"/>
          <w:lang w:eastAsia="fr-FR"/>
        </w:rPr>
      </w:pPr>
      <w:r w:rsidRPr="003A6EBA">
        <w:rPr>
          <w:b/>
          <w:bCs/>
          <w:sz w:val="28"/>
          <w:szCs w:val="28"/>
          <w:lang w:eastAsia="fr-FR"/>
        </w:rPr>
        <w:t>Résultat</w:t>
      </w:r>
      <w:r w:rsidR="0016777C">
        <w:rPr>
          <w:b/>
          <w:bCs/>
          <w:sz w:val="28"/>
          <w:szCs w:val="28"/>
          <w:lang w:eastAsia="fr-FR"/>
        </w:rPr>
        <w:t>s</w:t>
      </w:r>
    </w:p>
    <w:p w14:paraId="5D436AFC" w14:textId="77777777" w:rsidR="00D80693" w:rsidRPr="003A6EBA" w:rsidRDefault="00D80693" w:rsidP="0016777C">
      <w:pPr>
        <w:jc w:val="both"/>
        <w:rPr>
          <w:sz w:val="24"/>
          <w:szCs w:val="24"/>
          <w:lang w:eastAsia="fr-FR"/>
        </w:rPr>
      </w:pPr>
      <w:r w:rsidRPr="003A6EBA">
        <w:rPr>
          <w:sz w:val="24"/>
          <w:szCs w:val="24"/>
          <w:lang w:eastAsia="fr-FR"/>
        </w:rPr>
        <w:t xml:space="preserve">Sur la base des données collectées à partir des différentes échelles, un masque de saisie a été élaboré sur le logiciel </w:t>
      </w:r>
      <w:proofErr w:type="spellStart"/>
      <w:r w:rsidRPr="003A6EBA">
        <w:rPr>
          <w:sz w:val="24"/>
          <w:szCs w:val="24"/>
          <w:lang w:eastAsia="fr-FR"/>
        </w:rPr>
        <w:t>Epidata</w:t>
      </w:r>
      <w:proofErr w:type="spellEnd"/>
      <w:r w:rsidRPr="003A6EBA">
        <w:rPr>
          <w:sz w:val="24"/>
          <w:szCs w:val="24"/>
          <w:lang w:eastAsia="fr-FR"/>
        </w:rPr>
        <w:t>. A la suite de la saisie, les données ont été transférées sur le logiciel statistique SPSS 23 (</w:t>
      </w:r>
      <w:proofErr w:type="spellStart"/>
      <w:r w:rsidRPr="003A6EBA">
        <w:rPr>
          <w:sz w:val="24"/>
          <w:szCs w:val="24"/>
          <w:lang w:eastAsia="fr-FR"/>
        </w:rPr>
        <w:t>Statistical</w:t>
      </w:r>
      <w:proofErr w:type="spellEnd"/>
      <w:r w:rsidRPr="003A6EBA">
        <w:rPr>
          <w:sz w:val="24"/>
          <w:szCs w:val="24"/>
          <w:lang w:eastAsia="fr-FR"/>
        </w:rPr>
        <w:t xml:space="preserve"> package for social sciences), sous Windows en vue de leur analyse. Les paramètres statistiques ont été utilisés pour déterminer les paramètres d’observations (pourcentage, moyennes, écart type…). Ce logiciel a permis de générer les tableaux pour montrer la tendance des comportements observés et faire des tests statistiques afin d’éprouver chacune des hypothèses de recherche.</w:t>
      </w:r>
      <w:r>
        <w:rPr>
          <w:sz w:val="24"/>
          <w:szCs w:val="24"/>
          <w:lang w:eastAsia="fr-FR"/>
        </w:rPr>
        <w:t xml:space="preserve"> </w:t>
      </w:r>
      <w:r w:rsidRPr="003A6EBA">
        <w:rPr>
          <w:sz w:val="24"/>
          <w:szCs w:val="24"/>
          <w:lang w:eastAsia="fr-FR"/>
        </w:rPr>
        <w:t>Ainsi, le test de comparaison des moyennes (z test), a permis d’analyser les capacités d’adaptation sociale des participants en fonction de la compétence émotionnelle mise à l’épreuve dans chaque hypothèse.</w:t>
      </w:r>
    </w:p>
    <w:p w14:paraId="7E6C3842" w14:textId="77777777" w:rsidR="00D80693" w:rsidRPr="003A6EBA" w:rsidRDefault="00D80693" w:rsidP="00D80693">
      <w:pPr>
        <w:pStyle w:val="Paragraphedeliste"/>
        <w:widowControl/>
        <w:numPr>
          <w:ilvl w:val="1"/>
          <w:numId w:val="188"/>
        </w:numPr>
        <w:autoSpaceDE/>
        <w:autoSpaceDN/>
        <w:spacing w:before="240"/>
        <w:ind w:left="1080"/>
        <w:contextualSpacing/>
        <w:rPr>
          <w:b/>
          <w:sz w:val="24"/>
          <w:szCs w:val="24"/>
          <w:lang w:eastAsia="fr-FR"/>
        </w:rPr>
      </w:pPr>
      <w:r w:rsidRPr="003A6EBA">
        <w:rPr>
          <w:b/>
          <w:sz w:val="24"/>
          <w:szCs w:val="24"/>
          <w:lang w:eastAsia="fr-FR"/>
        </w:rPr>
        <w:t xml:space="preserve">Type d’émotion et capacité d’adaptation sociale des adolescents déplacés internes post-inondations  </w:t>
      </w:r>
    </w:p>
    <w:p w14:paraId="18B73FB4" w14:textId="77777777" w:rsidR="00D80693" w:rsidRPr="00856EC2" w:rsidRDefault="00D80693" w:rsidP="00D80693">
      <w:pPr>
        <w:spacing w:before="240"/>
        <w:ind w:left="-5" w:hanging="10"/>
        <w:jc w:val="both"/>
        <w:rPr>
          <w:i/>
          <w:lang w:eastAsia="fr-FR"/>
        </w:rPr>
      </w:pPr>
      <w:r w:rsidRPr="00856EC2">
        <w:rPr>
          <w:b/>
          <w:i/>
          <w:lang w:eastAsia="fr-FR"/>
        </w:rPr>
        <w:t>Tableau 2 : Analyse</w:t>
      </w:r>
      <w:r w:rsidRPr="00856EC2">
        <w:rPr>
          <w:i/>
          <w:lang w:eastAsia="fr-FR"/>
        </w:rPr>
        <w:t xml:space="preserve"> des capacités d’adaptation sociale des adolescents déplacés internes selon les types d’émotion qu’ils déploient fréquemment</w:t>
      </w:r>
    </w:p>
    <w:tbl>
      <w:tblPr>
        <w:tblW w:w="9072" w:type="dxa"/>
        <w:tblInd w:w="-5" w:type="dxa"/>
        <w:tblLayout w:type="fixed"/>
        <w:tblCellMar>
          <w:left w:w="0" w:type="dxa"/>
          <w:right w:w="0" w:type="dxa"/>
        </w:tblCellMar>
        <w:tblLook w:val="0000" w:firstRow="0" w:lastRow="0" w:firstColumn="0" w:lastColumn="0" w:noHBand="0" w:noVBand="0"/>
      </w:tblPr>
      <w:tblGrid>
        <w:gridCol w:w="2112"/>
        <w:gridCol w:w="2693"/>
        <w:gridCol w:w="2850"/>
        <w:gridCol w:w="1417"/>
      </w:tblGrid>
      <w:tr w:rsidR="00D80693" w14:paraId="1065F399" w14:textId="77777777" w:rsidTr="00D72320">
        <w:trPr>
          <w:cantSplit/>
          <w:trHeight w:val="208"/>
        </w:trPr>
        <w:tc>
          <w:tcPr>
            <w:tcW w:w="9072" w:type="dxa"/>
            <w:gridSpan w:val="4"/>
            <w:tcBorders>
              <w:top w:val="single" w:sz="4" w:space="0" w:color="auto"/>
              <w:bottom w:val="single" w:sz="4" w:space="0" w:color="auto"/>
            </w:tcBorders>
            <w:shd w:val="clear" w:color="auto" w:fill="FFFFFF"/>
          </w:tcPr>
          <w:p w14:paraId="49139C7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 xml:space="preserve">Distribution des participants suivant leurs aptitudes à développer un type d’émotion </w:t>
            </w:r>
          </w:p>
        </w:tc>
      </w:tr>
      <w:tr w:rsidR="00D80693" w14:paraId="1F948EE0" w14:textId="77777777" w:rsidTr="00D72320">
        <w:trPr>
          <w:cantSplit/>
          <w:trHeight w:val="443"/>
        </w:trPr>
        <w:tc>
          <w:tcPr>
            <w:tcW w:w="2112" w:type="dxa"/>
            <w:tcBorders>
              <w:top w:val="single" w:sz="4" w:space="0" w:color="auto"/>
            </w:tcBorders>
            <w:shd w:val="clear" w:color="auto" w:fill="FFFFFF"/>
          </w:tcPr>
          <w:p w14:paraId="323EE5D0" w14:textId="77777777" w:rsidR="00D80693" w:rsidRPr="003A6EBA" w:rsidRDefault="00D80693" w:rsidP="00D72320">
            <w:pPr>
              <w:adjustRightInd w:val="0"/>
              <w:ind w:left="-5" w:hanging="10"/>
              <w:jc w:val="both"/>
              <w:rPr>
                <w:sz w:val="24"/>
                <w:szCs w:val="24"/>
                <w:lang w:eastAsia="fr-FR"/>
              </w:rPr>
            </w:pPr>
          </w:p>
        </w:tc>
        <w:tc>
          <w:tcPr>
            <w:tcW w:w="2693" w:type="dxa"/>
            <w:tcBorders>
              <w:top w:val="single" w:sz="4" w:space="0" w:color="auto"/>
            </w:tcBorders>
            <w:shd w:val="clear" w:color="auto" w:fill="FFFFFF"/>
          </w:tcPr>
          <w:p w14:paraId="32031D01"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 xml:space="preserve">Emotions positives </w:t>
            </w:r>
          </w:p>
        </w:tc>
        <w:tc>
          <w:tcPr>
            <w:tcW w:w="2850" w:type="dxa"/>
            <w:tcBorders>
              <w:top w:val="single" w:sz="4" w:space="0" w:color="auto"/>
            </w:tcBorders>
            <w:shd w:val="clear" w:color="auto" w:fill="FFFFFF"/>
          </w:tcPr>
          <w:p w14:paraId="3C7C6AEF"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Emotions négatives</w:t>
            </w:r>
          </w:p>
        </w:tc>
        <w:tc>
          <w:tcPr>
            <w:tcW w:w="1417" w:type="dxa"/>
            <w:tcBorders>
              <w:top w:val="single" w:sz="4" w:space="0" w:color="auto"/>
            </w:tcBorders>
            <w:shd w:val="clear" w:color="auto" w:fill="FFFFFF"/>
          </w:tcPr>
          <w:p w14:paraId="0C1F15D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Total</w:t>
            </w:r>
          </w:p>
        </w:tc>
      </w:tr>
      <w:tr w:rsidR="00D80693" w14:paraId="37C195BD" w14:textId="77777777" w:rsidTr="00D72320">
        <w:trPr>
          <w:cantSplit/>
          <w:trHeight w:val="159"/>
        </w:trPr>
        <w:tc>
          <w:tcPr>
            <w:tcW w:w="2112" w:type="dxa"/>
            <w:shd w:val="clear" w:color="auto" w:fill="FFFFFF"/>
            <w:vAlign w:val="center"/>
          </w:tcPr>
          <w:p w14:paraId="2139F7B3"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Effectifs (N)</w:t>
            </w:r>
          </w:p>
        </w:tc>
        <w:tc>
          <w:tcPr>
            <w:tcW w:w="2693" w:type="dxa"/>
            <w:shd w:val="clear" w:color="auto" w:fill="FFFFFF"/>
          </w:tcPr>
          <w:p w14:paraId="47E05D1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80</w:t>
            </w:r>
          </w:p>
        </w:tc>
        <w:tc>
          <w:tcPr>
            <w:tcW w:w="2850" w:type="dxa"/>
            <w:shd w:val="clear" w:color="auto" w:fill="FFFFFF"/>
          </w:tcPr>
          <w:p w14:paraId="055F93F2"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33</w:t>
            </w:r>
          </w:p>
        </w:tc>
        <w:tc>
          <w:tcPr>
            <w:tcW w:w="1417" w:type="dxa"/>
            <w:shd w:val="clear" w:color="auto" w:fill="FFFFFF"/>
          </w:tcPr>
          <w:p w14:paraId="3EBB6FEC"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113</w:t>
            </w:r>
          </w:p>
        </w:tc>
      </w:tr>
      <w:tr w:rsidR="00D80693" w14:paraId="43BF0406" w14:textId="77777777" w:rsidTr="00D72320">
        <w:trPr>
          <w:cantSplit/>
        </w:trPr>
        <w:tc>
          <w:tcPr>
            <w:tcW w:w="2112" w:type="dxa"/>
            <w:shd w:val="clear" w:color="auto" w:fill="FFFFFF"/>
            <w:vAlign w:val="center"/>
          </w:tcPr>
          <w:p w14:paraId="189A47CF"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Pourcentages (%)</w:t>
            </w:r>
          </w:p>
        </w:tc>
        <w:tc>
          <w:tcPr>
            <w:tcW w:w="2693" w:type="dxa"/>
            <w:shd w:val="clear" w:color="auto" w:fill="FFFFFF"/>
          </w:tcPr>
          <w:p w14:paraId="71C182FF"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70,80</w:t>
            </w:r>
          </w:p>
        </w:tc>
        <w:tc>
          <w:tcPr>
            <w:tcW w:w="2850" w:type="dxa"/>
            <w:shd w:val="clear" w:color="auto" w:fill="FFFFFF"/>
          </w:tcPr>
          <w:p w14:paraId="27CB76AF"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29,20</w:t>
            </w:r>
          </w:p>
        </w:tc>
        <w:tc>
          <w:tcPr>
            <w:tcW w:w="1417" w:type="dxa"/>
            <w:shd w:val="clear" w:color="auto" w:fill="FFFFFF"/>
          </w:tcPr>
          <w:p w14:paraId="4394EFC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100</w:t>
            </w:r>
          </w:p>
        </w:tc>
      </w:tr>
      <w:tr w:rsidR="00D80693" w14:paraId="19CE3834" w14:textId="77777777" w:rsidTr="00D72320">
        <w:trPr>
          <w:cantSplit/>
        </w:trPr>
        <w:tc>
          <w:tcPr>
            <w:tcW w:w="2112" w:type="dxa"/>
            <w:shd w:val="clear" w:color="auto" w:fill="FFFFFF"/>
            <w:vAlign w:val="center"/>
          </w:tcPr>
          <w:p w14:paraId="120A4182"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Moyenne (M)</w:t>
            </w:r>
          </w:p>
        </w:tc>
        <w:tc>
          <w:tcPr>
            <w:tcW w:w="2693" w:type="dxa"/>
            <w:shd w:val="clear" w:color="auto" w:fill="FFFFFF"/>
          </w:tcPr>
          <w:p w14:paraId="2E7FDE36"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32,70</w:t>
            </w:r>
          </w:p>
        </w:tc>
        <w:tc>
          <w:tcPr>
            <w:tcW w:w="2850" w:type="dxa"/>
            <w:shd w:val="clear" w:color="auto" w:fill="FFFFFF"/>
          </w:tcPr>
          <w:p w14:paraId="7A7C8A1E"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37,67</w:t>
            </w:r>
          </w:p>
        </w:tc>
        <w:tc>
          <w:tcPr>
            <w:tcW w:w="1417" w:type="dxa"/>
            <w:shd w:val="clear" w:color="auto" w:fill="FFFFFF"/>
          </w:tcPr>
          <w:p w14:paraId="16CB8C33"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70,37</w:t>
            </w:r>
          </w:p>
        </w:tc>
      </w:tr>
      <w:tr w:rsidR="00D80693" w14:paraId="1F7F78B2" w14:textId="77777777" w:rsidTr="00D72320">
        <w:trPr>
          <w:cantSplit/>
        </w:trPr>
        <w:tc>
          <w:tcPr>
            <w:tcW w:w="2112" w:type="dxa"/>
            <w:tcBorders>
              <w:bottom w:val="single" w:sz="4" w:space="0" w:color="auto"/>
            </w:tcBorders>
            <w:shd w:val="clear" w:color="auto" w:fill="FFFFFF"/>
            <w:vAlign w:val="center"/>
          </w:tcPr>
          <w:p w14:paraId="174ED4CC"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Ecart Moyen (EM)</w:t>
            </w:r>
          </w:p>
        </w:tc>
        <w:tc>
          <w:tcPr>
            <w:tcW w:w="2693" w:type="dxa"/>
            <w:tcBorders>
              <w:bottom w:val="single" w:sz="4" w:space="0" w:color="auto"/>
            </w:tcBorders>
            <w:shd w:val="clear" w:color="auto" w:fill="FFFFFF"/>
          </w:tcPr>
          <w:p w14:paraId="46464889"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8,20</w:t>
            </w:r>
          </w:p>
        </w:tc>
        <w:tc>
          <w:tcPr>
            <w:tcW w:w="2850" w:type="dxa"/>
            <w:tcBorders>
              <w:bottom w:val="single" w:sz="4" w:space="0" w:color="auto"/>
            </w:tcBorders>
            <w:shd w:val="clear" w:color="auto" w:fill="FFFFFF"/>
          </w:tcPr>
          <w:p w14:paraId="115992FA"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6,17</w:t>
            </w:r>
          </w:p>
        </w:tc>
        <w:tc>
          <w:tcPr>
            <w:tcW w:w="1417" w:type="dxa"/>
            <w:tcBorders>
              <w:bottom w:val="single" w:sz="4" w:space="0" w:color="auto"/>
            </w:tcBorders>
            <w:shd w:val="clear" w:color="auto" w:fill="FFFFFF"/>
          </w:tcPr>
          <w:p w14:paraId="3468472E"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6,17</w:t>
            </w:r>
          </w:p>
        </w:tc>
      </w:tr>
      <w:tr w:rsidR="00D80693" w14:paraId="2ED4942F" w14:textId="77777777" w:rsidTr="00D72320">
        <w:trPr>
          <w:cantSplit/>
          <w:trHeight w:val="374"/>
        </w:trPr>
        <w:tc>
          <w:tcPr>
            <w:tcW w:w="9072" w:type="dxa"/>
            <w:gridSpan w:val="4"/>
            <w:tcBorders>
              <w:top w:val="single" w:sz="4" w:space="0" w:color="auto"/>
              <w:bottom w:val="single" w:sz="4" w:space="0" w:color="auto"/>
            </w:tcBorders>
            <w:shd w:val="clear" w:color="auto" w:fill="FFFFFF"/>
            <w:vAlign w:val="center"/>
          </w:tcPr>
          <w:p w14:paraId="7845F4FD" w14:textId="77777777" w:rsidR="00D80693" w:rsidRPr="003A6EBA" w:rsidRDefault="00D80693" w:rsidP="00D72320">
            <w:pPr>
              <w:adjustRightInd w:val="0"/>
              <w:ind w:left="60" w:right="60" w:hanging="10"/>
              <w:jc w:val="center"/>
              <w:rPr>
                <w:sz w:val="24"/>
                <w:szCs w:val="24"/>
                <w:lang w:eastAsia="fr-FR"/>
              </w:rPr>
            </w:pPr>
            <w:r w:rsidRPr="003A6EBA">
              <w:rPr>
                <w:bCs/>
                <w:sz w:val="24"/>
                <w:szCs w:val="24"/>
                <w:lang w:eastAsia="fr-FR"/>
              </w:rPr>
              <w:t>Comparaison des capacités moyennes d’adaptation sociale des adolescents selon le type d’émotion qu’ils sont plus aptes à déployer</w:t>
            </w:r>
          </w:p>
        </w:tc>
      </w:tr>
      <w:tr w:rsidR="00D80693" w14:paraId="2D91FD47" w14:textId="77777777" w:rsidTr="00D72320">
        <w:trPr>
          <w:cantSplit/>
          <w:trHeight w:val="277"/>
        </w:trPr>
        <w:tc>
          <w:tcPr>
            <w:tcW w:w="2112" w:type="dxa"/>
            <w:tcBorders>
              <w:top w:val="single" w:sz="4" w:space="0" w:color="auto"/>
            </w:tcBorders>
            <w:shd w:val="clear" w:color="auto" w:fill="FFFFFF"/>
            <w:vAlign w:val="center"/>
          </w:tcPr>
          <w:p w14:paraId="2C4595BC" w14:textId="77777777" w:rsidR="00D80693" w:rsidRPr="003A6EBA" w:rsidRDefault="00D80693" w:rsidP="00D72320">
            <w:pPr>
              <w:adjustRightInd w:val="0"/>
              <w:ind w:left="60" w:right="60" w:hanging="10"/>
              <w:jc w:val="both"/>
              <w:rPr>
                <w:sz w:val="24"/>
                <w:szCs w:val="24"/>
                <w:lang w:eastAsia="fr-FR"/>
              </w:rPr>
            </w:pPr>
          </w:p>
        </w:tc>
        <w:tc>
          <w:tcPr>
            <w:tcW w:w="2693" w:type="dxa"/>
            <w:tcBorders>
              <w:top w:val="single" w:sz="4" w:space="0" w:color="auto"/>
            </w:tcBorders>
            <w:shd w:val="clear" w:color="auto" w:fill="FFFFFF"/>
          </w:tcPr>
          <w:p w14:paraId="048E0BCB"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Moyenne (M)</w:t>
            </w:r>
          </w:p>
        </w:tc>
        <w:tc>
          <w:tcPr>
            <w:tcW w:w="2850" w:type="dxa"/>
            <w:tcBorders>
              <w:top w:val="single" w:sz="4" w:space="0" w:color="auto"/>
            </w:tcBorders>
            <w:shd w:val="clear" w:color="auto" w:fill="FFFFFF"/>
          </w:tcPr>
          <w:p w14:paraId="58670A97"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Ecart-type (ET)</w:t>
            </w:r>
          </w:p>
        </w:tc>
        <w:tc>
          <w:tcPr>
            <w:tcW w:w="1417" w:type="dxa"/>
            <w:tcBorders>
              <w:top w:val="single" w:sz="4" w:space="0" w:color="auto"/>
            </w:tcBorders>
            <w:shd w:val="clear" w:color="auto" w:fill="FFFFFF"/>
          </w:tcPr>
          <w:p w14:paraId="040E244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Effectifs (N)</w:t>
            </w:r>
          </w:p>
        </w:tc>
      </w:tr>
      <w:tr w:rsidR="00D80693" w14:paraId="582E453A" w14:textId="77777777" w:rsidTr="00D72320">
        <w:trPr>
          <w:cantSplit/>
        </w:trPr>
        <w:tc>
          <w:tcPr>
            <w:tcW w:w="2112" w:type="dxa"/>
            <w:shd w:val="clear" w:color="auto" w:fill="FFFFFF"/>
            <w:vAlign w:val="center"/>
          </w:tcPr>
          <w:p w14:paraId="54AE4596"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Emotions positives</w:t>
            </w:r>
          </w:p>
        </w:tc>
        <w:tc>
          <w:tcPr>
            <w:tcW w:w="2693" w:type="dxa"/>
            <w:shd w:val="clear" w:color="auto" w:fill="FFFFFF"/>
          </w:tcPr>
          <w:p w14:paraId="3CB07F8E"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95,90</w:t>
            </w:r>
          </w:p>
        </w:tc>
        <w:tc>
          <w:tcPr>
            <w:tcW w:w="2850" w:type="dxa"/>
            <w:shd w:val="clear" w:color="auto" w:fill="FFFFFF"/>
          </w:tcPr>
          <w:p w14:paraId="5A1A5249"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 xml:space="preserve">19,66 </w:t>
            </w:r>
          </w:p>
        </w:tc>
        <w:tc>
          <w:tcPr>
            <w:tcW w:w="1417" w:type="dxa"/>
            <w:shd w:val="clear" w:color="auto" w:fill="FFFFFF"/>
          </w:tcPr>
          <w:p w14:paraId="3ED3A358"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80</w:t>
            </w:r>
          </w:p>
        </w:tc>
      </w:tr>
      <w:tr w:rsidR="00D80693" w14:paraId="467B8072" w14:textId="77777777" w:rsidTr="00D72320">
        <w:trPr>
          <w:cantSplit/>
          <w:trHeight w:val="377"/>
        </w:trPr>
        <w:tc>
          <w:tcPr>
            <w:tcW w:w="2112" w:type="dxa"/>
            <w:shd w:val="clear" w:color="auto" w:fill="FFFFFF"/>
            <w:vAlign w:val="center"/>
          </w:tcPr>
          <w:p w14:paraId="0222AF3F"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Emotions négatives</w:t>
            </w:r>
          </w:p>
        </w:tc>
        <w:tc>
          <w:tcPr>
            <w:tcW w:w="2693" w:type="dxa"/>
            <w:shd w:val="clear" w:color="auto" w:fill="FFFFFF"/>
          </w:tcPr>
          <w:p w14:paraId="07A9A9F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99,06</w:t>
            </w:r>
          </w:p>
        </w:tc>
        <w:tc>
          <w:tcPr>
            <w:tcW w:w="2850" w:type="dxa"/>
            <w:shd w:val="clear" w:color="auto" w:fill="FFFFFF"/>
          </w:tcPr>
          <w:p w14:paraId="12E9B39D"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23,52</w:t>
            </w:r>
          </w:p>
        </w:tc>
        <w:tc>
          <w:tcPr>
            <w:tcW w:w="1417" w:type="dxa"/>
            <w:shd w:val="clear" w:color="auto" w:fill="FFFFFF"/>
          </w:tcPr>
          <w:p w14:paraId="2A9C3A76"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33</w:t>
            </w:r>
          </w:p>
        </w:tc>
      </w:tr>
      <w:tr w:rsidR="00D80693" w14:paraId="68BBAB45" w14:textId="77777777" w:rsidTr="00D72320">
        <w:trPr>
          <w:cantSplit/>
          <w:trHeight w:val="63"/>
        </w:trPr>
        <w:tc>
          <w:tcPr>
            <w:tcW w:w="9072" w:type="dxa"/>
            <w:gridSpan w:val="4"/>
            <w:tcBorders>
              <w:bottom w:val="single" w:sz="4" w:space="0" w:color="auto"/>
            </w:tcBorders>
            <w:shd w:val="clear" w:color="auto" w:fill="FFFFFF"/>
            <w:vAlign w:val="center"/>
          </w:tcPr>
          <w:p w14:paraId="0AFB60C2"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 xml:space="preserve"> (N= 113 ; </w:t>
            </w:r>
            <w:r w:rsidRPr="003A6EBA">
              <w:rPr>
                <w:i/>
                <w:iCs/>
                <w:sz w:val="24"/>
                <w:szCs w:val="24"/>
                <w:lang w:eastAsia="fr-FR"/>
              </w:rPr>
              <w:t xml:space="preserve">z </w:t>
            </w:r>
            <w:r w:rsidRPr="003A6EBA">
              <w:rPr>
                <w:sz w:val="24"/>
                <w:szCs w:val="24"/>
                <w:lang w:eastAsia="fr-FR"/>
              </w:rPr>
              <w:t>= -,662 ; p &gt; 0,05)</w:t>
            </w:r>
          </w:p>
        </w:tc>
      </w:tr>
    </w:tbl>
    <w:p w14:paraId="02A66A22" w14:textId="77777777" w:rsidR="00D80693" w:rsidRDefault="00D80693" w:rsidP="00D80693">
      <w:pPr>
        <w:spacing w:after="12"/>
        <w:ind w:firstLine="708"/>
        <w:jc w:val="both"/>
        <w:rPr>
          <w:i/>
          <w:lang w:eastAsia="fr-FR"/>
        </w:rPr>
      </w:pPr>
      <w:r w:rsidRPr="00F63588">
        <w:rPr>
          <w:i/>
          <w:lang w:eastAsia="fr-FR"/>
        </w:rPr>
        <w:t xml:space="preserve">Source : Données </w:t>
      </w:r>
      <w:r>
        <w:rPr>
          <w:i/>
          <w:lang w:eastAsia="fr-FR"/>
        </w:rPr>
        <w:t>de terrain</w:t>
      </w:r>
    </w:p>
    <w:p w14:paraId="45425BB0" w14:textId="77777777" w:rsidR="00D80693" w:rsidRPr="003A6EBA" w:rsidRDefault="00D80693" w:rsidP="0016777C">
      <w:pPr>
        <w:spacing w:before="240"/>
        <w:ind w:left="-5"/>
        <w:jc w:val="both"/>
        <w:rPr>
          <w:sz w:val="24"/>
          <w:szCs w:val="24"/>
          <w:lang w:eastAsia="fr-FR"/>
        </w:rPr>
      </w:pPr>
      <w:r w:rsidRPr="003A6EBA">
        <w:rPr>
          <w:sz w:val="24"/>
          <w:szCs w:val="24"/>
          <w:lang w:eastAsia="fr-FR"/>
        </w:rPr>
        <w:t xml:space="preserve">Dans un premier temps, l’on note que les émotions identifiées et qui sont les plus fréquemment ressenties et exprimées par les adolescents déplacés internes sont des émotions positives. En effet, ce tableau révèle que dans leurs activités quotidiennes, près de 70,80% d’entre eux ont plus d’aptitude à déployer des réactions spontanées telles qu’être contant, se sentir respecté, estimé, apprécié, heureux, joyeux ou fier. </w:t>
      </w:r>
      <w:proofErr w:type="gramStart"/>
      <w:r w:rsidRPr="003A6EBA">
        <w:rPr>
          <w:sz w:val="24"/>
          <w:szCs w:val="24"/>
          <w:lang w:eastAsia="fr-FR"/>
        </w:rPr>
        <w:t>Par contre</w:t>
      </w:r>
      <w:proofErr w:type="gramEnd"/>
      <w:r w:rsidRPr="003A6EBA">
        <w:rPr>
          <w:sz w:val="24"/>
          <w:szCs w:val="24"/>
          <w:lang w:eastAsia="fr-FR"/>
        </w:rPr>
        <w:t>, il en ressort qu’une proportion faible, mais tout de même significative, soit 29,20% développent plus des émotions négatives. On pourrait noter ainsi de l’irritation, de la frustration, de la colère fréquente, des accès d’inquiétude et de tristesse, des sensations de honte, du dégout, de la surprise fréquente et des réactions prédominantes de peur, qui paraitraient plus développés par ceux-là.</w:t>
      </w:r>
    </w:p>
    <w:p w14:paraId="1DC457C4" w14:textId="77777777" w:rsidR="00D80693" w:rsidRPr="003A6EBA" w:rsidRDefault="00D80693" w:rsidP="0016777C">
      <w:pPr>
        <w:spacing w:before="240"/>
        <w:ind w:left="-5"/>
        <w:jc w:val="both"/>
        <w:rPr>
          <w:sz w:val="24"/>
          <w:szCs w:val="24"/>
          <w:lang w:eastAsia="fr-FR"/>
        </w:rPr>
      </w:pPr>
      <w:r w:rsidRPr="003A6EBA">
        <w:rPr>
          <w:sz w:val="24"/>
          <w:szCs w:val="24"/>
          <w:lang w:eastAsia="fr-FR"/>
        </w:rPr>
        <w:t>Cependant, la première hypothèse selon laquelle les adolescents déplacés internes qui</w:t>
      </w:r>
      <w:r>
        <w:rPr>
          <w:sz w:val="24"/>
          <w:szCs w:val="24"/>
          <w:lang w:eastAsia="fr-FR"/>
        </w:rPr>
        <w:t xml:space="preserve"> </w:t>
      </w:r>
      <w:r w:rsidRPr="003A6EBA">
        <w:rPr>
          <w:sz w:val="24"/>
          <w:szCs w:val="24"/>
          <w:lang w:eastAsia="fr-FR"/>
        </w:rPr>
        <w:t xml:space="preserve">développent fréquemment des émotions positives s’adaptent socialement plus que ceux dont les émotions sont fréquemment négatives n'a pas été confirmée (N= 113 ; </w:t>
      </w:r>
      <w:r w:rsidRPr="003A6EBA">
        <w:rPr>
          <w:i/>
          <w:iCs/>
          <w:sz w:val="24"/>
          <w:szCs w:val="24"/>
          <w:lang w:eastAsia="fr-FR"/>
        </w:rPr>
        <w:t xml:space="preserve">z </w:t>
      </w:r>
      <w:r w:rsidRPr="003A6EBA">
        <w:rPr>
          <w:sz w:val="24"/>
          <w:szCs w:val="24"/>
          <w:lang w:eastAsia="fr-FR"/>
        </w:rPr>
        <w:t>= -</w:t>
      </w:r>
      <w:r>
        <w:rPr>
          <w:sz w:val="24"/>
          <w:szCs w:val="24"/>
          <w:lang w:eastAsia="fr-FR"/>
        </w:rPr>
        <w:t>0</w:t>
      </w:r>
      <w:r w:rsidRPr="003A6EBA">
        <w:rPr>
          <w:sz w:val="24"/>
          <w:szCs w:val="24"/>
          <w:lang w:eastAsia="fr-FR"/>
        </w:rPr>
        <w:t xml:space="preserve">,662 ; p &gt; 0,05). Effectivement, Il ressort de ce tableau que les 70,80%, soit 80 participants qui présentent plus d’aptitude à développer des émotions positives sont socialement moins adaptés que les 29,20% dont 33 qui développent plus d’émotions négatives. En effet, en totalisant les scores indiquant la fréquence des actions sociales qu’ils développement fréquemment et ceux indiquant le degré d’importance de ces différents comportements socio-adoptifs pour eux, l’on note que ceux appartenant au groupe Emotions Positive (EP) présentent une capacité moyenne d’adaptation sociale de 95,90 avec un écart-type de 19,66. Quant à ceux qui sont dans le groupe Emotion Négatives (EN), on note une capacité moyenne d’adaptation sociale de 99,06 avec un écart-type de 23,52. </w:t>
      </w:r>
    </w:p>
    <w:p w14:paraId="1067C91B" w14:textId="77777777" w:rsidR="00D80693" w:rsidRPr="003A6EBA" w:rsidRDefault="00D80693" w:rsidP="0016777C">
      <w:pPr>
        <w:spacing w:before="240"/>
        <w:ind w:left="-5"/>
        <w:jc w:val="both"/>
        <w:rPr>
          <w:sz w:val="24"/>
          <w:szCs w:val="24"/>
          <w:lang w:eastAsia="fr-FR"/>
        </w:rPr>
      </w:pPr>
      <w:r w:rsidRPr="003A6EBA">
        <w:rPr>
          <w:sz w:val="24"/>
          <w:szCs w:val="24"/>
          <w:lang w:eastAsia="fr-FR"/>
        </w:rPr>
        <w:t>Ce résultat</w:t>
      </w:r>
      <w:r>
        <w:rPr>
          <w:sz w:val="24"/>
          <w:szCs w:val="24"/>
          <w:lang w:eastAsia="fr-FR"/>
        </w:rPr>
        <w:t xml:space="preserve"> </w:t>
      </w:r>
      <w:r w:rsidRPr="003A6EBA">
        <w:rPr>
          <w:sz w:val="24"/>
          <w:szCs w:val="24"/>
          <w:lang w:eastAsia="fr-FR"/>
        </w:rPr>
        <w:t>démontre que la qualité des interactions sociales est harmonieuse entre les adolescents déplacés internes et ceux des autres peuples de la communauté d’accueil (les BAYA qui sont autochtones ; les MBORORO, FOULBE et HAOUSSA qui sont des allogènes et dominants). En effet, cette harmonie socio-existentielle serait surtout liée à la similarité culturelle, qui serait un atout majeur à la compréhension mutuelles des comportements des uns vis-à-vis des autres, et dont non susceptible de déclencher des émotions négatives. Sous un autre angle, ce résultat révèle</w:t>
      </w:r>
      <w:r>
        <w:rPr>
          <w:sz w:val="24"/>
          <w:szCs w:val="24"/>
          <w:lang w:eastAsia="fr-FR"/>
        </w:rPr>
        <w:t xml:space="preserve"> </w:t>
      </w:r>
      <w:r w:rsidRPr="003A6EBA">
        <w:rPr>
          <w:sz w:val="24"/>
          <w:szCs w:val="24"/>
          <w:lang w:eastAsia="fr-FR"/>
        </w:rPr>
        <w:t xml:space="preserve">le caractère hospitalier des communautés hautes qui auraient contribué à diminuer les risques de carences affectives lies à l’absence des figures fonctionnelles d’affectivités dans leur milieu de vie actuel. </w:t>
      </w:r>
    </w:p>
    <w:p w14:paraId="789ACE8C" w14:textId="77777777" w:rsidR="00D80693" w:rsidRPr="003A6EBA" w:rsidRDefault="00D80693" w:rsidP="00D80693">
      <w:pPr>
        <w:pStyle w:val="Paragraphedeliste"/>
        <w:widowControl/>
        <w:numPr>
          <w:ilvl w:val="1"/>
          <w:numId w:val="188"/>
        </w:numPr>
        <w:autoSpaceDE/>
        <w:autoSpaceDN/>
        <w:spacing w:before="240"/>
        <w:contextualSpacing/>
        <w:rPr>
          <w:b/>
          <w:sz w:val="24"/>
          <w:szCs w:val="24"/>
          <w:lang w:eastAsia="fr-FR"/>
        </w:rPr>
      </w:pPr>
      <w:r w:rsidRPr="003A6EBA">
        <w:rPr>
          <w:b/>
          <w:sz w:val="24"/>
          <w:szCs w:val="24"/>
          <w:lang w:eastAsia="fr-FR"/>
        </w:rPr>
        <w:t xml:space="preserve">Régulation émotionnelle et capacité d’adaptation sociale des adolescents déplacés internes post-inondations  </w:t>
      </w:r>
    </w:p>
    <w:p w14:paraId="65F2C479" w14:textId="77777777" w:rsidR="00D80693" w:rsidRPr="00856EC2" w:rsidRDefault="00D80693" w:rsidP="00D80693">
      <w:pPr>
        <w:spacing w:before="240"/>
        <w:ind w:left="-5" w:hanging="10"/>
        <w:jc w:val="both"/>
        <w:rPr>
          <w:i/>
          <w:lang w:eastAsia="fr-FR"/>
        </w:rPr>
      </w:pPr>
      <w:r w:rsidRPr="00856EC2">
        <w:rPr>
          <w:b/>
          <w:i/>
          <w:lang w:eastAsia="fr-FR"/>
        </w:rPr>
        <w:t xml:space="preserve">Tableau 3 : </w:t>
      </w:r>
      <w:r w:rsidRPr="008D189F">
        <w:rPr>
          <w:bCs/>
          <w:i/>
          <w:lang w:eastAsia="fr-FR"/>
        </w:rPr>
        <w:t>Analyse</w:t>
      </w:r>
      <w:r w:rsidRPr="00856EC2">
        <w:rPr>
          <w:i/>
          <w:lang w:eastAsia="fr-FR"/>
        </w:rPr>
        <w:t xml:space="preserve"> des capacités d’adaptation sociale des adolescents déplacés internes selon leurs stratégies de régulation émotionnelle </w:t>
      </w:r>
    </w:p>
    <w:tbl>
      <w:tblPr>
        <w:tblW w:w="9052" w:type="dxa"/>
        <w:tblLayout w:type="fixed"/>
        <w:tblCellMar>
          <w:left w:w="0" w:type="dxa"/>
          <w:right w:w="0" w:type="dxa"/>
        </w:tblCellMar>
        <w:tblLook w:val="0000" w:firstRow="0" w:lastRow="0" w:firstColumn="0" w:lastColumn="0" w:noHBand="0" w:noVBand="0"/>
      </w:tblPr>
      <w:tblGrid>
        <w:gridCol w:w="1980"/>
        <w:gridCol w:w="3245"/>
        <w:gridCol w:w="3119"/>
        <w:gridCol w:w="708"/>
      </w:tblGrid>
      <w:tr w:rsidR="00D80693" w14:paraId="1290E4AE" w14:textId="77777777" w:rsidTr="00D72320">
        <w:trPr>
          <w:cantSplit/>
          <w:trHeight w:val="97"/>
        </w:trPr>
        <w:tc>
          <w:tcPr>
            <w:tcW w:w="9052" w:type="dxa"/>
            <w:gridSpan w:val="4"/>
            <w:tcBorders>
              <w:top w:val="single" w:sz="4" w:space="0" w:color="auto"/>
              <w:bottom w:val="single" w:sz="4" w:space="0" w:color="auto"/>
            </w:tcBorders>
            <w:shd w:val="clear" w:color="auto" w:fill="FFFFFF"/>
          </w:tcPr>
          <w:p w14:paraId="2D683A4A"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Distribution des participants suivant leurs stratégies de régulation émotionnelle</w:t>
            </w:r>
          </w:p>
        </w:tc>
      </w:tr>
      <w:tr w:rsidR="00D80693" w14:paraId="762A88CA" w14:textId="77777777" w:rsidTr="00D72320">
        <w:trPr>
          <w:cantSplit/>
          <w:trHeight w:val="180"/>
        </w:trPr>
        <w:tc>
          <w:tcPr>
            <w:tcW w:w="1980" w:type="dxa"/>
            <w:tcBorders>
              <w:top w:val="single" w:sz="4" w:space="0" w:color="auto"/>
              <w:bottom w:val="single" w:sz="4" w:space="0" w:color="auto"/>
            </w:tcBorders>
            <w:shd w:val="clear" w:color="auto" w:fill="FFFFFF"/>
          </w:tcPr>
          <w:p w14:paraId="5BA198BD" w14:textId="77777777" w:rsidR="00D80693" w:rsidRPr="003A6EBA" w:rsidRDefault="00D80693" w:rsidP="00D72320">
            <w:pPr>
              <w:adjustRightInd w:val="0"/>
              <w:ind w:left="-5" w:hanging="10"/>
              <w:jc w:val="both"/>
              <w:rPr>
                <w:sz w:val="24"/>
                <w:szCs w:val="24"/>
                <w:lang w:eastAsia="fr-FR"/>
              </w:rPr>
            </w:pPr>
          </w:p>
        </w:tc>
        <w:tc>
          <w:tcPr>
            <w:tcW w:w="3245" w:type="dxa"/>
            <w:tcBorders>
              <w:top w:val="single" w:sz="4" w:space="0" w:color="auto"/>
              <w:bottom w:val="single" w:sz="4" w:space="0" w:color="auto"/>
            </w:tcBorders>
            <w:shd w:val="clear" w:color="auto" w:fill="FFFFFF"/>
          </w:tcPr>
          <w:p w14:paraId="616D66F8"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Régulation par réévaluation</w:t>
            </w:r>
          </w:p>
        </w:tc>
        <w:tc>
          <w:tcPr>
            <w:tcW w:w="3119" w:type="dxa"/>
            <w:tcBorders>
              <w:top w:val="single" w:sz="4" w:space="0" w:color="auto"/>
              <w:bottom w:val="single" w:sz="4" w:space="0" w:color="auto"/>
            </w:tcBorders>
            <w:shd w:val="clear" w:color="auto" w:fill="FFFFFF"/>
          </w:tcPr>
          <w:p w14:paraId="3D142FE8"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Régulation par suppression</w:t>
            </w:r>
          </w:p>
        </w:tc>
        <w:tc>
          <w:tcPr>
            <w:tcW w:w="708" w:type="dxa"/>
            <w:tcBorders>
              <w:top w:val="single" w:sz="4" w:space="0" w:color="auto"/>
              <w:bottom w:val="single" w:sz="4" w:space="0" w:color="auto"/>
            </w:tcBorders>
            <w:shd w:val="clear" w:color="auto" w:fill="FFFFFF"/>
          </w:tcPr>
          <w:p w14:paraId="4A7E9BC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Total</w:t>
            </w:r>
          </w:p>
        </w:tc>
      </w:tr>
      <w:tr w:rsidR="00D80693" w14:paraId="151C9841" w14:textId="77777777" w:rsidTr="00D72320">
        <w:trPr>
          <w:cantSplit/>
          <w:trHeight w:val="159"/>
        </w:trPr>
        <w:tc>
          <w:tcPr>
            <w:tcW w:w="1980" w:type="dxa"/>
            <w:tcBorders>
              <w:top w:val="single" w:sz="4" w:space="0" w:color="auto"/>
            </w:tcBorders>
            <w:shd w:val="clear" w:color="auto" w:fill="FFFFFF"/>
            <w:vAlign w:val="center"/>
          </w:tcPr>
          <w:p w14:paraId="58CE9E60"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Effectifs (N)</w:t>
            </w:r>
          </w:p>
        </w:tc>
        <w:tc>
          <w:tcPr>
            <w:tcW w:w="3245" w:type="dxa"/>
            <w:tcBorders>
              <w:top w:val="single" w:sz="4" w:space="0" w:color="auto"/>
            </w:tcBorders>
            <w:shd w:val="clear" w:color="auto" w:fill="FFFFFF"/>
          </w:tcPr>
          <w:p w14:paraId="099E9F6C"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69</w:t>
            </w:r>
          </w:p>
        </w:tc>
        <w:tc>
          <w:tcPr>
            <w:tcW w:w="3119" w:type="dxa"/>
            <w:tcBorders>
              <w:top w:val="single" w:sz="4" w:space="0" w:color="auto"/>
            </w:tcBorders>
            <w:shd w:val="clear" w:color="auto" w:fill="FFFFFF"/>
          </w:tcPr>
          <w:p w14:paraId="25569DD8"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44</w:t>
            </w:r>
          </w:p>
        </w:tc>
        <w:tc>
          <w:tcPr>
            <w:tcW w:w="708" w:type="dxa"/>
            <w:tcBorders>
              <w:top w:val="single" w:sz="4" w:space="0" w:color="auto"/>
            </w:tcBorders>
            <w:shd w:val="clear" w:color="auto" w:fill="FFFFFF"/>
          </w:tcPr>
          <w:p w14:paraId="06F2365F"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113</w:t>
            </w:r>
          </w:p>
        </w:tc>
      </w:tr>
      <w:tr w:rsidR="00D80693" w14:paraId="5EC10268" w14:textId="77777777" w:rsidTr="00D72320">
        <w:trPr>
          <w:cantSplit/>
        </w:trPr>
        <w:tc>
          <w:tcPr>
            <w:tcW w:w="1980" w:type="dxa"/>
            <w:shd w:val="clear" w:color="auto" w:fill="FFFFFF"/>
            <w:vAlign w:val="center"/>
          </w:tcPr>
          <w:p w14:paraId="0509C2DE"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Pourcentages (%)</w:t>
            </w:r>
          </w:p>
        </w:tc>
        <w:tc>
          <w:tcPr>
            <w:tcW w:w="3245" w:type="dxa"/>
            <w:shd w:val="clear" w:color="auto" w:fill="FFFFFF"/>
          </w:tcPr>
          <w:p w14:paraId="62857C8A"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61,61</w:t>
            </w:r>
          </w:p>
        </w:tc>
        <w:tc>
          <w:tcPr>
            <w:tcW w:w="3119" w:type="dxa"/>
            <w:shd w:val="clear" w:color="auto" w:fill="FFFFFF"/>
          </w:tcPr>
          <w:p w14:paraId="36079552"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38,39</w:t>
            </w:r>
          </w:p>
        </w:tc>
        <w:tc>
          <w:tcPr>
            <w:tcW w:w="708" w:type="dxa"/>
            <w:shd w:val="clear" w:color="auto" w:fill="FFFFFF"/>
          </w:tcPr>
          <w:p w14:paraId="5BF846CD"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100</w:t>
            </w:r>
          </w:p>
        </w:tc>
      </w:tr>
      <w:tr w:rsidR="00D80693" w14:paraId="43D35073" w14:textId="77777777" w:rsidTr="00D72320">
        <w:trPr>
          <w:cantSplit/>
        </w:trPr>
        <w:tc>
          <w:tcPr>
            <w:tcW w:w="1980" w:type="dxa"/>
            <w:shd w:val="clear" w:color="auto" w:fill="FFFFFF"/>
            <w:vAlign w:val="center"/>
          </w:tcPr>
          <w:p w14:paraId="2D864B1D"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Moyenne (M)</w:t>
            </w:r>
          </w:p>
        </w:tc>
        <w:tc>
          <w:tcPr>
            <w:tcW w:w="3245" w:type="dxa"/>
            <w:shd w:val="clear" w:color="auto" w:fill="FFFFFF"/>
          </w:tcPr>
          <w:p w14:paraId="13FC70A1"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28,09</w:t>
            </w:r>
          </w:p>
        </w:tc>
        <w:tc>
          <w:tcPr>
            <w:tcW w:w="3119" w:type="dxa"/>
            <w:shd w:val="clear" w:color="auto" w:fill="FFFFFF"/>
          </w:tcPr>
          <w:p w14:paraId="567982D7"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17,98</w:t>
            </w:r>
          </w:p>
        </w:tc>
        <w:tc>
          <w:tcPr>
            <w:tcW w:w="708" w:type="dxa"/>
            <w:shd w:val="clear" w:color="auto" w:fill="FFFFFF"/>
          </w:tcPr>
          <w:p w14:paraId="0E9D4E58"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46,07</w:t>
            </w:r>
          </w:p>
        </w:tc>
      </w:tr>
      <w:tr w:rsidR="00D80693" w14:paraId="163617D3" w14:textId="77777777" w:rsidTr="00D72320">
        <w:trPr>
          <w:cantSplit/>
        </w:trPr>
        <w:tc>
          <w:tcPr>
            <w:tcW w:w="1980" w:type="dxa"/>
            <w:tcBorders>
              <w:bottom w:val="single" w:sz="4" w:space="0" w:color="auto"/>
            </w:tcBorders>
            <w:shd w:val="clear" w:color="auto" w:fill="FFFFFF"/>
            <w:vAlign w:val="center"/>
          </w:tcPr>
          <w:p w14:paraId="1CC21463"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Ecart-Moyen (EM)</w:t>
            </w:r>
          </w:p>
        </w:tc>
        <w:tc>
          <w:tcPr>
            <w:tcW w:w="3245" w:type="dxa"/>
            <w:tcBorders>
              <w:bottom w:val="single" w:sz="4" w:space="0" w:color="auto"/>
            </w:tcBorders>
            <w:shd w:val="clear" w:color="auto" w:fill="FFFFFF"/>
          </w:tcPr>
          <w:p w14:paraId="5C94CDD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7,09</w:t>
            </w:r>
          </w:p>
        </w:tc>
        <w:tc>
          <w:tcPr>
            <w:tcW w:w="3119" w:type="dxa"/>
            <w:tcBorders>
              <w:bottom w:val="single" w:sz="4" w:space="0" w:color="auto"/>
            </w:tcBorders>
            <w:shd w:val="clear" w:color="auto" w:fill="FFFFFF"/>
          </w:tcPr>
          <w:p w14:paraId="53A89913"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3,98</w:t>
            </w:r>
          </w:p>
        </w:tc>
        <w:tc>
          <w:tcPr>
            <w:tcW w:w="708" w:type="dxa"/>
            <w:tcBorders>
              <w:bottom w:val="single" w:sz="4" w:space="0" w:color="auto"/>
            </w:tcBorders>
            <w:shd w:val="clear" w:color="auto" w:fill="FFFFFF"/>
          </w:tcPr>
          <w:p w14:paraId="0605590E"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11,07</w:t>
            </w:r>
          </w:p>
        </w:tc>
      </w:tr>
      <w:tr w:rsidR="00D80693" w14:paraId="17CA7127" w14:textId="77777777" w:rsidTr="00D72320">
        <w:trPr>
          <w:cantSplit/>
          <w:trHeight w:val="97"/>
        </w:trPr>
        <w:tc>
          <w:tcPr>
            <w:tcW w:w="9052" w:type="dxa"/>
            <w:gridSpan w:val="4"/>
            <w:tcBorders>
              <w:top w:val="single" w:sz="4" w:space="0" w:color="auto"/>
              <w:bottom w:val="single" w:sz="4" w:space="0" w:color="auto"/>
            </w:tcBorders>
            <w:shd w:val="clear" w:color="auto" w:fill="FFFFFF"/>
            <w:vAlign w:val="center"/>
          </w:tcPr>
          <w:p w14:paraId="343CB3CC" w14:textId="77777777" w:rsidR="00D80693" w:rsidRPr="003A6EBA" w:rsidRDefault="00D80693" w:rsidP="00D72320">
            <w:pPr>
              <w:adjustRightInd w:val="0"/>
              <w:ind w:left="60" w:right="60" w:hanging="10"/>
              <w:jc w:val="center"/>
              <w:rPr>
                <w:sz w:val="24"/>
                <w:szCs w:val="24"/>
                <w:lang w:eastAsia="fr-FR"/>
              </w:rPr>
            </w:pPr>
            <w:r w:rsidRPr="003A6EBA">
              <w:rPr>
                <w:bCs/>
                <w:sz w:val="24"/>
                <w:szCs w:val="24"/>
                <w:lang w:eastAsia="fr-FR"/>
              </w:rPr>
              <w:t xml:space="preserve">Comparaison des capacités moyennes d’adaptation sociale des adolescents selon leurs </w:t>
            </w:r>
            <w:r w:rsidRPr="003A6EBA">
              <w:rPr>
                <w:sz w:val="24"/>
                <w:szCs w:val="24"/>
                <w:lang w:eastAsia="fr-FR"/>
              </w:rPr>
              <w:t>stratégies de régulation émotionnelle</w:t>
            </w:r>
          </w:p>
        </w:tc>
      </w:tr>
      <w:tr w:rsidR="00D80693" w14:paraId="1AC68E38" w14:textId="77777777" w:rsidTr="00D72320">
        <w:trPr>
          <w:cantSplit/>
          <w:trHeight w:val="166"/>
        </w:trPr>
        <w:tc>
          <w:tcPr>
            <w:tcW w:w="1980" w:type="dxa"/>
            <w:tcBorders>
              <w:top w:val="single" w:sz="4" w:space="0" w:color="auto"/>
              <w:bottom w:val="single" w:sz="4" w:space="0" w:color="auto"/>
            </w:tcBorders>
            <w:shd w:val="clear" w:color="auto" w:fill="FFFFFF"/>
            <w:vAlign w:val="center"/>
          </w:tcPr>
          <w:p w14:paraId="4C63A90D" w14:textId="77777777" w:rsidR="00D80693" w:rsidRPr="003A6EBA" w:rsidRDefault="00D80693" w:rsidP="00D72320">
            <w:pPr>
              <w:adjustRightInd w:val="0"/>
              <w:ind w:left="60" w:right="60" w:hanging="10"/>
              <w:jc w:val="both"/>
              <w:rPr>
                <w:sz w:val="24"/>
                <w:szCs w:val="24"/>
                <w:lang w:eastAsia="fr-FR"/>
              </w:rPr>
            </w:pPr>
          </w:p>
        </w:tc>
        <w:tc>
          <w:tcPr>
            <w:tcW w:w="3245" w:type="dxa"/>
            <w:tcBorders>
              <w:top w:val="single" w:sz="4" w:space="0" w:color="auto"/>
              <w:bottom w:val="single" w:sz="4" w:space="0" w:color="auto"/>
            </w:tcBorders>
            <w:shd w:val="clear" w:color="auto" w:fill="FFFFFF"/>
          </w:tcPr>
          <w:p w14:paraId="2659474B"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Moyenne (M)</w:t>
            </w:r>
          </w:p>
        </w:tc>
        <w:tc>
          <w:tcPr>
            <w:tcW w:w="3119" w:type="dxa"/>
            <w:tcBorders>
              <w:top w:val="single" w:sz="4" w:space="0" w:color="auto"/>
              <w:bottom w:val="single" w:sz="4" w:space="0" w:color="auto"/>
            </w:tcBorders>
            <w:shd w:val="clear" w:color="auto" w:fill="FFFFFF"/>
          </w:tcPr>
          <w:p w14:paraId="4A10CD7B"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Ecart-type (ET)</w:t>
            </w:r>
          </w:p>
        </w:tc>
        <w:tc>
          <w:tcPr>
            <w:tcW w:w="708" w:type="dxa"/>
            <w:tcBorders>
              <w:top w:val="single" w:sz="4" w:space="0" w:color="auto"/>
              <w:bottom w:val="single" w:sz="4" w:space="0" w:color="auto"/>
            </w:tcBorders>
            <w:shd w:val="clear" w:color="auto" w:fill="FFFFFF"/>
          </w:tcPr>
          <w:p w14:paraId="01A7BB3C" w14:textId="77777777" w:rsidR="00D80693" w:rsidRPr="003A6EBA" w:rsidRDefault="00D80693" w:rsidP="00D72320">
            <w:pPr>
              <w:adjustRightInd w:val="0"/>
              <w:ind w:left="60" w:right="60" w:hanging="10"/>
              <w:jc w:val="center"/>
              <w:rPr>
                <w:sz w:val="24"/>
                <w:szCs w:val="24"/>
                <w:lang w:eastAsia="fr-FR"/>
              </w:rPr>
            </w:pPr>
          </w:p>
        </w:tc>
      </w:tr>
      <w:tr w:rsidR="00D80693" w14:paraId="155FA38A" w14:textId="77777777" w:rsidTr="00D72320">
        <w:trPr>
          <w:cantSplit/>
        </w:trPr>
        <w:tc>
          <w:tcPr>
            <w:tcW w:w="1980" w:type="dxa"/>
            <w:tcBorders>
              <w:top w:val="single" w:sz="4" w:space="0" w:color="auto"/>
            </w:tcBorders>
            <w:shd w:val="clear" w:color="auto" w:fill="FFFFFF"/>
            <w:vAlign w:val="center"/>
          </w:tcPr>
          <w:p w14:paraId="4E4AAE45"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 xml:space="preserve">Par réévaluation </w:t>
            </w:r>
          </w:p>
        </w:tc>
        <w:tc>
          <w:tcPr>
            <w:tcW w:w="3245" w:type="dxa"/>
            <w:tcBorders>
              <w:top w:val="single" w:sz="4" w:space="0" w:color="auto"/>
            </w:tcBorders>
            <w:shd w:val="clear" w:color="auto" w:fill="FFFFFF"/>
          </w:tcPr>
          <w:p w14:paraId="220C6DB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98,02</w:t>
            </w:r>
          </w:p>
        </w:tc>
        <w:tc>
          <w:tcPr>
            <w:tcW w:w="3119" w:type="dxa"/>
            <w:tcBorders>
              <w:top w:val="single" w:sz="4" w:space="0" w:color="auto"/>
            </w:tcBorders>
            <w:shd w:val="clear" w:color="auto" w:fill="FFFFFF"/>
          </w:tcPr>
          <w:p w14:paraId="51D8C836"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22,18</w:t>
            </w:r>
          </w:p>
        </w:tc>
        <w:tc>
          <w:tcPr>
            <w:tcW w:w="708" w:type="dxa"/>
            <w:tcBorders>
              <w:top w:val="single" w:sz="4" w:space="0" w:color="auto"/>
            </w:tcBorders>
            <w:shd w:val="clear" w:color="auto" w:fill="FFFFFF"/>
          </w:tcPr>
          <w:p w14:paraId="0485A03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69</w:t>
            </w:r>
          </w:p>
        </w:tc>
      </w:tr>
      <w:tr w:rsidR="00D80693" w14:paraId="64A58271" w14:textId="77777777" w:rsidTr="00D72320">
        <w:trPr>
          <w:cantSplit/>
          <w:trHeight w:val="160"/>
        </w:trPr>
        <w:tc>
          <w:tcPr>
            <w:tcW w:w="1980" w:type="dxa"/>
            <w:shd w:val="clear" w:color="auto" w:fill="FFFFFF"/>
            <w:vAlign w:val="center"/>
          </w:tcPr>
          <w:p w14:paraId="1111A4E6"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 xml:space="preserve">Par suppression </w:t>
            </w:r>
          </w:p>
        </w:tc>
        <w:tc>
          <w:tcPr>
            <w:tcW w:w="3245" w:type="dxa"/>
            <w:shd w:val="clear" w:color="auto" w:fill="FFFFFF"/>
          </w:tcPr>
          <w:p w14:paraId="6CEFD522"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94,29</w:t>
            </w:r>
          </w:p>
        </w:tc>
        <w:tc>
          <w:tcPr>
            <w:tcW w:w="3119" w:type="dxa"/>
            <w:shd w:val="clear" w:color="auto" w:fill="FFFFFF"/>
          </w:tcPr>
          <w:p w14:paraId="47D0616D"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19,10</w:t>
            </w:r>
          </w:p>
        </w:tc>
        <w:tc>
          <w:tcPr>
            <w:tcW w:w="708" w:type="dxa"/>
            <w:shd w:val="clear" w:color="auto" w:fill="FFFFFF"/>
          </w:tcPr>
          <w:p w14:paraId="203677FA"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44</w:t>
            </w:r>
          </w:p>
        </w:tc>
      </w:tr>
      <w:tr w:rsidR="00D80693" w14:paraId="182D1904" w14:textId="77777777" w:rsidTr="00D72320">
        <w:trPr>
          <w:cantSplit/>
          <w:trHeight w:val="63"/>
        </w:trPr>
        <w:tc>
          <w:tcPr>
            <w:tcW w:w="9052" w:type="dxa"/>
            <w:gridSpan w:val="4"/>
            <w:tcBorders>
              <w:bottom w:val="single" w:sz="4" w:space="0" w:color="auto"/>
            </w:tcBorders>
            <w:shd w:val="clear" w:color="auto" w:fill="FFFFFF"/>
            <w:vAlign w:val="center"/>
          </w:tcPr>
          <w:p w14:paraId="3C8A13F9"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 xml:space="preserve">(N= 113 ; </w:t>
            </w:r>
            <w:r w:rsidRPr="003A6EBA">
              <w:rPr>
                <w:i/>
                <w:iCs/>
                <w:sz w:val="24"/>
                <w:szCs w:val="24"/>
                <w:lang w:eastAsia="fr-FR"/>
              </w:rPr>
              <w:t xml:space="preserve">z </w:t>
            </w:r>
            <w:r w:rsidRPr="003A6EBA">
              <w:rPr>
                <w:sz w:val="24"/>
                <w:szCs w:val="24"/>
                <w:lang w:eastAsia="fr-FR"/>
              </w:rPr>
              <w:t>= 0,859 ; p &lt; 0,05)</w:t>
            </w:r>
          </w:p>
        </w:tc>
      </w:tr>
    </w:tbl>
    <w:p w14:paraId="29A63860" w14:textId="77777777" w:rsidR="0016777C" w:rsidRDefault="00D80693" w:rsidP="0016777C">
      <w:pPr>
        <w:spacing w:after="12"/>
        <w:ind w:firstLine="708"/>
        <w:jc w:val="both"/>
        <w:rPr>
          <w:i/>
          <w:lang w:eastAsia="fr-FR"/>
        </w:rPr>
      </w:pPr>
      <w:r w:rsidRPr="003A6EBA">
        <w:rPr>
          <w:sz w:val="24"/>
          <w:szCs w:val="24"/>
          <w:lang w:eastAsia="fr-FR"/>
        </w:rPr>
        <w:tab/>
      </w:r>
      <w:r w:rsidRPr="003A6EBA">
        <w:rPr>
          <w:sz w:val="24"/>
          <w:szCs w:val="24"/>
          <w:lang w:eastAsia="fr-FR"/>
        </w:rPr>
        <w:tab/>
      </w:r>
      <w:r w:rsidRPr="003A6EBA">
        <w:rPr>
          <w:sz w:val="24"/>
          <w:szCs w:val="24"/>
          <w:lang w:eastAsia="fr-FR"/>
        </w:rPr>
        <w:tab/>
      </w:r>
      <w:r w:rsidRPr="00F63588">
        <w:rPr>
          <w:i/>
          <w:lang w:eastAsia="fr-FR"/>
        </w:rPr>
        <w:t xml:space="preserve">Source : Données de terrain </w:t>
      </w:r>
    </w:p>
    <w:p w14:paraId="5904D848" w14:textId="2A340B67" w:rsidR="00D80693" w:rsidRPr="0016777C" w:rsidRDefault="00D80693" w:rsidP="0016777C">
      <w:pPr>
        <w:spacing w:after="12"/>
        <w:jc w:val="both"/>
        <w:rPr>
          <w:i/>
          <w:lang w:eastAsia="fr-FR"/>
        </w:rPr>
      </w:pPr>
      <w:r w:rsidRPr="002B4078">
        <w:rPr>
          <w:sz w:val="24"/>
          <w:szCs w:val="24"/>
          <w:lang w:eastAsia="fr-FR"/>
        </w:rPr>
        <w:t>Ce tableau révèle</w:t>
      </w:r>
      <w:r w:rsidRPr="003A6EBA">
        <w:rPr>
          <w:sz w:val="24"/>
          <w:szCs w:val="24"/>
          <w:lang w:eastAsia="fr-FR"/>
        </w:rPr>
        <w:t xml:space="preserve"> que les adolescents déplacés internes expriment très différemment ce qu’ils ressentent comme émotion. En effet, l’on note</w:t>
      </w:r>
      <w:r>
        <w:rPr>
          <w:sz w:val="24"/>
          <w:szCs w:val="24"/>
          <w:lang w:eastAsia="fr-FR"/>
        </w:rPr>
        <w:t xml:space="preserve"> </w:t>
      </w:r>
      <w:r w:rsidRPr="003A6EBA">
        <w:rPr>
          <w:sz w:val="24"/>
          <w:szCs w:val="24"/>
          <w:lang w:eastAsia="fr-FR"/>
        </w:rPr>
        <w:t xml:space="preserve">que pour faire face à ces émotions qu’ils développent au quotidien, près de 61,61%, soit 69 </w:t>
      </w:r>
      <w:r w:rsidRPr="008D189F">
        <w:rPr>
          <w:sz w:val="24"/>
          <w:szCs w:val="24"/>
          <w:lang w:eastAsia="fr-FR"/>
        </w:rPr>
        <w:t xml:space="preserve">d’entre eux </w:t>
      </w:r>
      <w:r w:rsidRPr="008D189F">
        <w:rPr>
          <w:bCs/>
          <w:sz w:val="24"/>
          <w:lang w:eastAsia="fr-FR"/>
        </w:rPr>
        <w:t>font plus recours</w:t>
      </w:r>
      <w:r w:rsidRPr="008D189F">
        <w:rPr>
          <w:b/>
          <w:bCs/>
          <w:sz w:val="24"/>
          <w:lang w:eastAsia="fr-FR"/>
        </w:rPr>
        <w:t xml:space="preserve"> </w:t>
      </w:r>
      <w:r w:rsidRPr="008D189F">
        <w:rPr>
          <w:bCs/>
          <w:sz w:val="24"/>
          <w:lang w:eastAsia="fr-FR"/>
        </w:rPr>
        <w:t>à</w:t>
      </w:r>
      <w:r w:rsidRPr="008D189F">
        <w:rPr>
          <w:sz w:val="24"/>
          <w:lang w:eastAsia="fr-FR"/>
        </w:rPr>
        <w:t xml:space="preserve"> des stratégies de réévaluation comme </w:t>
      </w:r>
      <w:r w:rsidRPr="003A6EBA">
        <w:rPr>
          <w:sz w:val="24"/>
          <w:szCs w:val="24"/>
          <w:lang w:eastAsia="fr-FR"/>
        </w:rPr>
        <w:t xml:space="preserve">faire exprès de penser à quelque chose différent lorsqu’ils veulent ressentir plus d’émotion positives (joie, amusement) ou moins d’émotions négatives (tristesse, colère). Ce résultat révèle que lorsque ces adolescents sont confrontés à une situation stressante, non seulement ils s’arrangent à y penser </w:t>
      </w:r>
      <w:proofErr w:type="gramStart"/>
      <w:r w:rsidRPr="003A6EBA">
        <w:rPr>
          <w:sz w:val="24"/>
          <w:szCs w:val="24"/>
          <w:lang w:eastAsia="fr-FR"/>
        </w:rPr>
        <w:t>de manière à ce</w:t>
      </w:r>
      <w:proofErr w:type="gramEnd"/>
      <w:r w:rsidRPr="003A6EBA">
        <w:rPr>
          <w:sz w:val="24"/>
          <w:szCs w:val="24"/>
          <w:lang w:eastAsia="fr-FR"/>
        </w:rPr>
        <w:t xml:space="preserve"> que cela les aide à se calmer, mais ils changent leur façon de voir la situation dans laquelle ils se trouvent, afin de mieux contrôler ou réguler les émotions qu’elle induit chez eux.  </w:t>
      </w:r>
      <w:proofErr w:type="gramStart"/>
      <w:r w:rsidRPr="003A6EBA">
        <w:rPr>
          <w:sz w:val="24"/>
          <w:szCs w:val="24"/>
          <w:lang w:eastAsia="fr-FR"/>
        </w:rPr>
        <w:t>Par contre</w:t>
      </w:r>
      <w:proofErr w:type="gramEnd"/>
      <w:r w:rsidRPr="003A6EBA">
        <w:rPr>
          <w:sz w:val="24"/>
          <w:szCs w:val="24"/>
          <w:lang w:eastAsia="fr-FR"/>
        </w:rPr>
        <w:t>, il en ressort que près de 38,39%, soit 44 participants développent plus de stratégies de suppression pour réguler leurs émotions. En effets, ceux-ci expriment des tendances élevées à cacher et garder leurs émotions pour eux-mêmes, et se disent pouvoir mieux les contrôler en évitant de les exprimer.</w:t>
      </w:r>
    </w:p>
    <w:p w14:paraId="29EA36F9" w14:textId="77777777" w:rsidR="00D80693" w:rsidRPr="003A6EBA" w:rsidRDefault="00D80693" w:rsidP="0016777C">
      <w:pPr>
        <w:spacing w:before="240"/>
        <w:ind w:left="-15"/>
        <w:jc w:val="both"/>
        <w:rPr>
          <w:sz w:val="24"/>
          <w:szCs w:val="24"/>
          <w:lang w:eastAsia="fr-FR"/>
        </w:rPr>
      </w:pPr>
      <w:r w:rsidRPr="003A6EBA">
        <w:rPr>
          <w:sz w:val="24"/>
          <w:szCs w:val="24"/>
          <w:lang w:eastAsia="fr-FR"/>
        </w:rPr>
        <w:t>L’on dégage de ce résultat que ceux qui régulent leurs émotions avec une stratégie de suppression ressentent plus d'émotions négatives et démontrent moins de capacités d’adaptation aux situations sociales qui les provoquent.</w:t>
      </w:r>
      <w:r>
        <w:rPr>
          <w:sz w:val="24"/>
          <w:szCs w:val="24"/>
          <w:lang w:eastAsia="fr-FR"/>
        </w:rPr>
        <w:t xml:space="preserve"> </w:t>
      </w:r>
      <w:r w:rsidRPr="003A6EBA">
        <w:rPr>
          <w:sz w:val="24"/>
          <w:szCs w:val="24"/>
          <w:lang w:eastAsia="fr-FR"/>
        </w:rPr>
        <w:t>Cependant,</w:t>
      </w:r>
      <w:r>
        <w:rPr>
          <w:sz w:val="24"/>
          <w:szCs w:val="24"/>
          <w:lang w:eastAsia="fr-FR"/>
        </w:rPr>
        <w:t xml:space="preserve"> </w:t>
      </w:r>
      <w:r w:rsidRPr="003A6EBA">
        <w:rPr>
          <w:sz w:val="24"/>
          <w:szCs w:val="24"/>
          <w:lang w:eastAsia="fr-FR"/>
        </w:rPr>
        <w:t>plus ils utilisent la stratégie de suppression, moins ils développeraient des émotions positives. Quant à ceux qui régulent leurs émotions par la stratégie de réévaluation de la situation, ils ressentent plus d'émotions positives et démontrent</w:t>
      </w:r>
      <w:r>
        <w:rPr>
          <w:sz w:val="24"/>
          <w:szCs w:val="24"/>
          <w:lang w:eastAsia="fr-FR"/>
        </w:rPr>
        <w:t xml:space="preserve"> </w:t>
      </w:r>
      <w:r w:rsidRPr="003A6EBA">
        <w:rPr>
          <w:sz w:val="24"/>
          <w:szCs w:val="24"/>
          <w:lang w:eastAsia="fr-FR"/>
        </w:rPr>
        <w:t>moins d’émotions négatives, avec plus de capacités d’adaptation aux situations sociales. Concernant le lien entre les stratégies de régulation émotionnelles et les capacités d’adaptation sociale des adolescents déplacés internes, une comparaison des moyennes est effectuée entre les scores obtenus aux différentes sous-échelles de fréquence et d’importance des comportements socio-adaptatifs qu’ils développeraient. Il en ressort que les 61,61%, soit 69 des adolescents réfugiés qui réguleraient leurs émotions par la réévaluation seraient socialement plus adaptés que les 38,39%, dont 44 qui feraient plus recoure aux stratégies de régulation par suppression. En totalisant les scores indiquant la fréquence des actions sociales qu’ils développeraient et ceux indiquant le degré d’importance de ces différents comportements socio-adoptifs pour eux, l’on note que ceux appartenant au groupe Régulation par réévaluation</w:t>
      </w:r>
      <w:r>
        <w:rPr>
          <w:sz w:val="24"/>
          <w:szCs w:val="24"/>
          <w:lang w:eastAsia="fr-FR"/>
        </w:rPr>
        <w:t xml:space="preserve"> </w:t>
      </w:r>
      <w:r w:rsidRPr="003A6EBA">
        <w:rPr>
          <w:sz w:val="24"/>
          <w:szCs w:val="24"/>
          <w:lang w:eastAsia="fr-FR"/>
        </w:rPr>
        <w:t xml:space="preserve">présentent une capacité moyenne d’adaptation sociale de 98,02 avec un écart-type de 22,18. Quant à ceux qui sont dans le groupe Régulation par suppression (RS), on note une capacité moyenne d’adaptation sociale de 94,29 avec un écart-type de 19,10. </w:t>
      </w:r>
    </w:p>
    <w:p w14:paraId="194BA8C1" w14:textId="77777777" w:rsidR="00D80693" w:rsidRPr="003A6EBA" w:rsidRDefault="00D80693" w:rsidP="00D80693">
      <w:pPr>
        <w:pStyle w:val="Paragraphedeliste"/>
        <w:widowControl/>
        <w:numPr>
          <w:ilvl w:val="1"/>
          <w:numId w:val="188"/>
        </w:numPr>
        <w:autoSpaceDE/>
        <w:autoSpaceDN/>
        <w:spacing w:before="240"/>
        <w:contextualSpacing/>
        <w:rPr>
          <w:sz w:val="24"/>
          <w:szCs w:val="24"/>
          <w:lang w:eastAsia="fr-FR"/>
        </w:rPr>
      </w:pPr>
      <w:r w:rsidRPr="003A6EBA">
        <w:rPr>
          <w:b/>
          <w:sz w:val="24"/>
          <w:szCs w:val="24"/>
          <w:lang w:eastAsia="fr-FR"/>
        </w:rPr>
        <w:t xml:space="preserve">Coping cognitif et capacité d’adaptation sociale des adolescents déplacés internes post-inondations  </w:t>
      </w:r>
    </w:p>
    <w:p w14:paraId="0695B3BB" w14:textId="77777777" w:rsidR="00D80693" w:rsidRPr="00502A80" w:rsidRDefault="00D80693" w:rsidP="00D80693">
      <w:pPr>
        <w:spacing w:before="240"/>
        <w:ind w:left="-5" w:hanging="10"/>
        <w:jc w:val="both"/>
        <w:rPr>
          <w:i/>
          <w:lang w:eastAsia="fr-FR"/>
        </w:rPr>
      </w:pPr>
      <w:r w:rsidRPr="00502A80">
        <w:rPr>
          <w:b/>
          <w:i/>
          <w:lang w:eastAsia="fr-FR"/>
        </w:rPr>
        <w:t xml:space="preserve">Tableau 4 : </w:t>
      </w:r>
      <w:r w:rsidRPr="008D189F">
        <w:rPr>
          <w:bCs/>
          <w:i/>
          <w:lang w:eastAsia="fr-FR"/>
        </w:rPr>
        <w:t>Analyse</w:t>
      </w:r>
      <w:r w:rsidRPr="00502A80">
        <w:rPr>
          <w:i/>
          <w:lang w:eastAsia="fr-FR"/>
        </w:rPr>
        <w:t xml:space="preserve"> des capacités d’adaptation sociale des adolescents déplacés internes selon leurs capacités de coping cognitif </w:t>
      </w:r>
    </w:p>
    <w:tbl>
      <w:tblPr>
        <w:tblW w:w="8911" w:type="dxa"/>
        <w:tblLayout w:type="fixed"/>
        <w:tblCellMar>
          <w:left w:w="0" w:type="dxa"/>
          <w:right w:w="0" w:type="dxa"/>
        </w:tblCellMar>
        <w:tblLook w:val="0000" w:firstRow="0" w:lastRow="0" w:firstColumn="0" w:lastColumn="0" w:noHBand="0" w:noVBand="0"/>
      </w:tblPr>
      <w:tblGrid>
        <w:gridCol w:w="2248"/>
        <w:gridCol w:w="2835"/>
        <w:gridCol w:w="2977"/>
        <w:gridCol w:w="851"/>
      </w:tblGrid>
      <w:tr w:rsidR="00D80693" w14:paraId="43479FB8" w14:textId="77777777" w:rsidTr="00D72320">
        <w:trPr>
          <w:cantSplit/>
          <w:trHeight w:val="277"/>
        </w:trPr>
        <w:tc>
          <w:tcPr>
            <w:tcW w:w="8911" w:type="dxa"/>
            <w:gridSpan w:val="4"/>
            <w:tcBorders>
              <w:top w:val="single" w:sz="4" w:space="0" w:color="auto"/>
              <w:bottom w:val="single" w:sz="4" w:space="0" w:color="auto"/>
            </w:tcBorders>
            <w:shd w:val="clear" w:color="auto" w:fill="FFFFFF"/>
          </w:tcPr>
          <w:p w14:paraId="381CC89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Distribution des participants suivant leurs capacités de coping cognitif</w:t>
            </w:r>
          </w:p>
        </w:tc>
      </w:tr>
      <w:tr w:rsidR="00D80693" w14:paraId="0D59F36A" w14:textId="77777777" w:rsidTr="00D72320">
        <w:trPr>
          <w:cantSplit/>
          <w:trHeight w:val="374"/>
        </w:trPr>
        <w:tc>
          <w:tcPr>
            <w:tcW w:w="2248" w:type="dxa"/>
            <w:tcBorders>
              <w:top w:val="single" w:sz="4" w:space="0" w:color="auto"/>
            </w:tcBorders>
            <w:shd w:val="clear" w:color="auto" w:fill="FFFFFF"/>
          </w:tcPr>
          <w:p w14:paraId="2DC73A66" w14:textId="77777777" w:rsidR="00D80693" w:rsidRPr="003A6EBA" w:rsidRDefault="00D80693" w:rsidP="00D72320">
            <w:pPr>
              <w:adjustRightInd w:val="0"/>
              <w:ind w:left="-5" w:hanging="10"/>
              <w:jc w:val="both"/>
              <w:rPr>
                <w:sz w:val="24"/>
                <w:szCs w:val="24"/>
                <w:lang w:eastAsia="fr-FR"/>
              </w:rPr>
            </w:pPr>
          </w:p>
        </w:tc>
        <w:tc>
          <w:tcPr>
            <w:tcW w:w="2835" w:type="dxa"/>
            <w:tcBorders>
              <w:top w:val="single" w:sz="4" w:space="0" w:color="auto"/>
            </w:tcBorders>
            <w:shd w:val="clear" w:color="auto" w:fill="FFFFFF"/>
          </w:tcPr>
          <w:p w14:paraId="4F182BC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Coping cognitif adaptatif</w:t>
            </w:r>
          </w:p>
        </w:tc>
        <w:tc>
          <w:tcPr>
            <w:tcW w:w="2977" w:type="dxa"/>
            <w:tcBorders>
              <w:top w:val="single" w:sz="4" w:space="0" w:color="auto"/>
            </w:tcBorders>
            <w:shd w:val="clear" w:color="auto" w:fill="FFFFFF"/>
          </w:tcPr>
          <w:p w14:paraId="6D5356A3"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Coping cognitif non adaptatif</w:t>
            </w:r>
          </w:p>
        </w:tc>
        <w:tc>
          <w:tcPr>
            <w:tcW w:w="851" w:type="dxa"/>
            <w:tcBorders>
              <w:top w:val="single" w:sz="4" w:space="0" w:color="auto"/>
            </w:tcBorders>
            <w:shd w:val="clear" w:color="auto" w:fill="FFFFFF"/>
          </w:tcPr>
          <w:p w14:paraId="312FAF0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Total</w:t>
            </w:r>
          </w:p>
        </w:tc>
      </w:tr>
      <w:tr w:rsidR="00D80693" w14:paraId="63A30003" w14:textId="77777777" w:rsidTr="00D72320">
        <w:trPr>
          <w:cantSplit/>
          <w:trHeight w:val="159"/>
        </w:trPr>
        <w:tc>
          <w:tcPr>
            <w:tcW w:w="2248" w:type="dxa"/>
            <w:shd w:val="clear" w:color="auto" w:fill="FFFFFF"/>
            <w:vAlign w:val="center"/>
          </w:tcPr>
          <w:p w14:paraId="4EDBDD82"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Effectifs (N)</w:t>
            </w:r>
          </w:p>
        </w:tc>
        <w:tc>
          <w:tcPr>
            <w:tcW w:w="2835" w:type="dxa"/>
            <w:shd w:val="clear" w:color="auto" w:fill="FFFFFF"/>
          </w:tcPr>
          <w:p w14:paraId="63CDA05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56</w:t>
            </w:r>
          </w:p>
        </w:tc>
        <w:tc>
          <w:tcPr>
            <w:tcW w:w="2977" w:type="dxa"/>
            <w:shd w:val="clear" w:color="auto" w:fill="FFFFFF"/>
          </w:tcPr>
          <w:p w14:paraId="628BFFF7"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57</w:t>
            </w:r>
          </w:p>
        </w:tc>
        <w:tc>
          <w:tcPr>
            <w:tcW w:w="851" w:type="dxa"/>
            <w:shd w:val="clear" w:color="auto" w:fill="FFFFFF"/>
          </w:tcPr>
          <w:p w14:paraId="2FE79DF1"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113</w:t>
            </w:r>
          </w:p>
        </w:tc>
      </w:tr>
      <w:tr w:rsidR="00D80693" w14:paraId="0D8852ED" w14:textId="77777777" w:rsidTr="00D72320">
        <w:trPr>
          <w:cantSplit/>
        </w:trPr>
        <w:tc>
          <w:tcPr>
            <w:tcW w:w="2248" w:type="dxa"/>
            <w:shd w:val="clear" w:color="auto" w:fill="FFFFFF"/>
            <w:vAlign w:val="center"/>
          </w:tcPr>
          <w:p w14:paraId="7F446EA5"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Pourcentages (%)</w:t>
            </w:r>
          </w:p>
        </w:tc>
        <w:tc>
          <w:tcPr>
            <w:tcW w:w="2835" w:type="dxa"/>
            <w:shd w:val="clear" w:color="auto" w:fill="FFFFFF"/>
          </w:tcPr>
          <w:p w14:paraId="7F559DEF"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49,11</w:t>
            </w:r>
          </w:p>
        </w:tc>
        <w:tc>
          <w:tcPr>
            <w:tcW w:w="2977" w:type="dxa"/>
            <w:shd w:val="clear" w:color="auto" w:fill="FFFFFF"/>
          </w:tcPr>
          <w:p w14:paraId="1298CC8B"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50,89</w:t>
            </w:r>
          </w:p>
        </w:tc>
        <w:tc>
          <w:tcPr>
            <w:tcW w:w="851" w:type="dxa"/>
            <w:shd w:val="clear" w:color="auto" w:fill="FFFFFF"/>
          </w:tcPr>
          <w:p w14:paraId="0AEBA792"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100</w:t>
            </w:r>
          </w:p>
        </w:tc>
      </w:tr>
      <w:tr w:rsidR="00D80693" w14:paraId="62516320" w14:textId="77777777" w:rsidTr="00D72320">
        <w:trPr>
          <w:cantSplit/>
        </w:trPr>
        <w:tc>
          <w:tcPr>
            <w:tcW w:w="2248" w:type="dxa"/>
            <w:shd w:val="clear" w:color="auto" w:fill="FFFFFF"/>
            <w:vAlign w:val="center"/>
          </w:tcPr>
          <w:p w14:paraId="41E1FB21"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Moyenne (M)</w:t>
            </w:r>
          </w:p>
        </w:tc>
        <w:tc>
          <w:tcPr>
            <w:tcW w:w="2835" w:type="dxa"/>
            <w:shd w:val="clear" w:color="auto" w:fill="FFFFFF"/>
          </w:tcPr>
          <w:p w14:paraId="156C0133"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62,89</w:t>
            </w:r>
          </w:p>
        </w:tc>
        <w:tc>
          <w:tcPr>
            <w:tcW w:w="2977" w:type="dxa"/>
            <w:shd w:val="clear" w:color="auto" w:fill="FFFFFF"/>
          </w:tcPr>
          <w:p w14:paraId="6B76BDB1"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55,93</w:t>
            </w:r>
          </w:p>
        </w:tc>
        <w:tc>
          <w:tcPr>
            <w:tcW w:w="851" w:type="dxa"/>
            <w:shd w:val="clear" w:color="auto" w:fill="FFFFFF"/>
          </w:tcPr>
          <w:p w14:paraId="45582A09"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118,82</w:t>
            </w:r>
          </w:p>
        </w:tc>
      </w:tr>
      <w:tr w:rsidR="00D80693" w14:paraId="09EF3662" w14:textId="77777777" w:rsidTr="00D72320">
        <w:trPr>
          <w:cantSplit/>
        </w:trPr>
        <w:tc>
          <w:tcPr>
            <w:tcW w:w="2248" w:type="dxa"/>
            <w:tcBorders>
              <w:bottom w:val="single" w:sz="4" w:space="0" w:color="auto"/>
            </w:tcBorders>
            <w:shd w:val="clear" w:color="auto" w:fill="FFFFFF"/>
            <w:vAlign w:val="center"/>
          </w:tcPr>
          <w:p w14:paraId="6754A3E1"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Ecart-Moyen (EM)</w:t>
            </w:r>
          </w:p>
        </w:tc>
        <w:tc>
          <w:tcPr>
            <w:tcW w:w="2835" w:type="dxa"/>
            <w:tcBorders>
              <w:bottom w:val="single" w:sz="4" w:space="0" w:color="auto"/>
            </w:tcBorders>
            <w:shd w:val="clear" w:color="auto" w:fill="FFFFFF"/>
          </w:tcPr>
          <w:p w14:paraId="351FE61A"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12,89</w:t>
            </w:r>
          </w:p>
        </w:tc>
        <w:tc>
          <w:tcPr>
            <w:tcW w:w="2977" w:type="dxa"/>
            <w:tcBorders>
              <w:bottom w:val="single" w:sz="4" w:space="0" w:color="auto"/>
            </w:tcBorders>
            <w:shd w:val="clear" w:color="auto" w:fill="FFFFFF"/>
          </w:tcPr>
          <w:p w14:paraId="23CB347C"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15,93</w:t>
            </w:r>
          </w:p>
        </w:tc>
        <w:tc>
          <w:tcPr>
            <w:tcW w:w="851" w:type="dxa"/>
            <w:tcBorders>
              <w:bottom w:val="single" w:sz="4" w:space="0" w:color="auto"/>
            </w:tcBorders>
            <w:shd w:val="clear" w:color="auto" w:fill="FFFFFF"/>
          </w:tcPr>
          <w:p w14:paraId="45A9460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28,82</w:t>
            </w:r>
          </w:p>
        </w:tc>
      </w:tr>
      <w:tr w:rsidR="00D80693" w14:paraId="39104F29" w14:textId="77777777" w:rsidTr="00D72320">
        <w:trPr>
          <w:cantSplit/>
          <w:trHeight w:val="222"/>
        </w:trPr>
        <w:tc>
          <w:tcPr>
            <w:tcW w:w="8911" w:type="dxa"/>
            <w:gridSpan w:val="4"/>
            <w:tcBorders>
              <w:top w:val="single" w:sz="4" w:space="0" w:color="auto"/>
              <w:bottom w:val="single" w:sz="4" w:space="0" w:color="auto"/>
            </w:tcBorders>
            <w:shd w:val="clear" w:color="auto" w:fill="FFFFFF"/>
            <w:vAlign w:val="center"/>
          </w:tcPr>
          <w:p w14:paraId="390612E9" w14:textId="77777777" w:rsidR="00D80693" w:rsidRPr="003A6EBA" w:rsidRDefault="00D80693" w:rsidP="00D72320">
            <w:pPr>
              <w:adjustRightInd w:val="0"/>
              <w:ind w:left="60" w:right="60" w:hanging="10"/>
              <w:jc w:val="center"/>
              <w:rPr>
                <w:sz w:val="24"/>
                <w:szCs w:val="24"/>
                <w:lang w:eastAsia="fr-FR"/>
              </w:rPr>
            </w:pPr>
            <w:r w:rsidRPr="003A6EBA">
              <w:rPr>
                <w:bCs/>
                <w:sz w:val="24"/>
                <w:szCs w:val="24"/>
                <w:lang w:eastAsia="fr-FR"/>
              </w:rPr>
              <w:t xml:space="preserve">Comparaison des capacités moyennes d’adaptation sociale des adolescents selon </w:t>
            </w:r>
            <w:r w:rsidRPr="003A6EBA">
              <w:rPr>
                <w:sz w:val="24"/>
                <w:szCs w:val="24"/>
                <w:lang w:eastAsia="fr-FR"/>
              </w:rPr>
              <w:t>leurs capacités de coping cognitif</w:t>
            </w:r>
          </w:p>
        </w:tc>
      </w:tr>
      <w:tr w:rsidR="00D80693" w14:paraId="0AF807F7" w14:textId="77777777" w:rsidTr="00D72320">
        <w:trPr>
          <w:cantSplit/>
          <w:trHeight w:val="414"/>
        </w:trPr>
        <w:tc>
          <w:tcPr>
            <w:tcW w:w="2248" w:type="dxa"/>
            <w:tcBorders>
              <w:top w:val="single" w:sz="4" w:space="0" w:color="auto"/>
            </w:tcBorders>
            <w:shd w:val="clear" w:color="auto" w:fill="FFFFFF"/>
            <w:vAlign w:val="center"/>
          </w:tcPr>
          <w:p w14:paraId="41B99B8E" w14:textId="77777777" w:rsidR="00D80693" w:rsidRPr="003A6EBA" w:rsidRDefault="00D80693" w:rsidP="00D72320">
            <w:pPr>
              <w:adjustRightInd w:val="0"/>
              <w:ind w:left="60" w:right="60" w:hanging="10"/>
              <w:jc w:val="both"/>
              <w:rPr>
                <w:sz w:val="24"/>
                <w:szCs w:val="24"/>
                <w:lang w:eastAsia="fr-FR"/>
              </w:rPr>
            </w:pPr>
          </w:p>
        </w:tc>
        <w:tc>
          <w:tcPr>
            <w:tcW w:w="2835" w:type="dxa"/>
            <w:tcBorders>
              <w:top w:val="single" w:sz="4" w:space="0" w:color="auto"/>
            </w:tcBorders>
            <w:shd w:val="clear" w:color="auto" w:fill="FFFFFF"/>
          </w:tcPr>
          <w:p w14:paraId="08917141"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Moyenne</w:t>
            </w:r>
          </w:p>
        </w:tc>
        <w:tc>
          <w:tcPr>
            <w:tcW w:w="2977" w:type="dxa"/>
            <w:tcBorders>
              <w:top w:val="single" w:sz="4" w:space="0" w:color="auto"/>
            </w:tcBorders>
            <w:shd w:val="clear" w:color="auto" w:fill="FFFFFF"/>
          </w:tcPr>
          <w:p w14:paraId="4EB275D9"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Ecart-type</w:t>
            </w:r>
          </w:p>
        </w:tc>
        <w:tc>
          <w:tcPr>
            <w:tcW w:w="851" w:type="dxa"/>
            <w:tcBorders>
              <w:top w:val="single" w:sz="4" w:space="0" w:color="auto"/>
            </w:tcBorders>
            <w:shd w:val="clear" w:color="auto" w:fill="FFFFFF"/>
          </w:tcPr>
          <w:p w14:paraId="2F5FD841" w14:textId="77777777" w:rsidR="00D80693" w:rsidRPr="003A6EBA" w:rsidRDefault="00D80693" w:rsidP="00D72320">
            <w:pPr>
              <w:adjustRightInd w:val="0"/>
              <w:ind w:left="60" w:right="60" w:hanging="10"/>
              <w:jc w:val="center"/>
              <w:rPr>
                <w:sz w:val="24"/>
                <w:szCs w:val="24"/>
                <w:lang w:eastAsia="fr-FR"/>
              </w:rPr>
            </w:pPr>
          </w:p>
        </w:tc>
      </w:tr>
      <w:tr w:rsidR="00D80693" w14:paraId="5D4150C0" w14:textId="77777777" w:rsidTr="00D72320">
        <w:trPr>
          <w:cantSplit/>
        </w:trPr>
        <w:tc>
          <w:tcPr>
            <w:tcW w:w="2248" w:type="dxa"/>
            <w:shd w:val="clear" w:color="auto" w:fill="FFFFFF"/>
            <w:vAlign w:val="center"/>
          </w:tcPr>
          <w:p w14:paraId="685633BE" w14:textId="77777777" w:rsidR="00D80693" w:rsidRPr="003A6EBA" w:rsidRDefault="00D80693" w:rsidP="00D72320">
            <w:pPr>
              <w:adjustRightInd w:val="0"/>
              <w:ind w:left="60" w:right="60" w:hanging="10"/>
              <w:jc w:val="both"/>
              <w:rPr>
                <w:sz w:val="24"/>
                <w:szCs w:val="24"/>
                <w:lang w:eastAsia="fr-FR"/>
              </w:rPr>
            </w:pPr>
            <w:r w:rsidRPr="003A6EBA">
              <w:rPr>
                <w:sz w:val="24"/>
                <w:szCs w:val="24"/>
                <w:lang w:eastAsia="fr-FR"/>
              </w:rPr>
              <w:t xml:space="preserve">Coping adaptatif </w:t>
            </w:r>
          </w:p>
        </w:tc>
        <w:tc>
          <w:tcPr>
            <w:tcW w:w="2835" w:type="dxa"/>
            <w:shd w:val="clear" w:color="auto" w:fill="FFFFFF"/>
          </w:tcPr>
          <w:p w14:paraId="4E0BF5E3"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99,29</w:t>
            </w:r>
          </w:p>
        </w:tc>
        <w:tc>
          <w:tcPr>
            <w:tcW w:w="2977" w:type="dxa"/>
            <w:shd w:val="clear" w:color="auto" w:fill="FFFFFF"/>
          </w:tcPr>
          <w:p w14:paraId="3BE4D497"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17,66</w:t>
            </w:r>
          </w:p>
        </w:tc>
        <w:tc>
          <w:tcPr>
            <w:tcW w:w="851" w:type="dxa"/>
            <w:shd w:val="clear" w:color="auto" w:fill="FFFFFF"/>
          </w:tcPr>
          <w:p w14:paraId="54BC7780"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56</w:t>
            </w:r>
          </w:p>
        </w:tc>
      </w:tr>
      <w:tr w:rsidR="00D80693" w14:paraId="1BDDF8CE" w14:textId="77777777" w:rsidTr="00D72320">
        <w:trPr>
          <w:cantSplit/>
          <w:trHeight w:val="221"/>
        </w:trPr>
        <w:tc>
          <w:tcPr>
            <w:tcW w:w="2248" w:type="dxa"/>
            <w:tcBorders>
              <w:bottom w:val="single" w:sz="4" w:space="0" w:color="auto"/>
            </w:tcBorders>
            <w:shd w:val="clear" w:color="auto" w:fill="FFFFFF"/>
            <w:vAlign w:val="center"/>
          </w:tcPr>
          <w:p w14:paraId="2DC3BB21" w14:textId="77777777" w:rsidR="00D80693" w:rsidRPr="003A6EBA" w:rsidRDefault="00D80693" w:rsidP="00D72320">
            <w:pPr>
              <w:adjustRightInd w:val="0"/>
              <w:ind w:right="60"/>
              <w:jc w:val="both"/>
              <w:rPr>
                <w:sz w:val="24"/>
                <w:szCs w:val="24"/>
                <w:lang w:eastAsia="fr-FR"/>
              </w:rPr>
            </w:pPr>
            <w:r w:rsidRPr="003A6EBA">
              <w:rPr>
                <w:sz w:val="24"/>
                <w:szCs w:val="24"/>
                <w:lang w:eastAsia="fr-FR"/>
              </w:rPr>
              <w:t>Coping non adaptatif</w:t>
            </w:r>
          </w:p>
        </w:tc>
        <w:tc>
          <w:tcPr>
            <w:tcW w:w="2835" w:type="dxa"/>
            <w:tcBorders>
              <w:bottom w:val="single" w:sz="4" w:space="0" w:color="auto"/>
            </w:tcBorders>
            <w:shd w:val="clear" w:color="auto" w:fill="FFFFFF"/>
          </w:tcPr>
          <w:p w14:paraId="48EEB19C"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94,47</w:t>
            </w:r>
          </w:p>
        </w:tc>
        <w:tc>
          <w:tcPr>
            <w:tcW w:w="2977" w:type="dxa"/>
            <w:tcBorders>
              <w:bottom w:val="single" w:sz="4" w:space="0" w:color="auto"/>
            </w:tcBorders>
            <w:shd w:val="clear" w:color="auto" w:fill="FFFFFF"/>
          </w:tcPr>
          <w:p w14:paraId="08209899" w14:textId="77777777" w:rsidR="00D80693" w:rsidRPr="003A6EBA" w:rsidRDefault="00D80693" w:rsidP="00D72320">
            <w:pPr>
              <w:adjustRightInd w:val="0"/>
              <w:ind w:left="-5" w:right="60" w:hanging="10"/>
              <w:jc w:val="center"/>
              <w:rPr>
                <w:sz w:val="24"/>
                <w:szCs w:val="24"/>
                <w:lang w:eastAsia="fr-FR"/>
              </w:rPr>
            </w:pPr>
            <w:r w:rsidRPr="003A6EBA">
              <w:rPr>
                <w:sz w:val="24"/>
                <w:szCs w:val="24"/>
                <w:lang w:eastAsia="fr-FR"/>
              </w:rPr>
              <w:t>23,30</w:t>
            </w:r>
          </w:p>
        </w:tc>
        <w:tc>
          <w:tcPr>
            <w:tcW w:w="851" w:type="dxa"/>
            <w:tcBorders>
              <w:bottom w:val="single" w:sz="4" w:space="0" w:color="auto"/>
            </w:tcBorders>
            <w:shd w:val="clear" w:color="auto" w:fill="FFFFFF"/>
          </w:tcPr>
          <w:p w14:paraId="658AE0C6"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57</w:t>
            </w:r>
          </w:p>
        </w:tc>
      </w:tr>
      <w:tr w:rsidR="00D80693" w14:paraId="3A8875C7" w14:textId="77777777" w:rsidTr="00D72320">
        <w:trPr>
          <w:cantSplit/>
          <w:trHeight w:val="208"/>
        </w:trPr>
        <w:tc>
          <w:tcPr>
            <w:tcW w:w="8911" w:type="dxa"/>
            <w:gridSpan w:val="4"/>
            <w:tcBorders>
              <w:top w:val="single" w:sz="4" w:space="0" w:color="auto"/>
              <w:bottom w:val="single" w:sz="4" w:space="0" w:color="auto"/>
            </w:tcBorders>
            <w:shd w:val="clear" w:color="auto" w:fill="FFFFFF"/>
            <w:vAlign w:val="center"/>
          </w:tcPr>
          <w:p w14:paraId="2D9EA764" w14:textId="77777777" w:rsidR="00D80693" w:rsidRPr="003A6EBA" w:rsidRDefault="00D80693" w:rsidP="00D72320">
            <w:pPr>
              <w:adjustRightInd w:val="0"/>
              <w:ind w:left="60" w:right="60" w:hanging="10"/>
              <w:jc w:val="center"/>
              <w:rPr>
                <w:sz w:val="24"/>
                <w:szCs w:val="24"/>
                <w:lang w:eastAsia="fr-FR"/>
              </w:rPr>
            </w:pPr>
            <w:r w:rsidRPr="003A6EBA">
              <w:rPr>
                <w:sz w:val="24"/>
                <w:szCs w:val="24"/>
                <w:lang w:eastAsia="fr-FR"/>
              </w:rPr>
              <w:t xml:space="preserve">(N= 113 ; </w:t>
            </w:r>
            <w:r w:rsidRPr="003A6EBA">
              <w:rPr>
                <w:i/>
                <w:iCs/>
                <w:sz w:val="24"/>
                <w:szCs w:val="24"/>
                <w:lang w:eastAsia="fr-FR"/>
              </w:rPr>
              <w:t xml:space="preserve">z </w:t>
            </w:r>
            <w:r w:rsidRPr="003A6EBA">
              <w:rPr>
                <w:sz w:val="24"/>
                <w:szCs w:val="24"/>
                <w:lang w:eastAsia="fr-FR"/>
              </w:rPr>
              <w:t>= 1,237 ; p &lt; 0,05)</w:t>
            </w:r>
          </w:p>
        </w:tc>
      </w:tr>
    </w:tbl>
    <w:p w14:paraId="201B33F4" w14:textId="77777777" w:rsidR="00D80693" w:rsidRPr="00F63588" w:rsidRDefault="00D80693" w:rsidP="00D80693">
      <w:pPr>
        <w:spacing w:after="12"/>
        <w:ind w:firstLine="708"/>
        <w:jc w:val="both"/>
        <w:rPr>
          <w:i/>
          <w:lang w:eastAsia="fr-FR"/>
        </w:rPr>
      </w:pPr>
      <w:r w:rsidRPr="00F63588">
        <w:rPr>
          <w:i/>
          <w:lang w:eastAsia="fr-FR"/>
        </w:rPr>
        <w:t xml:space="preserve">Source : Données de terrain </w:t>
      </w:r>
    </w:p>
    <w:p w14:paraId="4EA4D741" w14:textId="77777777" w:rsidR="00D80693" w:rsidRPr="003A6EBA" w:rsidRDefault="00D80693" w:rsidP="0016777C">
      <w:pPr>
        <w:spacing w:before="240"/>
        <w:ind w:left="-5"/>
        <w:jc w:val="both"/>
        <w:rPr>
          <w:sz w:val="24"/>
          <w:szCs w:val="24"/>
          <w:lang w:eastAsia="fr-FR"/>
        </w:rPr>
      </w:pPr>
      <w:r w:rsidRPr="003A6EBA">
        <w:rPr>
          <w:sz w:val="24"/>
          <w:szCs w:val="24"/>
          <w:lang w:eastAsia="fr-FR"/>
        </w:rPr>
        <w:t>Ce tableau révèle que face aux évènements négatifs ou désagréables, les adolescents déplacés internes développent des capacités de régulation cognitive différentes. En effet, l’on note</w:t>
      </w:r>
      <w:r>
        <w:rPr>
          <w:sz w:val="24"/>
          <w:szCs w:val="24"/>
          <w:lang w:eastAsia="fr-FR"/>
        </w:rPr>
        <w:t xml:space="preserve"> </w:t>
      </w:r>
      <w:r w:rsidRPr="003A6EBA">
        <w:rPr>
          <w:sz w:val="24"/>
          <w:szCs w:val="24"/>
          <w:lang w:eastAsia="fr-FR"/>
        </w:rPr>
        <w:t xml:space="preserve">que pour faire face aux évènements qui induisent des émotions négatives, près de 49,11%, soit 56 d’entre eux ont des capacités de coping cognitif adaptatif, caractérisées par de bonnes capacités d’acceptation, de centration positive, de centration sur l’action, de réévaluation positive et de mise en perspective des situations émotionnelles qui les entourent. Ceci pour exprimer leurs aptitudes à développer face aux situation d’inconfort émotionnel, des pensées d’acceptation et de résignation concernant ce qui est vécu, des pensées sur la manière de faire et la manière de gérer l’expériences qu’on vit, des pensées indiquant qu’il faut donner des significations positives à des événements négatifs en termes de développement personnel, des pensées qui relativisent les événements négatifs en comparaison à d’autres événements, ainsi que des pensées plaisantes et positives plutôt que de penser à des événements menaçants. </w:t>
      </w:r>
    </w:p>
    <w:p w14:paraId="24E2BA9F" w14:textId="77777777" w:rsidR="00D80693" w:rsidRPr="003A6EBA" w:rsidRDefault="00D80693" w:rsidP="0016777C">
      <w:pPr>
        <w:spacing w:before="240"/>
        <w:ind w:left="-5"/>
        <w:jc w:val="both"/>
        <w:rPr>
          <w:sz w:val="24"/>
          <w:szCs w:val="24"/>
          <w:lang w:eastAsia="fr-FR"/>
        </w:rPr>
      </w:pPr>
      <w:r w:rsidRPr="003A6EBA">
        <w:rPr>
          <w:sz w:val="24"/>
          <w:szCs w:val="24"/>
          <w:lang w:eastAsia="fr-FR"/>
        </w:rPr>
        <w:t>Il en résulte également que la plupart de ces adolescents, notamment 50,89%, soit 57 développeraient des capacités de régulation cognitive plutôt non adaptatives, c’est-à-dire sont fréquemment animés par le blâme de soi, la rumination, la dramatisation, et le blâme d’autrui, face aux situations désagréables auxquelles ils font face. L’on note chez eux une tendance à réprimer leur propre attitude, à réfléchir sur les sentiments et les pensées qui sont associés à des événements négatifs et à des pensées qui réprouvent les autres sur ce qu’on a vécu.</w:t>
      </w:r>
    </w:p>
    <w:p w14:paraId="291E2FB8" w14:textId="77777777" w:rsidR="00D80693" w:rsidRPr="003A6EBA" w:rsidRDefault="00D80693" w:rsidP="0016777C">
      <w:pPr>
        <w:spacing w:before="240"/>
        <w:ind w:left="-5"/>
        <w:jc w:val="both"/>
        <w:rPr>
          <w:sz w:val="24"/>
          <w:szCs w:val="24"/>
          <w:lang w:eastAsia="fr-FR"/>
        </w:rPr>
      </w:pPr>
      <w:r w:rsidRPr="003A6EBA">
        <w:rPr>
          <w:sz w:val="24"/>
          <w:szCs w:val="24"/>
          <w:lang w:eastAsia="fr-FR"/>
        </w:rPr>
        <w:t xml:space="preserve">Ce résultat met en évidence le fait que les adolescents déplacés internes ayant une capacité adaptative de régulation cognitive de leurs émotions, ressentent en cas d’évènements désagréables moins d'émotions négatives et démontrent plus de capacités d’adaptation à l’évènement. </w:t>
      </w:r>
      <w:proofErr w:type="gramStart"/>
      <w:r w:rsidRPr="003A6EBA">
        <w:rPr>
          <w:sz w:val="24"/>
          <w:szCs w:val="24"/>
          <w:lang w:eastAsia="fr-FR"/>
        </w:rPr>
        <w:t>Par contre</w:t>
      </w:r>
      <w:proofErr w:type="gramEnd"/>
      <w:r w:rsidRPr="003A6EBA">
        <w:rPr>
          <w:sz w:val="24"/>
          <w:szCs w:val="24"/>
          <w:lang w:eastAsia="fr-FR"/>
        </w:rPr>
        <w:t xml:space="preserve">, pour ceux dont la capacité de coping cognitif est non adaptative, moins ils développent des émotions positives faces aux situations dangereuses et plus ils font preuve d’inadaptation à ces différentes situations. Le lien entre les capacités de coping cognitif ou à faire face aux évènements désagréables et les capacités d’adaptation sociale des adolescents réfugiés est ressorti dans le tableau ci-dessus par une comparaison des moyennes, effectuée entre les scores obtenus aux différentes sous-échelles de fréquence et d’importance des comportements socio-adaptatifs qu’ils développent. </w:t>
      </w:r>
    </w:p>
    <w:p w14:paraId="0619640A" w14:textId="77777777" w:rsidR="00D80693" w:rsidRPr="003A6EBA" w:rsidRDefault="00D80693" w:rsidP="0016777C">
      <w:pPr>
        <w:spacing w:before="240"/>
        <w:ind w:left="-5"/>
        <w:jc w:val="both"/>
        <w:rPr>
          <w:sz w:val="24"/>
          <w:szCs w:val="24"/>
          <w:lang w:eastAsia="fr-FR"/>
        </w:rPr>
      </w:pPr>
      <w:r w:rsidRPr="003A6EBA">
        <w:rPr>
          <w:sz w:val="24"/>
          <w:szCs w:val="24"/>
          <w:lang w:eastAsia="fr-FR"/>
        </w:rPr>
        <w:t>On note ici qu</w:t>
      </w:r>
      <w:r>
        <w:rPr>
          <w:sz w:val="24"/>
          <w:szCs w:val="24"/>
          <w:lang w:eastAsia="fr-FR"/>
        </w:rPr>
        <w:t>e les 49,11</w:t>
      </w:r>
      <w:r w:rsidRPr="008D189F">
        <w:rPr>
          <w:sz w:val="24"/>
          <w:szCs w:val="24"/>
          <w:lang w:eastAsia="fr-FR"/>
        </w:rPr>
        <w:t>%, soit 56 des</w:t>
      </w:r>
      <w:r w:rsidRPr="003A6EBA">
        <w:rPr>
          <w:sz w:val="24"/>
          <w:szCs w:val="24"/>
          <w:lang w:eastAsia="fr-FR"/>
        </w:rPr>
        <w:t xml:space="preserve"> participants ayant une capacité de coping cognitif adaptatif sont socialement plus adaptés que les 50,89%, dont 57 qui en ont une capacité non adaptative</w:t>
      </w:r>
      <w:r>
        <w:rPr>
          <w:sz w:val="24"/>
          <w:szCs w:val="24"/>
          <w:lang w:eastAsia="fr-FR"/>
        </w:rPr>
        <w:t xml:space="preserve">. </w:t>
      </w:r>
      <w:r w:rsidRPr="003A6EBA">
        <w:rPr>
          <w:sz w:val="24"/>
          <w:szCs w:val="24"/>
          <w:lang w:eastAsia="fr-FR"/>
        </w:rPr>
        <w:t>L’ensemble des scores indiquant la fréquence des actions sociales qu’ils développent fréquemment et ceux indiquant le degré d’importance de ces différents comportements socio-adoptifs pour eux, montre que les adolescents déplacés internes appartenant au groupe à Coping cognitif adaptatif</w:t>
      </w:r>
      <w:r>
        <w:rPr>
          <w:sz w:val="24"/>
          <w:szCs w:val="24"/>
          <w:lang w:eastAsia="fr-FR"/>
        </w:rPr>
        <w:t xml:space="preserve"> </w:t>
      </w:r>
      <w:r w:rsidRPr="003A6EBA">
        <w:rPr>
          <w:sz w:val="24"/>
          <w:szCs w:val="24"/>
          <w:lang w:eastAsia="fr-FR"/>
        </w:rPr>
        <w:t xml:space="preserve">présentent une capacité moyenne d’adaptation sociale de 99,29 avec un écart-type de 17,66. Quant à ceux qui sont dans le groupe à Coping cognitif non adaptatif, on note une capacité moyenne d’adaptation sociale de 94,47 avec un écart-type de 23,30. </w:t>
      </w:r>
    </w:p>
    <w:p w14:paraId="171F7DF8" w14:textId="77777777" w:rsidR="00D80693" w:rsidRPr="00D21255" w:rsidRDefault="00D80693" w:rsidP="00D80693">
      <w:pPr>
        <w:pStyle w:val="Paragraphedeliste"/>
        <w:widowControl/>
        <w:numPr>
          <w:ilvl w:val="0"/>
          <w:numId w:val="188"/>
        </w:numPr>
        <w:autoSpaceDE/>
        <w:autoSpaceDN/>
        <w:spacing w:before="240"/>
        <w:contextualSpacing/>
        <w:rPr>
          <w:b/>
          <w:bCs/>
          <w:sz w:val="28"/>
          <w:szCs w:val="28"/>
          <w:lang w:eastAsia="fr-FR"/>
        </w:rPr>
      </w:pPr>
      <w:r w:rsidRPr="00D21255">
        <w:rPr>
          <w:b/>
          <w:bCs/>
          <w:sz w:val="28"/>
          <w:szCs w:val="28"/>
          <w:lang w:eastAsia="fr-FR"/>
        </w:rPr>
        <w:t>Discussion</w:t>
      </w:r>
    </w:p>
    <w:p w14:paraId="2E305E9F" w14:textId="77777777" w:rsidR="00D80693" w:rsidRPr="003A6EBA" w:rsidRDefault="00D80693" w:rsidP="0016777C">
      <w:pPr>
        <w:ind w:left="-5"/>
        <w:jc w:val="both"/>
        <w:rPr>
          <w:sz w:val="24"/>
          <w:szCs w:val="24"/>
          <w:lang w:eastAsia="fr-FR"/>
        </w:rPr>
      </w:pPr>
      <w:r w:rsidRPr="003A6EBA">
        <w:rPr>
          <w:sz w:val="24"/>
          <w:szCs w:val="24"/>
          <w:lang w:eastAsia="fr-FR"/>
        </w:rPr>
        <w:t>Cette étude relève</w:t>
      </w:r>
      <w:r>
        <w:rPr>
          <w:sz w:val="24"/>
          <w:szCs w:val="24"/>
          <w:lang w:eastAsia="fr-FR"/>
        </w:rPr>
        <w:t xml:space="preserve"> </w:t>
      </w:r>
      <w:r w:rsidRPr="003A6EBA">
        <w:rPr>
          <w:sz w:val="24"/>
          <w:szCs w:val="24"/>
          <w:lang w:eastAsia="fr-FR"/>
        </w:rPr>
        <w:t xml:space="preserve">que 29,20% des adolescents déplacés internes sont régulièrement animés par des émotions négatives. Et malgré qu’ils </w:t>
      </w:r>
      <w:r w:rsidRPr="003A6EBA">
        <w:rPr>
          <w:color w:val="000000"/>
          <w:sz w:val="24"/>
          <w:szCs w:val="24"/>
          <w:lang w:eastAsia="fr-FR"/>
        </w:rPr>
        <w:t xml:space="preserve">développent plus d’émotions positives (70,80%), ils développent presque les mêmes capacités d’adaptation sociale (N= 113 ; </w:t>
      </w:r>
      <w:r w:rsidRPr="003A6EBA">
        <w:rPr>
          <w:i/>
          <w:iCs/>
          <w:color w:val="000000"/>
          <w:sz w:val="24"/>
          <w:szCs w:val="24"/>
          <w:lang w:eastAsia="fr-FR"/>
        </w:rPr>
        <w:t xml:space="preserve">z </w:t>
      </w:r>
      <w:r w:rsidRPr="003A6EBA">
        <w:rPr>
          <w:color w:val="000000"/>
          <w:sz w:val="24"/>
          <w:szCs w:val="24"/>
          <w:lang w:eastAsia="fr-FR"/>
        </w:rPr>
        <w:t>= -</w:t>
      </w:r>
      <w:r>
        <w:rPr>
          <w:color w:val="000000"/>
          <w:sz w:val="24"/>
          <w:szCs w:val="24"/>
          <w:lang w:eastAsia="fr-FR"/>
        </w:rPr>
        <w:t>0</w:t>
      </w:r>
      <w:r w:rsidRPr="003A6EBA">
        <w:rPr>
          <w:color w:val="000000"/>
          <w:sz w:val="24"/>
          <w:szCs w:val="24"/>
          <w:lang w:eastAsia="fr-FR"/>
        </w:rPr>
        <w:t>,662 ; p &gt; 0,05)</w:t>
      </w:r>
      <w:r w:rsidRPr="003A6EBA">
        <w:rPr>
          <w:sz w:val="24"/>
          <w:szCs w:val="24"/>
          <w:lang w:eastAsia="fr-FR"/>
        </w:rPr>
        <w:t xml:space="preserve">. Ce résultat corrobore avec Licata et Heine (2012) qui s’investissent dans une approche comparative de la dynamique singulière ou universelle des schémas socio-adaptatifs. Ils permettent ainsi de mettre en évidence les interférences culturelles comme biais au développement et à l’adaptation sociale des adolescents déplacés internes scolarisés en contexte nouveaux. A partir de ces résultats, l’on peut affirmer avec </w:t>
      </w:r>
      <w:proofErr w:type="spellStart"/>
      <w:r w:rsidRPr="003A6EBA">
        <w:rPr>
          <w:sz w:val="24"/>
          <w:szCs w:val="24"/>
          <w:lang w:eastAsia="fr-FR"/>
        </w:rPr>
        <w:t>Baudrit</w:t>
      </w:r>
      <w:proofErr w:type="spellEnd"/>
      <w:r w:rsidRPr="003A6EBA">
        <w:rPr>
          <w:sz w:val="24"/>
          <w:szCs w:val="24"/>
          <w:lang w:eastAsia="fr-FR"/>
        </w:rPr>
        <w:t xml:space="preserve"> (2011) que les émotions positives permettent</w:t>
      </w:r>
      <w:r>
        <w:rPr>
          <w:sz w:val="24"/>
          <w:szCs w:val="24"/>
          <w:lang w:eastAsia="fr-FR"/>
        </w:rPr>
        <w:t xml:space="preserve"> </w:t>
      </w:r>
      <w:r w:rsidRPr="003A6EBA">
        <w:rPr>
          <w:sz w:val="24"/>
          <w:szCs w:val="24"/>
          <w:lang w:eastAsia="fr-FR"/>
        </w:rPr>
        <w:t xml:space="preserve">de surmonter les interférences culturelles. </w:t>
      </w:r>
      <w:proofErr w:type="gramStart"/>
      <w:r w:rsidRPr="003A6EBA">
        <w:rPr>
          <w:sz w:val="24"/>
          <w:szCs w:val="24"/>
          <w:lang w:eastAsia="fr-FR"/>
        </w:rPr>
        <w:t>Par contre</w:t>
      </w:r>
      <w:proofErr w:type="gramEnd"/>
      <w:r w:rsidRPr="003A6EBA">
        <w:rPr>
          <w:sz w:val="24"/>
          <w:szCs w:val="24"/>
          <w:lang w:eastAsia="fr-FR"/>
        </w:rPr>
        <w:t>, une adaptation sociale globalement peu importante</w:t>
      </w:r>
      <w:r>
        <w:rPr>
          <w:sz w:val="24"/>
          <w:szCs w:val="24"/>
          <w:lang w:eastAsia="fr-FR"/>
        </w:rPr>
        <w:t xml:space="preserve"> </w:t>
      </w:r>
      <w:r w:rsidRPr="003A6EBA">
        <w:rPr>
          <w:sz w:val="24"/>
          <w:szCs w:val="24"/>
          <w:lang w:eastAsia="fr-FR"/>
        </w:rPr>
        <w:t>serait au sens de Prins (2006) liée au fait d’être</w:t>
      </w:r>
      <w:r>
        <w:rPr>
          <w:sz w:val="24"/>
          <w:szCs w:val="24"/>
          <w:lang w:eastAsia="fr-FR"/>
        </w:rPr>
        <w:t xml:space="preserve"> </w:t>
      </w:r>
      <w:r w:rsidRPr="003A6EBA">
        <w:rPr>
          <w:sz w:val="24"/>
          <w:szCs w:val="24"/>
          <w:lang w:eastAsia="fr-FR"/>
        </w:rPr>
        <w:t xml:space="preserve">insuffisamment préparé ou surexposé à un contexte social particulier, et non à l’incompétence émotionnelle. En effet, </w:t>
      </w:r>
      <w:r w:rsidRPr="003A6EBA">
        <w:rPr>
          <w:color w:val="000000"/>
          <w:sz w:val="24"/>
          <w:szCs w:val="24"/>
          <w:lang w:eastAsia="fr-FR"/>
        </w:rPr>
        <w:t xml:space="preserve">Amana et Tamo </w:t>
      </w:r>
      <w:proofErr w:type="spellStart"/>
      <w:r w:rsidRPr="003A6EBA">
        <w:rPr>
          <w:color w:val="000000"/>
          <w:sz w:val="24"/>
          <w:szCs w:val="24"/>
          <w:lang w:eastAsia="fr-FR"/>
        </w:rPr>
        <w:t>Fogué</w:t>
      </w:r>
      <w:proofErr w:type="spellEnd"/>
      <w:r>
        <w:rPr>
          <w:color w:val="000000"/>
          <w:sz w:val="24"/>
          <w:szCs w:val="24"/>
          <w:lang w:eastAsia="fr-FR"/>
        </w:rPr>
        <w:t xml:space="preserve"> </w:t>
      </w:r>
      <w:r w:rsidRPr="003A6EBA">
        <w:rPr>
          <w:color w:val="000000"/>
          <w:sz w:val="24"/>
          <w:szCs w:val="24"/>
          <w:lang w:eastAsia="fr-FR"/>
        </w:rPr>
        <w:t xml:space="preserve">(2024), en analysant l’impact du choc culturel sur le développement socio-affectif chez les réfugiés et déplacés internes de l’Est-Cameroun en période </w:t>
      </w:r>
      <w:proofErr w:type="spellStart"/>
      <w:r w:rsidRPr="003A6EBA">
        <w:rPr>
          <w:color w:val="000000"/>
          <w:sz w:val="24"/>
          <w:szCs w:val="24"/>
          <w:lang w:eastAsia="fr-FR"/>
        </w:rPr>
        <w:t>covidique</w:t>
      </w:r>
      <w:proofErr w:type="spellEnd"/>
      <w:r w:rsidRPr="003A6EBA">
        <w:rPr>
          <w:sz w:val="24"/>
          <w:szCs w:val="24"/>
          <w:lang w:eastAsia="fr-FR"/>
        </w:rPr>
        <w:t xml:space="preserve">, associent les compétences émotionnelles aux relations interindividuelles (autour du partage, de l’empathie, de la réciprocité) et aux rôles sociaux caractéristiques d’une dynamique sociale donnée. Pour Buckley, Storino et </w:t>
      </w:r>
      <w:proofErr w:type="spellStart"/>
      <w:r w:rsidRPr="003A6EBA">
        <w:rPr>
          <w:sz w:val="24"/>
          <w:szCs w:val="24"/>
          <w:lang w:eastAsia="fr-FR"/>
        </w:rPr>
        <w:t>Saarni</w:t>
      </w:r>
      <w:proofErr w:type="spellEnd"/>
      <w:r w:rsidRPr="003A6EBA">
        <w:rPr>
          <w:sz w:val="24"/>
          <w:szCs w:val="24"/>
          <w:lang w:eastAsia="fr-FR"/>
        </w:rPr>
        <w:t xml:space="preserve"> (2003), si ces facteurs ne sont pas intégrés, les réactions émotionnelles associées à des objectifs particuliers pourraient avoir peu de signification.</w:t>
      </w:r>
    </w:p>
    <w:p w14:paraId="10AAD733" w14:textId="77777777" w:rsidR="00D80693" w:rsidRPr="003A6EBA" w:rsidRDefault="00D80693" w:rsidP="0016777C">
      <w:pPr>
        <w:spacing w:before="240"/>
        <w:ind w:left="-5"/>
        <w:jc w:val="both"/>
        <w:rPr>
          <w:sz w:val="24"/>
          <w:szCs w:val="24"/>
          <w:lang w:eastAsia="fr-FR"/>
        </w:rPr>
      </w:pPr>
      <w:r w:rsidRPr="003A6EBA">
        <w:rPr>
          <w:sz w:val="24"/>
          <w:szCs w:val="24"/>
          <w:lang w:eastAsia="fr-FR"/>
        </w:rPr>
        <w:t>Par ailleurs, ils utilisent plus fréquemment la stratégie de réévaluation (61,61%) que la stratégie de suppression (38,39%), et</w:t>
      </w:r>
      <w:r>
        <w:rPr>
          <w:sz w:val="24"/>
          <w:szCs w:val="24"/>
          <w:lang w:eastAsia="fr-FR"/>
        </w:rPr>
        <w:t xml:space="preserve"> </w:t>
      </w:r>
      <w:r w:rsidRPr="003A6EBA">
        <w:rPr>
          <w:sz w:val="24"/>
          <w:szCs w:val="24"/>
          <w:lang w:eastAsia="fr-FR"/>
        </w:rPr>
        <w:t>ceux construisant plus la première stratégie</w:t>
      </w:r>
      <w:r>
        <w:rPr>
          <w:sz w:val="24"/>
          <w:szCs w:val="24"/>
          <w:lang w:eastAsia="fr-FR"/>
        </w:rPr>
        <w:t xml:space="preserve"> </w:t>
      </w:r>
      <w:r w:rsidRPr="003A6EBA">
        <w:rPr>
          <w:sz w:val="24"/>
          <w:szCs w:val="24"/>
          <w:lang w:eastAsia="fr-FR"/>
        </w:rPr>
        <w:t>s’adaptent socialement mieux que ceux qui font recoure à</w:t>
      </w:r>
      <w:r>
        <w:rPr>
          <w:sz w:val="24"/>
          <w:szCs w:val="24"/>
          <w:lang w:eastAsia="fr-FR"/>
        </w:rPr>
        <w:t xml:space="preserve"> </w:t>
      </w:r>
      <w:r w:rsidRPr="003A6EBA">
        <w:rPr>
          <w:sz w:val="24"/>
          <w:szCs w:val="24"/>
          <w:lang w:eastAsia="fr-FR"/>
        </w:rPr>
        <w:t xml:space="preserve">la seconde (N= 113 ; </w:t>
      </w:r>
      <w:r w:rsidRPr="003A6EBA">
        <w:rPr>
          <w:i/>
          <w:iCs/>
          <w:sz w:val="24"/>
          <w:szCs w:val="24"/>
          <w:lang w:eastAsia="fr-FR"/>
        </w:rPr>
        <w:t xml:space="preserve">z </w:t>
      </w:r>
      <w:r w:rsidRPr="003A6EBA">
        <w:rPr>
          <w:sz w:val="24"/>
          <w:szCs w:val="24"/>
          <w:lang w:eastAsia="fr-FR"/>
        </w:rPr>
        <w:t>= 0,859 ; p &lt; 0,05). Ceci permet d’affirmer encore le lien entre la régulation émotionnelle et l’adaptation sociale qui est donc fort discuté dans la littérature. Nous avons observé un lien beaucoup plus prédictif que réciproque. Ce qui s’inscrit en partie dans le model heuristique des compétences sociales où Yeates et al. (2007) suggèrent que le comportement des sujets en interaction sociale pourrait affecter leur propre perception ou celle d’autrui à propos de leur adaptation sociale et inversement. De toute façon, nos données du terrain ne permettant pas d’en dégager une réciprocité, cette étude pourrait s’ajouter à la liste des études empiriques qui postulent plutôt pour un lien prédictif entre la régulation émotionnelle et l’adaptation sociale. En effet, Dennis (2007) montre dans une étude dont le but était d’examiner la prédiction de la compétence émotionnelle (expression, reconnaissance, régulation) sur la compétence sociale, que les processus émotionnels ont un impact sur le fonctionnement social et plus précisément sur les interactions positives avec les pairs. Dans la même logique, les adolescents déplacés internes qui régulent bien leurs émotions sont perçus par les adultes et les pairs comme adaptés socialement (</w:t>
      </w:r>
      <w:r w:rsidRPr="003A6EBA">
        <w:rPr>
          <w:color w:val="000000"/>
          <w:sz w:val="24"/>
          <w:szCs w:val="24"/>
          <w:lang w:eastAsia="fr-FR"/>
        </w:rPr>
        <w:t xml:space="preserve">Tamo </w:t>
      </w:r>
      <w:proofErr w:type="spellStart"/>
      <w:r w:rsidRPr="003A6EBA">
        <w:rPr>
          <w:color w:val="000000"/>
          <w:sz w:val="24"/>
          <w:szCs w:val="24"/>
          <w:lang w:eastAsia="fr-FR"/>
        </w:rPr>
        <w:t>Fogué</w:t>
      </w:r>
      <w:proofErr w:type="spellEnd"/>
      <w:r w:rsidRPr="003A6EBA">
        <w:rPr>
          <w:color w:val="000000"/>
          <w:sz w:val="24"/>
          <w:szCs w:val="24"/>
          <w:lang w:eastAsia="fr-FR"/>
        </w:rPr>
        <w:t xml:space="preserve">, </w:t>
      </w:r>
      <w:proofErr w:type="spellStart"/>
      <w:r w:rsidRPr="003A6EBA">
        <w:rPr>
          <w:color w:val="000000"/>
          <w:sz w:val="24"/>
          <w:szCs w:val="24"/>
          <w:lang w:eastAsia="fr-FR"/>
        </w:rPr>
        <w:t>Tcheundjio</w:t>
      </w:r>
      <w:proofErr w:type="spellEnd"/>
      <w:r w:rsidRPr="003A6EBA">
        <w:rPr>
          <w:color w:val="000000"/>
          <w:sz w:val="24"/>
          <w:szCs w:val="24"/>
          <w:lang w:eastAsia="fr-FR"/>
        </w:rPr>
        <w:t xml:space="preserve">, Amana, Nguimfack, </w:t>
      </w:r>
      <w:proofErr w:type="spellStart"/>
      <w:r w:rsidRPr="003A6EBA">
        <w:rPr>
          <w:color w:val="000000"/>
          <w:sz w:val="24"/>
          <w:szCs w:val="24"/>
          <w:lang w:eastAsia="fr-FR"/>
        </w:rPr>
        <w:t>Nkelzok</w:t>
      </w:r>
      <w:proofErr w:type="spellEnd"/>
      <w:r w:rsidRPr="003A6EBA">
        <w:rPr>
          <w:color w:val="000000"/>
          <w:sz w:val="24"/>
          <w:szCs w:val="24"/>
          <w:lang w:eastAsia="fr-FR"/>
        </w:rPr>
        <w:t xml:space="preserve"> Komtsindi, &amp; Tsala </w:t>
      </w:r>
      <w:proofErr w:type="spellStart"/>
      <w:r w:rsidRPr="003A6EBA">
        <w:rPr>
          <w:color w:val="000000"/>
          <w:sz w:val="24"/>
          <w:szCs w:val="24"/>
          <w:lang w:eastAsia="fr-FR"/>
        </w:rPr>
        <w:t>Tsala</w:t>
      </w:r>
      <w:proofErr w:type="spellEnd"/>
      <w:r w:rsidRPr="003A6EBA">
        <w:rPr>
          <w:color w:val="000000"/>
          <w:sz w:val="24"/>
          <w:szCs w:val="24"/>
          <w:lang w:eastAsia="fr-FR"/>
        </w:rPr>
        <w:t>, 2020)</w:t>
      </w:r>
      <w:r w:rsidRPr="003A6EBA">
        <w:rPr>
          <w:sz w:val="24"/>
          <w:szCs w:val="24"/>
          <w:lang w:eastAsia="fr-FR"/>
        </w:rPr>
        <w:t>.</w:t>
      </w:r>
    </w:p>
    <w:p w14:paraId="050E866A" w14:textId="77777777" w:rsidR="00D80693" w:rsidRPr="003A6EBA" w:rsidRDefault="00D80693" w:rsidP="0016777C">
      <w:pPr>
        <w:spacing w:before="240"/>
        <w:ind w:left="-5"/>
        <w:jc w:val="both"/>
        <w:rPr>
          <w:sz w:val="24"/>
          <w:szCs w:val="24"/>
          <w:lang w:eastAsia="fr-FR"/>
        </w:rPr>
      </w:pPr>
      <w:r w:rsidRPr="003A6EBA">
        <w:rPr>
          <w:sz w:val="24"/>
          <w:szCs w:val="24"/>
          <w:lang w:eastAsia="fr-FR"/>
        </w:rPr>
        <w:t>Cette étude aboutit à un résultat similaire à ceux d’autres recherches dans la littérature. D’abord celle</w:t>
      </w:r>
      <w:r>
        <w:rPr>
          <w:sz w:val="24"/>
          <w:szCs w:val="24"/>
          <w:lang w:eastAsia="fr-FR"/>
        </w:rPr>
        <w:t xml:space="preserve"> </w:t>
      </w:r>
      <w:r w:rsidRPr="003A6EBA">
        <w:rPr>
          <w:sz w:val="24"/>
          <w:szCs w:val="24"/>
          <w:lang w:eastAsia="fr-FR"/>
        </w:rPr>
        <w:t>de Contreras, Kerns, Weimer, Gentzler et Tomich (2000) qui</w:t>
      </w:r>
      <w:r>
        <w:rPr>
          <w:sz w:val="24"/>
          <w:szCs w:val="24"/>
          <w:lang w:eastAsia="fr-FR"/>
        </w:rPr>
        <w:t xml:space="preserve"> </w:t>
      </w:r>
      <w:r w:rsidRPr="003A6EBA">
        <w:rPr>
          <w:sz w:val="24"/>
          <w:szCs w:val="24"/>
          <w:lang w:eastAsia="fr-FR"/>
        </w:rPr>
        <w:t xml:space="preserve">ont conclu que la capacité des enfants typiques (d’âge scolaire) à réguler leurs émotions peut prédire la perception de l’enseignant quant aux bonnes compétences des enfants à interagir avec leurs pairs. Pour eux, plus l’interaction est forte, plus les enfants qui régulent bien leurs émotions donnent des réponses socialement adaptées (Fabes et </w:t>
      </w:r>
      <w:r w:rsidRPr="00B6721A">
        <w:rPr>
          <w:i/>
          <w:sz w:val="24"/>
          <w:szCs w:val="24"/>
          <w:lang w:eastAsia="fr-FR"/>
        </w:rPr>
        <w:t>al.</w:t>
      </w:r>
      <w:r w:rsidRPr="003A6EBA">
        <w:rPr>
          <w:sz w:val="24"/>
          <w:szCs w:val="24"/>
          <w:lang w:eastAsia="fr-FR"/>
        </w:rPr>
        <w:t>, 1999). Ensuit celle de Schumacher (2011) qui a mené une investigation sur les stratégies de régulation émotionnelle auprès de 26 aidants naturels, et a abouti aux résultats selon lesquels, celles qui régulent leurs émotions avec une stratégie de réévaluation de la situation, ont une santé meilleure, ressentent plus d'émotions positives et démontrent une absence de fardeau, par rapport à celles qui le font par la suppression. Au cours des observations faites dans deux crèches et auprès de sept assistantes maternelles, Anne-Lise (2012) a dégagé qu’à cause de leur stratégie de régulation émotionnelle relativement basées sur la suppression,</w:t>
      </w:r>
      <w:r>
        <w:rPr>
          <w:sz w:val="24"/>
          <w:szCs w:val="24"/>
          <w:lang w:eastAsia="fr-FR"/>
        </w:rPr>
        <w:t xml:space="preserve"> </w:t>
      </w:r>
      <w:r w:rsidRPr="003A6EBA">
        <w:rPr>
          <w:sz w:val="24"/>
          <w:szCs w:val="24"/>
          <w:lang w:eastAsia="fr-FR"/>
        </w:rPr>
        <w:t xml:space="preserve">ces professionnelles se disent fatiguées, ont de fréquents maux de dos et de tête, recourent à leur médecin pour souffler un peu. Ce qui exprime le fardeau du travail avec les enfants et plus globalement </w:t>
      </w:r>
      <w:proofErr w:type="gramStart"/>
      <w:r w:rsidRPr="003A6EBA">
        <w:rPr>
          <w:sz w:val="24"/>
          <w:szCs w:val="24"/>
          <w:lang w:eastAsia="fr-FR"/>
        </w:rPr>
        <w:t>une faible capacité</w:t>
      </w:r>
      <w:proofErr w:type="gramEnd"/>
      <w:r w:rsidRPr="003A6EBA">
        <w:rPr>
          <w:sz w:val="24"/>
          <w:szCs w:val="24"/>
          <w:lang w:eastAsia="fr-FR"/>
        </w:rPr>
        <w:t xml:space="preserve"> d’adaptation sociale et un recoure fréquent à l’aide par ces assistantes maternelles.</w:t>
      </w:r>
      <w:r>
        <w:rPr>
          <w:sz w:val="24"/>
          <w:szCs w:val="24"/>
          <w:lang w:eastAsia="fr-FR"/>
        </w:rPr>
        <w:t xml:space="preserve"> </w:t>
      </w:r>
      <w:r w:rsidRPr="003A6EBA">
        <w:rPr>
          <w:sz w:val="24"/>
          <w:szCs w:val="24"/>
          <w:lang w:eastAsia="fr-FR"/>
        </w:rPr>
        <w:t>En outre, nos résultats soulignent que les adolescents</w:t>
      </w:r>
      <w:r>
        <w:rPr>
          <w:sz w:val="24"/>
          <w:szCs w:val="24"/>
          <w:lang w:eastAsia="fr-FR"/>
        </w:rPr>
        <w:t xml:space="preserve"> </w:t>
      </w:r>
      <w:r w:rsidRPr="003A6EBA">
        <w:rPr>
          <w:sz w:val="24"/>
          <w:szCs w:val="24"/>
          <w:lang w:eastAsia="fr-FR"/>
        </w:rPr>
        <w:t>peu sociables, mais régulant leurs émotions par la réévaluation ne</w:t>
      </w:r>
      <w:r>
        <w:rPr>
          <w:sz w:val="24"/>
          <w:szCs w:val="24"/>
          <w:lang w:eastAsia="fr-FR"/>
        </w:rPr>
        <w:t xml:space="preserve"> </w:t>
      </w:r>
      <w:r w:rsidRPr="003A6EBA">
        <w:rPr>
          <w:sz w:val="24"/>
          <w:szCs w:val="24"/>
          <w:lang w:eastAsia="fr-FR"/>
        </w:rPr>
        <w:t>souffrent pas</w:t>
      </w:r>
      <w:r>
        <w:rPr>
          <w:sz w:val="24"/>
          <w:szCs w:val="24"/>
          <w:lang w:eastAsia="fr-FR"/>
        </w:rPr>
        <w:t xml:space="preserve"> </w:t>
      </w:r>
      <w:r w:rsidRPr="003A6EBA">
        <w:rPr>
          <w:sz w:val="24"/>
          <w:szCs w:val="24"/>
          <w:lang w:eastAsia="fr-FR"/>
        </w:rPr>
        <w:t>de leur manque de compétences sociales.</w:t>
      </w:r>
    </w:p>
    <w:p w14:paraId="19473D8B" w14:textId="77777777" w:rsidR="00D80693" w:rsidRPr="003A6EBA" w:rsidRDefault="00D80693" w:rsidP="0016777C">
      <w:pPr>
        <w:spacing w:before="240"/>
        <w:ind w:left="-5"/>
        <w:jc w:val="both"/>
        <w:rPr>
          <w:sz w:val="24"/>
          <w:szCs w:val="24"/>
          <w:lang w:eastAsia="fr-FR"/>
        </w:rPr>
      </w:pPr>
      <w:r w:rsidRPr="003A6EBA">
        <w:rPr>
          <w:sz w:val="24"/>
          <w:szCs w:val="24"/>
          <w:lang w:eastAsia="fr-FR"/>
        </w:rPr>
        <w:t>Les adolescents déplacés internes, participants de cette étude développent plus des capacités de coping cognitif ou à faire aux évènements désagréables</w:t>
      </w:r>
      <w:r>
        <w:rPr>
          <w:sz w:val="24"/>
          <w:szCs w:val="24"/>
          <w:lang w:eastAsia="fr-FR"/>
        </w:rPr>
        <w:t xml:space="preserve"> </w:t>
      </w:r>
      <w:r w:rsidRPr="003A6EBA">
        <w:rPr>
          <w:sz w:val="24"/>
          <w:szCs w:val="24"/>
          <w:lang w:eastAsia="fr-FR"/>
        </w:rPr>
        <w:t>non adaptatives (50,89%) qu’adaptative (49,11%). Cependant, ceux ayant une capacité de coping cognitif adaptatif</w:t>
      </w:r>
      <w:r>
        <w:rPr>
          <w:sz w:val="24"/>
          <w:szCs w:val="24"/>
          <w:lang w:eastAsia="fr-FR"/>
        </w:rPr>
        <w:t xml:space="preserve"> </w:t>
      </w:r>
      <w:r w:rsidRPr="003A6EBA">
        <w:rPr>
          <w:sz w:val="24"/>
          <w:szCs w:val="24"/>
          <w:lang w:eastAsia="fr-FR"/>
        </w:rPr>
        <w:t xml:space="preserve">s’intègrent socialement mieux (N= 113 ; </w:t>
      </w:r>
      <w:r w:rsidRPr="003A6EBA">
        <w:rPr>
          <w:i/>
          <w:iCs/>
          <w:sz w:val="24"/>
          <w:szCs w:val="24"/>
          <w:lang w:eastAsia="fr-FR"/>
        </w:rPr>
        <w:t xml:space="preserve">z </w:t>
      </w:r>
      <w:r w:rsidRPr="003A6EBA">
        <w:rPr>
          <w:sz w:val="24"/>
          <w:szCs w:val="24"/>
          <w:lang w:eastAsia="fr-FR"/>
        </w:rPr>
        <w:t xml:space="preserve">= 1,237 ; p &lt; 0,05). Ainsi, leurs moyens personnels d’ajustements sont plus ou moins efficaces à une situation désagréable ; et leurs stratégies de personnalisation mises en place pour dépasser les situations émotionnelles sont plus ou moins bonnes (Piquemal-Vieu, 2001). Ceci est éclairé par les théories cognitivistes des émotions qui montrent comment la préparation de l’action ou de la réponse émotionnelle est fonction du captage, de la perception, de l’interprétation, du codage et de la représentation cognitive que le sujet fait de l’évènement inducteur d’émotion. </w:t>
      </w:r>
    </w:p>
    <w:p w14:paraId="5D10B757" w14:textId="77777777" w:rsidR="00D80693" w:rsidRPr="003A6EBA" w:rsidRDefault="00D80693" w:rsidP="0016777C">
      <w:pPr>
        <w:spacing w:before="240"/>
        <w:ind w:left="-5"/>
        <w:jc w:val="both"/>
        <w:rPr>
          <w:sz w:val="24"/>
          <w:szCs w:val="24"/>
          <w:lang w:eastAsia="fr-FR"/>
        </w:rPr>
      </w:pPr>
      <w:r w:rsidRPr="003A6EBA">
        <w:rPr>
          <w:sz w:val="24"/>
          <w:szCs w:val="24"/>
          <w:lang w:eastAsia="fr-FR"/>
        </w:rPr>
        <w:t xml:space="preserve">Le modèle du « processus émotionnel » de </w:t>
      </w:r>
      <w:proofErr w:type="spellStart"/>
      <w:r w:rsidRPr="003A6EBA">
        <w:rPr>
          <w:sz w:val="24"/>
          <w:szCs w:val="24"/>
          <w:lang w:eastAsia="fr-FR"/>
        </w:rPr>
        <w:t>Frijda</w:t>
      </w:r>
      <w:proofErr w:type="spellEnd"/>
      <w:r w:rsidRPr="003A6EBA">
        <w:rPr>
          <w:sz w:val="24"/>
          <w:szCs w:val="24"/>
          <w:lang w:eastAsia="fr-FR"/>
        </w:rPr>
        <w:t xml:space="preserve"> (2006) est donc une démonstration détaillée de l’importance du coping cognitif adaptatif chez les adolescents déplacés internes, car il rejoint le modèle </w:t>
      </w:r>
      <w:r w:rsidRPr="003A6EBA">
        <w:rPr>
          <w:i/>
          <w:iCs/>
          <w:sz w:val="24"/>
          <w:szCs w:val="24"/>
          <w:lang w:eastAsia="fr-FR"/>
        </w:rPr>
        <w:t xml:space="preserve">des "processus composants" </w:t>
      </w:r>
      <w:r w:rsidRPr="003A6EBA">
        <w:rPr>
          <w:sz w:val="24"/>
          <w:szCs w:val="24"/>
          <w:lang w:eastAsia="fr-FR"/>
        </w:rPr>
        <w:t>proposé de Scherer (1997) selon lequel le vécu émotionnel est un état de</w:t>
      </w:r>
      <w:r>
        <w:rPr>
          <w:sz w:val="24"/>
          <w:szCs w:val="24"/>
          <w:lang w:eastAsia="fr-FR"/>
        </w:rPr>
        <w:t xml:space="preserve"> </w:t>
      </w:r>
      <w:r w:rsidRPr="003A6EBA">
        <w:rPr>
          <w:iCs/>
          <w:sz w:val="24"/>
          <w:szCs w:val="24"/>
          <w:lang w:eastAsia="fr-FR"/>
        </w:rPr>
        <w:t>conscience de "formes d'état" d'une série de</w:t>
      </w:r>
      <w:r>
        <w:rPr>
          <w:iCs/>
          <w:sz w:val="24"/>
          <w:szCs w:val="24"/>
          <w:lang w:eastAsia="fr-FR"/>
        </w:rPr>
        <w:t xml:space="preserve"> </w:t>
      </w:r>
      <w:r w:rsidRPr="003A6EBA">
        <w:rPr>
          <w:iCs/>
          <w:sz w:val="24"/>
          <w:szCs w:val="24"/>
          <w:lang w:eastAsia="fr-FR"/>
        </w:rPr>
        <w:t>sous-systèmes : d'assistance, d'action, d'information, régulateur et moniteur</w:t>
      </w:r>
      <w:r w:rsidRPr="003A6EBA">
        <w:rPr>
          <w:sz w:val="24"/>
          <w:szCs w:val="24"/>
          <w:lang w:eastAsia="fr-FR"/>
        </w:rPr>
        <w:t>. Une bonne régulation cognitive traite toutes ces "facettes" et la résultante détermine la nature et l'intensité de l'émotion et les différentes composantes des émotions sont ainsi des</w:t>
      </w:r>
      <w:r w:rsidRPr="003A6EBA">
        <w:rPr>
          <w:iCs/>
          <w:sz w:val="24"/>
          <w:szCs w:val="24"/>
          <w:lang w:eastAsia="fr-FR"/>
        </w:rPr>
        <w:t xml:space="preserve"> états-types</w:t>
      </w:r>
      <w:r>
        <w:rPr>
          <w:iCs/>
          <w:sz w:val="24"/>
          <w:szCs w:val="24"/>
          <w:lang w:eastAsia="fr-FR"/>
        </w:rPr>
        <w:t xml:space="preserve"> </w:t>
      </w:r>
      <w:r w:rsidRPr="003A6EBA">
        <w:rPr>
          <w:iCs/>
          <w:sz w:val="24"/>
          <w:szCs w:val="24"/>
          <w:lang w:eastAsia="fr-FR"/>
        </w:rPr>
        <w:t>momentanés de sous- systèmes fonctionnels de l'organisme</w:t>
      </w:r>
      <w:r>
        <w:rPr>
          <w:iCs/>
          <w:sz w:val="24"/>
          <w:szCs w:val="24"/>
          <w:lang w:eastAsia="fr-FR"/>
        </w:rPr>
        <w:t xml:space="preserve"> </w:t>
      </w:r>
      <w:r w:rsidRPr="003A6EBA">
        <w:rPr>
          <w:sz w:val="24"/>
          <w:szCs w:val="24"/>
          <w:lang w:eastAsia="fr-FR"/>
        </w:rPr>
        <w:t>(</w:t>
      </w:r>
      <w:proofErr w:type="spellStart"/>
      <w:r w:rsidRPr="003A6EBA">
        <w:rPr>
          <w:sz w:val="24"/>
          <w:szCs w:val="24"/>
          <w:lang w:eastAsia="fr-FR"/>
        </w:rPr>
        <w:t>Cosnier</w:t>
      </w:r>
      <w:proofErr w:type="spellEnd"/>
      <w:r w:rsidRPr="003A6EBA">
        <w:rPr>
          <w:sz w:val="24"/>
          <w:szCs w:val="24"/>
          <w:lang w:eastAsia="fr-FR"/>
        </w:rPr>
        <w:t xml:space="preserve"> 2006).</w:t>
      </w:r>
      <w:r>
        <w:rPr>
          <w:sz w:val="24"/>
          <w:szCs w:val="24"/>
          <w:lang w:eastAsia="fr-FR"/>
        </w:rPr>
        <w:t xml:space="preserve"> </w:t>
      </w:r>
      <w:r w:rsidRPr="003A6EBA">
        <w:rPr>
          <w:sz w:val="24"/>
          <w:szCs w:val="24"/>
          <w:lang w:eastAsia="fr-FR"/>
        </w:rPr>
        <w:t>Notons avec le modèle heuristique des compétences sociales de Yeates et al. (2007) que ces résultats nous permettent de situer les adolescents déplacés internes ayant un coping cognitif adaptatif dans les trois niveaux de compétences sociales qui s’influencent mutuellement chez eux. En effet, leur coping cognitif est adaptatif parce qu’il implique les processus d’informations sociales qui mobilisent des fonctions cognitives et exécutives, afin de leur garantir une bonne résolution de problèmes sociaux et en intégrant les fonctions sociales et affectives régulatrices (</w:t>
      </w:r>
      <w:r w:rsidRPr="003A6EBA">
        <w:rPr>
          <w:color w:val="000000"/>
          <w:sz w:val="24"/>
          <w:szCs w:val="24"/>
          <w:lang w:eastAsia="fr-FR"/>
        </w:rPr>
        <w:t xml:space="preserve">Tamo </w:t>
      </w:r>
      <w:proofErr w:type="spellStart"/>
      <w:r w:rsidRPr="003A6EBA">
        <w:rPr>
          <w:color w:val="000000"/>
          <w:sz w:val="24"/>
          <w:szCs w:val="24"/>
          <w:lang w:eastAsia="fr-FR"/>
        </w:rPr>
        <w:t>Fogué</w:t>
      </w:r>
      <w:proofErr w:type="spellEnd"/>
      <w:r w:rsidRPr="003A6EBA">
        <w:rPr>
          <w:color w:val="000000"/>
          <w:sz w:val="24"/>
          <w:szCs w:val="24"/>
          <w:lang w:eastAsia="fr-FR"/>
        </w:rPr>
        <w:t xml:space="preserve">, </w:t>
      </w:r>
      <w:proofErr w:type="spellStart"/>
      <w:r w:rsidRPr="003A6EBA">
        <w:rPr>
          <w:color w:val="000000"/>
          <w:sz w:val="24"/>
          <w:szCs w:val="24"/>
          <w:lang w:eastAsia="fr-FR"/>
        </w:rPr>
        <w:t>Nkelzok</w:t>
      </w:r>
      <w:proofErr w:type="spellEnd"/>
      <w:r w:rsidRPr="003A6EBA">
        <w:rPr>
          <w:color w:val="000000"/>
          <w:sz w:val="24"/>
          <w:szCs w:val="24"/>
          <w:lang w:eastAsia="fr-FR"/>
        </w:rPr>
        <w:t xml:space="preserve"> </w:t>
      </w:r>
      <w:proofErr w:type="spellStart"/>
      <w:r w:rsidRPr="003A6EBA">
        <w:rPr>
          <w:color w:val="000000"/>
          <w:sz w:val="24"/>
          <w:szCs w:val="24"/>
          <w:lang w:eastAsia="fr-FR"/>
        </w:rPr>
        <w:t>Komtsindi</w:t>
      </w:r>
      <w:proofErr w:type="spellEnd"/>
      <w:r w:rsidRPr="003A6EBA">
        <w:rPr>
          <w:color w:val="000000"/>
          <w:sz w:val="24"/>
          <w:szCs w:val="24"/>
          <w:lang w:eastAsia="fr-FR"/>
        </w:rPr>
        <w:t>, &amp; Mayi, 2021)</w:t>
      </w:r>
      <w:r w:rsidRPr="003A6EBA">
        <w:rPr>
          <w:sz w:val="24"/>
          <w:szCs w:val="24"/>
          <w:lang w:eastAsia="fr-FR"/>
        </w:rPr>
        <w:t>. Ceci donne donc à ces adolescents de bonnes interactions et un meilleur ajustement social.</w:t>
      </w:r>
    </w:p>
    <w:p w14:paraId="65566722" w14:textId="77777777" w:rsidR="00D80693" w:rsidRPr="00F71EFE" w:rsidRDefault="00D80693" w:rsidP="00D80693">
      <w:pPr>
        <w:spacing w:before="240"/>
        <w:ind w:left="-5" w:hanging="10"/>
        <w:jc w:val="both"/>
        <w:rPr>
          <w:b/>
          <w:bCs/>
          <w:sz w:val="28"/>
          <w:szCs w:val="28"/>
          <w:lang w:eastAsia="fr-FR"/>
        </w:rPr>
      </w:pPr>
      <w:r w:rsidRPr="00F71EFE">
        <w:rPr>
          <w:b/>
          <w:bCs/>
          <w:sz w:val="28"/>
          <w:szCs w:val="28"/>
          <w:lang w:eastAsia="fr-FR"/>
        </w:rPr>
        <w:t>Conclusion</w:t>
      </w:r>
    </w:p>
    <w:p w14:paraId="3EBF7E16" w14:textId="77777777" w:rsidR="00D80693" w:rsidRPr="003A6EBA" w:rsidRDefault="00D80693" w:rsidP="0016777C">
      <w:pPr>
        <w:jc w:val="both"/>
        <w:rPr>
          <w:b/>
          <w:bCs/>
          <w:color w:val="FF0000"/>
          <w:sz w:val="24"/>
          <w:szCs w:val="24"/>
          <w:lang w:eastAsia="fr-FR"/>
        </w:rPr>
      </w:pPr>
      <w:r w:rsidRPr="003A6EBA">
        <w:rPr>
          <w:color w:val="000000"/>
          <w:sz w:val="24"/>
          <w:lang w:eastAsia="fr-FR"/>
        </w:rPr>
        <w:t>La présente étude, était fondée sur la question de savoir si le développement des capacités d’adaptation sociale des adolescents déplacés internes suites aux inondations à l’Extrême-Nord varie</w:t>
      </w:r>
      <w:r>
        <w:rPr>
          <w:color w:val="000000"/>
          <w:sz w:val="24"/>
          <w:lang w:eastAsia="fr-FR"/>
        </w:rPr>
        <w:t xml:space="preserve"> </w:t>
      </w:r>
      <w:r w:rsidRPr="003A6EBA">
        <w:rPr>
          <w:color w:val="000000"/>
          <w:sz w:val="24"/>
          <w:lang w:eastAsia="fr-FR"/>
        </w:rPr>
        <w:t>selon leurs compétences émotionnelles.</w:t>
      </w:r>
      <w:r>
        <w:rPr>
          <w:color w:val="000000"/>
          <w:sz w:val="24"/>
          <w:lang w:eastAsia="fr-FR"/>
        </w:rPr>
        <w:t xml:space="preserve"> </w:t>
      </w:r>
      <w:r w:rsidRPr="003A6EBA">
        <w:rPr>
          <w:color w:val="000000"/>
          <w:sz w:val="24"/>
          <w:lang w:eastAsia="fr-FR"/>
        </w:rPr>
        <w:t>En effet, dans un contexte de cohabitation entre les déplacés internes et les populations autochtones et allogènes dans des communautés d’accueil de l’Est-Cameroun, ces adolescents vivent et se scolarisent dans une situation où leurs schémas comportementaux et leurs modèles de pensées connaissent un chalenge de restructuration quotidienne au cours de leur adaptation sociale. Ce faisant, des évènements plus ou moins agréables et induisant de façon récurrente des charges émotionnelles intenses, mettent constamment au défi leurs compétences émotionnelles telles : leurs aptitudes à développer un type d’émotion précis, leurs stratégies de régulation émotionnelle et leurs capacités de coping cognitif ou à faire face aux évènements désagréables. Ces différentes variables de compétence émotionnelles ayant des inférences différentielles sur le développement des capacités d’adaptation sociale, cette étude visait principalement à vérifier et comparer ces variations.</w:t>
      </w:r>
    </w:p>
    <w:p w14:paraId="5354D9B3" w14:textId="77777777" w:rsidR="00D80693" w:rsidRPr="003A6EBA" w:rsidRDefault="00D80693" w:rsidP="0016777C">
      <w:pPr>
        <w:adjustRightInd w:val="0"/>
        <w:spacing w:before="240"/>
        <w:jc w:val="both"/>
        <w:rPr>
          <w:sz w:val="24"/>
          <w:szCs w:val="24"/>
          <w:lang w:eastAsia="fr-FR"/>
        </w:rPr>
      </w:pPr>
      <w:r w:rsidRPr="003A6EBA">
        <w:rPr>
          <w:sz w:val="24"/>
          <w:szCs w:val="24"/>
          <w:lang w:eastAsia="fr-FR"/>
        </w:rPr>
        <w:t>Après collecte et analyse des données, il en ressort que les adolescents déplacés internes développent plus d’émotions positives que négatives, mais ont tous une capacité d’adaptation sociale plus ou moins élevée. De plus, non seulement ils font majoritairement recours à une stratégie de régulation émotionnelle par la réévaluation, mais ceux utilisant cette stratégie s’adaptent socialement plus que ceux utilisant une stratégie de suppression. Les résultats révèlent également que faces aux évènements désagréables ou dangereux, ils développent un peu plus de capacité de coping cognitif non adaptatif, mais ceux qui ont une capacité de coping adaptatif développent une plus grande capacité d’adaptation. D’où la nécessité d’une optimisation des interventions humanitaires au profit d’une meilleure resocialisation de ces adolescents déplacés internes de l’Est-Cameroun, de façon à promouvoir un meilleur accompagnement vers un développement et un épanouissement émotionnel et socio-adaptatif plus harmonieux et plus durables de ces derniers.</w:t>
      </w:r>
    </w:p>
    <w:p w14:paraId="79307B58" w14:textId="77777777" w:rsidR="00D80693" w:rsidRPr="003A6EBA" w:rsidRDefault="00D80693" w:rsidP="0016777C">
      <w:pPr>
        <w:adjustRightInd w:val="0"/>
        <w:spacing w:before="240"/>
        <w:jc w:val="both"/>
        <w:rPr>
          <w:sz w:val="24"/>
          <w:szCs w:val="24"/>
          <w:lang w:eastAsia="fr-FR"/>
        </w:rPr>
      </w:pPr>
      <w:r w:rsidRPr="003A6EBA">
        <w:rPr>
          <w:sz w:val="24"/>
          <w:szCs w:val="24"/>
          <w:lang w:eastAsia="fr-FR"/>
        </w:rPr>
        <w:t>Pour y parvenir, cette recherche suggère que l</w:t>
      </w:r>
      <w:r w:rsidRPr="003A6EBA">
        <w:rPr>
          <w:bCs/>
          <w:sz w:val="24"/>
          <w:szCs w:val="24"/>
          <w:lang w:eastAsia="fr-FR"/>
        </w:rPr>
        <w:t>es politiques nationales et internationales en matière d’intervention humanitaire pour les déplacés internes</w:t>
      </w:r>
      <w:r>
        <w:rPr>
          <w:bCs/>
          <w:sz w:val="24"/>
          <w:szCs w:val="24"/>
          <w:lang w:eastAsia="fr-FR"/>
        </w:rPr>
        <w:t xml:space="preserve"> </w:t>
      </w:r>
      <w:r w:rsidRPr="003A6EBA">
        <w:rPr>
          <w:sz w:val="24"/>
          <w:szCs w:val="24"/>
          <w:lang w:eastAsia="fr-FR"/>
        </w:rPr>
        <w:t>impulsent une stratégie de développement personnel, qui sauvegarderait le patrimoine culturel, garantissant non seulement le bénéfice symbolique associé à leur développement, mais aussi un bénéfice de socialisation</w:t>
      </w:r>
      <w:r>
        <w:rPr>
          <w:sz w:val="24"/>
          <w:szCs w:val="24"/>
          <w:lang w:eastAsia="fr-FR"/>
        </w:rPr>
        <w:t xml:space="preserve"> </w:t>
      </w:r>
      <w:r w:rsidRPr="003A6EBA">
        <w:rPr>
          <w:sz w:val="24"/>
          <w:szCs w:val="24"/>
          <w:lang w:eastAsia="fr-FR"/>
        </w:rPr>
        <w:t>consubstantiel au fait de lester les interférences liées aux différences contextuelles. Ce qui serait susceptible de contribuer à l’amélioration des capacités d’adaptation sociale des adolescents déplacés internes, à travers un suivi objectif et utilitaire, développant des stratégies d’aménagement progressif, selon les difficultés rencontrées. Ceci leur garantirait une chance égale aux autres, d’intégration et d’insertion sociales de qualité, tant dans leur milieu d’accueil, qu’une fois de retour dans leur milieu d’origine.</w:t>
      </w:r>
    </w:p>
    <w:p w14:paraId="53F8DE92" w14:textId="77777777" w:rsidR="00D80693" w:rsidRPr="003A6EBA" w:rsidRDefault="00D80693" w:rsidP="0016777C">
      <w:pPr>
        <w:adjustRightInd w:val="0"/>
        <w:spacing w:before="240"/>
        <w:jc w:val="both"/>
        <w:rPr>
          <w:sz w:val="24"/>
          <w:szCs w:val="24"/>
          <w:lang w:eastAsia="fr-FR"/>
        </w:rPr>
      </w:pPr>
      <w:r w:rsidRPr="003A6EBA">
        <w:rPr>
          <w:sz w:val="24"/>
          <w:szCs w:val="24"/>
          <w:lang w:eastAsia="fr-FR"/>
        </w:rPr>
        <w:t xml:space="preserve">Une limite pourrait être relevée dans cette étude. Il s’agit de la taille restreinte de l’échantillon qui permet difficilement de généraliser les résultats à l’ensemble de la population des adolescents victimes des inondations à l’Extrême-Nord et déplacés internes et scolarisés dans une autre région du Cameroun. En effet, il a été très difficile d’en trouver qui soit encore régulièrement présents à l’école et qui aient une bonne maitrise de la langue française pour remplir objectivement les échelles. Comme perspective, l’on pourrait dans une recherche future, analyser le lien synergétique entre ces ressources émotionnelles et le développement </w:t>
      </w:r>
      <w:proofErr w:type="spellStart"/>
      <w:r w:rsidRPr="003A6EBA">
        <w:rPr>
          <w:sz w:val="24"/>
          <w:szCs w:val="24"/>
          <w:lang w:eastAsia="fr-FR"/>
        </w:rPr>
        <w:t>cognitivo</w:t>
      </w:r>
      <w:proofErr w:type="spellEnd"/>
      <w:r w:rsidRPr="003A6EBA">
        <w:rPr>
          <w:sz w:val="24"/>
          <w:szCs w:val="24"/>
          <w:lang w:eastAsia="fr-FR"/>
        </w:rPr>
        <w:t>-socio-affectif puis moral</w:t>
      </w:r>
      <w:r>
        <w:rPr>
          <w:sz w:val="24"/>
          <w:szCs w:val="24"/>
          <w:lang w:eastAsia="fr-FR"/>
        </w:rPr>
        <w:t xml:space="preserve"> </w:t>
      </w:r>
      <w:r w:rsidRPr="003A6EBA">
        <w:rPr>
          <w:sz w:val="24"/>
          <w:szCs w:val="24"/>
          <w:lang w:eastAsia="fr-FR"/>
        </w:rPr>
        <w:t>des victimes d’inondation et</w:t>
      </w:r>
      <w:r>
        <w:rPr>
          <w:sz w:val="24"/>
          <w:szCs w:val="24"/>
          <w:lang w:eastAsia="fr-FR"/>
        </w:rPr>
        <w:t xml:space="preserve"> </w:t>
      </w:r>
      <w:r w:rsidRPr="003A6EBA">
        <w:rPr>
          <w:sz w:val="24"/>
          <w:szCs w:val="24"/>
          <w:lang w:eastAsia="fr-FR"/>
        </w:rPr>
        <w:t xml:space="preserve">déplacés internes en contexte transculturel, comparativement à ceux déplacés dans leur environnement culturel d’origine. </w:t>
      </w:r>
    </w:p>
    <w:p w14:paraId="2DAA51E0" w14:textId="77777777" w:rsidR="0016777C" w:rsidRDefault="0016777C">
      <w:pPr>
        <w:rPr>
          <w:b/>
          <w:bCs/>
          <w:sz w:val="28"/>
          <w:szCs w:val="28"/>
          <w:lang w:eastAsia="fr-FR"/>
        </w:rPr>
      </w:pPr>
      <w:r>
        <w:rPr>
          <w:b/>
          <w:bCs/>
          <w:sz w:val="28"/>
          <w:szCs w:val="28"/>
          <w:lang w:eastAsia="fr-FR"/>
        </w:rPr>
        <w:br w:type="page"/>
      </w:r>
    </w:p>
    <w:p w14:paraId="0D7F6DC5" w14:textId="68CD7910" w:rsidR="00D80693" w:rsidRPr="00F71EFE" w:rsidRDefault="00D80693" w:rsidP="00D80693">
      <w:pPr>
        <w:spacing w:before="240"/>
        <w:ind w:left="-5" w:hanging="10"/>
        <w:jc w:val="both"/>
        <w:rPr>
          <w:b/>
          <w:bCs/>
          <w:sz w:val="28"/>
          <w:szCs w:val="28"/>
          <w:lang w:eastAsia="fr-FR"/>
        </w:rPr>
      </w:pPr>
      <w:r w:rsidRPr="00F71EFE">
        <w:rPr>
          <w:b/>
          <w:bCs/>
          <w:sz w:val="28"/>
          <w:szCs w:val="28"/>
          <w:lang w:eastAsia="fr-FR"/>
        </w:rPr>
        <w:t>Références bibliographiques</w:t>
      </w:r>
      <w:bookmarkEnd w:id="244"/>
    </w:p>
    <w:p w14:paraId="6CA2D32A" w14:textId="77777777" w:rsidR="00D80693" w:rsidRPr="003A6EBA" w:rsidRDefault="00D80693" w:rsidP="0016777C">
      <w:pPr>
        <w:spacing w:before="120"/>
        <w:ind w:left="851" w:hanging="851"/>
        <w:jc w:val="both"/>
        <w:rPr>
          <w:sz w:val="24"/>
          <w:szCs w:val="24"/>
          <w:lang w:val="en-US" w:eastAsia="fr-FR"/>
        </w:rPr>
      </w:pPr>
      <w:r w:rsidRPr="005767D0">
        <w:rPr>
          <w:sz w:val="24"/>
          <w:szCs w:val="24"/>
          <w:lang w:val="fr-SN" w:eastAsia="fr-FR"/>
        </w:rPr>
        <w:t xml:space="preserve">Adrian, M., Zeman, J., &amp; </w:t>
      </w:r>
      <w:proofErr w:type="spellStart"/>
      <w:r w:rsidRPr="005767D0">
        <w:rPr>
          <w:sz w:val="24"/>
          <w:szCs w:val="24"/>
          <w:lang w:val="fr-SN" w:eastAsia="fr-FR"/>
        </w:rPr>
        <w:t>Veits</w:t>
      </w:r>
      <w:proofErr w:type="spellEnd"/>
      <w:r w:rsidRPr="005767D0">
        <w:rPr>
          <w:sz w:val="24"/>
          <w:szCs w:val="24"/>
          <w:lang w:val="fr-SN" w:eastAsia="fr-FR"/>
        </w:rPr>
        <w:t xml:space="preserve">, G. (2011). </w:t>
      </w:r>
      <w:r w:rsidRPr="003A6EBA">
        <w:rPr>
          <w:sz w:val="24"/>
          <w:szCs w:val="24"/>
          <w:lang w:val="en-US" w:eastAsia="fr-FR"/>
        </w:rPr>
        <w:t>Methodological implications of the aff</w:t>
      </w:r>
      <w:r>
        <w:rPr>
          <w:sz w:val="24"/>
          <w:szCs w:val="24"/>
          <w:lang w:val="en-US" w:eastAsia="fr-FR"/>
        </w:rPr>
        <w:t xml:space="preserve">ect </w:t>
      </w:r>
      <w:r>
        <w:rPr>
          <w:sz w:val="24"/>
          <w:szCs w:val="24"/>
          <w:lang w:val="en-US" w:eastAsia="fr-FR"/>
        </w:rPr>
        <w:tab/>
        <w:t xml:space="preserve">revolution: </w:t>
      </w:r>
      <w:r w:rsidRPr="003A6EBA">
        <w:rPr>
          <w:sz w:val="24"/>
          <w:szCs w:val="24"/>
          <w:lang w:val="en-US" w:eastAsia="fr-FR"/>
        </w:rPr>
        <w:t xml:space="preserve">a 35-year review of emotion regulation assessment in children. </w:t>
      </w:r>
      <w:r>
        <w:rPr>
          <w:i/>
          <w:sz w:val="24"/>
          <w:szCs w:val="24"/>
          <w:lang w:val="en-US" w:eastAsia="fr-FR"/>
        </w:rPr>
        <w:t xml:space="preserve">Journal of </w:t>
      </w:r>
      <w:r>
        <w:rPr>
          <w:i/>
          <w:sz w:val="24"/>
          <w:szCs w:val="24"/>
          <w:lang w:val="en-US" w:eastAsia="fr-FR"/>
        </w:rPr>
        <w:tab/>
        <w:t xml:space="preserve">Experimental </w:t>
      </w:r>
      <w:r w:rsidRPr="003A6EBA">
        <w:rPr>
          <w:i/>
          <w:sz w:val="24"/>
          <w:szCs w:val="24"/>
          <w:lang w:val="en-US" w:eastAsia="fr-FR"/>
        </w:rPr>
        <w:t>Child Psychology</w:t>
      </w:r>
      <w:r w:rsidRPr="003A6EBA">
        <w:rPr>
          <w:sz w:val="24"/>
          <w:szCs w:val="24"/>
          <w:lang w:val="en-US" w:eastAsia="fr-FR"/>
        </w:rPr>
        <w:t xml:space="preserve">, </w:t>
      </w:r>
      <w:r w:rsidRPr="003A6EBA">
        <w:rPr>
          <w:i/>
          <w:sz w:val="24"/>
          <w:szCs w:val="24"/>
          <w:lang w:val="en-US" w:eastAsia="fr-FR"/>
        </w:rPr>
        <w:t>110</w:t>
      </w:r>
      <w:r w:rsidRPr="003A6EBA">
        <w:rPr>
          <w:sz w:val="24"/>
          <w:szCs w:val="24"/>
          <w:lang w:val="en-US" w:eastAsia="fr-FR"/>
        </w:rPr>
        <w:t xml:space="preserve">(2), 171–97. </w:t>
      </w:r>
    </w:p>
    <w:p w14:paraId="3D8BDFBB" w14:textId="77777777" w:rsidR="00D80693" w:rsidRPr="003A6EBA" w:rsidRDefault="00D80693" w:rsidP="0016777C">
      <w:pPr>
        <w:pStyle w:val="Paragraphedeliste"/>
        <w:ind w:left="851" w:hanging="851"/>
        <w:rPr>
          <w:color w:val="000000"/>
          <w:sz w:val="24"/>
          <w:szCs w:val="24"/>
          <w:lang w:eastAsia="fr-FR"/>
        </w:rPr>
      </w:pPr>
      <w:r w:rsidRPr="003A6EBA">
        <w:rPr>
          <w:color w:val="000000"/>
          <w:sz w:val="24"/>
          <w:szCs w:val="24"/>
          <w:lang w:val="en-US" w:eastAsia="fr-FR"/>
        </w:rPr>
        <w:t xml:space="preserve">Amana, E. &amp; Tamo </w:t>
      </w:r>
      <w:proofErr w:type="spellStart"/>
      <w:r w:rsidRPr="003A6EBA">
        <w:rPr>
          <w:color w:val="000000"/>
          <w:sz w:val="24"/>
          <w:szCs w:val="24"/>
          <w:lang w:val="en-US" w:eastAsia="fr-FR"/>
        </w:rPr>
        <w:t>Fogué</w:t>
      </w:r>
      <w:proofErr w:type="spellEnd"/>
      <w:r w:rsidRPr="003A6EBA">
        <w:rPr>
          <w:color w:val="000000"/>
          <w:sz w:val="24"/>
          <w:szCs w:val="24"/>
          <w:lang w:val="en-US" w:eastAsia="fr-FR"/>
        </w:rPr>
        <w:t xml:space="preserve">, Y. (2024). </w:t>
      </w:r>
      <w:r w:rsidRPr="003A6EBA">
        <w:rPr>
          <w:color w:val="000000"/>
          <w:sz w:val="24"/>
          <w:szCs w:val="24"/>
          <w:lang w:eastAsia="fr-FR"/>
        </w:rPr>
        <w:t xml:space="preserve">Choc culturel et développement socio-affectif chez </w:t>
      </w:r>
      <w:r w:rsidRPr="003A6EBA">
        <w:rPr>
          <w:color w:val="000000"/>
          <w:sz w:val="24"/>
          <w:szCs w:val="24"/>
          <w:lang w:eastAsia="fr-FR"/>
        </w:rPr>
        <w:tab/>
        <w:t xml:space="preserve">l’adolescent migrant : la régulation émotionnelle des réfugiés et déplacés internes de </w:t>
      </w:r>
      <w:r w:rsidRPr="003A6EBA">
        <w:rPr>
          <w:color w:val="000000"/>
          <w:sz w:val="24"/>
          <w:szCs w:val="24"/>
          <w:lang w:eastAsia="fr-FR"/>
        </w:rPr>
        <w:tab/>
        <w:t xml:space="preserve">l’Est-Cameroun en période </w:t>
      </w:r>
      <w:proofErr w:type="spellStart"/>
      <w:r w:rsidRPr="003A6EBA">
        <w:rPr>
          <w:color w:val="000000"/>
          <w:sz w:val="24"/>
          <w:szCs w:val="24"/>
          <w:lang w:eastAsia="fr-FR"/>
        </w:rPr>
        <w:t>covidique</w:t>
      </w:r>
      <w:proofErr w:type="spellEnd"/>
      <w:r w:rsidRPr="003A6EBA">
        <w:rPr>
          <w:color w:val="000000"/>
          <w:sz w:val="24"/>
          <w:szCs w:val="24"/>
          <w:lang w:eastAsia="fr-FR"/>
        </w:rPr>
        <w:t>. In E. Amana (</w:t>
      </w:r>
      <w:proofErr w:type="spellStart"/>
      <w:r w:rsidRPr="003A6EBA">
        <w:rPr>
          <w:color w:val="000000"/>
          <w:sz w:val="24"/>
          <w:szCs w:val="24"/>
          <w:lang w:eastAsia="fr-FR"/>
        </w:rPr>
        <w:t>Eds</w:t>
      </w:r>
      <w:proofErr w:type="spellEnd"/>
      <w:r w:rsidRPr="003A6EBA">
        <w:rPr>
          <w:color w:val="000000"/>
          <w:sz w:val="24"/>
          <w:szCs w:val="24"/>
          <w:lang w:eastAsia="fr-FR"/>
        </w:rPr>
        <w:t xml:space="preserve">), </w:t>
      </w:r>
      <w:r w:rsidRPr="003A6EBA">
        <w:rPr>
          <w:i/>
          <w:color w:val="000000"/>
          <w:sz w:val="24"/>
          <w:szCs w:val="24"/>
          <w:lang w:eastAsia="fr-FR"/>
        </w:rPr>
        <w:t>Le développement socio-</w:t>
      </w:r>
      <w:r w:rsidRPr="003A6EBA">
        <w:rPr>
          <w:i/>
          <w:color w:val="000000"/>
          <w:sz w:val="24"/>
          <w:szCs w:val="24"/>
          <w:lang w:eastAsia="fr-FR"/>
        </w:rPr>
        <w:tab/>
        <w:t>affectif en contexte de crise</w:t>
      </w:r>
      <w:r>
        <w:rPr>
          <w:color w:val="000000"/>
          <w:sz w:val="24"/>
          <w:szCs w:val="24"/>
          <w:lang w:eastAsia="fr-FR"/>
        </w:rPr>
        <w:t xml:space="preserve"> (Pp.68 – 88). </w:t>
      </w:r>
      <w:r w:rsidRPr="003A6EBA">
        <w:rPr>
          <w:color w:val="000000"/>
          <w:sz w:val="24"/>
          <w:szCs w:val="24"/>
          <w:lang w:eastAsia="fr-FR"/>
        </w:rPr>
        <w:t>L’Harmatan.  </w:t>
      </w:r>
    </w:p>
    <w:p w14:paraId="3A12CAF2"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Anne-Lise, U. (2012). Le travail émotionnel des professionnelles de la petite enfance. </w:t>
      </w:r>
      <w:proofErr w:type="gramStart"/>
      <w:r w:rsidRPr="003A6EBA">
        <w:rPr>
          <w:sz w:val="24"/>
          <w:szCs w:val="24"/>
          <w:lang w:eastAsia="fr-FR"/>
        </w:rPr>
        <w:t>In:</w:t>
      </w:r>
      <w:proofErr w:type="gramEnd"/>
      <w:r w:rsidRPr="003A6EBA">
        <w:rPr>
          <w:sz w:val="24"/>
          <w:szCs w:val="24"/>
          <w:lang w:eastAsia="fr-FR"/>
        </w:rPr>
        <w:tab/>
        <w:t xml:space="preserve">Politiques sociales et familiales. </w:t>
      </w:r>
      <w:r w:rsidRPr="003A6EBA">
        <w:rPr>
          <w:i/>
          <w:sz w:val="24"/>
          <w:szCs w:val="24"/>
          <w:lang w:eastAsia="fr-FR"/>
        </w:rPr>
        <w:t xml:space="preserve">Métiers de la petite enfance : registres et dimensions </w:t>
      </w:r>
      <w:r w:rsidRPr="003A6EBA">
        <w:rPr>
          <w:i/>
          <w:sz w:val="24"/>
          <w:szCs w:val="24"/>
          <w:lang w:eastAsia="fr-FR"/>
        </w:rPr>
        <w:tab/>
        <w:t>de l’activité</w:t>
      </w:r>
      <w:r w:rsidRPr="003A6EBA">
        <w:rPr>
          <w:sz w:val="24"/>
          <w:szCs w:val="24"/>
          <w:lang w:eastAsia="fr-FR"/>
        </w:rPr>
        <w:t>, 109, 47-57.</w:t>
      </w:r>
    </w:p>
    <w:p w14:paraId="7E0080B9" w14:textId="77777777" w:rsidR="00D80693" w:rsidRPr="003A6EBA" w:rsidRDefault="00D80693" w:rsidP="0016777C">
      <w:pPr>
        <w:spacing w:before="120"/>
        <w:ind w:left="851" w:hanging="851"/>
        <w:jc w:val="both"/>
        <w:rPr>
          <w:sz w:val="24"/>
          <w:szCs w:val="24"/>
          <w:lang w:eastAsia="fr-FR"/>
        </w:rPr>
      </w:pPr>
      <w:r w:rsidRPr="003A6EBA">
        <w:rPr>
          <w:sz w:val="24"/>
          <w:szCs w:val="24"/>
          <w:lang w:val="de-DE" w:eastAsia="fr-FR"/>
        </w:rPr>
        <w:t>Barberger-Gateau, P. &amp; Berr, C. (</w:t>
      </w:r>
      <w:r w:rsidRPr="003A6EBA">
        <w:rPr>
          <w:sz w:val="24"/>
          <w:szCs w:val="24"/>
          <w:lang w:eastAsia="fr-FR"/>
        </w:rPr>
        <w:t>4-5 novembre 2004</w:t>
      </w:r>
      <w:r w:rsidRPr="003A6EBA">
        <w:rPr>
          <w:sz w:val="24"/>
          <w:szCs w:val="24"/>
          <w:lang w:val="de-DE" w:eastAsia="fr-FR"/>
        </w:rPr>
        <w:t xml:space="preserve">). </w:t>
      </w:r>
      <w:r w:rsidRPr="003A6EBA">
        <w:rPr>
          <w:sz w:val="24"/>
          <w:szCs w:val="24"/>
          <w:lang w:val="en-US" w:eastAsia="fr-FR"/>
        </w:rPr>
        <w:t xml:space="preserve">Nutrition and cognitive decline: data </w:t>
      </w:r>
      <w:r w:rsidRPr="003A6EBA">
        <w:rPr>
          <w:sz w:val="24"/>
          <w:szCs w:val="24"/>
          <w:lang w:val="en-US" w:eastAsia="fr-FR"/>
        </w:rPr>
        <w:tab/>
      </w:r>
      <w:r w:rsidRPr="003A6EBA">
        <w:rPr>
          <w:sz w:val="24"/>
          <w:szCs w:val="24"/>
          <w:lang w:val="en-US" w:eastAsia="fr-FR"/>
        </w:rPr>
        <w:tab/>
        <w:t xml:space="preserve">from </w:t>
      </w:r>
      <w:proofErr w:type="spellStart"/>
      <w:r w:rsidRPr="003A6EBA">
        <w:rPr>
          <w:sz w:val="24"/>
          <w:szCs w:val="24"/>
          <w:lang w:val="en-US" w:eastAsia="fr-FR"/>
        </w:rPr>
        <w:t>Paquid</w:t>
      </w:r>
      <w:proofErr w:type="spellEnd"/>
      <w:r w:rsidRPr="003A6EBA">
        <w:rPr>
          <w:sz w:val="24"/>
          <w:szCs w:val="24"/>
          <w:lang w:val="en-US" w:eastAsia="fr-FR"/>
        </w:rPr>
        <w:t xml:space="preserve"> and Eva epidemiologic studies. </w:t>
      </w:r>
      <w:r w:rsidRPr="003A6EBA">
        <w:rPr>
          <w:i/>
          <w:sz w:val="24"/>
          <w:szCs w:val="24"/>
          <w:lang w:eastAsia="fr-FR"/>
        </w:rPr>
        <w:t xml:space="preserve">Communication présentée au </w:t>
      </w:r>
      <w:r w:rsidRPr="003A6EBA">
        <w:rPr>
          <w:i/>
          <w:sz w:val="24"/>
          <w:szCs w:val="24"/>
          <w:lang w:eastAsia="fr-FR"/>
        </w:rPr>
        <w:tab/>
      </w:r>
      <w:r w:rsidRPr="003A6EBA">
        <w:rPr>
          <w:i/>
          <w:sz w:val="24"/>
          <w:szCs w:val="24"/>
          <w:lang w:eastAsia="fr-FR"/>
        </w:rPr>
        <w:tab/>
      </w:r>
      <w:r w:rsidRPr="003A6EBA">
        <w:rPr>
          <w:i/>
          <w:sz w:val="24"/>
          <w:szCs w:val="24"/>
          <w:lang w:eastAsia="fr-FR"/>
        </w:rPr>
        <w:tab/>
        <w:t>4èmeCongrès Européen sur la nutrition, la santé et le vieillissement</w:t>
      </w:r>
      <w:r w:rsidRPr="003A6EBA">
        <w:rPr>
          <w:sz w:val="24"/>
          <w:szCs w:val="24"/>
          <w:lang w:eastAsia="fr-FR"/>
        </w:rPr>
        <w:t>, Toulouse.</w:t>
      </w:r>
    </w:p>
    <w:p w14:paraId="74573F1A" w14:textId="77777777" w:rsidR="00D80693" w:rsidRPr="003A6EBA" w:rsidRDefault="00D80693" w:rsidP="0016777C">
      <w:pPr>
        <w:spacing w:before="120"/>
        <w:ind w:left="851" w:hanging="851"/>
        <w:jc w:val="both"/>
        <w:rPr>
          <w:sz w:val="24"/>
          <w:szCs w:val="24"/>
          <w:lang w:eastAsia="fr-FR"/>
        </w:rPr>
      </w:pPr>
      <w:proofErr w:type="spellStart"/>
      <w:proofErr w:type="gramStart"/>
      <w:r w:rsidRPr="003A6EBA">
        <w:rPr>
          <w:bCs/>
          <w:sz w:val="24"/>
          <w:szCs w:val="24"/>
          <w:lang w:eastAsia="fr-FR"/>
        </w:rPr>
        <w:t>Baudrit,A</w:t>
      </w:r>
      <w:proofErr w:type="spellEnd"/>
      <w:r w:rsidRPr="003A6EBA">
        <w:rPr>
          <w:bCs/>
          <w:sz w:val="24"/>
          <w:szCs w:val="24"/>
          <w:lang w:eastAsia="fr-FR"/>
        </w:rPr>
        <w:t>.</w:t>
      </w:r>
      <w:proofErr w:type="gramEnd"/>
      <w:r w:rsidRPr="003A6EBA">
        <w:rPr>
          <w:bCs/>
          <w:sz w:val="24"/>
          <w:szCs w:val="24"/>
          <w:lang w:eastAsia="fr-FR"/>
        </w:rPr>
        <w:t xml:space="preserve"> </w:t>
      </w:r>
      <w:r w:rsidRPr="003A6EBA">
        <w:rPr>
          <w:sz w:val="24"/>
          <w:szCs w:val="24"/>
          <w:lang w:eastAsia="fr-FR"/>
        </w:rPr>
        <w:t xml:space="preserve">(2011). Le développement des compétences émotionnelles à l’école : une façon de </w:t>
      </w:r>
      <w:r w:rsidRPr="003A6EBA">
        <w:rPr>
          <w:sz w:val="24"/>
          <w:szCs w:val="24"/>
          <w:lang w:eastAsia="fr-FR"/>
        </w:rPr>
        <w:tab/>
        <w:t>favoriser les relations d’aide entre élèves ? </w:t>
      </w:r>
      <w:r w:rsidRPr="003A6EBA">
        <w:rPr>
          <w:i/>
          <w:iCs/>
          <w:sz w:val="24"/>
          <w:szCs w:val="24"/>
          <w:lang w:eastAsia="fr-FR"/>
        </w:rPr>
        <w:t>Recherches &amp; éducations</w:t>
      </w:r>
      <w:r w:rsidRPr="003A6EBA">
        <w:rPr>
          <w:iCs/>
          <w:sz w:val="24"/>
          <w:szCs w:val="24"/>
          <w:lang w:eastAsia="fr-FR"/>
        </w:rPr>
        <w:t xml:space="preserve">, 4, 95 – 108. </w:t>
      </w:r>
    </w:p>
    <w:p w14:paraId="521CB910" w14:textId="77777777" w:rsidR="00D80693" w:rsidRPr="003A6EBA" w:rsidRDefault="00D80693" w:rsidP="0016777C">
      <w:pPr>
        <w:spacing w:before="120"/>
        <w:ind w:left="851" w:hanging="851"/>
        <w:jc w:val="both"/>
        <w:rPr>
          <w:sz w:val="24"/>
          <w:szCs w:val="24"/>
          <w:lang w:val="en-US" w:eastAsia="fr-FR"/>
        </w:rPr>
      </w:pPr>
      <w:r w:rsidRPr="003A6EBA">
        <w:rPr>
          <w:sz w:val="24"/>
          <w:szCs w:val="24"/>
          <w:lang w:eastAsia="fr-FR"/>
        </w:rPr>
        <w:t xml:space="preserve">Boden, M. T., Bonn-Miller, M. O., Kashdan, T. B., Alvarez, J., &amp; Gross, J. J. (2012). </w:t>
      </w:r>
      <w:r w:rsidRPr="003A6EBA">
        <w:rPr>
          <w:sz w:val="24"/>
          <w:szCs w:val="24"/>
          <w:lang w:val="en-US" w:eastAsia="fr-FR"/>
        </w:rPr>
        <w:t xml:space="preserve">The </w:t>
      </w:r>
      <w:r w:rsidRPr="003A6EBA">
        <w:rPr>
          <w:sz w:val="24"/>
          <w:szCs w:val="24"/>
          <w:lang w:val="en-US" w:eastAsia="fr-FR"/>
        </w:rPr>
        <w:tab/>
      </w:r>
      <w:r w:rsidRPr="003A6EBA">
        <w:rPr>
          <w:sz w:val="24"/>
          <w:szCs w:val="24"/>
          <w:lang w:val="en-US" w:eastAsia="fr-FR"/>
        </w:rPr>
        <w:tab/>
        <w:t xml:space="preserve">interactive effects of emotional clarity and cognitive reappraisal in </w:t>
      </w:r>
      <w:proofErr w:type="gramStart"/>
      <w:r w:rsidRPr="003A6EBA">
        <w:rPr>
          <w:sz w:val="24"/>
          <w:szCs w:val="24"/>
          <w:lang w:val="en-US" w:eastAsia="fr-FR"/>
        </w:rPr>
        <w:t xml:space="preserve">Posttraumatic </w:t>
      </w:r>
      <w:r>
        <w:rPr>
          <w:sz w:val="24"/>
          <w:szCs w:val="24"/>
          <w:lang w:val="en-US" w:eastAsia="fr-FR"/>
        </w:rPr>
        <w:tab/>
      </w:r>
      <w:r>
        <w:rPr>
          <w:sz w:val="24"/>
          <w:szCs w:val="24"/>
          <w:lang w:val="en-US" w:eastAsia="fr-FR"/>
        </w:rPr>
        <w:tab/>
      </w:r>
      <w:r w:rsidRPr="003A6EBA">
        <w:rPr>
          <w:sz w:val="24"/>
          <w:szCs w:val="24"/>
          <w:lang w:val="en-US" w:eastAsia="fr-FR"/>
        </w:rPr>
        <w:t>Stress Disorder</w:t>
      </w:r>
      <w:proofErr w:type="gramEnd"/>
      <w:r w:rsidRPr="003A6EBA">
        <w:rPr>
          <w:sz w:val="24"/>
          <w:szCs w:val="24"/>
          <w:lang w:val="en-US" w:eastAsia="fr-FR"/>
        </w:rPr>
        <w:t xml:space="preserve">. </w:t>
      </w:r>
      <w:r w:rsidRPr="003A6EBA">
        <w:rPr>
          <w:i/>
          <w:iCs/>
          <w:sz w:val="24"/>
          <w:szCs w:val="24"/>
          <w:lang w:val="en-US" w:eastAsia="fr-FR"/>
        </w:rPr>
        <w:t>Journal of Anxiety Disorders</w:t>
      </w:r>
      <w:r w:rsidRPr="003A6EBA">
        <w:rPr>
          <w:sz w:val="24"/>
          <w:szCs w:val="24"/>
          <w:lang w:val="en-US" w:eastAsia="fr-FR"/>
        </w:rPr>
        <w:t xml:space="preserve">, </w:t>
      </w:r>
      <w:r w:rsidRPr="003A6EBA">
        <w:rPr>
          <w:i/>
          <w:iCs/>
          <w:sz w:val="24"/>
          <w:szCs w:val="24"/>
          <w:lang w:val="en-US" w:eastAsia="fr-FR"/>
        </w:rPr>
        <w:t>26</w:t>
      </w:r>
      <w:r w:rsidRPr="003A6EBA">
        <w:rPr>
          <w:sz w:val="24"/>
          <w:szCs w:val="24"/>
          <w:lang w:val="en-US" w:eastAsia="fr-FR"/>
        </w:rPr>
        <w:t xml:space="preserve">(1), 233–238. </w:t>
      </w:r>
      <w:r w:rsidRPr="003A6EBA">
        <w:rPr>
          <w:sz w:val="24"/>
          <w:szCs w:val="24"/>
          <w:lang w:val="en-US" w:eastAsia="fr-FR"/>
        </w:rPr>
        <w:tab/>
      </w:r>
      <w:r w:rsidRPr="003A6EBA">
        <w:rPr>
          <w:sz w:val="24"/>
          <w:szCs w:val="24"/>
          <w:lang w:val="en-US" w:eastAsia="fr-FR"/>
        </w:rPr>
        <w:tab/>
      </w:r>
    </w:p>
    <w:p w14:paraId="32F474F4"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 xml:space="preserve">Bowlby, J. (1988). </w:t>
      </w:r>
      <w:r w:rsidRPr="003A6EBA">
        <w:rPr>
          <w:i/>
          <w:iCs/>
          <w:sz w:val="24"/>
          <w:szCs w:val="24"/>
          <w:lang w:val="en-US" w:eastAsia="fr-FR"/>
        </w:rPr>
        <w:t xml:space="preserve">A Secure Base: Parent-Child Attachment and Healthy </w:t>
      </w:r>
      <w:proofErr w:type="spellStart"/>
      <w:r w:rsidRPr="003A6EBA">
        <w:rPr>
          <w:i/>
          <w:iCs/>
          <w:sz w:val="24"/>
          <w:szCs w:val="24"/>
          <w:lang w:val="en-US" w:eastAsia="fr-FR"/>
        </w:rPr>
        <w:t>HumanDevelopment</w:t>
      </w:r>
      <w:proofErr w:type="spellEnd"/>
      <w:r w:rsidRPr="003A6EBA">
        <w:rPr>
          <w:i/>
          <w:iCs/>
          <w:sz w:val="24"/>
          <w:szCs w:val="24"/>
          <w:lang w:val="en-US" w:eastAsia="fr-FR"/>
        </w:rPr>
        <w:t xml:space="preserve"> </w:t>
      </w:r>
      <w:r w:rsidRPr="003A6EBA">
        <w:rPr>
          <w:i/>
          <w:iCs/>
          <w:sz w:val="24"/>
          <w:szCs w:val="24"/>
          <w:lang w:val="en-US" w:eastAsia="fr-FR"/>
        </w:rPr>
        <w:tab/>
      </w:r>
      <w:r w:rsidRPr="003A6EBA">
        <w:rPr>
          <w:i/>
          <w:iCs/>
          <w:sz w:val="24"/>
          <w:szCs w:val="24"/>
          <w:lang w:val="en-US" w:eastAsia="fr-FR"/>
        </w:rPr>
        <w:tab/>
      </w:r>
      <w:r w:rsidRPr="003A6EBA">
        <w:rPr>
          <w:sz w:val="24"/>
          <w:szCs w:val="24"/>
          <w:lang w:val="en-US" w:eastAsia="fr-FR"/>
        </w:rPr>
        <w:t xml:space="preserve">(Reprint edition.). Basic Books. </w:t>
      </w:r>
    </w:p>
    <w:p w14:paraId="67377BD2"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 xml:space="preserve">Buckley, M., Storino, M., &amp; </w:t>
      </w:r>
      <w:proofErr w:type="spellStart"/>
      <w:r w:rsidRPr="003A6EBA">
        <w:rPr>
          <w:sz w:val="24"/>
          <w:szCs w:val="24"/>
          <w:lang w:val="en-US" w:eastAsia="fr-FR"/>
        </w:rPr>
        <w:t>Saarni</w:t>
      </w:r>
      <w:proofErr w:type="spellEnd"/>
      <w:r w:rsidRPr="003A6EBA">
        <w:rPr>
          <w:sz w:val="24"/>
          <w:szCs w:val="24"/>
          <w:lang w:val="en-US" w:eastAsia="fr-FR"/>
        </w:rPr>
        <w:t xml:space="preserve"> C. (2003). Promoting emotional competence in children </w:t>
      </w:r>
      <w:r w:rsidRPr="003A6EBA">
        <w:rPr>
          <w:sz w:val="24"/>
          <w:szCs w:val="24"/>
          <w:lang w:val="en-US" w:eastAsia="fr-FR"/>
        </w:rPr>
        <w:tab/>
        <w:t xml:space="preserve">and adolescents: Implications for school psychologists. </w:t>
      </w:r>
      <w:r w:rsidRPr="003A6EBA">
        <w:rPr>
          <w:i/>
          <w:sz w:val="24"/>
          <w:szCs w:val="24"/>
          <w:lang w:val="en-US" w:eastAsia="fr-FR"/>
        </w:rPr>
        <w:t>School Psychology Quarterly</w:t>
      </w:r>
      <w:proofErr w:type="gramStart"/>
      <w:r w:rsidRPr="003A6EBA">
        <w:rPr>
          <w:sz w:val="24"/>
          <w:szCs w:val="24"/>
          <w:lang w:val="en-US" w:eastAsia="fr-FR"/>
        </w:rPr>
        <w:t xml:space="preserve">, </w:t>
      </w:r>
      <w:r w:rsidRPr="003A6EBA">
        <w:rPr>
          <w:sz w:val="24"/>
          <w:szCs w:val="24"/>
          <w:lang w:val="en-US" w:eastAsia="fr-FR"/>
        </w:rPr>
        <w:tab/>
        <w:t>18</w:t>
      </w:r>
      <w:proofErr w:type="gramEnd"/>
      <w:r w:rsidRPr="003A6EBA">
        <w:rPr>
          <w:sz w:val="24"/>
          <w:szCs w:val="24"/>
          <w:lang w:val="en-US" w:eastAsia="fr-FR"/>
        </w:rPr>
        <w:t>(2), 177-191.</w:t>
      </w:r>
    </w:p>
    <w:p w14:paraId="5696168E" w14:textId="77777777" w:rsidR="00D80693" w:rsidRPr="005767D0" w:rsidRDefault="00D80693" w:rsidP="0016777C">
      <w:pPr>
        <w:spacing w:before="120"/>
        <w:ind w:left="851" w:hanging="851"/>
        <w:jc w:val="both"/>
        <w:rPr>
          <w:sz w:val="24"/>
          <w:szCs w:val="24"/>
          <w:lang w:val="en-US" w:eastAsia="fr-FR"/>
        </w:rPr>
      </w:pPr>
      <w:r w:rsidRPr="003A6EBA">
        <w:rPr>
          <w:sz w:val="24"/>
          <w:szCs w:val="24"/>
          <w:lang w:val="en-US" w:eastAsia="fr-FR"/>
        </w:rPr>
        <w:t xml:space="preserve">Christophe, V., Antoine, P., Leroy, T. &amp; </w:t>
      </w:r>
      <w:proofErr w:type="spellStart"/>
      <w:r w:rsidRPr="003A6EBA">
        <w:rPr>
          <w:sz w:val="24"/>
          <w:szCs w:val="24"/>
          <w:lang w:val="en-US" w:eastAsia="fr-FR"/>
        </w:rPr>
        <w:t>Delelis</w:t>
      </w:r>
      <w:proofErr w:type="spellEnd"/>
      <w:r w:rsidRPr="003A6EBA">
        <w:rPr>
          <w:sz w:val="24"/>
          <w:szCs w:val="24"/>
          <w:lang w:val="en-US" w:eastAsia="fr-FR"/>
        </w:rPr>
        <w:t xml:space="preserve">, G. (2009). Assessment of two emotional </w:t>
      </w:r>
      <w:r w:rsidRPr="003A6EBA">
        <w:rPr>
          <w:sz w:val="24"/>
          <w:szCs w:val="24"/>
          <w:lang w:val="en-US" w:eastAsia="fr-FR"/>
        </w:rPr>
        <w:tab/>
      </w:r>
      <w:r w:rsidRPr="003A6EBA">
        <w:rPr>
          <w:sz w:val="24"/>
          <w:szCs w:val="24"/>
          <w:lang w:val="en-US" w:eastAsia="fr-FR"/>
        </w:rPr>
        <w:tab/>
        <w:t xml:space="preserve">regulation processes: Expressive suppression and cognitive </w:t>
      </w:r>
      <w:proofErr w:type="gramStart"/>
      <w:r w:rsidRPr="003A6EBA">
        <w:rPr>
          <w:sz w:val="24"/>
          <w:szCs w:val="24"/>
          <w:lang w:val="en-US" w:eastAsia="fr-FR"/>
        </w:rPr>
        <w:t>reevaluation</w:t>
      </w:r>
      <w:proofErr w:type="gramEnd"/>
      <w:r w:rsidRPr="003A6EBA">
        <w:rPr>
          <w:sz w:val="24"/>
          <w:szCs w:val="24"/>
          <w:lang w:val="en-US" w:eastAsia="fr-FR"/>
        </w:rPr>
        <w:t xml:space="preserve">. </w:t>
      </w:r>
      <w:r w:rsidRPr="005767D0">
        <w:rPr>
          <w:i/>
          <w:iCs/>
          <w:sz w:val="24"/>
          <w:szCs w:val="24"/>
          <w:lang w:val="en-US" w:eastAsia="fr-FR"/>
        </w:rPr>
        <w:t xml:space="preserve">European </w:t>
      </w:r>
      <w:r w:rsidRPr="005767D0">
        <w:rPr>
          <w:i/>
          <w:iCs/>
          <w:sz w:val="24"/>
          <w:szCs w:val="24"/>
          <w:lang w:val="en-US" w:eastAsia="fr-FR"/>
        </w:rPr>
        <w:tab/>
      </w:r>
      <w:r w:rsidRPr="005767D0">
        <w:rPr>
          <w:i/>
          <w:iCs/>
          <w:sz w:val="24"/>
          <w:szCs w:val="24"/>
          <w:lang w:val="en-US" w:eastAsia="fr-FR"/>
        </w:rPr>
        <w:tab/>
        <w:t>Review of Applied Psychology, 59</w:t>
      </w:r>
      <w:r w:rsidRPr="005767D0">
        <w:rPr>
          <w:sz w:val="24"/>
          <w:szCs w:val="24"/>
          <w:lang w:val="en-US" w:eastAsia="fr-FR"/>
        </w:rPr>
        <w:t>, 59-67.</w:t>
      </w:r>
    </w:p>
    <w:p w14:paraId="56EC3BAC" w14:textId="77777777" w:rsidR="00D80693" w:rsidRPr="003A6EBA" w:rsidRDefault="00D80693" w:rsidP="0016777C">
      <w:pPr>
        <w:spacing w:before="120"/>
        <w:ind w:left="851" w:hanging="851"/>
        <w:jc w:val="both"/>
        <w:rPr>
          <w:sz w:val="24"/>
          <w:szCs w:val="24"/>
          <w:lang w:eastAsia="fr-FR"/>
        </w:rPr>
      </w:pPr>
      <w:r w:rsidRPr="003A6EBA">
        <w:rPr>
          <w:sz w:val="24"/>
          <w:szCs w:val="24"/>
          <w:lang w:val="en-US" w:eastAsia="fr-FR"/>
        </w:rPr>
        <w:t xml:space="preserve">Contreras, J. M., Kerns, K. A., Weimer, B. L., Gentzler, A. L., &amp; Tomich, P. L. (2000). Emotion regulation as a mediator of associations between mother–child attachment and peer relationships in middle childhood. </w:t>
      </w:r>
      <w:r w:rsidRPr="003A6EBA">
        <w:rPr>
          <w:i/>
          <w:sz w:val="24"/>
          <w:szCs w:val="24"/>
          <w:lang w:eastAsia="fr-FR"/>
        </w:rPr>
        <w:t>Journal of Family Psychology</w:t>
      </w:r>
      <w:r w:rsidRPr="003A6EBA">
        <w:rPr>
          <w:sz w:val="24"/>
          <w:szCs w:val="24"/>
          <w:lang w:eastAsia="fr-FR"/>
        </w:rPr>
        <w:t xml:space="preserve">, </w:t>
      </w:r>
      <w:r w:rsidRPr="003A6EBA">
        <w:rPr>
          <w:i/>
          <w:sz w:val="24"/>
          <w:szCs w:val="24"/>
          <w:lang w:eastAsia="fr-FR"/>
        </w:rPr>
        <w:t>14</w:t>
      </w:r>
      <w:r w:rsidRPr="003A6EBA">
        <w:rPr>
          <w:sz w:val="24"/>
          <w:szCs w:val="24"/>
          <w:lang w:eastAsia="fr-FR"/>
        </w:rPr>
        <w:t xml:space="preserve">(1), 111. </w:t>
      </w:r>
    </w:p>
    <w:p w14:paraId="3FBA1984" w14:textId="77777777" w:rsidR="00D80693" w:rsidRPr="005767D0" w:rsidRDefault="00D80693" w:rsidP="0016777C">
      <w:pPr>
        <w:spacing w:before="120"/>
        <w:ind w:left="851" w:hanging="851"/>
        <w:jc w:val="both"/>
        <w:rPr>
          <w:sz w:val="24"/>
          <w:szCs w:val="24"/>
          <w:lang w:val="en-US" w:eastAsia="fr-FR"/>
        </w:rPr>
      </w:pPr>
      <w:proofErr w:type="spellStart"/>
      <w:r w:rsidRPr="003A6EBA">
        <w:rPr>
          <w:sz w:val="24"/>
          <w:szCs w:val="24"/>
          <w:lang w:eastAsia="fr-FR"/>
        </w:rPr>
        <w:t>Cosnier</w:t>
      </w:r>
      <w:proofErr w:type="spellEnd"/>
      <w:r w:rsidRPr="003A6EBA">
        <w:rPr>
          <w:sz w:val="24"/>
          <w:szCs w:val="24"/>
          <w:lang w:eastAsia="fr-FR"/>
        </w:rPr>
        <w:t xml:space="preserve">, J. (2006). </w:t>
      </w:r>
      <w:r w:rsidRPr="003A6EBA">
        <w:rPr>
          <w:i/>
          <w:sz w:val="24"/>
          <w:szCs w:val="24"/>
          <w:lang w:eastAsia="fr-FR"/>
        </w:rPr>
        <w:t>La psychologie des émotions et des sentiments</w:t>
      </w:r>
      <w:r>
        <w:rPr>
          <w:sz w:val="24"/>
          <w:szCs w:val="24"/>
          <w:lang w:eastAsia="fr-FR"/>
        </w:rPr>
        <w:t xml:space="preserve">. </w:t>
      </w:r>
      <w:r w:rsidRPr="005767D0">
        <w:rPr>
          <w:sz w:val="24"/>
          <w:szCs w:val="24"/>
          <w:lang w:val="en-US" w:eastAsia="fr-FR"/>
        </w:rPr>
        <w:t xml:space="preserve">Retz. </w:t>
      </w:r>
    </w:p>
    <w:p w14:paraId="6171A33C"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 xml:space="preserve">Crittenden, P. M., &amp; DiLalla, D. L. (1988). Compulsive compliance: the development of an </w:t>
      </w:r>
      <w:r w:rsidRPr="003A6EBA">
        <w:rPr>
          <w:sz w:val="24"/>
          <w:szCs w:val="24"/>
          <w:lang w:val="en-US" w:eastAsia="fr-FR"/>
        </w:rPr>
        <w:tab/>
      </w:r>
      <w:r w:rsidRPr="003A6EBA">
        <w:rPr>
          <w:sz w:val="24"/>
          <w:szCs w:val="24"/>
          <w:lang w:val="en-US" w:eastAsia="fr-FR"/>
        </w:rPr>
        <w:tab/>
        <w:t xml:space="preserve">inhibitory coping strategy in infancy. </w:t>
      </w:r>
      <w:r w:rsidRPr="003A6EBA">
        <w:rPr>
          <w:i/>
          <w:iCs/>
          <w:sz w:val="24"/>
          <w:szCs w:val="24"/>
          <w:lang w:val="en-US" w:eastAsia="fr-FR"/>
        </w:rPr>
        <w:t>Journal of Abnormal Child Psychology</w:t>
      </w:r>
      <w:r w:rsidRPr="003A6EBA">
        <w:rPr>
          <w:sz w:val="24"/>
          <w:szCs w:val="24"/>
          <w:lang w:val="en-US" w:eastAsia="fr-FR"/>
        </w:rPr>
        <w:t xml:space="preserve">, </w:t>
      </w:r>
      <w:r w:rsidRPr="003A6EBA">
        <w:rPr>
          <w:i/>
          <w:iCs/>
          <w:sz w:val="24"/>
          <w:szCs w:val="24"/>
          <w:lang w:val="en-US" w:eastAsia="fr-FR"/>
        </w:rPr>
        <w:t>16</w:t>
      </w:r>
      <w:r w:rsidRPr="003A6EBA">
        <w:rPr>
          <w:sz w:val="24"/>
          <w:szCs w:val="24"/>
          <w:lang w:val="en-US" w:eastAsia="fr-FR"/>
        </w:rPr>
        <w:t xml:space="preserve">(5), </w:t>
      </w:r>
      <w:r w:rsidRPr="003A6EBA">
        <w:rPr>
          <w:sz w:val="24"/>
          <w:szCs w:val="24"/>
          <w:lang w:val="en-US" w:eastAsia="fr-FR"/>
        </w:rPr>
        <w:tab/>
      </w:r>
      <w:r w:rsidRPr="003A6EBA">
        <w:rPr>
          <w:sz w:val="24"/>
          <w:szCs w:val="24"/>
          <w:lang w:val="en-US" w:eastAsia="fr-FR"/>
        </w:rPr>
        <w:tab/>
        <w:t>585–599.</w:t>
      </w:r>
    </w:p>
    <w:p w14:paraId="5F901D2C"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Dennis, T.A. (2007). Interaction between emotion regulation strategies and affective</w:t>
      </w:r>
      <w:r w:rsidRPr="003A6EBA">
        <w:rPr>
          <w:sz w:val="24"/>
          <w:szCs w:val="24"/>
          <w:lang w:val="en-US" w:eastAsia="fr-FR"/>
        </w:rPr>
        <w:br/>
      </w:r>
      <w:r w:rsidRPr="003A6EBA">
        <w:rPr>
          <w:sz w:val="24"/>
          <w:szCs w:val="24"/>
          <w:lang w:val="en-US" w:eastAsia="fr-FR"/>
        </w:rPr>
        <w:tab/>
        <w:t xml:space="preserve">style: Implications for trait anxiety versus depressed mood. </w:t>
      </w:r>
      <w:r w:rsidRPr="003A6EBA">
        <w:rPr>
          <w:i/>
          <w:iCs/>
          <w:sz w:val="24"/>
          <w:szCs w:val="24"/>
          <w:lang w:val="en-US" w:eastAsia="fr-FR"/>
        </w:rPr>
        <w:t>Motivation Emotion</w:t>
      </w:r>
      <w:r w:rsidRPr="003A6EBA">
        <w:rPr>
          <w:sz w:val="24"/>
          <w:szCs w:val="24"/>
          <w:lang w:val="en-US" w:eastAsia="fr-FR"/>
        </w:rPr>
        <w:t xml:space="preserve">, </w:t>
      </w:r>
      <w:r w:rsidRPr="003A6EBA">
        <w:rPr>
          <w:i/>
          <w:iCs/>
          <w:sz w:val="24"/>
          <w:szCs w:val="24"/>
          <w:lang w:val="en-US" w:eastAsia="fr-FR"/>
        </w:rPr>
        <w:t>31</w:t>
      </w:r>
      <w:r w:rsidRPr="003A6EBA">
        <w:rPr>
          <w:sz w:val="24"/>
          <w:szCs w:val="24"/>
          <w:lang w:val="en-US" w:eastAsia="fr-FR"/>
        </w:rPr>
        <w:t>,</w:t>
      </w:r>
      <w:r w:rsidRPr="003A6EBA">
        <w:rPr>
          <w:sz w:val="24"/>
          <w:szCs w:val="24"/>
          <w:lang w:val="en-US" w:eastAsia="fr-FR"/>
        </w:rPr>
        <w:br/>
      </w:r>
      <w:r w:rsidRPr="003A6EBA">
        <w:rPr>
          <w:sz w:val="24"/>
          <w:szCs w:val="24"/>
          <w:lang w:val="en-US" w:eastAsia="fr-FR"/>
        </w:rPr>
        <w:tab/>
        <w:t xml:space="preserve">200-207.  </w:t>
      </w:r>
    </w:p>
    <w:p w14:paraId="36BBFBCC" w14:textId="77777777" w:rsidR="00D80693" w:rsidRPr="003A6EBA" w:rsidRDefault="00D80693" w:rsidP="0016777C">
      <w:pPr>
        <w:spacing w:before="120"/>
        <w:ind w:left="851" w:hanging="851"/>
        <w:jc w:val="both"/>
        <w:rPr>
          <w:sz w:val="24"/>
          <w:szCs w:val="24"/>
          <w:lang w:val="en-US" w:eastAsia="fr-FR"/>
        </w:rPr>
      </w:pPr>
      <w:r w:rsidRPr="005767D0">
        <w:rPr>
          <w:sz w:val="24"/>
          <w:szCs w:val="24"/>
          <w:lang w:val="en-US" w:eastAsia="fr-FR"/>
        </w:rPr>
        <w:t xml:space="preserve">Eckenrode, J., Laird, M., &amp; Doris, J. (1993). </w:t>
      </w:r>
      <w:r w:rsidRPr="003A6EBA">
        <w:rPr>
          <w:sz w:val="24"/>
          <w:szCs w:val="24"/>
          <w:lang w:val="en-US" w:eastAsia="fr-FR"/>
        </w:rPr>
        <w:t xml:space="preserve">School performance and disciplinary problems </w:t>
      </w:r>
      <w:r w:rsidRPr="003A6EBA">
        <w:rPr>
          <w:sz w:val="24"/>
          <w:szCs w:val="24"/>
          <w:lang w:val="en-US" w:eastAsia="fr-FR"/>
        </w:rPr>
        <w:tab/>
      </w:r>
      <w:r w:rsidRPr="003A6EBA">
        <w:rPr>
          <w:sz w:val="24"/>
          <w:szCs w:val="24"/>
          <w:lang w:val="en-US" w:eastAsia="fr-FR"/>
        </w:rPr>
        <w:tab/>
        <w:t xml:space="preserve">among abused and neglected children. </w:t>
      </w:r>
      <w:r w:rsidRPr="003A6EBA">
        <w:rPr>
          <w:i/>
          <w:iCs/>
          <w:sz w:val="24"/>
          <w:szCs w:val="24"/>
          <w:lang w:val="en-US" w:eastAsia="fr-FR"/>
        </w:rPr>
        <w:t>Developmental Psychology</w:t>
      </w:r>
      <w:r w:rsidRPr="003A6EBA">
        <w:rPr>
          <w:sz w:val="24"/>
          <w:szCs w:val="24"/>
          <w:lang w:val="en-US" w:eastAsia="fr-FR"/>
        </w:rPr>
        <w:t xml:space="preserve">, </w:t>
      </w:r>
      <w:r w:rsidRPr="003A6EBA">
        <w:rPr>
          <w:i/>
          <w:iCs/>
          <w:sz w:val="24"/>
          <w:szCs w:val="24"/>
          <w:lang w:val="en-US" w:eastAsia="fr-FR"/>
        </w:rPr>
        <w:t>29</w:t>
      </w:r>
      <w:r w:rsidRPr="003A6EBA">
        <w:rPr>
          <w:sz w:val="24"/>
          <w:szCs w:val="24"/>
          <w:lang w:val="en-US" w:eastAsia="fr-FR"/>
        </w:rPr>
        <w:t>(1), 53–62.</w:t>
      </w:r>
    </w:p>
    <w:p w14:paraId="64B7A0A4"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Egeland, B., Sroufe, L. A., &amp; Erickson, M. (1983). The developme</w:t>
      </w:r>
      <w:r>
        <w:rPr>
          <w:sz w:val="24"/>
          <w:szCs w:val="24"/>
          <w:lang w:val="en-US" w:eastAsia="fr-FR"/>
        </w:rPr>
        <w:t xml:space="preserve">ntal consequence of </w:t>
      </w:r>
      <w:r>
        <w:rPr>
          <w:sz w:val="24"/>
          <w:szCs w:val="24"/>
          <w:lang w:val="en-US" w:eastAsia="fr-FR"/>
        </w:rPr>
        <w:tab/>
      </w:r>
      <w:r>
        <w:rPr>
          <w:sz w:val="24"/>
          <w:szCs w:val="24"/>
          <w:lang w:val="en-US" w:eastAsia="fr-FR"/>
        </w:rPr>
        <w:tab/>
      </w:r>
      <w:r>
        <w:rPr>
          <w:sz w:val="24"/>
          <w:szCs w:val="24"/>
          <w:lang w:val="en-US" w:eastAsia="fr-FR"/>
        </w:rPr>
        <w:tab/>
        <w:t xml:space="preserve">different </w:t>
      </w:r>
      <w:r w:rsidRPr="003A6EBA">
        <w:rPr>
          <w:sz w:val="24"/>
          <w:szCs w:val="24"/>
          <w:lang w:val="en-US" w:eastAsia="fr-FR"/>
        </w:rPr>
        <w:t xml:space="preserve">patterns of maltreatment. </w:t>
      </w:r>
      <w:r w:rsidRPr="003A6EBA">
        <w:rPr>
          <w:i/>
          <w:iCs/>
          <w:sz w:val="24"/>
          <w:szCs w:val="24"/>
          <w:lang w:val="en-US" w:eastAsia="fr-FR"/>
        </w:rPr>
        <w:t>Child Abuse &amp; Neglect</w:t>
      </w:r>
      <w:r w:rsidRPr="003A6EBA">
        <w:rPr>
          <w:sz w:val="24"/>
          <w:szCs w:val="24"/>
          <w:lang w:val="en-US" w:eastAsia="fr-FR"/>
        </w:rPr>
        <w:t xml:space="preserve">, </w:t>
      </w:r>
      <w:r w:rsidRPr="003A6EBA">
        <w:rPr>
          <w:i/>
          <w:iCs/>
          <w:sz w:val="24"/>
          <w:szCs w:val="24"/>
          <w:lang w:val="en-US" w:eastAsia="fr-FR"/>
        </w:rPr>
        <w:t>7</w:t>
      </w:r>
      <w:r w:rsidRPr="003A6EBA">
        <w:rPr>
          <w:sz w:val="24"/>
          <w:szCs w:val="24"/>
          <w:lang w:val="en-US" w:eastAsia="fr-FR"/>
        </w:rPr>
        <w:t xml:space="preserve">(4), 459–469. </w:t>
      </w:r>
    </w:p>
    <w:p w14:paraId="739AA41E" w14:textId="77777777" w:rsidR="00D80693" w:rsidRPr="0065773E" w:rsidRDefault="00D80693" w:rsidP="0016777C">
      <w:pPr>
        <w:spacing w:before="120"/>
        <w:ind w:left="851" w:hanging="851"/>
        <w:jc w:val="both"/>
        <w:rPr>
          <w:sz w:val="24"/>
          <w:szCs w:val="24"/>
          <w:lang w:eastAsia="fr-FR"/>
        </w:rPr>
      </w:pPr>
      <w:r w:rsidRPr="005767D0">
        <w:rPr>
          <w:sz w:val="24"/>
          <w:szCs w:val="24"/>
          <w:lang w:val="en-US" w:eastAsia="fr-FR"/>
        </w:rPr>
        <w:t xml:space="preserve">Fabes, R. A., Eisenberg, N., Jones, S., Smith, M., Guthrie, I., Poulin, R., … </w:t>
      </w:r>
      <w:r w:rsidRPr="003A6EBA">
        <w:rPr>
          <w:sz w:val="24"/>
          <w:szCs w:val="24"/>
          <w:lang w:val="en-US" w:eastAsia="fr-FR"/>
        </w:rPr>
        <w:t xml:space="preserve">Friedman, </w:t>
      </w:r>
      <w:r>
        <w:rPr>
          <w:sz w:val="24"/>
          <w:szCs w:val="24"/>
          <w:lang w:val="en-US" w:eastAsia="fr-FR"/>
        </w:rPr>
        <w:t xml:space="preserve">J. </w:t>
      </w:r>
      <w:r>
        <w:rPr>
          <w:sz w:val="24"/>
          <w:szCs w:val="24"/>
          <w:lang w:val="en-US" w:eastAsia="fr-FR"/>
        </w:rPr>
        <w:tab/>
        <w:t xml:space="preserve">(1999). </w:t>
      </w:r>
      <w:r w:rsidRPr="003A6EBA">
        <w:rPr>
          <w:sz w:val="24"/>
          <w:szCs w:val="24"/>
          <w:lang w:val="en-US" w:eastAsia="fr-FR"/>
        </w:rPr>
        <w:t xml:space="preserve">Regulation, emotionality, and preschoolers’ socially competent peer </w:t>
      </w:r>
      <w:r>
        <w:rPr>
          <w:sz w:val="24"/>
          <w:szCs w:val="24"/>
          <w:lang w:val="en-US" w:eastAsia="fr-FR"/>
        </w:rPr>
        <w:tab/>
      </w:r>
      <w:r w:rsidRPr="003A6EBA">
        <w:rPr>
          <w:sz w:val="24"/>
          <w:szCs w:val="24"/>
          <w:lang w:val="en-US" w:eastAsia="fr-FR"/>
        </w:rPr>
        <w:t xml:space="preserve">interactions. </w:t>
      </w:r>
      <w:r w:rsidRPr="0065773E">
        <w:rPr>
          <w:i/>
          <w:sz w:val="24"/>
          <w:szCs w:val="24"/>
          <w:lang w:eastAsia="fr-FR"/>
        </w:rPr>
        <w:t xml:space="preserve">Child </w:t>
      </w:r>
      <w:proofErr w:type="spellStart"/>
      <w:r w:rsidRPr="0065773E">
        <w:rPr>
          <w:i/>
          <w:sz w:val="24"/>
          <w:szCs w:val="24"/>
          <w:lang w:eastAsia="fr-FR"/>
        </w:rPr>
        <w:t>Development</w:t>
      </w:r>
      <w:proofErr w:type="spellEnd"/>
      <w:r w:rsidRPr="0065773E">
        <w:rPr>
          <w:sz w:val="24"/>
          <w:szCs w:val="24"/>
          <w:lang w:eastAsia="fr-FR"/>
        </w:rPr>
        <w:t xml:space="preserve">, </w:t>
      </w:r>
      <w:r w:rsidRPr="0065773E">
        <w:rPr>
          <w:i/>
          <w:sz w:val="24"/>
          <w:szCs w:val="24"/>
          <w:lang w:eastAsia="fr-FR"/>
        </w:rPr>
        <w:t>70</w:t>
      </w:r>
      <w:r w:rsidRPr="0065773E">
        <w:rPr>
          <w:sz w:val="24"/>
          <w:szCs w:val="24"/>
          <w:lang w:eastAsia="fr-FR"/>
        </w:rPr>
        <w:t xml:space="preserve">(2), 432–442. </w:t>
      </w:r>
    </w:p>
    <w:p w14:paraId="0E970C5C"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Fortin, V. (2009). </w:t>
      </w:r>
      <w:r w:rsidRPr="003A6EBA">
        <w:rPr>
          <w:bCs/>
          <w:i/>
          <w:sz w:val="24"/>
          <w:szCs w:val="24"/>
          <w:lang w:eastAsia="fr-FR"/>
        </w:rPr>
        <w:t xml:space="preserve">Le style de coping, les </w:t>
      </w:r>
      <w:proofErr w:type="spellStart"/>
      <w:r w:rsidRPr="003A6EBA">
        <w:rPr>
          <w:bCs/>
          <w:i/>
          <w:sz w:val="24"/>
          <w:szCs w:val="24"/>
          <w:lang w:eastAsia="fr-FR"/>
        </w:rPr>
        <w:t>stratégiesd'adaptation</w:t>
      </w:r>
      <w:proofErr w:type="spellEnd"/>
      <w:r w:rsidRPr="003A6EBA">
        <w:rPr>
          <w:bCs/>
          <w:i/>
          <w:sz w:val="24"/>
          <w:szCs w:val="24"/>
          <w:lang w:eastAsia="fr-FR"/>
        </w:rPr>
        <w:t xml:space="preserve"> et la réussite scolaire des</w:t>
      </w:r>
      <w:r w:rsidRPr="003A6EBA">
        <w:rPr>
          <w:i/>
          <w:sz w:val="24"/>
          <w:szCs w:val="24"/>
          <w:lang w:eastAsia="fr-FR"/>
        </w:rPr>
        <w:tab/>
      </w:r>
      <w:r w:rsidRPr="003A6EBA">
        <w:rPr>
          <w:i/>
          <w:sz w:val="24"/>
          <w:szCs w:val="24"/>
          <w:lang w:eastAsia="fr-FR"/>
        </w:rPr>
        <w:tab/>
      </w:r>
      <w:r w:rsidRPr="003A6EBA">
        <w:rPr>
          <w:bCs/>
          <w:i/>
          <w:sz w:val="24"/>
          <w:szCs w:val="24"/>
          <w:lang w:eastAsia="fr-FR"/>
        </w:rPr>
        <w:t xml:space="preserve">adolescents québécois manifestant </w:t>
      </w:r>
      <w:proofErr w:type="spellStart"/>
      <w:r w:rsidRPr="003A6EBA">
        <w:rPr>
          <w:bCs/>
          <w:i/>
          <w:sz w:val="24"/>
          <w:szCs w:val="24"/>
          <w:lang w:eastAsia="fr-FR"/>
        </w:rPr>
        <w:t>destroubles</w:t>
      </w:r>
      <w:proofErr w:type="spellEnd"/>
      <w:r w:rsidRPr="003A6EBA">
        <w:rPr>
          <w:bCs/>
          <w:i/>
          <w:sz w:val="24"/>
          <w:szCs w:val="24"/>
          <w:lang w:eastAsia="fr-FR"/>
        </w:rPr>
        <w:t xml:space="preserve"> du comportement</w:t>
      </w:r>
      <w:r w:rsidRPr="003A6EBA">
        <w:rPr>
          <w:bCs/>
          <w:sz w:val="24"/>
          <w:szCs w:val="24"/>
          <w:lang w:eastAsia="fr-FR"/>
        </w:rPr>
        <w:t xml:space="preserve">. </w:t>
      </w:r>
      <w:r w:rsidRPr="003A6EBA">
        <w:rPr>
          <w:sz w:val="24"/>
          <w:szCs w:val="24"/>
          <w:lang w:eastAsia="fr-FR"/>
        </w:rPr>
        <w:t xml:space="preserve">Mémoire présenté à </w:t>
      </w:r>
      <w:r w:rsidRPr="003A6EBA">
        <w:rPr>
          <w:sz w:val="24"/>
          <w:szCs w:val="24"/>
          <w:lang w:eastAsia="fr-FR"/>
        </w:rPr>
        <w:tab/>
      </w:r>
      <w:r w:rsidRPr="003A6EBA">
        <w:rPr>
          <w:sz w:val="24"/>
          <w:szCs w:val="24"/>
          <w:lang w:eastAsia="fr-FR"/>
        </w:rPr>
        <w:tab/>
        <w:t xml:space="preserve">la Faculté des études supérieures de l'Université Laval dans le cadre du programme de </w:t>
      </w:r>
      <w:r w:rsidRPr="003A6EBA">
        <w:rPr>
          <w:sz w:val="24"/>
          <w:szCs w:val="24"/>
          <w:lang w:eastAsia="fr-FR"/>
        </w:rPr>
        <w:tab/>
      </w:r>
      <w:r w:rsidRPr="003A6EBA">
        <w:rPr>
          <w:sz w:val="24"/>
          <w:szCs w:val="24"/>
          <w:lang w:eastAsia="fr-FR"/>
        </w:rPr>
        <w:tab/>
        <w:t xml:space="preserve">Maîtrise en psychopédagogie, mention adaptation scolaire pour l'obtention du grade de </w:t>
      </w:r>
      <w:r w:rsidRPr="003A6EBA">
        <w:rPr>
          <w:sz w:val="24"/>
          <w:szCs w:val="24"/>
          <w:lang w:eastAsia="fr-FR"/>
        </w:rPr>
        <w:tab/>
      </w:r>
      <w:r w:rsidRPr="003A6EBA">
        <w:rPr>
          <w:sz w:val="24"/>
          <w:szCs w:val="24"/>
          <w:lang w:eastAsia="fr-FR"/>
        </w:rPr>
        <w:tab/>
        <w:t xml:space="preserve">Maître ès arts (M.A.). </w:t>
      </w:r>
    </w:p>
    <w:p w14:paraId="53C1E9D5"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 xml:space="preserve">Frewen, P. A., Dozois, D. J. A., Neufeld, R. W. J., &amp; Lanius, R. A. (2012). Disturbances of </w:t>
      </w:r>
      <w:r w:rsidRPr="003A6EBA">
        <w:rPr>
          <w:sz w:val="24"/>
          <w:szCs w:val="24"/>
          <w:lang w:val="en-US" w:eastAsia="fr-FR"/>
        </w:rPr>
        <w:tab/>
      </w:r>
      <w:r w:rsidRPr="003A6EBA">
        <w:rPr>
          <w:sz w:val="24"/>
          <w:szCs w:val="24"/>
          <w:lang w:val="en-US" w:eastAsia="fr-FR"/>
        </w:rPr>
        <w:tab/>
        <w:t xml:space="preserve">emotional awareness and expression in posttraumatic stress disorder: Meta-mood, </w:t>
      </w:r>
      <w:r w:rsidRPr="003A6EBA">
        <w:rPr>
          <w:sz w:val="24"/>
          <w:szCs w:val="24"/>
          <w:lang w:val="en-US" w:eastAsia="fr-FR"/>
        </w:rPr>
        <w:tab/>
      </w:r>
      <w:r w:rsidRPr="003A6EBA">
        <w:rPr>
          <w:sz w:val="24"/>
          <w:szCs w:val="24"/>
          <w:lang w:val="en-US" w:eastAsia="fr-FR"/>
        </w:rPr>
        <w:tab/>
        <w:t xml:space="preserve">emotion regulation, mindfulness, and interference of emotional expressiveness. </w:t>
      </w:r>
      <w:r w:rsidRPr="003A6EBA">
        <w:rPr>
          <w:sz w:val="24"/>
          <w:szCs w:val="24"/>
          <w:lang w:val="en-US" w:eastAsia="fr-FR"/>
        </w:rPr>
        <w:tab/>
      </w:r>
      <w:r w:rsidRPr="003A6EBA">
        <w:rPr>
          <w:sz w:val="24"/>
          <w:szCs w:val="24"/>
          <w:lang w:val="en-US" w:eastAsia="fr-FR"/>
        </w:rPr>
        <w:tab/>
      </w:r>
      <w:r w:rsidRPr="003A6EBA">
        <w:rPr>
          <w:sz w:val="24"/>
          <w:szCs w:val="24"/>
          <w:lang w:val="en-US" w:eastAsia="fr-FR"/>
        </w:rPr>
        <w:tab/>
      </w:r>
      <w:r w:rsidRPr="003A6EBA">
        <w:rPr>
          <w:i/>
          <w:iCs/>
          <w:sz w:val="24"/>
          <w:szCs w:val="24"/>
          <w:lang w:val="en-US" w:eastAsia="fr-FR"/>
        </w:rPr>
        <w:t>Psychological Trauma: Theory, Research, Practice, and Policy</w:t>
      </w:r>
      <w:r w:rsidRPr="003A6EBA">
        <w:rPr>
          <w:sz w:val="24"/>
          <w:szCs w:val="24"/>
          <w:lang w:val="en-US" w:eastAsia="fr-FR"/>
        </w:rPr>
        <w:t xml:space="preserve">, </w:t>
      </w:r>
      <w:r w:rsidRPr="003A6EBA">
        <w:rPr>
          <w:i/>
          <w:iCs/>
          <w:sz w:val="24"/>
          <w:szCs w:val="24"/>
          <w:lang w:val="en-US" w:eastAsia="fr-FR"/>
        </w:rPr>
        <w:t>4</w:t>
      </w:r>
      <w:r w:rsidRPr="003A6EBA">
        <w:rPr>
          <w:sz w:val="24"/>
          <w:szCs w:val="24"/>
          <w:lang w:val="en-US" w:eastAsia="fr-FR"/>
        </w:rPr>
        <w:t xml:space="preserve">(2), 152–161. </w:t>
      </w:r>
    </w:p>
    <w:p w14:paraId="51346400" w14:textId="77777777" w:rsidR="00D80693" w:rsidRPr="003A6EBA" w:rsidRDefault="00D80693" w:rsidP="0016777C">
      <w:pPr>
        <w:spacing w:before="120"/>
        <w:ind w:left="851" w:hanging="851"/>
        <w:jc w:val="both"/>
        <w:rPr>
          <w:sz w:val="24"/>
          <w:szCs w:val="24"/>
          <w:lang w:val="en-US" w:eastAsia="fr-FR"/>
        </w:rPr>
      </w:pPr>
      <w:proofErr w:type="spellStart"/>
      <w:r w:rsidRPr="003A6EBA">
        <w:rPr>
          <w:sz w:val="24"/>
          <w:szCs w:val="24"/>
          <w:lang w:val="en-US" w:eastAsia="fr-FR"/>
        </w:rPr>
        <w:t>Frijda</w:t>
      </w:r>
      <w:proofErr w:type="spellEnd"/>
      <w:r w:rsidRPr="003A6EBA">
        <w:rPr>
          <w:sz w:val="24"/>
          <w:szCs w:val="24"/>
          <w:lang w:val="en-US" w:eastAsia="fr-FR"/>
        </w:rPr>
        <w:t xml:space="preserve">, N. H. (2006). </w:t>
      </w:r>
      <w:r w:rsidRPr="003A6EBA">
        <w:rPr>
          <w:i/>
          <w:iCs/>
          <w:sz w:val="24"/>
          <w:szCs w:val="24"/>
          <w:lang w:val="en-US" w:eastAsia="fr-FR"/>
        </w:rPr>
        <w:t xml:space="preserve">The Laws of Emotion </w:t>
      </w:r>
      <w:r w:rsidRPr="003A6EBA">
        <w:rPr>
          <w:sz w:val="24"/>
          <w:szCs w:val="24"/>
          <w:lang w:val="en-US" w:eastAsia="fr-FR"/>
        </w:rPr>
        <w:t>(1 edition.). Psychology Press.</w:t>
      </w:r>
    </w:p>
    <w:p w14:paraId="61ED22BF" w14:textId="77777777" w:rsidR="00D80693" w:rsidRPr="005767D0" w:rsidRDefault="00D80693" w:rsidP="0016777C">
      <w:pPr>
        <w:spacing w:before="120"/>
        <w:ind w:left="851" w:hanging="851"/>
        <w:jc w:val="both"/>
        <w:rPr>
          <w:sz w:val="24"/>
          <w:szCs w:val="24"/>
          <w:lang w:val="fr-SN" w:eastAsia="fr-FR"/>
        </w:rPr>
      </w:pPr>
      <w:r w:rsidRPr="003A6EBA">
        <w:rPr>
          <w:sz w:val="24"/>
          <w:szCs w:val="24"/>
          <w:lang w:val="en-US" w:eastAsia="fr-FR"/>
        </w:rPr>
        <w:t xml:space="preserve">Garnefsky, N., </w:t>
      </w:r>
      <w:proofErr w:type="spellStart"/>
      <w:r w:rsidRPr="003A6EBA">
        <w:rPr>
          <w:sz w:val="24"/>
          <w:szCs w:val="24"/>
          <w:lang w:val="en-US" w:eastAsia="fr-FR"/>
        </w:rPr>
        <w:t>Kraaij</w:t>
      </w:r>
      <w:proofErr w:type="spellEnd"/>
      <w:r w:rsidRPr="003A6EBA">
        <w:rPr>
          <w:sz w:val="24"/>
          <w:szCs w:val="24"/>
          <w:lang w:val="en-US" w:eastAsia="fr-FR"/>
        </w:rPr>
        <w:t xml:space="preserve">, V., &amp; </w:t>
      </w:r>
      <w:proofErr w:type="spellStart"/>
      <w:r w:rsidRPr="003A6EBA">
        <w:rPr>
          <w:sz w:val="24"/>
          <w:szCs w:val="24"/>
          <w:lang w:val="en-US" w:eastAsia="fr-FR"/>
        </w:rPr>
        <w:t>Spinhoven</w:t>
      </w:r>
      <w:proofErr w:type="spellEnd"/>
      <w:r w:rsidRPr="003A6EBA">
        <w:rPr>
          <w:sz w:val="24"/>
          <w:szCs w:val="24"/>
          <w:lang w:val="en-US" w:eastAsia="fr-FR"/>
        </w:rPr>
        <w:t xml:space="preserve">, P. (2001). Negative life events, cognitive emotion </w:t>
      </w:r>
      <w:r w:rsidRPr="003A6EBA">
        <w:rPr>
          <w:sz w:val="24"/>
          <w:szCs w:val="24"/>
          <w:lang w:val="en-US" w:eastAsia="fr-FR"/>
        </w:rPr>
        <w:tab/>
      </w:r>
      <w:r w:rsidRPr="003A6EBA">
        <w:rPr>
          <w:sz w:val="24"/>
          <w:szCs w:val="24"/>
          <w:lang w:val="en-US" w:eastAsia="fr-FR"/>
        </w:rPr>
        <w:tab/>
        <w:t xml:space="preserve">regulation and depression. </w:t>
      </w:r>
      <w:proofErr w:type="spellStart"/>
      <w:r w:rsidRPr="005767D0">
        <w:rPr>
          <w:i/>
          <w:iCs/>
          <w:sz w:val="24"/>
          <w:szCs w:val="24"/>
          <w:lang w:val="fr-SN" w:eastAsia="fr-FR"/>
        </w:rPr>
        <w:t>Personality</w:t>
      </w:r>
      <w:proofErr w:type="spellEnd"/>
      <w:r w:rsidRPr="005767D0">
        <w:rPr>
          <w:i/>
          <w:iCs/>
          <w:sz w:val="24"/>
          <w:szCs w:val="24"/>
          <w:lang w:val="fr-SN" w:eastAsia="fr-FR"/>
        </w:rPr>
        <w:t xml:space="preserve"> and </w:t>
      </w:r>
      <w:proofErr w:type="spellStart"/>
      <w:r w:rsidRPr="005767D0">
        <w:rPr>
          <w:i/>
          <w:iCs/>
          <w:sz w:val="24"/>
          <w:szCs w:val="24"/>
          <w:lang w:val="fr-SN" w:eastAsia="fr-FR"/>
        </w:rPr>
        <w:t>Individual</w:t>
      </w:r>
      <w:proofErr w:type="spellEnd"/>
      <w:r w:rsidRPr="005767D0">
        <w:rPr>
          <w:i/>
          <w:iCs/>
          <w:sz w:val="24"/>
          <w:szCs w:val="24"/>
          <w:lang w:val="fr-SN" w:eastAsia="fr-FR"/>
        </w:rPr>
        <w:t xml:space="preserve"> </w:t>
      </w:r>
      <w:proofErr w:type="spellStart"/>
      <w:r w:rsidRPr="005767D0">
        <w:rPr>
          <w:i/>
          <w:iCs/>
          <w:sz w:val="24"/>
          <w:szCs w:val="24"/>
          <w:lang w:val="fr-SN" w:eastAsia="fr-FR"/>
        </w:rPr>
        <w:t>Differences</w:t>
      </w:r>
      <w:proofErr w:type="spellEnd"/>
      <w:r w:rsidRPr="005767D0">
        <w:rPr>
          <w:i/>
          <w:iCs/>
          <w:sz w:val="24"/>
          <w:szCs w:val="24"/>
          <w:lang w:val="fr-SN" w:eastAsia="fr-FR"/>
        </w:rPr>
        <w:t>, 30</w:t>
      </w:r>
      <w:r w:rsidRPr="005767D0">
        <w:rPr>
          <w:sz w:val="24"/>
          <w:szCs w:val="24"/>
          <w:lang w:val="fr-SN" w:eastAsia="fr-FR"/>
        </w:rPr>
        <w:t>, 1311-1327.</w:t>
      </w:r>
    </w:p>
    <w:p w14:paraId="615AF5EA" w14:textId="77777777" w:rsidR="00D80693" w:rsidRPr="0065773E" w:rsidRDefault="00D80693" w:rsidP="0016777C">
      <w:pPr>
        <w:pStyle w:val="Paragraphedeliste"/>
        <w:ind w:left="851" w:hanging="851"/>
        <w:rPr>
          <w:sz w:val="24"/>
          <w:szCs w:val="24"/>
          <w:lang w:eastAsia="fr-FR"/>
        </w:rPr>
      </w:pPr>
      <w:r w:rsidRPr="003A6EBA">
        <w:rPr>
          <w:sz w:val="24"/>
          <w:szCs w:val="24"/>
          <w:lang w:eastAsia="fr-FR"/>
        </w:rPr>
        <w:t xml:space="preserve">Grelot, F. &amp; </w:t>
      </w:r>
      <w:proofErr w:type="spellStart"/>
      <w:r w:rsidRPr="003A6EBA">
        <w:rPr>
          <w:sz w:val="24"/>
          <w:szCs w:val="24"/>
          <w:lang w:eastAsia="fr-FR"/>
        </w:rPr>
        <w:t>Balzergue</w:t>
      </w:r>
      <w:proofErr w:type="spellEnd"/>
      <w:r w:rsidRPr="003A6EBA">
        <w:rPr>
          <w:sz w:val="24"/>
          <w:szCs w:val="24"/>
          <w:lang w:eastAsia="fr-FR"/>
        </w:rPr>
        <w:t xml:space="preserve">, P. (2022). </w:t>
      </w:r>
      <w:r w:rsidRPr="003A6EBA">
        <w:rPr>
          <w:i/>
          <w:iCs/>
          <w:sz w:val="24"/>
          <w:szCs w:val="24"/>
          <w:lang w:eastAsia="fr-FR"/>
        </w:rPr>
        <w:t xml:space="preserve">Evaluation monétaire des impacts psychologiques des </w:t>
      </w:r>
      <w:r w:rsidRPr="003A6EBA">
        <w:rPr>
          <w:i/>
          <w:iCs/>
          <w:sz w:val="24"/>
          <w:szCs w:val="24"/>
          <w:lang w:eastAsia="fr-FR"/>
        </w:rPr>
        <w:tab/>
        <w:t>inondations. Enseignements de l’application de la mé</w:t>
      </w:r>
      <w:r>
        <w:rPr>
          <w:i/>
          <w:iCs/>
          <w:sz w:val="24"/>
          <w:szCs w:val="24"/>
          <w:lang w:eastAsia="fr-FR"/>
        </w:rPr>
        <w:t xml:space="preserve">thodologie CGDD-Cerena sur </w:t>
      </w:r>
      <w:r>
        <w:rPr>
          <w:i/>
          <w:iCs/>
          <w:sz w:val="24"/>
          <w:szCs w:val="24"/>
          <w:lang w:eastAsia="fr-FR"/>
        </w:rPr>
        <w:tab/>
        <w:t xml:space="preserve">les </w:t>
      </w:r>
      <w:r w:rsidRPr="003A6EBA">
        <w:rPr>
          <w:i/>
          <w:iCs/>
          <w:sz w:val="24"/>
          <w:szCs w:val="24"/>
          <w:lang w:eastAsia="fr-FR"/>
        </w:rPr>
        <w:t xml:space="preserve">sites expérimentaux du GT AMC. </w:t>
      </w:r>
      <w:proofErr w:type="spellStart"/>
      <w:r w:rsidRPr="0065773E">
        <w:rPr>
          <w:sz w:val="24"/>
          <w:szCs w:val="24"/>
          <w:lang w:eastAsia="fr-FR"/>
        </w:rPr>
        <w:t>Convetion</w:t>
      </w:r>
      <w:proofErr w:type="spellEnd"/>
      <w:r w:rsidRPr="0065773E">
        <w:rPr>
          <w:sz w:val="24"/>
          <w:szCs w:val="24"/>
          <w:lang w:eastAsia="fr-FR"/>
        </w:rPr>
        <w:t xml:space="preserve"> INRAE-DGPR n</w:t>
      </w:r>
      <w:r w:rsidRPr="0065773E">
        <w:rPr>
          <w:sz w:val="24"/>
          <w:szCs w:val="24"/>
          <w:vertAlign w:val="superscript"/>
          <w:lang w:eastAsia="fr-FR"/>
        </w:rPr>
        <w:t>0</w:t>
      </w:r>
      <w:r w:rsidRPr="0065773E">
        <w:rPr>
          <w:sz w:val="24"/>
          <w:szCs w:val="24"/>
          <w:lang w:eastAsia="fr-FR"/>
        </w:rPr>
        <w:t xml:space="preserve">2103343215, </w:t>
      </w:r>
      <w:proofErr w:type="spellStart"/>
      <w:r w:rsidRPr="0065773E">
        <w:rPr>
          <w:sz w:val="24"/>
          <w:szCs w:val="24"/>
          <w:lang w:eastAsia="fr-FR"/>
        </w:rPr>
        <w:t>Inrae</w:t>
      </w:r>
      <w:proofErr w:type="spellEnd"/>
      <w:r w:rsidRPr="0065773E">
        <w:rPr>
          <w:sz w:val="24"/>
          <w:szCs w:val="24"/>
          <w:lang w:eastAsia="fr-FR"/>
        </w:rPr>
        <w:t>.</w:t>
      </w:r>
    </w:p>
    <w:p w14:paraId="79990DDC" w14:textId="77777777" w:rsidR="00D80693" w:rsidRPr="003A6EBA" w:rsidRDefault="00D80693" w:rsidP="0016777C">
      <w:pPr>
        <w:spacing w:before="120"/>
        <w:ind w:left="851" w:hanging="851"/>
        <w:jc w:val="both"/>
        <w:rPr>
          <w:sz w:val="24"/>
          <w:szCs w:val="24"/>
          <w:lang w:val="en-US" w:eastAsia="fr-FR"/>
        </w:rPr>
      </w:pPr>
      <w:r w:rsidRPr="0065773E">
        <w:rPr>
          <w:sz w:val="24"/>
          <w:szCs w:val="24"/>
          <w:lang w:eastAsia="fr-FR"/>
        </w:rPr>
        <w:t xml:space="preserve">Greshan1, F.M. &amp; Elliot, S.N. (1990). </w:t>
      </w:r>
      <w:r w:rsidRPr="003A6EBA">
        <w:rPr>
          <w:i/>
          <w:iCs/>
          <w:sz w:val="24"/>
          <w:szCs w:val="24"/>
          <w:lang w:val="en-US" w:eastAsia="fr-FR"/>
        </w:rPr>
        <w:t>Social Skills Rating Systel11.</w:t>
      </w:r>
      <w:r>
        <w:rPr>
          <w:sz w:val="24"/>
          <w:szCs w:val="24"/>
          <w:lang w:val="en-US" w:eastAsia="fr-FR"/>
        </w:rPr>
        <w:t xml:space="preserve">American </w:t>
      </w:r>
      <w:r w:rsidRPr="003A6EBA">
        <w:rPr>
          <w:sz w:val="24"/>
          <w:szCs w:val="24"/>
          <w:lang w:val="en-US" w:eastAsia="fr-FR"/>
        </w:rPr>
        <w:t xml:space="preserve">Guidance </w:t>
      </w:r>
      <w:r>
        <w:rPr>
          <w:sz w:val="24"/>
          <w:szCs w:val="24"/>
          <w:lang w:val="en-US" w:eastAsia="fr-FR"/>
        </w:rPr>
        <w:tab/>
      </w:r>
      <w:r>
        <w:rPr>
          <w:sz w:val="24"/>
          <w:szCs w:val="24"/>
          <w:lang w:val="en-US" w:eastAsia="fr-FR"/>
        </w:rPr>
        <w:tab/>
      </w:r>
      <w:r w:rsidRPr="003A6EBA">
        <w:rPr>
          <w:sz w:val="24"/>
          <w:szCs w:val="24"/>
          <w:lang w:val="en-US" w:eastAsia="fr-FR"/>
        </w:rPr>
        <w:t>Service.</w:t>
      </w:r>
    </w:p>
    <w:p w14:paraId="7FB5BAC9" w14:textId="77777777" w:rsidR="00D80693" w:rsidRPr="003A6EBA" w:rsidRDefault="00D80693" w:rsidP="0016777C">
      <w:pPr>
        <w:spacing w:before="120"/>
        <w:ind w:left="851" w:hanging="851"/>
        <w:jc w:val="both"/>
        <w:rPr>
          <w:sz w:val="24"/>
          <w:szCs w:val="24"/>
          <w:lang w:eastAsia="fr-FR"/>
        </w:rPr>
      </w:pPr>
      <w:r w:rsidRPr="003A6EBA">
        <w:rPr>
          <w:sz w:val="24"/>
          <w:szCs w:val="24"/>
          <w:lang w:val="en-US" w:eastAsia="fr-FR"/>
        </w:rPr>
        <w:t xml:space="preserve">Gross, J. J., &amp; John, O. P. (2003). Individual differences in two emotion regulation processes: </w:t>
      </w:r>
      <w:r w:rsidRPr="003A6EBA">
        <w:rPr>
          <w:sz w:val="24"/>
          <w:szCs w:val="24"/>
          <w:lang w:val="en-US" w:eastAsia="fr-FR"/>
        </w:rPr>
        <w:tab/>
      </w:r>
      <w:r w:rsidRPr="003A6EBA">
        <w:rPr>
          <w:sz w:val="24"/>
          <w:szCs w:val="24"/>
          <w:lang w:val="en-US" w:eastAsia="fr-FR"/>
        </w:rPr>
        <w:tab/>
        <w:t xml:space="preserve">Implications for affect, relationships, and well-being. </w:t>
      </w:r>
      <w:r w:rsidRPr="003A6EBA">
        <w:rPr>
          <w:i/>
          <w:iCs/>
          <w:sz w:val="24"/>
          <w:szCs w:val="24"/>
          <w:lang w:eastAsia="fr-FR"/>
        </w:rPr>
        <w:t xml:space="preserve">Journal </w:t>
      </w:r>
      <w:proofErr w:type="spellStart"/>
      <w:r w:rsidRPr="003A6EBA">
        <w:rPr>
          <w:i/>
          <w:iCs/>
          <w:sz w:val="24"/>
          <w:szCs w:val="24"/>
          <w:lang w:eastAsia="fr-FR"/>
        </w:rPr>
        <w:t>ofPersonality</w:t>
      </w:r>
      <w:proofErr w:type="spellEnd"/>
      <w:r w:rsidRPr="003A6EBA">
        <w:rPr>
          <w:i/>
          <w:iCs/>
          <w:sz w:val="24"/>
          <w:szCs w:val="24"/>
          <w:lang w:eastAsia="fr-FR"/>
        </w:rPr>
        <w:t xml:space="preserve"> and Social </w:t>
      </w:r>
      <w:r w:rsidRPr="003A6EBA">
        <w:rPr>
          <w:i/>
          <w:iCs/>
          <w:sz w:val="24"/>
          <w:szCs w:val="24"/>
          <w:lang w:eastAsia="fr-FR"/>
        </w:rPr>
        <w:tab/>
      </w:r>
      <w:r w:rsidRPr="003A6EBA">
        <w:rPr>
          <w:i/>
          <w:iCs/>
          <w:sz w:val="24"/>
          <w:szCs w:val="24"/>
          <w:lang w:eastAsia="fr-FR"/>
        </w:rPr>
        <w:tab/>
        <w:t xml:space="preserve">Psychology, 85(2), </w:t>
      </w:r>
      <w:r w:rsidRPr="003A6EBA">
        <w:rPr>
          <w:sz w:val="24"/>
          <w:szCs w:val="24"/>
          <w:lang w:eastAsia="fr-FR"/>
        </w:rPr>
        <w:t>348-362.</w:t>
      </w:r>
    </w:p>
    <w:p w14:paraId="79CBB99C"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Guillaume, B. (2014). </w:t>
      </w:r>
      <w:r w:rsidRPr="003A6EBA">
        <w:rPr>
          <w:i/>
          <w:sz w:val="24"/>
          <w:szCs w:val="24"/>
          <w:lang w:eastAsia="fr-FR"/>
        </w:rPr>
        <w:t xml:space="preserve">Rôle de la régulation émotionnelle dans les psycho-traumatismes : </w:t>
      </w:r>
      <w:r w:rsidRPr="003A6EBA">
        <w:rPr>
          <w:i/>
          <w:sz w:val="24"/>
          <w:szCs w:val="24"/>
          <w:lang w:eastAsia="fr-FR"/>
        </w:rPr>
        <w:tab/>
        <w:t>mesures auto rapportées et physiologiques</w:t>
      </w:r>
      <w:r w:rsidRPr="003A6EBA">
        <w:rPr>
          <w:sz w:val="24"/>
          <w:szCs w:val="24"/>
          <w:lang w:eastAsia="fr-FR"/>
        </w:rPr>
        <w:t xml:space="preserve">. Psychologie. </w:t>
      </w:r>
      <w:r>
        <w:rPr>
          <w:sz w:val="24"/>
          <w:szCs w:val="24"/>
          <w:lang w:eastAsia="fr-FR"/>
        </w:rPr>
        <w:t xml:space="preserve">Université Charles </w:t>
      </w:r>
      <w:r w:rsidRPr="003A6EBA">
        <w:rPr>
          <w:sz w:val="24"/>
          <w:szCs w:val="24"/>
          <w:lang w:eastAsia="fr-FR"/>
        </w:rPr>
        <w:t>de Gaulle.</w:t>
      </w:r>
    </w:p>
    <w:p w14:paraId="179C9AF9" w14:textId="77777777" w:rsidR="00D80693" w:rsidRPr="003A6EBA" w:rsidRDefault="00D80693" w:rsidP="0016777C">
      <w:pPr>
        <w:spacing w:before="120"/>
        <w:ind w:left="851" w:hanging="851"/>
        <w:jc w:val="both"/>
        <w:rPr>
          <w:sz w:val="24"/>
          <w:szCs w:val="24"/>
          <w:lang w:val="en-US" w:eastAsia="fr-FR"/>
        </w:rPr>
      </w:pPr>
      <w:proofErr w:type="spellStart"/>
      <w:r w:rsidRPr="001A4853">
        <w:rPr>
          <w:sz w:val="24"/>
          <w:szCs w:val="24"/>
          <w:lang w:eastAsia="fr-FR"/>
        </w:rPr>
        <w:t>Hautmann</w:t>
      </w:r>
      <w:proofErr w:type="spellEnd"/>
      <w:r w:rsidRPr="001A4853">
        <w:rPr>
          <w:sz w:val="24"/>
          <w:szCs w:val="24"/>
          <w:lang w:eastAsia="fr-FR"/>
        </w:rPr>
        <w:t xml:space="preserve">, C., Eichelberger, I., Hanisch, C., Pluck, J., Walter, D., &amp; Dop M. (2015). </w:t>
      </w:r>
      <w:r w:rsidRPr="001A4853">
        <w:rPr>
          <w:sz w:val="24"/>
          <w:szCs w:val="24"/>
          <w:lang w:eastAsia="fr-FR"/>
        </w:rPr>
        <w:tab/>
      </w:r>
      <w:r w:rsidRPr="003A6EBA">
        <w:rPr>
          <w:sz w:val="24"/>
          <w:szCs w:val="24"/>
          <w:lang w:val="en-US" w:eastAsia="fr-FR"/>
        </w:rPr>
        <w:t>Association between parental emotional symptoms and ch</w:t>
      </w:r>
      <w:r>
        <w:rPr>
          <w:sz w:val="24"/>
          <w:szCs w:val="24"/>
          <w:lang w:val="en-US" w:eastAsia="fr-FR"/>
        </w:rPr>
        <w:t xml:space="preserve">ild antisocial </w:t>
      </w:r>
      <w:proofErr w:type="spellStart"/>
      <w:r>
        <w:rPr>
          <w:sz w:val="24"/>
          <w:szCs w:val="24"/>
          <w:lang w:val="en-US" w:eastAsia="fr-FR"/>
        </w:rPr>
        <w:t>behaviour</w:t>
      </w:r>
      <w:proofErr w:type="spellEnd"/>
      <w:proofErr w:type="gramStart"/>
      <w:r>
        <w:rPr>
          <w:sz w:val="24"/>
          <w:szCs w:val="24"/>
          <w:lang w:val="en-US" w:eastAsia="fr-FR"/>
        </w:rPr>
        <w:t xml:space="preserve">: </w:t>
      </w:r>
      <w:r>
        <w:rPr>
          <w:sz w:val="24"/>
          <w:szCs w:val="24"/>
          <w:lang w:val="en-US" w:eastAsia="fr-FR"/>
        </w:rPr>
        <w:tab/>
        <w:t>What</w:t>
      </w:r>
      <w:proofErr w:type="gramEnd"/>
      <w:r>
        <w:rPr>
          <w:sz w:val="24"/>
          <w:szCs w:val="24"/>
          <w:lang w:val="en-US" w:eastAsia="fr-FR"/>
        </w:rPr>
        <w:t xml:space="preserve"> </w:t>
      </w:r>
      <w:r w:rsidRPr="003A6EBA">
        <w:rPr>
          <w:sz w:val="24"/>
          <w:szCs w:val="24"/>
          <w:lang w:val="en-US" w:eastAsia="fr-FR"/>
        </w:rPr>
        <w:t xml:space="preserve">is specific and is it mediated by parenting? </w:t>
      </w:r>
      <w:r w:rsidRPr="003A6EBA">
        <w:rPr>
          <w:i/>
          <w:sz w:val="24"/>
          <w:szCs w:val="24"/>
          <w:lang w:val="en-US" w:eastAsia="fr-FR"/>
        </w:rPr>
        <w:t xml:space="preserve">International Journal of Behavioral </w:t>
      </w:r>
      <w:r w:rsidRPr="003A6EBA">
        <w:rPr>
          <w:i/>
          <w:sz w:val="24"/>
          <w:szCs w:val="24"/>
          <w:lang w:val="en-US" w:eastAsia="fr-FR"/>
        </w:rPr>
        <w:tab/>
        <w:t>Development</w:t>
      </w:r>
      <w:r w:rsidRPr="003A6EBA">
        <w:rPr>
          <w:sz w:val="24"/>
          <w:szCs w:val="24"/>
          <w:lang w:val="en-US" w:eastAsia="fr-FR"/>
        </w:rPr>
        <w:t xml:space="preserve">, 39(1), 43–52. </w:t>
      </w:r>
    </w:p>
    <w:p w14:paraId="6DF1FB53" w14:textId="77777777" w:rsidR="00D80693" w:rsidRPr="003A6EBA" w:rsidRDefault="00D80693" w:rsidP="0016777C">
      <w:pPr>
        <w:spacing w:before="120"/>
        <w:ind w:left="851" w:hanging="851"/>
        <w:jc w:val="both"/>
        <w:rPr>
          <w:sz w:val="24"/>
          <w:szCs w:val="24"/>
          <w:lang w:val="en-US" w:eastAsia="fr-FR"/>
        </w:rPr>
      </w:pPr>
      <w:proofErr w:type="spellStart"/>
      <w:r w:rsidRPr="003A6EBA">
        <w:rPr>
          <w:sz w:val="24"/>
          <w:szCs w:val="24"/>
          <w:lang w:val="en-US" w:eastAsia="fr-FR"/>
        </w:rPr>
        <w:t>Hayaschi</w:t>
      </w:r>
      <w:proofErr w:type="spellEnd"/>
      <w:r w:rsidRPr="003A6EBA">
        <w:rPr>
          <w:sz w:val="24"/>
          <w:szCs w:val="24"/>
          <w:lang w:val="en-US" w:eastAsia="fr-FR"/>
        </w:rPr>
        <w:t xml:space="preserve">, H. &amp; Shiomi, Y. (2015). Do children understand that people selectively conceal or </w:t>
      </w:r>
      <w:r w:rsidRPr="003A6EBA">
        <w:rPr>
          <w:sz w:val="24"/>
          <w:szCs w:val="24"/>
          <w:lang w:val="en-US" w:eastAsia="fr-FR"/>
        </w:rPr>
        <w:tab/>
      </w:r>
      <w:r w:rsidRPr="003A6EBA">
        <w:rPr>
          <w:sz w:val="24"/>
          <w:szCs w:val="24"/>
          <w:lang w:val="en-US" w:eastAsia="fr-FR"/>
        </w:rPr>
        <w:tab/>
        <w:t xml:space="preserve">express emotion? </w:t>
      </w:r>
      <w:r w:rsidRPr="003A6EBA">
        <w:rPr>
          <w:i/>
          <w:sz w:val="24"/>
          <w:szCs w:val="24"/>
          <w:lang w:val="en-US" w:eastAsia="fr-FR"/>
        </w:rPr>
        <w:t>International Journal of Behavioral Development</w:t>
      </w:r>
      <w:r w:rsidRPr="003A6EBA">
        <w:rPr>
          <w:sz w:val="24"/>
          <w:szCs w:val="24"/>
          <w:lang w:val="en-US" w:eastAsia="fr-FR"/>
        </w:rPr>
        <w:t xml:space="preserve">, 39(1), 1–8. </w:t>
      </w:r>
    </w:p>
    <w:p w14:paraId="77439A2E" w14:textId="77777777" w:rsidR="00D80693" w:rsidRPr="001A4853" w:rsidRDefault="00D80693" w:rsidP="0016777C">
      <w:pPr>
        <w:spacing w:before="120"/>
        <w:ind w:left="851" w:hanging="851"/>
        <w:jc w:val="both"/>
        <w:rPr>
          <w:sz w:val="24"/>
          <w:szCs w:val="24"/>
          <w:lang w:eastAsia="fr-FR"/>
        </w:rPr>
      </w:pPr>
      <w:r w:rsidRPr="003A6EBA">
        <w:rPr>
          <w:sz w:val="24"/>
          <w:szCs w:val="24"/>
          <w:lang w:val="en-US" w:eastAsia="fr-FR"/>
        </w:rPr>
        <w:t xml:space="preserve">Horowitz, M., Wilmer, M., &amp; Alvarez, W. (1979). Impact of Event Scale. In: a measure </w:t>
      </w:r>
      <w:proofErr w:type="gramStart"/>
      <w:r w:rsidRPr="003A6EBA">
        <w:rPr>
          <w:sz w:val="24"/>
          <w:szCs w:val="24"/>
          <w:lang w:val="en-US" w:eastAsia="fr-FR"/>
        </w:rPr>
        <w:t xml:space="preserve">of a </w:t>
      </w:r>
      <w:r w:rsidRPr="003A6EBA">
        <w:rPr>
          <w:sz w:val="24"/>
          <w:szCs w:val="24"/>
          <w:lang w:val="en-US" w:eastAsia="fr-FR"/>
        </w:rPr>
        <w:tab/>
      </w:r>
      <w:proofErr w:type="gramEnd"/>
      <w:r w:rsidRPr="003A6EBA">
        <w:rPr>
          <w:sz w:val="24"/>
          <w:szCs w:val="24"/>
          <w:lang w:val="en-US" w:eastAsia="fr-FR"/>
        </w:rPr>
        <w:t xml:space="preserve">subjective stress. </w:t>
      </w:r>
      <w:proofErr w:type="spellStart"/>
      <w:r w:rsidRPr="001A4853">
        <w:rPr>
          <w:i/>
          <w:sz w:val="24"/>
          <w:szCs w:val="24"/>
          <w:lang w:eastAsia="fr-FR"/>
        </w:rPr>
        <w:t>Psychosom</w:t>
      </w:r>
      <w:proofErr w:type="spellEnd"/>
      <w:r w:rsidRPr="001A4853">
        <w:rPr>
          <w:i/>
          <w:sz w:val="24"/>
          <w:szCs w:val="24"/>
          <w:lang w:eastAsia="fr-FR"/>
        </w:rPr>
        <w:t xml:space="preserve"> Med</w:t>
      </w:r>
      <w:r w:rsidRPr="001A4853">
        <w:rPr>
          <w:sz w:val="24"/>
          <w:szCs w:val="24"/>
          <w:lang w:eastAsia="fr-FR"/>
        </w:rPr>
        <w:t xml:space="preserve">, </w:t>
      </w:r>
      <w:proofErr w:type="gramStart"/>
      <w:r w:rsidRPr="001A4853">
        <w:rPr>
          <w:sz w:val="24"/>
          <w:szCs w:val="24"/>
          <w:lang w:eastAsia="fr-FR"/>
        </w:rPr>
        <w:t>41:</w:t>
      </w:r>
      <w:proofErr w:type="gramEnd"/>
      <w:r w:rsidRPr="001A4853">
        <w:rPr>
          <w:sz w:val="24"/>
          <w:szCs w:val="24"/>
          <w:lang w:eastAsia="fr-FR"/>
        </w:rPr>
        <w:t xml:space="preserve"> 209-218.</w:t>
      </w:r>
    </w:p>
    <w:p w14:paraId="777EE0CD" w14:textId="77777777" w:rsidR="00D80693" w:rsidRPr="001A4853" w:rsidRDefault="00D80693" w:rsidP="0016777C">
      <w:pPr>
        <w:pStyle w:val="Paragraphedeliste"/>
        <w:ind w:left="851" w:hanging="851"/>
        <w:rPr>
          <w:sz w:val="24"/>
          <w:szCs w:val="24"/>
          <w:lang w:val="en-US" w:eastAsia="fr-FR"/>
        </w:rPr>
      </w:pPr>
      <w:r w:rsidRPr="003A6EBA">
        <w:rPr>
          <w:sz w:val="24"/>
          <w:szCs w:val="24"/>
          <w:lang w:eastAsia="fr-FR"/>
        </w:rPr>
        <w:t>International Crisis Group (2024</w:t>
      </w:r>
      <w:proofErr w:type="gramStart"/>
      <w:r w:rsidRPr="003A6EBA">
        <w:rPr>
          <w:sz w:val="24"/>
          <w:szCs w:val="24"/>
          <w:lang w:eastAsia="fr-FR"/>
        </w:rPr>
        <w:t>).</w:t>
      </w:r>
      <w:r w:rsidRPr="003A6EBA">
        <w:rPr>
          <w:i/>
          <w:iCs/>
          <w:sz w:val="24"/>
          <w:szCs w:val="24"/>
          <w:lang w:eastAsia="fr-FR"/>
        </w:rPr>
        <w:t>Cameroun</w:t>
      </w:r>
      <w:proofErr w:type="gramEnd"/>
      <w:r w:rsidRPr="003A6EBA">
        <w:rPr>
          <w:i/>
          <w:iCs/>
          <w:sz w:val="24"/>
          <w:szCs w:val="24"/>
          <w:lang w:eastAsia="fr-FR"/>
        </w:rPr>
        <w:t> : apaiser les luttes liées à l’eau dans l’Extrême-</w:t>
      </w:r>
      <w:r w:rsidRPr="003A6EBA">
        <w:rPr>
          <w:i/>
          <w:iCs/>
          <w:sz w:val="24"/>
          <w:szCs w:val="24"/>
          <w:lang w:eastAsia="fr-FR"/>
        </w:rPr>
        <w:tab/>
        <w:t>Nord</w:t>
      </w:r>
      <w:r w:rsidRPr="003A6EBA">
        <w:rPr>
          <w:sz w:val="24"/>
          <w:szCs w:val="24"/>
          <w:lang w:eastAsia="fr-FR"/>
        </w:rPr>
        <w:t xml:space="preserve">. </w:t>
      </w:r>
      <w:r w:rsidRPr="001A4853">
        <w:rPr>
          <w:sz w:val="24"/>
          <w:szCs w:val="24"/>
          <w:lang w:val="en-US" w:eastAsia="fr-FR"/>
        </w:rPr>
        <w:t>Yaoundé/</w:t>
      </w:r>
      <w:proofErr w:type="gramStart"/>
      <w:r w:rsidRPr="001A4853">
        <w:rPr>
          <w:sz w:val="24"/>
          <w:szCs w:val="24"/>
          <w:lang w:val="en-US" w:eastAsia="fr-FR"/>
        </w:rPr>
        <w:t>Bruxelles :</w:t>
      </w:r>
      <w:proofErr w:type="gramEnd"/>
      <w:r w:rsidRPr="001A4853">
        <w:rPr>
          <w:sz w:val="24"/>
          <w:szCs w:val="24"/>
          <w:lang w:val="en-US" w:eastAsia="fr-FR"/>
        </w:rPr>
        <w:t xml:space="preserve"> Briefing Afrique de Crisis Group N</w:t>
      </w:r>
      <w:r w:rsidRPr="001A4853">
        <w:rPr>
          <w:sz w:val="24"/>
          <w:szCs w:val="24"/>
          <w:vertAlign w:val="superscript"/>
          <w:lang w:val="en-US" w:eastAsia="fr-FR"/>
        </w:rPr>
        <w:t>0</w:t>
      </w:r>
      <w:r w:rsidRPr="001A4853">
        <w:rPr>
          <w:sz w:val="24"/>
          <w:szCs w:val="24"/>
          <w:lang w:val="en-US" w:eastAsia="fr-FR"/>
        </w:rPr>
        <w:t> 197.</w:t>
      </w:r>
    </w:p>
    <w:p w14:paraId="59830FAF" w14:textId="77777777" w:rsidR="00D80693" w:rsidRPr="003A6EBA" w:rsidRDefault="00D80693" w:rsidP="0016777C">
      <w:pPr>
        <w:spacing w:before="120"/>
        <w:ind w:left="851" w:hanging="851"/>
        <w:jc w:val="both"/>
        <w:rPr>
          <w:sz w:val="24"/>
          <w:szCs w:val="24"/>
          <w:lang w:eastAsia="fr-FR"/>
        </w:rPr>
      </w:pPr>
      <w:r w:rsidRPr="003A6EBA">
        <w:rPr>
          <w:sz w:val="24"/>
          <w:szCs w:val="24"/>
          <w:lang w:val="en-US" w:eastAsia="fr-FR"/>
        </w:rPr>
        <w:t xml:space="preserve">Jermann, F., Van der Linden, M., </w:t>
      </w:r>
      <w:proofErr w:type="spellStart"/>
      <w:r w:rsidRPr="003A6EBA">
        <w:rPr>
          <w:sz w:val="24"/>
          <w:szCs w:val="24"/>
          <w:lang w:val="en-US" w:eastAsia="fr-FR"/>
        </w:rPr>
        <w:t>d’Acremont</w:t>
      </w:r>
      <w:proofErr w:type="spellEnd"/>
      <w:r w:rsidRPr="003A6EBA">
        <w:rPr>
          <w:sz w:val="24"/>
          <w:szCs w:val="24"/>
          <w:lang w:val="en-US" w:eastAsia="fr-FR"/>
        </w:rPr>
        <w:t xml:space="preserve">, M., &amp; </w:t>
      </w:r>
      <w:proofErr w:type="spellStart"/>
      <w:r w:rsidRPr="003A6EBA">
        <w:rPr>
          <w:sz w:val="24"/>
          <w:szCs w:val="24"/>
          <w:lang w:val="en-US" w:eastAsia="fr-FR"/>
        </w:rPr>
        <w:t>Zermatten</w:t>
      </w:r>
      <w:proofErr w:type="spellEnd"/>
      <w:r w:rsidRPr="003A6EBA">
        <w:rPr>
          <w:sz w:val="24"/>
          <w:szCs w:val="24"/>
          <w:lang w:val="en-US" w:eastAsia="fr-FR"/>
        </w:rPr>
        <w:t>,</w:t>
      </w:r>
      <w:r>
        <w:rPr>
          <w:sz w:val="24"/>
          <w:szCs w:val="24"/>
          <w:lang w:val="en-US" w:eastAsia="fr-FR"/>
        </w:rPr>
        <w:t xml:space="preserve"> A. (2006). Cognitive </w:t>
      </w:r>
      <w:r>
        <w:rPr>
          <w:sz w:val="24"/>
          <w:szCs w:val="24"/>
          <w:lang w:val="en-US" w:eastAsia="fr-FR"/>
        </w:rPr>
        <w:tab/>
      </w:r>
      <w:r>
        <w:rPr>
          <w:sz w:val="24"/>
          <w:szCs w:val="24"/>
          <w:lang w:val="en-US" w:eastAsia="fr-FR"/>
        </w:rPr>
        <w:tab/>
      </w:r>
      <w:r>
        <w:rPr>
          <w:sz w:val="24"/>
          <w:szCs w:val="24"/>
          <w:lang w:val="en-US" w:eastAsia="fr-FR"/>
        </w:rPr>
        <w:tab/>
        <w:t xml:space="preserve">emotion </w:t>
      </w:r>
      <w:r w:rsidRPr="003A6EBA">
        <w:rPr>
          <w:sz w:val="24"/>
          <w:szCs w:val="24"/>
          <w:lang w:val="en-US" w:eastAsia="fr-FR"/>
        </w:rPr>
        <w:t>regulation questionnaire: Confirmatory factor analysis a</w:t>
      </w:r>
      <w:r>
        <w:rPr>
          <w:sz w:val="24"/>
          <w:szCs w:val="24"/>
          <w:lang w:val="en-US" w:eastAsia="fr-FR"/>
        </w:rPr>
        <w:t xml:space="preserve">nd psychometric </w:t>
      </w:r>
      <w:r>
        <w:rPr>
          <w:sz w:val="24"/>
          <w:szCs w:val="24"/>
          <w:lang w:val="en-US" w:eastAsia="fr-FR"/>
        </w:rPr>
        <w:tab/>
      </w:r>
      <w:r>
        <w:rPr>
          <w:sz w:val="24"/>
          <w:szCs w:val="24"/>
          <w:lang w:val="en-US" w:eastAsia="fr-FR"/>
        </w:rPr>
        <w:tab/>
        <w:t xml:space="preserve">properties of </w:t>
      </w:r>
      <w:r w:rsidRPr="003A6EBA">
        <w:rPr>
          <w:sz w:val="24"/>
          <w:szCs w:val="24"/>
          <w:lang w:val="en-US" w:eastAsia="fr-FR"/>
        </w:rPr>
        <w:t xml:space="preserve">the </w:t>
      </w:r>
      <w:proofErr w:type="spellStart"/>
      <w:r w:rsidRPr="003A6EBA">
        <w:rPr>
          <w:sz w:val="24"/>
          <w:szCs w:val="24"/>
          <w:lang w:val="en-US" w:eastAsia="fr-FR"/>
        </w:rPr>
        <w:t>french</w:t>
      </w:r>
      <w:proofErr w:type="spellEnd"/>
      <w:r w:rsidRPr="003A6EBA">
        <w:rPr>
          <w:sz w:val="24"/>
          <w:szCs w:val="24"/>
          <w:lang w:val="en-US" w:eastAsia="fr-FR"/>
        </w:rPr>
        <w:t xml:space="preserve"> translation. </w:t>
      </w:r>
      <w:proofErr w:type="spellStart"/>
      <w:r w:rsidRPr="003A6EBA">
        <w:rPr>
          <w:i/>
          <w:sz w:val="24"/>
          <w:szCs w:val="24"/>
          <w:lang w:eastAsia="fr-FR"/>
        </w:rPr>
        <w:t>European</w:t>
      </w:r>
      <w:proofErr w:type="spellEnd"/>
      <w:r w:rsidRPr="003A6EBA">
        <w:rPr>
          <w:i/>
          <w:sz w:val="24"/>
          <w:szCs w:val="24"/>
          <w:lang w:eastAsia="fr-FR"/>
        </w:rPr>
        <w:t xml:space="preserve"> Journal of </w:t>
      </w:r>
      <w:proofErr w:type="spellStart"/>
      <w:r w:rsidRPr="003A6EBA">
        <w:rPr>
          <w:i/>
          <w:sz w:val="24"/>
          <w:szCs w:val="24"/>
          <w:lang w:eastAsia="fr-FR"/>
        </w:rPr>
        <w:t>Psychological</w:t>
      </w:r>
      <w:proofErr w:type="spellEnd"/>
      <w:r w:rsidRPr="003A6EBA">
        <w:rPr>
          <w:i/>
          <w:sz w:val="24"/>
          <w:szCs w:val="24"/>
          <w:lang w:eastAsia="fr-FR"/>
        </w:rPr>
        <w:t xml:space="preserve"> </w:t>
      </w:r>
      <w:proofErr w:type="spellStart"/>
      <w:r w:rsidRPr="003A6EBA">
        <w:rPr>
          <w:i/>
          <w:sz w:val="24"/>
          <w:szCs w:val="24"/>
          <w:lang w:eastAsia="fr-FR"/>
        </w:rPr>
        <w:t>Assessment</w:t>
      </w:r>
      <w:proofErr w:type="spellEnd"/>
      <w:r w:rsidRPr="003A6EBA">
        <w:rPr>
          <w:sz w:val="24"/>
          <w:szCs w:val="24"/>
          <w:lang w:eastAsia="fr-FR"/>
        </w:rPr>
        <w:t xml:space="preserve">, </w:t>
      </w:r>
      <w:r>
        <w:rPr>
          <w:sz w:val="24"/>
          <w:szCs w:val="24"/>
          <w:lang w:eastAsia="fr-FR"/>
        </w:rPr>
        <w:tab/>
      </w:r>
      <w:r>
        <w:rPr>
          <w:sz w:val="24"/>
          <w:szCs w:val="24"/>
          <w:lang w:eastAsia="fr-FR"/>
        </w:rPr>
        <w:tab/>
      </w:r>
      <w:r w:rsidRPr="003A6EBA">
        <w:rPr>
          <w:sz w:val="24"/>
          <w:szCs w:val="24"/>
          <w:lang w:eastAsia="fr-FR"/>
        </w:rPr>
        <w:t>22, 126-131.</w:t>
      </w:r>
    </w:p>
    <w:p w14:paraId="13FD861E"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Licata, L. &amp; </w:t>
      </w:r>
      <w:proofErr w:type="spellStart"/>
      <w:r w:rsidRPr="003A6EBA">
        <w:rPr>
          <w:sz w:val="24"/>
          <w:szCs w:val="24"/>
          <w:lang w:eastAsia="fr-FR"/>
        </w:rPr>
        <w:t>Heinne</w:t>
      </w:r>
      <w:proofErr w:type="spellEnd"/>
      <w:r w:rsidRPr="003A6EBA">
        <w:rPr>
          <w:sz w:val="24"/>
          <w:szCs w:val="24"/>
          <w:lang w:eastAsia="fr-FR"/>
        </w:rPr>
        <w:t xml:space="preserve">, A. (2012). Développement et transmission culturelle. In </w:t>
      </w:r>
      <w:r>
        <w:rPr>
          <w:i/>
          <w:sz w:val="24"/>
          <w:szCs w:val="24"/>
          <w:lang w:eastAsia="fr-FR"/>
        </w:rPr>
        <w:t xml:space="preserve">Introduction à </w:t>
      </w:r>
      <w:r>
        <w:rPr>
          <w:i/>
          <w:sz w:val="24"/>
          <w:szCs w:val="24"/>
          <w:lang w:eastAsia="fr-FR"/>
        </w:rPr>
        <w:tab/>
        <w:t xml:space="preserve">la </w:t>
      </w:r>
      <w:r w:rsidRPr="003A6EBA">
        <w:rPr>
          <w:i/>
          <w:sz w:val="24"/>
          <w:szCs w:val="24"/>
          <w:lang w:eastAsia="fr-FR"/>
        </w:rPr>
        <w:t xml:space="preserve">psychologie interculturelle </w:t>
      </w:r>
      <w:r w:rsidRPr="003A6EBA">
        <w:rPr>
          <w:sz w:val="24"/>
          <w:szCs w:val="24"/>
          <w:lang w:eastAsia="fr-FR"/>
        </w:rPr>
        <w:t>(1</w:t>
      </w:r>
      <w:r w:rsidRPr="003A6EBA">
        <w:rPr>
          <w:sz w:val="24"/>
          <w:szCs w:val="24"/>
          <w:vertAlign w:val="superscript"/>
          <w:lang w:eastAsia="fr-FR"/>
        </w:rPr>
        <w:t>e</w:t>
      </w:r>
      <w:r w:rsidRPr="003A6EBA">
        <w:rPr>
          <w:sz w:val="24"/>
          <w:szCs w:val="24"/>
          <w:lang w:eastAsia="fr-FR"/>
        </w:rPr>
        <w:t xml:space="preserve"> éd.). De Boeck.</w:t>
      </w:r>
    </w:p>
    <w:p w14:paraId="000EE2B4" w14:textId="77777777" w:rsidR="00D80693" w:rsidRPr="003A6EBA" w:rsidRDefault="00D80693" w:rsidP="0016777C">
      <w:pPr>
        <w:pStyle w:val="Paragraphedeliste"/>
        <w:ind w:left="851" w:hanging="851"/>
        <w:rPr>
          <w:sz w:val="24"/>
          <w:szCs w:val="24"/>
          <w:lang w:eastAsia="fr-FR"/>
        </w:rPr>
      </w:pPr>
      <w:r w:rsidRPr="003A6EBA">
        <w:rPr>
          <w:sz w:val="24"/>
          <w:szCs w:val="24"/>
          <w:lang w:eastAsia="fr-FR"/>
        </w:rPr>
        <w:t xml:space="preserve">Maltais, D. &amp; Gilbert, S. (2022). Exposition aux inondations : stress, difficultés vécues et </w:t>
      </w:r>
      <w:r w:rsidRPr="003A6EBA">
        <w:rPr>
          <w:sz w:val="24"/>
          <w:szCs w:val="24"/>
          <w:lang w:eastAsia="fr-FR"/>
        </w:rPr>
        <w:tab/>
        <w:t xml:space="preserve">conséquences sur différentes sphères de vie des sinistrés. In T. Buffin-Bélanger, D. </w:t>
      </w:r>
      <w:r w:rsidRPr="003A6EBA">
        <w:rPr>
          <w:sz w:val="24"/>
          <w:szCs w:val="24"/>
          <w:lang w:eastAsia="fr-FR"/>
        </w:rPr>
        <w:tab/>
        <w:t>Maltais &amp; M. Gauthier (</w:t>
      </w:r>
      <w:proofErr w:type="spellStart"/>
      <w:r w:rsidRPr="003A6EBA">
        <w:rPr>
          <w:sz w:val="24"/>
          <w:szCs w:val="24"/>
          <w:lang w:eastAsia="fr-FR"/>
        </w:rPr>
        <w:t>dir</w:t>
      </w:r>
      <w:proofErr w:type="spellEnd"/>
      <w:r w:rsidRPr="003A6EBA">
        <w:rPr>
          <w:sz w:val="24"/>
          <w:szCs w:val="24"/>
          <w:lang w:eastAsia="fr-FR"/>
        </w:rPr>
        <w:t xml:space="preserve">.), </w:t>
      </w:r>
      <w:r w:rsidRPr="003A6EBA">
        <w:rPr>
          <w:i/>
          <w:iCs/>
          <w:sz w:val="24"/>
          <w:szCs w:val="24"/>
          <w:lang w:eastAsia="fr-FR"/>
        </w:rPr>
        <w:t xml:space="preserve">Les inondations au Québec : risques, aménagement du </w:t>
      </w:r>
      <w:r w:rsidRPr="003A6EBA">
        <w:rPr>
          <w:i/>
          <w:iCs/>
          <w:sz w:val="24"/>
          <w:szCs w:val="24"/>
          <w:lang w:eastAsia="fr-FR"/>
        </w:rPr>
        <w:tab/>
        <w:t xml:space="preserve">territoire, aspects socioéconomiques et transformations des vulnérabilités </w:t>
      </w:r>
      <w:r>
        <w:rPr>
          <w:sz w:val="24"/>
          <w:szCs w:val="24"/>
          <w:lang w:eastAsia="fr-FR"/>
        </w:rPr>
        <w:t>(p. 307-</w:t>
      </w:r>
      <w:r>
        <w:rPr>
          <w:sz w:val="24"/>
          <w:szCs w:val="24"/>
          <w:lang w:eastAsia="fr-FR"/>
        </w:rPr>
        <w:tab/>
        <w:t xml:space="preserve">323). </w:t>
      </w:r>
      <w:r w:rsidRPr="003A6EBA">
        <w:rPr>
          <w:sz w:val="24"/>
          <w:szCs w:val="24"/>
          <w:lang w:eastAsia="fr-FR"/>
        </w:rPr>
        <w:t>Les Presses de l’Université du Québec.</w:t>
      </w:r>
    </w:p>
    <w:p w14:paraId="561BB089" w14:textId="77777777" w:rsidR="00D80693" w:rsidRDefault="00D80693" w:rsidP="0016777C">
      <w:pPr>
        <w:pStyle w:val="Paragraphedeliste"/>
        <w:ind w:left="851" w:hanging="851"/>
        <w:rPr>
          <w:sz w:val="24"/>
          <w:szCs w:val="24"/>
          <w:lang w:eastAsia="fr-FR"/>
        </w:rPr>
      </w:pPr>
      <w:r w:rsidRPr="003A6EBA">
        <w:rPr>
          <w:sz w:val="24"/>
          <w:szCs w:val="24"/>
          <w:lang w:eastAsia="fr-FR"/>
        </w:rPr>
        <w:t xml:space="preserve">Mathias, D., Hamel, A., &amp; </w:t>
      </w:r>
      <w:proofErr w:type="spellStart"/>
      <w:r w:rsidRPr="003A6EBA">
        <w:rPr>
          <w:sz w:val="24"/>
          <w:szCs w:val="24"/>
          <w:lang w:eastAsia="fr-FR"/>
        </w:rPr>
        <w:t>Lansard</w:t>
      </w:r>
      <w:proofErr w:type="spellEnd"/>
      <w:r w:rsidRPr="003A6EBA">
        <w:rPr>
          <w:sz w:val="24"/>
          <w:szCs w:val="24"/>
          <w:lang w:eastAsia="fr-FR"/>
        </w:rPr>
        <w:t xml:space="preserve">, A-L. (2023). Les bonnes pratiques d’interventions </w:t>
      </w:r>
      <w:r w:rsidRPr="003A6EBA">
        <w:rPr>
          <w:sz w:val="24"/>
          <w:szCs w:val="24"/>
          <w:lang w:eastAsia="fr-FR"/>
        </w:rPr>
        <w:tab/>
        <w:t xml:space="preserve">psychosociales à adopter lors d’inondation et les facteurs organisationnels favorisant </w:t>
      </w:r>
      <w:r w:rsidRPr="003A6EBA">
        <w:rPr>
          <w:sz w:val="24"/>
          <w:szCs w:val="24"/>
          <w:lang w:eastAsia="fr-FR"/>
        </w:rPr>
        <w:tab/>
        <w:t xml:space="preserve">leur bonne marche : Point de vue d’intervenantes et d’intervenants de première </w:t>
      </w:r>
      <w:r w:rsidRPr="003A6EBA">
        <w:rPr>
          <w:sz w:val="24"/>
          <w:szCs w:val="24"/>
          <w:lang w:eastAsia="fr-FR"/>
        </w:rPr>
        <w:tab/>
        <w:t xml:space="preserve">deuxième lignes. </w:t>
      </w:r>
      <w:r w:rsidRPr="003A6EBA">
        <w:rPr>
          <w:i/>
          <w:iCs/>
          <w:sz w:val="24"/>
          <w:szCs w:val="24"/>
          <w:lang w:eastAsia="fr-FR"/>
        </w:rPr>
        <w:t>Reflets</w:t>
      </w:r>
      <w:r w:rsidRPr="003A6EBA">
        <w:rPr>
          <w:sz w:val="24"/>
          <w:szCs w:val="24"/>
          <w:lang w:eastAsia="fr-FR"/>
        </w:rPr>
        <w:t>, 29(1), 14-36.</w:t>
      </w:r>
    </w:p>
    <w:p w14:paraId="7F506ADB" w14:textId="77777777" w:rsidR="00D80693" w:rsidRPr="00701A18" w:rsidRDefault="00D80693" w:rsidP="0016777C">
      <w:pPr>
        <w:pStyle w:val="Paragraphedeliste"/>
        <w:ind w:left="851" w:hanging="851"/>
        <w:rPr>
          <w:sz w:val="24"/>
          <w:szCs w:val="24"/>
          <w:lang w:eastAsia="fr-FR"/>
        </w:rPr>
      </w:pPr>
      <w:r w:rsidRPr="003A6EBA">
        <w:rPr>
          <w:color w:val="000000"/>
          <w:sz w:val="24"/>
          <w:szCs w:val="24"/>
          <w:lang w:eastAsia="fr-FR"/>
        </w:rPr>
        <w:t xml:space="preserve">Ministère des Affaires Sociales et Fond des Nations Unies pour l’Enfance (2024). </w:t>
      </w:r>
      <w:r w:rsidRPr="003A6EBA">
        <w:rPr>
          <w:i/>
          <w:iCs/>
          <w:color w:val="000000"/>
          <w:sz w:val="24"/>
          <w:szCs w:val="24"/>
          <w:lang w:eastAsia="fr-FR"/>
        </w:rPr>
        <w:t xml:space="preserve">Rapport de </w:t>
      </w:r>
      <w:r w:rsidRPr="003A6EBA">
        <w:rPr>
          <w:i/>
          <w:iCs/>
          <w:color w:val="000000"/>
          <w:sz w:val="24"/>
          <w:szCs w:val="24"/>
          <w:lang w:eastAsia="fr-FR"/>
        </w:rPr>
        <w:tab/>
        <w:t xml:space="preserve">l’évaluation des besoins de protection des enfants affectés par les inondations : </w:t>
      </w:r>
      <w:r w:rsidRPr="003A6EBA">
        <w:rPr>
          <w:i/>
          <w:iCs/>
          <w:color w:val="000000"/>
          <w:sz w:val="24"/>
          <w:szCs w:val="24"/>
          <w:lang w:eastAsia="fr-FR"/>
        </w:rPr>
        <w:tab/>
        <w:t xml:space="preserve">Département du Mayo-Danay et du Logone-et-Chari, les 21 Arrondissements des 2 </w:t>
      </w:r>
      <w:r w:rsidRPr="003A6EBA">
        <w:rPr>
          <w:i/>
          <w:iCs/>
          <w:color w:val="000000"/>
          <w:sz w:val="24"/>
          <w:szCs w:val="24"/>
          <w:lang w:eastAsia="fr-FR"/>
        </w:rPr>
        <w:tab/>
        <w:t>départements</w:t>
      </w:r>
      <w:r w:rsidRPr="003A6EBA">
        <w:rPr>
          <w:color w:val="000000"/>
          <w:sz w:val="24"/>
          <w:szCs w:val="24"/>
          <w:lang w:eastAsia="fr-FR"/>
        </w:rPr>
        <w:t xml:space="preserve">. Child Protection, Global Protection Cluster.  </w:t>
      </w:r>
    </w:p>
    <w:p w14:paraId="4B206166"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Nader-Grosbois, N. (2011). Vers un modèle heuristique du fonctionnement et du </w:t>
      </w:r>
      <w:r w:rsidRPr="003A6EBA">
        <w:rPr>
          <w:sz w:val="24"/>
          <w:szCs w:val="24"/>
          <w:lang w:eastAsia="fr-FR"/>
        </w:rPr>
        <w:tab/>
        <w:t xml:space="preserve">développement social et émotionnel. </w:t>
      </w:r>
      <w:r w:rsidRPr="003A6EBA">
        <w:rPr>
          <w:i/>
          <w:sz w:val="24"/>
          <w:szCs w:val="24"/>
          <w:lang w:eastAsia="fr-FR"/>
        </w:rPr>
        <w:t>Questions de Personne</w:t>
      </w:r>
      <w:r w:rsidRPr="003A6EBA">
        <w:rPr>
          <w:sz w:val="24"/>
          <w:szCs w:val="24"/>
          <w:lang w:eastAsia="fr-FR"/>
        </w:rPr>
        <w:t xml:space="preserve">, </w:t>
      </w:r>
      <w:r w:rsidRPr="003A6EBA">
        <w:rPr>
          <w:i/>
          <w:sz w:val="24"/>
          <w:szCs w:val="24"/>
          <w:lang w:eastAsia="fr-FR"/>
        </w:rPr>
        <w:t>1</w:t>
      </w:r>
      <w:r w:rsidRPr="003A6EBA">
        <w:rPr>
          <w:sz w:val="24"/>
          <w:szCs w:val="24"/>
          <w:lang w:eastAsia="fr-FR"/>
        </w:rPr>
        <w:t xml:space="preserve">, 45–63. </w:t>
      </w:r>
    </w:p>
    <w:p w14:paraId="34455A0D" w14:textId="77777777" w:rsidR="00D80693" w:rsidRPr="003A6EBA" w:rsidRDefault="00D80693" w:rsidP="0016777C">
      <w:pPr>
        <w:pStyle w:val="Paragraphedeliste"/>
        <w:ind w:left="851" w:hanging="851"/>
        <w:rPr>
          <w:b/>
          <w:bCs/>
          <w:color w:val="000000"/>
          <w:sz w:val="24"/>
          <w:szCs w:val="24"/>
          <w:lang w:eastAsia="fr-FR"/>
        </w:rPr>
      </w:pPr>
      <w:r w:rsidRPr="003A6EBA">
        <w:rPr>
          <w:sz w:val="24"/>
          <w:szCs w:val="24"/>
          <w:lang w:eastAsia="fr-FR"/>
        </w:rPr>
        <w:t xml:space="preserve">Organisation Internationale pour les Migrations (2023). </w:t>
      </w:r>
      <w:r w:rsidRPr="003A6EBA">
        <w:rPr>
          <w:i/>
          <w:iCs/>
          <w:sz w:val="24"/>
          <w:szCs w:val="24"/>
          <w:lang w:eastAsia="fr-FR"/>
        </w:rPr>
        <w:t xml:space="preserve">Cameroun, rapport dur les </w:t>
      </w:r>
      <w:r w:rsidRPr="003A6EBA">
        <w:rPr>
          <w:i/>
          <w:iCs/>
          <w:sz w:val="24"/>
          <w:szCs w:val="24"/>
          <w:lang w:eastAsia="fr-FR"/>
        </w:rPr>
        <w:tab/>
        <w:t xml:space="preserve">déplacements internes, </w:t>
      </w:r>
      <w:r>
        <w:rPr>
          <w:i/>
          <w:iCs/>
          <w:sz w:val="24"/>
          <w:szCs w:val="24"/>
          <w:lang w:eastAsia="fr-FR"/>
        </w:rPr>
        <w:t>Région de l’Extrême-Nord, Round</w:t>
      </w:r>
      <w:r w:rsidRPr="003A6EBA">
        <w:rPr>
          <w:i/>
          <w:iCs/>
          <w:sz w:val="24"/>
          <w:szCs w:val="24"/>
          <w:lang w:eastAsia="fr-FR"/>
        </w:rPr>
        <w:t>25</w:t>
      </w:r>
      <w:r>
        <w:rPr>
          <w:sz w:val="24"/>
          <w:szCs w:val="24"/>
          <w:lang w:eastAsia="fr-FR"/>
        </w:rPr>
        <w:t xml:space="preserve">. </w:t>
      </w:r>
      <w:r w:rsidRPr="003A6EBA">
        <w:rPr>
          <w:sz w:val="24"/>
          <w:szCs w:val="24"/>
          <w:lang w:eastAsia="fr-FR"/>
        </w:rPr>
        <w:t xml:space="preserve">UN House </w:t>
      </w:r>
      <w:r w:rsidRPr="003A6EBA">
        <w:rPr>
          <w:sz w:val="24"/>
          <w:szCs w:val="24"/>
          <w:lang w:eastAsia="fr-FR"/>
        </w:rPr>
        <w:tab/>
        <w:t>Comice</w:t>
      </w:r>
    </w:p>
    <w:p w14:paraId="639C6FF3"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Piquemal-Vieu, L. (2001). </w:t>
      </w:r>
      <w:r w:rsidRPr="003A6EBA">
        <w:rPr>
          <w:bCs/>
          <w:sz w:val="24"/>
          <w:szCs w:val="24"/>
          <w:lang w:eastAsia="fr-FR"/>
        </w:rPr>
        <w:t xml:space="preserve">Le coping une ressource à identifier dans le soin infirmier. </w:t>
      </w:r>
      <w:r w:rsidRPr="003A6EBA">
        <w:rPr>
          <w:bCs/>
          <w:sz w:val="24"/>
          <w:szCs w:val="24"/>
          <w:lang w:eastAsia="fr-FR"/>
        </w:rPr>
        <w:tab/>
      </w:r>
      <w:r w:rsidRPr="003A6EBA">
        <w:rPr>
          <w:i/>
          <w:sz w:val="24"/>
          <w:szCs w:val="24"/>
          <w:lang w:eastAsia="fr-FR"/>
        </w:rPr>
        <w:t>Recherche en soins infirmiers</w:t>
      </w:r>
      <w:r w:rsidRPr="003A6EBA">
        <w:rPr>
          <w:sz w:val="24"/>
          <w:szCs w:val="24"/>
          <w:lang w:eastAsia="fr-FR"/>
        </w:rPr>
        <w:t>, 67, 84 – 98.</w:t>
      </w:r>
    </w:p>
    <w:p w14:paraId="037FA535" w14:textId="77777777" w:rsidR="00D80693" w:rsidRPr="003A6EBA" w:rsidRDefault="00D80693" w:rsidP="0016777C">
      <w:pPr>
        <w:spacing w:before="120"/>
        <w:ind w:left="851" w:hanging="851"/>
        <w:jc w:val="both"/>
        <w:rPr>
          <w:sz w:val="24"/>
          <w:szCs w:val="24"/>
          <w:lang w:val="en-US" w:eastAsia="fr-FR"/>
        </w:rPr>
      </w:pPr>
      <w:r w:rsidRPr="003A6EBA">
        <w:rPr>
          <w:sz w:val="24"/>
          <w:szCs w:val="24"/>
          <w:lang w:eastAsia="fr-FR"/>
        </w:rPr>
        <w:t xml:space="preserve">Pool, E. (2011). </w:t>
      </w:r>
      <w:r w:rsidRPr="003A6EBA">
        <w:rPr>
          <w:i/>
          <w:iCs/>
          <w:sz w:val="24"/>
          <w:szCs w:val="24"/>
          <w:lang w:eastAsia="fr-FR"/>
        </w:rPr>
        <w:t>Régulation émotionnelle consciente et biais att</w:t>
      </w:r>
      <w:r>
        <w:rPr>
          <w:i/>
          <w:iCs/>
          <w:sz w:val="24"/>
          <w:szCs w:val="24"/>
          <w:lang w:eastAsia="fr-FR"/>
        </w:rPr>
        <w:t xml:space="preserve">entionnels envers les stimuli </w:t>
      </w:r>
      <w:r>
        <w:rPr>
          <w:i/>
          <w:iCs/>
          <w:sz w:val="24"/>
          <w:szCs w:val="24"/>
          <w:lang w:eastAsia="fr-FR"/>
        </w:rPr>
        <w:tab/>
      </w:r>
      <w:r>
        <w:rPr>
          <w:i/>
          <w:iCs/>
          <w:sz w:val="24"/>
          <w:szCs w:val="24"/>
          <w:lang w:eastAsia="fr-FR"/>
        </w:rPr>
        <w:tab/>
      </w:r>
      <w:proofErr w:type="gramStart"/>
      <w:r w:rsidRPr="003A6EBA">
        <w:rPr>
          <w:i/>
          <w:iCs/>
          <w:sz w:val="24"/>
          <w:szCs w:val="24"/>
          <w:lang w:eastAsia="fr-FR"/>
        </w:rPr>
        <w:t>positifs:</w:t>
      </w:r>
      <w:proofErr w:type="gramEnd"/>
      <w:r w:rsidRPr="003A6EBA">
        <w:rPr>
          <w:i/>
          <w:iCs/>
          <w:sz w:val="24"/>
          <w:szCs w:val="24"/>
          <w:lang w:eastAsia="fr-FR"/>
        </w:rPr>
        <w:t xml:space="preserve"> quels sont les liens avec l’optimisme ?</w:t>
      </w:r>
      <w:r w:rsidRPr="001A4853">
        <w:rPr>
          <w:sz w:val="24"/>
          <w:szCs w:val="24"/>
          <w:lang w:eastAsia="fr-FR"/>
        </w:rPr>
        <w:t xml:space="preserve"> </w:t>
      </w:r>
      <w:r w:rsidRPr="003A6EBA">
        <w:rPr>
          <w:sz w:val="24"/>
          <w:szCs w:val="24"/>
          <w:lang w:val="en-US" w:eastAsia="fr-FR"/>
        </w:rPr>
        <w:t xml:space="preserve">Univ. Genève. </w:t>
      </w:r>
    </w:p>
    <w:p w14:paraId="52F19342"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 xml:space="preserve">Prins, A. (2006). </w:t>
      </w:r>
      <w:r w:rsidRPr="003A6EBA">
        <w:rPr>
          <w:i/>
          <w:sz w:val="24"/>
          <w:szCs w:val="24"/>
          <w:lang w:val="en-US" w:eastAsia="fr-FR"/>
        </w:rPr>
        <w:t>Emotional intelligence and leadership in corp</w:t>
      </w:r>
      <w:r>
        <w:rPr>
          <w:i/>
          <w:sz w:val="24"/>
          <w:szCs w:val="24"/>
          <w:lang w:val="en-US" w:eastAsia="fr-FR"/>
        </w:rPr>
        <w:t xml:space="preserve">orate management: A </w:t>
      </w:r>
      <w:r>
        <w:rPr>
          <w:i/>
          <w:sz w:val="24"/>
          <w:szCs w:val="24"/>
          <w:lang w:val="en-US" w:eastAsia="fr-FR"/>
        </w:rPr>
        <w:tab/>
      </w:r>
      <w:proofErr w:type="spellStart"/>
      <w:r>
        <w:rPr>
          <w:i/>
          <w:sz w:val="24"/>
          <w:szCs w:val="24"/>
          <w:lang w:val="en-US" w:eastAsia="fr-FR"/>
        </w:rPr>
        <w:t>fortigenic</w:t>
      </w:r>
      <w:proofErr w:type="spellEnd"/>
      <w:r>
        <w:rPr>
          <w:i/>
          <w:sz w:val="24"/>
          <w:szCs w:val="24"/>
          <w:lang w:val="en-US" w:eastAsia="fr-FR"/>
        </w:rPr>
        <w:t xml:space="preserve"> </w:t>
      </w:r>
      <w:r w:rsidRPr="003A6EBA">
        <w:rPr>
          <w:i/>
          <w:sz w:val="24"/>
          <w:szCs w:val="24"/>
          <w:lang w:val="en-US" w:eastAsia="fr-FR"/>
        </w:rPr>
        <w:t>perspective</w:t>
      </w:r>
      <w:r w:rsidRPr="003A6EBA">
        <w:rPr>
          <w:sz w:val="24"/>
          <w:szCs w:val="24"/>
          <w:lang w:val="en-US" w:eastAsia="fr-FR"/>
        </w:rPr>
        <w:t xml:space="preserve">. Thesis of Philosophy, University of the Free State, </w:t>
      </w:r>
      <w:r>
        <w:rPr>
          <w:sz w:val="24"/>
          <w:szCs w:val="24"/>
          <w:lang w:val="en-US" w:eastAsia="fr-FR"/>
        </w:rPr>
        <w:tab/>
      </w:r>
      <w:r w:rsidRPr="003A6EBA">
        <w:rPr>
          <w:sz w:val="24"/>
          <w:szCs w:val="24"/>
          <w:lang w:val="en-US" w:eastAsia="fr-FR"/>
        </w:rPr>
        <w:t xml:space="preserve">Bloemfontein, South </w:t>
      </w:r>
      <w:r w:rsidRPr="003A6EBA">
        <w:rPr>
          <w:sz w:val="24"/>
          <w:szCs w:val="24"/>
          <w:lang w:val="en-US" w:eastAsia="fr-FR"/>
        </w:rPr>
        <w:tab/>
        <w:t>Africa.</w:t>
      </w:r>
    </w:p>
    <w:p w14:paraId="18AB1CE0"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Reuchlin, M. (1995). </w:t>
      </w:r>
      <w:r w:rsidRPr="003A6EBA">
        <w:rPr>
          <w:i/>
          <w:sz w:val="24"/>
          <w:szCs w:val="24"/>
          <w:lang w:eastAsia="fr-FR"/>
        </w:rPr>
        <w:t>Les méthodes en psychologie</w:t>
      </w:r>
      <w:r w:rsidRPr="003A6EBA">
        <w:rPr>
          <w:sz w:val="24"/>
          <w:szCs w:val="24"/>
          <w:lang w:eastAsia="fr-FR"/>
        </w:rPr>
        <w:t>. Presse Universitaire de France.</w:t>
      </w:r>
    </w:p>
    <w:p w14:paraId="777F854E" w14:textId="77777777" w:rsidR="00D80693" w:rsidRPr="003A6EBA" w:rsidRDefault="00D80693" w:rsidP="0016777C">
      <w:pPr>
        <w:pStyle w:val="Paragraphedeliste"/>
        <w:ind w:left="851" w:hanging="851"/>
        <w:rPr>
          <w:sz w:val="24"/>
          <w:szCs w:val="24"/>
          <w:lang w:eastAsia="fr-FR"/>
        </w:rPr>
      </w:pPr>
      <w:r w:rsidRPr="003A6EBA">
        <w:rPr>
          <w:sz w:val="24"/>
          <w:szCs w:val="24"/>
          <w:lang w:eastAsia="fr-FR"/>
        </w:rPr>
        <w:t xml:space="preserve">Rouquette, S., </w:t>
      </w:r>
      <w:proofErr w:type="spellStart"/>
      <w:r w:rsidRPr="003A6EBA">
        <w:rPr>
          <w:sz w:val="24"/>
          <w:szCs w:val="24"/>
          <w:lang w:eastAsia="fr-FR"/>
        </w:rPr>
        <w:t>Chemerik</w:t>
      </w:r>
      <w:proofErr w:type="spellEnd"/>
      <w:r w:rsidRPr="003A6EBA">
        <w:rPr>
          <w:sz w:val="24"/>
          <w:szCs w:val="24"/>
          <w:lang w:eastAsia="fr-FR"/>
        </w:rPr>
        <w:t xml:space="preserve">, F., &amp; </w:t>
      </w:r>
      <w:proofErr w:type="spellStart"/>
      <w:r w:rsidRPr="003A6EBA">
        <w:rPr>
          <w:sz w:val="24"/>
          <w:szCs w:val="24"/>
          <w:lang w:eastAsia="fr-FR"/>
        </w:rPr>
        <w:t>Bihay</w:t>
      </w:r>
      <w:proofErr w:type="spellEnd"/>
      <w:r w:rsidRPr="003A6EBA">
        <w:rPr>
          <w:sz w:val="24"/>
          <w:szCs w:val="24"/>
          <w:lang w:eastAsia="fr-FR"/>
        </w:rPr>
        <w:t xml:space="preserve">, T. (2024). Les campagnes de prévention sur les risques </w:t>
      </w:r>
      <w:r w:rsidRPr="003A6EBA">
        <w:rPr>
          <w:sz w:val="24"/>
          <w:szCs w:val="24"/>
          <w:lang w:eastAsia="fr-FR"/>
        </w:rPr>
        <w:tab/>
        <w:t xml:space="preserve">d’inondation sensibilisent-elles les riverains concernés ? </w:t>
      </w:r>
      <w:r w:rsidRPr="003A6EBA">
        <w:rPr>
          <w:i/>
          <w:iCs/>
          <w:sz w:val="24"/>
          <w:szCs w:val="24"/>
          <w:lang w:eastAsia="fr-FR"/>
        </w:rPr>
        <w:t xml:space="preserve">Revue française des sciences </w:t>
      </w:r>
      <w:r w:rsidRPr="003A6EBA">
        <w:rPr>
          <w:i/>
          <w:iCs/>
          <w:sz w:val="24"/>
          <w:szCs w:val="24"/>
          <w:lang w:eastAsia="fr-FR"/>
        </w:rPr>
        <w:tab/>
        <w:t>de l’informations et de la communication</w:t>
      </w:r>
      <w:r w:rsidRPr="003A6EBA">
        <w:rPr>
          <w:sz w:val="24"/>
          <w:szCs w:val="24"/>
          <w:lang w:eastAsia="fr-FR"/>
        </w:rPr>
        <w:t xml:space="preserve">, 28, 10.4000/11ubq.hal-04629449. </w:t>
      </w:r>
    </w:p>
    <w:p w14:paraId="7229E98F" w14:textId="77777777" w:rsidR="00D80693" w:rsidRPr="001A4853" w:rsidRDefault="00D80693" w:rsidP="0016777C">
      <w:pPr>
        <w:spacing w:before="120"/>
        <w:ind w:left="851" w:hanging="851"/>
        <w:jc w:val="both"/>
        <w:rPr>
          <w:sz w:val="24"/>
          <w:szCs w:val="24"/>
          <w:lang w:val="en-US" w:eastAsia="fr-FR"/>
        </w:rPr>
      </w:pPr>
      <w:r w:rsidRPr="003A6EBA">
        <w:rPr>
          <w:sz w:val="24"/>
          <w:szCs w:val="24"/>
          <w:lang w:val="en-US" w:eastAsia="fr-FR"/>
        </w:rPr>
        <w:t xml:space="preserve">Scherer, K. R. (1997). </w:t>
      </w:r>
      <w:r w:rsidRPr="003A6EBA">
        <w:rPr>
          <w:bCs/>
          <w:sz w:val="24"/>
          <w:szCs w:val="24"/>
          <w:lang w:val="en-US" w:eastAsia="fr-FR"/>
        </w:rPr>
        <w:t xml:space="preserve">The Role of Culture in Emotion-Antecedent </w:t>
      </w:r>
      <w:proofErr w:type="spellStart"/>
      <w:r w:rsidRPr="003A6EBA">
        <w:rPr>
          <w:bCs/>
          <w:sz w:val="24"/>
          <w:szCs w:val="24"/>
          <w:lang w:val="en-US" w:eastAsia="fr-FR"/>
        </w:rPr>
        <w:t>Appraisal.</w:t>
      </w:r>
      <w:r w:rsidRPr="001A4853">
        <w:rPr>
          <w:sz w:val="24"/>
          <w:szCs w:val="24"/>
          <w:lang w:val="en-US" w:eastAsia="fr-FR"/>
        </w:rPr>
        <w:t>Journal</w:t>
      </w:r>
      <w:proofErr w:type="spellEnd"/>
      <w:r w:rsidRPr="001A4853">
        <w:rPr>
          <w:sz w:val="24"/>
          <w:szCs w:val="24"/>
          <w:lang w:val="en-US" w:eastAsia="fr-FR"/>
        </w:rPr>
        <w:t xml:space="preserve"> of </w:t>
      </w:r>
      <w:r w:rsidRPr="001A4853">
        <w:rPr>
          <w:sz w:val="24"/>
          <w:szCs w:val="24"/>
          <w:lang w:val="en-US" w:eastAsia="fr-FR"/>
        </w:rPr>
        <w:tab/>
      </w:r>
      <w:r w:rsidRPr="001A4853">
        <w:rPr>
          <w:i/>
          <w:sz w:val="24"/>
          <w:szCs w:val="24"/>
          <w:lang w:val="en-US" w:eastAsia="fr-FR"/>
        </w:rPr>
        <w:t>Personality and Social Psychology</w:t>
      </w:r>
      <w:r w:rsidRPr="001A4853">
        <w:rPr>
          <w:sz w:val="24"/>
          <w:szCs w:val="24"/>
          <w:lang w:val="en-US" w:eastAsia="fr-FR"/>
        </w:rPr>
        <w:t>, 73 (5), 902-922.</w:t>
      </w:r>
    </w:p>
    <w:p w14:paraId="4CF20643" w14:textId="77777777" w:rsidR="00D80693" w:rsidRPr="003A6EBA" w:rsidRDefault="00D80693" w:rsidP="0016777C">
      <w:pPr>
        <w:spacing w:before="120"/>
        <w:ind w:left="851" w:hanging="851"/>
        <w:jc w:val="both"/>
        <w:rPr>
          <w:bCs/>
          <w:sz w:val="24"/>
          <w:szCs w:val="24"/>
          <w:lang w:eastAsia="fr-FR"/>
        </w:rPr>
      </w:pPr>
      <w:r w:rsidRPr="003A6EBA">
        <w:rPr>
          <w:bCs/>
          <w:sz w:val="24"/>
          <w:szCs w:val="24"/>
          <w:lang w:eastAsia="fr-FR"/>
        </w:rPr>
        <w:t xml:space="preserve">Schumacher, M. (2011). </w:t>
      </w:r>
      <w:r w:rsidRPr="003A6EBA">
        <w:rPr>
          <w:bCs/>
          <w:i/>
          <w:sz w:val="24"/>
          <w:szCs w:val="24"/>
          <w:lang w:eastAsia="fr-FR"/>
        </w:rPr>
        <w:t>Emotions, santé et compétences émotionnelles des</w:t>
      </w:r>
      <w:r>
        <w:rPr>
          <w:bCs/>
          <w:i/>
          <w:sz w:val="24"/>
          <w:szCs w:val="24"/>
          <w:lang w:eastAsia="fr-FR"/>
        </w:rPr>
        <w:t xml:space="preserve"> </w:t>
      </w:r>
      <w:r w:rsidRPr="003A6EBA">
        <w:rPr>
          <w:bCs/>
          <w:i/>
          <w:sz w:val="24"/>
          <w:szCs w:val="24"/>
          <w:lang w:eastAsia="fr-FR"/>
        </w:rPr>
        <w:t xml:space="preserve">aidants naturels </w:t>
      </w:r>
      <w:r w:rsidRPr="003A6EBA">
        <w:rPr>
          <w:bCs/>
          <w:i/>
          <w:sz w:val="24"/>
          <w:szCs w:val="24"/>
          <w:lang w:eastAsia="fr-FR"/>
        </w:rPr>
        <w:tab/>
        <w:t>accompagnant un proche atteint de</w:t>
      </w:r>
      <w:r>
        <w:rPr>
          <w:bCs/>
          <w:i/>
          <w:sz w:val="24"/>
          <w:szCs w:val="24"/>
          <w:lang w:eastAsia="fr-FR"/>
        </w:rPr>
        <w:t xml:space="preserve"> </w:t>
      </w:r>
      <w:r w:rsidRPr="003A6EBA">
        <w:rPr>
          <w:bCs/>
          <w:i/>
          <w:sz w:val="24"/>
          <w:szCs w:val="24"/>
          <w:lang w:eastAsia="fr-FR"/>
        </w:rPr>
        <w:t>démence</w:t>
      </w:r>
      <w:r w:rsidRPr="003A6EBA">
        <w:rPr>
          <w:bCs/>
          <w:sz w:val="24"/>
          <w:szCs w:val="24"/>
          <w:lang w:eastAsia="fr-FR"/>
        </w:rPr>
        <w:t>. Haute Ecole</w:t>
      </w:r>
      <w:r>
        <w:rPr>
          <w:bCs/>
          <w:sz w:val="24"/>
          <w:szCs w:val="24"/>
          <w:lang w:eastAsia="fr-FR"/>
        </w:rPr>
        <w:t xml:space="preserve"> de Santé de Fribourg. </w:t>
      </w:r>
      <w:r>
        <w:rPr>
          <w:bCs/>
          <w:sz w:val="24"/>
          <w:szCs w:val="24"/>
          <w:lang w:eastAsia="fr-FR"/>
        </w:rPr>
        <w:tab/>
        <w:t xml:space="preserve">Travail </w:t>
      </w:r>
      <w:r w:rsidRPr="003A6EBA">
        <w:rPr>
          <w:bCs/>
          <w:sz w:val="24"/>
          <w:szCs w:val="24"/>
          <w:lang w:eastAsia="fr-FR"/>
        </w:rPr>
        <w:t>de Bachelor en soins infirmiers. Sous la direction de Catherine Bassal.</w:t>
      </w:r>
    </w:p>
    <w:p w14:paraId="7BE72728" w14:textId="77777777" w:rsidR="00D80693" w:rsidRDefault="00D80693" w:rsidP="0016777C">
      <w:pPr>
        <w:spacing w:before="120"/>
        <w:ind w:left="851" w:hanging="851"/>
        <w:jc w:val="both"/>
        <w:rPr>
          <w:sz w:val="24"/>
          <w:szCs w:val="24"/>
          <w:lang w:val="en-US" w:eastAsia="fr-FR"/>
        </w:rPr>
      </w:pPr>
      <w:r w:rsidRPr="001A4853">
        <w:rPr>
          <w:sz w:val="24"/>
          <w:szCs w:val="24"/>
          <w:lang w:eastAsia="fr-FR"/>
        </w:rPr>
        <w:t xml:space="preserve">Shonk, S. M., &amp; Cicchetti, D. (2001). </w:t>
      </w:r>
      <w:r w:rsidRPr="003A6EBA">
        <w:rPr>
          <w:sz w:val="24"/>
          <w:szCs w:val="24"/>
          <w:lang w:val="en-US" w:eastAsia="fr-FR"/>
        </w:rPr>
        <w:t>Maltreatment, competency de</w:t>
      </w:r>
      <w:r>
        <w:rPr>
          <w:sz w:val="24"/>
          <w:szCs w:val="24"/>
          <w:lang w:val="en-US" w:eastAsia="fr-FR"/>
        </w:rPr>
        <w:t xml:space="preserve">ficits, and risk for </w:t>
      </w:r>
      <w:r>
        <w:rPr>
          <w:sz w:val="24"/>
          <w:szCs w:val="24"/>
          <w:lang w:val="en-US" w:eastAsia="fr-FR"/>
        </w:rPr>
        <w:tab/>
      </w:r>
      <w:r>
        <w:rPr>
          <w:sz w:val="24"/>
          <w:szCs w:val="24"/>
          <w:lang w:val="en-US" w:eastAsia="fr-FR"/>
        </w:rPr>
        <w:tab/>
      </w:r>
      <w:r>
        <w:rPr>
          <w:sz w:val="24"/>
          <w:szCs w:val="24"/>
          <w:lang w:val="en-US" w:eastAsia="fr-FR"/>
        </w:rPr>
        <w:tab/>
        <w:t xml:space="preserve">academic </w:t>
      </w:r>
      <w:r w:rsidRPr="003A6EBA">
        <w:rPr>
          <w:sz w:val="24"/>
          <w:szCs w:val="24"/>
          <w:lang w:val="en-US" w:eastAsia="fr-FR"/>
        </w:rPr>
        <w:t xml:space="preserve">and behavioral maladjustment. </w:t>
      </w:r>
      <w:r w:rsidRPr="003A6EBA">
        <w:rPr>
          <w:i/>
          <w:iCs/>
          <w:sz w:val="24"/>
          <w:szCs w:val="24"/>
          <w:lang w:val="en-US" w:eastAsia="fr-FR"/>
        </w:rPr>
        <w:t>Developmental Psychology</w:t>
      </w:r>
      <w:r w:rsidRPr="003A6EBA">
        <w:rPr>
          <w:sz w:val="24"/>
          <w:szCs w:val="24"/>
          <w:lang w:val="en-US" w:eastAsia="fr-FR"/>
        </w:rPr>
        <w:t xml:space="preserve">, </w:t>
      </w:r>
      <w:r w:rsidRPr="003A6EBA">
        <w:rPr>
          <w:i/>
          <w:iCs/>
          <w:sz w:val="24"/>
          <w:szCs w:val="24"/>
          <w:lang w:val="en-US" w:eastAsia="fr-FR"/>
        </w:rPr>
        <w:t>37</w:t>
      </w:r>
      <w:r w:rsidRPr="003A6EBA">
        <w:rPr>
          <w:sz w:val="24"/>
          <w:szCs w:val="24"/>
          <w:lang w:val="en-US" w:eastAsia="fr-FR"/>
        </w:rPr>
        <w:t xml:space="preserve">(1), 3–17. </w:t>
      </w:r>
    </w:p>
    <w:p w14:paraId="6DD61C2B" w14:textId="77777777" w:rsidR="00D80693" w:rsidRDefault="00D80693" w:rsidP="0016777C">
      <w:pPr>
        <w:spacing w:before="120"/>
        <w:ind w:left="851" w:hanging="851"/>
        <w:jc w:val="both"/>
        <w:rPr>
          <w:color w:val="000000"/>
          <w:sz w:val="24"/>
          <w:szCs w:val="24"/>
          <w:lang w:val="en-US" w:eastAsia="fr-FR"/>
        </w:rPr>
      </w:pPr>
      <w:r w:rsidRPr="003A6EBA">
        <w:rPr>
          <w:color w:val="000000"/>
          <w:sz w:val="24"/>
          <w:szCs w:val="24"/>
          <w:lang w:val="en-US" w:eastAsia="fr-FR"/>
        </w:rPr>
        <w:t xml:space="preserve">Tamo </w:t>
      </w:r>
      <w:proofErr w:type="spellStart"/>
      <w:r w:rsidRPr="003A6EBA">
        <w:rPr>
          <w:color w:val="000000"/>
          <w:sz w:val="24"/>
          <w:szCs w:val="24"/>
          <w:lang w:val="en-US" w:eastAsia="fr-FR"/>
        </w:rPr>
        <w:t>Fogué</w:t>
      </w:r>
      <w:proofErr w:type="spellEnd"/>
      <w:r w:rsidRPr="003A6EBA">
        <w:rPr>
          <w:color w:val="000000"/>
          <w:sz w:val="24"/>
          <w:szCs w:val="24"/>
          <w:lang w:val="en-US" w:eastAsia="fr-FR"/>
        </w:rPr>
        <w:t xml:space="preserve">, Y., </w:t>
      </w:r>
      <w:proofErr w:type="spellStart"/>
      <w:r w:rsidRPr="003A6EBA">
        <w:rPr>
          <w:color w:val="000000"/>
          <w:sz w:val="24"/>
          <w:szCs w:val="24"/>
          <w:lang w:val="en-US" w:eastAsia="fr-FR"/>
        </w:rPr>
        <w:t>Nkelzok</w:t>
      </w:r>
      <w:proofErr w:type="spellEnd"/>
      <w:r w:rsidRPr="003A6EBA">
        <w:rPr>
          <w:color w:val="000000"/>
          <w:sz w:val="24"/>
          <w:szCs w:val="24"/>
          <w:lang w:val="en-US" w:eastAsia="fr-FR"/>
        </w:rPr>
        <w:t xml:space="preserve"> Komtsindi, V., &amp; Mayi M. B. (2021). The Developmental Factors </w:t>
      </w:r>
      <w:r w:rsidRPr="003A6EBA">
        <w:rPr>
          <w:color w:val="000000"/>
          <w:sz w:val="24"/>
          <w:szCs w:val="24"/>
          <w:lang w:val="en-US" w:eastAsia="fr-FR"/>
        </w:rPr>
        <w:tab/>
      </w:r>
      <w:r>
        <w:rPr>
          <w:color w:val="000000"/>
          <w:sz w:val="24"/>
          <w:szCs w:val="24"/>
          <w:lang w:val="en-US" w:eastAsia="fr-FR"/>
        </w:rPr>
        <w:tab/>
      </w:r>
      <w:r w:rsidRPr="003A6EBA">
        <w:rPr>
          <w:color w:val="000000"/>
          <w:sz w:val="24"/>
          <w:szCs w:val="24"/>
          <w:lang w:val="en-US" w:eastAsia="fr-FR"/>
        </w:rPr>
        <w:t>of Identity Strategies Variation among Schooled Centr</w:t>
      </w:r>
      <w:r>
        <w:rPr>
          <w:color w:val="000000"/>
          <w:sz w:val="24"/>
          <w:szCs w:val="24"/>
          <w:lang w:val="en-US" w:eastAsia="fr-FR"/>
        </w:rPr>
        <w:t xml:space="preserve">al African Adolescent Refugees </w:t>
      </w:r>
      <w:r>
        <w:rPr>
          <w:color w:val="000000"/>
          <w:sz w:val="24"/>
          <w:szCs w:val="24"/>
          <w:lang w:val="en-US" w:eastAsia="fr-FR"/>
        </w:rPr>
        <w:tab/>
      </w:r>
      <w:r>
        <w:rPr>
          <w:color w:val="000000"/>
          <w:sz w:val="24"/>
          <w:szCs w:val="24"/>
          <w:lang w:val="en-US" w:eastAsia="fr-FR"/>
        </w:rPr>
        <w:tab/>
      </w:r>
      <w:r w:rsidRPr="003A6EBA">
        <w:rPr>
          <w:color w:val="000000"/>
          <w:sz w:val="24"/>
          <w:szCs w:val="24"/>
          <w:lang w:val="en-US" w:eastAsia="fr-FR"/>
        </w:rPr>
        <w:t xml:space="preserve">in the East-Region of Cameroon. </w:t>
      </w:r>
      <w:r w:rsidRPr="003A6EBA">
        <w:rPr>
          <w:i/>
          <w:color w:val="000000"/>
          <w:sz w:val="24"/>
          <w:szCs w:val="24"/>
          <w:lang w:val="en-US" w:eastAsia="fr-FR"/>
        </w:rPr>
        <w:t>Open Journal of Educational Research</w:t>
      </w:r>
      <w:r w:rsidRPr="003A6EBA">
        <w:rPr>
          <w:color w:val="000000"/>
          <w:sz w:val="24"/>
          <w:szCs w:val="24"/>
          <w:lang w:val="en-US" w:eastAsia="fr-FR"/>
        </w:rPr>
        <w:t>, 1(1), 49-55.</w:t>
      </w:r>
    </w:p>
    <w:p w14:paraId="4A039A87" w14:textId="77777777" w:rsidR="00D80693" w:rsidRPr="00214F71" w:rsidRDefault="00D80693" w:rsidP="0016777C">
      <w:pPr>
        <w:spacing w:before="120"/>
        <w:ind w:left="851" w:hanging="851"/>
        <w:jc w:val="both"/>
        <w:rPr>
          <w:sz w:val="24"/>
          <w:szCs w:val="24"/>
          <w:lang w:val="en-US" w:eastAsia="fr-FR"/>
        </w:rPr>
      </w:pPr>
      <w:r w:rsidRPr="003A6EBA">
        <w:rPr>
          <w:color w:val="000000"/>
          <w:sz w:val="24"/>
          <w:szCs w:val="24"/>
          <w:lang w:val="en-US" w:eastAsia="fr-FR"/>
        </w:rPr>
        <w:t xml:space="preserve">Tamo </w:t>
      </w:r>
      <w:proofErr w:type="spellStart"/>
      <w:r w:rsidRPr="003A6EBA">
        <w:rPr>
          <w:color w:val="000000"/>
          <w:sz w:val="24"/>
          <w:szCs w:val="24"/>
          <w:lang w:val="en-US" w:eastAsia="fr-FR"/>
        </w:rPr>
        <w:t>Fogué</w:t>
      </w:r>
      <w:proofErr w:type="spellEnd"/>
      <w:r w:rsidRPr="003A6EBA">
        <w:rPr>
          <w:color w:val="000000"/>
          <w:sz w:val="24"/>
          <w:szCs w:val="24"/>
          <w:lang w:val="en-US" w:eastAsia="fr-FR"/>
        </w:rPr>
        <w:t xml:space="preserve">, Y., </w:t>
      </w:r>
      <w:proofErr w:type="spellStart"/>
      <w:r w:rsidRPr="003A6EBA">
        <w:rPr>
          <w:color w:val="000000"/>
          <w:sz w:val="24"/>
          <w:szCs w:val="24"/>
          <w:lang w:val="en-US" w:eastAsia="fr-FR"/>
        </w:rPr>
        <w:t>Tcheundjio</w:t>
      </w:r>
      <w:proofErr w:type="spellEnd"/>
      <w:r w:rsidRPr="003A6EBA">
        <w:rPr>
          <w:color w:val="000000"/>
          <w:sz w:val="24"/>
          <w:szCs w:val="24"/>
          <w:lang w:val="en-US" w:eastAsia="fr-FR"/>
        </w:rPr>
        <w:t xml:space="preserve">, R., Amana, E., Nguimfack, L., </w:t>
      </w:r>
      <w:proofErr w:type="spellStart"/>
      <w:r w:rsidRPr="003A6EBA">
        <w:rPr>
          <w:color w:val="000000"/>
          <w:sz w:val="24"/>
          <w:szCs w:val="24"/>
          <w:lang w:val="en-US" w:eastAsia="fr-FR"/>
        </w:rPr>
        <w:t>Nkelzok</w:t>
      </w:r>
      <w:proofErr w:type="spellEnd"/>
      <w:r w:rsidRPr="003A6EBA">
        <w:rPr>
          <w:color w:val="000000"/>
          <w:sz w:val="24"/>
          <w:szCs w:val="24"/>
          <w:lang w:val="en-US" w:eastAsia="fr-FR"/>
        </w:rPr>
        <w:t xml:space="preserve"> </w:t>
      </w:r>
      <w:proofErr w:type="spellStart"/>
      <w:r w:rsidRPr="003A6EBA">
        <w:rPr>
          <w:color w:val="000000"/>
          <w:sz w:val="24"/>
          <w:szCs w:val="24"/>
          <w:lang w:val="en-US" w:eastAsia="fr-FR"/>
        </w:rPr>
        <w:t>Komtsindi</w:t>
      </w:r>
      <w:proofErr w:type="spellEnd"/>
      <w:r w:rsidRPr="003A6EBA">
        <w:rPr>
          <w:color w:val="000000"/>
          <w:sz w:val="24"/>
          <w:szCs w:val="24"/>
          <w:lang w:val="en-US" w:eastAsia="fr-FR"/>
        </w:rPr>
        <w:t xml:space="preserve">, V., &amp; Tsala </w:t>
      </w:r>
      <w:r w:rsidRPr="003A6EBA">
        <w:rPr>
          <w:color w:val="000000"/>
          <w:sz w:val="24"/>
          <w:szCs w:val="24"/>
          <w:lang w:val="en-US" w:eastAsia="fr-FR"/>
        </w:rPr>
        <w:tab/>
      </w:r>
      <w:r>
        <w:rPr>
          <w:color w:val="000000"/>
          <w:sz w:val="24"/>
          <w:szCs w:val="24"/>
          <w:lang w:val="en-US" w:eastAsia="fr-FR"/>
        </w:rPr>
        <w:tab/>
      </w:r>
      <w:r w:rsidRPr="003A6EBA">
        <w:rPr>
          <w:color w:val="000000"/>
          <w:sz w:val="24"/>
          <w:szCs w:val="24"/>
          <w:lang w:val="en-US" w:eastAsia="fr-FR"/>
        </w:rPr>
        <w:t xml:space="preserve">Tsala, J. P. (2020). </w:t>
      </w:r>
      <w:r w:rsidRPr="003A6EBA">
        <w:rPr>
          <w:color w:val="000000"/>
          <w:sz w:val="24"/>
          <w:szCs w:val="24"/>
          <w:lang w:eastAsia="fr-FR"/>
        </w:rPr>
        <w:t>L’âge et le sexe dans l’adaptation soci</w:t>
      </w:r>
      <w:r>
        <w:rPr>
          <w:color w:val="000000"/>
          <w:sz w:val="24"/>
          <w:szCs w:val="24"/>
          <w:lang w:eastAsia="fr-FR"/>
        </w:rPr>
        <w:t xml:space="preserve">o-émotionnelle des </w:t>
      </w:r>
      <w:r>
        <w:rPr>
          <w:color w:val="000000"/>
          <w:sz w:val="24"/>
          <w:szCs w:val="24"/>
          <w:lang w:eastAsia="fr-FR"/>
        </w:rPr>
        <w:tab/>
      </w:r>
      <w:r>
        <w:rPr>
          <w:color w:val="000000"/>
          <w:sz w:val="24"/>
          <w:szCs w:val="24"/>
          <w:lang w:eastAsia="fr-FR"/>
        </w:rPr>
        <w:tab/>
      </w:r>
      <w:r>
        <w:rPr>
          <w:color w:val="000000"/>
          <w:sz w:val="24"/>
          <w:szCs w:val="24"/>
          <w:lang w:eastAsia="fr-FR"/>
        </w:rPr>
        <w:tab/>
        <w:t xml:space="preserve">adolescents </w:t>
      </w:r>
      <w:r w:rsidRPr="003A6EBA">
        <w:rPr>
          <w:color w:val="000000"/>
          <w:sz w:val="24"/>
          <w:szCs w:val="24"/>
          <w:lang w:eastAsia="fr-FR"/>
        </w:rPr>
        <w:t>déplacés internes : La construction des tâches dével</w:t>
      </w:r>
      <w:r>
        <w:rPr>
          <w:color w:val="000000"/>
          <w:sz w:val="24"/>
          <w:szCs w:val="24"/>
          <w:lang w:eastAsia="fr-FR"/>
        </w:rPr>
        <w:t xml:space="preserve">oppementales et des </w:t>
      </w:r>
      <w:r>
        <w:rPr>
          <w:color w:val="000000"/>
          <w:sz w:val="24"/>
          <w:szCs w:val="24"/>
          <w:lang w:eastAsia="fr-FR"/>
        </w:rPr>
        <w:tab/>
      </w:r>
      <w:r>
        <w:rPr>
          <w:color w:val="000000"/>
          <w:sz w:val="24"/>
          <w:szCs w:val="24"/>
          <w:lang w:eastAsia="fr-FR"/>
        </w:rPr>
        <w:tab/>
        <w:t xml:space="preserve">stratégies </w:t>
      </w:r>
      <w:r w:rsidRPr="003A6EBA">
        <w:rPr>
          <w:color w:val="000000"/>
          <w:sz w:val="24"/>
          <w:szCs w:val="24"/>
          <w:lang w:eastAsia="fr-FR"/>
        </w:rPr>
        <w:t xml:space="preserve">identitaires. </w:t>
      </w:r>
      <w:r w:rsidRPr="003A6EBA">
        <w:rPr>
          <w:i/>
          <w:color w:val="000000"/>
          <w:sz w:val="24"/>
          <w:szCs w:val="24"/>
          <w:lang w:val="en-US" w:eastAsia="fr-FR"/>
        </w:rPr>
        <w:t>International Multilingual Jo</w:t>
      </w:r>
      <w:r>
        <w:rPr>
          <w:i/>
          <w:color w:val="000000"/>
          <w:sz w:val="24"/>
          <w:szCs w:val="24"/>
          <w:lang w:val="en-US" w:eastAsia="fr-FR"/>
        </w:rPr>
        <w:t xml:space="preserve">urnal of Science </w:t>
      </w:r>
      <w:proofErr w:type="gramStart"/>
      <w:r>
        <w:rPr>
          <w:i/>
          <w:color w:val="000000"/>
          <w:sz w:val="24"/>
          <w:szCs w:val="24"/>
          <w:lang w:val="en-US" w:eastAsia="fr-FR"/>
        </w:rPr>
        <w:t>And</w:t>
      </w:r>
      <w:proofErr w:type="gramEnd"/>
      <w:r>
        <w:rPr>
          <w:i/>
          <w:color w:val="000000"/>
          <w:sz w:val="24"/>
          <w:szCs w:val="24"/>
          <w:lang w:val="en-US" w:eastAsia="fr-FR"/>
        </w:rPr>
        <w:t xml:space="preserve"> Technology </w:t>
      </w:r>
      <w:r>
        <w:rPr>
          <w:i/>
          <w:color w:val="000000"/>
          <w:sz w:val="24"/>
          <w:szCs w:val="24"/>
          <w:lang w:val="en-US" w:eastAsia="fr-FR"/>
        </w:rPr>
        <w:tab/>
      </w:r>
      <w:r>
        <w:rPr>
          <w:i/>
          <w:color w:val="000000"/>
          <w:sz w:val="24"/>
          <w:szCs w:val="24"/>
          <w:lang w:val="en-US" w:eastAsia="fr-FR"/>
        </w:rPr>
        <w:tab/>
      </w:r>
      <w:r w:rsidRPr="003A6EBA">
        <w:rPr>
          <w:i/>
          <w:color w:val="000000"/>
          <w:sz w:val="24"/>
          <w:szCs w:val="24"/>
          <w:lang w:val="en-US" w:eastAsia="fr-FR"/>
        </w:rPr>
        <w:t>(IMJST)</w:t>
      </w:r>
      <w:r>
        <w:rPr>
          <w:color w:val="000000"/>
          <w:sz w:val="24"/>
          <w:szCs w:val="24"/>
          <w:lang w:val="en-US" w:eastAsia="fr-FR"/>
        </w:rPr>
        <w:t xml:space="preserve">, </w:t>
      </w:r>
      <w:r w:rsidRPr="003A6EBA">
        <w:rPr>
          <w:color w:val="000000"/>
          <w:sz w:val="24"/>
          <w:szCs w:val="24"/>
          <w:lang w:val="en-US" w:eastAsia="fr-FR"/>
        </w:rPr>
        <w:t>5(10), 1802-1810.</w:t>
      </w:r>
    </w:p>
    <w:p w14:paraId="074BFF18" w14:textId="77777777" w:rsidR="00D80693" w:rsidRPr="001A4853" w:rsidRDefault="00D80693" w:rsidP="0016777C">
      <w:pPr>
        <w:pStyle w:val="Paragraphedeliste"/>
        <w:ind w:left="851" w:hanging="851"/>
        <w:rPr>
          <w:color w:val="000000"/>
          <w:sz w:val="24"/>
          <w:szCs w:val="24"/>
          <w:lang w:eastAsia="fr-FR"/>
        </w:rPr>
      </w:pPr>
      <w:r w:rsidRPr="003A6EBA">
        <w:rPr>
          <w:bCs/>
          <w:color w:val="000000"/>
          <w:sz w:val="24"/>
          <w:szCs w:val="24"/>
          <w:lang w:val="en-US" w:eastAsia="fr-FR"/>
        </w:rPr>
        <w:t xml:space="preserve">Tamo </w:t>
      </w:r>
      <w:proofErr w:type="spellStart"/>
      <w:r w:rsidRPr="003A6EBA">
        <w:rPr>
          <w:bCs/>
          <w:color w:val="000000"/>
          <w:sz w:val="24"/>
          <w:szCs w:val="24"/>
          <w:lang w:val="en-US" w:eastAsia="fr-FR"/>
        </w:rPr>
        <w:t>Fogué</w:t>
      </w:r>
      <w:proofErr w:type="spellEnd"/>
      <w:r w:rsidRPr="003A6EBA">
        <w:rPr>
          <w:bCs/>
          <w:color w:val="000000"/>
          <w:sz w:val="24"/>
          <w:szCs w:val="24"/>
          <w:lang w:val="en-US" w:eastAsia="fr-FR"/>
        </w:rPr>
        <w:t xml:space="preserve">, Y., </w:t>
      </w:r>
      <w:proofErr w:type="spellStart"/>
      <w:r w:rsidRPr="003A6EBA">
        <w:rPr>
          <w:bCs/>
          <w:color w:val="000000"/>
          <w:sz w:val="24"/>
          <w:szCs w:val="24"/>
          <w:lang w:val="en-US" w:eastAsia="fr-FR"/>
        </w:rPr>
        <w:t>Tcheundjio</w:t>
      </w:r>
      <w:proofErr w:type="spellEnd"/>
      <w:r w:rsidRPr="003A6EBA">
        <w:rPr>
          <w:color w:val="000000"/>
          <w:sz w:val="24"/>
          <w:szCs w:val="24"/>
          <w:lang w:val="en-US" w:eastAsia="fr-FR"/>
        </w:rPr>
        <w:t xml:space="preserve">, R., Nguimfack, L., </w:t>
      </w:r>
      <w:proofErr w:type="spellStart"/>
      <w:r w:rsidRPr="003A6EBA">
        <w:rPr>
          <w:color w:val="000000"/>
          <w:sz w:val="24"/>
          <w:szCs w:val="24"/>
          <w:lang w:val="en-US" w:eastAsia="fr-FR"/>
        </w:rPr>
        <w:t>Nkelzok</w:t>
      </w:r>
      <w:proofErr w:type="spellEnd"/>
      <w:r w:rsidRPr="003A6EBA">
        <w:rPr>
          <w:color w:val="000000"/>
          <w:sz w:val="24"/>
          <w:szCs w:val="24"/>
          <w:lang w:val="en-US" w:eastAsia="fr-FR"/>
        </w:rPr>
        <w:t xml:space="preserve"> </w:t>
      </w:r>
      <w:proofErr w:type="spellStart"/>
      <w:r w:rsidRPr="003A6EBA">
        <w:rPr>
          <w:color w:val="000000"/>
          <w:sz w:val="24"/>
          <w:szCs w:val="24"/>
          <w:lang w:val="en-US" w:eastAsia="fr-FR"/>
        </w:rPr>
        <w:t>Komtsindi</w:t>
      </w:r>
      <w:proofErr w:type="spellEnd"/>
      <w:r w:rsidRPr="003A6EBA">
        <w:rPr>
          <w:color w:val="000000"/>
          <w:sz w:val="24"/>
          <w:szCs w:val="24"/>
          <w:lang w:val="en-US" w:eastAsia="fr-FR"/>
        </w:rPr>
        <w:t xml:space="preserve">, V., &amp; Tsala </w:t>
      </w:r>
      <w:proofErr w:type="spellStart"/>
      <w:r w:rsidRPr="003A6EBA">
        <w:rPr>
          <w:color w:val="000000"/>
          <w:sz w:val="24"/>
          <w:szCs w:val="24"/>
          <w:lang w:val="en-US" w:eastAsia="fr-FR"/>
        </w:rPr>
        <w:t>Tsala</w:t>
      </w:r>
      <w:proofErr w:type="spellEnd"/>
      <w:r w:rsidRPr="003A6EBA">
        <w:rPr>
          <w:color w:val="000000"/>
          <w:sz w:val="24"/>
          <w:szCs w:val="24"/>
          <w:lang w:val="en-US" w:eastAsia="fr-FR"/>
        </w:rPr>
        <w:t xml:space="preserve">, J. P. </w:t>
      </w:r>
      <w:r w:rsidRPr="003A6EBA">
        <w:rPr>
          <w:color w:val="000000"/>
          <w:sz w:val="24"/>
          <w:szCs w:val="24"/>
          <w:lang w:val="en-US" w:eastAsia="fr-FR"/>
        </w:rPr>
        <w:tab/>
      </w:r>
      <w:r w:rsidRPr="003A6EBA">
        <w:rPr>
          <w:color w:val="000000"/>
          <w:sz w:val="24"/>
          <w:szCs w:val="24"/>
          <w:lang w:eastAsia="fr-FR"/>
        </w:rPr>
        <w:t xml:space="preserve">(2020). </w:t>
      </w:r>
      <w:r w:rsidRPr="003A6EBA">
        <w:rPr>
          <w:rFonts w:eastAsia="Arial Unicode MS"/>
          <w:color w:val="000000"/>
          <w:sz w:val="24"/>
          <w:szCs w:val="24"/>
          <w:lang w:eastAsia="fr-FR"/>
        </w:rPr>
        <w:t xml:space="preserve">Tâches développementales à l’adolescence et stratégies identitaires en contexte </w:t>
      </w:r>
      <w:r w:rsidRPr="003A6EBA">
        <w:rPr>
          <w:rFonts w:eastAsia="Arial Unicode MS"/>
          <w:color w:val="000000"/>
          <w:sz w:val="24"/>
          <w:szCs w:val="24"/>
          <w:lang w:eastAsia="fr-FR"/>
        </w:rPr>
        <w:tab/>
        <w:t>transculturel et de proche-culture : Cas des réfugiés et déplacés internes.</w:t>
      </w:r>
      <w:r w:rsidRPr="003A6EBA">
        <w:rPr>
          <w:rFonts w:eastAsia="Arial Unicode MS"/>
          <w:i/>
          <w:color w:val="000000"/>
          <w:sz w:val="24"/>
          <w:szCs w:val="24"/>
          <w:lang w:eastAsia="fr-FR"/>
        </w:rPr>
        <w:t xml:space="preserve"> Cahiers </w:t>
      </w:r>
      <w:r w:rsidRPr="003A6EBA">
        <w:rPr>
          <w:rFonts w:eastAsia="Arial Unicode MS"/>
          <w:i/>
          <w:color w:val="000000"/>
          <w:sz w:val="24"/>
          <w:szCs w:val="24"/>
          <w:lang w:eastAsia="fr-FR"/>
        </w:rPr>
        <w:tab/>
        <w:t>Ivoiriennes de Psychologie</w:t>
      </w:r>
      <w:r w:rsidRPr="003A6EBA">
        <w:rPr>
          <w:rFonts w:eastAsia="Arial Unicode MS"/>
          <w:color w:val="000000"/>
          <w:sz w:val="24"/>
          <w:szCs w:val="24"/>
          <w:lang w:eastAsia="fr-FR"/>
        </w:rPr>
        <w:t>, 13, 39-53.</w:t>
      </w:r>
    </w:p>
    <w:p w14:paraId="0985EB3A" w14:textId="77777777" w:rsidR="00D80693" w:rsidRPr="003A6EBA" w:rsidRDefault="00D80693" w:rsidP="0016777C">
      <w:pPr>
        <w:spacing w:before="120"/>
        <w:ind w:left="851" w:hanging="851"/>
        <w:jc w:val="both"/>
        <w:rPr>
          <w:sz w:val="24"/>
          <w:szCs w:val="24"/>
          <w:lang w:eastAsia="fr-FR"/>
        </w:rPr>
      </w:pPr>
      <w:r w:rsidRPr="003A6EBA">
        <w:rPr>
          <w:sz w:val="24"/>
          <w:szCs w:val="24"/>
          <w:lang w:eastAsia="fr-FR"/>
        </w:rPr>
        <w:t xml:space="preserve">Vondra, J., Barnett, D., &amp; Cicchetti, D. (1990). </w:t>
      </w:r>
      <w:r w:rsidRPr="003A6EBA">
        <w:rPr>
          <w:sz w:val="24"/>
          <w:szCs w:val="24"/>
          <w:lang w:val="en-US" w:eastAsia="fr-FR"/>
        </w:rPr>
        <w:t xml:space="preserve">Self-concept, motivation, and competence </w:t>
      </w:r>
      <w:r w:rsidRPr="003A6EBA">
        <w:rPr>
          <w:sz w:val="24"/>
          <w:szCs w:val="24"/>
          <w:lang w:val="en-US" w:eastAsia="fr-FR"/>
        </w:rPr>
        <w:tab/>
      </w:r>
      <w:r w:rsidRPr="003A6EBA">
        <w:rPr>
          <w:sz w:val="24"/>
          <w:szCs w:val="24"/>
          <w:lang w:val="en-US" w:eastAsia="fr-FR"/>
        </w:rPr>
        <w:tab/>
        <w:t xml:space="preserve">among preschoolers from maltreating and comparison families. </w:t>
      </w:r>
      <w:r w:rsidRPr="003A6EBA">
        <w:rPr>
          <w:i/>
          <w:iCs/>
          <w:sz w:val="24"/>
          <w:szCs w:val="24"/>
          <w:lang w:eastAsia="fr-FR"/>
        </w:rPr>
        <w:t>Child Abuse &amp;</w:t>
      </w:r>
      <w:r>
        <w:rPr>
          <w:i/>
          <w:iCs/>
          <w:sz w:val="24"/>
          <w:szCs w:val="24"/>
          <w:lang w:eastAsia="fr-FR"/>
        </w:rPr>
        <w:tab/>
      </w:r>
      <w:r>
        <w:rPr>
          <w:i/>
          <w:iCs/>
          <w:sz w:val="24"/>
          <w:szCs w:val="24"/>
          <w:lang w:eastAsia="fr-FR"/>
        </w:rPr>
        <w:tab/>
      </w:r>
      <w:r>
        <w:rPr>
          <w:i/>
          <w:iCs/>
          <w:sz w:val="24"/>
          <w:szCs w:val="24"/>
          <w:lang w:eastAsia="fr-FR"/>
        </w:rPr>
        <w:tab/>
      </w:r>
      <w:proofErr w:type="spellStart"/>
      <w:r w:rsidRPr="003A6EBA">
        <w:rPr>
          <w:i/>
          <w:iCs/>
          <w:sz w:val="24"/>
          <w:szCs w:val="24"/>
          <w:lang w:eastAsia="fr-FR"/>
        </w:rPr>
        <w:t>Neglect</w:t>
      </w:r>
      <w:proofErr w:type="spellEnd"/>
      <w:r>
        <w:rPr>
          <w:sz w:val="24"/>
          <w:szCs w:val="24"/>
          <w:lang w:eastAsia="fr-FR"/>
        </w:rPr>
        <w:t xml:space="preserve">, </w:t>
      </w:r>
      <w:r w:rsidRPr="003A6EBA">
        <w:rPr>
          <w:iCs/>
          <w:sz w:val="24"/>
          <w:szCs w:val="24"/>
          <w:lang w:eastAsia="fr-FR"/>
        </w:rPr>
        <w:t>14</w:t>
      </w:r>
      <w:r w:rsidRPr="003A6EBA">
        <w:rPr>
          <w:sz w:val="24"/>
          <w:szCs w:val="24"/>
          <w:lang w:eastAsia="fr-FR"/>
        </w:rPr>
        <w:t>(4), 525–540.</w:t>
      </w:r>
    </w:p>
    <w:p w14:paraId="719DC9B0" w14:textId="77777777" w:rsidR="00D80693" w:rsidRPr="003A6EBA" w:rsidRDefault="00D80693" w:rsidP="0016777C">
      <w:pPr>
        <w:spacing w:before="120"/>
        <w:ind w:left="851" w:hanging="851"/>
        <w:jc w:val="both"/>
        <w:rPr>
          <w:sz w:val="24"/>
          <w:szCs w:val="24"/>
          <w:lang w:val="en-US" w:eastAsia="fr-FR"/>
        </w:rPr>
      </w:pPr>
      <w:r w:rsidRPr="003A6EBA">
        <w:rPr>
          <w:sz w:val="24"/>
          <w:szCs w:val="24"/>
          <w:lang w:eastAsia="fr-FR"/>
        </w:rPr>
        <w:t>Weil-</w:t>
      </w:r>
      <w:proofErr w:type="spellStart"/>
      <w:r w:rsidRPr="003A6EBA">
        <w:rPr>
          <w:sz w:val="24"/>
          <w:szCs w:val="24"/>
          <w:lang w:eastAsia="fr-FR"/>
        </w:rPr>
        <w:t>Barais</w:t>
      </w:r>
      <w:proofErr w:type="spellEnd"/>
      <w:r w:rsidRPr="003A6EBA">
        <w:rPr>
          <w:sz w:val="24"/>
          <w:szCs w:val="24"/>
          <w:lang w:eastAsia="fr-FR"/>
        </w:rPr>
        <w:t xml:space="preserve">, A. (1997). </w:t>
      </w:r>
      <w:r w:rsidRPr="003A6EBA">
        <w:rPr>
          <w:i/>
          <w:sz w:val="24"/>
          <w:szCs w:val="24"/>
          <w:lang w:eastAsia="fr-FR"/>
        </w:rPr>
        <w:t xml:space="preserve">Les méthodes en psychologie (Observation, expérimentation, </w:t>
      </w:r>
      <w:r w:rsidRPr="003A6EBA">
        <w:rPr>
          <w:i/>
          <w:sz w:val="24"/>
          <w:szCs w:val="24"/>
          <w:lang w:eastAsia="fr-FR"/>
        </w:rPr>
        <w:tab/>
        <w:t>enquête, travaux d’étude et de recherche)</w:t>
      </w:r>
      <w:r w:rsidRPr="003A6EBA">
        <w:rPr>
          <w:sz w:val="24"/>
          <w:szCs w:val="24"/>
          <w:lang w:eastAsia="fr-FR"/>
        </w:rPr>
        <w:t xml:space="preserve">. </w:t>
      </w:r>
      <w:r w:rsidRPr="003A6EBA">
        <w:rPr>
          <w:sz w:val="24"/>
          <w:szCs w:val="24"/>
          <w:lang w:val="en-US" w:eastAsia="fr-FR"/>
        </w:rPr>
        <w:t>Béal.</w:t>
      </w:r>
    </w:p>
    <w:p w14:paraId="4D4F58ED" w14:textId="77777777" w:rsidR="00D80693" w:rsidRPr="003A6EBA" w:rsidRDefault="00D80693" w:rsidP="0016777C">
      <w:pPr>
        <w:spacing w:before="120"/>
        <w:ind w:left="851" w:hanging="851"/>
        <w:jc w:val="both"/>
        <w:rPr>
          <w:sz w:val="24"/>
          <w:szCs w:val="24"/>
          <w:lang w:val="en-US" w:eastAsia="fr-FR"/>
        </w:rPr>
      </w:pPr>
      <w:r w:rsidRPr="003A6EBA">
        <w:rPr>
          <w:sz w:val="24"/>
          <w:szCs w:val="24"/>
          <w:lang w:val="en-US" w:eastAsia="fr-FR"/>
        </w:rPr>
        <w:t xml:space="preserve">Weiss, D. &amp; Marmar, C.R. (1997). The Impact of Event Scale-Revised. In: J. Wilson &amp; T.M. </w:t>
      </w:r>
      <w:r w:rsidRPr="003A6EBA">
        <w:rPr>
          <w:sz w:val="24"/>
          <w:szCs w:val="24"/>
          <w:lang w:val="en-US" w:eastAsia="fr-FR"/>
        </w:rPr>
        <w:tab/>
      </w:r>
      <w:r w:rsidRPr="003A6EBA">
        <w:rPr>
          <w:sz w:val="24"/>
          <w:szCs w:val="24"/>
          <w:lang w:val="en-US" w:eastAsia="fr-FR"/>
        </w:rPr>
        <w:tab/>
        <w:t>Keane T</w:t>
      </w:r>
      <w:r>
        <w:rPr>
          <w:sz w:val="24"/>
          <w:szCs w:val="24"/>
          <w:lang w:val="en-US" w:eastAsia="fr-FR"/>
        </w:rPr>
        <w:t xml:space="preserve">. </w:t>
      </w:r>
      <w:r w:rsidRPr="003A6EBA">
        <w:rPr>
          <w:sz w:val="24"/>
          <w:szCs w:val="24"/>
          <w:lang w:val="en-US" w:eastAsia="fr-FR"/>
        </w:rPr>
        <w:t xml:space="preserve">M, </w:t>
      </w:r>
      <w:r w:rsidRPr="003A6EBA">
        <w:rPr>
          <w:i/>
          <w:sz w:val="24"/>
          <w:szCs w:val="24"/>
          <w:lang w:val="en-US" w:eastAsia="fr-FR"/>
        </w:rPr>
        <w:t xml:space="preserve">Assessing psychological trauma and PTSD: A </w:t>
      </w:r>
      <w:proofErr w:type="gramStart"/>
      <w:r w:rsidRPr="003A6EBA">
        <w:rPr>
          <w:i/>
          <w:sz w:val="24"/>
          <w:szCs w:val="24"/>
          <w:lang w:val="en-US" w:eastAsia="fr-FR"/>
        </w:rPr>
        <w:t>hand book</w:t>
      </w:r>
      <w:proofErr w:type="gramEnd"/>
      <w:r w:rsidRPr="003A6EBA">
        <w:rPr>
          <w:i/>
          <w:sz w:val="24"/>
          <w:szCs w:val="24"/>
          <w:lang w:val="en-US" w:eastAsia="fr-FR"/>
        </w:rPr>
        <w:t xml:space="preserve"> for </w:t>
      </w:r>
      <w:r>
        <w:rPr>
          <w:i/>
          <w:sz w:val="24"/>
          <w:szCs w:val="24"/>
          <w:lang w:val="en-US" w:eastAsia="fr-FR"/>
        </w:rPr>
        <w:tab/>
      </w:r>
      <w:r>
        <w:rPr>
          <w:i/>
          <w:sz w:val="24"/>
          <w:szCs w:val="24"/>
          <w:lang w:val="en-US" w:eastAsia="fr-FR"/>
        </w:rPr>
        <w:tab/>
      </w:r>
      <w:r>
        <w:rPr>
          <w:i/>
          <w:sz w:val="24"/>
          <w:szCs w:val="24"/>
          <w:lang w:val="en-US" w:eastAsia="fr-FR"/>
        </w:rPr>
        <w:tab/>
      </w:r>
      <w:proofErr w:type="gramStart"/>
      <w:r w:rsidRPr="003A6EBA">
        <w:rPr>
          <w:i/>
          <w:sz w:val="24"/>
          <w:szCs w:val="24"/>
          <w:lang w:val="en-US" w:eastAsia="fr-FR"/>
        </w:rPr>
        <w:t>practitioners</w:t>
      </w:r>
      <w:r>
        <w:rPr>
          <w:sz w:val="24"/>
          <w:szCs w:val="24"/>
          <w:lang w:val="en-US" w:eastAsia="fr-FR"/>
        </w:rPr>
        <w:t>(</w:t>
      </w:r>
      <w:proofErr w:type="gramEnd"/>
      <w:r>
        <w:rPr>
          <w:sz w:val="24"/>
          <w:szCs w:val="24"/>
          <w:lang w:val="en-US" w:eastAsia="fr-FR"/>
        </w:rPr>
        <w:t xml:space="preserve">399-411). </w:t>
      </w:r>
      <w:r w:rsidRPr="003A6EBA">
        <w:rPr>
          <w:sz w:val="24"/>
          <w:szCs w:val="24"/>
          <w:lang w:val="en-US" w:eastAsia="fr-FR"/>
        </w:rPr>
        <w:t xml:space="preserve">Guilford </w:t>
      </w:r>
      <w:proofErr w:type="gramStart"/>
      <w:r w:rsidRPr="003A6EBA">
        <w:rPr>
          <w:sz w:val="24"/>
          <w:szCs w:val="24"/>
          <w:lang w:val="en-US" w:eastAsia="fr-FR"/>
        </w:rPr>
        <w:t>press</w:t>
      </w:r>
      <w:proofErr w:type="gramEnd"/>
      <w:r w:rsidRPr="003A6EBA">
        <w:rPr>
          <w:sz w:val="24"/>
          <w:szCs w:val="24"/>
          <w:lang w:val="en-US" w:eastAsia="fr-FR"/>
        </w:rPr>
        <w:t>.</w:t>
      </w:r>
    </w:p>
    <w:p w14:paraId="78135CD4" w14:textId="77777777" w:rsidR="00D80693" w:rsidRPr="003A6EBA" w:rsidRDefault="00D80693" w:rsidP="0016777C">
      <w:pPr>
        <w:spacing w:before="120"/>
        <w:ind w:left="851" w:hanging="851"/>
        <w:jc w:val="both"/>
        <w:rPr>
          <w:b/>
          <w:sz w:val="24"/>
          <w:szCs w:val="24"/>
          <w:u w:val="single"/>
          <w:lang w:eastAsia="fr-FR"/>
        </w:rPr>
      </w:pPr>
      <w:r w:rsidRPr="003A6EBA">
        <w:rPr>
          <w:sz w:val="24"/>
          <w:szCs w:val="24"/>
          <w:lang w:val="en-US" w:eastAsia="fr-FR"/>
        </w:rPr>
        <w:t>Yeates, K.O., Dennis, M., Rubin, K.H., Taylor, H.G., Bigler, E.D., Gerhardt, C.A.,</w:t>
      </w:r>
      <w:r w:rsidRPr="003A6EBA">
        <w:rPr>
          <w:sz w:val="24"/>
          <w:szCs w:val="24"/>
          <w:lang w:val="en-US" w:eastAsia="fr-FR"/>
        </w:rPr>
        <w:br/>
      </w:r>
      <w:r w:rsidRPr="003A6EBA">
        <w:rPr>
          <w:sz w:val="24"/>
          <w:szCs w:val="24"/>
          <w:lang w:val="en-US" w:eastAsia="fr-FR"/>
        </w:rPr>
        <w:tab/>
      </w:r>
      <w:proofErr w:type="spellStart"/>
      <w:r w:rsidRPr="003A6EBA">
        <w:rPr>
          <w:sz w:val="24"/>
          <w:szCs w:val="24"/>
          <w:lang w:val="en-US" w:eastAsia="fr-FR"/>
        </w:rPr>
        <w:t>Stancin</w:t>
      </w:r>
      <w:proofErr w:type="spellEnd"/>
      <w:r w:rsidRPr="003A6EBA">
        <w:rPr>
          <w:sz w:val="24"/>
          <w:szCs w:val="24"/>
          <w:lang w:val="en-US" w:eastAsia="fr-FR"/>
        </w:rPr>
        <w:t xml:space="preserve">, T., &amp; Vannatta, K. (2007). Social outcomes in childhood brain disorder: A </w:t>
      </w:r>
      <w:r w:rsidRPr="003A6EBA">
        <w:rPr>
          <w:sz w:val="24"/>
          <w:szCs w:val="24"/>
          <w:lang w:val="en-US" w:eastAsia="fr-FR"/>
        </w:rPr>
        <w:tab/>
        <w:t xml:space="preserve">heuristic integration of social neuroscience and developmental psychology. </w:t>
      </w:r>
      <w:r w:rsidRPr="003A6EBA">
        <w:rPr>
          <w:sz w:val="24"/>
          <w:szCs w:val="24"/>
          <w:lang w:val="en-US" w:eastAsia="fr-FR"/>
        </w:rPr>
        <w:tab/>
      </w:r>
      <w:proofErr w:type="spellStart"/>
      <w:r w:rsidRPr="003A6EBA">
        <w:rPr>
          <w:i/>
          <w:iCs/>
          <w:sz w:val="24"/>
          <w:szCs w:val="24"/>
          <w:lang w:eastAsia="fr-FR"/>
        </w:rPr>
        <w:t>Psychological</w:t>
      </w:r>
      <w:proofErr w:type="spellEnd"/>
      <w:r w:rsidRPr="003A6EBA">
        <w:rPr>
          <w:i/>
          <w:iCs/>
          <w:sz w:val="24"/>
          <w:szCs w:val="24"/>
          <w:lang w:eastAsia="fr-FR"/>
        </w:rPr>
        <w:t xml:space="preserve"> Bulletin</w:t>
      </w:r>
      <w:r w:rsidRPr="003A6EBA">
        <w:rPr>
          <w:sz w:val="24"/>
          <w:szCs w:val="24"/>
          <w:lang w:eastAsia="fr-FR"/>
        </w:rPr>
        <w:t xml:space="preserve">, </w:t>
      </w:r>
      <w:r w:rsidRPr="003A6EBA">
        <w:rPr>
          <w:iCs/>
          <w:sz w:val="24"/>
          <w:szCs w:val="24"/>
          <w:lang w:eastAsia="fr-FR"/>
        </w:rPr>
        <w:t>133.</w:t>
      </w:r>
    </w:p>
    <w:p w14:paraId="19DD1DF7" w14:textId="77777777" w:rsidR="00D80693" w:rsidRDefault="00D80693" w:rsidP="00D80693">
      <w:pPr>
        <w:adjustRightInd w:val="0"/>
        <w:ind w:left="-5" w:hanging="10"/>
        <w:jc w:val="both"/>
        <w:rPr>
          <w:b/>
          <w:sz w:val="24"/>
          <w:szCs w:val="24"/>
          <w:u w:val="single"/>
          <w:lang w:eastAsia="fr-FR"/>
        </w:rPr>
        <w:sectPr w:rsidR="00D80693" w:rsidSect="00026258">
          <w:headerReference w:type="default" r:id="rId130"/>
          <w:footerReference w:type="default" r:id="rId131"/>
          <w:pgSz w:w="11906" w:h="16838"/>
          <w:pgMar w:top="1417" w:right="1417" w:bottom="1417" w:left="1417" w:header="851" w:footer="708" w:gutter="0"/>
          <w:cols w:space="720"/>
          <w:docGrid w:linePitch="326"/>
        </w:sectPr>
      </w:pPr>
    </w:p>
    <w:p w14:paraId="0DF3FBB0" w14:textId="0B5F8710" w:rsidR="00D80693" w:rsidRPr="0016777C" w:rsidRDefault="0016777C" w:rsidP="0016777C">
      <w:pPr>
        <w:pStyle w:val="Titre1"/>
        <w:spacing w:before="120"/>
        <w:ind w:left="164"/>
        <w:rPr>
          <w:b w:val="0"/>
          <w:bCs w:val="0"/>
          <w:i/>
          <w:iCs/>
          <w:lang w:val="fr-CA"/>
        </w:rPr>
      </w:pPr>
      <w:bookmarkStart w:id="247" w:name="_Toc219272584"/>
      <w:r w:rsidRPr="0016777C">
        <w:rPr>
          <w:i/>
          <w:iCs/>
          <w:lang w:val="fr-CA"/>
        </w:rPr>
        <w:t>Type d’établissement, conditions socioéconomiques et détresse psychologique chez les enseignants du primaire d’Abidjan</w:t>
      </w:r>
      <w:bookmarkEnd w:id="247"/>
    </w:p>
    <w:p w14:paraId="640B415D" w14:textId="77777777" w:rsidR="00D80693" w:rsidRPr="0016777C" w:rsidRDefault="00D80693" w:rsidP="0016777C">
      <w:pPr>
        <w:pStyle w:val="Titre1"/>
        <w:spacing w:before="120"/>
        <w:ind w:left="164"/>
      </w:pPr>
      <w:bookmarkStart w:id="248" w:name="_Toc219272585"/>
      <w:r w:rsidRPr="0016777C">
        <w:t>Konan Léon KOUAME, Kouakou Bruno KANGA, Hassan Guy Roger TIEFFI</w:t>
      </w:r>
      <w:bookmarkEnd w:id="248"/>
    </w:p>
    <w:p w14:paraId="1ED76FFE" w14:textId="77777777" w:rsidR="00D80693" w:rsidRPr="008663F6" w:rsidRDefault="00D80693" w:rsidP="00D80693">
      <w:pPr>
        <w:ind w:right="-2" w:firstLine="708"/>
        <w:jc w:val="center"/>
        <w:rPr>
          <w:sz w:val="24"/>
          <w:szCs w:val="24"/>
          <w:u w:val="single"/>
        </w:rPr>
      </w:pPr>
    </w:p>
    <w:p w14:paraId="49F029A1" w14:textId="77777777" w:rsidR="00D80693" w:rsidRPr="008663F6" w:rsidRDefault="00D80693" w:rsidP="00D80693">
      <w:pPr>
        <w:spacing w:line="360" w:lineRule="auto"/>
        <w:ind w:right="-2"/>
        <w:rPr>
          <w:b/>
          <w:sz w:val="28"/>
          <w:szCs w:val="28"/>
        </w:rPr>
      </w:pPr>
      <w:r w:rsidRPr="008663F6">
        <w:rPr>
          <w:b/>
          <w:sz w:val="28"/>
          <w:szCs w:val="28"/>
        </w:rPr>
        <w:t>Résumé</w:t>
      </w:r>
    </w:p>
    <w:p w14:paraId="1D79F4D6" w14:textId="77777777" w:rsidR="00D80693" w:rsidRDefault="00D80693" w:rsidP="00D80693">
      <w:pPr>
        <w:adjustRightInd w:val="0"/>
        <w:jc w:val="both"/>
        <w:rPr>
          <w:rFonts w:eastAsia="Calibri"/>
          <w:color w:val="000000"/>
          <w:sz w:val="24"/>
          <w:szCs w:val="24"/>
          <w:lang w:eastAsia="fr-FR"/>
        </w:rPr>
      </w:pPr>
      <w:r w:rsidRPr="008663F6">
        <w:rPr>
          <w:rFonts w:eastAsia="Calibri"/>
          <w:color w:val="000000"/>
          <w:sz w:val="24"/>
          <w:szCs w:val="24"/>
          <w:lang w:eastAsia="fr-FR"/>
        </w:rPr>
        <w:t>L’étude examine la relation entre le type d’établissement scolaire, les conditions socioéconomiques et la détresse psychologique chez 92 instituteurs à Abidjan, soumis à l’échelle de Kessler (K6). Selon les résultats obtenus, un tiers (33/92) des instituteurs vivent la détresse psychologique sévère, caractérisée par la nervosité, le désespoir et l’agitation. Les instituteurs du privé manifestent plus la détresse psychologique sévère que ceux du public, et les instituteurs socio-économiquement défavorisés vivent plus la détresse psychologique sévère que ceux socio-économiquement favorisés.</w:t>
      </w:r>
      <w:r w:rsidRPr="008663F6">
        <w:rPr>
          <w:rFonts w:ascii="GillSans" w:hAnsi="GillSans" w:cs="GillSans"/>
          <w:color w:val="000000"/>
          <w:sz w:val="24"/>
          <w:szCs w:val="24"/>
          <w:lang w:eastAsia="fr-FR"/>
        </w:rPr>
        <w:t xml:space="preserve"> </w:t>
      </w:r>
      <w:r w:rsidRPr="008663F6">
        <w:rPr>
          <w:rFonts w:eastAsia="Calibri"/>
          <w:color w:val="000000"/>
          <w:sz w:val="24"/>
          <w:szCs w:val="24"/>
          <w:lang w:eastAsia="fr-FR"/>
        </w:rPr>
        <w:t>Ces résultats suggèrent que pour comprendre la détresse psychologique chez les instituteurs, il faut considérer leur traitement par les établissements et leurs conditions socioéconomiques. Ces résultats confirment la théorie du champ psychologique de Lewin (1951). L’étude propose que pour éviter la détresse psychologique sévère, il faut aux instituteurs, surtout du privé, plus d’autonomie dans l’exercice de leur fonction, un salaire revalorisé, payé régulièrement en une seule séquence et dans un délai raisonnable.</w:t>
      </w:r>
    </w:p>
    <w:p w14:paraId="2779EC70" w14:textId="77777777" w:rsidR="0016777C" w:rsidRPr="008663F6" w:rsidRDefault="0016777C" w:rsidP="00D80693">
      <w:pPr>
        <w:adjustRightInd w:val="0"/>
        <w:jc w:val="both"/>
        <w:rPr>
          <w:rFonts w:eastAsia="Calibri"/>
          <w:color w:val="000000"/>
          <w:sz w:val="24"/>
          <w:szCs w:val="24"/>
          <w:lang w:eastAsia="fr-FR"/>
        </w:rPr>
      </w:pPr>
    </w:p>
    <w:p w14:paraId="6AB26612" w14:textId="77777777" w:rsidR="00D80693" w:rsidRPr="008663F6" w:rsidRDefault="00D80693" w:rsidP="00D80693">
      <w:pPr>
        <w:adjustRightInd w:val="0"/>
        <w:jc w:val="both"/>
        <w:rPr>
          <w:rFonts w:eastAsia="Calibri"/>
          <w:i/>
          <w:color w:val="000000"/>
          <w:sz w:val="24"/>
          <w:szCs w:val="24"/>
          <w:lang w:eastAsia="fr-FR"/>
        </w:rPr>
      </w:pPr>
      <w:r w:rsidRPr="0016777C">
        <w:rPr>
          <w:rFonts w:eastAsia="Calibri"/>
          <w:b/>
          <w:bCs/>
          <w:color w:val="000000"/>
          <w:sz w:val="24"/>
          <w:szCs w:val="24"/>
          <w:lang w:eastAsia="fr-FR"/>
        </w:rPr>
        <w:t>Mots clés</w:t>
      </w:r>
      <w:r w:rsidRPr="008663F6">
        <w:rPr>
          <w:rFonts w:eastAsia="Calibri"/>
          <w:color w:val="000000"/>
          <w:sz w:val="24"/>
          <w:szCs w:val="24"/>
          <w:lang w:eastAsia="fr-FR"/>
        </w:rPr>
        <w:t xml:space="preserve"> : établissement scolaire – conditions socioéconomiques - santé mentale - détresse psychologique – instituteur</w:t>
      </w:r>
      <w:r w:rsidRPr="008663F6">
        <w:rPr>
          <w:rFonts w:eastAsia="Calibri"/>
          <w:i/>
          <w:color w:val="000000"/>
          <w:sz w:val="24"/>
          <w:szCs w:val="24"/>
          <w:lang w:eastAsia="fr-FR"/>
        </w:rPr>
        <w:t>.</w:t>
      </w:r>
    </w:p>
    <w:p w14:paraId="5902A072" w14:textId="77777777" w:rsidR="00D80693" w:rsidRPr="008663F6" w:rsidRDefault="00D80693" w:rsidP="00D80693">
      <w:pPr>
        <w:adjustRightInd w:val="0"/>
        <w:jc w:val="both"/>
        <w:rPr>
          <w:rFonts w:eastAsia="Calibri"/>
          <w:iCs/>
          <w:color w:val="000000"/>
          <w:sz w:val="24"/>
          <w:szCs w:val="24"/>
          <w:lang w:eastAsia="fr-FR"/>
        </w:rPr>
      </w:pPr>
    </w:p>
    <w:p w14:paraId="54D2226F" w14:textId="77777777" w:rsidR="00D80693" w:rsidRPr="008663F6" w:rsidRDefault="00D80693" w:rsidP="00D80693">
      <w:pPr>
        <w:adjustRightInd w:val="0"/>
        <w:spacing w:line="360" w:lineRule="auto"/>
        <w:rPr>
          <w:rFonts w:eastAsia="Calibri"/>
          <w:b/>
          <w:bCs/>
          <w:color w:val="000000"/>
          <w:sz w:val="28"/>
          <w:szCs w:val="28"/>
          <w:lang w:val="en-US"/>
        </w:rPr>
      </w:pPr>
      <w:r w:rsidRPr="008663F6">
        <w:rPr>
          <w:rFonts w:eastAsia="Calibri"/>
          <w:b/>
          <w:bCs/>
          <w:color w:val="000000"/>
          <w:sz w:val="28"/>
          <w:szCs w:val="28"/>
          <w:lang w:val="en-US"/>
        </w:rPr>
        <w:t>Abstract</w:t>
      </w:r>
    </w:p>
    <w:p w14:paraId="1C7FE12E" w14:textId="77777777" w:rsidR="00D80693" w:rsidRDefault="00D80693" w:rsidP="00D80693">
      <w:pPr>
        <w:adjustRightInd w:val="0"/>
        <w:jc w:val="both"/>
        <w:rPr>
          <w:rFonts w:eastAsia="Calibri"/>
          <w:color w:val="000000"/>
          <w:sz w:val="24"/>
          <w:szCs w:val="24"/>
          <w:lang w:val="en-US"/>
        </w:rPr>
      </w:pPr>
      <w:r w:rsidRPr="008663F6">
        <w:rPr>
          <w:rFonts w:eastAsia="Calibri"/>
          <w:color w:val="000000"/>
          <w:sz w:val="24"/>
          <w:szCs w:val="24"/>
          <w:lang w:val="en-US"/>
        </w:rPr>
        <w:t xml:space="preserve">The study examines the relationship between the type of educational institution, socioeconomic conditions, and psychological distress among 92 teachers in </w:t>
      </w:r>
      <w:proofErr w:type="spellStart"/>
      <w:r w:rsidRPr="008663F6">
        <w:rPr>
          <w:rFonts w:eastAsia="Calibri"/>
          <w:color w:val="000000"/>
          <w:sz w:val="24"/>
          <w:szCs w:val="24"/>
          <w:lang w:val="en-US"/>
        </w:rPr>
        <w:t>Koumassi</w:t>
      </w:r>
      <w:proofErr w:type="spellEnd"/>
      <w:r w:rsidRPr="008663F6">
        <w:rPr>
          <w:rFonts w:eastAsia="Calibri"/>
          <w:color w:val="000000"/>
          <w:sz w:val="24"/>
          <w:szCs w:val="24"/>
          <w:lang w:val="en-US"/>
        </w:rPr>
        <w:t>, Abidjan, assessed using the Kessler scale (K6). According to the results, one-third (33/92) of the teachers experience severe psychological distress, characterized by nervousness, despair, and agitation. Private school teachers show more severe psychological distress than those in public schools, and socioeconomically disadvantaged private school teachers experience more severe psychological distress than their socioeconomically advantaged public school counterparts. These results suggest that to understand psychological distress among teachers, their treatment by their institution and their working socioeconomic conditions must be considered. These results confirm Lewin's psychological field theory (1951). The study proposes that to prevent severe psychological distress, particularly for private school teachers, they need more autonomy in their duties, a reevaluated salary paid regularly in a single sequence and within a reasonable time frame.</w:t>
      </w:r>
    </w:p>
    <w:p w14:paraId="558D2CCC" w14:textId="77777777" w:rsidR="0016777C" w:rsidRPr="008663F6" w:rsidRDefault="0016777C" w:rsidP="00D80693">
      <w:pPr>
        <w:adjustRightInd w:val="0"/>
        <w:jc w:val="both"/>
        <w:rPr>
          <w:rFonts w:eastAsia="Calibri"/>
          <w:color w:val="000000"/>
          <w:sz w:val="24"/>
          <w:szCs w:val="24"/>
          <w:lang w:val="en-US"/>
        </w:rPr>
      </w:pPr>
    </w:p>
    <w:p w14:paraId="70EE67EB" w14:textId="77777777" w:rsidR="00D80693" w:rsidRPr="008663F6" w:rsidRDefault="00D80693" w:rsidP="00D80693">
      <w:pPr>
        <w:adjustRightInd w:val="0"/>
        <w:jc w:val="both"/>
        <w:rPr>
          <w:rFonts w:eastAsia="Calibri"/>
          <w:color w:val="000000"/>
          <w:sz w:val="24"/>
          <w:szCs w:val="24"/>
          <w:lang w:val="en-US"/>
        </w:rPr>
      </w:pPr>
      <w:r w:rsidRPr="0016777C">
        <w:rPr>
          <w:rFonts w:eastAsia="Calibri"/>
          <w:b/>
          <w:bCs/>
          <w:color w:val="000000"/>
          <w:sz w:val="24"/>
          <w:szCs w:val="24"/>
          <w:lang w:val="en-US"/>
        </w:rPr>
        <w:t>Keywords:</w:t>
      </w:r>
      <w:r w:rsidRPr="008663F6">
        <w:rPr>
          <w:rFonts w:eastAsia="Calibri"/>
          <w:color w:val="000000"/>
          <w:sz w:val="24"/>
          <w:szCs w:val="24"/>
          <w:lang w:val="en-US"/>
        </w:rPr>
        <w:t xml:space="preserve"> educational institution – socioeconomic conditions – mental health – psychological distress – teacher.</w:t>
      </w:r>
    </w:p>
    <w:p w14:paraId="6C7E23E1" w14:textId="77777777" w:rsidR="0016777C" w:rsidRPr="001928FA" w:rsidRDefault="0016777C">
      <w:pPr>
        <w:rPr>
          <w:rFonts w:eastAsiaTheme="minorHAnsi"/>
          <w:b/>
          <w:bCs/>
          <w:sz w:val="28"/>
          <w:szCs w:val="28"/>
          <w:lang w:val="en-US"/>
        </w:rPr>
      </w:pPr>
      <w:r w:rsidRPr="001928FA">
        <w:rPr>
          <w:rFonts w:eastAsiaTheme="minorHAnsi"/>
          <w:b/>
          <w:bCs/>
          <w:sz w:val="28"/>
          <w:szCs w:val="28"/>
          <w:lang w:val="en-US"/>
        </w:rPr>
        <w:br w:type="page"/>
      </w:r>
    </w:p>
    <w:p w14:paraId="051583C8" w14:textId="645D5B22" w:rsidR="00D80693" w:rsidRPr="003039D5" w:rsidRDefault="00D80693" w:rsidP="0016777C">
      <w:pPr>
        <w:spacing w:before="120"/>
        <w:jc w:val="both"/>
        <w:rPr>
          <w:rFonts w:eastAsia="Calibri"/>
          <w:b/>
          <w:bCs/>
          <w:sz w:val="28"/>
          <w:szCs w:val="28"/>
        </w:rPr>
      </w:pPr>
      <w:r w:rsidRPr="003039D5">
        <w:rPr>
          <w:rFonts w:eastAsiaTheme="minorHAnsi"/>
          <w:b/>
          <w:bCs/>
          <w:sz w:val="28"/>
          <w:szCs w:val="28"/>
        </w:rPr>
        <w:t>Introduction</w:t>
      </w:r>
    </w:p>
    <w:p w14:paraId="256D483B" w14:textId="77777777" w:rsidR="00D80693" w:rsidRPr="003039D5" w:rsidRDefault="00D80693" w:rsidP="0016777C">
      <w:pPr>
        <w:spacing w:before="120"/>
        <w:jc w:val="both"/>
        <w:rPr>
          <w:rFonts w:eastAsia="Calibri"/>
          <w:sz w:val="24"/>
          <w:szCs w:val="24"/>
        </w:rPr>
      </w:pPr>
      <w:r w:rsidRPr="008F02E0">
        <w:rPr>
          <w:rFonts w:eastAsiaTheme="minorHAnsi"/>
          <w:sz w:val="24"/>
          <w:szCs w:val="24"/>
        </w:rPr>
        <w:t>Au regard de l’impact que l’éducation-formation des citoyens a sur l’amélioration de l’Indice du Développement Humain, l’Etat de Côte d’Ivoire a instauré, dès la rentrée scolaire 2015-2016, la politique de l’obligation scolaire pour offrir les mêmes chances de réussite à tous les enfants de 6 à 16 ans (</w:t>
      </w:r>
      <w:proofErr w:type="spellStart"/>
      <w:r w:rsidRPr="008F02E0">
        <w:rPr>
          <w:rFonts w:eastAsiaTheme="minorHAnsi"/>
          <w:sz w:val="24"/>
          <w:szCs w:val="24"/>
        </w:rPr>
        <w:t>Igena</w:t>
      </w:r>
      <w:proofErr w:type="spellEnd"/>
      <w:r w:rsidRPr="008F02E0">
        <w:rPr>
          <w:rFonts w:eastAsiaTheme="minorHAnsi"/>
          <w:sz w:val="24"/>
          <w:szCs w:val="24"/>
        </w:rPr>
        <w:t>, 2021). Or, il semble qu’avec cette initiative, la qualité fait défaut au niveau des acquis scolaires primaires en Côte d’Ivoire. A en croire la publication en 2021 du dernier rapport du « Programme d’analyse des systèmes éducatifs de la Conférence des</w:t>
      </w:r>
      <w:r w:rsidRPr="003039D5">
        <w:rPr>
          <w:rFonts w:asciiTheme="minorHAnsi" w:eastAsiaTheme="minorHAnsi" w:hAnsiTheme="minorHAnsi" w:cstheme="minorBidi"/>
        </w:rPr>
        <w:t xml:space="preserve"> </w:t>
      </w:r>
      <w:r w:rsidRPr="003039D5">
        <w:rPr>
          <w:rFonts w:eastAsiaTheme="minorHAnsi"/>
          <w:sz w:val="24"/>
          <w:szCs w:val="24"/>
        </w:rPr>
        <w:t>ministres de l’éducation des Etats et gouvernements de la Francophonie » (PASEC), la Côte d’Ivoire est classée à l’avant dernier rang sur les 14 pays ayant participé à l’évaluation des acquis scolaires primaires en Afrique subsaharienne francophone.</w:t>
      </w:r>
    </w:p>
    <w:p w14:paraId="6C78B83A" w14:textId="77777777" w:rsidR="00D80693" w:rsidRPr="003039D5" w:rsidRDefault="00D80693" w:rsidP="0016777C">
      <w:pPr>
        <w:spacing w:before="120"/>
        <w:jc w:val="both"/>
        <w:rPr>
          <w:rFonts w:eastAsia="Calibri"/>
          <w:sz w:val="24"/>
          <w:szCs w:val="24"/>
        </w:rPr>
      </w:pPr>
      <w:r w:rsidRPr="003039D5">
        <w:rPr>
          <w:rFonts w:eastAsiaTheme="minorHAnsi"/>
          <w:sz w:val="24"/>
          <w:szCs w:val="24"/>
        </w:rPr>
        <w:t>Pour relever ce niveau, les regards semblent désormais tournés vers les instituteurs qui travaillent déjà sous pression. En effet, diverses compétences professionnelles sont déterminantes pour l’accomplissement des multiples tâches liées à la profession de l’enseignant du primaire. Au nombre de ces tâches, on peut citer le fait de planifier et de préparer les cours, d’évaluer le rendement des élèves, de participer aux activités de perfectionnement, d’acquérir constamment de nouvelles habiletés et pratiques, de gérer les interactions avec les différents acteurs tels que les élèves, les parents, la direction, les collègues, le personnel non enseignant, etc., (Tardif &amp; Lessard, 1999).</w:t>
      </w:r>
    </w:p>
    <w:p w14:paraId="6E407D22" w14:textId="77777777" w:rsidR="00D80693" w:rsidRPr="003039D5" w:rsidRDefault="00D80693" w:rsidP="0016777C">
      <w:pPr>
        <w:spacing w:before="120"/>
        <w:jc w:val="both"/>
        <w:rPr>
          <w:rFonts w:eastAsia="Calibri"/>
          <w:sz w:val="24"/>
          <w:szCs w:val="24"/>
        </w:rPr>
      </w:pPr>
      <w:r w:rsidRPr="003039D5">
        <w:rPr>
          <w:rFonts w:eastAsiaTheme="minorHAnsi"/>
          <w:sz w:val="24"/>
          <w:szCs w:val="24"/>
        </w:rPr>
        <w:t>En Côte d’Ivoire particulièrement, la DMOSS (Direction de la mutualité et des œuvres sociales en milieu scolaire) rapporte que 5 718 enseignants ont dû sortir des classes pour un « congé maladie » de longue durées (environ 3 à 6 mois) de 2005 à 2013 pour des maladies diverses, et dont un tiers (c’est-à-dire 1 953 enseignants) pour des problèmes de santé mentale. Ainsi, sur une période de moins de 10 ans, près de six milliers d’enseignants, rien que du secteur public seulement, ont arrêté le travail pour des problèmes de santé aussi bien physique que mentale. Cette situation impose qu’on accorde une place de choix à la santé aussi bien physique que mentale des enseignants du primaire si l’on veut qu’ils jouent d’une manière efficiente leur rôle.</w:t>
      </w:r>
      <w:r>
        <w:rPr>
          <w:rFonts w:eastAsiaTheme="minorHAnsi"/>
          <w:sz w:val="24"/>
          <w:szCs w:val="24"/>
        </w:rPr>
        <w:t xml:space="preserve"> </w:t>
      </w:r>
      <w:r w:rsidRPr="003039D5">
        <w:rPr>
          <w:rFonts w:eastAsiaTheme="minorHAnsi"/>
          <w:sz w:val="24"/>
          <w:szCs w:val="24"/>
        </w:rPr>
        <w:t>Pourtant, les stratégies gouvernementales de santé publique de bon nombre de pays dont la Côte d’Ivoire, ont toujours été centrées sur la santé physique, reléguant à un niveau négligeable la santé mentale (Association québécoise pour la réadaptation psychosociale [AQRP], 2011). C’est cette réalité que l’Organisation mondiale de la santé décrie lorsqu’elle affirme que « Malheureusement, dans la plupart des régions du monde, la santé mentale n’est pas considérée, tant s’en faut, comme aussi importante que la santé physique. De fait, elle a été largement ignorée ou négligée » (OMS, 2001, p. 3). Alors que dans la pratique, les problèmes de santé mentale constituent un véritable fléau au niveau mondial.</w:t>
      </w:r>
    </w:p>
    <w:p w14:paraId="3B0D6921" w14:textId="77777777" w:rsidR="00D80693" w:rsidRPr="003039D5" w:rsidRDefault="00D80693" w:rsidP="0016777C">
      <w:pPr>
        <w:spacing w:before="120"/>
        <w:jc w:val="both"/>
        <w:rPr>
          <w:rFonts w:eastAsia="Calibri"/>
          <w:sz w:val="24"/>
          <w:szCs w:val="24"/>
        </w:rPr>
      </w:pPr>
      <w:r w:rsidRPr="003039D5">
        <w:rPr>
          <w:rFonts w:eastAsiaTheme="minorHAnsi"/>
          <w:sz w:val="24"/>
          <w:szCs w:val="24"/>
        </w:rPr>
        <w:t xml:space="preserve">En effet, en 1990, ces problèmes représentaient 11% du fardeau de l’ensemble des maladies, et l’OMS (op. </w:t>
      </w:r>
      <w:proofErr w:type="spellStart"/>
      <w:proofErr w:type="gramStart"/>
      <w:r w:rsidRPr="003039D5">
        <w:rPr>
          <w:rFonts w:eastAsiaTheme="minorHAnsi"/>
          <w:sz w:val="24"/>
          <w:szCs w:val="24"/>
        </w:rPr>
        <w:t>cit</w:t>
      </w:r>
      <w:proofErr w:type="spellEnd"/>
      <w:proofErr w:type="gramEnd"/>
      <w:r w:rsidRPr="003039D5">
        <w:rPr>
          <w:rFonts w:eastAsiaTheme="minorHAnsi"/>
          <w:sz w:val="24"/>
          <w:szCs w:val="24"/>
        </w:rPr>
        <w:t>.) prévoyait déjà que ce taux s’élèverait à 15% en 2020. On estime qu’une personne sur quatre va vivre un ou plusieurs problèmes de santé mentale au cours de sa vie (Murray &amp; Lopez, 1996). Les coûts sociaux et économiques liés à la santé mentale sont considérables (Belfer, 2008). Au Canada, par exemple, où chaque jour environ 500 000 personnes s’absentent de leur travail à cause de problèmes de santé mentale (Association pour la santé publique du Québec [ASPQ], 2011), on évalue à 33 milliards de dollars les dépenses encourues annuellement pour la perte de productivité attribuable aux troubles mentaux (Bender &amp; al., 2002 ; Comité sénatorial permanent des affaires sociales, 2006 ; Commission de la santé mentale du Canada, 2010). Aux Etats-Unis, ces coûts se chiffreraient déjà dans les années « 1980-1990 » à 150 milliards de dollars (Karasek &amp; Theorell, 1990). En Europe, le coût engendré par les troubles de santé mentale s’élève à plus de 600 milliards d’euros par an, et particulièrement en France à 80 milliards d’euros par an selon l’Organisation de Coopération et de Développement Economiques (OCDE, 2018).</w:t>
      </w:r>
    </w:p>
    <w:p w14:paraId="0C86E07F" w14:textId="77777777" w:rsidR="00D80693" w:rsidRPr="003039D5" w:rsidRDefault="00D80693" w:rsidP="0016777C">
      <w:pPr>
        <w:spacing w:before="120"/>
        <w:jc w:val="both"/>
        <w:rPr>
          <w:rFonts w:eastAsia="Calibri"/>
          <w:sz w:val="24"/>
          <w:szCs w:val="24"/>
        </w:rPr>
      </w:pPr>
      <w:r w:rsidRPr="003039D5">
        <w:rPr>
          <w:rFonts w:eastAsiaTheme="minorHAnsi"/>
          <w:sz w:val="24"/>
          <w:szCs w:val="24"/>
        </w:rPr>
        <w:t>Dans un rapport sur le fardeau économique de la maladie mentale, l’OMS (2012) a noté que ces pathologies et les troubles du comportement représentent 26% du temps perdu au travail</w:t>
      </w:r>
      <w:r w:rsidRPr="003039D5">
        <w:rPr>
          <w:rFonts w:asciiTheme="minorHAnsi" w:eastAsiaTheme="minorHAnsi" w:hAnsiTheme="minorHAnsi" w:cstheme="minorBidi"/>
        </w:rPr>
        <w:t xml:space="preserve"> </w:t>
      </w:r>
      <w:r w:rsidRPr="003039D5">
        <w:rPr>
          <w:rFonts w:eastAsiaTheme="minorHAnsi"/>
          <w:sz w:val="24"/>
          <w:szCs w:val="24"/>
        </w:rPr>
        <w:t>dans le monde plus que tout autre type de maladie. Ce sont autant d’éléments qui laissent supposer que les besoins des populations en soins de santé mentale ont considérablement augmenté et que ce fléau représente un lourd fardeau économique, humain et social à travers le monde (St Onge, 2012). Pourtant la plupart des pays à revenu faible ou intermédiaire consacrent moins d’1% de leur budget de santé au traitement des troubles mentaux (De Putter &amp; Manlan, 2020). Dans le même sens, la majorité des pays africains compte un psychiatre pour 500 000 habitants, au lieu d’un psychiatre pour 5000 personnes comme recommandé par l’OMS.</w:t>
      </w:r>
    </w:p>
    <w:p w14:paraId="2D5F22E2" w14:textId="77777777" w:rsidR="00D80693" w:rsidRPr="003039D5" w:rsidRDefault="00D80693" w:rsidP="0016777C">
      <w:pPr>
        <w:spacing w:before="120"/>
        <w:jc w:val="both"/>
        <w:rPr>
          <w:rFonts w:eastAsia="Calibri"/>
          <w:sz w:val="24"/>
          <w:szCs w:val="24"/>
        </w:rPr>
      </w:pPr>
      <w:r w:rsidRPr="003039D5">
        <w:rPr>
          <w:rFonts w:eastAsiaTheme="minorHAnsi"/>
          <w:sz w:val="24"/>
          <w:szCs w:val="24"/>
        </w:rPr>
        <w:t>En Côte d’Ivoire particulièrement, à l’occasion de l’ouverture, le 6 mars 2017 à Abidjan, des travaux couplés du 2e congrès international de la Société africaine de santé mentale (</w:t>
      </w:r>
      <w:proofErr w:type="spellStart"/>
      <w:r w:rsidRPr="003039D5">
        <w:rPr>
          <w:rFonts w:eastAsiaTheme="minorHAnsi"/>
          <w:sz w:val="24"/>
          <w:szCs w:val="24"/>
        </w:rPr>
        <w:t>Sasm</w:t>
      </w:r>
      <w:proofErr w:type="spellEnd"/>
      <w:r w:rsidRPr="003039D5">
        <w:rPr>
          <w:rFonts w:eastAsiaTheme="minorHAnsi"/>
          <w:sz w:val="24"/>
          <w:szCs w:val="24"/>
        </w:rPr>
        <w:t>) et du 4e congrès de la Société de psychiatrie de Côte d’Ivoire (</w:t>
      </w:r>
      <w:proofErr w:type="spellStart"/>
      <w:r w:rsidRPr="003039D5">
        <w:rPr>
          <w:rFonts w:eastAsiaTheme="minorHAnsi"/>
          <w:sz w:val="24"/>
          <w:szCs w:val="24"/>
        </w:rPr>
        <w:t>Spci</w:t>
      </w:r>
      <w:proofErr w:type="spellEnd"/>
      <w:r w:rsidRPr="003039D5">
        <w:rPr>
          <w:rFonts w:eastAsiaTheme="minorHAnsi"/>
          <w:sz w:val="24"/>
          <w:szCs w:val="24"/>
        </w:rPr>
        <w:t>), la ministre de la Santé et de l’Hygiène publique Raymonde Goudou-Coffie a relevé que seulement 25,3% des 83 districts sanitaires disposent d’un service offrant des soins de santé mentale tout en insistant sur l’insuffisance de services et de spécialistes en santé mentale en Côte d’Ivoire. Elle a aussi mentionné dans les ratios, qu’il y a un pédopsychiatre pour 1 446 enfants et adolescents, un psychiatre pour 338 300 personnes, un infirmier spécialisé pour 276 433 personnes.</w:t>
      </w:r>
      <w:r>
        <w:rPr>
          <w:rFonts w:eastAsiaTheme="minorHAnsi"/>
          <w:sz w:val="24"/>
          <w:szCs w:val="24"/>
        </w:rPr>
        <w:t xml:space="preserve"> </w:t>
      </w:r>
      <w:r w:rsidRPr="003039D5">
        <w:rPr>
          <w:rFonts w:eastAsiaTheme="minorHAnsi"/>
          <w:sz w:val="24"/>
          <w:szCs w:val="24"/>
        </w:rPr>
        <w:t>Devant cette situation, la réalité est que les traitements disponibles dans le domaine de la santé mentale ne réussissent pas à contenir le nombre de nouveaux cas de troubles mentaux dans la population. Les taux de mortalité standardisée des personnes atteintes de troubles de santé mentale sont de quatre à six fois supérieurs à ceux de la population générale (Meloni, Miccinesi, Bencini, Conte, Crocetti, Zappa &amp; Ferrara, 2006).</w:t>
      </w:r>
    </w:p>
    <w:p w14:paraId="35C9FB2A" w14:textId="77777777" w:rsidR="00D80693" w:rsidRDefault="00D80693" w:rsidP="0016777C">
      <w:pPr>
        <w:spacing w:before="120"/>
        <w:jc w:val="both"/>
        <w:rPr>
          <w:rFonts w:eastAsia="Calibri"/>
          <w:sz w:val="24"/>
          <w:szCs w:val="24"/>
        </w:rPr>
      </w:pPr>
      <w:r w:rsidRPr="003039D5">
        <w:rPr>
          <w:rFonts w:eastAsiaTheme="minorHAnsi"/>
          <w:sz w:val="24"/>
          <w:szCs w:val="24"/>
        </w:rPr>
        <w:t>Fort de ce constat, plusieurs chercheurs dans le domaine de la santé recommandent que la prise en compte de la santé mentale ne soit pas négligeable dans la politique de santé publique dans la mesure où « la santé mentale constitue présentement une priorité de santé publique (</w:t>
      </w:r>
      <w:proofErr w:type="spellStart"/>
      <w:r w:rsidRPr="003039D5">
        <w:rPr>
          <w:rFonts w:eastAsiaTheme="minorHAnsi"/>
          <w:sz w:val="24"/>
          <w:szCs w:val="24"/>
        </w:rPr>
        <w:t>Kairouz</w:t>
      </w:r>
      <w:proofErr w:type="spellEnd"/>
      <w:r w:rsidRPr="003039D5">
        <w:rPr>
          <w:rFonts w:eastAsiaTheme="minorHAnsi"/>
          <w:sz w:val="24"/>
          <w:szCs w:val="24"/>
        </w:rPr>
        <w:t xml:space="preserve"> &amp; Demers, 2003, p.185). Dans cette optique, Pr Arouna Ouédraogo, Président de la ‘‘</w:t>
      </w:r>
      <w:proofErr w:type="spellStart"/>
      <w:r w:rsidRPr="003039D5">
        <w:rPr>
          <w:rFonts w:eastAsiaTheme="minorHAnsi"/>
          <w:sz w:val="24"/>
          <w:szCs w:val="24"/>
        </w:rPr>
        <w:t>Sasm</w:t>
      </w:r>
      <w:proofErr w:type="spellEnd"/>
      <w:r w:rsidRPr="003039D5">
        <w:rPr>
          <w:rFonts w:eastAsiaTheme="minorHAnsi"/>
          <w:sz w:val="24"/>
          <w:szCs w:val="24"/>
        </w:rPr>
        <w:t>’’, a plaidé lors du 2e congrès international de ladite structure qu’une attention particulière soit accordée à la santé mentale afin que nos sociétés se développent en s’humanisant. Il importe donc que la question de santé mentale occupe une place prépondérante dans les stratégies gouvernementales de santé publique. Dans cette optique, la définition de la santé mentale mérite d’être examinée.</w:t>
      </w:r>
    </w:p>
    <w:p w14:paraId="20B5438A" w14:textId="77777777" w:rsidR="00D80693" w:rsidRDefault="00D80693" w:rsidP="0016777C">
      <w:pPr>
        <w:spacing w:before="120"/>
        <w:jc w:val="both"/>
        <w:rPr>
          <w:rFonts w:eastAsia="Calibri"/>
          <w:sz w:val="24"/>
          <w:szCs w:val="24"/>
        </w:rPr>
      </w:pPr>
      <w:r w:rsidRPr="003039D5">
        <w:rPr>
          <w:rFonts w:eastAsiaTheme="minorHAnsi"/>
          <w:sz w:val="24"/>
          <w:szCs w:val="24"/>
        </w:rPr>
        <w:t>La santé mentale renvoie à l’état psychologique permettant de se réaliser, faire face victorieusement aux difficultés habituelles de la vie, accomplir un travail productif et fructueux et participer à la vie de sa communauté (OMS, 2001). C’est l’état psychologique qui sous-tend l’équilibre dynamique existant entre l’organisme et son milieu. Dans ce contexte, l’individu capable de résoudre ses conflits (d’origine interne et externe) et de résister aux frustrations inévitables de la vie sociale est en bonne santé. Celui qui n’y parvient pas décompense Les symptômes névrotiques sont l’expression d’une résolution inadéquate des tensions, tandis que les psychoses signent la faillite de l’adaptation au monde normal (</w:t>
      </w:r>
      <w:proofErr w:type="spellStart"/>
      <w:r w:rsidRPr="003039D5">
        <w:rPr>
          <w:rFonts w:eastAsiaTheme="minorHAnsi"/>
          <w:sz w:val="24"/>
          <w:szCs w:val="24"/>
        </w:rPr>
        <w:t>Sillamy</w:t>
      </w:r>
      <w:proofErr w:type="spellEnd"/>
      <w:r w:rsidRPr="003039D5">
        <w:rPr>
          <w:rFonts w:eastAsiaTheme="minorHAnsi"/>
          <w:sz w:val="24"/>
          <w:szCs w:val="24"/>
        </w:rPr>
        <w:t>, 2006). La santé mentale se définit donc comme l’état d’équilibre psychique qui s’étend d’un pôle positif, caractérisé par le bien-être psychologique, à un pôle négatif, caractérisé par la détresse psychologique (Pelletier, 2005). Le pôle négatif est plus utile pour estimer les problèmes et évaluer les traitements (Bariault &amp; al., 1985). C’est pourquoi, la recherche porte davantage sur les difficultés éprouvées par le personnel enseignant afin d’y trouver des solutions (</w:t>
      </w:r>
      <w:proofErr w:type="spellStart"/>
      <w:r w:rsidRPr="003039D5">
        <w:rPr>
          <w:rFonts w:eastAsiaTheme="minorHAnsi"/>
          <w:sz w:val="24"/>
          <w:szCs w:val="24"/>
        </w:rPr>
        <w:t>Vlasie</w:t>
      </w:r>
      <w:proofErr w:type="spellEnd"/>
      <w:r w:rsidRPr="003039D5">
        <w:rPr>
          <w:rFonts w:eastAsiaTheme="minorHAnsi"/>
          <w:sz w:val="24"/>
          <w:szCs w:val="24"/>
        </w:rPr>
        <w:t>, 2021).</w:t>
      </w:r>
    </w:p>
    <w:p w14:paraId="64ECD155" w14:textId="77777777" w:rsidR="00D80693" w:rsidRPr="000537AE" w:rsidRDefault="00D80693" w:rsidP="0016777C">
      <w:pPr>
        <w:spacing w:before="120"/>
        <w:jc w:val="both"/>
        <w:rPr>
          <w:rFonts w:eastAsia="Calibri"/>
          <w:sz w:val="24"/>
          <w:szCs w:val="24"/>
        </w:rPr>
      </w:pPr>
      <w:r w:rsidRPr="000537AE">
        <w:rPr>
          <w:rFonts w:eastAsiaTheme="minorHAnsi"/>
          <w:sz w:val="24"/>
          <w:szCs w:val="24"/>
        </w:rPr>
        <w:t xml:space="preserve">La notion d’atteinte à la santé mentale recouvre un vaste champ qui part de la maladie psychiatrique au mal-être </w:t>
      </w:r>
      <w:r>
        <w:rPr>
          <w:rFonts w:eastAsiaTheme="minorHAnsi"/>
          <w:sz w:val="24"/>
          <w:szCs w:val="24"/>
        </w:rPr>
        <w:t>« </w:t>
      </w:r>
      <w:r w:rsidRPr="000537AE">
        <w:rPr>
          <w:rFonts w:eastAsiaTheme="minorHAnsi"/>
          <w:sz w:val="24"/>
          <w:szCs w:val="24"/>
        </w:rPr>
        <w:t>réduction du bien-être psychologique, souffrance psychique</w:t>
      </w:r>
      <w:r>
        <w:rPr>
          <w:rFonts w:eastAsiaTheme="minorHAnsi"/>
          <w:sz w:val="24"/>
          <w:szCs w:val="24"/>
        </w:rPr>
        <w:t> »</w:t>
      </w:r>
      <w:r w:rsidRPr="000537AE">
        <w:rPr>
          <w:rFonts w:eastAsiaTheme="minorHAnsi"/>
          <w:sz w:val="24"/>
          <w:szCs w:val="24"/>
        </w:rPr>
        <w:t xml:space="preserve"> (Conne-</w:t>
      </w:r>
      <w:proofErr w:type="spellStart"/>
      <w:r w:rsidRPr="000537AE">
        <w:rPr>
          <w:rFonts w:eastAsiaTheme="minorHAnsi"/>
          <w:sz w:val="24"/>
          <w:szCs w:val="24"/>
        </w:rPr>
        <w:t>Perréard</w:t>
      </w:r>
      <w:proofErr w:type="spellEnd"/>
      <w:r w:rsidRPr="000537AE">
        <w:rPr>
          <w:rFonts w:eastAsiaTheme="minorHAnsi"/>
          <w:sz w:val="24"/>
          <w:szCs w:val="24"/>
        </w:rPr>
        <w:t xml:space="preserve">, Glardon, </w:t>
      </w:r>
      <w:proofErr w:type="spellStart"/>
      <w:r w:rsidRPr="000537AE">
        <w:rPr>
          <w:rFonts w:eastAsiaTheme="minorHAnsi"/>
          <w:sz w:val="24"/>
          <w:szCs w:val="24"/>
        </w:rPr>
        <w:t>Parrat</w:t>
      </w:r>
      <w:proofErr w:type="spellEnd"/>
      <w:r w:rsidRPr="000537AE">
        <w:rPr>
          <w:rFonts w:eastAsiaTheme="minorHAnsi"/>
          <w:sz w:val="24"/>
          <w:szCs w:val="24"/>
        </w:rPr>
        <w:t xml:space="preserve"> &amp; </w:t>
      </w:r>
      <w:proofErr w:type="spellStart"/>
      <w:r w:rsidRPr="000537AE">
        <w:rPr>
          <w:rFonts w:eastAsiaTheme="minorHAnsi"/>
          <w:sz w:val="24"/>
          <w:szCs w:val="24"/>
        </w:rPr>
        <w:t>Usel</w:t>
      </w:r>
      <w:proofErr w:type="spellEnd"/>
      <w:r w:rsidRPr="000537AE">
        <w:rPr>
          <w:rFonts w:eastAsiaTheme="minorHAnsi"/>
          <w:sz w:val="24"/>
          <w:szCs w:val="24"/>
        </w:rPr>
        <w:t>, 2001).</w:t>
      </w:r>
      <w:r>
        <w:rPr>
          <w:rFonts w:eastAsiaTheme="minorHAnsi"/>
          <w:sz w:val="24"/>
          <w:szCs w:val="24"/>
        </w:rPr>
        <w:t xml:space="preserve"> </w:t>
      </w:r>
      <w:r w:rsidRPr="000537AE">
        <w:rPr>
          <w:rFonts w:eastAsiaTheme="minorHAnsi"/>
          <w:sz w:val="24"/>
          <w:szCs w:val="24"/>
        </w:rPr>
        <w:t>Les symptômes des problèmes de santé mentale varient donc de légers à sévères (</w:t>
      </w:r>
      <w:proofErr w:type="spellStart"/>
      <w:r w:rsidRPr="000537AE">
        <w:rPr>
          <w:rFonts w:eastAsiaTheme="minorHAnsi"/>
          <w:sz w:val="24"/>
          <w:szCs w:val="24"/>
        </w:rPr>
        <w:t>Dissez</w:t>
      </w:r>
      <w:proofErr w:type="spellEnd"/>
      <w:r w:rsidRPr="000537AE">
        <w:rPr>
          <w:rFonts w:eastAsiaTheme="minorHAnsi"/>
          <w:sz w:val="24"/>
          <w:szCs w:val="24"/>
        </w:rPr>
        <w:t>, 2006). Cela veut dire que certains problèmes de santé mentale sont dits pathologiques et se classent sous la dimension des maladies mentales, alors que d’autres, considérés comme non pathologiques, sont renfermés sous la dimension de détresse psychologique. Ces derniers constituent un ensemble d’émotions négatives dont l’état de gravité et sa manifestation pendant longtemps sont susceptibles d’être liés à des symptômes de troubles pathologiques (Institut de la Statistique du Québec, 2016).</w:t>
      </w:r>
    </w:p>
    <w:p w14:paraId="6C279FAA" w14:textId="77777777" w:rsidR="00D80693" w:rsidRPr="000537AE" w:rsidRDefault="00D80693" w:rsidP="0016777C">
      <w:pPr>
        <w:spacing w:before="120"/>
        <w:jc w:val="both"/>
        <w:rPr>
          <w:rFonts w:eastAsia="Calibri"/>
          <w:sz w:val="24"/>
          <w:szCs w:val="24"/>
        </w:rPr>
      </w:pPr>
      <w:r w:rsidRPr="000537AE">
        <w:rPr>
          <w:rFonts w:eastAsiaTheme="minorHAnsi"/>
          <w:sz w:val="24"/>
          <w:szCs w:val="24"/>
        </w:rPr>
        <w:t xml:space="preserve">En tant qu’indicateur de l’état global de santé mentale d’une personne (McVeigh, </w:t>
      </w:r>
      <w:proofErr w:type="spellStart"/>
      <w:r w:rsidRPr="000537AE">
        <w:rPr>
          <w:rFonts w:eastAsiaTheme="minorHAnsi"/>
          <w:sz w:val="24"/>
          <w:szCs w:val="24"/>
        </w:rPr>
        <w:t>Galéa</w:t>
      </w:r>
      <w:proofErr w:type="spellEnd"/>
      <w:r w:rsidRPr="000537AE">
        <w:rPr>
          <w:rFonts w:eastAsiaTheme="minorHAnsi"/>
          <w:sz w:val="24"/>
          <w:szCs w:val="24"/>
        </w:rPr>
        <w:t xml:space="preserve">, Thorpe, Maulsby, Henning &amp; </w:t>
      </w:r>
      <w:proofErr w:type="spellStart"/>
      <w:r w:rsidRPr="000537AE">
        <w:rPr>
          <w:rFonts w:eastAsiaTheme="minorHAnsi"/>
          <w:sz w:val="24"/>
          <w:szCs w:val="24"/>
        </w:rPr>
        <w:t>Sederer</w:t>
      </w:r>
      <w:proofErr w:type="spellEnd"/>
      <w:r w:rsidRPr="000537AE">
        <w:rPr>
          <w:rFonts w:eastAsiaTheme="minorHAnsi"/>
          <w:sz w:val="24"/>
          <w:szCs w:val="24"/>
        </w:rPr>
        <w:t xml:space="preserve">, 2006), la détresse psychologique fait référence à une phase pré-pathologique, c’est-à-dire qu’elle peut conduire à une affection pathologique de la santé mentale telle que l’anxiété et la dépression (Marchand, 2004). Dans ce contexte, </w:t>
      </w:r>
      <w:proofErr w:type="spellStart"/>
      <w:r w:rsidRPr="000537AE">
        <w:rPr>
          <w:rFonts w:eastAsiaTheme="minorHAnsi"/>
          <w:sz w:val="24"/>
          <w:szCs w:val="24"/>
        </w:rPr>
        <w:t>Tieffi</w:t>
      </w:r>
      <w:proofErr w:type="spellEnd"/>
      <w:r w:rsidRPr="000537AE">
        <w:rPr>
          <w:rFonts w:eastAsiaTheme="minorHAnsi"/>
          <w:sz w:val="24"/>
          <w:szCs w:val="24"/>
        </w:rPr>
        <w:t xml:space="preserve"> et Kouassi (2018) relèvent que les signes de la détresse psychologique peuvent s’observer sur les plans cognitif, émotionnel et comportemental.</w:t>
      </w:r>
      <w:r>
        <w:rPr>
          <w:rFonts w:eastAsiaTheme="minorHAnsi"/>
          <w:sz w:val="24"/>
          <w:szCs w:val="24"/>
        </w:rPr>
        <w:t xml:space="preserve"> </w:t>
      </w:r>
      <w:r w:rsidRPr="000537AE">
        <w:rPr>
          <w:rFonts w:eastAsiaTheme="minorHAnsi"/>
          <w:sz w:val="24"/>
          <w:szCs w:val="24"/>
        </w:rPr>
        <w:t>Au niveau cognitif, la détresse psychologique s’exprime par des difficultés à prendre des décisions, des problèmes de concentration et d’attention, des oublis, le pessimisme, des cauchemars, la méfiance. Comme signes émotifs, on peut citer l’irritabilité, l’anxiété, la dépression, la colère et l’excitabilité. La survenue d’une irritabilité anormale accompagnée d’une grande émotivité est fréquemment ressentie par les individus qui font la détresse psychologique. Les signes comportementaux comprennent les disputes, l’agressivité, les sautes d’humeur, l’isolement, le silence, les attitudes rigides, la passivité, l’abus de café, d’alcool, de drogues ou la surconsommation de médicaments (</w:t>
      </w:r>
      <w:proofErr w:type="spellStart"/>
      <w:r w:rsidRPr="000537AE">
        <w:rPr>
          <w:rFonts w:eastAsiaTheme="minorHAnsi"/>
          <w:sz w:val="24"/>
          <w:szCs w:val="24"/>
        </w:rPr>
        <w:t>Tieffi</w:t>
      </w:r>
      <w:proofErr w:type="spellEnd"/>
      <w:r w:rsidRPr="000537AE">
        <w:rPr>
          <w:rFonts w:eastAsiaTheme="minorHAnsi"/>
          <w:sz w:val="24"/>
          <w:szCs w:val="24"/>
        </w:rPr>
        <w:t xml:space="preserve"> &amp; Kouassi,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 Ces différentes catégories de signes laissent entrevoir que la détresse psychologique chez les enseignants du primaire peut être causée par divers facteurs.</w:t>
      </w:r>
    </w:p>
    <w:p w14:paraId="47252B47"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La manifestation de la détresse psychologique peut être liée aux caractéristiques individuelles telles que le sexe (</w:t>
      </w:r>
      <w:proofErr w:type="spellStart"/>
      <w:r w:rsidRPr="000537AE">
        <w:rPr>
          <w:rFonts w:eastAsiaTheme="minorHAnsi"/>
          <w:sz w:val="24"/>
          <w:szCs w:val="24"/>
        </w:rPr>
        <w:t>Magnavita</w:t>
      </w:r>
      <w:proofErr w:type="spellEnd"/>
      <w:r w:rsidRPr="000537AE">
        <w:rPr>
          <w:rFonts w:eastAsiaTheme="minorHAnsi"/>
          <w:sz w:val="24"/>
          <w:szCs w:val="24"/>
        </w:rPr>
        <w:t xml:space="preserve"> &amp; al., 2008 ; Marchand &amp; al., 2005a ; Power &amp; Eaton, 2007), l’âge (</w:t>
      </w:r>
      <w:proofErr w:type="spellStart"/>
      <w:r w:rsidRPr="000537AE">
        <w:rPr>
          <w:rFonts w:eastAsiaTheme="minorHAnsi"/>
          <w:sz w:val="24"/>
          <w:szCs w:val="24"/>
        </w:rPr>
        <w:t>Magnavita</w:t>
      </w:r>
      <w:proofErr w:type="spellEnd"/>
      <w:r w:rsidRPr="000537AE">
        <w:rPr>
          <w:rFonts w:eastAsiaTheme="minorHAnsi"/>
          <w:sz w:val="24"/>
          <w:szCs w:val="24"/>
        </w:rPr>
        <w:t xml:space="preserve"> &amp; al., op. </w:t>
      </w:r>
      <w:proofErr w:type="spellStart"/>
      <w:proofErr w:type="gramStart"/>
      <w:r w:rsidRPr="000537AE">
        <w:rPr>
          <w:rFonts w:eastAsiaTheme="minorHAnsi"/>
          <w:sz w:val="24"/>
          <w:szCs w:val="24"/>
        </w:rPr>
        <w:t>cit</w:t>
      </w:r>
      <w:proofErr w:type="spellEnd"/>
      <w:r w:rsidRPr="000537AE">
        <w:rPr>
          <w:rFonts w:eastAsiaTheme="minorHAnsi"/>
          <w:sz w:val="24"/>
          <w:szCs w:val="24"/>
        </w:rPr>
        <w:t>.;</w:t>
      </w:r>
      <w:proofErr w:type="gramEnd"/>
      <w:r w:rsidRPr="000537AE">
        <w:rPr>
          <w:rFonts w:eastAsiaTheme="minorHAnsi"/>
          <w:sz w:val="24"/>
          <w:szCs w:val="24"/>
        </w:rPr>
        <w:t xml:space="preserve"> Marchand, 2004 ; Marchand &amp; Blanc, 2010 ; Shultz &amp; al., 2010), les habitudes de vie en matière de tabagisme (Larsen &amp; </w:t>
      </w:r>
      <w:proofErr w:type="spellStart"/>
      <w:r w:rsidRPr="000537AE">
        <w:rPr>
          <w:rFonts w:eastAsiaTheme="minorHAnsi"/>
          <w:sz w:val="24"/>
          <w:szCs w:val="24"/>
        </w:rPr>
        <w:t>Prizmic</w:t>
      </w:r>
      <w:proofErr w:type="spellEnd"/>
      <w:r w:rsidRPr="000537AE">
        <w:rPr>
          <w:rFonts w:eastAsiaTheme="minorHAnsi"/>
          <w:sz w:val="24"/>
          <w:szCs w:val="24"/>
        </w:rPr>
        <w:t xml:space="preserve">, 2004 ; Marchand &amp; Blanc,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 xml:space="preserve">.) ou de consommation d’alcool (Booth &amp; al., </w:t>
      </w:r>
      <w:proofErr w:type="gramStart"/>
      <w:r w:rsidRPr="000537AE">
        <w:rPr>
          <w:rFonts w:eastAsiaTheme="minorHAnsi"/>
          <w:sz w:val="24"/>
          <w:szCs w:val="24"/>
        </w:rPr>
        <w:t>2010;</w:t>
      </w:r>
      <w:proofErr w:type="gramEnd"/>
      <w:r w:rsidRPr="000537AE">
        <w:rPr>
          <w:rFonts w:eastAsiaTheme="minorHAnsi"/>
          <w:sz w:val="24"/>
          <w:szCs w:val="24"/>
        </w:rPr>
        <w:t xml:space="preserve"> Holden &amp; al., 2010 ; Puetz, </w:t>
      </w:r>
      <w:proofErr w:type="spellStart"/>
      <w:r w:rsidRPr="000537AE">
        <w:rPr>
          <w:rFonts w:eastAsiaTheme="minorHAnsi"/>
          <w:sz w:val="24"/>
          <w:szCs w:val="24"/>
        </w:rPr>
        <w:t>O’Connor</w:t>
      </w:r>
      <w:proofErr w:type="spellEnd"/>
      <w:r w:rsidRPr="000537AE">
        <w:rPr>
          <w:rFonts w:eastAsiaTheme="minorHAnsi"/>
          <w:sz w:val="24"/>
          <w:szCs w:val="24"/>
        </w:rPr>
        <w:t xml:space="preserve"> &amp; Dishman, 2006 ; Sonnentag &amp; Jelden, 2009), les traits de personnalité en l’occurrence l’estime de soi, le sentiment de cohésion (Marchand &amp; Blanc,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 xml:space="preserve">.). C’est ce qui expliquerait d’ailleurs pourquoi certaines personnes vont manifester plus vite des problèmes de santé mentale comparativement à d’autres lors de l’exposition à un </w:t>
      </w:r>
      <w:proofErr w:type="spellStart"/>
      <w:r w:rsidRPr="000537AE">
        <w:rPr>
          <w:rFonts w:eastAsiaTheme="minorHAnsi"/>
          <w:sz w:val="24"/>
          <w:szCs w:val="24"/>
        </w:rPr>
        <w:t>stresseur</w:t>
      </w:r>
      <w:proofErr w:type="spellEnd"/>
      <w:r w:rsidRPr="000537AE">
        <w:rPr>
          <w:rFonts w:eastAsiaTheme="minorHAnsi"/>
          <w:sz w:val="24"/>
          <w:szCs w:val="24"/>
        </w:rPr>
        <w:t>.</w:t>
      </w:r>
    </w:p>
    <w:p w14:paraId="77FA19A2" w14:textId="77777777" w:rsidR="00D80693" w:rsidRPr="000537AE" w:rsidRDefault="00D80693" w:rsidP="0016777C">
      <w:pPr>
        <w:spacing w:before="120"/>
        <w:jc w:val="both"/>
        <w:rPr>
          <w:rFonts w:eastAsia="Calibri"/>
          <w:sz w:val="24"/>
          <w:szCs w:val="24"/>
        </w:rPr>
      </w:pPr>
      <w:r w:rsidRPr="000537AE">
        <w:rPr>
          <w:rFonts w:eastAsiaTheme="minorHAnsi"/>
          <w:sz w:val="24"/>
          <w:szCs w:val="24"/>
        </w:rPr>
        <w:t>Par ailleurs, la détresse psychologique peut être le fait de l’environnement du travail. En effet, quand le milieu professionnel se trouve lui-même psychogène, c’est-à-dire qu’il expose à la souffrance psychique, ceux qui y travaillent sont susceptibles de faire la détresse psychologique. C’est le cas des métiers induisant plus de stress professionnel comme l’enseignement et l’éducation (Laugaa &amp; Bruchon-Schweitzer, 2005). La profession d’enseignant est considérée comme très stressante par rapport à d’autres et à la population en</w:t>
      </w:r>
      <w:r w:rsidRPr="000537AE">
        <w:rPr>
          <w:rFonts w:asciiTheme="minorHAnsi" w:eastAsiaTheme="minorHAnsi" w:hAnsiTheme="minorHAnsi" w:cstheme="minorBidi"/>
        </w:rPr>
        <w:t xml:space="preserve"> </w:t>
      </w:r>
      <w:r w:rsidRPr="000537AE">
        <w:rPr>
          <w:rFonts w:eastAsiaTheme="minorHAnsi"/>
          <w:sz w:val="24"/>
          <w:szCs w:val="24"/>
        </w:rPr>
        <w:t xml:space="preserve">général (Hugues, 2006 ; Kyriacou, 2001 ; Schonfield, 2001). Sa pénibilité est liée à la responsabilité morale vis-à-vis d’autrui qu’elle implique (Laugaa &amp; </w:t>
      </w:r>
      <w:proofErr w:type="spellStart"/>
      <w:r w:rsidRPr="000537AE">
        <w:rPr>
          <w:rFonts w:eastAsiaTheme="minorHAnsi"/>
          <w:sz w:val="24"/>
          <w:szCs w:val="24"/>
        </w:rPr>
        <w:t>Bruschon-Schweister</w:t>
      </w:r>
      <w:proofErr w:type="spellEnd"/>
      <w:r w:rsidRPr="000537AE">
        <w:rPr>
          <w:rFonts w:eastAsiaTheme="minorHAnsi"/>
          <w:sz w:val="24"/>
          <w:szCs w:val="24"/>
        </w:rPr>
        <w:t xml:space="preserve">,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 et à sa nature même car elle exige diverses aptitudes professionnelles pour accomplir de nombreuses tâches</w:t>
      </w:r>
      <w:r>
        <w:rPr>
          <w:rFonts w:eastAsiaTheme="minorHAnsi"/>
          <w:sz w:val="24"/>
          <w:szCs w:val="24"/>
        </w:rPr>
        <w:t> :</w:t>
      </w:r>
      <w:r w:rsidRPr="000537AE">
        <w:rPr>
          <w:rFonts w:eastAsiaTheme="minorHAnsi"/>
          <w:sz w:val="24"/>
          <w:szCs w:val="24"/>
        </w:rPr>
        <w:t xml:space="preserve"> planifier et préparer les cours, évaluer le rendement des élèves, participer aux activités de perfectionnement, acquérir constamment de nouvelles habiletés et pratiques, gérer les interactions avec les différents acteurs tels que les élèves, les parents, la direction, les collègues, le personnel non enseignant, etc. (Tardif &amp; Lessard, 1999).</w:t>
      </w:r>
    </w:p>
    <w:p w14:paraId="50B649B2"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La difficulté du métier d’enseignant est relevée par Laugaa et Bruchon-</w:t>
      </w:r>
      <w:proofErr w:type="spellStart"/>
      <w:r w:rsidRPr="000537AE">
        <w:rPr>
          <w:rFonts w:eastAsiaTheme="minorHAnsi"/>
          <w:sz w:val="24"/>
          <w:szCs w:val="24"/>
        </w:rPr>
        <w:t>Schweister</w:t>
      </w:r>
      <w:proofErr w:type="spellEnd"/>
      <w:r w:rsidRPr="000537AE">
        <w:rPr>
          <w:rFonts w:eastAsiaTheme="minorHAnsi"/>
          <w:sz w:val="24"/>
          <w:szCs w:val="24"/>
        </w:rPr>
        <w:t xml:space="preserve"> (2005) à travers plusieurs travaux. Huberman (1989) souligne qu’environ 40 % des enseignants abandonnent leur métier à un ou plusieurs moments de leur carrière. Au Québec, le taux d’abandon de la profession par les jeunes enseignants après cinq ans de pratique se situe aussi à environ 20 % (Martineau, </w:t>
      </w:r>
      <w:proofErr w:type="spellStart"/>
      <w:r w:rsidRPr="000537AE">
        <w:rPr>
          <w:rFonts w:eastAsiaTheme="minorHAnsi"/>
          <w:sz w:val="24"/>
          <w:szCs w:val="24"/>
        </w:rPr>
        <w:t>Presseau</w:t>
      </w:r>
      <w:proofErr w:type="spellEnd"/>
      <w:r w:rsidRPr="000537AE">
        <w:rPr>
          <w:rFonts w:eastAsiaTheme="minorHAnsi"/>
          <w:sz w:val="24"/>
          <w:szCs w:val="24"/>
        </w:rPr>
        <w:t xml:space="preserve"> &amp; </w:t>
      </w:r>
      <w:proofErr w:type="spellStart"/>
      <w:r w:rsidRPr="000537AE">
        <w:rPr>
          <w:rFonts w:eastAsiaTheme="minorHAnsi"/>
          <w:sz w:val="24"/>
          <w:szCs w:val="24"/>
        </w:rPr>
        <w:t>Portelance</w:t>
      </w:r>
      <w:proofErr w:type="spellEnd"/>
      <w:r w:rsidRPr="000537AE">
        <w:rPr>
          <w:rFonts w:eastAsiaTheme="minorHAnsi"/>
          <w:sz w:val="24"/>
          <w:szCs w:val="24"/>
        </w:rPr>
        <w:t xml:space="preserve">, 2005). Dans la même veine, l’étude de Soares (2004) révèle que 33% des enseignants membres de la Centrale des syndicats du Québec (CSQ) souffrent d’un degré élevé d’épuisement et qu’un membre sur cinq souffre de détresse psychologique découlant de son travail. La Mutuelle Générale de l’Éducation Nationale (MGEN) a effectué une recherche en 2001 sur un échantillon de 6 700 enseignants français des cycles primaire et secondaire. Les résultats de cette recherche mettent en évidence que les enseignants ont le plus grand pourcentage d’arrêts de travail : 31 à 45 % par an (dont 12 % pour des problèmes de santé mentale) contre 6 % à 29 % chez les autres professions (Laugaa &amp; </w:t>
      </w:r>
      <w:proofErr w:type="spellStart"/>
      <w:r w:rsidRPr="000537AE">
        <w:rPr>
          <w:rFonts w:eastAsiaTheme="minorHAnsi"/>
          <w:sz w:val="24"/>
          <w:szCs w:val="24"/>
        </w:rPr>
        <w:t>Bruschon-Schweister</w:t>
      </w:r>
      <w:proofErr w:type="spellEnd"/>
      <w:r w:rsidRPr="000537AE">
        <w:rPr>
          <w:rFonts w:eastAsiaTheme="minorHAnsi"/>
          <w:sz w:val="24"/>
          <w:szCs w:val="24"/>
        </w:rPr>
        <w:t xml:space="preserve">,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w:t>
      </w:r>
    </w:p>
    <w:p w14:paraId="7C361697"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Les effets de la pénibilité du métier d’enseignant sont perceptibles en Côte d’Ivoire si nous nous référons à la DMOSS. Selon cette structure d’Etat, 5 718 enseignants ont dû sortir des classes, dans la période de 2005 à 2013, pour des problèmes liés à leur santé dont 1 953 liés à la santé mentale. Ainsi, sur une période de moins de dix ans, on a dû sortir près de six milliers d’enseignants des classes pour des problèmes de santé dont près de deux milliers de cas relatifs à des problèmes de santé mentale au niveau des établissements scolaires publics.</w:t>
      </w:r>
    </w:p>
    <w:p w14:paraId="420D9265" w14:textId="77777777" w:rsidR="00D80693" w:rsidRPr="00D4708B" w:rsidRDefault="00D80693" w:rsidP="0016777C">
      <w:pPr>
        <w:spacing w:before="120"/>
        <w:jc w:val="both"/>
        <w:rPr>
          <w:rFonts w:eastAsia="Calibri"/>
          <w:b/>
          <w:bCs/>
          <w:sz w:val="24"/>
          <w:szCs w:val="24"/>
        </w:rPr>
      </w:pPr>
      <w:r w:rsidRPr="000537AE">
        <w:rPr>
          <w:rFonts w:eastAsiaTheme="minorHAnsi"/>
          <w:sz w:val="24"/>
          <w:szCs w:val="24"/>
        </w:rPr>
        <w:t>Cette réalité est généralement vécue par les enseignants de tous les cycles d’enseignement du milieu scolaire, mais le cas des enseignants de l’école primaire mérite particulièrement d’être considéré car ce sont eux qui s’occupent de l’éducation de base de la population. En effet, les systèmes éducatifs sont bâtis sur l’école primaire qui établit le socle de connaissance et d’aptitudes indispensables conduisant à la formation secondaire au mieux de la meilleure manière. Sa mission consiste aussi à construire et à affermir la cohésion et l’unité nationales, ainsi qu’à bâtir des personnes de bonne moralité (Gauthier, 2006).</w:t>
      </w:r>
      <w:r>
        <w:rPr>
          <w:rFonts w:eastAsiaTheme="minorHAnsi"/>
          <w:b/>
          <w:bCs/>
          <w:sz w:val="24"/>
          <w:szCs w:val="24"/>
        </w:rPr>
        <w:t xml:space="preserve"> </w:t>
      </w:r>
      <w:r w:rsidRPr="000537AE">
        <w:rPr>
          <w:rFonts w:eastAsiaTheme="minorHAnsi"/>
          <w:sz w:val="24"/>
          <w:szCs w:val="24"/>
        </w:rPr>
        <w:t xml:space="preserve">L’importance accordée à l’école primaire est très grande en Côte d’Ivoire. Cela s’aperçoit à travers la vague de protestations </w:t>
      </w:r>
      <w:proofErr w:type="gramStart"/>
      <w:r w:rsidRPr="000537AE">
        <w:rPr>
          <w:rFonts w:eastAsiaTheme="minorHAnsi"/>
          <w:sz w:val="24"/>
          <w:szCs w:val="24"/>
        </w:rPr>
        <w:t>suite à</w:t>
      </w:r>
      <w:proofErr w:type="gramEnd"/>
      <w:r w:rsidRPr="000537AE">
        <w:rPr>
          <w:rFonts w:eastAsiaTheme="minorHAnsi"/>
          <w:sz w:val="24"/>
          <w:szCs w:val="24"/>
        </w:rPr>
        <w:t xml:space="preserve"> la publication en 2021 du dernier rapport du PASEC. Ce rapport place la Côte d’Ivoire à l’avant dernier rang sur les 14 pays ayant participé à l’évaluation des acquis scolaires primaires en Afrique subsaharienne francophone. Ce résultat interpelle sur la nécessité d’avoir des instituteurs performants ; ce qui leur requiert sur le plan</w:t>
      </w:r>
      <w:r w:rsidRPr="000537AE">
        <w:rPr>
          <w:rFonts w:asciiTheme="minorHAnsi" w:eastAsiaTheme="minorHAnsi" w:hAnsiTheme="minorHAnsi" w:cstheme="minorBidi"/>
        </w:rPr>
        <w:t xml:space="preserve"> </w:t>
      </w:r>
      <w:r w:rsidRPr="000537AE">
        <w:rPr>
          <w:rFonts w:eastAsiaTheme="minorHAnsi"/>
          <w:sz w:val="24"/>
          <w:szCs w:val="24"/>
        </w:rPr>
        <w:t>psychologique un environnement de travail adéquat. Pourtant dans la pratique, ils exercent dans un milieu professionnel très éprouvant.</w:t>
      </w:r>
    </w:p>
    <w:p w14:paraId="1DB60A21" w14:textId="77777777" w:rsidR="00D80693" w:rsidRPr="000537AE" w:rsidRDefault="00D80693" w:rsidP="0016777C">
      <w:pPr>
        <w:spacing w:before="120"/>
        <w:jc w:val="both"/>
        <w:rPr>
          <w:rFonts w:eastAsia="Calibri"/>
          <w:sz w:val="24"/>
          <w:szCs w:val="24"/>
        </w:rPr>
      </w:pPr>
      <w:r w:rsidRPr="000537AE">
        <w:rPr>
          <w:rFonts w:eastAsiaTheme="minorHAnsi"/>
          <w:sz w:val="24"/>
          <w:szCs w:val="24"/>
        </w:rPr>
        <w:t>En effet, d’une part, les instituteurs souffrent plus de l’impact des difficultés relationnelles avec les parents que leurs collègues des autres niveaux d’enseignement (</w:t>
      </w:r>
      <w:proofErr w:type="spellStart"/>
      <w:r w:rsidRPr="000537AE">
        <w:rPr>
          <w:rFonts w:eastAsiaTheme="minorHAnsi"/>
          <w:sz w:val="24"/>
          <w:szCs w:val="24"/>
        </w:rPr>
        <w:t>Houlfort</w:t>
      </w:r>
      <w:proofErr w:type="spellEnd"/>
      <w:r w:rsidRPr="000537AE">
        <w:rPr>
          <w:rFonts w:eastAsiaTheme="minorHAnsi"/>
          <w:sz w:val="24"/>
          <w:szCs w:val="24"/>
        </w:rPr>
        <w:t xml:space="preserve"> &amp; Sauvé, 2010). Ils ressentent davantage de stress que ceux du secondaire, bien que les principales sources de stress pour ces deux catégories d’enseignants soient les mêmes, c’est-à-dire les comportements des élèves, la charge de travail et les ressources matérielles disponibles (Royer, Loiselle, Dussault, Cossette &amp; </w:t>
      </w:r>
      <w:proofErr w:type="spellStart"/>
      <w:r w:rsidRPr="000537AE">
        <w:rPr>
          <w:rFonts w:eastAsiaTheme="minorHAnsi"/>
          <w:sz w:val="24"/>
          <w:szCs w:val="24"/>
        </w:rPr>
        <w:t>Deaudelin</w:t>
      </w:r>
      <w:proofErr w:type="spellEnd"/>
      <w:r w:rsidRPr="000537AE">
        <w:rPr>
          <w:rFonts w:eastAsiaTheme="minorHAnsi"/>
          <w:sz w:val="24"/>
          <w:szCs w:val="24"/>
        </w:rPr>
        <w:t>, 2001). Alors que les autres catégories d’enseignants ont l’opportunité de passer régulièrement d’une classe à une autre, ce qui leur évite la monotonie, les instituteurs semblent travailler dans une certaine monotonie dans la mesure où ils passent tous les jours de l’année scolaire avec les mêmes élèves (Barrère, 2003). Cette monotonie contribue à rendre leur travail psychogène. D’autre part, le rôle de l’instituteur a considérablement changé, et les tâches demandées sont de plus en plus complexes et diversifiées. Dès lors, l’enseignant se doit d’acquérir des compétences qui n’ont pas été nécessairement développées lors de sa formation (Falbo, 2012). Cela contribue à rendre sa tâche encore plus pénible.</w:t>
      </w:r>
      <w:r>
        <w:rPr>
          <w:rFonts w:eastAsiaTheme="minorHAnsi"/>
          <w:sz w:val="24"/>
          <w:szCs w:val="24"/>
        </w:rPr>
        <w:t xml:space="preserve"> </w:t>
      </w:r>
      <w:r w:rsidRPr="000537AE">
        <w:rPr>
          <w:rFonts w:eastAsiaTheme="minorHAnsi"/>
          <w:sz w:val="24"/>
          <w:szCs w:val="24"/>
        </w:rPr>
        <w:t>Ils exercent donc dans un milieu susceptible de les exposer à des problèmes de santé mentale tels que la détresse psychologique.</w:t>
      </w:r>
    </w:p>
    <w:p w14:paraId="6BAF5ADE"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La détresse psychologique chez les enseignants du primaire est due à de multiples facteurs professionnels tels que l’environnement physique professionnel, le matériel didactique, la charge de travail et la charge émotionnelle (</w:t>
      </w:r>
      <w:proofErr w:type="spellStart"/>
      <w:r w:rsidRPr="000537AE">
        <w:rPr>
          <w:rFonts w:eastAsiaTheme="minorHAnsi"/>
          <w:sz w:val="24"/>
          <w:szCs w:val="24"/>
        </w:rPr>
        <w:t>Azouaghe</w:t>
      </w:r>
      <w:proofErr w:type="spellEnd"/>
      <w:r w:rsidRPr="000537AE">
        <w:rPr>
          <w:rFonts w:eastAsiaTheme="minorHAnsi"/>
          <w:sz w:val="24"/>
          <w:szCs w:val="24"/>
        </w:rPr>
        <w:t>, 2019). Ces facteurs émanent généralement de l’établissement scolaire qui désigne dans le milieu socioéducatif, l’ensemble des installations servant à l’exploitation, au fonctionnement d’une entreprise, et, par métonymie, d’entreprise (Rey, 2005).</w:t>
      </w:r>
      <w:r>
        <w:rPr>
          <w:rFonts w:eastAsiaTheme="minorHAnsi"/>
          <w:sz w:val="24"/>
          <w:szCs w:val="24"/>
        </w:rPr>
        <w:t xml:space="preserve"> </w:t>
      </w:r>
      <w:r w:rsidRPr="000537AE">
        <w:rPr>
          <w:rFonts w:eastAsiaTheme="minorHAnsi"/>
          <w:sz w:val="24"/>
          <w:szCs w:val="24"/>
        </w:rPr>
        <w:t>L’établissement scolaire est une institution sociale qui se propose de dispenser un enseignement collectif à des élèves en vue de les aider à développer, en plus des qualités morales, les qualités intellectuelles, physiques et artistiques qu’ils possèdent à l’état potentiel (</w:t>
      </w:r>
      <w:proofErr w:type="spellStart"/>
      <w:r w:rsidRPr="000537AE">
        <w:rPr>
          <w:rFonts w:eastAsiaTheme="minorHAnsi"/>
          <w:sz w:val="24"/>
          <w:szCs w:val="24"/>
        </w:rPr>
        <w:t>Sillamy</w:t>
      </w:r>
      <w:proofErr w:type="spellEnd"/>
      <w:r w:rsidRPr="000537AE">
        <w:rPr>
          <w:rFonts w:eastAsiaTheme="minorHAnsi"/>
          <w:sz w:val="24"/>
          <w:szCs w:val="24"/>
        </w:rPr>
        <w:t>, 2003).</w:t>
      </w:r>
      <w:r>
        <w:rPr>
          <w:rFonts w:eastAsiaTheme="minorHAnsi"/>
          <w:sz w:val="24"/>
          <w:szCs w:val="24"/>
        </w:rPr>
        <w:t xml:space="preserve"> </w:t>
      </w:r>
      <w:proofErr w:type="spellStart"/>
      <w:r w:rsidRPr="000537AE">
        <w:rPr>
          <w:rFonts w:eastAsiaTheme="minorHAnsi"/>
          <w:sz w:val="24"/>
          <w:szCs w:val="24"/>
        </w:rPr>
        <w:t>Bagilishya</w:t>
      </w:r>
      <w:proofErr w:type="spellEnd"/>
      <w:r w:rsidRPr="000537AE">
        <w:rPr>
          <w:rFonts w:eastAsiaTheme="minorHAnsi"/>
          <w:sz w:val="24"/>
          <w:szCs w:val="24"/>
        </w:rPr>
        <w:t xml:space="preserve"> (2007) montre que quand l’environnement physique de l’établissement scolaire est délétère, il favorise la détresse psychologique chez les enseignants du primaire. Il est rejoint par Lambert-Chan (2007) dont les travaux soulignent qu’un environnement physique inadéquat et l’aménagement des lieux de travail sont des facteurs contribuant à augmenter tant la charge physique que mentale. Dans ce sens, Smith (2004) précise que la qualité de l’air, la chaleur, le stress ou le bruit peuvent contribuer à l’apparition de la migraine et des maux de tête.</w:t>
      </w:r>
    </w:p>
    <w:p w14:paraId="413DF068" w14:textId="77777777" w:rsidR="00D80693" w:rsidRDefault="00D80693" w:rsidP="0016777C">
      <w:pPr>
        <w:spacing w:before="120"/>
        <w:jc w:val="both"/>
        <w:rPr>
          <w:rFonts w:eastAsia="Calibri"/>
          <w:sz w:val="24"/>
          <w:szCs w:val="24"/>
        </w:rPr>
      </w:pPr>
      <w:r w:rsidRPr="000537AE">
        <w:rPr>
          <w:rFonts w:eastAsiaTheme="minorHAnsi"/>
          <w:sz w:val="24"/>
          <w:szCs w:val="24"/>
        </w:rPr>
        <w:t>En s’intéressant à la pratique enseignante dans l’établissement scolaire, Brault-</w:t>
      </w:r>
      <w:proofErr w:type="spellStart"/>
      <w:r w:rsidRPr="000537AE">
        <w:rPr>
          <w:rFonts w:eastAsiaTheme="minorHAnsi"/>
          <w:sz w:val="24"/>
          <w:szCs w:val="24"/>
        </w:rPr>
        <w:t>Labbé</w:t>
      </w:r>
      <w:proofErr w:type="spellEnd"/>
      <w:r w:rsidRPr="000537AE">
        <w:rPr>
          <w:rFonts w:eastAsiaTheme="minorHAnsi"/>
          <w:sz w:val="24"/>
          <w:szCs w:val="24"/>
        </w:rPr>
        <w:t xml:space="preserve"> (2013) a montré que l’intégration jugée trop massive en classe régulière des élèves en difficulté et le ratio élèves-enseignants très élevé ne facilitent pas la transmission des connaissances. Selon </w:t>
      </w:r>
      <w:proofErr w:type="spellStart"/>
      <w:r w:rsidRPr="000537AE">
        <w:rPr>
          <w:rFonts w:eastAsiaTheme="minorHAnsi"/>
          <w:sz w:val="24"/>
          <w:szCs w:val="24"/>
        </w:rPr>
        <w:t>Houlfort</w:t>
      </w:r>
      <w:proofErr w:type="spellEnd"/>
      <w:r w:rsidRPr="000537AE">
        <w:rPr>
          <w:rFonts w:eastAsiaTheme="minorHAnsi"/>
          <w:sz w:val="24"/>
          <w:szCs w:val="24"/>
        </w:rPr>
        <w:t xml:space="preserve"> et Sauvé (2010), les élèves en situation difficile intègrent parfois les classes régulières sans accompagnement adéquat. C’est ce qui amène Brault-</w:t>
      </w:r>
      <w:proofErr w:type="spellStart"/>
      <w:r w:rsidRPr="000537AE">
        <w:rPr>
          <w:rFonts w:eastAsiaTheme="minorHAnsi"/>
          <w:sz w:val="24"/>
          <w:szCs w:val="24"/>
        </w:rPr>
        <w:t>Labbé</w:t>
      </w:r>
      <w:proofErr w:type="spellEnd"/>
      <w:r w:rsidRPr="000537AE">
        <w:rPr>
          <w:rFonts w:eastAsiaTheme="minorHAnsi"/>
          <w:sz w:val="24"/>
          <w:szCs w:val="24"/>
        </w:rPr>
        <w:t xml:space="preserve"> (2013) à dire que le soutien aux élèves en difficultés contribue aux sentiments de surcharge, de manque de</w:t>
      </w:r>
      <w:r w:rsidRPr="000537AE">
        <w:rPr>
          <w:rFonts w:asciiTheme="minorHAnsi" w:eastAsiaTheme="minorHAnsi" w:hAnsiTheme="minorHAnsi" w:cstheme="minorBidi"/>
        </w:rPr>
        <w:t xml:space="preserve"> </w:t>
      </w:r>
      <w:r w:rsidRPr="000537AE">
        <w:rPr>
          <w:rFonts w:eastAsiaTheme="minorHAnsi"/>
          <w:sz w:val="24"/>
          <w:szCs w:val="24"/>
        </w:rPr>
        <w:t>temps et d’épuisement chez les enseignants. Ainsi, l’interaction avec les élèves en difficulté est perçue par les enseignants comme travailler dans un milieu qui induit la souffrance psychique.</w:t>
      </w:r>
      <w:r>
        <w:rPr>
          <w:rFonts w:eastAsiaTheme="minorHAnsi"/>
          <w:sz w:val="24"/>
          <w:szCs w:val="24"/>
        </w:rPr>
        <w:t xml:space="preserve"> </w:t>
      </w:r>
    </w:p>
    <w:p w14:paraId="003CA611" w14:textId="77777777" w:rsidR="00D80693" w:rsidRPr="000537AE" w:rsidRDefault="00D80693" w:rsidP="0016777C">
      <w:pPr>
        <w:spacing w:before="120"/>
        <w:jc w:val="both"/>
        <w:rPr>
          <w:rFonts w:eastAsia="Calibri"/>
          <w:sz w:val="24"/>
          <w:szCs w:val="24"/>
        </w:rPr>
      </w:pPr>
      <w:proofErr w:type="spellStart"/>
      <w:r w:rsidRPr="000537AE">
        <w:rPr>
          <w:rFonts w:eastAsiaTheme="minorHAnsi"/>
          <w:sz w:val="24"/>
          <w:szCs w:val="24"/>
        </w:rPr>
        <w:t>Houlfort</w:t>
      </w:r>
      <w:proofErr w:type="spellEnd"/>
      <w:r w:rsidRPr="000537AE">
        <w:rPr>
          <w:rFonts w:eastAsiaTheme="minorHAnsi"/>
          <w:sz w:val="24"/>
          <w:szCs w:val="24"/>
        </w:rPr>
        <w:t xml:space="preserve"> et Sauvé (2010) relèvent dans leur étude que le métier d’enseignant a pour objet les élèves. Ainsi, il va de soi que la qualité de la relation avec les élèves constitue un déterminant important de la santé mentale des enseignants. Pour, </w:t>
      </w:r>
      <w:proofErr w:type="spellStart"/>
      <w:r w:rsidRPr="000537AE">
        <w:rPr>
          <w:rFonts w:eastAsiaTheme="minorHAnsi"/>
          <w:sz w:val="24"/>
          <w:szCs w:val="24"/>
        </w:rPr>
        <w:t>Azouaghe</w:t>
      </w:r>
      <w:proofErr w:type="spellEnd"/>
      <w:r w:rsidRPr="000537AE">
        <w:rPr>
          <w:rFonts w:eastAsiaTheme="minorHAnsi"/>
          <w:sz w:val="24"/>
          <w:szCs w:val="24"/>
        </w:rPr>
        <w:t xml:space="preserve"> (2019), étant permanemment en contact avec les élèves les enseignants sont susceptibles d’interagir négativement avec eux de diverses manières. Ces enseignants doivent contenir l’absentéisme, l’indiscipline, la violence des élèves qui sont affectivement déstabilisants. Selon l’OCDE (2020), le temps des enseignants est en grande partie dédiée à veiller pour préserver l’ordre en classe. </w:t>
      </w:r>
      <w:r>
        <w:rPr>
          <w:rFonts w:eastAsiaTheme="minorHAnsi"/>
          <w:sz w:val="24"/>
          <w:szCs w:val="24"/>
        </w:rPr>
        <w:t>D</w:t>
      </w:r>
      <w:r w:rsidRPr="000537AE">
        <w:rPr>
          <w:rFonts w:eastAsiaTheme="minorHAnsi"/>
          <w:sz w:val="24"/>
          <w:szCs w:val="24"/>
        </w:rPr>
        <w:t>e nombreux résultats de recherche convergent à l’effet que la qualité des relations avec les élèves constitue le facteur le plus déterminant de la santé mentale au travail des enseignants (</w:t>
      </w:r>
      <w:proofErr w:type="spellStart"/>
      <w:r w:rsidRPr="000537AE">
        <w:rPr>
          <w:rFonts w:eastAsiaTheme="minorHAnsi"/>
          <w:sz w:val="24"/>
          <w:szCs w:val="24"/>
        </w:rPr>
        <w:t>Houlfort</w:t>
      </w:r>
      <w:proofErr w:type="spellEnd"/>
      <w:r w:rsidRPr="000537AE">
        <w:rPr>
          <w:rFonts w:eastAsiaTheme="minorHAnsi"/>
          <w:sz w:val="24"/>
          <w:szCs w:val="24"/>
        </w:rPr>
        <w:t xml:space="preserve"> &amp; Sauvé,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 xml:space="preserve">. ; Janosz, Thiébaud, Bouthillier, &amp; Brunet, 2004 ; Messing, Seifert, &amp; Escalona, 1997). En contrepartie, des relations difficiles avec les élèves, notamment en lien avec la discipline et les comportements problématiques (attitudes impolies, dérangeantes, immatures, irrespectueuses de l’autorité, ou témoignant d’un manque de motivation) figurent parmi les plus importants facteurs de stress chez les enseignants (Hastings &amp; Bham, 2003 ; </w:t>
      </w:r>
      <w:proofErr w:type="spellStart"/>
      <w:r w:rsidRPr="000537AE">
        <w:rPr>
          <w:rFonts w:eastAsiaTheme="minorHAnsi"/>
          <w:sz w:val="24"/>
          <w:szCs w:val="24"/>
        </w:rPr>
        <w:t>Houlfort</w:t>
      </w:r>
      <w:proofErr w:type="spellEnd"/>
      <w:r w:rsidRPr="000537AE">
        <w:rPr>
          <w:rFonts w:eastAsiaTheme="minorHAnsi"/>
          <w:sz w:val="24"/>
          <w:szCs w:val="24"/>
        </w:rPr>
        <w:t xml:space="preserve"> &amp; Sauvé, op. </w:t>
      </w:r>
      <w:proofErr w:type="spellStart"/>
      <w:proofErr w:type="gramStart"/>
      <w:r w:rsidRPr="000537AE">
        <w:rPr>
          <w:rFonts w:eastAsiaTheme="minorHAnsi"/>
          <w:sz w:val="24"/>
          <w:szCs w:val="24"/>
        </w:rPr>
        <w:t>cit</w:t>
      </w:r>
      <w:proofErr w:type="spellEnd"/>
      <w:proofErr w:type="gramEnd"/>
      <w:r w:rsidRPr="000537AE">
        <w:rPr>
          <w:rFonts w:eastAsiaTheme="minorHAnsi"/>
          <w:sz w:val="24"/>
          <w:szCs w:val="24"/>
        </w:rPr>
        <w:t xml:space="preserve"> ; Janosz, Thiébaud, Bouthillier, &amp; Brunet, 2004 ; Royer &amp; al., 2001), et ce peu importe leur niveau d’expérience professionnelle (Royer &amp; al., 2001).</w:t>
      </w:r>
      <w:r>
        <w:rPr>
          <w:rFonts w:eastAsiaTheme="minorHAnsi"/>
          <w:sz w:val="24"/>
          <w:szCs w:val="24"/>
        </w:rPr>
        <w:t xml:space="preserve"> </w:t>
      </w:r>
      <w:r w:rsidRPr="000537AE">
        <w:rPr>
          <w:rFonts w:eastAsiaTheme="minorHAnsi"/>
          <w:sz w:val="24"/>
          <w:szCs w:val="24"/>
        </w:rPr>
        <w:t>Certains auteurs suggèrent que l’ampleur de la gestion de classe qu’exigent les comportements problématiques des élèves contribueraient également à expliquer l’épuisement (</w:t>
      </w:r>
      <w:proofErr w:type="spellStart"/>
      <w:r w:rsidRPr="000537AE">
        <w:rPr>
          <w:rFonts w:eastAsiaTheme="minorHAnsi"/>
          <w:sz w:val="24"/>
          <w:szCs w:val="24"/>
        </w:rPr>
        <w:t>Genoud</w:t>
      </w:r>
      <w:proofErr w:type="spellEnd"/>
      <w:r w:rsidRPr="000537AE">
        <w:rPr>
          <w:rFonts w:eastAsiaTheme="minorHAnsi"/>
          <w:sz w:val="24"/>
          <w:szCs w:val="24"/>
        </w:rPr>
        <w:t xml:space="preserve"> &amp; al., 2009) et les départs anticipés au sein de la profession (Chartrand, 2006 ; Sauvé, 2012), au-delà du stress qu’ils suscitent.</w:t>
      </w:r>
    </w:p>
    <w:p w14:paraId="31BB9D50" w14:textId="77777777" w:rsidR="00D80693" w:rsidRPr="000537AE" w:rsidRDefault="00D80693" w:rsidP="0016777C">
      <w:pPr>
        <w:spacing w:before="120"/>
        <w:jc w:val="both"/>
        <w:rPr>
          <w:rFonts w:eastAsia="Calibri"/>
          <w:sz w:val="24"/>
          <w:szCs w:val="24"/>
        </w:rPr>
      </w:pPr>
      <w:proofErr w:type="spellStart"/>
      <w:r w:rsidRPr="000537AE">
        <w:rPr>
          <w:rFonts w:eastAsiaTheme="minorHAnsi"/>
          <w:sz w:val="24"/>
          <w:szCs w:val="24"/>
        </w:rPr>
        <w:t>Kovess-Masféty</w:t>
      </w:r>
      <w:proofErr w:type="spellEnd"/>
      <w:r w:rsidRPr="000537AE">
        <w:rPr>
          <w:rFonts w:eastAsiaTheme="minorHAnsi"/>
          <w:sz w:val="24"/>
          <w:szCs w:val="24"/>
        </w:rPr>
        <w:t>, Rios-Seidel et Sevilla-Dedieu (2007) ont observé que la bonne santé psychologique au travail est corrélée avec l’apport des collègues et de l’administration. Borman et Dowling (2008) soulignent que les enseignants ayant un meilleur soutien relationnel de leur supérieur vivent faiblement le stress et l’épuisement professionnel. En ce qui concerne l’aspect négatif, il ressort que quand l’enseignant est en mauvaise relation avec ces derniers, et surtout avec la direction, il fait les frais d’une situation difficile à supporter. Car, l’engagement professionnel des enseignants est favorisé par la relation agréable avec la direction (Duchesne &amp; Savoie-Zajc, 2005 ; Klusmann, Kunter, Trautwein, Lüdtke, &amp; Baumert, 2008). C’est pour cette raison que Savaria (2013) rapporte que des relations difficiles ou insuffisantes avec la direction dont l’un des rôles principaux est d’affermir et de fortifier les enseignants dans leurs rôles et leurs décisions, risquent de faire perdurer les difficultés psychologiques et même engendrer de nouvelles. Donc l’interaction avec les collègues, l’administration et la direction peut avoir un effet soit négatif, soit positif sur la santé mentale des enseignants du primaire.</w:t>
      </w:r>
    </w:p>
    <w:p w14:paraId="058ED651"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Les travaux mentionnés nous montrent que l’intégration trop massive des élèves en difficulté en classe régulière sans le soutien nécessaire, l’interaction sur fond de tension avec les élèves, leurs parents, les collègues et la direction, le fait d’exercer permanemment dans des conditions de travail pénibles, et dans un environnement physique délétère.</w:t>
      </w:r>
    </w:p>
    <w:p w14:paraId="53C09187"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L’enjeu ici est lié à la viabilité du système éducatif ivoirien eu égard à la gestion du bien-être des instituteurs face au taux de scolarisation qui a grimpé à la faveur de la politique de l’obligation scolaire visant à offrir les mêmes chances de réussite à tous les enfants de 6 à 16 ans. Notre étude constitue donc une source documentaire intéressante, tant pour les professionnels de la santé publique que pour les responsables administratifs concernés par les politiques de l’éducation nationale. Elle est aussi utile pour tous ceux qui pensent que les instituteurs sont un maillon essentiel pour relever le niveau du système éducatif ivoirien. Le problème examiné par la présente étude repose sur des questions de fond : les différents milieux socioéducatifs (public et privé) ont-ils les mêmes effets sur la santé mentale des enseignants du primaire ? Les conditions socioéconomiques exercent-elles une influence sur la santé mentale des enseignants du primaire ? C’est dans le but de répondre à ces questions que nous formulons les hypothèses suivantes :</w:t>
      </w:r>
    </w:p>
    <w:p w14:paraId="1D9BD969" w14:textId="77777777" w:rsidR="00D80693" w:rsidRPr="000537AE" w:rsidRDefault="00D80693" w:rsidP="0016777C">
      <w:pPr>
        <w:spacing w:before="120"/>
        <w:jc w:val="both"/>
        <w:rPr>
          <w:rFonts w:eastAsia="Calibri"/>
          <w:sz w:val="24"/>
          <w:szCs w:val="24"/>
        </w:rPr>
      </w:pPr>
      <w:r w:rsidRPr="000537AE">
        <w:rPr>
          <w:rFonts w:eastAsiaTheme="minorHAnsi"/>
          <w:sz w:val="24"/>
          <w:szCs w:val="24"/>
        </w:rPr>
        <w:t>1 : Le nombre d’instituteurs du privé à Abidjan présentant une détresse psychologique sévère est supérieur à celui de leurs collègues du public présentant le même état.</w:t>
      </w:r>
    </w:p>
    <w:p w14:paraId="7EF06429" w14:textId="77777777" w:rsidR="00D80693" w:rsidRPr="000537AE" w:rsidRDefault="00D80693" w:rsidP="0016777C">
      <w:pPr>
        <w:spacing w:before="120"/>
        <w:jc w:val="both"/>
        <w:rPr>
          <w:rFonts w:eastAsia="Calibri"/>
          <w:sz w:val="24"/>
          <w:szCs w:val="24"/>
        </w:rPr>
      </w:pPr>
      <w:r w:rsidRPr="000537AE">
        <w:rPr>
          <w:rFonts w:eastAsiaTheme="minorHAnsi"/>
          <w:sz w:val="24"/>
          <w:szCs w:val="24"/>
        </w:rPr>
        <w:t>2 : Le nombre d’instituteurs de conditions socioéconomiques défavorisées manifestant une détresse psychologique sévère est supérieur à celui de leurs homologues qui sont de conditions socioéconomiques favorisées manifestant le même état.</w:t>
      </w:r>
    </w:p>
    <w:p w14:paraId="673F82FC" w14:textId="77777777" w:rsidR="00D80693" w:rsidRPr="00FB59B0" w:rsidRDefault="00D80693" w:rsidP="0016777C">
      <w:pPr>
        <w:spacing w:before="120"/>
        <w:jc w:val="both"/>
        <w:rPr>
          <w:rFonts w:eastAsia="Calibri"/>
          <w:b/>
          <w:bCs/>
          <w:sz w:val="28"/>
          <w:szCs w:val="28"/>
        </w:rPr>
      </w:pPr>
      <w:r w:rsidRPr="00FB59B0">
        <w:rPr>
          <w:rFonts w:eastAsiaTheme="minorHAnsi"/>
          <w:b/>
          <w:bCs/>
          <w:sz w:val="28"/>
          <w:szCs w:val="28"/>
        </w:rPr>
        <w:t>1.Méthodologie</w:t>
      </w:r>
    </w:p>
    <w:p w14:paraId="0A90F4C3" w14:textId="77777777" w:rsidR="00D80693" w:rsidRPr="000537AE" w:rsidRDefault="00D80693" w:rsidP="0016777C">
      <w:pPr>
        <w:spacing w:before="120"/>
        <w:jc w:val="both"/>
        <w:rPr>
          <w:rFonts w:eastAsia="Calibri"/>
          <w:sz w:val="24"/>
          <w:szCs w:val="24"/>
        </w:rPr>
      </w:pPr>
      <w:r w:rsidRPr="000537AE">
        <w:rPr>
          <w:rFonts w:eastAsiaTheme="minorHAnsi"/>
          <w:sz w:val="24"/>
          <w:szCs w:val="24"/>
        </w:rPr>
        <w:t>Dans cette section, nous présentons les variables à l’étude, les participants, les instruments de mesure, ainsi que la procédure adoptée pour la collecte des données.</w:t>
      </w:r>
    </w:p>
    <w:p w14:paraId="760A8FF0" w14:textId="77777777" w:rsidR="00D80693" w:rsidRPr="00FB59B0" w:rsidRDefault="00D80693" w:rsidP="0016777C">
      <w:pPr>
        <w:spacing w:before="120"/>
        <w:jc w:val="both"/>
        <w:rPr>
          <w:rFonts w:eastAsia="Calibri"/>
          <w:b/>
          <w:bCs/>
          <w:sz w:val="24"/>
          <w:szCs w:val="24"/>
        </w:rPr>
      </w:pPr>
      <w:r w:rsidRPr="00FB59B0">
        <w:rPr>
          <w:rFonts w:eastAsiaTheme="minorHAnsi"/>
          <w:b/>
          <w:bCs/>
          <w:sz w:val="24"/>
          <w:szCs w:val="24"/>
        </w:rPr>
        <w:t>1.1. Variables</w:t>
      </w:r>
    </w:p>
    <w:p w14:paraId="0E40E5BF" w14:textId="77777777" w:rsidR="00D80693" w:rsidRPr="000537AE" w:rsidRDefault="00D80693" w:rsidP="0016777C">
      <w:pPr>
        <w:spacing w:before="120"/>
        <w:jc w:val="both"/>
        <w:rPr>
          <w:rFonts w:eastAsia="Calibri"/>
          <w:sz w:val="24"/>
          <w:szCs w:val="24"/>
        </w:rPr>
      </w:pPr>
      <w:r w:rsidRPr="000537AE">
        <w:rPr>
          <w:rFonts w:eastAsiaTheme="minorHAnsi"/>
          <w:sz w:val="24"/>
          <w:szCs w:val="24"/>
        </w:rPr>
        <w:t>L’étude porte sur trois variables dont deux variables indépendantes : « type d’établissement scolaire » et « conditions socioéconomiques » et une variable dépendante : « santé mentale ».</w:t>
      </w:r>
    </w:p>
    <w:p w14:paraId="6ABA9817" w14:textId="77777777" w:rsidR="00D80693" w:rsidRPr="000537AE" w:rsidRDefault="00D80693" w:rsidP="0016777C">
      <w:pPr>
        <w:spacing w:before="120"/>
        <w:jc w:val="both"/>
        <w:rPr>
          <w:rFonts w:eastAsia="Calibri"/>
          <w:b/>
          <w:bCs/>
          <w:i/>
          <w:iCs/>
          <w:sz w:val="24"/>
          <w:szCs w:val="24"/>
        </w:rPr>
      </w:pPr>
      <w:r w:rsidRPr="000537AE">
        <w:rPr>
          <w:rFonts w:eastAsiaTheme="minorHAnsi"/>
          <w:b/>
          <w:bCs/>
          <w:i/>
          <w:iCs/>
          <w:sz w:val="24"/>
          <w:szCs w:val="24"/>
        </w:rPr>
        <w:t>1.1.1.</w:t>
      </w:r>
      <w:r w:rsidRPr="000537AE">
        <w:rPr>
          <w:rFonts w:eastAsiaTheme="minorHAnsi"/>
          <w:b/>
          <w:bCs/>
          <w:i/>
          <w:iCs/>
          <w:sz w:val="24"/>
          <w:szCs w:val="24"/>
        </w:rPr>
        <w:tab/>
        <w:t>Type d’établissement scolaire</w:t>
      </w:r>
    </w:p>
    <w:p w14:paraId="1369A40B" w14:textId="77777777" w:rsidR="00D80693" w:rsidRPr="00FB59B0" w:rsidRDefault="00D80693" w:rsidP="0016777C">
      <w:pPr>
        <w:spacing w:before="120"/>
        <w:jc w:val="both"/>
        <w:rPr>
          <w:rFonts w:eastAsia="Calibri"/>
          <w:sz w:val="24"/>
          <w:szCs w:val="24"/>
        </w:rPr>
      </w:pPr>
      <w:r w:rsidRPr="000537AE">
        <w:rPr>
          <w:rFonts w:eastAsiaTheme="minorHAnsi"/>
          <w:sz w:val="24"/>
          <w:szCs w:val="24"/>
        </w:rPr>
        <w:t>L’établissement scolaire est défini comme une institution formelle, un environnement construit dont l’objectif est de susciter des apprentissages chez les enfants (Akra, 2010). C’est donc un lieu d’éducation où l’enseignant est un interlocuteur privilégié des élèves.</w:t>
      </w:r>
      <w:r>
        <w:rPr>
          <w:rFonts w:eastAsiaTheme="minorHAnsi"/>
          <w:sz w:val="24"/>
          <w:szCs w:val="24"/>
        </w:rPr>
        <w:t xml:space="preserve"> </w:t>
      </w:r>
      <w:r w:rsidRPr="00FB59B0">
        <w:rPr>
          <w:rFonts w:eastAsiaTheme="minorHAnsi"/>
          <w:sz w:val="24"/>
          <w:szCs w:val="24"/>
        </w:rPr>
        <w:t>Confrontés à une insuffisance majeure dans l’offre d’éducation publique, les pays de l’Afrique subsaharienne ont opté pour le développement des établissements scolaires privés (Ngonga, 2010). A l’image de ces pays où l’Etat est incapable de financer tout seul l’éducation, la Côte d’Ivoire aussi encourage la création et le fonctionnement des établissements scolaires privés pour renforcer le niveau de scolarisation de la population. Ainsi, le système éducatif en Côte d’Ivoire comprend les secteurs public et privé. Pour une large part, les établissements scolaires publics et privés vivent les mêmes contraintes, en l’occurrence, des objectifs pédagogiques, des programmes de base, des enseignants qualifiés (</w:t>
      </w:r>
      <w:proofErr w:type="spellStart"/>
      <w:r w:rsidRPr="00FB59B0">
        <w:rPr>
          <w:rFonts w:eastAsiaTheme="minorHAnsi"/>
          <w:sz w:val="24"/>
          <w:szCs w:val="24"/>
        </w:rPr>
        <w:t>Valdenaire</w:t>
      </w:r>
      <w:proofErr w:type="spellEnd"/>
      <w:r w:rsidRPr="00FB59B0">
        <w:rPr>
          <w:rFonts w:eastAsiaTheme="minorHAnsi"/>
          <w:sz w:val="24"/>
          <w:szCs w:val="24"/>
        </w:rPr>
        <w:t>, 2004).  Toutefois, ces deux secteurs se distinguent l’un de l’autre en ce qui concerne le mode de fonctionnement des établissements scolaires, le traitement salarial et la sécurité sociale. Ces trois facteurs apparaissent comme des indicateurs pertinents pour caractériser le type d’établissement scolaire.</w:t>
      </w:r>
      <w:r>
        <w:rPr>
          <w:rFonts w:eastAsiaTheme="minorHAnsi"/>
          <w:sz w:val="24"/>
          <w:szCs w:val="24"/>
        </w:rPr>
        <w:t xml:space="preserve"> </w:t>
      </w:r>
      <w:r w:rsidRPr="00FB59B0">
        <w:rPr>
          <w:rFonts w:eastAsiaTheme="minorHAnsi"/>
          <w:sz w:val="24"/>
          <w:szCs w:val="24"/>
        </w:rPr>
        <w:t>Le type d’établissement apparaît ainsi comme une variable différenciatrice entre les niveaux de bien-être ou de détresse psychologique que nous pouvons considérer comme étant des états de santé mentale.</w:t>
      </w:r>
    </w:p>
    <w:p w14:paraId="56C6ECDF" w14:textId="77777777" w:rsidR="00D80693" w:rsidRPr="00FB59B0" w:rsidRDefault="00D80693" w:rsidP="0016777C">
      <w:pPr>
        <w:spacing w:before="120"/>
        <w:jc w:val="both"/>
        <w:rPr>
          <w:rFonts w:eastAsia="Calibri"/>
          <w:sz w:val="24"/>
          <w:szCs w:val="24"/>
        </w:rPr>
      </w:pPr>
      <w:r w:rsidRPr="00FB59B0">
        <w:rPr>
          <w:rFonts w:eastAsiaTheme="minorHAnsi"/>
          <w:sz w:val="24"/>
          <w:szCs w:val="24"/>
        </w:rPr>
        <w:t>Les établissements scolaires publics sont contrôlés et gérés directement par l’État (Ngonga, 2010). Ils sont à but non lucratif et recherchent l’intérêt social plutôt que la réalisation d’un profit. Les enseignants y sont recrutés à l’issue de leur admission au concours d’entrée à la fonction publique, puis sont affectés dans un établissement scolaire à partir de leurs vœux et d’un barème de points. Ils travaillent pour l’Etat sans pression de résultats, ni d’insécurité concernant le poste, ce qui fait dire à Chubb &amp; Moe (1988) que le pouvoir de décision est dans leurs mains plutôt que dans celles du directeur. Ils perçoivent régulièrement leur salaire même pendant la période de vacances scolaires. Étant des fonctionnaires d’État, ils ont une sécurité sociale garantie avec la pension de retraite.</w:t>
      </w:r>
    </w:p>
    <w:p w14:paraId="287A0DAA" w14:textId="77777777" w:rsidR="00D80693" w:rsidRPr="00FB59B0" w:rsidRDefault="00D80693" w:rsidP="0016777C">
      <w:pPr>
        <w:spacing w:before="120"/>
        <w:jc w:val="both"/>
        <w:rPr>
          <w:rFonts w:eastAsia="Calibri"/>
          <w:sz w:val="24"/>
          <w:szCs w:val="24"/>
        </w:rPr>
      </w:pPr>
      <w:r w:rsidRPr="00FB59B0">
        <w:rPr>
          <w:rFonts w:eastAsiaTheme="minorHAnsi"/>
          <w:sz w:val="24"/>
          <w:szCs w:val="24"/>
        </w:rPr>
        <w:t>Dans les établissements scolaires privés, il s’agit d’un « marché de travail » où il faut faire du profit dans un contexte de concurrence, et dont les opérateurs principaux sont les chefs d’établissement qui recrutent eux-mêmes leurs enseignants. Les enseignants travaillent sous la pression de résultats de la part de l’employeur sachant qu’on peut les remplacer. Le salaire brut est défini comme le revenu du salarié avant déductions sociales et fiscales. Au privé, le maître sous contrat perçoit 90 % du salaire de celui du public en France (</w:t>
      </w:r>
      <w:proofErr w:type="spellStart"/>
      <w:r w:rsidRPr="00FB59B0">
        <w:rPr>
          <w:rFonts w:eastAsiaTheme="minorHAnsi"/>
          <w:sz w:val="24"/>
          <w:szCs w:val="24"/>
        </w:rPr>
        <w:t>Defresne</w:t>
      </w:r>
      <w:proofErr w:type="spellEnd"/>
      <w:r w:rsidRPr="00FB59B0">
        <w:rPr>
          <w:rFonts w:eastAsiaTheme="minorHAnsi"/>
          <w:sz w:val="24"/>
          <w:szCs w:val="24"/>
        </w:rPr>
        <w:t>, 2016). Cette différence de salaire est liée pour les trois quarts à la différence de corps, de temps d’enseignement et de lieu d’affectation des enseignants des deux secteurs. C’est seulement la moitié de l’écart de salaire net entre les deux secteurs qui est expliquée par les caractéristiques personnelles. La différence est liée au taux de cotisations sociales qui est plus élevé dans le privé comparativement à celui du public, dans l’espoir d’obtenir une meilleure pension de retraite.</w:t>
      </w:r>
    </w:p>
    <w:p w14:paraId="6D6B06C0" w14:textId="77777777" w:rsidR="00D80693" w:rsidRPr="00FB59B0" w:rsidRDefault="00D80693" w:rsidP="0016777C">
      <w:pPr>
        <w:spacing w:before="120"/>
        <w:jc w:val="both"/>
        <w:rPr>
          <w:rFonts w:eastAsia="Calibri"/>
          <w:sz w:val="24"/>
          <w:szCs w:val="24"/>
        </w:rPr>
      </w:pPr>
      <w:r w:rsidRPr="00FB59B0">
        <w:rPr>
          <w:rFonts w:eastAsiaTheme="minorHAnsi"/>
          <w:sz w:val="24"/>
          <w:szCs w:val="24"/>
        </w:rPr>
        <w:t>En Côte d’Ivoire, en dehors de certains établissements scolaires locaux et ceux internationaux (par exemple : les écoles françaises ou américaines) les enseignants du privé perçoivent des salaires très bas, oscillant autour du salaire minimum interprofessionnel garanti (smig). Dans certains cas, ils sont payés très souvent en retard, ou en plusieurs tranches dans des intervalles de temps très longs. Quand ils ne sont pas sous un contrat à durée indéterminée (CDI), ils sont sans salaire pendant les vacances scolaires. Lorsqu’ils sont embauchés, leurs salaires étant relativement bas, leur cotisation à la Caisse Nationale de Prévoyance Sociale (CNPS) est aussi très bas. Finalement, leur pension de retraite, qui est liée au montant qu’on leur a prélevé en guise de leur cotisation, sera encore plus faible, voire insignifiante. Par ailleurs, dans les établissements scolaires privés, la rémunération du personnel enseignant provient en majorité des frais scolaires payés par les parents d’élèves. Dans ce cas, il arrive qu’en cas de brouille entre l’enseignant et les élèves, les autorités de l’établissement ménagent les élèves aux dépens de l’enseignant pour fidéliser les parents d’élèves qui constituent de la clientèle pour</w:t>
      </w:r>
      <w:r w:rsidRPr="00FB59B0">
        <w:rPr>
          <w:rFonts w:asciiTheme="minorHAnsi" w:eastAsiaTheme="minorHAnsi" w:hAnsiTheme="minorHAnsi" w:cstheme="minorBidi"/>
        </w:rPr>
        <w:t xml:space="preserve"> </w:t>
      </w:r>
      <w:r w:rsidRPr="00FB59B0">
        <w:rPr>
          <w:rFonts w:eastAsiaTheme="minorHAnsi"/>
          <w:sz w:val="24"/>
          <w:szCs w:val="24"/>
        </w:rPr>
        <w:t>l’établissement scolaire. Ainsi, le poids de la « structure établissement » semble plus marqué dans le privé que dans le public (Paty, 1981).</w:t>
      </w:r>
    </w:p>
    <w:p w14:paraId="3DEEE557" w14:textId="7A3B5A2B" w:rsidR="008276DA" w:rsidRDefault="00D80693" w:rsidP="0016777C">
      <w:pPr>
        <w:spacing w:before="120"/>
        <w:jc w:val="both"/>
        <w:rPr>
          <w:rFonts w:eastAsiaTheme="minorHAnsi"/>
          <w:sz w:val="24"/>
          <w:szCs w:val="24"/>
        </w:rPr>
      </w:pPr>
      <w:r w:rsidRPr="00FB59B0">
        <w:rPr>
          <w:rFonts w:eastAsiaTheme="minorHAnsi"/>
          <w:sz w:val="24"/>
          <w:szCs w:val="24"/>
        </w:rPr>
        <w:t>Au regard de toutes ces idées ci-dessus émises, il apparaît que le milieu socioéducatif dans lequel travaillent les instituteurs du privé est plus contraignant et les soumet à plus de stress susceptible de les induire à la détresse psychologique que celui dans lequel les instituteurs du public travaillent. En somme, dans le contexte de la relation entre le type d’établissement scolaire et la santé mentale des instituteurs,</w:t>
      </w:r>
      <w:r>
        <w:rPr>
          <w:rFonts w:eastAsiaTheme="minorHAnsi"/>
          <w:sz w:val="24"/>
          <w:szCs w:val="24"/>
        </w:rPr>
        <w:t xml:space="preserve"> il ressort que</w:t>
      </w:r>
      <w:r w:rsidRPr="00FB59B0">
        <w:rPr>
          <w:rFonts w:eastAsiaTheme="minorHAnsi"/>
          <w:sz w:val="24"/>
          <w:szCs w:val="24"/>
        </w:rPr>
        <w:t xml:space="preserve"> les instituteurs du secteur privé semblent plus exposés à la détresse psychologique comparativement à ceux du secteur public. Ces différents états de santé mentale chez les enseignants semblent également tributaires de leurs conditions socioéconomiques qui constituent la seconde variable indépendante de l’étude.</w:t>
      </w:r>
    </w:p>
    <w:p w14:paraId="51FF0BFF" w14:textId="77777777" w:rsidR="008276DA" w:rsidRDefault="008276DA">
      <w:pPr>
        <w:rPr>
          <w:rFonts w:eastAsiaTheme="minorHAnsi"/>
          <w:sz w:val="24"/>
          <w:szCs w:val="24"/>
        </w:rPr>
      </w:pPr>
      <w:r>
        <w:rPr>
          <w:rFonts w:eastAsiaTheme="minorHAnsi"/>
          <w:sz w:val="24"/>
          <w:szCs w:val="24"/>
        </w:rPr>
        <w:br w:type="page"/>
      </w:r>
    </w:p>
    <w:p w14:paraId="10E12289" w14:textId="77777777" w:rsidR="00D80693" w:rsidRPr="00FB59B0" w:rsidRDefault="00D80693" w:rsidP="0016777C">
      <w:pPr>
        <w:spacing w:before="120"/>
        <w:jc w:val="both"/>
        <w:rPr>
          <w:rFonts w:eastAsia="Calibri"/>
          <w:b/>
          <w:bCs/>
          <w:i/>
          <w:iCs/>
          <w:sz w:val="24"/>
          <w:szCs w:val="24"/>
        </w:rPr>
      </w:pPr>
      <w:r w:rsidRPr="00FB59B0">
        <w:rPr>
          <w:rFonts w:eastAsiaTheme="minorHAnsi"/>
          <w:b/>
          <w:bCs/>
          <w:i/>
          <w:iCs/>
          <w:sz w:val="24"/>
          <w:szCs w:val="24"/>
        </w:rPr>
        <w:t>1.1.2.</w:t>
      </w:r>
      <w:r w:rsidRPr="00FB59B0">
        <w:rPr>
          <w:rFonts w:eastAsiaTheme="minorHAnsi"/>
          <w:b/>
          <w:bCs/>
          <w:i/>
          <w:iCs/>
          <w:sz w:val="24"/>
          <w:szCs w:val="24"/>
        </w:rPr>
        <w:tab/>
        <w:t>Conditions socioéconomiques</w:t>
      </w:r>
    </w:p>
    <w:p w14:paraId="27F692C6" w14:textId="77777777" w:rsidR="00D80693" w:rsidRPr="00FB59B0" w:rsidRDefault="00D80693" w:rsidP="0016777C">
      <w:pPr>
        <w:spacing w:before="120"/>
        <w:jc w:val="both"/>
        <w:rPr>
          <w:rFonts w:eastAsia="Calibri"/>
          <w:sz w:val="24"/>
          <w:szCs w:val="24"/>
        </w:rPr>
      </w:pPr>
      <w:r w:rsidRPr="00FB59B0">
        <w:rPr>
          <w:rFonts w:eastAsiaTheme="minorHAnsi"/>
          <w:sz w:val="24"/>
          <w:szCs w:val="24"/>
        </w:rPr>
        <w:t>Les conditions socioéconomiques regroupent l’ensemble des moyens matériels et immatériels propres à une société et qui lui permettent d’exister et de se reproduire (Mata, 2002). Elles constituent des facteurs psychosociaux déterminants dans la manifestation des états de santé mentale. Nous retenons comme indicateurs principaux des conditions socioéconomiques le niveau de revenu et les biens matériels (</w:t>
      </w:r>
      <w:proofErr w:type="spellStart"/>
      <w:r w:rsidRPr="00FB59B0">
        <w:rPr>
          <w:rFonts w:eastAsiaTheme="minorHAnsi"/>
          <w:sz w:val="24"/>
          <w:szCs w:val="24"/>
        </w:rPr>
        <w:t>Tieffi</w:t>
      </w:r>
      <w:proofErr w:type="spellEnd"/>
      <w:r w:rsidRPr="00FB59B0">
        <w:rPr>
          <w:rFonts w:eastAsiaTheme="minorHAnsi"/>
          <w:sz w:val="24"/>
          <w:szCs w:val="24"/>
        </w:rPr>
        <w:t>, 2007). Notre travail tient compte du</w:t>
      </w:r>
      <w:r>
        <w:rPr>
          <w:rFonts w:eastAsiaTheme="minorHAnsi"/>
          <w:sz w:val="24"/>
          <w:szCs w:val="24"/>
        </w:rPr>
        <w:t xml:space="preserve"> milieu urbain du</w:t>
      </w:r>
      <w:r w:rsidRPr="00FB59B0">
        <w:rPr>
          <w:rFonts w:eastAsiaTheme="minorHAnsi"/>
          <w:sz w:val="24"/>
          <w:szCs w:val="24"/>
        </w:rPr>
        <w:t xml:space="preserve"> contexte ivoirien dans lequel il est entrepris. E</w:t>
      </w:r>
      <w:r>
        <w:rPr>
          <w:rFonts w:eastAsiaTheme="minorHAnsi"/>
          <w:sz w:val="24"/>
          <w:szCs w:val="24"/>
        </w:rPr>
        <w:t>t pour</w:t>
      </w:r>
      <w:r w:rsidRPr="00FB59B0">
        <w:rPr>
          <w:rFonts w:eastAsiaTheme="minorHAnsi"/>
          <w:sz w:val="24"/>
          <w:szCs w:val="24"/>
        </w:rPr>
        <w:t xml:space="preserve"> mieux percevoir les différences interindividuelles que nous cherchons à expliquer, nous opposons des individus de milieux extrêmes : ceux de conditions socioéconomiques favorisées et ceux de conditions socioéconomiques défavorisées.</w:t>
      </w:r>
    </w:p>
    <w:p w14:paraId="396987D4" w14:textId="77777777" w:rsidR="00D80693" w:rsidRPr="00FB59B0" w:rsidRDefault="00D80693" w:rsidP="0016777C">
      <w:pPr>
        <w:spacing w:before="120"/>
        <w:jc w:val="both"/>
        <w:rPr>
          <w:rFonts w:eastAsia="Calibri"/>
          <w:sz w:val="24"/>
          <w:szCs w:val="24"/>
        </w:rPr>
      </w:pPr>
      <w:r w:rsidRPr="00FB59B0">
        <w:rPr>
          <w:rFonts w:eastAsiaTheme="minorHAnsi"/>
          <w:sz w:val="24"/>
          <w:szCs w:val="24"/>
        </w:rPr>
        <w:t>Certes, les enseignants du primaire ont relativement le même salaire, mais certains bénéficient d’autres sources de revenus supplémentaires leur permettant d’améliorer leurs conditions socioéconomiques. Ces sources de revenus supplémentaires peuvent être, par exemple, un héritage familial, l’apport financier du ou de la conjoint(e), ou des activités personnelles leur permettant d’acquérir certains biens mobiliers et immobiliers. Dans ce contexte, ces enseignants vivent dans des conditions socioéconomiques favorisées.</w:t>
      </w:r>
      <w:r>
        <w:rPr>
          <w:rFonts w:eastAsiaTheme="minorHAnsi"/>
          <w:sz w:val="24"/>
          <w:szCs w:val="24"/>
        </w:rPr>
        <w:t xml:space="preserve"> C’est-à-dire qu’ils</w:t>
      </w:r>
      <w:r w:rsidRPr="00FB59B0">
        <w:rPr>
          <w:rFonts w:eastAsiaTheme="minorHAnsi"/>
          <w:sz w:val="24"/>
          <w:szCs w:val="24"/>
        </w:rPr>
        <w:t xml:space="preserve"> résid</w:t>
      </w:r>
      <w:r>
        <w:rPr>
          <w:rFonts w:eastAsiaTheme="minorHAnsi"/>
          <w:sz w:val="24"/>
          <w:szCs w:val="24"/>
        </w:rPr>
        <w:t>e</w:t>
      </w:r>
      <w:r w:rsidRPr="00FB59B0">
        <w:rPr>
          <w:rFonts w:eastAsiaTheme="minorHAnsi"/>
          <w:sz w:val="24"/>
          <w:szCs w:val="24"/>
        </w:rPr>
        <w:t>nt dans une maison individuelle (villa ou pavillon) ou un appartement de haut standing dans un quartier résidentiel</w:t>
      </w:r>
      <w:r>
        <w:rPr>
          <w:rFonts w:eastAsiaTheme="minorHAnsi"/>
          <w:sz w:val="24"/>
          <w:szCs w:val="24"/>
        </w:rPr>
        <w:t xml:space="preserve"> ; ils </w:t>
      </w:r>
      <w:r w:rsidRPr="00FB59B0">
        <w:rPr>
          <w:rFonts w:eastAsiaTheme="minorHAnsi"/>
          <w:sz w:val="24"/>
          <w:szCs w:val="24"/>
        </w:rPr>
        <w:t xml:space="preserve">disposent d’un personnel domestique pour les travaux ménagers et ont suffisamment de ressources financières de sorte qu’ils sont en état de faire face à tout imprévu comme le fait d’apporter de l’aide financière aux autres sans risque d’être financièrement épuisés. </w:t>
      </w:r>
      <w:r>
        <w:rPr>
          <w:rFonts w:eastAsiaTheme="minorHAnsi"/>
          <w:sz w:val="24"/>
          <w:szCs w:val="24"/>
        </w:rPr>
        <w:t>Ils</w:t>
      </w:r>
      <w:r w:rsidRPr="00FB59B0">
        <w:rPr>
          <w:rFonts w:eastAsiaTheme="minorHAnsi"/>
          <w:sz w:val="24"/>
          <w:szCs w:val="24"/>
        </w:rPr>
        <w:t xml:space="preserve"> possèdent un ou plusieurs moyens de transport personnel.</w:t>
      </w:r>
      <w:r>
        <w:rPr>
          <w:rFonts w:eastAsiaTheme="minorHAnsi"/>
          <w:sz w:val="24"/>
          <w:szCs w:val="24"/>
        </w:rPr>
        <w:t xml:space="preserve"> </w:t>
      </w:r>
      <w:r w:rsidRPr="00FB59B0">
        <w:rPr>
          <w:rFonts w:eastAsiaTheme="minorHAnsi"/>
          <w:sz w:val="24"/>
          <w:szCs w:val="24"/>
        </w:rPr>
        <w:t>Tous ces éléments aid</w:t>
      </w:r>
      <w:r>
        <w:rPr>
          <w:rFonts w:eastAsiaTheme="minorHAnsi"/>
          <w:sz w:val="24"/>
          <w:szCs w:val="24"/>
        </w:rPr>
        <w:t>erai</w:t>
      </w:r>
      <w:r w:rsidRPr="00FB59B0">
        <w:rPr>
          <w:rFonts w:eastAsiaTheme="minorHAnsi"/>
          <w:sz w:val="24"/>
          <w:szCs w:val="24"/>
        </w:rPr>
        <w:t>ent les instituteurs vivant dans ces conditions à jouir d’un certain confort et d’une aisance sociale ; ce qui contribuerait dans une certaine mesure à renforcer leur épanouissement psychologique pendant l’exercice de leur métier. Les conditions socioéconomiques favorisées atténueraient donc l’exposition de l’instituteur à la détresse psychologique pendant l’exercice de son métier.</w:t>
      </w:r>
    </w:p>
    <w:p w14:paraId="208C97F3" w14:textId="77777777" w:rsidR="00D80693" w:rsidRDefault="00D80693" w:rsidP="0016777C">
      <w:pPr>
        <w:spacing w:before="120"/>
        <w:jc w:val="both"/>
        <w:rPr>
          <w:rFonts w:eastAsia="Calibri"/>
          <w:sz w:val="24"/>
          <w:szCs w:val="24"/>
        </w:rPr>
      </w:pPr>
      <w:r w:rsidRPr="00FB59B0">
        <w:rPr>
          <w:rFonts w:eastAsiaTheme="minorHAnsi"/>
          <w:sz w:val="24"/>
          <w:szCs w:val="24"/>
        </w:rPr>
        <w:t xml:space="preserve">En ce qui concerne les conditions socioéconomiques défavorisées, nous nous intéressons aux instituteurs qui n’ont d’autre revenu que leur salaire d’enseignant. S’ils sont en couple, ils ne bénéficient d’aucun soutien financier de la part du ou de la conjoint(e) pour leur ménage. Dans ce cas, ils dépendent du même salaire pour faire face à tous les besoins de leur ménage qui se présentent à eux tels que le loyer à payer, les factures d’eau courante et d’électricité, le pain quotidien, les soins médicaux pour les cas de problème de santé. </w:t>
      </w:r>
      <w:r>
        <w:rPr>
          <w:rFonts w:eastAsiaTheme="minorHAnsi"/>
          <w:sz w:val="24"/>
          <w:szCs w:val="24"/>
        </w:rPr>
        <w:t>I</w:t>
      </w:r>
      <w:r w:rsidRPr="00FB59B0">
        <w:rPr>
          <w:rFonts w:eastAsiaTheme="minorHAnsi"/>
          <w:sz w:val="24"/>
          <w:szCs w:val="24"/>
        </w:rPr>
        <w:t xml:space="preserve">ls résident </w:t>
      </w:r>
      <w:r>
        <w:rPr>
          <w:rFonts w:eastAsiaTheme="minorHAnsi"/>
          <w:sz w:val="24"/>
          <w:szCs w:val="24"/>
        </w:rPr>
        <w:t>dans</w:t>
      </w:r>
      <w:r w:rsidRPr="00FB59B0">
        <w:rPr>
          <w:rFonts w:eastAsiaTheme="minorHAnsi"/>
          <w:sz w:val="24"/>
          <w:szCs w:val="24"/>
        </w:rPr>
        <w:t xml:space="preserve"> des cours communes, ou des taudis avec des pièces surpeuplées, sans véhicule de transport personnel, ni de personnel domestique dans la mesure où leur salaire qui constituent leur seul revenu ne peut pas leur permettre de faire face à cette charge qui semble secondaire par rapport à d’autres.</w:t>
      </w:r>
      <w:r>
        <w:rPr>
          <w:rFonts w:eastAsiaTheme="minorHAnsi"/>
          <w:sz w:val="24"/>
          <w:szCs w:val="24"/>
        </w:rPr>
        <w:t xml:space="preserve"> </w:t>
      </w:r>
      <w:r w:rsidRPr="00FB59B0">
        <w:rPr>
          <w:rFonts w:eastAsiaTheme="minorHAnsi"/>
          <w:sz w:val="24"/>
          <w:szCs w:val="24"/>
        </w:rPr>
        <w:t>Dans ce contexte environnemental, les instituteurs de conditions socioéconomiques défavorisées seraient désavantagés, comparés à leurs homologues de conditions socioéconomiques favorisées. Ainsi, le contexte de conditions socioéconomiques défavorisées, tel que présenté, pourrait rejaillir négativement sur l’état psychologique dans lequel les enseignants exercent leur métier. En effet, plus le niveau de revenu s’accroît, moins on trouve des personnes présentant un taux élevé de détresse psychologique (ISQ, 2002), tandis que les classes sociales les plus pauvres fournissent plus d’individus victimes d’aliénation mentale que les classes financièrement indépendantes (Fortin, 1989). On peut donc supposer que les enseignants du primaire de conditions socioéconomiques défavorisées seront plus exposés à la détresse psychologique que ceux de conditions socioéconomiques favorisées. Dans cette situation, les conditions socioéconomiques défavorisées seraient alors positivement reliées à la détresse psychologique.</w:t>
      </w:r>
    </w:p>
    <w:p w14:paraId="4CAE0724" w14:textId="0E5DF389" w:rsidR="00D80693" w:rsidRPr="00FB59B0" w:rsidRDefault="00D80693" w:rsidP="0016777C">
      <w:pPr>
        <w:spacing w:before="120"/>
        <w:jc w:val="both"/>
        <w:rPr>
          <w:rFonts w:eastAsia="Calibri"/>
          <w:sz w:val="24"/>
          <w:szCs w:val="24"/>
        </w:rPr>
      </w:pPr>
      <w:r w:rsidRPr="00FB59B0">
        <w:rPr>
          <w:rFonts w:eastAsiaTheme="minorHAnsi"/>
          <w:sz w:val="24"/>
          <w:szCs w:val="24"/>
        </w:rPr>
        <w:t>Au terme de leur mise en situation</w:t>
      </w:r>
      <w:r>
        <w:rPr>
          <w:rFonts w:eastAsiaTheme="minorHAnsi"/>
          <w:sz w:val="24"/>
          <w:szCs w:val="24"/>
        </w:rPr>
        <w:t xml:space="preserve"> des variables</w:t>
      </w:r>
      <w:r w:rsidRPr="00FB59B0">
        <w:rPr>
          <w:rFonts w:eastAsiaTheme="minorHAnsi"/>
          <w:sz w:val="24"/>
          <w:szCs w:val="24"/>
        </w:rPr>
        <w:t xml:space="preserve"> en vue d’indiquer dans quelle mesure elles agissent sur la variable dépendante, nous pouvons dire que le « type d’établissement scolaire » se décline en deux modalités : ‘‘public’’ et ‘‘privé’’, et les « conditions socioéconomiques » ont deux modalités : ‘‘favorisées’’ et ‘‘défavorisées’’. En fonction de leurs modalités respectives, ces variables sont susceptibles de contribuer à la manifestation des états particuliers de santé mentale.</w:t>
      </w:r>
    </w:p>
    <w:p w14:paraId="4B54BCF4" w14:textId="77777777" w:rsidR="00D80693" w:rsidRPr="00FB59B0" w:rsidRDefault="00D80693" w:rsidP="0016777C">
      <w:pPr>
        <w:spacing w:before="120"/>
        <w:jc w:val="both"/>
        <w:rPr>
          <w:rFonts w:eastAsia="Calibri"/>
          <w:b/>
          <w:bCs/>
          <w:i/>
          <w:iCs/>
          <w:sz w:val="24"/>
          <w:szCs w:val="24"/>
        </w:rPr>
      </w:pPr>
      <w:r w:rsidRPr="00FB59B0">
        <w:rPr>
          <w:rFonts w:eastAsiaTheme="minorHAnsi"/>
          <w:b/>
          <w:bCs/>
          <w:i/>
          <w:iCs/>
          <w:sz w:val="24"/>
          <w:szCs w:val="24"/>
        </w:rPr>
        <w:t>1.1.3. Santé mentale</w:t>
      </w:r>
    </w:p>
    <w:p w14:paraId="0CE1C46B" w14:textId="77777777" w:rsidR="00D80693" w:rsidRPr="00FB59B0" w:rsidRDefault="00D80693" w:rsidP="0016777C">
      <w:pPr>
        <w:spacing w:before="120"/>
        <w:jc w:val="both"/>
        <w:rPr>
          <w:rFonts w:eastAsia="Calibri"/>
          <w:sz w:val="24"/>
          <w:szCs w:val="24"/>
        </w:rPr>
      </w:pPr>
      <w:r w:rsidRPr="00FB59B0">
        <w:rPr>
          <w:rFonts w:eastAsiaTheme="minorHAnsi"/>
          <w:sz w:val="24"/>
          <w:szCs w:val="24"/>
        </w:rPr>
        <w:t>La santé mentale renvoie à l’état d’équilibre psychique qui s’étend d’un pôle positif, caractérisé par le bien-être psychologique, à un pôle négatif, caractérisé par la détresse psychologique (Pelletier, 2005). Mal repérée ou mal accompagnée, la détresse psychologique peut multiplier les difficultés sociales (</w:t>
      </w:r>
      <w:proofErr w:type="spellStart"/>
      <w:r w:rsidRPr="00FB59B0">
        <w:rPr>
          <w:rFonts w:eastAsiaTheme="minorHAnsi"/>
          <w:sz w:val="24"/>
          <w:szCs w:val="24"/>
        </w:rPr>
        <w:t>Tieffi</w:t>
      </w:r>
      <w:proofErr w:type="spellEnd"/>
      <w:r w:rsidRPr="00FB59B0">
        <w:rPr>
          <w:rFonts w:eastAsiaTheme="minorHAnsi"/>
          <w:sz w:val="24"/>
          <w:szCs w:val="24"/>
        </w:rPr>
        <w:t xml:space="preserve"> &amp; Kouassi, 2018). C’est pourquoi l’étude cherche à savoir si pendant l’année scolaire les instituteurs manifestent ou non une détresse psychologique qui permet de connaître chez une personne l’état global de santé mentale (McVeigh &amp; al., 2006).</w:t>
      </w:r>
    </w:p>
    <w:p w14:paraId="4C39064D" w14:textId="77777777" w:rsidR="00D80693" w:rsidRPr="00FB59B0" w:rsidRDefault="00D80693" w:rsidP="0016777C">
      <w:pPr>
        <w:spacing w:before="120"/>
        <w:jc w:val="both"/>
        <w:rPr>
          <w:rFonts w:eastAsia="Calibri"/>
          <w:sz w:val="24"/>
          <w:szCs w:val="24"/>
        </w:rPr>
      </w:pPr>
      <w:r w:rsidRPr="00FB59B0">
        <w:rPr>
          <w:rFonts w:eastAsiaTheme="minorHAnsi"/>
          <w:sz w:val="24"/>
          <w:szCs w:val="24"/>
        </w:rPr>
        <w:t xml:space="preserve">La détresse psychologique chez les travailleurs tels que les instituteurs est facilement repérable à travers plusieurs manifestations pouvant s’observer sur les plans cognitif, émotionnel et comportemental. Les manifestations cognitives relevées concernent les problèmes de prise de décisions, de concentration et d’attention, le fait de voir son avenir négativement, les cauchemars, la méfiance. En termes de manifestations émotionnelles, on peut citer l’irritabilité, l’anxiété, la dépression la colère et l’excitabilité. Enfin, les manifestations comportementales comprennent les disputes, l’agressivité, les sautes d’humeur, l’isolement, le silence, les attitudes rigides, la passivité, l’abus de café, d’alcool, de drogues ou de surconsommation de médicaments. Par ailleurs, cette détresse psychologique s’articule autour d’un tableau fait de troubles psychologiques faible et sévère (Kessler, Andrews, </w:t>
      </w:r>
      <w:proofErr w:type="spellStart"/>
      <w:r w:rsidRPr="00FB59B0">
        <w:rPr>
          <w:rFonts w:eastAsiaTheme="minorHAnsi"/>
          <w:sz w:val="24"/>
          <w:szCs w:val="24"/>
        </w:rPr>
        <w:t>Colpe</w:t>
      </w:r>
      <w:proofErr w:type="spellEnd"/>
      <w:r w:rsidRPr="00FB59B0">
        <w:rPr>
          <w:rFonts w:eastAsiaTheme="minorHAnsi"/>
          <w:sz w:val="24"/>
          <w:szCs w:val="24"/>
        </w:rPr>
        <w:t>, Hiripi, Mroczek, Normand, Walters &amp; Zaslavsky, 2002). Ainsi, les instituteurs manifestant la détresse psychologique peuvent être à un niveau léger ou sévère.</w:t>
      </w:r>
    </w:p>
    <w:p w14:paraId="42B3921D" w14:textId="77777777" w:rsidR="00D80693" w:rsidRPr="00FB59B0" w:rsidRDefault="00D80693" w:rsidP="0016777C">
      <w:pPr>
        <w:spacing w:before="120"/>
        <w:jc w:val="both"/>
        <w:rPr>
          <w:rFonts w:eastAsia="Calibri"/>
          <w:b/>
          <w:bCs/>
          <w:sz w:val="24"/>
          <w:szCs w:val="24"/>
        </w:rPr>
      </w:pPr>
      <w:r w:rsidRPr="00FB59B0">
        <w:rPr>
          <w:rFonts w:eastAsiaTheme="minorHAnsi"/>
          <w:b/>
          <w:bCs/>
          <w:sz w:val="24"/>
          <w:szCs w:val="24"/>
        </w:rPr>
        <w:t>1.2. Participants</w:t>
      </w:r>
    </w:p>
    <w:p w14:paraId="7DF929B7" w14:textId="77777777" w:rsidR="00D80693" w:rsidRPr="00BF53F2" w:rsidRDefault="00D80693" w:rsidP="0016777C">
      <w:pPr>
        <w:spacing w:before="120"/>
        <w:jc w:val="both"/>
        <w:rPr>
          <w:rFonts w:eastAsia="Calibri"/>
          <w:sz w:val="24"/>
          <w:szCs w:val="24"/>
        </w:rPr>
      </w:pPr>
      <w:r w:rsidRPr="00FB59B0">
        <w:rPr>
          <w:rFonts w:eastAsiaTheme="minorHAnsi"/>
          <w:sz w:val="24"/>
          <w:szCs w:val="24"/>
        </w:rPr>
        <w:t>En nous fondant sur un échantillonnage empirique par choix raisonné, nous avons sélectionné 92 instituteurs provenant de 18 établissements scolaires primaires de Koumassi à Abidjan reconnus par l’Etat dont neuf (9) du public et neuf (9) du privé laïc. Les participants à l’étude</w:t>
      </w:r>
      <w:r w:rsidRPr="00BF53F2">
        <w:rPr>
          <w:rFonts w:asciiTheme="minorHAnsi" w:eastAsiaTheme="minorHAnsi" w:hAnsiTheme="minorHAnsi" w:cstheme="minorBidi"/>
        </w:rPr>
        <w:t xml:space="preserve"> </w:t>
      </w:r>
      <w:r w:rsidRPr="00BF53F2">
        <w:rPr>
          <w:rFonts w:eastAsiaTheme="minorHAnsi"/>
          <w:sz w:val="24"/>
          <w:szCs w:val="24"/>
        </w:rPr>
        <w:t xml:space="preserve">sont âgés de 28 à 59 ans avec un âge moyen de 44 ans pour ceux du public et 41 ans pour ceux du privé. Le type public ou privé de l’établissement scolaire est identifié à travers un support publicitaire qui sert à la présentation dudit établissement scolaire. </w:t>
      </w:r>
    </w:p>
    <w:p w14:paraId="5AC240BF" w14:textId="77777777" w:rsidR="00D80693" w:rsidRPr="00500F29" w:rsidRDefault="00D80693" w:rsidP="0016777C">
      <w:pPr>
        <w:spacing w:before="120"/>
        <w:jc w:val="both"/>
        <w:rPr>
          <w:rFonts w:eastAsia="Calibri"/>
          <w:b/>
          <w:bCs/>
          <w:sz w:val="24"/>
          <w:szCs w:val="24"/>
        </w:rPr>
      </w:pPr>
      <w:r w:rsidRPr="00500F29">
        <w:rPr>
          <w:rFonts w:eastAsiaTheme="minorHAnsi"/>
          <w:b/>
          <w:bCs/>
          <w:sz w:val="24"/>
          <w:szCs w:val="24"/>
        </w:rPr>
        <w:t xml:space="preserve">1.3. Instruments de recherche </w:t>
      </w:r>
    </w:p>
    <w:p w14:paraId="693AD58C" w14:textId="77777777" w:rsidR="00D80693" w:rsidRPr="00BF53F2" w:rsidRDefault="00D80693" w:rsidP="0016777C">
      <w:pPr>
        <w:spacing w:before="120"/>
        <w:jc w:val="both"/>
        <w:rPr>
          <w:rFonts w:eastAsia="Calibri"/>
          <w:sz w:val="24"/>
          <w:szCs w:val="24"/>
        </w:rPr>
      </w:pPr>
      <w:r w:rsidRPr="00BF53F2">
        <w:rPr>
          <w:rFonts w:eastAsiaTheme="minorHAnsi"/>
          <w:sz w:val="24"/>
          <w:szCs w:val="24"/>
        </w:rPr>
        <w:t>Un questionnaire incluant les caractéristiques sociodémographiques, l’échelle de détresse psychologique de Kessler (K6), ainsi qu’un guide d’entretien semi-directif ont servi à la collecte des données.</w:t>
      </w:r>
    </w:p>
    <w:p w14:paraId="111F46DC" w14:textId="77777777" w:rsidR="00D80693" w:rsidRPr="004F129E" w:rsidRDefault="00D80693" w:rsidP="0016777C">
      <w:pPr>
        <w:spacing w:before="120"/>
        <w:jc w:val="both"/>
        <w:rPr>
          <w:rFonts w:eastAsia="Calibri"/>
          <w:b/>
          <w:bCs/>
          <w:i/>
          <w:iCs/>
          <w:sz w:val="24"/>
          <w:szCs w:val="24"/>
        </w:rPr>
      </w:pPr>
      <w:r w:rsidRPr="004F129E">
        <w:rPr>
          <w:rFonts w:eastAsiaTheme="minorHAnsi"/>
          <w:b/>
          <w:bCs/>
          <w:i/>
          <w:iCs/>
          <w:sz w:val="24"/>
          <w:szCs w:val="24"/>
        </w:rPr>
        <w:t>1.3.1 Questionnaire</w:t>
      </w:r>
    </w:p>
    <w:p w14:paraId="77EE2815" w14:textId="77777777" w:rsidR="00D80693" w:rsidRPr="00BF53F2" w:rsidRDefault="00D80693" w:rsidP="0016777C">
      <w:pPr>
        <w:spacing w:before="120"/>
        <w:jc w:val="both"/>
        <w:rPr>
          <w:rFonts w:eastAsia="Calibri"/>
          <w:sz w:val="24"/>
          <w:szCs w:val="24"/>
        </w:rPr>
      </w:pPr>
      <w:r w:rsidRPr="00BF53F2">
        <w:rPr>
          <w:rFonts w:eastAsiaTheme="minorHAnsi"/>
          <w:sz w:val="24"/>
          <w:szCs w:val="24"/>
        </w:rPr>
        <w:t xml:space="preserve">Le questionnaire comporte deux parties. La première sert à collecter les données sociodémographiques relatives aux participants au moyen de questions signalétiques aidant à les classer en fonction du type d’établissement scolaire. La seconde partie du questionnaire renvoie à l’évaluation de la détresse psychologique chez les instituteurs à l’aide de l’échelle de Kessler (K6). Cet instrument, développé par Kessler &amp; al., (2002), présente d’excellentes qualités psychométriques démontrées à plusieurs reprises (Cairney, </w:t>
      </w:r>
      <w:proofErr w:type="spellStart"/>
      <w:r w:rsidRPr="00BF53F2">
        <w:rPr>
          <w:rFonts w:eastAsiaTheme="minorHAnsi"/>
          <w:sz w:val="24"/>
          <w:szCs w:val="24"/>
        </w:rPr>
        <w:t>Velddhuizen</w:t>
      </w:r>
      <w:proofErr w:type="spellEnd"/>
      <w:r w:rsidRPr="00BF53F2">
        <w:rPr>
          <w:rFonts w:eastAsiaTheme="minorHAnsi"/>
          <w:sz w:val="24"/>
          <w:szCs w:val="24"/>
        </w:rPr>
        <w:t xml:space="preserve">, Wade, </w:t>
      </w:r>
      <w:proofErr w:type="spellStart"/>
      <w:r w:rsidRPr="00BF53F2">
        <w:rPr>
          <w:rFonts w:eastAsiaTheme="minorHAnsi"/>
          <w:sz w:val="24"/>
          <w:szCs w:val="24"/>
        </w:rPr>
        <w:t>Kurdyak</w:t>
      </w:r>
      <w:proofErr w:type="spellEnd"/>
      <w:r w:rsidRPr="00BF53F2">
        <w:rPr>
          <w:rFonts w:eastAsiaTheme="minorHAnsi"/>
          <w:sz w:val="24"/>
          <w:szCs w:val="24"/>
        </w:rPr>
        <w:t xml:space="preserve"> &amp; </w:t>
      </w:r>
      <w:proofErr w:type="spellStart"/>
      <w:r w:rsidRPr="00BF53F2">
        <w:rPr>
          <w:rFonts w:eastAsiaTheme="minorHAnsi"/>
          <w:sz w:val="24"/>
          <w:szCs w:val="24"/>
        </w:rPr>
        <w:t>Streiner</w:t>
      </w:r>
      <w:proofErr w:type="spellEnd"/>
      <w:r w:rsidRPr="00BF53F2">
        <w:rPr>
          <w:rFonts w:eastAsiaTheme="minorHAnsi"/>
          <w:sz w:val="24"/>
          <w:szCs w:val="24"/>
        </w:rPr>
        <w:t xml:space="preserve">, 2007 ; Veldhuizen, Cairney, </w:t>
      </w:r>
      <w:proofErr w:type="spellStart"/>
      <w:r w:rsidRPr="00BF53F2">
        <w:rPr>
          <w:rFonts w:eastAsiaTheme="minorHAnsi"/>
          <w:sz w:val="24"/>
          <w:szCs w:val="24"/>
        </w:rPr>
        <w:t>Kudyak</w:t>
      </w:r>
      <w:proofErr w:type="spellEnd"/>
      <w:r w:rsidRPr="00BF53F2">
        <w:rPr>
          <w:rFonts w:eastAsiaTheme="minorHAnsi"/>
          <w:sz w:val="24"/>
          <w:szCs w:val="24"/>
        </w:rPr>
        <w:t xml:space="preserve"> &amp; </w:t>
      </w:r>
      <w:proofErr w:type="spellStart"/>
      <w:r w:rsidRPr="00BF53F2">
        <w:rPr>
          <w:rFonts w:eastAsiaTheme="minorHAnsi"/>
          <w:sz w:val="24"/>
          <w:szCs w:val="24"/>
        </w:rPr>
        <w:t>Streiner</w:t>
      </w:r>
      <w:proofErr w:type="spellEnd"/>
      <w:r w:rsidRPr="00BF53F2">
        <w:rPr>
          <w:rFonts w:eastAsiaTheme="minorHAnsi"/>
          <w:sz w:val="24"/>
          <w:szCs w:val="24"/>
        </w:rPr>
        <w:t>, 2007 ; Drapeau &amp; al., 2010). Il s’agit d’un questionnaire standardisé de six questions qui décrivent des symptômes d’anxiété et de dépression au cours du dernier mois. Le répondant indique son niveau de détresse sur une échelle de Likert à cinq niveaux de « Tout le temps » à « Jamais ».</w:t>
      </w:r>
      <w:r>
        <w:rPr>
          <w:rFonts w:eastAsiaTheme="minorHAnsi"/>
          <w:sz w:val="24"/>
          <w:szCs w:val="24"/>
        </w:rPr>
        <w:t xml:space="preserve"> </w:t>
      </w:r>
      <w:r w:rsidRPr="00BF53F2">
        <w:rPr>
          <w:rFonts w:eastAsiaTheme="minorHAnsi"/>
          <w:sz w:val="24"/>
          <w:szCs w:val="24"/>
        </w:rPr>
        <w:t>L’échelle de détresse psychologique de Kessler K6 (Kessler &amp; al., 2002) permet de mesurer la détresse psychologique non-spécifique (Statistique Canada, 2008).  Celle-ci est fondée sur 6 items évaluant la fréquence des symptômes de détresse psychologique non spécifique au cours du dernier mois. Voici les questions posées aux participants à l’étude : « Au cours du dernier mois, à quelle fréquence vous êtes-vous senti : 1) nerveux/nerveuse ; 2) désespéré(e) ; 3) agité(e) ou ne tenant pas en place ; 4) si déprimé(e) que rien ne pouvait vous faire sourire ; (5) que tout était un effort ; 6) bon(ne) à rien ».</w:t>
      </w:r>
    </w:p>
    <w:p w14:paraId="06849662" w14:textId="77777777" w:rsidR="00D80693" w:rsidRPr="004F129E" w:rsidRDefault="00D80693" w:rsidP="0016777C">
      <w:pPr>
        <w:spacing w:before="120"/>
        <w:jc w:val="both"/>
        <w:rPr>
          <w:rFonts w:eastAsia="Calibri"/>
          <w:b/>
          <w:bCs/>
          <w:i/>
          <w:iCs/>
          <w:sz w:val="24"/>
          <w:szCs w:val="24"/>
        </w:rPr>
      </w:pPr>
      <w:r w:rsidRPr="004F129E">
        <w:rPr>
          <w:rFonts w:eastAsiaTheme="minorHAnsi"/>
          <w:b/>
          <w:bCs/>
          <w:i/>
          <w:iCs/>
          <w:sz w:val="24"/>
          <w:szCs w:val="24"/>
        </w:rPr>
        <w:t xml:space="preserve">1.3.1.1 Cotation </w:t>
      </w:r>
    </w:p>
    <w:p w14:paraId="2789DEAE" w14:textId="77777777" w:rsidR="00D80693" w:rsidRPr="00BF53F2" w:rsidRDefault="00D80693" w:rsidP="0016777C">
      <w:pPr>
        <w:spacing w:before="120"/>
        <w:jc w:val="both"/>
        <w:rPr>
          <w:rFonts w:eastAsia="Calibri"/>
          <w:sz w:val="24"/>
          <w:szCs w:val="24"/>
        </w:rPr>
      </w:pPr>
      <w:r w:rsidRPr="00BF53F2">
        <w:rPr>
          <w:rFonts w:eastAsiaTheme="minorHAnsi"/>
          <w:sz w:val="24"/>
          <w:szCs w:val="24"/>
        </w:rPr>
        <w:t>Chaque item est coté sur échelle de Likert à cinq points : tout le temps (4 points), la plupart du temps (3 points), parfois (2 points), rarement (1 point), jamais (0 point). Selon les conditions d’application du questionnaire, les questions 3 et 6 ont été posées lorsque la réponse « jamais » était donnée à la question précédente et un score de 0 était systématiquement donné aux questions 3 et 6. Nous avons calculé le score K6 total pour chaque participant à l’enquête à partir de l’addition des scores reçus des 6 questions.</w:t>
      </w:r>
    </w:p>
    <w:p w14:paraId="6F309213" w14:textId="77777777" w:rsidR="00D80693" w:rsidRDefault="00D80693" w:rsidP="0016777C">
      <w:pPr>
        <w:spacing w:before="120"/>
        <w:jc w:val="both"/>
        <w:rPr>
          <w:rFonts w:eastAsia="Calibri"/>
          <w:sz w:val="24"/>
          <w:szCs w:val="24"/>
        </w:rPr>
      </w:pPr>
      <w:r w:rsidRPr="00BF53F2">
        <w:rPr>
          <w:rFonts w:eastAsiaTheme="minorHAnsi"/>
          <w:sz w:val="24"/>
          <w:szCs w:val="24"/>
        </w:rPr>
        <w:t>Un score K6 varie entre 0 et 24, plus le score est sévère, plus la détresse psychologique est sévère. En ce qui concerne les instructions de notation, il faut relever que chaque élément est noté de 0 « Jamais » à 4 « Tout le temps ». Les scores des 6 éléments sont alors additionnés, ce qui donne un score minimum de 0 et un score maximum de 24. Tout score supérieur ou égal à 13 indique la présence d’une détresse psychologique sévère et tout score inférieur à 13 indique une détresse psychologique légère.</w:t>
      </w:r>
    </w:p>
    <w:p w14:paraId="3560CD14" w14:textId="77777777" w:rsidR="00D80693" w:rsidRPr="00F378A4" w:rsidRDefault="00D80693" w:rsidP="0016777C">
      <w:pPr>
        <w:spacing w:before="120"/>
        <w:jc w:val="both"/>
        <w:rPr>
          <w:rFonts w:eastAsia="Calibri"/>
          <w:b/>
          <w:bCs/>
          <w:i/>
          <w:iCs/>
          <w:sz w:val="24"/>
          <w:szCs w:val="24"/>
        </w:rPr>
      </w:pPr>
      <w:r w:rsidRPr="00F378A4">
        <w:rPr>
          <w:rFonts w:eastAsiaTheme="minorHAnsi"/>
          <w:b/>
          <w:bCs/>
          <w:i/>
          <w:iCs/>
          <w:sz w:val="24"/>
          <w:szCs w:val="24"/>
        </w:rPr>
        <w:t>1.3.1.2 Procédure de collecte des données</w:t>
      </w:r>
    </w:p>
    <w:p w14:paraId="5DA83A93" w14:textId="77777777" w:rsidR="00D80693" w:rsidRPr="00BF53F2" w:rsidRDefault="00D80693" w:rsidP="0016777C">
      <w:pPr>
        <w:spacing w:before="120"/>
        <w:jc w:val="both"/>
        <w:rPr>
          <w:rFonts w:eastAsia="Calibri"/>
          <w:sz w:val="24"/>
          <w:szCs w:val="24"/>
        </w:rPr>
      </w:pPr>
      <w:r w:rsidRPr="00BF53F2">
        <w:rPr>
          <w:rFonts w:eastAsiaTheme="minorHAnsi"/>
          <w:sz w:val="24"/>
          <w:szCs w:val="24"/>
        </w:rPr>
        <w:t>Le questionnaire est administré pendant l’année scolaire aux instituteurs des établissements scolaires publics et privés de Koumassi après autorisation reçue de la part de la Direction régionale de l’éducation nationale (DREN) 2 et des différentes inspections de l’enseignement primaire (IEP). L’administration du questionnaire s’est faite en salle de classe, en fonction de la disponibilité des participants.</w:t>
      </w:r>
    </w:p>
    <w:p w14:paraId="19DC1017" w14:textId="77777777" w:rsidR="00D80693" w:rsidRPr="00F378A4" w:rsidRDefault="00D80693" w:rsidP="0016777C">
      <w:pPr>
        <w:spacing w:before="120"/>
        <w:jc w:val="both"/>
        <w:rPr>
          <w:rFonts w:eastAsia="Calibri"/>
          <w:b/>
          <w:bCs/>
          <w:i/>
          <w:iCs/>
          <w:sz w:val="24"/>
          <w:szCs w:val="24"/>
        </w:rPr>
      </w:pPr>
      <w:r w:rsidRPr="00F378A4">
        <w:rPr>
          <w:rFonts w:eastAsiaTheme="minorHAnsi"/>
          <w:b/>
          <w:bCs/>
          <w:i/>
          <w:iCs/>
          <w:sz w:val="24"/>
          <w:szCs w:val="24"/>
        </w:rPr>
        <w:t>1.3.2. Guide d’entretien</w:t>
      </w:r>
    </w:p>
    <w:p w14:paraId="2A621168" w14:textId="77777777" w:rsidR="00D80693" w:rsidRPr="00BF53F2" w:rsidRDefault="00D80693" w:rsidP="0016777C">
      <w:pPr>
        <w:spacing w:before="120"/>
        <w:jc w:val="both"/>
        <w:rPr>
          <w:rFonts w:eastAsia="Calibri"/>
          <w:sz w:val="24"/>
          <w:szCs w:val="24"/>
        </w:rPr>
      </w:pPr>
      <w:r w:rsidRPr="00BF53F2">
        <w:rPr>
          <w:rFonts w:eastAsiaTheme="minorHAnsi"/>
          <w:sz w:val="24"/>
          <w:szCs w:val="24"/>
        </w:rPr>
        <w:t>Le guide d’entretien nous a permis de collecter des informations relatives à l’origine socioéconomique des instituteurs. Le guide d’entretien se présente comme suit : Partie I : Conditions socioéconomiques / Par exemple, 1.« Avez-vous d’autre(s) source(s) de revenus en dehors de votre salaire d’enseignant(e) ? » ; 2.« Si oui, cette source de revenus provient-elle de : votre conjoint – une activité où vous êtes engagé – un héritage (familial ou quelconque) – autre (précisez) » ; 3 « Au regard de toutes les charges auxquelles vous devez faire face, le revenu de votre ménage est-il très suffisant, moyennement suffisant, insuffisant ou très insuffisant ? ». Partie II : Conditions de vie globale / Par exemple, « Quelles autres difficultés rencontrez-vous et qui affectent sérieusement votre efficacité au travail ? »</w:t>
      </w:r>
    </w:p>
    <w:p w14:paraId="0F428E76" w14:textId="77777777" w:rsidR="00D80693" w:rsidRPr="00C4472D" w:rsidRDefault="00D80693" w:rsidP="0016777C">
      <w:pPr>
        <w:spacing w:before="120"/>
        <w:jc w:val="both"/>
        <w:rPr>
          <w:rFonts w:eastAsia="Calibri"/>
          <w:b/>
          <w:bCs/>
          <w:sz w:val="24"/>
          <w:szCs w:val="24"/>
        </w:rPr>
      </w:pPr>
      <w:r w:rsidRPr="00C4472D">
        <w:rPr>
          <w:rFonts w:eastAsiaTheme="minorHAnsi"/>
          <w:b/>
          <w:bCs/>
          <w:sz w:val="24"/>
          <w:szCs w:val="24"/>
        </w:rPr>
        <w:t>1.4. Analyse des données</w:t>
      </w:r>
    </w:p>
    <w:p w14:paraId="076009E1" w14:textId="77777777" w:rsidR="00D80693" w:rsidRPr="00BF53F2" w:rsidRDefault="00D80693" w:rsidP="0016777C">
      <w:pPr>
        <w:spacing w:before="120"/>
        <w:jc w:val="both"/>
        <w:rPr>
          <w:rFonts w:eastAsia="Calibri"/>
          <w:sz w:val="24"/>
          <w:szCs w:val="24"/>
        </w:rPr>
      </w:pPr>
      <w:r w:rsidRPr="00BF53F2">
        <w:rPr>
          <w:rFonts w:eastAsiaTheme="minorHAnsi"/>
          <w:sz w:val="24"/>
          <w:szCs w:val="24"/>
        </w:rPr>
        <w:t>Les résultats de l’étude sont analysés selon deux aspects : 1) quantitatifs et 2) qualitatifs. Les données quantitatives sont analysées par la méthode d’analyse statistique du Khi Carré de Pearson et les données qualitatives sont, quant à elles, analysées par la méthode d’analyse qualitative en l’occurrence « l’analyse du contenu du discours ». Les aspects quantitatifs des résultats sont exposés sous formes de tableaux de contingence.</w:t>
      </w:r>
    </w:p>
    <w:p w14:paraId="0A67BB62" w14:textId="77777777" w:rsidR="00D80693" w:rsidRPr="004F129E" w:rsidRDefault="00D80693" w:rsidP="0016777C">
      <w:pPr>
        <w:spacing w:before="120"/>
        <w:jc w:val="both"/>
        <w:rPr>
          <w:rFonts w:eastAsia="Calibri"/>
          <w:b/>
          <w:bCs/>
          <w:i/>
          <w:iCs/>
          <w:sz w:val="24"/>
          <w:szCs w:val="24"/>
        </w:rPr>
      </w:pPr>
      <w:r w:rsidRPr="004F129E">
        <w:rPr>
          <w:rFonts w:eastAsiaTheme="minorHAnsi"/>
          <w:b/>
          <w:bCs/>
          <w:i/>
          <w:iCs/>
          <w:sz w:val="24"/>
          <w:szCs w:val="24"/>
        </w:rPr>
        <w:t>1.4.1. Techniques statistiques</w:t>
      </w:r>
    </w:p>
    <w:p w14:paraId="488C4C62" w14:textId="77777777" w:rsidR="00D80693" w:rsidRPr="00BF53F2" w:rsidRDefault="00D80693" w:rsidP="0016777C">
      <w:pPr>
        <w:spacing w:before="120"/>
        <w:jc w:val="both"/>
        <w:rPr>
          <w:rFonts w:eastAsia="Calibri"/>
          <w:sz w:val="24"/>
          <w:szCs w:val="24"/>
        </w:rPr>
      </w:pPr>
      <w:r w:rsidRPr="00BF53F2">
        <w:rPr>
          <w:rFonts w:eastAsiaTheme="minorHAnsi"/>
          <w:sz w:val="24"/>
          <w:szCs w:val="24"/>
        </w:rPr>
        <w:t>Les trois variables mises en jeu dans cette étude (le type d’établissement scolaire, les conditions socioéconomiques et la santé mentale) sont de nature qualitative. Il s’agit ici de chercher à savoir s’il existe une relation entre ces trois variables. C’est donc une étude de type corrélationnel. Par ailleurs, les données étant de nature qualitative, la technique statistique appropriée pour tester la significativité entre les variables est le Khi Carré de Pearson qui permet de juger si les différences entre les proportions observées et les proportions théoriques sont dues au hasard de l’échantillonnage ou si elles sont significatives. Il convient de souligner que lorsque certains effectifs concernant les groupes de participants à comparer sont inférieurs à 10, on doit utiliser la formule du Khi carré corrigé selon la formule corrigée de Yates pour le calcul des corrélations.</w:t>
      </w:r>
    </w:p>
    <w:p w14:paraId="495B24C4" w14:textId="77777777" w:rsidR="00D80693" w:rsidRPr="004F129E" w:rsidRDefault="00D80693" w:rsidP="0016777C">
      <w:pPr>
        <w:spacing w:before="120"/>
        <w:jc w:val="both"/>
        <w:rPr>
          <w:rFonts w:eastAsia="Calibri"/>
          <w:b/>
          <w:bCs/>
          <w:i/>
          <w:iCs/>
          <w:sz w:val="24"/>
          <w:szCs w:val="24"/>
        </w:rPr>
      </w:pPr>
      <w:r w:rsidRPr="004F129E">
        <w:rPr>
          <w:rFonts w:eastAsiaTheme="minorHAnsi"/>
          <w:b/>
          <w:bCs/>
          <w:i/>
          <w:iCs/>
          <w:sz w:val="24"/>
          <w:szCs w:val="24"/>
        </w:rPr>
        <w:t>1.4.2. Analyse du contenu du discours</w:t>
      </w:r>
    </w:p>
    <w:p w14:paraId="489E52E3" w14:textId="77777777" w:rsidR="00D80693" w:rsidRPr="00BF53F2" w:rsidRDefault="00D80693" w:rsidP="0016777C">
      <w:pPr>
        <w:spacing w:before="120"/>
        <w:jc w:val="both"/>
        <w:rPr>
          <w:rFonts w:eastAsia="Calibri"/>
          <w:sz w:val="24"/>
          <w:szCs w:val="24"/>
        </w:rPr>
      </w:pPr>
      <w:r w:rsidRPr="00BF53F2">
        <w:rPr>
          <w:rFonts w:eastAsiaTheme="minorHAnsi"/>
          <w:sz w:val="24"/>
          <w:szCs w:val="24"/>
        </w:rPr>
        <w:t>Les données qualitatives sont analysées par la méthode d’analyse qualitative qui consiste dans notre contexte en l’analyse du contenu du discours.</w:t>
      </w:r>
    </w:p>
    <w:p w14:paraId="7CDEA694" w14:textId="77777777" w:rsidR="00D80693" w:rsidRDefault="00D80693" w:rsidP="0016777C">
      <w:pPr>
        <w:spacing w:before="120"/>
        <w:jc w:val="both"/>
        <w:rPr>
          <w:rFonts w:eastAsia="Calibri"/>
          <w:b/>
          <w:bCs/>
          <w:sz w:val="28"/>
          <w:szCs w:val="28"/>
        </w:rPr>
      </w:pPr>
      <w:r w:rsidRPr="00BF53F2">
        <w:rPr>
          <w:rFonts w:eastAsiaTheme="minorHAnsi"/>
          <w:b/>
          <w:bCs/>
          <w:sz w:val="28"/>
          <w:szCs w:val="28"/>
        </w:rPr>
        <w:t>2.Résultats</w:t>
      </w:r>
    </w:p>
    <w:p w14:paraId="04A96CFC" w14:textId="77777777" w:rsidR="00D80693" w:rsidRPr="00626F3A" w:rsidRDefault="00D80693" w:rsidP="0016777C">
      <w:pPr>
        <w:spacing w:before="120"/>
        <w:jc w:val="both"/>
        <w:rPr>
          <w:rFonts w:eastAsia="Calibri"/>
          <w:sz w:val="24"/>
          <w:szCs w:val="24"/>
        </w:rPr>
      </w:pPr>
      <w:r w:rsidRPr="00626F3A">
        <w:rPr>
          <w:rFonts w:eastAsiaTheme="minorHAnsi"/>
          <w:sz w:val="24"/>
          <w:szCs w:val="24"/>
        </w:rPr>
        <w:t>Les résultats de l’étude sont présentés selon le lien entre la santé mentale et le type d’établissement scolaire et les conditions socioéconomiques des participants.</w:t>
      </w:r>
    </w:p>
    <w:p w14:paraId="72C6C4B4" w14:textId="77777777" w:rsidR="00D80693" w:rsidRPr="00626F3A" w:rsidRDefault="00D80693" w:rsidP="0016777C">
      <w:pPr>
        <w:spacing w:before="120"/>
        <w:jc w:val="both"/>
        <w:rPr>
          <w:rFonts w:eastAsia="Calibri"/>
          <w:b/>
          <w:bCs/>
          <w:sz w:val="24"/>
          <w:szCs w:val="24"/>
        </w:rPr>
      </w:pPr>
      <w:r w:rsidRPr="00626F3A">
        <w:rPr>
          <w:rFonts w:eastAsiaTheme="minorHAnsi"/>
          <w:b/>
          <w:bCs/>
          <w:sz w:val="24"/>
          <w:szCs w:val="24"/>
        </w:rPr>
        <w:t>2.1. Type d’établissement scolaire et santé mentale des instituteurs</w:t>
      </w:r>
    </w:p>
    <w:p w14:paraId="4E752055" w14:textId="77777777" w:rsidR="00D80693" w:rsidRPr="004F129E" w:rsidRDefault="00D80693" w:rsidP="0016777C">
      <w:pPr>
        <w:spacing w:before="120"/>
        <w:jc w:val="both"/>
        <w:rPr>
          <w:rFonts w:eastAsia="Calibri"/>
          <w:b/>
          <w:bCs/>
          <w:i/>
          <w:iCs/>
          <w:sz w:val="24"/>
          <w:szCs w:val="24"/>
        </w:rPr>
      </w:pPr>
      <w:r w:rsidRPr="00626F3A">
        <w:rPr>
          <w:rFonts w:eastAsiaTheme="minorHAnsi"/>
          <w:sz w:val="24"/>
          <w:szCs w:val="24"/>
        </w:rPr>
        <w:t>Pour évaluer l’effet du type d’établissement scolaire sur la santé mentale des instituteurs, le type d’établissement scolaire est directement mis en relation avec la détresse psychologique</w:t>
      </w:r>
      <w:r>
        <w:rPr>
          <w:rFonts w:eastAsiaTheme="minorHAnsi"/>
          <w:sz w:val="24"/>
          <w:szCs w:val="24"/>
        </w:rPr>
        <w:t>.</w:t>
      </w:r>
      <w:r>
        <w:rPr>
          <w:rFonts w:eastAsiaTheme="minorHAnsi"/>
          <w:b/>
          <w:bCs/>
          <w:i/>
          <w:iCs/>
          <w:sz w:val="24"/>
          <w:szCs w:val="24"/>
        </w:rPr>
        <w:t xml:space="preserve"> </w:t>
      </w:r>
    </w:p>
    <w:p w14:paraId="7E6628ED" w14:textId="77777777" w:rsidR="00D80693" w:rsidRPr="00C4472D" w:rsidRDefault="00D80693" w:rsidP="0016777C">
      <w:pPr>
        <w:spacing w:before="120"/>
        <w:jc w:val="both"/>
        <w:rPr>
          <w:rFonts w:eastAsia="Calibri"/>
          <w:b/>
          <w:bCs/>
        </w:rPr>
      </w:pPr>
      <w:r w:rsidRPr="00626F3A">
        <w:rPr>
          <w:rFonts w:eastAsiaTheme="minorHAnsi"/>
          <w:sz w:val="24"/>
          <w:szCs w:val="24"/>
        </w:rPr>
        <w:tab/>
      </w:r>
      <w:r w:rsidRPr="00C4472D">
        <w:rPr>
          <w:rFonts w:eastAsiaTheme="minorHAnsi"/>
          <w:b/>
          <w:bCs/>
        </w:rPr>
        <w:t>Tableau n°1 : Type d’établissement scolaire et détresse psychologique</w:t>
      </w:r>
    </w:p>
    <w:tbl>
      <w:tblPr>
        <w:tblStyle w:val="Grilledutableau10"/>
        <w:tblW w:w="0" w:type="auto"/>
        <w:tblInd w:w="851" w:type="dxa"/>
        <w:tblLook w:val="04A0" w:firstRow="1" w:lastRow="0" w:firstColumn="1" w:lastColumn="0" w:noHBand="0" w:noVBand="1"/>
      </w:tblPr>
      <w:tblGrid>
        <w:gridCol w:w="1597"/>
        <w:gridCol w:w="1344"/>
        <w:gridCol w:w="1438"/>
        <w:gridCol w:w="1556"/>
        <w:gridCol w:w="1276"/>
      </w:tblGrid>
      <w:tr w:rsidR="00D80693" w14:paraId="7DBD0ACD" w14:textId="77777777" w:rsidTr="00D72320">
        <w:tc>
          <w:tcPr>
            <w:tcW w:w="2941" w:type="dxa"/>
            <w:gridSpan w:val="2"/>
            <w:tcBorders>
              <w:top w:val="nil"/>
              <w:left w:val="nil"/>
              <w:bottom w:val="nil"/>
            </w:tcBorders>
          </w:tcPr>
          <w:p w14:paraId="303D1A50" w14:textId="77777777" w:rsidR="00D80693" w:rsidRPr="00626F3A" w:rsidRDefault="00D80693" w:rsidP="0016777C">
            <w:pPr>
              <w:autoSpaceDE w:val="0"/>
              <w:autoSpaceDN w:val="0"/>
              <w:adjustRightInd w:val="0"/>
              <w:spacing w:before="120"/>
              <w:rPr>
                <w:color w:val="000000"/>
                <w:sz w:val="24"/>
                <w:szCs w:val="24"/>
                <w:lang w:eastAsia="fr-FR"/>
              </w:rPr>
            </w:pPr>
          </w:p>
        </w:tc>
        <w:tc>
          <w:tcPr>
            <w:tcW w:w="2994" w:type="dxa"/>
            <w:gridSpan w:val="2"/>
          </w:tcPr>
          <w:p w14:paraId="33273F9D"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Détresse psychologique</w:t>
            </w:r>
          </w:p>
        </w:tc>
        <w:tc>
          <w:tcPr>
            <w:tcW w:w="1276" w:type="dxa"/>
            <w:tcBorders>
              <w:top w:val="nil"/>
              <w:right w:val="nil"/>
            </w:tcBorders>
          </w:tcPr>
          <w:p w14:paraId="03C027A1" w14:textId="77777777" w:rsidR="00D80693" w:rsidRPr="00626F3A" w:rsidRDefault="00D80693" w:rsidP="0016777C">
            <w:pPr>
              <w:autoSpaceDE w:val="0"/>
              <w:autoSpaceDN w:val="0"/>
              <w:adjustRightInd w:val="0"/>
              <w:spacing w:before="120"/>
              <w:rPr>
                <w:color w:val="000000"/>
                <w:sz w:val="24"/>
                <w:szCs w:val="24"/>
                <w:lang w:eastAsia="fr-FR"/>
              </w:rPr>
            </w:pPr>
          </w:p>
        </w:tc>
      </w:tr>
      <w:tr w:rsidR="00D80693" w14:paraId="5B4C0A84" w14:textId="77777777" w:rsidTr="00D72320">
        <w:tc>
          <w:tcPr>
            <w:tcW w:w="2941" w:type="dxa"/>
            <w:gridSpan w:val="2"/>
            <w:tcBorders>
              <w:top w:val="nil"/>
              <w:left w:val="nil"/>
            </w:tcBorders>
          </w:tcPr>
          <w:p w14:paraId="585446F8" w14:textId="77777777" w:rsidR="00D80693" w:rsidRPr="00626F3A" w:rsidRDefault="00D80693" w:rsidP="0016777C">
            <w:pPr>
              <w:autoSpaceDE w:val="0"/>
              <w:autoSpaceDN w:val="0"/>
              <w:adjustRightInd w:val="0"/>
              <w:spacing w:before="120"/>
              <w:rPr>
                <w:color w:val="000000"/>
                <w:sz w:val="24"/>
                <w:szCs w:val="24"/>
                <w:lang w:eastAsia="fr-FR"/>
              </w:rPr>
            </w:pPr>
          </w:p>
        </w:tc>
        <w:tc>
          <w:tcPr>
            <w:tcW w:w="1438" w:type="dxa"/>
          </w:tcPr>
          <w:p w14:paraId="34337289"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Détresse</w:t>
            </w:r>
          </w:p>
          <w:p w14:paraId="34BDAE76" w14:textId="77777777" w:rsidR="00D80693" w:rsidRPr="00626F3A" w:rsidRDefault="00D80693" w:rsidP="0016777C">
            <w:pPr>
              <w:autoSpaceDE w:val="0"/>
              <w:autoSpaceDN w:val="0"/>
              <w:adjustRightInd w:val="0"/>
              <w:spacing w:before="120"/>
              <w:jc w:val="center"/>
              <w:rPr>
                <w:color w:val="000000"/>
                <w:lang w:eastAsia="fr-FR"/>
              </w:rPr>
            </w:pPr>
            <w:proofErr w:type="gramStart"/>
            <w:r w:rsidRPr="00626F3A">
              <w:rPr>
                <w:color w:val="000000"/>
                <w:lang w:eastAsia="fr-FR"/>
              </w:rPr>
              <w:t>faible</w:t>
            </w:r>
            <w:proofErr w:type="gramEnd"/>
          </w:p>
        </w:tc>
        <w:tc>
          <w:tcPr>
            <w:tcW w:w="1556" w:type="dxa"/>
            <w:tcBorders>
              <w:bottom w:val="single" w:sz="4" w:space="0" w:color="auto"/>
            </w:tcBorders>
          </w:tcPr>
          <w:p w14:paraId="6BDAC3A6"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Détresse</w:t>
            </w:r>
          </w:p>
          <w:p w14:paraId="4290AEE4" w14:textId="77777777" w:rsidR="00D80693" w:rsidRPr="00626F3A" w:rsidRDefault="00D80693" w:rsidP="0016777C">
            <w:pPr>
              <w:autoSpaceDE w:val="0"/>
              <w:autoSpaceDN w:val="0"/>
              <w:adjustRightInd w:val="0"/>
              <w:spacing w:before="120"/>
              <w:jc w:val="center"/>
              <w:rPr>
                <w:color w:val="000000"/>
                <w:lang w:eastAsia="fr-FR"/>
              </w:rPr>
            </w:pPr>
            <w:proofErr w:type="gramStart"/>
            <w:r w:rsidRPr="00626F3A">
              <w:rPr>
                <w:color w:val="000000"/>
                <w:lang w:eastAsia="fr-FR"/>
              </w:rPr>
              <w:t>sévère</w:t>
            </w:r>
            <w:proofErr w:type="gramEnd"/>
          </w:p>
        </w:tc>
        <w:tc>
          <w:tcPr>
            <w:tcW w:w="1276" w:type="dxa"/>
          </w:tcPr>
          <w:p w14:paraId="439236C5"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Total</w:t>
            </w:r>
          </w:p>
        </w:tc>
      </w:tr>
      <w:tr w:rsidR="00D80693" w14:paraId="7E60622B" w14:textId="77777777" w:rsidTr="00D72320">
        <w:tc>
          <w:tcPr>
            <w:tcW w:w="1597" w:type="dxa"/>
            <w:vMerge w:val="restart"/>
          </w:tcPr>
          <w:p w14:paraId="0F3C59D3"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Type d’établissement scolaire</w:t>
            </w:r>
          </w:p>
        </w:tc>
        <w:tc>
          <w:tcPr>
            <w:tcW w:w="1344" w:type="dxa"/>
          </w:tcPr>
          <w:p w14:paraId="194EAE66"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Public</w:t>
            </w:r>
          </w:p>
        </w:tc>
        <w:tc>
          <w:tcPr>
            <w:tcW w:w="1438" w:type="dxa"/>
          </w:tcPr>
          <w:p w14:paraId="7A85421D"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36</w:t>
            </w:r>
          </w:p>
        </w:tc>
        <w:tc>
          <w:tcPr>
            <w:tcW w:w="1556" w:type="dxa"/>
            <w:tcBorders>
              <w:bottom w:val="single" w:sz="4" w:space="0" w:color="auto"/>
            </w:tcBorders>
          </w:tcPr>
          <w:p w14:paraId="6546422D"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10</w:t>
            </w:r>
          </w:p>
        </w:tc>
        <w:tc>
          <w:tcPr>
            <w:tcW w:w="1276" w:type="dxa"/>
          </w:tcPr>
          <w:p w14:paraId="5365AB10"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46</w:t>
            </w:r>
          </w:p>
        </w:tc>
      </w:tr>
      <w:tr w:rsidR="00D80693" w14:paraId="3057152F" w14:textId="77777777" w:rsidTr="00D72320">
        <w:tc>
          <w:tcPr>
            <w:tcW w:w="1597" w:type="dxa"/>
            <w:vMerge/>
          </w:tcPr>
          <w:p w14:paraId="52A31843" w14:textId="77777777" w:rsidR="00D80693" w:rsidRPr="00626F3A" w:rsidRDefault="00D80693" w:rsidP="0016777C">
            <w:pPr>
              <w:autoSpaceDE w:val="0"/>
              <w:autoSpaceDN w:val="0"/>
              <w:adjustRightInd w:val="0"/>
              <w:spacing w:before="120"/>
              <w:rPr>
                <w:color w:val="000000"/>
                <w:sz w:val="24"/>
                <w:szCs w:val="24"/>
                <w:lang w:eastAsia="fr-FR"/>
              </w:rPr>
            </w:pPr>
          </w:p>
        </w:tc>
        <w:tc>
          <w:tcPr>
            <w:tcW w:w="1344" w:type="dxa"/>
          </w:tcPr>
          <w:p w14:paraId="55E699EE"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Privé</w:t>
            </w:r>
          </w:p>
        </w:tc>
        <w:tc>
          <w:tcPr>
            <w:tcW w:w="1438" w:type="dxa"/>
          </w:tcPr>
          <w:p w14:paraId="0AAC2644"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23</w:t>
            </w:r>
          </w:p>
        </w:tc>
        <w:tc>
          <w:tcPr>
            <w:tcW w:w="1556" w:type="dxa"/>
            <w:tcBorders>
              <w:top w:val="single" w:sz="4" w:space="0" w:color="auto"/>
              <w:bottom w:val="single" w:sz="4" w:space="0" w:color="auto"/>
            </w:tcBorders>
          </w:tcPr>
          <w:p w14:paraId="0944BA46"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23</w:t>
            </w:r>
          </w:p>
        </w:tc>
        <w:tc>
          <w:tcPr>
            <w:tcW w:w="1276" w:type="dxa"/>
          </w:tcPr>
          <w:p w14:paraId="2CAAD26B"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46</w:t>
            </w:r>
          </w:p>
        </w:tc>
      </w:tr>
      <w:tr w:rsidR="00D80693" w14:paraId="03C49586" w14:textId="77777777" w:rsidTr="00D72320">
        <w:tc>
          <w:tcPr>
            <w:tcW w:w="1597" w:type="dxa"/>
            <w:vMerge/>
          </w:tcPr>
          <w:p w14:paraId="17D47C66" w14:textId="77777777" w:rsidR="00D80693" w:rsidRPr="00626F3A" w:rsidRDefault="00D80693" w:rsidP="0016777C">
            <w:pPr>
              <w:autoSpaceDE w:val="0"/>
              <w:autoSpaceDN w:val="0"/>
              <w:adjustRightInd w:val="0"/>
              <w:spacing w:before="120"/>
              <w:rPr>
                <w:color w:val="000000"/>
                <w:sz w:val="24"/>
                <w:szCs w:val="24"/>
                <w:lang w:eastAsia="fr-FR"/>
              </w:rPr>
            </w:pPr>
          </w:p>
        </w:tc>
        <w:tc>
          <w:tcPr>
            <w:tcW w:w="1344" w:type="dxa"/>
          </w:tcPr>
          <w:p w14:paraId="4DB5241B"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Total</w:t>
            </w:r>
          </w:p>
        </w:tc>
        <w:tc>
          <w:tcPr>
            <w:tcW w:w="1438" w:type="dxa"/>
          </w:tcPr>
          <w:p w14:paraId="3936EB7D"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59</w:t>
            </w:r>
          </w:p>
        </w:tc>
        <w:tc>
          <w:tcPr>
            <w:tcW w:w="1556" w:type="dxa"/>
            <w:tcBorders>
              <w:top w:val="single" w:sz="4" w:space="0" w:color="auto"/>
            </w:tcBorders>
          </w:tcPr>
          <w:p w14:paraId="0AF4DF6C"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33</w:t>
            </w:r>
          </w:p>
        </w:tc>
        <w:tc>
          <w:tcPr>
            <w:tcW w:w="1276" w:type="dxa"/>
          </w:tcPr>
          <w:p w14:paraId="6F2BF0DF" w14:textId="77777777" w:rsidR="00D80693" w:rsidRPr="00626F3A" w:rsidRDefault="00D80693" w:rsidP="0016777C">
            <w:pPr>
              <w:autoSpaceDE w:val="0"/>
              <w:autoSpaceDN w:val="0"/>
              <w:adjustRightInd w:val="0"/>
              <w:spacing w:before="120"/>
              <w:jc w:val="center"/>
              <w:rPr>
                <w:color w:val="000000"/>
                <w:lang w:eastAsia="fr-FR"/>
              </w:rPr>
            </w:pPr>
            <w:r w:rsidRPr="00626F3A">
              <w:rPr>
                <w:color w:val="000000"/>
                <w:lang w:eastAsia="fr-FR"/>
              </w:rPr>
              <w:t>92</w:t>
            </w:r>
          </w:p>
        </w:tc>
      </w:tr>
    </w:tbl>
    <w:p w14:paraId="27A8E88F" w14:textId="77777777" w:rsidR="00D80693" w:rsidRDefault="00D80693" w:rsidP="0016777C">
      <w:pPr>
        <w:spacing w:before="120"/>
        <w:jc w:val="both"/>
        <w:rPr>
          <w:rFonts w:eastAsia="Calibri"/>
          <w:i/>
          <w:iCs/>
        </w:rPr>
      </w:pPr>
      <w:r>
        <w:rPr>
          <w:rFonts w:eastAsiaTheme="minorHAnsi"/>
          <w:sz w:val="24"/>
          <w:szCs w:val="24"/>
        </w:rPr>
        <w:t xml:space="preserve">              </w:t>
      </w:r>
      <w:r w:rsidRPr="0002159A">
        <w:rPr>
          <w:rFonts w:eastAsiaTheme="minorHAnsi"/>
          <w:i/>
          <w:iCs/>
        </w:rPr>
        <w:t>Source : Données de la collecte</w:t>
      </w:r>
    </w:p>
    <w:p w14:paraId="15EE763E" w14:textId="77777777" w:rsidR="00D80693" w:rsidRPr="0002159A" w:rsidRDefault="00D80693" w:rsidP="0016777C">
      <w:pPr>
        <w:spacing w:before="120"/>
        <w:jc w:val="both"/>
        <w:rPr>
          <w:rFonts w:eastAsia="Calibri"/>
          <w:i/>
          <w:iCs/>
        </w:rPr>
      </w:pPr>
      <w:r w:rsidRPr="00026C22">
        <w:rPr>
          <w:rFonts w:eastAsiaTheme="minorHAnsi"/>
          <w:sz w:val="24"/>
          <w:szCs w:val="24"/>
        </w:rPr>
        <w:t>L’analyse statistique montre que le Khi carré corrigé calculé (X²c = 8,01) est supérieur au Khi carré théorique (X² th = 6,64) à 1 degré de liberté au seuil de probabilité .01. Les fréquences de réponses des groupes de sujets diffèrent significativement. Les instituteurs du privé manifestent plus de détresse psychologique sévère comparativement à ceux du public.</w:t>
      </w:r>
    </w:p>
    <w:p w14:paraId="783AD627" w14:textId="77777777" w:rsidR="00D80693" w:rsidRPr="00026C22" w:rsidRDefault="00D80693" w:rsidP="0016777C">
      <w:pPr>
        <w:spacing w:before="120"/>
        <w:jc w:val="both"/>
        <w:rPr>
          <w:rFonts w:eastAsia="Calibri"/>
          <w:sz w:val="24"/>
          <w:szCs w:val="24"/>
        </w:rPr>
      </w:pPr>
      <w:r w:rsidRPr="00026C22">
        <w:rPr>
          <w:rFonts w:eastAsiaTheme="minorHAnsi"/>
          <w:sz w:val="24"/>
          <w:szCs w:val="24"/>
        </w:rPr>
        <w:t>Les résultats du tableau 1 le montrent bien : l’effectif des instituteurs du privé (23) est supérieur à celui des instituteurs du public (10). L’hypothèse opérationnelle 1 est donc confirmée. Cette hypothèse stipule que les instituteurs du privé manifestent plus la détresse psychologique sévère que leurs collègues du public. La différence observée entre les effectifs témoigne effectivement de l’influence du type d’établissement scolaire sur la santé mentale des instituteurs. C’est donc une variable discriminative.</w:t>
      </w:r>
    </w:p>
    <w:p w14:paraId="043687C3" w14:textId="77777777" w:rsidR="00D80693" w:rsidRPr="00026C22" w:rsidRDefault="00D80693" w:rsidP="0016777C">
      <w:pPr>
        <w:spacing w:before="120"/>
        <w:jc w:val="both"/>
        <w:rPr>
          <w:rFonts w:eastAsia="Calibri"/>
          <w:sz w:val="24"/>
          <w:szCs w:val="24"/>
        </w:rPr>
      </w:pPr>
      <w:r w:rsidRPr="00026C22">
        <w:rPr>
          <w:rFonts w:eastAsiaTheme="minorHAnsi"/>
          <w:sz w:val="24"/>
          <w:szCs w:val="24"/>
        </w:rPr>
        <w:t>D’une manière générale, les difficultés qui stressent et troublent les instituteurs dans leur cadre professionnel qui n’est autre que l’établissement scolaire, concernent d’abord le mode de fonctionnement ou d’organisation de l’établissement scolaire, et le degré d’autonomie dont jouissent ces derniers.</w:t>
      </w:r>
    </w:p>
    <w:p w14:paraId="3B030567" w14:textId="77777777" w:rsidR="00D80693" w:rsidRPr="004F411B" w:rsidRDefault="00D80693" w:rsidP="0016777C">
      <w:pPr>
        <w:spacing w:before="120"/>
        <w:jc w:val="both"/>
        <w:rPr>
          <w:rFonts w:eastAsia="Calibri"/>
          <w:sz w:val="24"/>
          <w:szCs w:val="24"/>
        </w:rPr>
      </w:pPr>
      <w:r w:rsidRPr="00026C22">
        <w:rPr>
          <w:rFonts w:eastAsiaTheme="minorHAnsi"/>
          <w:sz w:val="24"/>
          <w:szCs w:val="24"/>
        </w:rPr>
        <w:t>Les entretiens effectués avec les instituteurs nous font observer que certains d’entre eux incriminent la manière dont ils sont payés dans les établissements scolaires privés où ils exercent. Ils rapportent qu’ils perçoivent leur salaire du mois en plusieurs tranches et sur plusieurs mois. Ce qui veut dire qu’ils font face à des arriérés de salaire alors qu’ils ont des charges auxquelles ils doivent régulièrement faire face dès la fin du mois telles que le loyer, les factures d’eau et d’électricité, pour n’en citer que celles-là.</w:t>
      </w:r>
      <w:r>
        <w:rPr>
          <w:rFonts w:eastAsiaTheme="minorHAnsi"/>
          <w:sz w:val="24"/>
          <w:szCs w:val="24"/>
        </w:rPr>
        <w:t xml:space="preserve"> </w:t>
      </w:r>
      <w:r w:rsidRPr="00026C22">
        <w:rPr>
          <w:rFonts w:eastAsiaTheme="minorHAnsi"/>
          <w:sz w:val="24"/>
          <w:szCs w:val="24"/>
        </w:rPr>
        <w:t>Par ailleurs, il y en a qui soulignent qu’ils ne perçoivent que la moitié de leur salaire pendant les vacances scolaires, tandis que d’autres affirment qu’ils ne perçoivent pas du tout de salaire pendant ces vacances. A ce sujet, la déclaration d’une institutrice exerçant dans l’un des</w:t>
      </w:r>
      <w:r w:rsidRPr="004F411B">
        <w:rPr>
          <w:rFonts w:asciiTheme="minorHAnsi" w:eastAsiaTheme="minorHAnsi" w:hAnsiTheme="minorHAnsi" w:cstheme="minorBidi"/>
        </w:rPr>
        <w:t xml:space="preserve"> </w:t>
      </w:r>
      <w:r w:rsidRPr="004F411B">
        <w:rPr>
          <w:rFonts w:eastAsiaTheme="minorHAnsi"/>
          <w:sz w:val="24"/>
          <w:szCs w:val="24"/>
        </w:rPr>
        <w:t>établissements scolaires privés impliqués dans la présente étude constitue une belle illustration de cette réalité. En effet, voici ce qu’elle a dit : « Nous n’avons aucun salaire pendant les vacances. Cela nous conduit à faire les cours de vacances et d’autres activités pour arrondir les fins de mois ».</w:t>
      </w:r>
    </w:p>
    <w:p w14:paraId="7DF317C8" w14:textId="77777777" w:rsidR="00D80693" w:rsidRPr="004F411B" w:rsidRDefault="00D80693" w:rsidP="0016777C">
      <w:pPr>
        <w:spacing w:before="120"/>
        <w:jc w:val="both"/>
        <w:rPr>
          <w:rFonts w:eastAsia="Calibri"/>
          <w:sz w:val="24"/>
          <w:szCs w:val="24"/>
        </w:rPr>
      </w:pPr>
      <w:r w:rsidRPr="004F411B">
        <w:rPr>
          <w:rFonts w:eastAsiaTheme="minorHAnsi"/>
          <w:sz w:val="24"/>
          <w:szCs w:val="24"/>
        </w:rPr>
        <w:t xml:space="preserve">Ces réalités ci-dessus évoquées peuvent </w:t>
      </w:r>
      <w:proofErr w:type="gramStart"/>
      <w:r w:rsidRPr="004F411B">
        <w:rPr>
          <w:rFonts w:eastAsiaTheme="minorHAnsi"/>
          <w:sz w:val="24"/>
          <w:szCs w:val="24"/>
        </w:rPr>
        <w:t>avoir</w:t>
      </w:r>
      <w:proofErr w:type="gramEnd"/>
      <w:r w:rsidRPr="004F411B">
        <w:rPr>
          <w:rFonts w:eastAsiaTheme="minorHAnsi"/>
          <w:sz w:val="24"/>
          <w:szCs w:val="24"/>
        </w:rPr>
        <w:t xml:space="preserve"> des conséquences sur l’état psychologique dans lequel les instituteurs du privé travaillent. En d’autres termes, ils sont plus nombreux à manifester une détresse psychologique sévère. Toutefois, les instituteurs du public semblent travailler dans plus de quiétude en dehors des pressions auxquelles ils sont exposés et qui sont dues à la pratique enseignante, notamment la gestion de l’indiscipline de certains élèves qui demande plus de maîtrise de soi. Ces derniers n’ont pas d’inquiétude inhérente à la perception de leur salaire. Ils sont moins stressés que les instituteurs du privé.</w:t>
      </w:r>
    </w:p>
    <w:p w14:paraId="71E44BEA" w14:textId="77777777" w:rsidR="00D80693" w:rsidRPr="004F129E" w:rsidRDefault="00D80693" w:rsidP="0016777C">
      <w:pPr>
        <w:spacing w:before="120"/>
        <w:jc w:val="both"/>
        <w:rPr>
          <w:rFonts w:eastAsia="Calibri"/>
          <w:b/>
          <w:bCs/>
          <w:i/>
          <w:iCs/>
          <w:sz w:val="24"/>
          <w:szCs w:val="24"/>
        </w:rPr>
      </w:pPr>
      <w:r w:rsidRPr="004F129E">
        <w:rPr>
          <w:rFonts w:eastAsiaTheme="minorHAnsi"/>
          <w:b/>
          <w:bCs/>
          <w:i/>
          <w:iCs/>
          <w:sz w:val="24"/>
          <w:szCs w:val="24"/>
        </w:rPr>
        <w:t>2.2. Conditions socioéconomiques et santé mentale chez des instituteurs</w:t>
      </w:r>
    </w:p>
    <w:p w14:paraId="5E413E60" w14:textId="77777777" w:rsidR="00D80693" w:rsidRPr="00C4472D" w:rsidRDefault="00D80693" w:rsidP="0016777C">
      <w:pPr>
        <w:spacing w:before="120"/>
        <w:jc w:val="both"/>
        <w:rPr>
          <w:rFonts w:eastAsia="Calibri"/>
          <w:b/>
          <w:bCs/>
        </w:rPr>
      </w:pPr>
      <w:r w:rsidRPr="00C4472D">
        <w:rPr>
          <w:rFonts w:eastAsiaTheme="minorHAnsi"/>
        </w:rPr>
        <w:tab/>
      </w:r>
      <w:r w:rsidRPr="00C4472D">
        <w:rPr>
          <w:rFonts w:eastAsiaTheme="minorHAnsi"/>
        </w:rPr>
        <w:tab/>
      </w:r>
      <w:r w:rsidRPr="00C4472D">
        <w:rPr>
          <w:rFonts w:eastAsiaTheme="minorHAnsi"/>
          <w:b/>
          <w:bCs/>
        </w:rPr>
        <w:t>Tableau n°2 : Conditions socioéconomiques et santé Mentale</w:t>
      </w:r>
    </w:p>
    <w:tbl>
      <w:tblPr>
        <w:tblStyle w:val="TableGrid000"/>
        <w:tblW w:w="8363" w:type="dxa"/>
        <w:tblInd w:w="284" w:type="dxa"/>
        <w:tblLook w:val="04A0" w:firstRow="1" w:lastRow="0" w:firstColumn="1" w:lastColumn="0" w:noHBand="0" w:noVBand="1"/>
      </w:tblPr>
      <w:tblGrid>
        <w:gridCol w:w="1891"/>
        <w:gridCol w:w="3786"/>
        <w:gridCol w:w="990"/>
        <w:gridCol w:w="990"/>
        <w:gridCol w:w="706"/>
      </w:tblGrid>
      <w:tr w:rsidR="00D80693" w14:paraId="66709B3D" w14:textId="77777777" w:rsidTr="00D72320">
        <w:tc>
          <w:tcPr>
            <w:tcW w:w="5677" w:type="dxa"/>
            <w:gridSpan w:val="2"/>
            <w:vMerge w:val="restart"/>
            <w:tcBorders>
              <w:top w:val="nil"/>
              <w:left w:val="nil"/>
            </w:tcBorders>
          </w:tcPr>
          <w:p w14:paraId="0802D826" w14:textId="77777777" w:rsidR="00D80693" w:rsidRDefault="00D80693" w:rsidP="0016777C">
            <w:pPr>
              <w:autoSpaceDE w:val="0"/>
              <w:autoSpaceDN w:val="0"/>
              <w:adjustRightInd w:val="0"/>
              <w:spacing w:before="120"/>
              <w:jc w:val="both"/>
              <w:rPr>
                <w:color w:val="000000"/>
                <w:lang w:eastAsia="fr-FR"/>
              </w:rPr>
            </w:pPr>
          </w:p>
        </w:tc>
        <w:tc>
          <w:tcPr>
            <w:tcW w:w="1980" w:type="dxa"/>
            <w:gridSpan w:val="2"/>
          </w:tcPr>
          <w:p w14:paraId="702AD32A" w14:textId="77777777" w:rsidR="00D80693" w:rsidRPr="007D5FBB" w:rsidRDefault="00D80693" w:rsidP="0016777C">
            <w:pPr>
              <w:autoSpaceDE w:val="0"/>
              <w:autoSpaceDN w:val="0"/>
              <w:adjustRightInd w:val="0"/>
              <w:spacing w:before="120"/>
              <w:jc w:val="center"/>
              <w:rPr>
                <w:b/>
                <w:color w:val="000000"/>
                <w:lang w:eastAsia="fr-FR"/>
              </w:rPr>
            </w:pPr>
            <w:r w:rsidRPr="007D5FBB">
              <w:rPr>
                <w:b/>
                <w:color w:val="000000"/>
                <w:sz w:val="22"/>
                <w:szCs w:val="22"/>
                <w:lang w:eastAsia="fr-FR"/>
              </w:rPr>
              <w:t>Santé mentale</w:t>
            </w:r>
          </w:p>
        </w:tc>
        <w:tc>
          <w:tcPr>
            <w:tcW w:w="706" w:type="dxa"/>
            <w:tcBorders>
              <w:top w:val="nil"/>
              <w:right w:val="nil"/>
            </w:tcBorders>
          </w:tcPr>
          <w:p w14:paraId="35F3D64A" w14:textId="77777777" w:rsidR="00D80693" w:rsidRDefault="00D80693" w:rsidP="0016777C">
            <w:pPr>
              <w:autoSpaceDE w:val="0"/>
              <w:autoSpaceDN w:val="0"/>
              <w:adjustRightInd w:val="0"/>
              <w:spacing w:before="120"/>
              <w:jc w:val="both"/>
              <w:rPr>
                <w:color w:val="000000"/>
                <w:lang w:eastAsia="fr-FR"/>
              </w:rPr>
            </w:pPr>
          </w:p>
        </w:tc>
      </w:tr>
      <w:tr w:rsidR="00D80693" w14:paraId="26DF9E9A" w14:textId="77777777" w:rsidTr="00D72320">
        <w:tc>
          <w:tcPr>
            <w:tcW w:w="5677" w:type="dxa"/>
            <w:gridSpan w:val="2"/>
            <w:vMerge/>
            <w:tcBorders>
              <w:left w:val="nil"/>
            </w:tcBorders>
          </w:tcPr>
          <w:p w14:paraId="09006282" w14:textId="77777777" w:rsidR="00D80693" w:rsidRDefault="00D80693" w:rsidP="0016777C">
            <w:pPr>
              <w:autoSpaceDE w:val="0"/>
              <w:autoSpaceDN w:val="0"/>
              <w:adjustRightInd w:val="0"/>
              <w:spacing w:before="120"/>
              <w:jc w:val="both"/>
              <w:rPr>
                <w:color w:val="000000"/>
                <w:lang w:eastAsia="fr-FR"/>
              </w:rPr>
            </w:pPr>
          </w:p>
        </w:tc>
        <w:tc>
          <w:tcPr>
            <w:tcW w:w="990" w:type="dxa"/>
          </w:tcPr>
          <w:p w14:paraId="6ECFC58E"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Détresse faible</w:t>
            </w:r>
          </w:p>
        </w:tc>
        <w:tc>
          <w:tcPr>
            <w:tcW w:w="990" w:type="dxa"/>
          </w:tcPr>
          <w:p w14:paraId="33DAB87F"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Détresse sévère</w:t>
            </w:r>
          </w:p>
        </w:tc>
        <w:tc>
          <w:tcPr>
            <w:tcW w:w="706" w:type="dxa"/>
          </w:tcPr>
          <w:p w14:paraId="68E4A6CB" w14:textId="77777777" w:rsidR="00D80693" w:rsidRDefault="00D80693" w:rsidP="0016777C">
            <w:pPr>
              <w:autoSpaceDE w:val="0"/>
              <w:autoSpaceDN w:val="0"/>
              <w:adjustRightInd w:val="0"/>
              <w:spacing w:before="120"/>
              <w:jc w:val="both"/>
              <w:rPr>
                <w:color w:val="000000"/>
                <w:lang w:eastAsia="fr-FR"/>
              </w:rPr>
            </w:pPr>
            <w:r>
              <w:rPr>
                <w:color w:val="000000"/>
                <w:sz w:val="22"/>
                <w:szCs w:val="22"/>
                <w:lang w:eastAsia="fr-FR"/>
              </w:rPr>
              <w:t>Total</w:t>
            </w:r>
          </w:p>
        </w:tc>
      </w:tr>
      <w:tr w:rsidR="00D80693" w14:paraId="73D5BE46" w14:textId="77777777" w:rsidTr="00D72320">
        <w:trPr>
          <w:trHeight w:val="322"/>
        </w:trPr>
        <w:tc>
          <w:tcPr>
            <w:tcW w:w="1891" w:type="dxa"/>
            <w:vMerge w:val="restart"/>
          </w:tcPr>
          <w:p w14:paraId="6BD44027" w14:textId="77777777" w:rsidR="00D80693" w:rsidRDefault="00D80693" w:rsidP="0016777C">
            <w:pPr>
              <w:autoSpaceDE w:val="0"/>
              <w:autoSpaceDN w:val="0"/>
              <w:adjustRightInd w:val="0"/>
              <w:spacing w:before="120"/>
              <w:rPr>
                <w:b/>
                <w:color w:val="000000"/>
                <w:lang w:eastAsia="fr-FR"/>
              </w:rPr>
            </w:pPr>
          </w:p>
          <w:p w14:paraId="48ADF993" w14:textId="77777777" w:rsidR="00D80693" w:rsidRPr="007D5FBB" w:rsidRDefault="00D80693" w:rsidP="0016777C">
            <w:pPr>
              <w:autoSpaceDE w:val="0"/>
              <w:autoSpaceDN w:val="0"/>
              <w:adjustRightInd w:val="0"/>
              <w:spacing w:before="120"/>
              <w:jc w:val="center"/>
              <w:rPr>
                <w:b/>
                <w:color w:val="000000"/>
                <w:lang w:eastAsia="fr-FR"/>
              </w:rPr>
            </w:pPr>
            <w:r>
              <w:rPr>
                <w:b/>
                <w:color w:val="000000"/>
                <w:sz w:val="22"/>
                <w:szCs w:val="22"/>
                <w:lang w:eastAsia="fr-FR"/>
              </w:rPr>
              <w:t>C</w:t>
            </w:r>
            <w:r w:rsidRPr="007D5FBB">
              <w:rPr>
                <w:b/>
                <w:color w:val="000000"/>
                <w:sz w:val="22"/>
                <w:szCs w:val="22"/>
                <w:lang w:eastAsia="fr-FR"/>
              </w:rPr>
              <w:t>onditions socioéconomiques</w:t>
            </w:r>
          </w:p>
        </w:tc>
        <w:tc>
          <w:tcPr>
            <w:tcW w:w="3786" w:type="dxa"/>
          </w:tcPr>
          <w:p w14:paraId="554C5B56" w14:textId="77777777" w:rsidR="00D80693" w:rsidRDefault="00D80693" w:rsidP="0016777C">
            <w:pPr>
              <w:autoSpaceDE w:val="0"/>
              <w:autoSpaceDN w:val="0"/>
              <w:adjustRightInd w:val="0"/>
              <w:spacing w:before="120"/>
              <w:rPr>
                <w:color w:val="000000"/>
                <w:lang w:eastAsia="fr-FR"/>
              </w:rPr>
            </w:pPr>
            <w:r w:rsidRPr="009E487F">
              <w:rPr>
                <w:color w:val="000000"/>
                <w:sz w:val="22"/>
                <w:szCs w:val="22"/>
                <w:lang w:eastAsia="fr-FR"/>
              </w:rPr>
              <w:t xml:space="preserve"> </w:t>
            </w:r>
            <w:r>
              <w:rPr>
                <w:color w:val="000000"/>
                <w:sz w:val="22"/>
                <w:szCs w:val="22"/>
                <w:lang w:eastAsia="fr-FR"/>
              </w:rPr>
              <w:t>F</w:t>
            </w:r>
            <w:r w:rsidRPr="009E487F">
              <w:rPr>
                <w:color w:val="000000"/>
                <w:sz w:val="22"/>
                <w:szCs w:val="22"/>
                <w:lang w:eastAsia="fr-FR"/>
              </w:rPr>
              <w:t>avorisées</w:t>
            </w:r>
          </w:p>
        </w:tc>
        <w:tc>
          <w:tcPr>
            <w:tcW w:w="990" w:type="dxa"/>
          </w:tcPr>
          <w:p w14:paraId="6D58D166"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37</w:t>
            </w:r>
          </w:p>
        </w:tc>
        <w:tc>
          <w:tcPr>
            <w:tcW w:w="990" w:type="dxa"/>
          </w:tcPr>
          <w:p w14:paraId="03662A1F"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09</w:t>
            </w:r>
          </w:p>
        </w:tc>
        <w:tc>
          <w:tcPr>
            <w:tcW w:w="706" w:type="dxa"/>
          </w:tcPr>
          <w:p w14:paraId="016AA8AE"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46</w:t>
            </w:r>
          </w:p>
        </w:tc>
      </w:tr>
      <w:tr w:rsidR="00D80693" w14:paraId="0DB81BC0" w14:textId="77777777" w:rsidTr="00D72320">
        <w:trPr>
          <w:trHeight w:val="272"/>
        </w:trPr>
        <w:tc>
          <w:tcPr>
            <w:tcW w:w="1891" w:type="dxa"/>
            <w:vMerge/>
          </w:tcPr>
          <w:p w14:paraId="69F183EE" w14:textId="77777777" w:rsidR="00D80693" w:rsidRDefault="00D80693" w:rsidP="0016777C">
            <w:pPr>
              <w:autoSpaceDE w:val="0"/>
              <w:autoSpaceDN w:val="0"/>
              <w:adjustRightInd w:val="0"/>
              <w:spacing w:before="120"/>
              <w:jc w:val="both"/>
              <w:rPr>
                <w:color w:val="000000"/>
                <w:lang w:eastAsia="fr-FR"/>
              </w:rPr>
            </w:pPr>
          </w:p>
        </w:tc>
        <w:tc>
          <w:tcPr>
            <w:tcW w:w="3786" w:type="dxa"/>
          </w:tcPr>
          <w:p w14:paraId="715F3A9E" w14:textId="77777777" w:rsidR="00D80693" w:rsidRDefault="00D80693" w:rsidP="0016777C">
            <w:pPr>
              <w:autoSpaceDE w:val="0"/>
              <w:autoSpaceDN w:val="0"/>
              <w:adjustRightInd w:val="0"/>
              <w:spacing w:before="120"/>
              <w:rPr>
                <w:color w:val="000000"/>
                <w:lang w:eastAsia="fr-FR"/>
              </w:rPr>
            </w:pPr>
            <w:r>
              <w:rPr>
                <w:color w:val="000000"/>
                <w:sz w:val="22"/>
                <w:szCs w:val="22"/>
                <w:lang w:eastAsia="fr-FR"/>
              </w:rPr>
              <w:t>Défavorisées</w:t>
            </w:r>
          </w:p>
        </w:tc>
        <w:tc>
          <w:tcPr>
            <w:tcW w:w="990" w:type="dxa"/>
          </w:tcPr>
          <w:p w14:paraId="6D58B495"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22</w:t>
            </w:r>
          </w:p>
        </w:tc>
        <w:tc>
          <w:tcPr>
            <w:tcW w:w="990" w:type="dxa"/>
          </w:tcPr>
          <w:p w14:paraId="7F14BBA0"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24</w:t>
            </w:r>
          </w:p>
        </w:tc>
        <w:tc>
          <w:tcPr>
            <w:tcW w:w="706" w:type="dxa"/>
          </w:tcPr>
          <w:p w14:paraId="596EE0EF"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46</w:t>
            </w:r>
          </w:p>
        </w:tc>
      </w:tr>
      <w:tr w:rsidR="00D80693" w14:paraId="1DD61029" w14:textId="77777777" w:rsidTr="00D72320">
        <w:tc>
          <w:tcPr>
            <w:tcW w:w="1891" w:type="dxa"/>
            <w:vMerge/>
          </w:tcPr>
          <w:p w14:paraId="6B0D4FF1" w14:textId="77777777" w:rsidR="00D80693" w:rsidRDefault="00D80693" w:rsidP="0016777C">
            <w:pPr>
              <w:autoSpaceDE w:val="0"/>
              <w:autoSpaceDN w:val="0"/>
              <w:adjustRightInd w:val="0"/>
              <w:spacing w:before="120"/>
              <w:jc w:val="both"/>
              <w:rPr>
                <w:color w:val="000000"/>
                <w:lang w:eastAsia="fr-FR"/>
              </w:rPr>
            </w:pPr>
          </w:p>
        </w:tc>
        <w:tc>
          <w:tcPr>
            <w:tcW w:w="3786" w:type="dxa"/>
          </w:tcPr>
          <w:p w14:paraId="78C0BD6B"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Total</w:t>
            </w:r>
          </w:p>
        </w:tc>
        <w:tc>
          <w:tcPr>
            <w:tcW w:w="990" w:type="dxa"/>
          </w:tcPr>
          <w:p w14:paraId="152FAF3B"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59</w:t>
            </w:r>
          </w:p>
        </w:tc>
        <w:tc>
          <w:tcPr>
            <w:tcW w:w="990" w:type="dxa"/>
          </w:tcPr>
          <w:p w14:paraId="61621990"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33</w:t>
            </w:r>
          </w:p>
        </w:tc>
        <w:tc>
          <w:tcPr>
            <w:tcW w:w="706" w:type="dxa"/>
          </w:tcPr>
          <w:p w14:paraId="0B7B8CD2" w14:textId="77777777" w:rsidR="00D80693" w:rsidRDefault="00D80693" w:rsidP="0016777C">
            <w:pPr>
              <w:autoSpaceDE w:val="0"/>
              <w:autoSpaceDN w:val="0"/>
              <w:adjustRightInd w:val="0"/>
              <w:spacing w:before="120"/>
              <w:jc w:val="center"/>
              <w:rPr>
                <w:color w:val="000000"/>
                <w:lang w:eastAsia="fr-FR"/>
              </w:rPr>
            </w:pPr>
            <w:r>
              <w:rPr>
                <w:color w:val="000000"/>
                <w:sz w:val="22"/>
                <w:szCs w:val="22"/>
                <w:lang w:eastAsia="fr-FR"/>
              </w:rPr>
              <w:t>92</w:t>
            </w:r>
          </w:p>
        </w:tc>
      </w:tr>
    </w:tbl>
    <w:p w14:paraId="3836AD64" w14:textId="77777777" w:rsidR="00D80693" w:rsidRPr="0002159A" w:rsidRDefault="00D80693" w:rsidP="0016777C">
      <w:pPr>
        <w:adjustRightInd w:val="0"/>
        <w:spacing w:before="120"/>
        <w:jc w:val="both"/>
        <w:rPr>
          <w:rFonts w:eastAsia="Calibri"/>
          <w:i/>
          <w:iCs/>
          <w:color w:val="000000"/>
          <w:lang w:eastAsia="fr-FR"/>
        </w:rPr>
      </w:pPr>
      <w:r>
        <w:rPr>
          <w:rFonts w:eastAsia="Calibri"/>
          <w:color w:val="000000"/>
          <w:sz w:val="24"/>
          <w:szCs w:val="24"/>
          <w:lang w:eastAsia="fr-FR"/>
        </w:rPr>
        <w:t xml:space="preserve">     </w:t>
      </w:r>
      <w:r w:rsidRPr="0002159A">
        <w:rPr>
          <w:rFonts w:eastAsia="Calibri"/>
          <w:i/>
          <w:iCs/>
          <w:color w:val="000000"/>
          <w:lang w:eastAsia="fr-FR"/>
        </w:rPr>
        <w:t>Source : Données de la collecte</w:t>
      </w:r>
    </w:p>
    <w:p w14:paraId="24A6AD85" w14:textId="77777777" w:rsidR="00D80693" w:rsidRPr="00DD41B5" w:rsidRDefault="00D80693" w:rsidP="0016777C">
      <w:pPr>
        <w:adjustRightInd w:val="0"/>
        <w:spacing w:before="120"/>
        <w:jc w:val="both"/>
        <w:rPr>
          <w:rFonts w:eastAsia="Calibri"/>
          <w:color w:val="000000"/>
          <w:sz w:val="24"/>
          <w:szCs w:val="24"/>
          <w:lang w:eastAsia="fr-FR"/>
        </w:rPr>
      </w:pPr>
      <w:r w:rsidRPr="00DD41B5">
        <w:rPr>
          <w:rFonts w:eastAsia="Calibri"/>
          <w:color w:val="000000"/>
          <w:sz w:val="24"/>
          <w:szCs w:val="24"/>
          <w:lang w:eastAsia="fr-FR"/>
        </w:rPr>
        <w:t>L’analyse statistique indique que le Khi carré corrigé calculé (X²c = 9,26) est supérieur au Khi carré théorique (X² th = 6,64) lu dans la table des valeurs critiques à 1 degré de liberté, et au seuil de probabilité de .01. La différence entre les groupes à comparer est significative. Les instituteurs exerçant dans des conditions socioéconomiques défavorisées vivent plus la détresse psychologique sévère comparativement à ceux travaillant dans des conditions socioéconomiques favorisées. Les données du tableau 2 le confirment : l’effectif des instituteurs de conditions socioéconomiques défavorisées (24) en détresse sévère est supérieur à celui des instituteurs de conditions socioéconomiques favorisée (9) en détresse sévère également. L’hypothèse opérationnelle 2 est confirmée. La différence observée entre les effectifs témoigne effectivement de l’influence des conditions socioéconomiques sur la santé mentale des instituteurs. C’est donc une variable discriminative.</w:t>
      </w:r>
    </w:p>
    <w:p w14:paraId="295B9924" w14:textId="77777777" w:rsidR="00D80693" w:rsidRPr="00DD41B5" w:rsidRDefault="00D80693" w:rsidP="0016777C">
      <w:pPr>
        <w:adjustRightInd w:val="0"/>
        <w:spacing w:before="120"/>
        <w:jc w:val="both"/>
        <w:rPr>
          <w:rFonts w:eastAsia="Calibri"/>
          <w:color w:val="000000"/>
          <w:sz w:val="24"/>
          <w:szCs w:val="24"/>
          <w:lang w:eastAsia="fr-FR"/>
        </w:rPr>
      </w:pPr>
    </w:p>
    <w:p w14:paraId="3A0EBB0B" w14:textId="77777777" w:rsidR="00D80693" w:rsidRPr="00522733" w:rsidRDefault="00D80693" w:rsidP="0016777C">
      <w:pPr>
        <w:spacing w:before="120"/>
        <w:jc w:val="both"/>
        <w:rPr>
          <w:rFonts w:eastAsia="Calibri"/>
          <w:sz w:val="24"/>
          <w:szCs w:val="24"/>
        </w:rPr>
      </w:pPr>
      <w:r w:rsidRPr="00522733">
        <w:rPr>
          <w:rFonts w:eastAsia="Calibri"/>
          <w:sz w:val="24"/>
          <w:szCs w:val="24"/>
        </w:rPr>
        <w:t>L’analyse du contenu du discours montre que, d’une manière générale, l’insuffisance de revenus pour le ménage et le retard dans le paiement du salaire sont identifiés par plusieurs instituteurs de conditions socioéconomiques défavorisées comme cause de déséquilibre moral dans le cadre de leur travail. En ce qui concerne le retard du salaire, un instituteur faisant partie de ceux qui présentent une détresse psychologique sévère rapporte ce qui suit : « Le retard de paiement, par moment affecte sérieusement notre efficacité au travail ». Cela montre que lorsque le salaire n’est pas payé à temps, les instituteurs s’en trouvent mal psychologiquement. D’autres instituteurs ayant manifesté une détresse sévère soutiennent que l’insuffisance de revenus constituent de réelles difficultés qui affectent leur efficacité au travail. L’un dit : « Je suis affecté au travail par le fait de penser à mon salaire qui est très insuffisant et qui m’empêche de subvenir à tous mes besoins. » Et un autre instituteur relève littéralement : « Les conditions de vie de ma famille sont très difficiles ». D’autre encore pointent du doigt l’insécurité sociale surtout pendant la période des vacances scolaires. Dans</w:t>
      </w:r>
      <w:r w:rsidRPr="00522733">
        <w:rPr>
          <w:rFonts w:asciiTheme="minorHAnsi" w:eastAsiaTheme="minorHAnsi" w:hAnsiTheme="minorHAnsi" w:cstheme="minorBidi"/>
          <w:sz w:val="24"/>
          <w:szCs w:val="24"/>
        </w:rPr>
        <w:t xml:space="preserve"> </w:t>
      </w:r>
      <w:r w:rsidRPr="00522733">
        <w:rPr>
          <w:rFonts w:eastAsia="Calibri"/>
          <w:sz w:val="24"/>
          <w:szCs w:val="24"/>
        </w:rPr>
        <w:t>ce cas, l’on note la réaction d’un instituteur qui, à la question de savoir : « Quelles autres difficultés rencontrez-vous et qui affectent sérieusement votre efficacité au travail ? », il répond en ces termes : « Le traitement salarial qui ne couvre pas la totalité de l’année ».</w:t>
      </w:r>
    </w:p>
    <w:p w14:paraId="622A5AFA" w14:textId="77777777" w:rsidR="00D80693" w:rsidRPr="00522733" w:rsidRDefault="00D80693" w:rsidP="0016777C">
      <w:pPr>
        <w:spacing w:before="120"/>
        <w:jc w:val="both"/>
        <w:rPr>
          <w:rFonts w:eastAsia="Calibri"/>
          <w:sz w:val="24"/>
          <w:szCs w:val="24"/>
        </w:rPr>
      </w:pPr>
      <w:r w:rsidRPr="00522733">
        <w:rPr>
          <w:rFonts w:eastAsia="Calibri"/>
          <w:sz w:val="24"/>
          <w:szCs w:val="24"/>
        </w:rPr>
        <w:t>En prenant en compte ces situations qui viennent d’être mentionnées, il est observé que les instituteurs de conditions de vie socioéconomiques défavorisées sont plus nombreux à manifester la détresse psychologique sévère. Cela peut être attribué à l’insuffisance de revenus, au retard dans le paiement du salaire, à l’insécurité sociale surtout pendant les vacances scolaires due à un contrat précaire chez les instituteurs de conditions socioéconomiques défavorisées en général.</w:t>
      </w:r>
    </w:p>
    <w:p w14:paraId="0DF11BB0" w14:textId="77777777" w:rsidR="00D80693" w:rsidRPr="00DD4F2B" w:rsidRDefault="00D80693" w:rsidP="0016777C">
      <w:pPr>
        <w:spacing w:before="120"/>
        <w:jc w:val="both"/>
        <w:rPr>
          <w:rFonts w:eastAsia="Calibri"/>
          <w:b/>
          <w:bCs/>
          <w:sz w:val="28"/>
          <w:szCs w:val="28"/>
        </w:rPr>
      </w:pPr>
      <w:r w:rsidRPr="00DD4F2B">
        <w:rPr>
          <w:rFonts w:eastAsia="Calibri"/>
          <w:b/>
          <w:bCs/>
          <w:sz w:val="28"/>
          <w:szCs w:val="28"/>
        </w:rPr>
        <w:t>3.Discussion</w:t>
      </w:r>
    </w:p>
    <w:p w14:paraId="75BFF3DE" w14:textId="77777777" w:rsidR="00D80693" w:rsidRPr="00522733" w:rsidRDefault="00D80693" w:rsidP="0016777C">
      <w:pPr>
        <w:spacing w:before="120"/>
        <w:jc w:val="both"/>
        <w:rPr>
          <w:rFonts w:eastAsia="Calibri"/>
          <w:sz w:val="24"/>
          <w:szCs w:val="24"/>
        </w:rPr>
      </w:pPr>
      <w:r w:rsidRPr="00522733">
        <w:rPr>
          <w:rFonts w:eastAsia="Calibri"/>
          <w:sz w:val="24"/>
          <w:szCs w:val="24"/>
        </w:rPr>
        <w:t>Dans l’ensemble, les résultats de notre étude révèlent que plus d’un tiers (33/92) des instituteurs vivent la détresse psychologique sévère, caractérisée par la nervosité, le désespoir et l’agitation. La détresse psychologique sévère est plus vécue, d’une part, par les instituteurs du privé que ceux du public, et d’autre part, par les instituteurs du privé de conditions socioéconomiques défavorisées que ceux du public de conditions socioéconomiques favorisées.</w:t>
      </w:r>
    </w:p>
    <w:p w14:paraId="5FFB900C" w14:textId="77777777" w:rsidR="00D80693" w:rsidRPr="00522733" w:rsidRDefault="00D80693" w:rsidP="0016777C">
      <w:pPr>
        <w:spacing w:before="120"/>
        <w:jc w:val="both"/>
        <w:rPr>
          <w:rFonts w:eastAsia="Calibri"/>
          <w:sz w:val="24"/>
          <w:szCs w:val="24"/>
        </w:rPr>
      </w:pPr>
      <w:r w:rsidRPr="00522733">
        <w:rPr>
          <w:rFonts w:eastAsia="Calibri"/>
          <w:sz w:val="24"/>
          <w:szCs w:val="24"/>
        </w:rPr>
        <w:t xml:space="preserve">Ces résultats sont en accord avec ceux de Fotinos et Horenstein (2009), </w:t>
      </w:r>
      <w:proofErr w:type="spellStart"/>
      <w:r w:rsidRPr="00522733">
        <w:rPr>
          <w:rFonts w:eastAsia="Calibri"/>
          <w:sz w:val="24"/>
          <w:szCs w:val="24"/>
        </w:rPr>
        <w:t>Bagilishya</w:t>
      </w:r>
      <w:proofErr w:type="spellEnd"/>
      <w:r w:rsidRPr="00522733">
        <w:rPr>
          <w:rFonts w:eastAsia="Calibri"/>
          <w:sz w:val="24"/>
          <w:szCs w:val="24"/>
        </w:rPr>
        <w:t xml:space="preserve"> (2007), ainsi qu’avec ceux de Ngonga (2010) et Chubb et Moe (1988). D’abord, Fotinos et Horenstein (op. </w:t>
      </w:r>
      <w:proofErr w:type="spellStart"/>
      <w:proofErr w:type="gramStart"/>
      <w:r w:rsidRPr="00522733">
        <w:rPr>
          <w:rFonts w:eastAsia="Calibri"/>
          <w:sz w:val="24"/>
          <w:szCs w:val="24"/>
        </w:rPr>
        <w:t>cit</w:t>
      </w:r>
      <w:proofErr w:type="spellEnd"/>
      <w:proofErr w:type="gramEnd"/>
      <w:r w:rsidRPr="00522733">
        <w:rPr>
          <w:rFonts w:eastAsia="Calibri"/>
          <w:sz w:val="24"/>
          <w:szCs w:val="24"/>
        </w:rPr>
        <w:t xml:space="preserve">.), en s’intéressant aux effets du statut de l’établissement scolaire sur l’épuisement professionnel chez le personnel enseignant et de direction des lycées et collèges en France, montrent que les enseignants manifestent différents niveaux de sentiment de sécurité en fonction de leur établissement scolaire d’exercice. Ensuite, les résultats empiriques des travaux de </w:t>
      </w:r>
      <w:proofErr w:type="spellStart"/>
      <w:r w:rsidRPr="00522733">
        <w:rPr>
          <w:rFonts w:eastAsia="Calibri"/>
          <w:sz w:val="24"/>
          <w:szCs w:val="24"/>
        </w:rPr>
        <w:t>Bagilishya</w:t>
      </w:r>
      <w:proofErr w:type="spellEnd"/>
      <w:r w:rsidRPr="00522733">
        <w:rPr>
          <w:rFonts w:eastAsia="Calibri"/>
          <w:sz w:val="24"/>
          <w:szCs w:val="24"/>
        </w:rPr>
        <w:t xml:space="preserve"> (2007) relèvent que le niveau de satisfaction de l’environnement physique de l’établissement scolaire a un lien significatif et négatif avec la détresse psychologique chez les enseignants aussi bien du primaire que du secondaire et collégial. Ces travaux soulignent que la détresse psychologique est vécue par les enseignants du primaire, et que 18% des répondants manifestent de la détresse psychologique sévère. Par ailleurs, les travaux de Ngonga (2010) montrent dans une étude comparée que les établissements scolaires privés sont associés à une meilleure progression des élèves et qu’en définitive, les enseignants qui y travaillent sont plus efficaces en termes de résultats que ceux du public. </w:t>
      </w:r>
      <w:proofErr w:type="gramStart"/>
      <w:r w:rsidRPr="00522733">
        <w:rPr>
          <w:rFonts w:eastAsia="Calibri"/>
          <w:sz w:val="24"/>
          <w:szCs w:val="24"/>
        </w:rPr>
        <w:t>a</w:t>
      </w:r>
      <w:proofErr w:type="gramEnd"/>
      <w:r w:rsidRPr="00522733">
        <w:rPr>
          <w:rFonts w:eastAsia="Calibri"/>
          <w:sz w:val="24"/>
          <w:szCs w:val="24"/>
        </w:rPr>
        <w:t xml:space="preserve"> mené une étude comparée des deux types d’établissements scolaires public et privé. Selon les résultats de l’étude de Ngonga (op. </w:t>
      </w:r>
      <w:proofErr w:type="spellStart"/>
      <w:proofErr w:type="gramStart"/>
      <w:r w:rsidRPr="00522733">
        <w:rPr>
          <w:rFonts w:eastAsia="Calibri"/>
          <w:sz w:val="24"/>
          <w:szCs w:val="24"/>
        </w:rPr>
        <w:t>cit</w:t>
      </w:r>
      <w:proofErr w:type="spellEnd"/>
      <w:proofErr w:type="gramEnd"/>
      <w:r w:rsidRPr="00522733">
        <w:rPr>
          <w:rFonts w:eastAsia="Calibri"/>
          <w:sz w:val="24"/>
          <w:szCs w:val="24"/>
        </w:rPr>
        <w:t>.), les établissements scolaires privés sont associés à une meilleure progression des élèves et les enseignants qui y travaillent sont plus efficaces en termes de résultats que ceux qui exercent dans les établissements scolaires publics.  Toutefois, en ce qui concerne le fonctionnement des établissements scolaires, Chubb et Moe (1988) soutiennent que le pouvoir de décision est dans les mains des enseignants plutôt que dans celles du directeur dans le public. Or dans le privé, c’est le directeur qui a le pouvoir de décision. Ce qui lui sert de moyen de pression pour que les enseignants soient performants. Dans ce contexte, pour garder la confiance de leur employeur afin de sécuriser leur poste, les enseignants dans le privé travaillent dans un contexte plus psychogène que dans le public.</w:t>
      </w:r>
    </w:p>
    <w:p w14:paraId="50D1F4B3" w14:textId="77777777" w:rsidR="00D80693" w:rsidRPr="00522733" w:rsidRDefault="00D80693" w:rsidP="0016777C">
      <w:pPr>
        <w:spacing w:before="120"/>
        <w:jc w:val="both"/>
        <w:rPr>
          <w:rFonts w:eastAsia="Calibri"/>
          <w:sz w:val="24"/>
          <w:szCs w:val="24"/>
        </w:rPr>
      </w:pPr>
      <w:r w:rsidRPr="00522733">
        <w:rPr>
          <w:rFonts w:eastAsia="Calibri"/>
          <w:sz w:val="24"/>
          <w:szCs w:val="24"/>
        </w:rPr>
        <w:t xml:space="preserve">En montrant l’influence de l’établissement scolaire sur la santé mentale des enseignants, </w:t>
      </w:r>
      <w:proofErr w:type="spellStart"/>
      <w:r w:rsidRPr="00522733">
        <w:rPr>
          <w:rFonts w:eastAsia="Calibri"/>
          <w:sz w:val="24"/>
          <w:szCs w:val="24"/>
        </w:rPr>
        <w:t>Bagilishya</w:t>
      </w:r>
      <w:proofErr w:type="spellEnd"/>
      <w:r w:rsidRPr="00522733">
        <w:rPr>
          <w:rFonts w:eastAsia="Calibri"/>
          <w:sz w:val="24"/>
          <w:szCs w:val="24"/>
        </w:rPr>
        <w:t xml:space="preserve"> (2007) et Lambert-Chan (2007) se sont focalisés respectivement sur l’environnement physique délétère et l’aménagement des lieux de travail comme des facteurs contribuant à augmenter tant la charge mentale et favorisant la détresse psychologique chez les enseignants du primaire. Au terme de cette discussion, nous pouvons retenir que la différence fondamentale entre notre étude et celles antérieures évoquées résident dans les choix méthodologiques, notamment les caractéristiques des sujets.</w:t>
      </w:r>
      <w:r w:rsidRPr="00522733">
        <w:rPr>
          <w:rFonts w:asciiTheme="minorHAnsi" w:eastAsiaTheme="minorHAnsi" w:hAnsiTheme="minorHAnsi" w:cstheme="minorBidi"/>
          <w:sz w:val="24"/>
          <w:szCs w:val="24"/>
        </w:rPr>
        <w:t xml:space="preserve"> </w:t>
      </w:r>
      <w:r w:rsidRPr="00522733">
        <w:rPr>
          <w:rFonts w:eastAsia="Calibri"/>
          <w:sz w:val="24"/>
          <w:szCs w:val="24"/>
        </w:rPr>
        <w:t>L’étude présente des limites en termes d’un faible échantillon, des auteurs qui sont en majorité anciens qui ont été convoqués. Par ailleurs, les participants à l’étude ne sont constitués que d’instituteurs exerçant à Koumassi eu égard aux critères de sélection. Par conséquent, nous suggérons que les chercheurs intéressés par la santé mentale chez les travailleurs prennent en compte cette variable comme facteur susceptible d’influencer le phénomène à l’étude.</w:t>
      </w:r>
    </w:p>
    <w:p w14:paraId="21A556CA" w14:textId="77777777" w:rsidR="00D80693" w:rsidRPr="00DD4F2B" w:rsidRDefault="00D80693" w:rsidP="0016777C">
      <w:pPr>
        <w:spacing w:before="120"/>
        <w:jc w:val="both"/>
        <w:rPr>
          <w:rFonts w:eastAsia="Calibri"/>
          <w:b/>
          <w:bCs/>
          <w:sz w:val="28"/>
          <w:szCs w:val="28"/>
        </w:rPr>
      </w:pPr>
      <w:r w:rsidRPr="00DD4F2B">
        <w:rPr>
          <w:rFonts w:eastAsia="Calibri"/>
          <w:b/>
          <w:bCs/>
          <w:sz w:val="28"/>
          <w:szCs w:val="28"/>
        </w:rPr>
        <w:t>Conclusion</w:t>
      </w:r>
    </w:p>
    <w:p w14:paraId="5EFF3C1A" w14:textId="77777777" w:rsidR="00D80693" w:rsidRPr="00522733" w:rsidRDefault="00D80693" w:rsidP="0016777C">
      <w:pPr>
        <w:spacing w:before="120"/>
        <w:jc w:val="both"/>
        <w:rPr>
          <w:rFonts w:eastAsia="Calibri"/>
          <w:sz w:val="24"/>
          <w:szCs w:val="24"/>
        </w:rPr>
      </w:pPr>
      <w:r w:rsidRPr="00522733">
        <w:rPr>
          <w:rFonts w:eastAsia="Calibri"/>
          <w:sz w:val="24"/>
          <w:szCs w:val="24"/>
        </w:rPr>
        <w:t>Exposés à la détresse psychologique, les instituteurs font partie des personnes ressources déterminantes dans le fonctionnement du système éducatif. Il leur faut donc une santé mentale en bon état. Pour ce faire, il convient de comprendre cette situation que la plupart des travaux expliquent en rapport avec le milieu du travail et hors-travail. Seulement, certains facteurs tels que le type (public ou privé) de l’établissement scolaires pris isolement ainsi que son effet conjugué avec les conditions socioéconomiques des instituteurs ont été négligés dans l’explication de la détresse psychologique chez les instituteurs. Nous nous sommes donc intéressés à ces deux facteurs. Le type d’établissement scolaire aussi bien que son effet conjugué avec les conditions socioéconomiques se révèlent déterminant pour la santé mentale des instituteurs. Ces résultats suggèrent qu’il est important de prendre en compte l’influence du milieu du travail et hors-travail en général et le type d’établissement scolaire public ou privé en particulier dans l’explication de la détresse psychologique chez les instituteurs pendant l’année scolaire. C’est pourquoi, l’étude propose un accompagnement psychologique adapté à leur milieux socioéducatif et socioéconomique. Cependant, d’autres travaux doivent s’étendre sur d’autres aspects des milieux socioéducatifs en vue de mieux appréhender la détresse psychologique chez les instituteurs.</w:t>
      </w:r>
    </w:p>
    <w:p w14:paraId="00B19E8C" w14:textId="77777777" w:rsidR="00D80693" w:rsidRDefault="00D80693" w:rsidP="0016777C">
      <w:pPr>
        <w:spacing w:before="120"/>
        <w:jc w:val="both"/>
        <w:rPr>
          <w:rFonts w:eastAsia="Calibri"/>
          <w:b/>
          <w:bCs/>
          <w:sz w:val="28"/>
          <w:szCs w:val="28"/>
        </w:rPr>
      </w:pPr>
      <w:r w:rsidRPr="00DD4F2B">
        <w:rPr>
          <w:rFonts w:eastAsia="Calibri"/>
          <w:b/>
          <w:bCs/>
          <w:sz w:val="28"/>
          <w:szCs w:val="28"/>
        </w:rPr>
        <w:t>Références bibliographiques</w:t>
      </w:r>
    </w:p>
    <w:p w14:paraId="391BFFF5" w14:textId="77777777" w:rsidR="00D80693" w:rsidRPr="00A33B5E" w:rsidRDefault="00D80693" w:rsidP="0016777C">
      <w:pPr>
        <w:spacing w:before="120"/>
        <w:ind w:left="720" w:hanging="720"/>
        <w:jc w:val="both"/>
        <w:rPr>
          <w:iCs/>
          <w:color w:val="000000"/>
          <w:sz w:val="24"/>
          <w:szCs w:val="24"/>
          <w:lang w:eastAsia="fr-FR"/>
        </w:rPr>
      </w:pPr>
      <w:r w:rsidRPr="00A33B5E">
        <w:rPr>
          <w:iCs/>
          <w:color w:val="000000"/>
          <w:sz w:val="24"/>
          <w:szCs w:val="24"/>
          <w:lang w:eastAsia="fr-FR"/>
        </w:rPr>
        <w:t>Association pour la Santé Publique du Québec (2011). Bulletin de santé publique, Volume 33, N°2.</w:t>
      </w:r>
    </w:p>
    <w:p w14:paraId="02371C19" w14:textId="77777777" w:rsidR="00D80693" w:rsidRDefault="00D80693" w:rsidP="0016777C">
      <w:pPr>
        <w:spacing w:before="120"/>
        <w:ind w:left="720" w:hanging="720"/>
        <w:jc w:val="both"/>
        <w:rPr>
          <w:iCs/>
          <w:color w:val="000000"/>
          <w:sz w:val="24"/>
          <w:szCs w:val="24"/>
          <w:lang w:eastAsia="fr-FR"/>
        </w:rPr>
      </w:pPr>
      <w:bookmarkStart w:id="249" w:name="_Hlk215433334"/>
      <w:r w:rsidRPr="00210E40">
        <w:rPr>
          <w:iCs/>
          <w:color w:val="000000"/>
          <w:sz w:val="24"/>
          <w:szCs w:val="24"/>
          <w:lang w:eastAsia="fr-FR"/>
        </w:rPr>
        <w:t>Association Québécoise pour la Réadaptation Psychosociale (2011). Santé mentale et santé physique : deux composantes indissociables au rétablissement et au mieux-être. Le partenaire, 19, (4).</w:t>
      </w:r>
    </w:p>
    <w:p w14:paraId="173D8B9B" w14:textId="77777777" w:rsidR="00D80693" w:rsidRPr="00210E40" w:rsidRDefault="00D80693" w:rsidP="0016777C">
      <w:pPr>
        <w:spacing w:before="120"/>
        <w:ind w:left="720" w:hanging="720"/>
        <w:jc w:val="both"/>
        <w:rPr>
          <w:iCs/>
          <w:color w:val="000000"/>
          <w:sz w:val="24"/>
          <w:szCs w:val="24"/>
          <w:lang w:eastAsia="fr-FR"/>
        </w:rPr>
      </w:pPr>
      <w:proofErr w:type="spellStart"/>
      <w:r w:rsidRPr="00210E40">
        <w:rPr>
          <w:iCs/>
          <w:color w:val="000000"/>
          <w:sz w:val="24"/>
          <w:szCs w:val="24"/>
          <w:lang w:eastAsia="fr-FR"/>
        </w:rPr>
        <w:t>Azouaghe</w:t>
      </w:r>
      <w:proofErr w:type="spellEnd"/>
      <w:r w:rsidRPr="00210E40">
        <w:rPr>
          <w:iCs/>
          <w:color w:val="000000"/>
          <w:sz w:val="24"/>
          <w:szCs w:val="24"/>
          <w:lang w:eastAsia="fr-FR"/>
        </w:rPr>
        <w:t>, S. (2019). Santé psychologique au travail dans le milieu scolaire public : étude des déterminants organisationnels et psychologiques chez les enseignants marocains. Thèse de Doctorat de Psychologie. Université Mohammed V de Rabat. https://tel.archives-ouvertes.fr/tel-02371977/document</w:t>
      </w:r>
    </w:p>
    <w:p w14:paraId="2F216658" w14:textId="77777777" w:rsidR="00D80693" w:rsidRPr="00210E40" w:rsidRDefault="00D80693" w:rsidP="0016777C">
      <w:pPr>
        <w:spacing w:before="120"/>
        <w:ind w:left="720" w:hanging="720"/>
        <w:jc w:val="both"/>
        <w:rPr>
          <w:iCs/>
          <w:color w:val="000000"/>
          <w:sz w:val="24"/>
          <w:szCs w:val="24"/>
          <w:lang w:eastAsia="fr-FR"/>
        </w:rPr>
      </w:pPr>
      <w:proofErr w:type="spellStart"/>
      <w:r w:rsidRPr="00210E40">
        <w:rPr>
          <w:iCs/>
          <w:color w:val="000000"/>
          <w:sz w:val="24"/>
          <w:szCs w:val="24"/>
          <w:lang w:eastAsia="fr-FR"/>
        </w:rPr>
        <w:t>Bagilishya</w:t>
      </w:r>
      <w:proofErr w:type="spellEnd"/>
      <w:r w:rsidRPr="00210E40">
        <w:rPr>
          <w:iCs/>
          <w:color w:val="000000"/>
          <w:sz w:val="24"/>
          <w:szCs w:val="24"/>
          <w:lang w:eastAsia="fr-FR"/>
        </w:rPr>
        <w:t>, O. (2007). Détresse psychologique dans l’enseignement primaire, secondaire et collégial au Québec. Mémoire de maîtrise en relations industrielles de l'Université Laval au Québec. https://123dok.net/article/vérification-hypothèses-tableau-résumé-résultats.yr3r7roy</w:t>
      </w:r>
    </w:p>
    <w:p w14:paraId="2F600ED1" w14:textId="77777777" w:rsidR="00D80693" w:rsidRPr="00210E40" w:rsidRDefault="00D80693" w:rsidP="0016777C">
      <w:pPr>
        <w:spacing w:before="120"/>
        <w:ind w:left="720" w:hanging="720"/>
        <w:jc w:val="both"/>
        <w:rPr>
          <w:iCs/>
          <w:color w:val="000000"/>
          <w:sz w:val="24"/>
          <w:szCs w:val="24"/>
          <w:lang w:eastAsia="fr-FR"/>
        </w:rPr>
      </w:pPr>
      <w:r w:rsidRPr="00210E40">
        <w:rPr>
          <w:iCs/>
          <w:color w:val="000000"/>
          <w:sz w:val="24"/>
          <w:szCs w:val="24"/>
          <w:lang w:eastAsia="fr-FR"/>
        </w:rPr>
        <w:t>Bariault, C., Hamel S., Lafontaine P., Martinez J., Rénaud M.M., Pageau M. et Sauvageau, Y. (1985). Le système de surveillance de l’état de santé de la population et la dimension psycho-sociale, INSPQ.</w:t>
      </w:r>
    </w:p>
    <w:p w14:paraId="13254165" w14:textId="77777777" w:rsidR="00D80693" w:rsidRPr="00DD4F2B" w:rsidRDefault="00D80693" w:rsidP="0016777C">
      <w:pPr>
        <w:spacing w:before="120"/>
        <w:ind w:left="720" w:hanging="720"/>
        <w:jc w:val="both"/>
        <w:rPr>
          <w:iCs/>
          <w:color w:val="000000"/>
          <w:sz w:val="24"/>
          <w:szCs w:val="24"/>
          <w:lang w:eastAsia="fr-FR"/>
        </w:rPr>
      </w:pPr>
      <w:r w:rsidRPr="00210E40">
        <w:rPr>
          <w:iCs/>
          <w:color w:val="000000"/>
          <w:sz w:val="24"/>
          <w:szCs w:val="24"/>
          <w:lang w:eastAsia="fr-FR"/>
        </w:rPr>
        <w:t xml:space="preserve">Barrère, A. (2003). Travailler à l'école : que font les élèves et les enseignants du secondaire ? Rennes : Presses universitaires de Rennes, 201. </w:t>
      </w:r>
      <w:hyperlink r:id="rId132" w:history="1">
        <w:r w:rsidRPr="00210E40">
          <w:rPr>
            <w:iCs/>
            <w:color w:val="0000FF"/>
            <w:sz w:val="24"/>
            <w:szCs w:val="24"/>
            <w:u w:val="single"/>
            <w:lang w:eastAsia="fr-FR"/>
          </w:rPr>
          <w:t>https://www.persee.fr/authority/297675</w:t>
        </w:r>
      </w:hyperlink>
    </w:p>
    <w:p w14:paraId="174A6E86" w14:textId="77777777" w:rsidR="00D80693" w:rsidRDefault="00D80693" w:rsidP="0016777C">
      <w:pPr>
        <w:spacing w:before="120"/>
        <w:ind w:left="720" w:hanging="720"/>
        <w:jc w:val="both"/>
        <w:rPr>
          <w:rFonts w:eastAsia="Calibri"/>
          <w:sz w:val="24"/>
          <w:szCs w:val="24"/>
        </w:rPr>
      </w:pPr>
      <w:r w:rsidRPr="00DD4F2B">
        <w:rPr>
          <w:rFonts w:eastAsia="Calibri"/>
          <w:sz w:val="24"/>
          <w:szCs w:val="24"/>
        </w:rPr>
        <w:t>Brault-</w:t>
      </w:r>
      <w:proofErr w:type="spellStart"/>
      <w:r w:rsidRPr="00DD4F2B">
        <w:rPr>
          <w:rFonts w:eastAsia="Calibri"/>
          <w:sz w:val="24"/>
          <w:szCs w:val="24"/>
        </w:rPr>
        <w:t>Labbé</w:t>
      </w:r>
      <w:proofErr w:type="spellEnd"/>
      <w:r w:rsidRPr="00DD4F2B">
        <w:rPr>
          <w:rFonts w:eastAsia="Calibri"/>
          <w:sz w:val="24"/>
          <w:szCs w:val="24"/>
        </w:rPr>
        <w:t xml:space="preserve">, A. (2013). </w:t>
      </w:r>
      <w:r w:rsidRPr="00DD4F2B">
        <w:rPr>
          <w:rFonts w:eastAsia="Calibri"/>
          <w:i/>
          <w:sz w:val="24"/>
          <w:szCs w:val="24"/>
        </w:rPr>
        <w:t>Étude de la réalité professionnelle des enseignants du primaire et impact perçu sur la persévérance et la réussite des élèves : perspectives comparées d'enseignants novices, en mi- carrière et seniors</w:t>
      </w:r>
      <w:r w:rsidRPr="00DD4F2B">
        <w:rPr>
          <w:rFonts w:eastAsia="Calibri"/>
          <w:sz w:val="24"/>
          <w:szCs w:val="24"/>
        </w:rPr>
        <w:t>. Rapport de recherche, Programme Actions Concertées, Québec.</w:t>
      </w:r>
    </w:p>
    <w:p w14:paraId="1D7ED250" w14:textId="77777777" w:rsidR="00D80693" w:rsidRPr="00DD4F2B" w:rsidRDefault="00D80693" w:rsidP="0016777C">
      <w:pPr>
        <w:spacing w:before="120"/>
        <w:ind w:left="720" w:hanging="720"/>
        <w:jc w:val="both"/>
        <w:rPr>
          <w:rFonts w:eastAsia="Calibri"/>
          <w:sz w:val="24"/>
          <w:szCs w:val="24"/>
        </w:rPr>
      </w:pPr>
      <w:r w:rsidRPr="00210E40">
        <w:rPr>
          <w:rFonts w:eastAsia="Calibri"/>
          <w:sz w:val="24"/>
          <w:szCs w:val="24"/>
        </w:rPr>
        <w:t xml:space="preserve">Belfer, M. (2008). Troubles mentaux de l’enfant et de l’adolescent : l’ampleur du problème à travers le monde. </w:t>
      </w:r>
      <w:r w:rsidRPr="00210E40">
        <w:rPr>
          <w:rFonts w:eastAsia="Calibri"/>
          <w:i/>
          <w:sz w:val="24"/>
          <w:szCs w:val="24"/>
        </w:rPr>
        <w:t>Le Journal de psychologie et de psychiatrie de l’enfant 49(3) : 226-236.</w:t>
      </w:r>
    </w:p>
    <w:p w14:paraId="2557136B"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Chartrand, R. (2006). </w:t>
      </w:r>
      <w:r w:rsidRPr="00DD4F2B">
        <w:rPr>
          <w:rFonts w:eastAsia="Calibri"/>
          <w:i/>
          <w:sz w:val="24"/>
          <w:szCs w:val="24"/>
        </w:rPr>
        <w:t>Les facteurs professionnels de la détresse psychologique chez les enseignants</w:t>
      </w:r>
      <w:r w:rsidRPr="00DD4F2B">
        <w:rPr>
          <w:rFonts w:eastAsia="Calibri"/>
          <w:sz w:val="24"/>
          <w:szCs w:val="24"/>
        </w:rPr>
        <w:t>. Mémoire de maîtrise en relations industrielles de l’Université de Montréal.</w:t>
      </w:r>
    </w:p>
    <w:p w14:paraId="1890A6DF"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Conne-</w:t>
      </w:r>
      <w:proofErr w:type="spellStart"/>
      <w:r w:rsidRPr="00DD4F2B">
        <w:rPr>
          <w:rFonts w:eastAsia="Calibri"/>
          <w:sz w:val="24"/>
          <w:szCs w:val="24"/>
        </w:rPr>
        <w:t>Perreard</w:t>
      </w:r>
      <w:proofErr w:type="spellEnd"/>
      <w:r w:rsidRPr="00DD4F2B">
        <w:rPr>
          <w:rFonts w:eastAsia="Calibri"/>
          <w:sz w:val="24"/>
          <w:szCs w:val="24"/>
        </w:rPr>
        <w:t xml:space="preserve">, E., Glardon, M. J., </w:t>
      </w:r>
      <w:proofErr w:type="spellStart"/>
      <w:r w:rsidRPr="00DD4F2B">
        <w:rPr>
          <w:rFonts w:eastAsia="Calibri"/>
          <w:sz w:val="24"/>
          <w:szCs w:val="24"/>
        </w:rPr>
        <w:t>Parrat</w:t>
      </w:r>
      <w:proofErr w:type="spellEnd"/>
      <w:r w:rsidRPr="00DD4F2B">
        <w:rPr>
          <w:rFonts w:eastAsia="Calibri"/>
          <w:sz w:val="24"/>
          <w:szCs w:val="24"/>
        </w:rPr>
        <w:t xml:space="preserve">, J. et </w:t>
      </w:r>
      <w:proofErr w:type="spellStart"/>
      <w:r w:rsidRPr="00DD4F2B">
        <w:rPr>
          <w:rFonts w:eastAsia="Calibri"/>
          <w:sz w:val="24"/>
          <w:szCs w:val="24"/>
        </w:rPr>
        <w:t>Usel</w:t>
      </w:r>
      <w:proofErr w:type="spellEnd"/>
      <w:r w:rsidRPr="00DD4F2B">
        <w:rPr>
          <w:rFonts w:eastAsia="Calibri"/>
          <w:sz w:val="24"/>
          <w:szCs w:val="24"/>
        </w:rPr>
        <w:t xml:space="preserve">, M. (2001). </w:t>
      </w:r>
      <w:r w:rsidRPr="00DD4F2B">
        <w:rPr>
          <w:rFonts w:eastAsia="Calibri"/>
          <w:i/>
          <w:sz w:val="24"/>
          <w:szCs w:val="24"/>
        </w:rPr>
        <w:t xml:space="preserve">Effets de conditions de travail défavorables sur la santé des travailleurs et leurs conséquences économiques. </w:t>
      </w:r>
      <w:r w:rsidRPr="00DD4F2B">
        <w:rPr>
          <w:rFonts w:eastAsia="Calibri"/>
          <w:sz w:val="24"/>
          <w:szCs w:val="24"/>
        </w:rPr>
        <w:t>Conférences romandes et tessinoises des offices cantonaux de protection des travailleurs. https://oai.cairn.info/oai.php?verb=GetRecord&amp;metadataPrefix=cairnpt&amp;identifier=SPUB_063_0375</w:t>
      </w:r>
    </w:p>
    <w:p w14:paraId="005E78EE" w14:textId="77777777" w:rsidR="00D80693" w:rsidRPr="00DD4F2B" w:rsidRDefault="00D80693" w:rsidP="0016777C">
      <w:pPr>
        <w:spacing w:before="120"/>
        <w:ind w:left="720" w:hanging="720"/>
        <w:rPr>
          <w:rFonts w:eastAsia="Calibri"/>
          <w:sz w:val="24"/>
          <w:szCs w:val="24"/>
        </w:rPr>
      </w:pPr>
      <w:r w:rsidRPr="00DD4F2B">
        <w:rPr>
          <w:rFonts w:eastAsia="Calibri"/>
          <w:sz w:val="24"/>
          <w:szCs w:val="24"/>
        </w:rPr>
        <w:t xml:space="preserve">De Putter, M.-A. et Manlan, </w:t>
      </w:r>
      <w:proofErr w:type="gramStart"/>
      <w:r w:rsidRPr="00DD4F2B">
        <w:rPr>
          <w:rFonts w:eastAsia="Calibri"/>
          <w:sz w:val="24"/>
          <w:szCs w:val="24"/>
        </w:rPr>
        <w:t>C.(</w:t>
      </w:r>
      <w:proofErr w:type="gramEnd"/>
      <w:r w:rsidRPr="00DD4F2B">
        <w:rPr>
          <w:rFonts w:eastAsia="Calibri"/>
          <w:sz w:val="24"/>
          <w:szCs w:val="24"/>
        </w:rPr>
        <w:t xml:space="preserve">2020, 06 octobre). La santé mentale reste taboue dans l’agenda du développement en Afrique. </w:t>
      </w:r>
      <w:r w:rsidRPr="00DD4F2B">
        <w:rPr>
          <w:rFonts w:eastAsia="Calibri"/>
          <w:i/>
          <w:sz w:val="24"/>
          <w:szCs w:val="24"/>
        </w:rPr>
        <w:t xml:space="preserve">Le Monde. </w:t>
      </w:r>
      <w:r w:rsidRPr="00DD4F2B">
        <w:rPr>
          <w:rFonts w:eastAsia="Calibri"/>
          <w:sz w:val="24"/>
          <w:szCs w:val="24"/>
        </w:rPr>
        <w:t xml:space="preserve"> </w:t>
      </w:r>
      <w:hyperlink r:id="rId133" w:history="1">
        <w:r w:rsidRPr="00DD4F2B">
          <w:rPr>
            <w:rFonts w:eastAsia="Calibri"/>
            <w:color w:val="0563C1"/>
            <w:sz w:val="24"/>
            <w:szCs w:val="24"/>
            <w:u w:val="single"/>
          </w:rPr>
          <w:t>https://www.lemonde.fr/afrique/article/2020/10/06/la-sante-mentale-reste-taboue-dans-l-agenda-du-developpement-en-afrique/</w:t>
        </w:r>
      </w:hyperlink>
      <w:r w:rsidRPr="00DD4F2B">
        <w:rPr>
          <w:rFonts w:eastAsia="Calibri"/>
          <w:sz w:val="24"/>
          <w:szCs w:val="24"/>
        </w:rPr>
        <w:t xml:space="preserve"> </w:t>
      </w:r>
    </w:p>
    <w:p w14:paraId="4351F39D" w14:textId="77777777" w:rsidR="00D80693" w:rsidRPr="00DD4F2B" w:rsidRDefault="00D80693" w:rsidP="0016777C">
      <w:pPr>
        <w:spacing w:before="120"/>
        <w:ind w:left="720" w:hanging="720"/>
        <w:jc w:val="both"/>
        <w:rPr>
          <w:rFonts w:eastAsia="Calibri"/>
          <w:sz w:val="24"/>
          <w:szCs w:val="24"/>
        </w:rPr>
      </w:pPr>
      <w:proofErr w:type="spellStart"/>
      <w:r w:rsidRPr="00DD4F2B">
        <w:rPr>
          <w:rFonts w:eastAsia="Calibri"/>
          <w:sz w:val="24"/>
          <w:szCs w:val="24"/>
        </w:rPr>
        <w:t>Dissez</w:t>
      </w:r>
      <w:proofErr w:type="spellEnd"/>
      <w:r w:rsidRPr="00DD4F2B">
        <w:rPr>
          <w:rFonts w:eastAsia="Calibri"/>
          <w:sz w:val="24"/>
          <w:szCs w:val="24"/>
        </w:rPr>
        <w:t>, N. (2006). Qu'est-ce que la santé mentale ? </w:t>
      </w:r>
      <w:r w:rsidRPr="00DD4F2B">
        <w:rPr>
          <w:rFonts w:eastAsia="Calibri"/>
          <w:i/>
          <w:iCs/>
          <w:sz w:val="24"/>
          <w:szCs w:val="24"/>
        </w:rPr>
        <w:t>Journal français de psychiatrie</w:t>
      </w:r>
      <w:r w:rsidRPr="00DD4F2B">
        <w:rPr>
          <w:rFonts w:eastAsia="Calibri"/>
          <w:sz w:val="24"/>
          <w:szCs w:val="24"/>
        </w:rPr>
        <w:t>, Vol. 4 n° 27, p. 19-21.</w:t>
      </w:r>
    </w:p>
    <w:p w14:paraId="39FBADDF"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Duchesne, C. et Savoie-Zajc, L. (2005). « L’engagement professionnel d’enseignantes du primaire : une démarche inductive de théorisation ». </w:t>
      </w:r>
      <w:r w:rsidRPr="00DD4F2B">
        <w:rPr>
          <w:rFonts w:eastAsia="Calibri"/>
          <w:i/>
          <w:sz w:val="24"/>
          <w:szCs w:val="24"/>
        </w:rPr>
        <w:t>Recherches qualitatives</w:t>
      </w:r>
      <w:r w:rsidRPr="00DD4F2B">
        <w:rPr>
          <w:rFonts w:eastAsia="Calibri"/>
          <w:sz w:val="24"/>
          <w:szCs w:val="24"/>
        </w:rPr>
        <w:t>, 25(2), 69-95. https://depot.erudit.org/bitstream/003212dd/1/30129826.pdf</w:t>
      </w:r>
    </w:p>
    <w:p w14:paraId="074A1217"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Fotinos, G. &amp; Horenstein, J. M. (2009). </w:t>
      </w:r>
      <w:r w:rsidRPr="00DD4F2B">
        <w:rPr>
          <w:rFonts w:eastAsia="Calibri"/>
          <w:i/>
          <w:sz w:val="24"/>
          <w:szCs w:val="24"/>
        </w:rPr>
        <w:t>La qualité de vie au travail dans les lycées et collèges : le burnout des enseignants</w:t>
      </w:r>
      <w:r w:rsidRPr="00DD4F2B">
        <w:rPr>
          <w:rFonts w:eastAsia="Calibri"/>
          <w:sz w:val="24"/>
          <w:szCs w:val="24"/>
        </w:rPr>
        <w:t>. Paris : Mutuelle Générale de l’Education Nationale. https://tel.archives-ouvertes.fr/tel-02371977/document</w:t>
      </w:r>
    </w:p>
    <w:p w14:paraId="3FA4BA2C"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Friedman, I. (2000). Burnout chez les enseignants : rêves brisés de performances professionnelles irréprochables. </w:t>
      </w:r>
      <w:r w:rsidRPr="00DD4F2B">
        <w:rPr>
          <w:rFonts w:eastAsia="Calibri"/>
          <w:i/>
          <w:sz w:val="24"/>
          <w:szCs w:val="24"/>
        </w:rPr>
        <w:t>Journal de psychologie clinique</w:t>
      </w:r>
      <w:r w:rsidRPr="00DD4F2B">
        <w:rPr>
          <w:rFonts w:eastAsia="Calibri"/>
          <w:sz w:val="24"/>
          <w:szCs w:val="24"/>
        </w:rPr>
        <w:t>, 56(5) :595-606. DOI :10.1002/(SICI)1097-4679(00005)56 :53.0.CO ;2-Q.</w:t>
      </w:r>
    </w:p>
    <w:p w14:paraId="2D86FE35"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Hastings R. P. &amp; Bham, M. S., 2003. La relation entre les modèles de comportement des élèves et l’épuisement professionnel des enseignants. </w:t>
      </w:r>
      <w:r w:rsidRPr="00DD4F2B">
        <w:rPr>
          <w:rFonts w:eastAsia="Calibri"/>
          <w:i/>
          <w:sz w:val="24"/>
          <w:szCs w:val="24"/>
        </w:rPr>
        <w:t>Psychologie scolaire internationale</w:t>
      </w:r>
      <w:r w:rsidRPr="00DD4F2B">
        <w:rPr>
          <w:rFonts w:eastAsia="Calibri"/>
          <w:sz w:val="24"/>
          <w:szCs w:val="24"/>
        </w:rPr>
        <w:t>. 24(1), 115-127.</w:t>
      </w:r>
    </w:p>
    <w:p w14:paraId="2ED2F106" w14:textId="77777777" w:rsidR="00D80693" w:rsidRPr="00DD4F2B" w:rsidRDefault="00D80693" w:rsidP="0016777C">
      <w:pPr>
        <w:spacing w:before="120"/>
        <w:ind w:left="720" w:hanging="720"/>
        <w:jc w:val="both"/>
        <w:rPr>
          <w:rFonts w:eastAsia="Calibri"/>
          <w:sz w:val="24"/>
          <w:szCs w:val="24"/>
        </w:rPr>
      </w:pPr>
      <w:proofErr w:type="spellStart"/>
      <w:r w:rsidRPr="00DD4F2B">
        <w:rPr>
          <w:rFonts w:eastAsia="Calibri"/>
          <w:sz w:val="24"/>
          <w:szCs w:val="24"/>
        </w:rPr>
        <w:t>Houlfort</w:t>
      </w:r>
      <w:proofErr w:type="spellEnd"/>
      <w:r w:rsidRPr="00DD4F2B">
        <w:rPr>
          <w:rFonts w:eastAsia="Calibri"/>
          <w:sz w:val="24"/>
          <w:szCs w:val="24"/>
        </w:rPr>
        <w:t xml:space="preserve">, N. et Sauvé, F. (2010). </w:t>
      </w:r>
      <w:r w:rsidRPr="00DD4F2B">
        <w:rPr>
          <w:rFonts w:eastAsia="Calibri"/>
          <w:i/>
          <w:sz w:val="24"/>
          <w:szCs w:val="24"/>
        </w:rPr>
        <w:t>Santé psychologique des enseignants de la Fédération autonome de l’enseignement</w:t>
      </w:r>
      <w:r w:rsidRPr="00DD4F2B">
        <w:rPr>
          <w:rFonts w:eastAsia="Calibri"/>
          <w:sz w:val="24"/>
          <w:szCs w:val="24"/>
        </w:rPr>
        <w:t>. Montréal : Ecole nationale d’administration publique.</w:t>
      </w:r>
    </w:p>
    <w:p w14:paraId="6D754EBD"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Hugues, J. C. (2006). </w:t>
      </w:r>
      <w:r w:rsidRPr="00DD4F2B">
        <w:rPr>
          <w:rFonts w:eastAsia="Calibri"/>
          <w:i/>
          <w:sz w:val="24"/>
          <w:szCs w:val="24"/>
        </w:rPr>
        <w:t>Stress des enseignants, efficacité des enseignants et tests standardisés : une étude menée auprès des enseignants des écoles publiques de la ville de New York</w:t>
      </w:r>
      <w:r w:rsidRPr="00DD4F2B">
        <w:rPr>
          <w:rFonts w:eastAsia="Calibri"/>
          <w:sz w:val="24"/>
          <w:szCs w:val="24"/>
        </w:rPr>
        <w:t>. Université de Fordham, 100 p.</w:t>
      </w:r>
      <w:r w:rsidRPr="00DD4F2B">
        <w:rPr>
          <w:rFonts w:ascii="Calibri" w:eastAsia="Calibri" w:hAnsi="Calibri"/>
          <w:sz w:val="24"/>
          <w:szCs w:val="24"/>
        </w:rPr>
        <w:t xml:space="preserve"> </w:t>
      </w:r>
      <w:r w:rsidRPr="00DD4F2B">
        <w:rPr>
          <w:rFonts w:eastAsia="Calibri"/>
          <w:sz w:val="24"/>
          <w:szCs w:val="24"/>
        </w:rPr>
        <w:t>https://docplayer.fr/58395952-Detresse-psychologique-dans-l-enseignement-primaire-secondaire-et-collegial-au-quebec.html</w:t>
      </w:r>
    </w:p>
    <w:p w14:paraId="485AA783"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IGENA (2021). </w:t>
      </w:r>
      <w:r w:rsidRPr="00DD4F2B">
        <w:rPr>
          <w:rFonts w:eastAsia="Calibri"/>
          <w:i/>
          <w:sz w:val="24"/>
          <w:szCs w:val="24"/>
        </w:rPr>
        <w:t>Système éducatif ivoirien</w:t>
      </w:r>
      <w:r w:rsidRPr="00DD4F2B">
        <w:rPr>
          <w:rFonts w:eastAsia="Calibri"/>
          <w:sz w:val="24"/>
          <w:szCs w:val="24"/>
        </w:rPr>
        <w:t>.</w:t>
      </w:r>
    </w:p>
    <w:p w14:paraId="58D93A5C" w14:textId="77777777" w:rsidR="00D80693" w:rsidRPr="00DD4F2B" w:rsidRDefault="00D80693" w:rsidP="0016777C">
      <w:pPr>
        <w:spacing w:before="120"/>
        <w:ind w:left="720" w:hanging="720"/>
        <w:jc w:val="both"/>
        <w:rPr>
          <w:rFonts w:eastAsia="Calibri"/>
          <w:sz w:val="24"/>
          <w:szCs w:val="24"/>
          <w:lang w:val="fr-SN"/>
        </w:rPr>
      </w:pPr>
      <w:bookmarkStart w:id="250" w:name="_Hlk215433435"/>
      <w:bookmarkEnd w:id="249"/>
      <w:proofErr w:type="spellStart"/>
      <w:r w:rsidRPr="00DD4F2B">
        <w:rPr>
          <w:rFonts w:eastAsia="Calibri"/>
          <w:sz w:val="24"/>
          <w:szCs w:val="24"/>
        </w:rPr>
        <w:t>Kairouz</w:t>
      </w:r>
      <w:proofErr w:type="spellEnd"/>
      <w:r w:rsidRPr="00DD4F2B">
        <w:rPr>
          <w:rFonts w:eastAsia="Calibri"/>
          <w:sz w:val="24"/>
          <w:szCs w:val="24"/>
        </w:rPr>
        <w:t xml:space="preserve">, S. et Demers, A. (2003). Inégalités socioéconomiques et bien-être psychologique : une analyse secondaire de l’Enquête sociale et de santé de 1998. </w:t>
      </w:r>
      <w:r w:rsidRPr="00DD4F2B">
        <w:rPr>
          <w:rFonts w:eastAsia="Calibri"/>
          <w:i/>
          <w:iCs/>
          <w:sz w:val="24"/>
          <w:szCs w:val="24"/>
          <w:lang w:val="fr-SN"/>
        </w:rPr>
        <w:t>Sociologie et sociétés</w:t>
      </w:r>
      <w:r w:rsidRPr="00DD4F2B">
        <w:rPr>
          <w:rFonts w:eastAsia="Calibri"/>
          <w:sz w:val="24"/>
          <w:szCs w:val="24"/>
          <w:lang w:val="fr-SN"/>
        </w:rPr>
        <w:t xml:space="preserve">, </w:t>
      </w:r>
      <w:r w:rsidRPr="00DD4F2B">
        <w:rPr>
          <w:rFonts w:eastAsia="Calibri"/>
          <w:i/>
          <w:iCs/>
          <w:sz w:val="24"/>
          <w:szCs w:val="24"/>
          <w:lang w:val="fr-SN"/>
        </w:rPr>
        <w:t>35</w:t>
      </w:r>
      <w:r w:rsidRPr="00DD4F2B">
        <w:rPr>
          <w:rFonts w:eastAsia="Calibri"/>
          <w:sz w:val="24"/>
          <w:szCs w:val="24"/>
          <w:lang w:val="fr-SN"/>
        </w:rPr>
        <w:t xml:space="preserve"> (1), 185–202.</w:t>
      </w:r>
      <w:r w:rsidRPr="00DD4F2B">
        <w:rPr>
          <w:rFonts w:ascii="Calibri" w:eastAsia="Calibri" w:hAnsi="Calibri"/>
          <w:sz w:val="24"/>
          <w:szCs w:val="24"/>
        </w:rPr>
        <w:t xml:space="preserve"> </w:t>
      </w:r>
      <w:r w:rsidRPr="00DD4F2B">
        <w:rPr>
          <w:rFonts w:eastAsia="Calibri"/>
          <w:sz w:val="24"/>
          <w:szCs w:val="24"/>
        </w:rPr>
        <w:t>https://doi.org/10.7202/008516ar</w:t>
      </w:r>
    </w:p>
    <w:p w14:paraId="20A0B93C" w14:textId="77777777" w:rsidR="00D80693" w:rsidRPr="00DD4F2B" w:rsidRDefault="00D80693" w:rsidP="0016777C">
      <w:pPr>
        <w:spacing w:before="120"/>
        <w:ind w:left="720" w:hanging="720"/>
        <w:jc w:val="both"/>
        <w:rPr>
          <w:rFonts w:eastAsia="Calibri"/>
          <w:sz w:val="24"/>
          <w:szCs w:val="24"/>
          <w:lang w:val="en-US"/>
        </w:rPr>
      </w:pPr>
      <w:r w:rsidRPr="00DD4F2B">
        <w:rPr>
          <w:rFonts w:eastAsia="Calibri"/>
          <w:sz w:val="24"/>
          <w:szCs w:val="24"/>
          <w:lang w:val="fr-SN"/>
        </w:rPr>
        <w:t xml:space="preserve">Karasek, R. A. et Theorell, T. (1990). </w:t>
      </w:r>
      <w:r w:rsidRPr="00DD4F2B">
        <w:rPr>
          <w:rFonts w:eastAsia="Calibri"/>
          <w:i/>
          <w:iCs/>
          <w:sz w:val="24"/>
          <w:szCs w:val="24"/>
          <w:lang w:val="fr-SN"/>
        </w:rPr>
        <w:t>Travail sain, productivité et reconstruction de la vie professionnelle.</w:t>
      </w:r>
      <w:r w:rsidRPr="00DD4F2B">
        <w:rPr>
          <w:rFonts w:eastAsia="Calibri"/>
          <w:sz w:val="24"/>
          <w:szCs w:val="24"/>
          <w:lang w:val="fr-SN"/>
        </w:rPr>
        <w:t xml:space="preserve"> </w:t>
      </w:r>
      <w:r w:rsidRPr="00DD4F2B">
        <w:rPr>
          <w:rFonts w:eastAsia="Calibri"/>
          <w:sz w:val="24"/>
          <w:szCs w:val="24"/>
          <w:lang w:val="en-US"/>
        </w:rPr>
        <w:t>New York: Livres de base</w:t>
      </w:r>
    </w:p>
    <w:p w14:paraId="50EEF628"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lang w:val="en-US"/>
        </w:rPr>
        <w:t xml:space="preserve">Kessler, R. C., Andrews, G., </w:t>
      </w:r>
      <w:proofErr w:type="spellStart"/>
      <w:r w:rsidRPr="00DD4F2B">
        <w:rPr>
          <w:rFonts w:eastAsia="Calibri"/>
          <w:sz w:val="24"/>
          <w:szCs w:val="24"/>
          <w:lang w:val="en-US"/>
        </w:rPr>
        <w:t>Colpe</w:t>
      </w:r>
      <w:proofErr w:type="spellEnd"/>
      <w:r w:rsidRPr="00DD4F2B">
        <w:rPr>
          <w:rFonts w:eastAsia="Calibri"/>
          <w:sz w:val="24"/>
          <w:szCs w:val="24"/>
          <w:lang w:val="en-US"/>
        </w:rPr>
        <w:t xml:space="preserve">, L. J., Hiripi, E.E., Mroczek, D. K., Normand, S-L., T., Walters, E. E., et Zaslavsky, A. M., 2002. </w:t>
      </w:r>
      <w:r w:rsidRPr="00DD4F2B">
        <w:rPr>
          <w:rFonts w:eastAsia="Calibri"/>
          <w:sz w:val="24"/>
          <w:szCs w:val="24"/>
        </w:rPr>
        <w:t xml:space="preserve">Echelles de dépistage courtes pour surveiller les prévalences et les tendances de la détresse psychologique non spécifique dans la population. </w:t>
      </w:r>
      <w:r w:rsidRPr="00DD4F2B">
        <w:rPr>
          <w:rFonts w:eastAsia="Calibri"/>
          <w:i/>
          <w:sz w:val="24"/>
          <w:szCs w:val="24"/>
        </w:rPr>
        <w:t>Psychologie Médicale</w:t>
      </w:r>
      <w:r w:rsidRPr="00DD4F2B">
        <w:rPr>
          <w:rFonts w:eastAsia="Calibri"/>
          <w:sz w:val="24"/>
          <w:szCs w:val="24"/>
        </w:rPr>
        <w:t>. 32 : 959-976.</w:t>
      </w:r>
      <w:r w:rsidRPr="00DD4F2B">
        <w:rPr>
          <w:rFonts w:ascii="Calibri" w:eastAsia="Calibri" w:hAnsi="Calibri"/>
          <w:sz w:val="24"/>
          <w:szCs w:val="24"/>
        </w:rPr>
        <w:t xml:space="preserve"> </w:t>
      </w:r>
      <w:r w:rsidRPr="00DD4F2B">
        <w:rPr>
          <w:rFonts w:eastAsia="Calibri"/>
          <w:sz w:val="24"/>
          <w:szCs w:val="24"/>
        </w:rPr>
        <w:t xml:space="preserve"> https://www150.statcan.gc.ca/n1/pub/82-003-x/2016001/article/14307-fra.pdf</w:t>
      </w:r>
    </w:p>
    <w:p w14:paraId="7A6641AE" w14:textId="77777777" w:rsidR="00D80693" w:rsidRPr="00DD4F2B" w:rsidRDefault="00D80693" w:rsidP="0016777C">
      <w:pPr>
        <w:spacing w:before="120"/>
        <w:ind w:left="720" w:hanging="720"/>
        <w:jc w:val="both"/>
        <w:rPr>
          <w:rFonts w:eastAsia="Calibri"/>
          <w:sz w:val="24"/>
          <w:szCs w:val="24"/>
          <w:lang w:val="fr-SN"/>
        </w:rPr>
      </w:pPr>
      <w:proofErr w:type="spellStart"/>
      <w:r w:rsidRPr="00DD4F2B">
        <w:rPr>
          <w:rFonts w:eastAsia="Calibri"/>
          <w:sz w:val="24"/>
          <w:szCs w:val="24"/>
          <w:lang w:val="fr-SN"/>
        </w:rPr>
        <w:t>Kovess-Masfety</w:t>
      </w:r>
      <w:proofErr w:type="spellEnd"/>
      <w:r w:rsidRPr="00DD4F2B">
        <w:rPr>
          <w:rFonts w:eastAsia="Calibri"/>
          <w:sz w:val="24"/>
          <w:szCs w:val="24"/>
          <w:lang w:val="fr-SN"/>
        </w:rPr>
        <w:t xml:space="preserve">, V., Carmen, R-S., et </w:t>
      </w:r>
      <w:proofErr w:type="spellStart"/>
      <w:r w:rsidRPr="00DD4F2B">
        <w:rPr>
          <w:rFonts w:eastAsia="Calibri"/>
          <w:sz w:val="24"/>
          <w:szCs w:val="24"/>
          <w:lang w:val="fr-SN"/>
        </w:rPr>
        <w:t>Sévilla</w:t>
      </w:r>
      <w:proofErr w:type="spellEnd"/>
      <w:r w:rsidRPr="00DD4F2B">
        <w:rPr>
          <w:rFonts w:eastAsia="Calibri"/>
          <w:sz w:val="24"/>
          <w:szCs w:val="24"/>
          <w:lang w:val="fr-SN"/>
        </w:rPr>
        <w:t xml:space="preserve">-Dedieu C., (2007). Niveaux de santé mentale et d’enseignement des enseignants. </w:t>
      </w:r>
      <w:r w:rsidRPr="00DD4F2B">
        <w:rPr>
          <w:rFonts w:eastAsia="Calibri"/>
          <w:i/>
          <w:sz w:val="24"/>
          <w:szCs w:val="24"/>
          <w:lang w:val="fr-SN"/>
        </w:rPr>
        <w:t>Enseignement et formation des enseignants :</w:t>
      </w:r>
      <w:r w:rsidRPr="00DD4F2B">
        <w:rPr>
          <w:rFonts w:eastAsia="Calibri"/>
          <w:sz w:val="24"/>
          <w:szCs w:val="24"/>
          <w:lang w:val="fr-SN"/>
        </w:rPr>
        <w:t xml:space="preserve"> </w:t>
      </w:r>
      <w:proofErr w:type="gramStart"/>
      <w:r w:rsidRPr="00DD4F2B">
        <w:rPr>
          <w:rFonts w:eastAsia="Calibri"/>
          <w:sz w:val="24"/>
          <w:szCs w:val="24"/>
          <w:lang w:val="fr-SN"/>
        </w:rPr>
        <w:t>une revue international</w:t>
      </w:r>
      <w:proofErr w:type="gramEnd"/>
      <w:r w:rsidRPr="00DD4F2B">
        <w:rPr>
          <w:rFonts w:eastAsia="Calibri"/>
          <w:sz w:val="24"/>
          <w:szCs w:val="24"/>
          <w:lang w:val="fr-SN"/>
        </w:rPr>
        <w:t xml:space="preserve"> de </w:t>
      </w:r>
      <w:proofErr w:type="gramStart"/>
      <w:r w:rsidRPr="00DD4F2B">
        <w:rPr>
          <w:rFonts w:eastAsia="Calibri"/>
          <w:sz w:val="24"/>
          <w:szCs w:val="24"/>
          <w:lang w:val="fr-SN"/>
        </w:rPr>
        <w:t>recherché</w:t>
      </w:r>
      <w:proofErr w:type="gramEnd"/>
      <w:r w:rsidRPr="00DD4F2B">
        <w:rPr>
          <w:rFonts w:eastAsia="Calibri"/>
          <w:sz w:val="24"/>
          <w:szCs w:val="24"/>
          <w:lang w:val="fr-SN"/>
        </w:rPr>
        <w:t xml:space="preserve"> et d’étude, Volume 23, n°7, p.1177-1192.</w:t>
      </w:r>
    </w:p>
    <w:p w14:paraId="3FF2B8A8"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lang w:val="fr-SN"/>
        </w:rPr>
        <w:t>Lambert-Chan M., (2007).</w:t>
      </w:r>
      <w:r w:rsidRPr="00DD4F2B">
        <w:rPr>
          <w:rFonts w:eastAsia="Calibri"/>
          <w:sz w:val="24"/>
          <w:szCs w:val="24"/>
        </w:rPr>
        <w:t xml:space="preserve"> « Le confort au travail, une priorité ». </w:t>
      </w:r>
      <w:r w:rsidRPr="00DD4F2B">
        <w:rPr>
          <w:rFonts w:eastAsia="Calibri"/>
          <w:i/>
          <w:sz w:val="24"/>
          <w:szCs w:val="24"/>
        </w:rPr>
        <w:t>La Presse Affaires</w:t>
      </w:r>
      <w:r w:rsidRPr="00DD4F2B">
        <w:rPr>
          <w:rFonts w:eastAsia="Calibri"/>
          <w:sz w:val="24"/>
          <w:szCs w:val="24"/>
        </w:rPr>
        <w:t xml:space="preserve"> (Montréal), 10 septembre 2007, p. 1-3.</w:t>
      </w:r>
    </w:p>
    <w:p w14:paraId="5DA2D607" w14:textId="77777777" w:rsidR="00D80693" w:rsidRPr="00DD4F2B" w:rsidRDefault="00D80693" w:rsidP="0016777C">
      <w:pPr>
        <w:spacing w:before="120"/>
        <w:ind w:left="720" w:hanging="720"/>
        <w:jc w:val="both"/>
        <w:rPr>
          <w:rFonts w:eastAsia="Calibri"/>
          <w:sz w:val="24"/>
          <w:szCs w:val="24"/>
          <w:lang w:val="en-US"/>
        </w:rPr>
      </w:pPr>
      <w:r w:rsidRPr="00DD4F2B">
        <w:rPr>
          <w:rFonts w:eastAsia="Calibri"/>
          <w:sz w:val="24"/>
          <w:szCs w:val="24"/>
        </w:rPr>
        <w:t xml:space="preserve">Larsen, R. J., et Z. </w:t>
      </w:r>
      <w:proofErr w:type="spellStart"/>
      <w:r w:rsidRPr="00DD4F2B">
        <w:rPr>
          <w:rFonts w:eastAsia="Calibri"/>
          <w:sz w:val="24"/>
          <w:szCs w:val="24"/>
        </w:rPr>
        <w:t>Prizmic</w:t>
      </w:r>
      <w:proofErr w:type="spellEnd"/>
      <w:r w:rsidRPr="00DD4F2B">
        <w:rPr>
          <w:rFonts w:eastAsia="Calibri"/>
          <w:sz w:val="24"/>
          <w:szCs w:val="24"/>
        </w:rPr>
        <w:t xml:space="preserve">. </w:t>
      </w:r>
      <w:proofErr w:type="gramStart"/>
      <w:r w:rsidRPr="00DD4F2B">
        <w:rPr>
          <w:rFonts w:eastAsia="Calibri"/>
          <w:sz w:val="24"/>
          <w:szCs w:val="24"/>
          <w:lang w:val="en-US"/>
        </w:rPr>
        <w:t>2004. «</w:t>
      </w:r>
      <w:proofErr w:type="gramEnd"/>
      <w:r w:rsidRPr="00DD4F2B">
        <w:rPr>
          <w:rFonts w:eastAsia="Calibri"/>
          <w:sz w:val="24"/>
          <w:szCs w:val="24"/>
          <w:lang w:val="en-US"/>
        </w:rPr>
        <w:t xml:space="preserve"> Affect regulation », dans R. F. Baumeister et K. D. Vohs (Eds.), </w:t>
      </w:r>
      <w:r w:rsidRPr="00DD4F2B">
        <w:rPr>
          <w:rFonts w:eastAsia="Calibri"/>
          <w:i/>
          <w:sz w:val="24"/>
          <w:szCs w:val="24"/>
          <w:lang w:val="en-US"/>
        </w:rPr>
        <w:t>Handbook of self-regulation: Research, theory, and applications</w:t>
      </w:r>
      <w:r w:rsidRPr="00DD4F2B">
        <w:rPr>
          <w:rFonts w:eastAsia="Calibri"/>
          <w:sz w:val="24"/>
          <w:szCs w:val="24"/>
          <w:lang w:val="en-US"/>
        </w:rPr>
        <w:t>. New York: Guilford Press, p.40–61.</w:t>
      </w:r>
    </w:p>
    <w:p w14:paraId="4AF9B1F2" w14:textId="77777777" w:rsidR="00D80693" w:rsidRPr="00DD4F2B" w:rsidRDefault="00D80693" w:rsidP="0016777C">
      <w:pPr>
        <w:spacing w:before="120"/>
        <w:ind w:left="720" w:hanging="720"/>
        <w:jc w:val="both"/>
        <w:rPr>
          <w:rFonts w:eastAsia="Calibri"/>
          <w:sz w:val="24"/>
          <w:szCs w:val="24"/>
        </w:rPr>
      </w:pPr>
      <w:proofErr w:type="spellStart"/>
      <w:r w:rsidRPr="00DD4F2B">
        <w:rPr>
          <w:rFonts w:eastAsia="Calibri"/>
          <w:sz w:val="24"/>
          <w:szCs w:val="24"/>
          <w:lang w:val="en-US"/>
        </w:rPr>
        <w:t>Laugaa</w:t>
      </w:r>
      <w:proofErr w:type="spellEnd"/>
      <w:r w:rsidRPr="00DD4F2B">
        <w:rPr>
          <w:rFonts w:eastAsia="Calibri"/>
          <w:sz w:val="24"/>
          <w:szCs w:val="24"/>
          <w:lang w:val="en-US"/>
        </w:rPr>
        <w:t xml:space="preserve">, D., et </w:t>
      </w:r>
      <w:proofErr w:type="spellStart"/>
      <w:r w:rsidRPr="00DD4F2B">
        <w:rPr>
          <w:rFonts w:eastAsia="Calibri"/>
          <w:sz w:val="24"/>
          <w:szCs w:val="24"/>
          <w:lang w:val="en-US"/>
        </w:rPr>
        <w:t>Bruchon</w:t>
      </w:r>
      <w:proofErr w:type="spellEnd"/>
      <w:r w:rsidRPr="00DD4F2B">
        <w:rPr>
          <w:rFonts w:eastAsia="Calibri"/>
          <w:sz w:val="24"/>
          <w:szCs w:val="24"/>
          <w:lang w:val="en-US"/>
        </w:rPr>
        <w:t xml:space="preserve">-Schweitzer M., 2005. </w:t>
      </w:r>
      <w:r w:rsidRPr="00DD4F2B">
        <w:rPr>
          <w:rFonts w:eastAsia="Calibri"/>
          <w:sz w:val="24"/>
          <w:szCs w:val="24"/>
        </w:rPr>
        <w:t xml:space="preserve">Ajustement au stress professionnel chez les enseignants français du premier degré. </w:t>
      </w:r>
      <w:r w:rsidRPr="00DD4F2B">
        <w:rPr>
          <w:rFonts w:eastAsia="Calibri"/>
          <w:i/>
          <w:sz w:val="24"/>
          <w:szCs w:val="24"/>
        </w:rPr>
        <w:t>Orientation Scolaire et Professionnelle</w:t>
      </w:r>
      <w:r w:rsidRPr="00DD4F2B">
        <w:rPr>
          <w:rFonts w:eastAsia="Calibri"/>
          <w:sz w:val="24"/>
          <w:szCs w:val="24"/>
        </w:rPr>
        <w:t xml:space="preserve">, </w:t>
      </w:r>
      <w:r w:rsidRPr="00DD4F2B">
        <w:rPr>
          <w:rFonts w:eastAsia="Calibri"/>
          <w:i/>
          <w:sz w:val="24"/>
          <w:szCs w:val="24"/>
        </w:rPr>
        <w:t>34</w:t>
      </w:r>
      <w:r w:rsidRPr="00DD4F2B">
        <w:rPr>
          <w:rFonts w:eastAsia="Calibri"/>
          <w:sz w:val="24"/>
          <w:szCs w:val="24"/>
        </w:rPr>
        <w:t>(4), 499-519.</w:t>
      </w:r>
    </w:p>
    <w:p w14:paraId="682C5DDD" w14:textId="77777777" w:rsidR="00D80693" w:rsidRPr="00DD4F2B" w:rsidRDefault="00D80693" w:rsidP="0016777C">
      <w:pPr>
        <w:spacing w:before="120"/>
        <w:ind w:left="720" w:hanging="720"/>
        <w:jc w:val="both"/>
        <w:rPr>
          <w:rFonts w:eastAsia="Calibri"/>
          <w:sz w:val="24"/>
          <w:szCs w:val="24"/>
          <w:lang w:val="fr-SN"/>
        </w:rPr>
      </w:pPr>
      <w:proofErr w:type="spellStart"/>
      <w:r w:rsidRPr="00DD4F2B">
        <w:rPr>
          <w:rFonts w:eastAsia="Calibri"/>
          <w:sz w:val="24"/>
          <w:szCs w:val="24"/>
        </w:rPr>
        <w:t>Magnavita</w:t>
      </w:r>
      <w:proofErr w:type="spellEnd"/>
      <w:r w:rsidRPr="00DD4F2B">
        <w:rPr>
          <w:rFonts w:eastAsia="Calibri"/>
          <w:sz w:val="24"/>
          <w:szCs w:val="24"/>
        </w:rPr>
        <w:t xml:space="preserve">, N., </w:t>
      </w:r>
      <w:proofErr w:type="spellStart"/>
      <w:r w:rsidRPr="00DD4F2B">
        <w:rPr>
          <w:rFonts w:eastAsia="Calibri"/>
          <w:sz w:val="24"/>
          <w:szCs w:val="24"/>
        </w:rPr>
        <w:t>Fileni</w:t>
      </w:r>
      <w:proofErr w:type="spellEnd"/>
      <w:r w:rsidRPr="00DD4F2B">
        <w:rPr>
          <w:rFonts w:eastAsia="Calibri"/>
          <w:sz w:val="24"/>
          <w:szCs w:val="24"/>
        </w:rPr>
        <w:t xml:space="preserve">, A., </w:t>
      </w:r>
      <w:proofErr w:type="spellStart"/>
      <w:r w:rsidRPr="00DD4F2B">
        <w:rPr>
          <w:rFonts w:eastAsia="Calibri"/>
          <w:sz w:val="24"/>
          <w:szCs w:val="24"/>
        </w:rPr>
        <w:t>Magnavita</w:t>
      </w:r>
      <w:proofErr w:type="spellEnd"/>
      <w:r w:rsidRPr="00DD4F2B">
        <w:rPr>
          <w:rFonts w:eastAsia="Calibri"/>
          <w:sz w:val="24"/>
          <w:szCs w:val="24"/>
        </w:rPr>
        <w:t xml:space="preserve"> G., </w:t>
      </w:r>
      <w:proofErr w:type="spellStart"/>
      <w:r w:rsidRPr="00DD4F2B">
        <w:rPr>
          <w:rFonts w:eastAsia="Calibri"/>
          <w:sz w:val="24"/>
          <w:szCs w:val="24"/>
        </w:rPr>
        <w:t>Mammi</w:t>
      </w:r>
      <w:proofErr w:type="spellEnd"/>
      <w:r w:rsidRPr="00DD4F2B">
        <w:rPr>
          <w:rFonts w:eastAsia="Calibri"/>
          <w:sz w:val="24"/>
          <w:szCs w:val="24"/>
        </w:rPr>
        <w:t xml:space="preserve"> F., </w:t>
      </w:r>
      <w:proofErr w:type="spellStart"/>
      <w:r w:rsidRPr="00DD4F2B">
        <w:rPr>
          <w:rFonts w:eastAsia="Calibri"/>
          <w:sz w:val="24"/>
          <w:szCs w:val="24"/>
        </w:rPr>
        <w:t>Mirk</w:t>
      </w:r>
      <w:proofErr w:type="spellEnd"/>
      <w:r w:rsidRPr="00DD4F2B">
        <w:rPr>
          <w:rFonts w:eastAsia="Calibri"/>
          <w:sz w:val="24"/>
          <w:szCs w:val="24"/>
        </w:rPr>
        <w:t>, P., Roccia, K. et Bergamaschi A., (2008).</w:t>
      </w:r>
      <w:r w:rsidRPr="00DD4F2B">
        <w:rPr>
          <w:rFonts w:eastAsia="Calibri"/>
          <w:sz w:val="24"/>
          <w:szCs w:val="24"/>
          <w:lang w:val="fr-SN"/>
        </w:rPr>
        <w:t xml:space="preserve"> Stress au travail chez les radiologues. Une étude pilote, </w:t>
      </w:r>
      <w:r w:rsidRPr="00DD4F2B">
        <w:rPr>
          <w:rFonts w:eastAsia="Calibri"/>
          <w:i/>
          <w:sz w:val="24"/>
          <w:szCs w:val="24"/>
          <w:lang w:val="fr-SN"/>
        </w:rPr>
        <w:t xml:space="preserve">La radiologie médicale, </w:t>
      </w:r>
      <w:proofErr w:type="gramStart"/>
      <w:r w:rsidRPr="00DD4F2B">
        <w:rPr>
          <w:rFonts w:eastAsia="Calibri"/>
          <w:sz w:val="24"/>
          <w:szCs w:val="24"/>
          <w:lang w:val="fr-SN"/>
        </w:rPr>
        <w:t>113:</w:t>
      </w:r>
      <w:proofErr w:type="gramEnd"/>
      <w:r w:rsidRPr="00DD4F2B">
        <w:rPr>
          <w:rFonts w:eastAsia="Calibri"/>
          <w:sz w:val="24"/>
          <w:szCs w:val="24"/>
          <w:lang w:val="fr-SN"/>
        </w:rPr>
        <w:t>329-346.</w:t>
      </w:r>
    </w:p>
    <w:p w14:paraId="0919D608"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Marchand, A. et Blanc M-E., (2010).</w:t>
      </w:r>
      <w:r w:rsidRPr="00DD4F2B">
        <w:rPr>
          <w:rFonts w:ascii="Calibri" w:eastAsia="Calibri" w:hAnsi="Calibri"/>
          <w:sz w:val="24"/>
          <w:szCs w:val="24"/>
        </w:rPr>
        <w:t xml:space="preserve"> </w:t>
      </w:r>
      <w:r w:rsidRPr="00DD4F2B">
        <w:rPr>
          <w:rFonts w:eastAsia="Calibri"/>
          <w:sz w:val="24"/>
          <w:szCs w:val="24"/>
        </w:rPr>
        <w:t xml:space="preserve">La contribution des facteurs professionnels et non professionnels à l'apparition de la détresse psychologique : une étude prospective de huit ans auprès d'un échantillon représentatif d'employés au Canada. </w:t>
      </w:r>
      <w:r w:rsidRPr="00DD4F2B">
        <w:rPr>
          <w:rFonts w:eastAsia="Calibri"/>
          <w:i/>
          <w:sz w:val="24"/>
          <w:szCs w:val="24"/>
        </w:rPr>
        <w:t>Journal de santé au travail.</w:t>
      </w:r>
      <w:r w:rsidRPr="00DD4F2B">
        <w:rPr>
          <w:rFonts w:eastAsia="Calibri"/>
          <w:sz w:val="24"/>
          <w:szCs w:val="24"/>
        </w:rPr>
        <w:t>52 : 176-185.</w:t>
      </w:r>
    </w:p>
    <w:p w14:paraId="3F34B637" w14:textId="77777777" w:rsidR="00D80693" w:rsidRPr="00DD4F2B" w:rsidRDefault="00D80693" w:rsidP="0016777C">
      <w:pPr>
        <w:spacing w:before="120"/>
        <w:ind w:left="720" w:hanging="720"/>
        <w:jc w:val="both"/>
        <w:rPr>
          <w:rFonts w:eastAsia="Calibri"/>
          <w:sz w:val="24"/>
          <w:szCs w:val="24"/>
        </w:rPr>
      </w:pPr>
      <w:bookmarkStart w:id="251" w:name="_Hlk209629447"/>
      <w:r w:rsidRPr="00DD4F2B">
        <w:rPr>
          <w:rFonts w:eastAsia="Calibri"/>
          <w:sz w:val="24"/>
          <w:szCs w:val="24"/>
        </w:rPr>
        <w:t>Marchand, A., Demers, A. et Durand, P. (2005</w:t>
      </w:r>
      <w:bookmarkEnd w:id="251"/>
      <w:r w:rsidRPr="00DD4F2B">
        <w:rPr>
          <w:rFonts w:eastAsia="Calibri"/>
          <w:sz w:val="24"/>
          <w:szCs w:val="24"/>
        </w:rPr>
        <w:t xml:space="preserve">a). Le travail est-il vraiment source de détresse ? La contribution de la structure professionnelle et de l’organisation du travail à l’expérience de la détresse psychologique. </w:t>
      </w:r>
      <w:r w:rsidRPr="00DD4F2B">
        <w:rPr>
          <w:rFonts w:eastAsia="Calibri"/>
          <w:i/>
          <w:sz w:val="24"/>
          <w:szCs w:val="24"/>
        </w:rPr>
        <w:t>Sciences sociales et médecine.</w:t>
      </w:r>
      <w:r w:rsidRPr="00DD4F2B">
        <w:rPr>
          <w:rFonts w:eastAsia="Calibri"/>
          <w:sz w:val="24"/>
          <w:szCs w:val="24"/>
        </w:rPr>
        <w:t xml:space="preserve"> 61(1), 1-14.</w:t>
      </w:r>
    </w:p>
    <w:p w14:paraId="643F367E"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Marchand, A., Demers, A. et Durand, P. (2005b). L’occupation et les conditions de travail sont-elles vraiment importantes ? Une analyse longitudinale des expériences de détresse psychologique chez les travailleurs canadiens. </w:t>
      </w:r>
      <w:r w:rsidRPr="00DD4F2B">
        <w:rPr>
          <w:rFonts w:eastAsia="Calibri"/>
          <w:i/>
          <w:sz w:val="24"/>
          <w:szCs w:val="24"/>
        </w:rPr>
        <w:t>Maladie de santé sociale.</w:t>
      </w:r>
      <w:r w:rsidRPr="00DD4F2B">
        <w:rPr>
          <w:rFonts w:eastAsia="Calibri"/>
          <w:sz w:val="24"/>
          <w:szCs w:val="24"/>
        </w:rPr>
        <w:t xml:space="preserve"> 27(5) : 602-627.</w:t>
      </w:r>
    </w:p>
    <w:p w14:paraId="681A69CB" w14:textId="77777777" w:rsidR="00D80693" w:rsidRPr="00DD4F2B" w:rsidRDefault="00D80693" w:rsidP="0016777C">
      <w:pPr>
        <w:spacing w:before="120"/>
        <w:ind w:left="720" w:hanging="720"/>
        <w:jc w:val="both"/>
        <w:rPr>
          <w:rFonts w:eastAsia="Calibri"/>
          <w:sz w:val="24"/>
          <w:szCs w:val="24"/>
        </w:rPr>
      </w:pPr>
      <w:r w:rsidRPr="00DD4F2B">
        <w:rPr>
          <w:rFonts w:eastAsia="Calibri"/>
          <w:sz w:val="24"/>
          <w:szCs w:val="24"/>
        </w:rPr>
        <w:t xml:space="preserve">Martineau, S., </w:t>
      </w:r>
      <w:proofErr w:type="spellStart"/>
      <w:r w:rsidRPr="00DD4F2B">
        <w:rPr>
          <w:rFonts w:eastAsia="Calibri"/>
          <w:sz w:val="24"/>
          <w:szCs w:val="24"/>
        </w:rPr>
        <w:t>Presseau</w:t>
      </w:r>
      <w:proofErr w:type="spellEnd"/>
      <w:r w:rsidRPr="00DD4F2B">
        <w:rPr>
          <w:rFonts w:eastAsia="Calibri"/>
          <w:sz w:val="24"/>
          <w:szCs w:val="24"/>
        </w:rPr>
        <w:t xml:space="preserve"> A., et </w:t>
      </w:r>
      <w:proofErr w:type="spellStart"/>
      <w:r w:rsidRPr="00DD4F2B">
        <w:rPr>
          <w:rFonts w:eastAsia="Calibri"/>
          <w:sz w:val="24"/>
          <w:szCs w:val="24"/>
        </w:rPr>
        <w:t>Portelance</w:t>
      </w:r>
      <w:proofErr w:type="spellEnd"/>
      <w:r w:rsidRPr="00DD4F2B">
        <w:rPr>
          <w:rFonts w:eastAsia="Calibri"/>
          <w:sz w:val="24"/>
          <w:szCs w:val="24"/>
        </w:rPr>
        <w:t xml:space="preserve">, L. (2005). </w:t>
      </w:r>
      <w:r w:rsidRPr="00DD4F2B">
        <w:rPr>
          <w:rFonts w:eastAsia="Calibri"/>
          <w:i/>
          <w:sz w:val="24"/>
          <w:szCs w:val="24"/>
        </w:rPr>
        <w:t>L’insertion professionnelle en contexte de réforme : naviguer à vue pour se bricoler une carrière. Communication présentée aux Lundis interdisciplinaires,</w:t>
      </w:r>
      <w:r w:rsidRPr="00DD4F2B">
        <w:rPr>
          <w:rFonts w:eastAsia="Calibri"/>
          <w:sz w:val="24"/>
          <w:szCs w:val="24"/>
        </w:rPr>
        <w:t xml:space="preserve"> Trois-Rivières, Québec.</w:t>
      </w:r>
    </w:p>
    <w:p w14:paraId="585991C5" w14:textId="77777777" w:rsidR="00D80693" w:rsidRDefault="00D80693" w:rsidP="0016777C">
      <w:pPr>
        <w:spacing w:before="120"/>
        <w:ind w:left="720" w:hanging="720"/>
        <w:jc w:val="both"/>
        <w:rPr>
          <w:rFonts w:eastAsia="Calibri"/>
          <w:sz w:val="24"/>
          <w:szCs w:val="24"/>
        </w:rPr>
      </w:pPr>
      <w:r w:rsidRPr="0065773E">
        <w:rPr>
          <w:rFonts w:eastAsia="Calibri"/>
          <w:sz w:val="24"/>
          <w:szCs w:val="24"/>
        </w:rPr>
        <w:t xml:space="preserve">Mc Veigh C., Galea, S., Thorpe, L. E., Maulsby C., Henning, K., et </w:t>
      </w:r>
      <w:proofErr w:type="spellStart"/>
      <w:r w:rsidRPr="0065773E">
        <w:rPr>
          <w:rFonts w:eastAsia="Calibri"/>
          <w:sz w:val="24"/>
          <w:szCs w:val="24"/>
        </w:rPr>
        <w:t>Sederer</w:t>
      </w:r>
      <w:proofErr w:type="spellEnd"/>
      <w:r w:rsidRPr="0065773E">
        <w:rPr>
          <w:rFonts w:eastAsia="Calibri"/>
          <w:sz w:val="24"/>
          <w:szCs w:val="24"/>
        </w:rPr>
        <w:t xml:space="preserve">, L. I. (2006). </w:t>
      </w:r>
      <w:r w:rsidRPr="00DD4F2B">
        <w:rPr>
          <w:rFonts w:eastAsia="Calibri"/>
          <w:sz w:val="24"/>
          <w:szCs w:val="24"/>
        </w:rPr>
        <w:t xml:space="preserve">L’épidémiologie de la détresse psychologique non spécifique à New York, 2002-2003. </w:t>
      </w:r>
      <w:r w:rsidRPr="00DD4F2B">
        <w:rPr>
          <w:rFonts w:eastAsia="Calibri"/>
          <w:i/>
          <w:sz w:val="24"/>
          <w:szCs w:val="24"/>
        </w:rPr>
        <w:t>Journal de la santé urbaine</w:t>
      </w:r>
      <w:r w:rsidRPr="00DD4F2B">
        <w:rPr>
          <w:rFonts w:eastAsia="Calibri"/>
          <w:sz w:val="24"/>
          <w:szCs w:val="24"/>
        </w:rPr>
        <w:t xml:space="preserve"> 83(3) :394-405. DOI : 10.1007/s11524-006-9049-2.</w:t>
      </w:r>
    </w:p>
    <w:p w14:paraId="7F3A2A86"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 xml:space="preserve">Meloni, D., </w:t>
      </w:r>
      <w:proofErr w:type="spellStart"/>
      <w:r w:rsidRPr="00E27D8C">
        <w:rPr>
          <w:rFonts w:eastAsia="Calibri"/>
          <w:sz w:val="24"/>
          <w:szCs w:val="24"/>
        </w:rPr>
        <w:t>Miccinesi</w:t>
      </w:r>
      <w:proofErr w:type="spellEnd"/>
      <w:r w:rsidRPr="00E27D8C">
        <w:rPr>
          <w:rFonts w:eastAsia="Calibri"/>
          <w:sz w:val="24"/>
          <w:szCs w:val="24"/>
        </w:rPr>
        <w:t>, G., Bencini, A., Conté, M., Crocetti, E., Zappa, M. et Ferrara, M. (2006). Mortalité chez les patients psychiatriques libérés à Florence, Italie. Services psychiatriques,57(10), 1474-1481.</w:t>
      </w:r>
    </w:p>
    <w:p w14:paraId="757E4F76"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 xml:space="preserve">Murray, C. J. et Lopez, A. D. (1996). La charge mondiale de morbidité : une évaluation complète de la mortalité et de l’incapacité dues aux maladies, aux blessures et aux facteurs de risque en 1990 et projetée jusqu’en 2020), Harvard </w:t>
      </w:r>
      <w:proofErr w:type="spellStart"/>
      <w:r w:rsidRPr="00E27D8C">
        <w:rPr>
          <w:rFonts w:eastAsia="Calibri"/>
          <w:sz w:val="24"/>
          <w:szCs w:val="24"/>
        </w:rPr>
        <w:t>University</w:t>
      </w:r>
      <w:proofErr w:type="spellEnd"/>
      <w:r w:rsidRPr="00E27D8C">
        <w:rPr>
          <w:rFonts w:eastAsia="Calibri"/>
          <w:sz w:val="24"/>
          <w:szCs w:val="24"/>
        </w:rPr>
        <w:t xml:space="preserve"> Press.</w:t>
      </w:r>
    </w:p>
    <w:p w14:paraId="09BB5A95"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Organisation de coopération et de développement économiques (2020). Résultats de TALIS 2018 (volume II) : des enseignants et chefs d’établissement comme professionnels valorisés, TALIS, Paris, Éditions OCDE, 270 p.</w:t>
      </w:r>
    </w:p>
    <w:p w14:paraId="738EAB37"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 xml:space="preserve">Organisation Mondiale de la Santé, 2001. Rapport sur la santé dans le monde – La santé mentale : nouvelle conception, nouveaux espoirs, Genève. doi.org | Inégalités socioéconomiques et bien-être </w:t>
      </w:r>
      <w:proofErr w:type="spellStart"/>
      <w:r w:rsidRPr="00E27D8C">
        <w:rPr>
          <w:rFonts w:eastAsia="Calibri"/>
          <w:sz w:val="24"/>
          <w:szCs w:val="24"/>
        </w:rPr>
        <w:t>psycholo</w:t>
      </w:r>
      <w:proofErr w:type="spellEnd"/>
      <w:r w:rsidRPr="00E27D8C">
        <w:rPr>
          <w:rFonts w:eastAsia="Calibri"/>
          <w:sz w:val="24"/>
          <w:szCs w:val="24"/>
        </w:rPr>
        <w:t>… – Sociologie et sociétés – Érudit https://doi.org/10.7202/008516ar</w:t>
      </w:r>
    </w:p>
    <w:p w14:paraId="434B59D0"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Pelletier, A. (2005). Relation entre les comportements interpersonnels des parents et des enseignants et des indices de santé mentale chez des adolescents. Mémoire de maîtrise de Psychologie, Université du Québec à Chicoutimi.</w:t>
      </w:r>
    </w:p>
    <w:p w14:paraId="3CC14BB7"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 xml:space="preserve">Puetz, T. W., </w:t>
      </w:r>
      <w:proofErr w:type="spellStart"/>
      <w:r w:rsidRPr="00E27D8C">
        <w:rPr>
          <w:rFonts w:eastAsia="Calibri"/>
          <w:sz w:val="24"/>
          <w:szCs w:val="24"/>
        </w:rPr>
        <w:t>O’Connor</w:t>
      </w:r>
      <w:proofErr w:type="spellEnd"/>
      <w:r w:rsidRPr="00E27D8C">
        <w:rPr>
          <w:rFonts w:eastAsia="Calibri"/>
          <w:sz w:val="24"/>
          <w:szCs w:val="24"/>
        </w:rPr>
        <w:t>, P. J., et Dishman R. K, (2006). Effets de l’exercice chronique sur les sensations d’énergie et de fatigue : une synthèse quantitative. Bulletin psychologique. 132 : 866–876.</w:t>
      </w:r>
    </w:p>
    <w:p w14:paraId="5E828C70"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 xml:space="preserve">Royer, N., Loiselle, J., Dussault, M., Cossette, F., et </w:t>
      </w:r>
      <w:proofErr w:type="spellStart"/>
      <w:r w:rsidRPr="00E27D8C">
        <w:rPr>
          <w:rFonts w:eastAsia="Calibri"/>
          <w:sz w:val="24"/>
          <w:szCs w:val="24"/>
        </w:rPr>
        <w:t>Deaudelin</w:t>
      </w:r>
      <w:proofErr w:type="spellEnd"/>
      <w:r w:rsidRPr="00E27D8C">
        <w:rPr>
          <w:rFonts w:eastAsia="Calibri"/>
          <w:sz w:val="24"/>
          <w:szCs w:val="24"/>
        </w:rPr>
        <w:t xml:space="preserve">, C., (2001). Le stress des enseignants québécois à diverses étapes de leur carrière, Vie pédagogique,119,5-8. </w:t>
      </w:r>
      <w:proofErr w:type="gramStart"/>
      <w:r w:rsidRPr="00E27D8C">
        <w:rPr>
          <w:rFonts w:eastAsia="Calibri"/>
          <w:sz w:val="24"/>
          <w:szCs w:val="24"/>
        </w:rPr>
        <w:t>savoirs.usherbrooke</w:t>
      </w:r>
      <w:proofErr w:type="gramEnd"/>
      <w:r w:rsidRPr="00E27D8C">
        <w:rPr>
          <w:rFonts w:eastAsia="Calibri"/>
          <w:sz w:val="24"/>
          <w:szCs w:val="24"/>
        </w:rPr>
        <w:t>.cahttps://savoirs.usherbrooke.ca/bitstream/handle/11143/11067/Auclair_Tourigny_Mylene_DPs_2017.pdf</w:t>
      </w:r>
    </w:p>
    <w:p w14:paraId="5152802D" w14:textId="77777777" w:rsidR="00D80693" w:rsidRPr="00E27D8C" w:rsidRDefault="00D80693" w:rsidP="0016777C">
      <w:pPr>
        <w:spacing w:before="120"/>
        <w:ind w:left="720" w:hanging="720"/>
        <w:jc w:val="both"/>
        <w:rPr>
          <w:rFonts w:eastAsia="Calibri"/>
          <w:sz w:val="24"/>
          <w:szCs w:val="24"/>
        </w:rPr>
      </w:pPr>
      <w:proofErr w:type="spellStart"/>
      <w:r w:rsidRPr="00E27D8C">
        <w:rPr>
          <w:rFonts w:eastAsia="Calibri"/>
          <w:sz w:val="24"/>
          <w:szCs w:val="24"/>
        </w:rPr>
        <w:t>Sillamy</w:t>
      </w:r>
      <w:proofErr w:type="spellEnd"/>
      <w:r w:rsidRPr="00E27D8C">
        <w:rPr>
          <w:rFonts w:eastAsia="Calibri"/>
          <w:sz w:val="24"/>
          <w:szCs w:val="24"/>
        </w:rPr>
        <w:t>, N. (2006). Dictionnaire de psychologie, Larousse, PUF.</w:t>
      </w:r>
    </w:p>
    <w:p w14:paraId="650C0FDE"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Sonnentag, S. et Jelden, S., (2009). Facteurs de stress au travail et poursuite d’activités sportives : une perspective au niveau de la journée. Journal de psychologie de la santé au travail. 14 : 165-181.</w:t>
      </w:r>
    </w:p>
    <w:p w14:paraId="1AC9A978"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St-Onge, M. (2012). Continuité relationnelle dans les soins de santé mentale primaires : réflexions, conceptualisation et mesure. Thèse de Doctorat de psychologie, Université du Québec à Trois-Rivières.</w:t>
      </w:r>
    </w:p>
    <w:p w14:paraId="457710B3" w14:textId="77777777" w:rsidR="00D80693" w:rsidRPr="00E27D8C" w:rsidRDefault="00D80693" w:rsidP="0016777C">
      <w:pPr>
        <w:spacing w:before="120"/>
        <w:ind w:left="720" w:hanging="720"/>
        <w:jc w:val="both"/>
        <w:rPr>
          <w:rFonts w:eastAsia="Calibri"/>
          <w:sz w:val="24"/>
          <w:szCs w:val="24"/>
        </w:rPr>
      </w:pPr>
      <w:r w:rsidRPr="00E27D8C">
        <w:rPr>
          <w:rFonts w:eastAsia="Calibri"/>
          <w:sz w:val="24"/>
          <w:szCs w:val="24"/>
        </w:rPr>
        <w:t>Tardif, M. et Lessard, C. (1999). Le travail enseignant au quotidien : expérience, interactions humaines et dilemmes professionnels. Québec : Presses de l'Université Laval. 71 www.persee.fr | Barrère, Anne - Persée https://www.persee.fr/authority/297675</w:t>
      </w:r>
    </w:p>
    <w:p w14:paraId="03C86E09" w14:textId="77777777" w:rsidR="00D80693" w:rsidRPr="0065773E" w:rsidRDefault="00D80693" w:rsidP="0016777C">
      <w:pPr>
        <w:spacing w:before="120"/>
        <w:ind w:left="720" w:hanging="720"/>
        <w:jc w:val="both"/>
        <w:rPr>
          <w:rFonts w:eastAsia="Calibri"/>
          <w:sz w:val="24"/>
          <w:szCs w:val="24"/>
          <w:lang w:val="en-US"/>
        </w:rPr>
      </w:pPr>
      <w:proofErr w:type="spellStart"/>
      <w:r w:rsidRPr="00E27D8C">
        <w:rPr>
          <w:rFonts w:eastAsia="Calibri"/>
          <w:sz w:val="24"/>
          <w:szCs w:val="24"/>
        </w:rPr>
        <w:t>Tieffi</w:t>
      </w:r>
      <w:proofErr w:type="spellEnd"/>
      <w:r w:rsidRPr="00E27D8C">
        <w:rPr>
          <w:rFonts w:eastAsia="Calibri"/>
          <w:sz w:val="24"/>
          <w:szCs w:val="24"/>
        </w:rPr>
        <w:t xml:space="preserve">, H. G. R., et Kouassi, N. E. (2018). « Evaluation de la détresse psychologique des femmes gestantes à Abidjan, Côte d’Ivoire ». </w:t>
      </w:r>
      <w:r w:rsidRPr="0065773E">
        <w:rPr>
          <w:rFonts w:eastAsia="Calibri"/>
          <w:sz w:val="24"/>
          <w:szCs w:val="24"/>
          <w:lang w:val="en-US"/>
        </w:rPr>
        <w:t>European Journal of Social Sciences Studies (</w:t>
      </w:r>
      <w:proofErr w:type="spellStart"/>
      <w:r w:rsidRPr="0065773E">
        <w:rPr>
          <w:rFonts w:eastAsia="Calibri"/>
          <w:sz w:val="24"/>
          <w:szCs w:val="24"/>
          <w:lang w:val="en-US"/>
        </w:rPr>
        <w:t>Roumanie</w:t>
      </w:r>
      <w:proofErr w:type="spellEnd"/>
      <w:r w:rsidRPr="0065773E">
        <w:rPr>
          <w:rFonts w:eastAsia="Calibri"/>
          <w:sz w:val="24"/>
          <w:szCs w:val="24"/>
          <w:lang w:val="en-US"/>
        </w:rPr>
        <w:t xml:space="preserve">), Volume 2, Issue II, </w:t>
      </w:r>
      <w:proofErr w:type="gramStart"/>
      <w:r w:rsidRPr="0065773E">
        <w:rPr>
          <w:rFonts w:eastAsia="Calibri"/>
          <w:sz w:val="24"/>
          <w:szCs w:val="24"/>
          <w:lang w:val="en-US"/>
        </w:rPr>
        <w:t>ISSN :</w:t>
      </w:r>
      <w:proofErr w:type="gramEnd"/>
      <w:r w:rsidRPr="0065773E">
        <w:rPr>
          <w:rFonts w:eastAsia="Calibri"/>
          <w:sz w:val="24"/>
          <w:szCs w:val="24"/>
          <w:lang w:val="en-US"/>
        </w:rPr>
        <w:t xml:space="preserve"> 2501-8590, 67-78.</w:t>
      </w:r>
    </w:p>
    <w:p w14:paraId="3B31FBED" w14:textId="77777777" w:rsidR="00D80693" w:rsidRPr="00E27D8C" w:rsidRDefault="00D80693" w:rsidP="0016777C">
      <w:pPr>
        <w:spacing w:before="120"/>
        <w:ind w:left="720" w:hanging="720"/>
        <w:jc w:val="both"/>
        <w:rPr>
          <w:rFonts w:eastAsia="Calibri"/>
          <w:sz w:val="24"/>
          <w:szCs w:val="24"/>
        </w:rPr>
      </w:pPr>
      <w:proofErr w:type="spellStart"/>
      <w:r w:rsidRPr="00E27D8C">
        <w:rPr>
          <w:rFonts w:eastAsia="Calibri"/>
          <w:sz w:val="24"/>
          <w:szCs w:val="24"/>
        </w:rPr>
        <w:t>Valdenaire</w:t>
      </w:r>
      <w:proofErr w:type="spellEnd"/>
      <w:r w:rsidRPr="00E27D8C">
        <w:rPr>
          <w:rFonts w:eastAsia="Calibri"/>
          <w:sz w:val="24"/>
          <w:szCs w:val="24"/>
        </w:rPr>
        <w:t>, M. (2004). Les écoles privées sont-elles plus efficaces que les écoles publiques ? Mémoire pour le DEA, analyse et politique économiques. Ecole des Hautes Etudes en Sciences Sociales.</w:t>
      </w:r>
    </w:p>
    <w:p w14:paraId="079A96D5" w14:textId="77777777" w:rsidR="00D80693" w:rsidRPr="00DD4F2B" w:rsidRDefault="00D80693" w:rsidP="0016777C">
      <w:pPr>
        <w:spacing w:before="120"/>
        <w:ind w:left="720" w:hanging="720"/>
        <w:jc w:val="both"/>
        <w:rPr>
          <w:rFonts w:eastAsia="Calibri"/>
          <w:sz w:val="24"/>
          <w:szCs w:val="24"/>
        </w:rPr>
      </w:pPr>
      <w:proofErr w:type="spellStart"/>
      <w:r w:rsidRPr="00E27D8C">
        <w:rPr>
          <w:rFonts w:eastAsia="Calibri"/>
          <w:sz w:val="24"/>
          <w:szCs w:val="24"/>
        </w:rPr>
        <w:t>Vlasie</w:t>
      </w:r>
      <w:proofErr w:type="spellEnd"/>
      <w:r w:rsidRPr="00E27D8C">
        <w:rPr>
          <w:rFonts w:eastAsia="Calibri"/>
          <w:sz w:val="24"/>
          <w:szCs w:val="24"/>
        </w:rPr>
        <w:t>, D. (2021). Santé et bien-être du personnel enseignant - Portrait de la situation et pistes de solutions, Études et recherches, Québec, Conseil supérieur de l’éducation, 47 p. https://fr.readkong.com/page/sante-et-bien-etre-du-personnel-enseignant-portrait-de-la-7400810.</w:t>
      </w:r>
      <w:bookmarkEnd w:id="250"/>
    </w:p>
    <w:p w14:paraId="509913CA" w14:textId="77777777" w:rsidR="00D80693" w:rsidRDefault="00D80693" w:rsidP="00D80693">
      <w:pPr>
        <w:spacing w:line="237" w:lineRule="auto"/>
        <w:ind w:left="-5" w:hanging="10"/>
        <w:jc w:val="both"/>
        <w:rPr>
          <w:color w:val="000000"/>
          <w:sz w:val="0"/>
          <w:szCs w:val="0"/>
          <w:lang w:eastAsia="fr-FR"/>
        </w:rPr>
        <w:sectPr w:rsidR="00D80693" w:rsidSect="0016777C">
          <w:headerReference w:type="default" r:id="rId134"/>
          <w:pgSz w:w="11906" w:h="16838"/>
          <w:pgMar w:top="1440" w:right="1440" w:bottom="1440" w:left="1440" w:header="567" w:footer="720" w:gutter="0"/>
          <w:cols w:space="720"/>
          <w:docGrid w:linePitch="360"/>
        </w:sectPr>
      </w:pPr>
    </w:p>
    <w:p w14:paraId="1B98FEE2" w14:textId="37F3C531" w:rsidR="00D80693" w:rsidRPr="00625651" w:rsidRDefault="00D80693" w:rsidP="008276DA">
      <w:pPr>
        <w:pStyle w:val="Titre1"/>
        <w:spacing w:before="120"/>
        <w:ind w:left="0"/>
        <w:rPr>
          <w:b w:val="0"/>
          <w:i/>
          <w:iCs/>
          <w:lang w:eastAsia="fr-FR"/>
        </w:rPr>
      </w:pPr>
      <w:bookmarkStart w:id="252" w:name="_Toc219272586"/>
      <w:r w:rsidRPr="00625651">
        <w:rPr>
          <w:i/>
          <w:iCs/>
          <w:lang w:eastAsia="fr-FR"/>
        </w:rPr>
        <w:t>F</w:t>
      </w:r>
      <w:r w:rsidR="008276DA" w:rsidRPr="00625651">
        <w:rPr>
          <w:i/>
          <w:iCs/>
          <w:lang w:eastAsia="fr-FR"/>
        </w:rPr>
        <w:t>acteurs sociaux associés à la consommation de drogues chez les élèves de l’arrondissement de Garoua 1</w:t>
      </w:r>
      <w:r w:rsidR="008276DA" w:rsidRPr="00625651">
        <w:rPr>
          <w:i/>
          <w:iCs/>
          <w:vertAlign w:val="superscript"/>
          <w:lang w:eastAsia="fr-FR"/>
        </w:rPr>
        <w:t xml:space="preserve">èrè </w:t>
      </w:r>
      <w:r w:rsidR="008276DA" w:rsidRPr="00625651">
        <w:rPr>
          <w:i/>
          <w:iCs/>
          <w:lang w:eastAsia="fr-FR"/>
        </w:rPr>
        <w:t>région du nord-Cameroun</w:t>
      </w:r>
      <w:r w:rsidRPr="00625651">
        <w:rPr>
          <w:i/>
          <w:iCs/>
          <w:lang w:eastAsia="fr-FR"/>
        </w:rPr>
        <w:t> : Cas du Lycée de Ouro-</w:t>
      </w:r>
      <w:proofErr w:type="spellStart"/>
      <w:r w:rsidRPr="00625651">
        <w:rPr>
          <w:i/>
          <w:iCs/>
          <w:lang w:eastAsia="fr-FR"/>
        </w:rPr>
        <w:t>Hourso</w:t>
      </w:r>
      <w:proofErr w:type="spellEnd"/>
      <w:r w:rsidRPr="00625651">
        <w:rPr>
          <w:i/>
          <w:iCs/>
          <w:lang w:eastAsia="fr-FR"/>
        </w:rPr>
        <w:t xml:space="preserve"> et du Collège Moderne de la Bénoué</w:t>
      </w:r>
      <w:bookmarkEnd w:id="252"/>
    </w:p>
    <w:p w14:paraId="5776D70D" w14:textId="382BCF19" w:rsidR="00D80693" w:rsidRPr="008276DA" w:rsidRDefault="00D80693" w:rsidP="008276DA">
      <w:pPr>
        <w:pStyle w:val="Titre1"/>
        <w:spacing w:before="120"/>
        <w:ind w:left="0"/>
        <w:rPr>
          <w:rFonts w:eastAsia="DengXian"/>
          <w:lang w:val="en-US"/>
        </w:rPr>
      </w:pPr>
      <w:bookmarkStart w:id="253" w:name="_Toc219272587"/>
      <w:r w:rsidRPr="008276DA">
        <w:rPr>
          <w:rFonts w:eastAsia="DengXian"/>
          <w:lang w:val="en-US"/>
        </w:rPr>
        <w:t>Vanessa</w:t>
      </w:r>
      <w:r w:rsidR="008276DA" w:rsidRPr="008276DA">
        <w:rPr>
          <w:rFonts w:eastAsia="DengXian"/>
          <w:lang w:val="en-US"/>
        </w:rPr>
        <w:t xml:space="preserve"> </w:t>
      </w:r>
      <w:r w:rsidR="008276DA" w:rsidRPr="008276DA">
        <w:rPr>
          <w:rFonts w:eastAsia="DengXian"/>
          <w:lang w:val="en-US"/>
        </w:rPr>
        <w:t>KUETE MOUAFO</w:t>
      </w:r>
      <w:r w:rsidRPr="008276DA">
        <w:rPr>
          <w:rFonts w:eastAsia="DengXian"/>
          <w:lang w:val="en-US"/>
        </w:rPr>
        <w:t>, Christian</w:t>
      </w:r>
      <w:r w:rsidR="008276DA" w:rsidRPr="008276DA">
        <w:rPr>
          <w:rFonts w:eastAsia="DengXian"/>
          <w:lang w:val="en-US"/>
        </w:rPr>
        <w:t xml:space="preserve"> </w:t>
      </w:r>
      <w:r w:rsidR="008276DA" w:rsidRPr="008276DA">
        <w:rPr>
          <w:rFonts w:eastAsia="DengXian"/>
          <w:lang w:val="en-US"/>
        </w:rPr>
        <w:t>EYOUM</w:t>
      </w:r>
      <w:r w:rsidRPr="008276DA">
        <w:rPr>
          <w:rFonts w:eastAsia="DengXian"/>
          <w:lang w:val="en-US"/>
        </w:rPr>
        <w:t>, Charles</w:t>
      </w:r>
      <w:r w:rsidR="008276DA" w:rsidRPr="008276DA">
        <w:rPr>
          <w:rFonts w:eastAsia="DengXian"/>
          <w:lang w:val="en-US"/>
        </w:rPr>
        <w:t xml:space="preserve"> </w:t>
      </w:r>
      <w:r w:rsidR="008276DA" w:rsidRPr="008276DA">
        <w:rPr>
          <w:rFonts w:eastAsia="DengXian"/>
          <w:lang w:val="en-US"/>
        </w:rPr>
        <w:t>TCHOUATA FOUDJIO</w:t>
      </w:r>
      <w:r w:rsidRPr="008276DA">
        <w:rPr>
          <w:rFonts w:eastAsia="DengXian"/>
          <w:lang w:val="en-US"/>
        </w:rPr>
        <w:t xml:space="preserve">, Clovis </w:t>
      </w:r>
      <w:r w:rsidR="008276DA" w:rsidRPr="008276DA">
        <w:rPr>
          <w:rFonts w:eastAsia="DengXian"/>
          <w:lang w:val="en-US"/>
        </w:rPr>
        <w:t>KUETCHE SINGHE</w:t>
      </w:r>
      <w:bookmarkEnd w:id="253"/>
    </w:p>
    <w:p w14:paraId="0524FB59" w14:textId="77777777" w:rsidR="00D80693" w:rsidRPr="00621E63" w:rsidRDefault="00D80693" w:rsidP="008276DA">
      <w:pPr>
        <w:spacing w:before="120" w:after="240"/>
        <w:jc w:val="both"/>
        <w:rPr>
          <w:color w:val="000000"/>
          <w:sz w:val="24"/>
          <w:szCs w:val="24"/>
          <w:lang w:eastAsia="fr-FR"/>
        </w:rPr>
        <w:sectPr w:rsidR="00D80693" w:rsidRPr="00621E63" w:rsidSect="008276DA">
          <w:headerReference w:type="even" r:id="rId135"/>
          <w:headerReference w:type="default" r:id="rId136"/>
          <w:footerReference w:type="even" r:id="rId137"/>
          <w:footerReference w:type="default" r:id="rId138"/>
          <w:headerReference w:type="first" r:id="rId139"/>
          <w:footerReference w:type="first" r:id="rId140"/>
          <w:pgSz w:w="11906" w:h="16838" w:code="9"/>
          <w:pgMar w:top="1417" w:right="1417" w:bottom="1417" w:left="1417" w:header="831" w:footer="521" w:gutter="0"/>
          <w:cols w:space="720"/>
          <w:docGrid w:linePitch="299"/>
        </w:sectPr>
      </w:pPr>
      <w:r w:rsidRPr="001928FA">
        <w:rPr>
          <w:color w:val="000000"/>
          <w:sz w:val="24"/>
          <w:szCs w:val="24"/>
          <w:lang w:val="en-US" w:eastAsia="fr-FR"/>
        </w:rPr>
        <w:t xml:space="preserve">  </w:t>
      </w:r>
      <w:r>
        <w:rPr>
          <w:b/>
          <w:bCs/>
          <w:color w:val="000000"/>
          <w:sz w:val="28"/>
          <w:szCs w:val="28"/>
          <w:lang w:eastAsia="fr-FR"/>
        </w:rPr>
        <w:t>Résumé</w:t>
      </w:r>
    </w:p>
    <w:p w14:paraId="76CB2ED7" w14:textId="77777777" w:rsidR="00D80693" w:rsidRDefault="00D80693" w:rsidP="008276DA">
      <w:pPr>
        <w:spacing w:before="120" w:after="240"/>
        <w:ind w:right="105"/>
        <w:jc w:val="both"/>
        <w:rPr>
          <w:color w:val="000000"/>
          <w:sz w:val="24"/>
          <w:szCs w:val="24"/>
        </w:rPr>
      </w:pPr>
      <w:r w:rsidRPr="00794E07">
        <w:rPr>
          <w:color w:val="000000"/>
          <w:sz w:val="24"/>
          <w:szCs w:val="24"/>
        </w:rPr>
        <w:t xml:space="preserve">Cette étude examine les facteurs associés à la consommation de substances psychoactives (SPA) chez les élèves de Garoua 1er, au Cameroun. Adoptant une approche quantitative, elle s’appuie sur une enquête par questionnaire menée auprès de 254 élèves âgés de 10 à 24 ans, inscrits </w:t>
      </w:r>
      <w:bookmarkStart w:id="254" w:name="_Hlk211647500"/>
      <w:r w:rsidRPr="00794E07">
        <w:rPr>
          <w:color w:val="000000"/>
          <w:sz w:val="24"/>
          <w:szCs w:val="24"/>
        </w:rPr>
        <w:t xml:space="preserve">au </w:t>
      </w:r>
      <w:bookmarkStart w:id="255" w:name="_Hlk211782730"/>
      <w:r w:rsidRPr="00794E07">
        <w:rPr>
          <w:color w:val="000000"/>
          <w:sz w:val="24"/>
          <w:szCs w:val="24"/>
        </w:rPr>
        <w:t>Lycée de Ouro-</w:t>
      </w:r>
      <w:proofErr w:type="spellStart"/>
      <w:r w:rsidRPr="00794E07">
        <w:rPr>
          <w:color w:val="000000"/>
          <w:sz w:val="24"/>
          <w:szCs w:val="24"/>
        </w:rPr>
        <w:t>Hourso</w:t>
      </w:r>
      <w:proofErr w:type="spellEnd"/>
      <w:r w:rsidRPr="00794E07">
        <w:rPr>
          <w:color w:val="000000"/>
          <w:sz w:val="24"/>
          <w:szCs w:val="24"/>
        </w:rPr>
        <w:t xml:space="preserve"> et au Collège Moderne de la Bénoué</w:t>
      </w:r>
      <w:bookmarkEnd w:id="254"/>
      <w:bookmarkEnd w:id="255"/>
      <w:r w:rsidRPr="00794E07">
        <w:rPr>
          <w:color w:val="000000"/>
          <w:sz w:val="24"/>
          <w:szCs w:val="24"/>
        </w:rPr>
        <w:t xml:space="preserve">, ayant déclaré avoir consommé des SPA au cours des 18 mois précédant l’étude. </w:t>
      </w:r>
      <w:r>
        <w:rPr>
          <w:color w:val="000000"/>
          <w:sz w:val="24"/>
          <w:szCs w:val="24"/>
        </w:rPr>
        <w:t>Résultats : l</w:t>
      </w:r>
      <w:r w:rsidRPr="00794E07">
        <w:rPr>
          <w:color w:val="000000"/>
          <w:sz w:val="24"/>
          <w:szCs w:val="24"/>
        </w:rPr>
        <w:t xml:space="preserve">es filles représentaient 35 % de l’échantillon, avec </w:t>
      </w:r>
      <w:proofErr w:type="gramStart"/>
      <w:r w:rsidRPr="00794E07">
        <w:rPr>
          <w:color w:val="000000"/>
          <w:sz w:val="24"/>
          <w:szCs w:val="24"/>
        </w:rPr>
        <w:t>un sex-ratio</w:t>
      </w:r>
      <w:proofErr w:type="gramEnd"/>
      <w:r w:rsidRPr="00794E07">
        <w:rPr>
          <w:color w:val="000000"/>
          <w:sz w:val="24"/>
          <w:szCs w:val="24"/>
        </w:rPr>
        <w:t xml:space="preserve"> de 1,8. L’âge moyen était 19,25 ± 2,3 ans, et la tranche d’âge la plus représentée était celle de 16 à 20 ans (67 %). L’analyse au khi-deux a mis en évidence une association significative entre </w:t>
      </w:r>
      <w:bookmarkStart w:id="256" w:name="_Hlk211648300"/>
      <w:r w:rsidRPr="00794E07">
        <w:rPr>
          <w:color w:val="000000"/>
          <w:sz w:val="24"/>
          <w:szCs w:val="24"/>
        </w:rPr>
        <w:t xml:space="preserve">la consommation de SPA </w:t>
      </w:r>
      <w:bookmarkEnd w:id="256"/>
      <w:r w:rsidRPr="00794E07">
        <w:rPr>
          <w:color w:val="000000"/>
          <w:sz w:val="24"/>
          <w:szCs w:val="24"/>
        </w:rPr>
        <w:t xml:space="preserve">et des </w:t>
      </w:r>
      <w:bookmarkStart w:id="257" w:name="_Hlk211648204"/>
      <w:r w:rsidRPr="00794E07">
        <w:rPr>
          <w:color w:val="000000"/>
          <w:sz w:val="24"/>
          <w:szCs w:val="24"/>
        </w:rPr>
        <w:t>facteurs liés à la fréquentation des pairs, au milieu familial et au quartier de résidence</w:t>
      </w:r>
      <w:bookmarkEnd w:id="257"/>
      <w:r w:rsidRPr="00794E07">
        <w:rPr>
          <w:color w:val="000000"/>
          <w:sz w:val="24"/>
          <w:szCs w:val="24"/>
        </w:rPr>
        <w:t>. L’étude recommande des actions préventives ciblées intégrant ces déterminants sociaux en milieu scolaire.</w:t>
      </w:r>
    </w:p>
    <w:p w14:paraId="6BD0E012" w14:textId="77777777" w:rsidR="00D80693" w:rsidRPr="00794E07" w:rsidRDefault="00D80693" w:rsidP="008276DA">
      <w:pPr>
        <w:spacing w:before="120" w:after="240"/>
        <w:ind w:right="105"/>
        <w:jc w:val="both"/>
        <w:rPr>
          <w:color w:val="000000"/>
          <w:sz w:val="24"/>
          <w:szCs w:val="24"/>
        </w:rPr>
      </w:pPr>
      <w:r w:rsidRPr="00794E07">
        <w:rPr>
          <w:b/>
          <w:bCs/>
          <w:color w:val="000000"/>
          <w:sz w:val="24"/>
          <w:szCs w:val="24"/>
        </w:rPr>
        <w:t>Mots clés</w:t>
      </w:r>
      <w:r>
        <w:rPr>
          <w:color w:val="000000"/>
          <w:sz w:val="24"/>
          <w:szCs w:val="24"/>
        </w:rPr>
        <w:t xml:space="preserve"> : </w:t>
      </w:r>
      <w:r w:rsidRPr="00794E07">
        <w:rPr>
          <w:color w:val="000000"/>
          <w:sz w:val="24"/>
          <w:szCs w:val="24"/>
        </w:rPr>
        <w:t xml:space="preserve">substances psychoactives, </w:t>
      </w:r>
      <w:r>
        <w:rPr>
          <w:color w:val="000000"/>
          <w:sz w:val="24"/>
          <w:szCs w:val="24"/>
        </w:rPr>
        <w:t xml:space="preserve">élèves, </w:t>
      </w:r>
      <w:r w:rsidRPr="00794E07">
        <w:rPr>
          <w:color w:val="000000"/>
          <w:sz w:val="24"/>
          <w:szCs w:val="24"/>
        </w:rPr>
        <w:t>facteurs sociaux, Garoua, prévention</w:t>
      </w:r>
    </w:p>
    <w:p w14:paraId="4730F705" w14:textId="77777777" w:rsidR="00D80693" w:rsidRDefault="00D80693" w:rsidP="008276DA">
      <w:pPr>
        <w:spacing w:before="120" w:after="240"/>
        <w:ind w:right="105"/>
        <w:jc w:val="both"/>
        <w:rPr>
          <w:color w:val="000000"/>
          <w:sz w:val="24"/>
          <w:szCs w:val="24"/>
          <w:lang w:val="en-GB"/>
        </w:rPr>
      </w:pPr>
      <w:r w:rsidRPr="001345BA">
        <w:rPr>
          <w:b/>
          <w:bCs/>
          <w:color w:val="000000"/>
          <w:sz w:val="28"/>
          <w:szCs w:val="28"/>
          <w:lang w:val="en-GB" w:eastAsia="fr-FR"/>
        </w:rPr>
        <w:t>Abstract</w:t>
      </w:r>
    </w:p>
    <w:p w14:paraId="3C81449F" w14:textId="77777777" w:rsidR="00D80693" w:rsidRDefault="00D80693" w:rsidP="008276DA">
      <w:pPr>
        <w:spacing w:before="120" w:after="240"/>
        <w:ind w:right="105"/>
        <w:jc w:val="both"/>
        <w:rPr>
          <w:b/>
          <w:bCs/>
          <w:color w:val="000000"/>
          <w:sz w:val="24"/>
          <w:szCs w:val="24"/>
          <w:lang w:val="en-GB"/>
        </w:rPr>
      </w:pPr>
      <w:r w:rsidRPr="00794E07">
        <w:rPr>
          <w:color w:val="000000"/>
          <w:sz w:val="24"/>
          <w:szCs w:val="24"/>
          <w:lang w:val="en-GB"/>
        </w:rPr>
        <w:t>This study examines the factors associated with the use of psychoactive substances (S</w:t>
      </w:r>
      <w:r>
        <w:rPr>
          <w:color w:val="000000"/>
          <w:sz w:val="24"/>
          <w:szCs w:val="24"/>
          <w:lang w:val="en-GB"/>
        </w:rPr>
        <w:t>PA</w:t>
      </w:r>
      <w:r w:rsidRPr="00794E07">
        <w:rPr>
          <w:color w:val="000000"/>
          <w:sz w:val="24"/>
          <w:szCs w:val="24"/>
          <w:lang w:val="en-GB"/>
        </w:rPr>
        <w:t>) among students in Garoua</w:t>
      </w:r>
      <w:r>
        <w:rPr>
          <w:color w:val="000000"/>
          <w:sz w:val="24"/>
          <w:szCs w:val="24"/>
          <w:lang w:val="en-GB"/>
        </w:rPr>
        <w:t>1</w:t>
      </w:r>
      <w:r w:rsidRPr="00794E07">
        <w:rPr>
          <w:color w:val="000000"/>
          <w:sz w:val="24"/>
          <w:szCs w:val="24"/>
          <w:lang w:val="en-GB"/>
        </w:rPr>
        <w:t>, Cameroon. Using a quantitative approach, data were collected through a questionnaire administered to 254 students aged 10 to 24 years, enrolled at Ouro-</w:t>
      </w:r>
      <w:proofErr w:type="spellStart"/>
      <w:r w:rsidRPr="00794E07">
        <w:rPr>
          <w:color w:val="000000"/>
          <w:sz w:val="24"/>
          <w:szCs w:val="24"/>
          <w:lang w:val="en-GB"/>
        </w:rPr>
        <w:t>Hourso</w:t>
      </w:r>
      <w:proofErr w:type="spellEnd"/>
      <w:r w:rsidRPr="00794E07">
        <w:rPr>
          <w:color w:val="000000"/>
          <w:sz w:val="24"/>
          <w:szCs w:val="24"/>
          <w:lang w:val="en-GB"/>
        </w:rPr>
        <w:t xml:space="preserve"> High School and the </w:t>
      </w:r>
      <w:proofErr w:type="spellStart"/>
      <w:r w:rsidRPr="00794E07">
        <w:rPr>
          <w:color w:val="000000"/>
          <w:sz w:val="24"/>
          <w:szCs w:val="24"/>
          <w:lang w:val="en-GB"/>
        </w:rPr>
        <w:t>Bénoué</w:t>
      </w:r>
      <w:proofErr w:type="spellEnd"/>
      <w:r w:rsidRPr="00794E07">
        <w:rPr>
          <w:color w:val="000000"/>
          <w:sz w:val="24"/>
          <w:szCs w:val="24"/>
          <w:lang w:val="en-GB"/>
        </w:rPr>
        <w:t xml:space="preserve"> Modern College, who reported using </w:t>
      </w:r>
      <w:r>
        <w:rPr>
          <w:color w:val="000000"/>
          <w:sz w:val="24"/>
          <w:szCs w:val="24"/>
          <w:lang w:val="en-GB"/>
        </w:rPr>
        <w:t>SPA</w:t>
      </w:r>
      <w:r w:rsidRPr="00794E07">
        <w:rPr>
          <w:color w:val="000000"/>
          <w:sz w:val="24"/>
          <w:szCs w:val="24"/>
          <w:lang w:val="en-GB"/>
        </w:rPr>
        <w:t xml:space="preserve"> within the 18 months preceding the survey. </w:t>
      </w:r>
      <w:r>
        <w:rPr>
          <w:color w:val="000000"/>
          <w:sz w:val="24"/>
          <w:szCs w:val="24"/>
          <w:lang w:val="en-GB"/>
        </w:rPr>
        <w:t>Results: f</w:t>
      </w:r>
      <w:r w:rsidRPr="00794E07">
        <w:rPr>
          <w:color w:val="000000"/>
          <w:sz w:val="24"/>
          <w:szCs w:val="24"/>
          <w:lang w:val="en-GB"/>
        </w:rPr>
        <w:t xml:space="preserve">emale students represented 35% of the sample, with a sex ratio of 1.8. The mean age was 19.25 ± 2.3 years, and the most represented age group was 16–20 years (67%). Chi-square analysis revealed significant associations between </w:t>
      </w:r>
      <w:r>
        <w:rPr>
          <w:color w:val="000000"/>
          <w:sz w:val="24"/>
          <w:szCs w:val="24"/>
          <w:lang w:val="en-GB"/>
        </w:rPr>
        <w:t>SPA</w:t>
      </w:r>
      <w:r w:rsidRPr="00794E07">
        <w:rPr>
          <w:color w:val="000000"/>
          <w:sz w:val="24"/>
          <w:szCs w:val="24"/>
          <w:lang w:val="en-GB"/>
        </w:rPr>
        <w:t xml:space="preserve"> use and factors related to peer relationships, family environment, and residential </w:t>
      </w:r>
      <w:proofErr w:type="spellStart"/>
      <w:r w:rsidRPr="00794E07">
        <w:rPr>
          <w:color w:val="000000"/>
          <w:sz w:val="24"/>
          <w:szCs w:val="24"/>
          <w:lang w:val="en-GB"/>
        </w:rPr>
        <w:t>neighborhood</w:t>
      </w:r>
      <w:proofErr w:type="spellEnd"/>
      <w:r w:rsidRPr="00794E07">
        <w:rPr>
          <w:color w:val="000000"/>
          <w:sz w:val="24"/>
          <w:szCs w:val="24"/>
          <w:lang w:val="en-GB"/>
        </w:rPr>
        <w:t>. The study recommends the development of targeted prevention strategies in school settings that consider these key social determinants.</w:t>
      </w:r>
      <w:r w:rsidRPr="009876A9">
        <w:rPr>
          <w:b/>
          <w:bCs/>
          <w:color w:val="000000"/>
          <w:sz w:val="24"/>
          <w:szCs w:val="24"/>
          <w:lang w:val="en-GB"/>
        </w:rPr>
        <w:t xml:space="preserve"> </w:t>
      </w:r>
    </w:p>
    <w:p w14:paraId="46325E61" w14:textId="77777777" w:rsidR="00D80693" w:rsidRDefault="00D80693" w:rsidP="008276DA">
      <w:pPr>
        <w:spacing w:before="120" w:after="240"/>
        <w:ind w:right="105"/>
        <w:jc w:val="both"/>
        <w:rPr>
          <w:color w:val="000000"/>
          <w:sz w:val="24"/>
          <w:szCs w:val="24"/>
        </w:rPr>
      </w:pPr>
      <w:r w:rsidRPr="00794E07">
        <w:rPr>
          <w:b/>
          <w:bCs/>
          <w:color w:val="000000"/>
          <w:sz w:val="24"/>
          <w:szCs w:val="24"/>
        </w:rPr>
        <w:t>Keywords</w:t>
      </w:r>
      <w:r w:rsidRPr="00794E07">
        <w:rPr>
          <w:color w:val="000000"/>
          <w:sz w:val="24"/>
          <w:szCs w:val="24"/>
        </w:rPr>
        <w:t xml:space="preserve"> : psychoactive substances, </w:t>
      </w:r>
      <w:proofErr w:type="spellStart"/>
      <w:r w:rsidRPr="00794E07">
        <w:rPr>
          <w:color w:val="000000"/>
          <w:sz w:val="24"/>
          <w:szCs w:val="24"/>
        </w:rPr>
        <w:t>students</w:t>
      </w:r>
      <w:proofErr w:type="spellEnd"/>
      <w:r>
        <w:rPr>
          <w:color w:val="000000"/>
          <w:sz w:val="24"/>
          <w:szCs w:val="24"/>
        </w:rPr>
        <w:t xml:space="preserve">, </w:t>
      </w:r>
      <w:r w:rsidRPr="00794E07">
        <w:rPr>
          <w:color w:val="000000"/>
          <w:sz w:val="24"/>
          <w:szCs w:val="24"/>
        </w:rPr>
        <w:t xml:space="preserve">social </w:t>
      </w:r>
      <w:proofErr w:type="spellStart"/>
      <w:r w:rsidRPr="00794E07">
        <w:rPr>
          <w:color w:val="000000"/>
          <w:sz w:val="24"/>
          <w:szCs w:val="24"/>
        </w:rPr>
        <w:t>factors</w:t>
      </w:r>
      <w:proofErr w:type="spellEnd"/>
      <w:r w:rsidRPr="00794E07">
        <w:rPr>
          <w:color w:val="000000"/>
          <w:sz w:val="24"/>
          <w:szCs w:val="24"/>
        </w:rPr>
        <w:t xml:space="preserve">, Garoua, </w:t>
      </w:r>
      <w:proofErr w:type="spellStart"/>
      <w:r w:rsidRPr="00794E07">
        <w:rPr>
          <w:color w:val="000000"/>
          <w:sz w:val="24"/>
          <w:szCs w:val="24"/>
        </w:rPr>
        <w:t>prevention</w:t>
      </w:r>
      <w:proofErr w:type="spellEnd"/>
      <w:r w:rsidRPr="00794E07">
        <w:rPr>
          <w:color w:val="000000"/>
          <w:sz w:val="24"/>
          <w:szCs w:val="24"/>
        </w:rPr>
        <w:t xml:space="preserve">, </w:t>
      </w:r>
    </w:p>
    <w:p w14:paraId="028B49D0" w14:textId="77777777" w:rsidR="008276DA" w:rsidRDefault="008276DA">
      <w:pPr>
        <w:rPr>
          <w:b/>
          <w:bCs/>
          <w:color w:val="000000"/>
          <w:sz w:val="28"/>
          <w:szCs w:val="28"/>
        </w:rPr>
      </w:pPr>
      <w:r>
        <w:rPr>
          <w:b/>
          <w:bCs/>
          <w:color w:val="000000"/>
          <w:sz w:val="28"/>
          <w:szCs w:val="28"/>
        </w:rPr>
        <w:br w:type="page"/>
      </w:r>
    </w:p>
    <w:p w14:paraId="155B882E" w14:textId="349B4F36" w:rsidR="00D80693" w:rsidRPr="00B66F08" w:rsidRDefault="00D80693" w:rsidP="008276DA">
      <w:pPr>
        <w:spacing w:before="120" w:after="240"/>
        <w:ind w:right="105"/>
        <w:jc w:val="both"/>
        <w:rPr>
          <w:color w:val="000000"/>
          <w:sz w:val="24"/>
          <w:szCs w:val="24"/>
        </w:rPr>
      </w:pPr>
      <w:r w:rsidRPr="00B66F08">
        <w:rPr>
          <w:b/>
          <w:bCs/>
          <w:color w:val="000000"/>
          <w:sz w:val="28"/>
          <w:szCs w:val="28"/>
        </w:rPr>
        <w:t>Introduction</w:t>
      </w:r>
    </w:p>
    <w:p w14:paraId="7384177D" w14:textId="77777777" w:rsidR="00D80693" w:rsidRPr="00357904" w:rsidRDefault="00D80693" w:rsidP="008276DA">
      <w:pPr>
        <w:spacing w:before="120" w:after="240"/>
        <w:jc w:val="both"/>
        <w:rPr>
          <w:rFonts w:eastAsia="Calibri"/>
          <w:sz w:val="24"/>
          <w:szCs w:val="24"/>
        </w:rPr>
      </w:pPr>
      <w:r w:rsidRPr="00B70D71">
        <w:rPr>
          <w:rFonts w:eastAsiaTheme="minorHAnsi"/>
          <w:sz w:val="24"/>
          <w:szCs w:val="24"/>
        </w:rPr>
        <w:t xml:space="preserve">À travers le monde, la consommation des substances psychoactives </w:t>
      </w:r>
      <w:r>
        <w:rPr>
          <w:rFonts w:eastAsiaTheme="minorHAnsi"/>
          <w:sz w:val="24"/>
          <w:szCs w:val="24"/>
        </w:rPr>
        <w:t xml:space="preserve">communément appelées drogues </w:t>
      </w:r>
      <w:r w:rsidRPr="00B70D71">
        <w:rPr>
          <w:rFonts w:eastAsiaTheme="minorHAnsi"/>
          <w:sz w:val="24"/>
          <w:szCs w:val="24"/>
        </w:rPr>
        <w:t xml:space="preserve">est l’un des plus grands fléaux de notre époque. </w:t>
      </w:r>
      <w:r w:rsidRPr="00357904">
        <w:rPr>
          <w:rFonts w:eastAsiaTheme="minorHAnsi"/>
          <w:sz w:val="24"/>
          <w:szCs w:val="24"/>
        </w:rPr>
        <w:t>Selon OMS, on appelle « </w:t>
      </w:r>
      <w:r w:rsidRPr="00357904">
        <w:rPr>
          <w:rFonts w:eastAsiaTheme="minorHAnsi"/>
          <w:i/>
          <w:sz w:val="24"/>
          <w:szCs w:val="24"/>
        </w:rPr>
        <w:t>drogue toute substance qui agit sur le cerveau et en perturbe le fonctionnement (sensations, perceptions, humeurs, motricité) [...] Ainsi, sous le mot drogue, on parle aussi bien des drogues illégales (cannabis, héroïne, cocaïne) que des substances légales comme le tabac, l'alcool ou les médicaments »</w:t>
      </w:r>
      <w:r w:rsidRPr="00357904">
        <w:rPr>
          <w:rFonts w:eastAsiaTheme="minorHAnsi"/>
          <w:sz w:val="24"/>
          <w:szCs w:val="24"/>
        </w:rPr>
        <w:t>.</w:t>
      </w:r>
      <w:r>
        <w:rPr>
          <w:rFonts w:eastAsiaTheme="minorHAnsi"/>
          <w:sz w:val="24"/>
          <w:szCs w:val="24"/>
        </w:rPr>
        <w:t xml:space="preserve"> Selon</w:t>
      </w:r>
      <w:r w:rsidRPr="00357904">
        <w:rPr>
          <w:rFonts w:eastAsiaTheme="minorHAnsi"/>
          <w:sz w:val="24"/>
          <w:szCs w:val="24"/>
        </w:rPr>
        <w:t xml:space="preserve"> le Comité Québécois de Lutte contre la Drogue (</w:t>
      </w:r>
      <w:r>
        <w:rPr>
          <w:rFonts w:eastAsiaTheme="minorHAnsi"/>
          <w:sz w:val="24"/>
          <w:szCs w:val="24"/>
        </w:rPr>
        <w:t>[</w:t>
      </w:r>
      <w:r w:rsidRPr="00357904">
        <w:rPr>
          <w:rFonts w:eastAsiaTheme="minorHAnsi"/>
          <w:sz w:val="24"/>
          <w:szCs w:val="24"/>
        </w:rPr>
        <w:t>CQLD</w:t>
      </w:r>
      <w:r>
        <w:rPr>
          <w:rFonts w:eastAsiaTheme="minorHAnsi"/>
          <w:sz w:val="24"/>
          <w:szCs w:val="24"/>
        </w:rPr>
        <w:t>]</w:t>
      </w:r>
      <w:r w:rsidRPr="00357904">
        <w:rPr>
          <w:rFonts w:eastAsiaTheme="minorHAnsi"/>
          <w:sz w:val="24"/>
          <w:szCs w:val="24"/>
        </w:rPr>
        <w:t>, 2014), « l’alcool, le tabac, le cannabis, l’héroïne, la cocaïne, les médicaments, etc. sont toutes des substances psychoactives, c’est-à-dire qu’elles agissent sur le cerveau : elles modifient l’activité mentale, les sensations, le comportement</w:t>
      </w:r>
      <w:r>
        <w:rPr>
          <w:rFonts w:eastAsiaTheme="minorHAnsi"/>
          <w:sz w:val="24"/>
          <w:szCs w:val="24"/>
        </w:rPr>
        <w:t> »</w:t>
      </w:r>
      <w:r w:rsidRPr="00357904">
        <w:rPr>
          <w:rFonts w:eastAsiaTheme="minorHAnsi"/>
          <w:sz w:val="24"/>
          <w:szCs w:val="24"/>
        </w:rPr>
        <w:t>.</w:t>
      </w:r>
    </w:p>
    <w:p w14:paraId="2D85FAE4" w14:textId="77777777" w:rsidR="00D80693" w:rsidRDefault="00D80693" w:rsidP="008276DA">
      <w:pPr>
        <w:spacing w:before="120" w:after="240"/>
        <w:jc w:val="both"/>
        <w:rPr>
          <w:color w:val="000000"/>
          <w:sz w:val="24"/>
          <w:szCs w:val="24"/>
        </w:rPr>
      </w:pPr>
      <w:r w:rsidRPr="00B70D71">
        <w:rPr>
          <w:rFonts w:eastAsiaTheme="minorHAnsi"/>
          <w:sz w:val="24"/>
          <w:szCs w:val="24"/>
        </w:rPr>
        <w:t>La particularité d</w:t>
      </w:r>
      <w:r>
        <w:rPr>
          <w:rFonts w:eastAsiaTheme="minorHAnsi"/>
          <w:sz w:val="24"/>
          <w:szCs w:val="24"/>
        </w:rPr>
        <w:t>u</w:t>
      </w:r>
      <w:r w:rsidRPr="00B70D71">
        <w:rPr>
          <w:rFonts w:eastAsiaTheme="minorHAnsi"/>
          <w:sz w:val="24"/>
          <w:szCs w:val="24"/>
        </w:rPr>
        <w:t xml:space="preserve"> phénomène </w:t>
      </w:r>
      <w:r>
        <w:rPr>
          <w:rFonts w:eastAsiaTheme="minorHAnsi"/>
          <w:sz w:val="24"/>
          <w:szCs w:val="24"/>
        </w:rPr>
        <w:t xml:space="preserve">de consommation de drogues </w:t>
      </w:r>
      <w:r w:rsidRPr="00B70D71">
        <w:rPr>
          <w:rFonts w:eastAsiaTheme="minorHAnsi"/>
          <w:sz w:val="24"/>
          <w:szCs w:val="24"/>
        </w:rPr>
        <w:t xml:space="preserve">chez l’élève et l’adolescent reste mal étudiée, particulièrement au Cameroun, où dans les écoles, </w:t>
      </w:r>
      <w:r>
        <w:rPr>
          <w:rFonts w:eastAsiaTheme="minorHAnsi"/>
          <w:sz w:val="24"/>
          <w:szCs w:val="24"/>
        </w:rPr>
        <w:t>d</w:t>
      </w:r>
      <w:r w:rsidRPr="00B70D71">
        <w:rPr>
          <w:rFonts w:eastAsiaTheme="minorHAnsi"/>
          <w:sz w:val="24"/>
          <w:szCs w:val="24"/>
        </w:rPr>
        <w:t>es</w:t>
      </w:r>
      <w:r>
        <w:rPr>
          <w:rFonts w:eastAsiaTheme="minorHAnsi"/>
          <w:sz w:val="24"/>
          <w:szCs w:val="24"/>
        </w:rPr>
        <w:t xml:space="preserve"> études approfondies ainsi que des</w:t>
      </w:r>
      <w:r w:rsidRPr="00B70D71">
        <w:rPr>
          <w:rFonts w:eastAsiaTheme="minorHAnsi"/>
          <w:sz w:val="24"/>
          <w:szCs w:val="24"/>
        </w:rPr>
        <w:t xml:space="preserve"> politiques </w:t>
      </w:r>
      <w:r>
        <w:rPr>
          <w:rFonts w:eastAsiaTheme="minorHAnsi"/>
          <w:sz w:val="24"/>
          <w:szCs w:val="24"/>
        </w:rPr>
        <w:t xml:space="preserve">de prévention </w:t>
      </w:r>
      <w:r w:rsidRPr="00B70D71">
        <w:rPr>
          <w:rFonts w:eastAsiaTheme="minorHAnsi"/>
          <w:sz w:val="24"/>
          <w:szCs w:val="24"/>
        </w:rPr>
        <w:t xml:space="preserve">manquent pour y répondre de manière adéquate. La majorité des études publiées sur le </w:t>
      </w:r>
      <w:r>
        <w:rPr>
          <w:rFonts w:eastAsiaTheme="minorHAnsi"/>
          <w:sz w:val="24"/>
          <w:szCs w:val="24"/>
        </w:rPr>
        <w:t xml:space="preserve">phénomène de consommation des </w:t>
      </w:r>
      <w:r w:rsidRPr="00B70D71">
        <w:rPr>
          <w:rFonts w:eastAsiaTheme="minorHAnsi"/>
          <w:sz w:val="24"/>
          <w:szCs w:val="24"/>
        </w:rPr>
        <w:t>drogue</w:t>
      </w:r>
      <w:r>
        <w:rPr>
          <w:rFonts w:eastAsiaTheme="minorHAnsi"/>
          <w:sz w:val="24"/>
          <w:szCs w:val="24"/>
        </w:rPr>
        <w:t>s</w:t>
      </w:r>
      <w:r w:rsidRPr="00B70D71">
        <w:rPr>
          <w:rFonts w:eastAsiaTheme="minorHAnsi"/>
          <w:sz w:val="24"/>
          <w:szCs w:val="24"/>
        </w:rPr>
        <w:t xml:space="preserve"> </w:t>
      </w:r>
      <w:r>
        <w:rPr>
          <w:rFonts w:eastAsiaTheme="minorHAnsi"/>
          <w:sz w:val="24"/>
          <w:szCs w:val="24"/>
        </w:rPr>
        <w:t>au Cameroun et dans la ville de Garoua en particulier, concerne</w:t>
      </w:r>
      <w:r w:rsidRPr="00B70D71">
        <w:rPr>
          <w:rFonts w:eastAsiaTheme="minorHAnsi"/>
          <w:sz w:val="24"/>
          <w:szCs w:val="24"/>
        </w:rPr>
        <w:t xml:space="preserve"> des études </w:t>
      </w:r>
      <w:proofErr w:type="spellStart"/>
      <w:r w:rsidRPr="00B70D71">
        <w:rPr>
          <w:rFonts w:eastAsiaTheme="minorHAnsi"/>
          <w:sz w:val="24"/>
          <w:szCs w:val="24"/>
        </w:rPr>
        <w:t>intra</w:t>
      </w:r>
      <w:r>
        <w:rPr>
          <w:rFonts w:eastAsiaTheme="minorHAnsi"/>
          <w:sz w:val="24"/>
          <w:szCs w:val="24"/>
        </w:rPr>
        <w:t>-</w:t>
      </w:r>
      <w:r w:rsidRPr="00B70D71">
        <w:rPr>
          <w:rFonts w:eastAsiaTheme="minorHAnsi"/>
          <w:sz w:val="24"/>
          <w:szCs w:val="24"/>
        </w:rPr>
        <w:t>hospitalières</w:t>
      </w:r>
      <w:proofErr w:type="spellEnd"/>
      <w:r>
        <w:rPr>
          <w:rFonts w:eastAsiaTheme="minorHAnsi"/>
          <w:sz w:val="24"/>
          <w:szCs w:val="24"/>
        </w:rPr>
        <w:t xml:space="preserve"> et extra-scolaires</w:t>
      </w:r>
      <w:r w:rsidRPr="00B70D71">
        <w:rPr>
          <w:rFonts w:eastAsiaTheme="minorHAnsi"/>
          <w:sz w:val="24"/>
          <w:szCs w:val="24"/>
        </w:rPr>
        <w:t>, ne prenant que très peu en compte la spécificité du consommateur d’âge scolaire</w:t>
      </w:r>
      <w:r>
        <w:rPr>
          <w:rFonts w:eastAsiaTheme="minorHAnsi"/>
          <w:sz w:val="24"/>
          <w:szCs w:val="24"/>
        </w:rPr>
        <w:t xml:space="preserve"> </w:t>
      </w:r>
      <w:r w:rsidRPr="00C04C6C">
        <w:rPr>
          <w:rFonts w:eastAsiaTheme="minorHAnsi"/>
          <w:sz w:val="24"/>
          <w:szCs w:val="24"/>
        </w:rPr>
        <w:t>(</w:t>
      </w:r>
      <w:proofErr w:type="spellStart"/>
      <w:r w:rsidRPr="00C04C6C">
        <w:rPr>
          <w:rFonts w:eastAsiaTheme="minorHAnsi"/>
          <w:sz w:val="24"/>
          <w:szCs w:val="24"/>
        </w:rPr>
        <w:t>Mbongo’o</w:t>
      </w:r>
      <w:proofErr w:type="spellEnd"/>
      <w:r w:rsidRPr="00C04C6C">
        <w:rPr>
          <w:rFonts w:eastAsiaTheme="minorHAnsi"/>
          <w:sz w:val="24"/>
          <w:szCs w:val="24"/>
        </w:rPr>
        <w:t xml:space="preserve"> et al., 2021</w:t>
      </w:r>
      <w:proofErr w:type="gramStart"/>
      <w:r>
        <w:rPr>
          <w:rFonts w:eastAsiaTheme="minorHAnsi"/>
          <w:sz w:val="24"/>
          <w:szCs w:val="24"/>
        </w:rPr>
        <w:t>a</w:t>
      </w:r>
      <w:r w:rsidRPr="00C04C6C">
        <w:rPr>
          <w:rFonts w:eastAsiaTheme="minorHAnsi"/>
          <w:sz w:val="24"/>
          <w:szCs w:val="24"/>
        </w:rPr>
        <w:t>;</w:t>
      </w:r>
      <w:proofErr w:type="gramEnd"/>
      <w:r w:rsidRPr="00C04C6C">
        <w:rPr>
          <w:rFonts w:eastAsiaTheme="minorHAnsi"/>
          <w:sz w:val="24"/>
          <w:szCs w:val="24"/>
        </w:rPr>
        <w:t xml:space="preserve"> </w:t>
      </w:r>
      <w:proofErr w:type="spellStart"/>
      <w:r w:rsidRPr="00C04C6C">
        <w:rPr>
          <w:rFonts w:eastAsiaTheme="minorHAnsi"/>
          <w:sz w:val="24"/>
          <w:szCs w:val="24"/>
        </w:rPr>
        <w:t>Mbongo’o</w:t>
      </w:r>
      <w:proofErr w:type="spellEnd"/>
      <w:r w:rsidRPr="00C04C6C">
        <w:rPr>
          <w:rFonts w:eastAsiaTheme="minorHAnsi"/>
          <w:sz w:val="24"/>
          <w:szCs w:val="24"/>
        </w:rPr>
        <w:t xml:space="preserve"> et al., 2021</w:t>
      </w:r>
      <w:r>
        <w:rPr>
          <w:rFonts w:eastAsiaTheme="minorHAnsi"/>
          <w:sz w:val="24"/>
          <w:szCs w:val="24"/>
        </w:rPr>
        <w:t>b</w:t>
      </w:r>
      <w:r w:rsidRPr="00C04C6C">
        <w:rPr>
          <w:rFonts w:eastAsiaTheme="minorHAnsi"/>
          <w:sz w:val="24"/>
          <w:szCs w:val="24"/>
        </w:rPr>
        <w:t>)</w:t>
      </w:r>
      <w:r w:rsidRPr="00B70D71">
        <w:rPr>
          <w:rFonts w:eastAsiaTheme="minorHAnsi"/>
          <w:sz w:val="24"/>
          <w:szCs w:val="24"/>
        </w:rPr>
        <w:t>.</w:t>
      </w:r>
      <w:r w:rsidRPr="00F10014">
        <w:rPr>
          <w:color w:val="000000"/>
          <w:sz w:val="24"/>
          <w:szCs w:val="24"/>
        </w:rPr>
        <w:t xml:space="preserve"> </w:t>
      </w:r>
      <w:r>
        <w:rPr>
          <w:color w:val="000000"/>
          <w:sz w:val="24"/>
          <w:szCs w:val="24"/>
        </w:rPr>
        <w:t>Or, l</w:t>
      </w:r>
      <w:r w:rsidRPr="00B70D71">
        <w:rPr>
          <w:color w:val="000000"/>
          <w:sz w:val="24"/>
          <w:szCs w:val="24"/>
        </w:rPr>
        <w:t xml:space="preserve">es </w:t>
      </w:r>
      <w:bookmarkStart w:id="258" w:name="_Hlk211332912"/>
      <w:r w:rsidRPr="00B70D71">
        <w:rPr>
          <w:color w:val="000000"/>
          <w:sz w:val="24"/>
          <w:szCs w:val="24"/>
        </w:rPr>
        <w:t xml:space="preserve">substances psychoactives </w:t>
      </w:r>
      <w:bookmarkEnd w:id="258"/>
      <w:r w:rsidRPr="00B70D71">
        <w:rPr>
          <w:color w:val="000000"/>
          <w:sz w:val="24"/>
          <w:szCs w:val="24"/>
        </w:rPr>
        <w:t xml:space="preserve">sont de plus en plus consommées par les élèves. </w:t>
      </w:r>
      <w:r>
        <w:rPr>
          <w:color w:val="000000"/>
          <w:sz w:val="24"/>
          <w:szCs w:val="24"/>
        </w:rPr>
        <w:t xml:space="preserve">De plus, </w:t>
      </w:r>
      <w:r>
        <w:rPr>
          <w:color w:val="000000"/>
          <w:sz w:val="24"/>
          <w:szCs w:val="24"/>
          <w:lang w:eastAsia="fr-FR"/>
        </w:rPr>
        <w:t xml:space="preserve">ce phénomène demeure très peu ou pas étudié dans certaines régions du pays. </w:t>
      </w:r>
    </w:p>
    <w:p w14:paraId="07F6C6A3" w14:textId="77777777" w:rsidR="00D80693" w:rsidRPr="00646DFD" w:rsidRDefault="00D80693" w:rsidP="008276DA">
      <w:pPr>
        <w:spacing w:before="120" w:after="240"/>
        <w:jc w:val="both"/>
        <w:rPr>
          <w:i/>
          <w:iCs/>
          <w:color w:val="000000"/>
          <w:sz w:val="24"/>
          <w:szCs w:val="24"/>
          <w:lang w:eastAsia="fr-FR"/>
        </w:rPr>
      </w:pPr>
      <w:r>
        <w:rPr>
          <w:color w:val="000000"/>
          <w:sz w:val="24"/>
          <w:szCs w:val="24"/>
          <w:lang w:eastAsia="fr-FR"/>
        </w:rPr>
        <w:t>Dans cette perspective, l</w:t>
      </w:r>
      <w:r w:rsidRPr="00B70D71">
        <w:rPr>
          <w:color w:val="000000"/>
          <w:sz w:val="24"/>
          <w:szCs w:val="24"/>
          <w:lang w:eastAsia="fr-FR"/>
        </w:rPr>
        <w:t>e travail que nous avons mis en place se propose d’apporter</w:t>
      </w:r>
      <w:r>
        <w:rPr>
          <w:color w:val="000000"/>
          <w:sz w:val="24"/>
          <w:szCs w:val="24"/>
          <w:lang w:eastAsia="fr-FR"/>
        </w:rPr>
        <w:t xml:space="preserve"> </w:t>
      </w:r>
      <w:r w:rsidRPr="00B70D71">
        <w:rPr>
          <w:color w:val="000000"/>
          <w:sz w:val="24"/>
          <w:szCs w:val="24"/>
          <w:lang w:eastAsia="fr-FR"/>
        </w:rPr>
        <w:t xml:space="preserve">des données complémentaires notamment dans une région très peu étudiée dans les </w:t>
      </w:r>
      <w:r>
        <w:rPr>
          <w:color w:val="000000"/>
          <w:sz w:val="24"/>
          <w:szCs w:val="24"/>
          <w:lang w:eastAsia="fr-FR"/>
        </w:rPr>
        <w:t>travaux</w:t>
      </w:r>
      <w:r w:rsidRPr="00B70D71">
        <w:rPr>
          <w:color w:val="000000"/>
          <w:sz w:val="24"/>
          <w:szCs w:val="24"/>
          <w:lang w:eastAsia="fr-FR"/>
        </w:rPr>
        <w:t xml:space="preserve"> de ce genre, mais aussi sur une population vulnérable : les élèves.</w:t>
      </w:r>
      <w:r>
        <w:rPr>
          <w:color w:val="000000"/>
          <w:sz w:val="24"/>
          <w:szCs w:val="24"/>
          <w:lang w:eastAsia="fr-FR"/>
        </w:rPr>
        <w:t xml:space="preserve"> </w:t>
      </w:r>
      <w:r w:rsidRPr="00B70D71">
        <w:rPr>
          <w:color w:val="000000"/>
          <w:sz w:val="24"/>
          <w:szCs w:val="24"/>
        </w:rPr>
        <w:t xml:space="preserve">Ce problème aux multiples conséquences est </w:t>
      </w:r>
      <w:proofErr w:type="spellStart"/>
      <w:r w:rsidRPr="00B70D71">
        <w:rPr>
          <w:color w:val="000000"/>
          <w:sz w:val="24"/>
          <w:szCs w:val="24"/>
        </w:rPr>
        <w:t>multicausal</w:t>
      </w:r>
      <w:proofErr w:type="spellEnd"/>
      <w:r>
        <w:rPr>
          <w:color w:val="000000"/>
          <w:sz w:val="24"/>
          <w:szCs w:val="24"/>
        </w:rPr>
        <w:t xml:space="preserve"> et, il nous semble intéressant d’aborder la question sur les</w:t>
      </w:r>
      <w:r>
        <w:rPr>
          <w:color w:val="000000"/>
          <w:sz w:val="24"/>
          <w:szCs w:val="24"/>
          <w:lang w:eastAsia="fr-FR"/>
        </w:rPr>
        <w:t xml:space="preserve"> facteurs sociaux associés à l’usage de drogues chez les élèves</w:t>
      </w:r>
      <w:r w:rsidRPr="00BD2FD2">
        <w:rPr>
          <w:color w:val="000000"/>
          <w:sz w:val="24"/>
          <w:szCs w:val="24"/>
        </w:rPr>
        <w:t xml:space="preserve"> </w:t>
      </w:r>
      <w:r w:rsidRPr="00BD2FD2">
        <w:rPr>
          <w:color w:val="000000"/>
          <w:sz w:val="24"/>
          <w:szCs w:val="24"/>
          <w:lang w:eastAsia="fr-FR"/>
        </w:rPr>
        <w:t>au Lycée de Ouro-</w:t>
      </w:r>
      <w:proofErr w:type="spellStart"/>
      <w:r w:rsidRPr="00BD2FD2">
        <w:rPr>
          <w:color w:val="000000"/>
          <w:sz w:val="24"/>
          <w:szCs w:val="24"/>
          <w:lang w:eastAsia="fr-FR"/>
        </w:rPr>
        <w:t>Hourso</w:t>
      </w:r>
      <w:proofErr w:type="spellEnd"/>
      <w:r w:rsidRPr="00BD2FD2">
        <w:rPr>
          <w:color w:val="000000"/>
          <w:sz w:val="24"/>
          <w:szCs w:val="24"/>
          <w:lang w:eastAsia="fr-FR"/>
        </w:rPr>
        <w:t xml:space="preserve"> et au Collège Moderne de la Bénoué</w:t>
      </w:r>
      <w:r>
        <w:rPr>
          <w:color w:val="000000"/>
          <w:sz w:val="24"/>
          <w:szCs w:val="24"/>
          <w:lang w:eastAsia="fr-FR"/>
        </w:rPr>
        <w:t xml:space="preserve">. En effet, </w:t>
      </w:r>
      <w:proofErr w:type="spellStart"/>
      <w:r w:rsidRPr="00C04C6C">
        <w:rPr>
          <w:color w:val="000000"/>
          <w:sz w:val="24"/>
          <w:szCs w:val="24"/>
          <w:lang w:eastAsia="fr-FR"/>
        </w:rPr>
        <w:t>Kpozehouen</w:t>
      </w:r>
      <w:proofErr w:type="spellEnd"/>
      <w:r w:rsidRPr="00C04C6C">
        <w:rPr>
          <w:color w:val="000000"/>
          <w:sz w:val="24"/>
          <w:szCs w:val="24"/>
          <w:lang w:eastAsia="fr-FR"/>
        </w:rPr>
        <w:t xml:space="preserve"> et al. (2015)</w:t>
      </w:r>
      <w:bookmarkStart w:id="259" w:name="_Hlk211513057"/>
      <w:r>
        <w:rPr>
          <w:color w:val="000000"/>
          <w:sz w:val="24"/>
          <w:szCs w:val="24"/>
          <w:lang w:eastAsia="fr-FR"/>
        </w:rPr>
        <w:t>, avançaient que </w:t>
      </w:r>
      <w:bookmarkEnd w:id="259"/>
      <w:r>
        <w:rPr>
          <w:color w:val="000000"/>
          <w:sz w:val="24"/>
          <w:szCs w:val="24"/>
          <w:lang w:eastAsia="fr-FR"/>
        </w:rPr>
        <w:t>: « </w:t>
      </w:r>
      <w:r w:rsidRPr="000F67AA">
        <w:rPr>
          <w:i/>
          <w:iCs/>
          <w:color w:val="000000"/>
          <w:sz w:val="24"/>
          <w:szCs w:val="24"/>
          <w:lang w:eastAsia="fr-FR"/>
        </w:rPr>
        <w:t>la consommation [des drogues] chez les adolescents reste importante […</w:t>
      </w:r>
      <w:r>
        <w:rPr>
          <w:i/>
          <w:iCs/>
          <w:color w:val="000000"/>
          <w:sz w:val="24"/>
          <w:szCs w:val="24"/>
          <w:lang w:eastAsia="fr-FR"/>
        </w:rPr>
        <w:t>et,</w:t>
      </w:r>
      <w:r w:rsidRPr="000F67AA">
        <w:rPr>
          <w:i/>
          <w:iCs/>
          <w:color w:val="000000"/>
          <w:sz w:val="24"/>
          <w:szCs w:val="24"/>
          <w:lang w:eastAsia="fr-FR"/>
        </w:rPr>
        <w:t>] les stratégies de lutte efficaces et adaptées nécessitent une bonne connaissance des facteurs</w:t>
      </w:r>
      <w:r>
        <w:rPr>
          <w:i/>
          <w:iCs/>
          <w:color w:val="000000"/>
          <w:sz w:val="24"/>
          <w:szCs w:val="24"/>
          <w:lang w:eastAsia="fr-FR"/>
        </w:rPr>
        <w:t xml:space="preserve"> sociaux</w:t>
      </w:r>
      <w:r w:rsidRPr="000F67AA">
        <w:rPr>
          <w:i/>
          <w:iCs/>
          <w:color w:val="000000"/>
          <w:sz w:val="24"/>
          <w:szCs w:val="24"/>
          <w:lang w:eastAsia="fr-FR"/>
        </w:rPr>
        <w:t xml:space="preserve"> associés à l’usage de ces substances dans les populations cibles</w:t>
      </w:r>
      <w:r>
        <w:rPr>
          <w:color w:val="000000"/>
          <w:sz w:val="24"/>
          <w:szCs w:val="24"/>
          <w:lang w:eastAsia="fr-FR"/>
        </w:rPr>
        <w:t> » (p. 872). Badolo (2018), ajoutait que</w:t>
      </w:r>
      <w:r w:rsidRPr="004E5095">
        <w:rPr>
          <w:color w:val="000000"/>
          <w:sz w:val="24"/>
          <w:szCs w:val="24"/>
          <w:lang w:eastAsia="fr-FR"/>
        </w:rPr>
        <w:t xml:space="preserve">, </w:t>
      </w:r>
      <w:r w:rsidRPr="004E5095">
        <w:rPr>
          <w:i/>
          <w:iCs/>
          <w:color w:val="000000"/>
          <w:sz w:val="24"/>
          <w:szCs w:val="24"/>
          <w:lang w:eastAsia="fr-FR"/>
        </w:rPr>
        <w:t xml:space="preserve">« la connaissance </w:t>
      </w:r>
      <w:r>
        <w:rPr>
          <w:i/>
          <w:iCs/>
          <w:color w:val="000000"/>
          <w:sz w:val="24"/>
          <w:szCs w:val="24"/>
          <w:lang w:eastAsia="fr-FR"/>
        </w:rPr>
        <w:t>[des]</w:t>
      </w:r>
      <w:r w:rsidRPr="004E5095">
        <w:rPr>
          <w:i/>
          <w:iCs/>
          <w:color w:val="000000"/>
          <w:sz w:val="24"/>
          <w:szCs w:val="24"/>
          <w:lang w:eastAsia="fr-FR"/>
        </w:rPr>
        <w:t xml:space="preserve"> facteurs est un préalable nécessaire à la définition de solutions pour contenir ce phénomène dans son expression et ses extensions, dans un continent confronté à d’énormes défis en matière de développement » </w:t>
      </w:r>
      <w:r w:rsidRPr="004E5095">
        <w:rPr>
          <w:color w:val="000000"/>
          <w:sz w:val="24"/>
          <w:szCs w:val="24"/>
          <w:lang w:eastAsia="fr-FR"/>
        </w:rPr>
        <w:t>(p. 18)</w:t>
      </w:r>
      <w:r>
        <w:rPr>
          <w:color w:val="000000"/>
          <w:sz w:val="24"/>
          <w:szCs w:val="24"/>
          <w:lang w:eastAsia="fr-FR"/>
        </w:rPr>
        <w:t>. Ainsi, l’étude des facteurs sociaux associés à la consommation de drogues en milieu scolaire permet une connaissance approfondie du phénomène, contribuant ainsi à nourrir des leviers de recommandations ciblées pouvant être déployées pour faire face au phénomène.</w:t>
      </w:r>
      <w:r w:rsidRPr="00AB196C">
        <w:rPr>
          <w:rFonts w:eastAsia="SimSun"/>
          <w:sz w:val="24"/>
          <w:szCs w:val="24"/>
          <w:lang w:eastAsia="zh-CN"/>
        </w:rPr>
        <w:t xml:space="preserve"> </w:t>
      </w:r>
    </w:p>
    <w:p w14:paraId="212F0B79" w14:textId="0319EB95" w:rsidR="008276DA" w:rsidRDefault="00D80693" w:rsidP="008276DA">
      <w:pPr>
        <w:spacing w:before="120" w:after="240"/>
        <w:jc w:val="both"/>
        <w:rPr>
          <w:color w:val="000000"/>
          <w:sz w:val="24"/>
          <w:szCs w:val="24"/>
          <w:lang w:eastAsia="fr-FR"/>
        </w:rPr>
      </w:pPr>
      <w:r w:rsidRPr="00AB196C">
        <w:rPr>
          <w:color w:val="000000"/>
          <w:sz w:val="24"/>
          <w:szCs w:val="24"/>
          <w:lang w:eastAsia="fr-FR"/>
        </w:rPr>
        <w:t xml:space="preserve">Cette recherche tente de répondre aux questions suivantes : quelles sont </w:t>
      </w:r>
      <w:bookmarkStart w:id="260" w:name="_Hlk179719854"/>
      <w:r w:rsidRPr="00AB196C">
        <w:rPr>
          <w:color w:val="000000"/>
          <w:sz w:val="24"/>
          <w:szCs w:val="24"/>
          <w:lang w:eastAsia="fr-FR"/>
        </w:rPr>
        <w:t xml:space="preserve">les formes de </w:t>
      </w:r>
      <w:r>
        <w:rPr>
          <w:color w:val="000000"/>
          <w:sz w:val="24"/>
          <w:szCs w:val="24"/>
          <w:lang w:eastAsia="fr-FR"/>
        </w:rPr>
        <w:t xml:space="preserve">SPA consommées par </w:t>
      </w:r>
      <w:bookmarkStart w:id="261" w:name="_Hlk211648337"/>
      <w:r>
        <w:rPr>
          <w:color w:val="000000"/>
          <w:sz w:val="24"/>
          <w:szCs w:val="24"/>
          <w:lang w:eastAsia="fr-FR"/>
        </w:rPr>
        <w:t>les élèves</w:t>
      </w:r>
      <w:r w:rsidRPr="00BD2FD2">
        <w:rPr>
          <w:color w:val="000000"/>
          <w:sz w:val="24"/>
          <w:szCs w:val="24"/>
          <w:lang w:eastAsia="fr-FR"/>
        </w:rPr>
        <w:t xml:space="preserve"> au Lycée de Ouro-</w:t>
      </w:r>
      <w:proofErr w:type="spellStart"/>
      <w:r w:rsidRPr="00BD2FD2">
        <w:rPr>
          <w:color w:val="000000"/>
          <w:sz w:val="24"/>
          <w:szCs w:val="24"/>
          <w:lang w:eastAsia="fr-FR"/>
        </w:rPr>
        <w:t>Hourso</w:t>
      </w:r>
      <w:proofErr w:type="spellEnd"/>
      <w:r w:rsidRPr="00BD2FD2">
        <w:rPr>
          <w:color w:val="000000"/>
          <w:sz w:val="24"/>
          <w:szCs w:val="24"/>
          <w:lang w:eastAsia="fr-FR"/>
        </w:rPr>
        <w:t xml:space="preserve"> et au Collège Moderne de la Bénoué</w:t>
      </w:r>
      <w:r w:rsidRPr="00AB196C">
        <w:rPr>
          <w:color w:val="000000"/>
          <w:sz w:val="24"/>
          <w:szCs w:val="24"/>
          <w:lang w:eastAsia="fr-FR"/>
        </w:rPr>
        <w:t> </w:t>
      </w:r>
      <w:bookmarkEnd w:id="260"/>
      <w:r w:rsidRPr="00AB196C">
        <w:rPr>
          <w:color w:val="000000"/>
          <w:sz w:val="24"/>
          <w:szCs w:val="24"/>
          <w:lang w:eastAsia="fr-FR"/>
        </w:rPr>
        <w:t xml:space="preserve">? </w:t>
      </w:r>
      <w:bookmarkEnd w:id="261"/>
      <w:r>
        <w:rPr>
          <w:color w:val="000000"/>
          <w:sz w:val="24"/>
          <w:szCs w:val="24"/>
          <w:lang w:eastAsia="fr-FR"/>
        </w:rPr>
        <w:t>Quels sont les facteurs sociaux qui déterminent la consommation de drogues chez</w:t>
      </w:r>
      <w:r w:rsidRPr="00AB196C">
        <w:rPr>
          <w:color w:val="000000"/>
          <w:sz w:val="24"/>
          <w:szCs w:val="24"/>
          <w:lang w:eastAsia="fr-FR"/>
        </w:rPr>
        <w:t> </w:t>
      </w:r>
      <w:r w:rsidRPr="00AE76AD">
        <w:rPr>
          <w:color w:val="000000"/>
          <w:sz w:val="24"/>
          <w:szCs w:val="24"/>
          <w:lang w:eastAsia="fr-FR"/>
        </w:rPr>
        <w:t xml:space="preserve">les élèves </w:t>
      </w:r>
      <w:bookmarkStart w:id="262" w:name="_Hlk211760730"/>
      <w:r>
        <w:rPr>
          <w:color w:val="000000"/>
          <w:sz w:val="24"/>
          <w:szCs w:val="24"/>
          <w:lang w:eastAsia="fr-FR"/>
        </w:rPr>
        <w:t>d</w:t>
      </w:r>
      <w:r w:rsidRPr="00AE76AD">
        <w:rPr>
          <w:color w:val="000000"/>
          <w:sz w:val="24"/>
          <w:szCs w:val="24"/>
          <w:lang w:eastAsia="fr-FR"/>
        </w:rPr>
        <w:t>u Lycée de Ouro-</w:t>
      </w:r>
      <w:proofErr w:type="spellStart"/>
      <w:r w:rsidRPr="00AE76AD">
        <w:rPr>
          <w:color w:val="000000"/>
          <w:sz w:val="24"/>
          <w:szCs w:val="24"/>
          <w:lang w:eastAsia="fr-FR"/>
        </w:rPr>
        <w:t>Hourso</w:t>
      </w:r>
      <w:proofErr w:type="spellEnd"/>
      <w:r w:rsidRPr="00AE76AD">
        <w:rPr>
          <w:color w:val="000000"/>
          <w:sz w:val="24"/>
          <w:szCs w:val="24"/>
          <w:lang w:eastAsia="fr-FR"/>
        </w:rPr>
        <w:t xml:space="preserve"> et </w:t>
      </w:r>
      <w:r>
        <w:rPr>
          <w:color w:val="000000"/>
          <w:sz w:val="24"/>
          <w:szCs w:val="24"/>
          <w:lang w:eastAsia="fr-FR"/>
        </w:rPr>
        <w:t>d</w:t>
      </w:r>
      <w:r w:rsidRPr="00AE76AD">
        <w:rPr>
          <w:color w:val="000000"/>
          <w:sz w:val="24"/>
          <w:szCs w:val="24"/>
          <w:lang w:eastAsia="fr-FR"/>
        </w:rPr>
        <w:t>u Collège Moderne de la Bénoué </w:t>
      </w:r>
      <w:bookmarkEnd w:id="262"/>
      <w:r>
        <w:rPr>
          <w:color w:val="000000"/>
          <w:sz w:val="24"/>
          <w:szCs w:val="24"/>
          <w:lang w:eastAsia="fr-FR"/>
        </w:rPr>
        <w:t>dans l’arrondissement de Garoua 1</w:t>
      </w:r>
      <w:r w:rsidRPr="00C240E5">
        <w:rPr>
          <w:color w:val="000000"/>
          <w:sz w:val="24"/>
          <w:szCs w:val="24"/>
          <w:vertAlign w:val="superscript"/>
          <w:lang w:eastAsia="fr-FR"/>
        </w:rPr>
        <w:t>er</w:t>
      </w:r>
      <w:r>
        <w:rPr>
          <w:color w:val="000000"/>
          <w:sz w:val="24"/>
          <w:szCs w:val="24"/>
          <w:lang w:eastAsia="fr-FR"/>
        </w:rPr>
        <w:t xml:space="preserve"> </w:t>
      </w:r>
      <w:r w:rsidRPr="00AE76AD">
        <w:rPr>
          <w:color w:val="000000"/>
          <w:sz w:val="24"/>
          <w:szCs w:val="24"/>
          <w:lang w:eastAsia="fr-FR"/>
        </w:rPr>
        <w:t>?</w:t>
      </w:r>
      <w:r>
        <w:rPr>
          <w:color w:val="000000"/>
          <w:sz w:val="24"/>
          <w:szCs w:val="24"/>
          <w:lang w:eastAsia="fr-FR"/>
        </w:rPr>
        <w:t xml:space="preserve"> Il sera question dans ce travail, de répondre à ces différentes préoccupations, en présentant quelques points </w:t>
      </w:r>
      <w:r w:rsidRPr="00166C2E">
        <w:rPr>
          <w:color w:val="000000"/>
          <w:sz w:val="24"/>
          <w:szCs w:val="24"/>
          <w:lang w:eastAsia="fr-FR"/>
        </w:rPr>
        <w:t xml:space="preserve">de la revue littéraire </w:t>
      </w:r>
      <w:r>
        <w:rPr>
          <w:color w:val="000000"/>
          <w:sz w:val="24"/>
          <w:szCs w:val="24"/>
          <w:lang w:eastAsia="fr-FR"/>
        </w:rPr>
        <w:t xml:space="preserve">sur le sujet ; ensuite, nous présenterons la méthodologie adoptée pour obtenir nos résultats qui seront discutés. Enfin, nous formulerons des recommandations. </w:t>
      </w:r>
    </w:p>
    <w:p w14:paraId="146F5599" w14:textId="77777777" w:rsidR="008276DA" w:rsidRDefault="008276DA">
      <w:pPr>
        <w:rPr>
          <w:color w:val="000000"/>
          <w:sz w:val="24"/>
          <w:szCs w:val="24"/>
          <w:lang w:eastAsia="fr-FR"/>
        </w:rPr>
      </w:pPr>
      <w:r>
        <w:rPr>
          <w:color w:val="000000"/>
          <w:sz w:val="24"/>
          <w:szCs w:val="24"/>
          <w:lang w:eastAsia="fr-FR"/>
        </w:rPr>
        <w:br w:type="page"/>
      </w:r>
    </w:p>
    <w:p w14:paraId="19A45457" w14:textId="77777777" w:rsidR="00D80693" w:rsidRPr="008276DA" w:rsidRDefault="00D80693" w:rsidP="008276DA">
      <w:pPr>
        <w:widowControl/>
        <w:numPr>
          <w:ilvl w:val="0"/>
          <w:numId w:val="189"/>
        </w:numPr>
        <w:autoSpaceDE/>
        <w:autoSpaceDN/>
        <w:spacing w:before="120" w:after="240"/>
        <w:jc w:val="both"/>
        <w:rPr>
          <w:color w:val="000000"/>
          <w:sz w:val="28"/>
          <w:szCs w:val="28"/>
          <w:lang w:eastAsia="fr-FR"/>
        </w:rPr>
      </w:pPr>
      <w:r w:rsidRPr="008276DA">
        <w:rPr>
          <w:b/>
          <w:bCs/>
          <w:sz w:val="28"/>
          <w:szCs w:val="28"/>
          <w:lang w:bidi="en-US"/>
        </w:rPr>
        <w:t>Revue de la littérature</w:t>
      </w:r>
    </w:p>
    <w:p w14:paraId="50445756" w14:textId="77777777" w:rsidR="00D80693" w:rsidRDefault="00D80693" w:rsidP="008276DA">
      <w:pPr>
        <w:spacing w:before="120" w:after="240"/>
        <w:jc w:val="both"/>
        <w:rPr>
          <w:rFonts w:eastAsia="Calibri"/>
          <w:sz w:val="24"/>
          <w:szCs w:val="24"/>
        </w:rPr>
      </w:pPr>
      <w:bookmarkStart w:id="263" w:name="_Hlk49686669"/>
      <w:r w:rsidRPr="00B965F0">
        <w:rPr>
          <w:rFonts w:eastAsiaTheme="minorHAnsi"/>
          <w:sz w:val="24"/>
          <w:szCs w:val="24"/>
        </w:rPr>
        <w:t>Selon le rapport de UNESCO, ONUDC et OMS (201</w:t>
      </w:r>
      <w:r>
        <w:rPr>
          <w:rFonts w:eastAsiaTheme="minorHAnsi"/>
          <w:sz w:val="24"/>
          <w:szCs w:val="24"/>
        </w:rPr>
        <w:t>8</w:t>
      </w:r>
      <w:r w:rsidRPr="00B965F0">
        <w:rPr>
          <w:rFonts w:eastAsiaTheme="minorHAnsi"/>
          <w:sz w:val="24"/>
          <w:szCs w:val="24"/>
        </w:rPr>
        <w:t>),</w:t>
      </w:r>
      <w:bookmarkEnd w:id="263"/>
      <w:r w:rsidRPr="00B965F0">
        <w:rPr>
          <w:rFonts w:eastAsiaTheme="minorHAnsi"/>
          <w:sz w:val="24"/>
          <w:szCs w:val="24"/>
        </w:rPr>
        <w:t xml:space="preserve"> c’est généralement à l’adolescence que débute la consommation de substances psychoactives, les plus consommées étant l’alcool, le tabac et le cannabis. </w:t>
      </w:r>
      <w:r>
        <w:rPr>
          <w:rFonts w:eastAsiaTheme="minorHAnsi"/>
          <w:sz w:val="24"/>
          <w:szCs w:val="24"/>
        </w:rPr>
        <w:t>L</w:t>
      </w:r>
      <w:r w:rsidRPr="00B965F0">
        <w:rPr>
          <w:rFonts w:eastAsiaTheme="minorHAnsi"/>
          <w:sz w:val="24"/>
          <w:szCs w:val="24"/>
        </w:rPr>
        <w:t xml:space="preserve">es données </w:t>
      </w:r>
      <w:r>
        <w:rPr>
          <w:rFonts w:eastAsiaTheme="minorHAnsi"/>
          <w:sz w:val="24"/>
          <w:szCs w:val="24"/>
        </w:rPr>
        <w:t xml:space="preserve">obtenues </w:t>
      </w:r>
      <w:r w:rsidRPr="00B965F0">
        <w:rPr>
          <w:rFonts w:eastAsiaTheme="minorHAnsi"/>
          <w:sz w:val="24"/>
          <w:szCs w:val="24"/>
        </w:rPr>
        <w:t xml:space="preserve">des enquêtes réalisées en milieu scolaire, </w:t>
      </w:r>
      <w:r>
        <w:rPr>
          <w:rFonts w:eastAsiaTheme="minorHAnsi"/>
          <w:sz w:val="24"/>
          <w:szCs w:val="24"/>
        </w:rPr>
        <w:t xml:space="preserve">indiquent qu’au </w:t>
      </w:r>
      <w:r w:rsidRPr="00B965F0">
        <w:rPr>
          <w:rFonts w:eastAsiaTheme="minorHAnsi"/>
          <w:sz w:val="24"/>
          <w:szCs w:val="24"/>
        </w:rPr>
        <w:t>niveau mondial</w:t>
      </w:r>
      <w:r>
        <w:rPr>
          <w:rFonts w:eastAsiaTheme="minorHAnsi"/>
          <w:sz w:val="24"/>
          <w:szCs w:val="24"/>
        </w:rPr>
        <w:t>,</w:t>
      </w:r>
      <w:r w:rsidRPr="00B965F0">
        <w:rPr>
          <w:rFonts w:eastAsiaTheme="minorHAnsi"/>
          <w:sz w:val="24"/>
          <w:szCs w:val="24"/>
        </w:rPr>
        <w:t xml:space="preserve"> un jeune âgé de 13 à 15 ans sur quatre a consommé de l’alcool au cours des 12 derniers mois, et une fille sur dix et un garçon sur cinq ont consommé du tabac, les taux étant plus faibles en ce qui concerne le cannabis. L</w:t>
      </w:r>
      <w:bookmarkStart w:id="264" w:name="_Hlk49848065"/>
      <w:r w:rsidRPr="00B965F0">
        <w:rPr>
          <w:rFonts w:eastAsiaTheme="minorHAnsi"/>
          <w:sz w:val="24"/>
          <w:szCs w:val="24"/>
        </w:rPr>
        <w:t xml:space="preserve">’alcool </w:t>
      </w:r>
      <w:r>
        <w:rPr>
          <w:rFonts w:eastAsiaTheme="minorHAnsi"/>
          <w:sz w:val="24"/>
          <w:szCs w:val="24"/>
        </w:rPr>
        <w:t xml:space="preserve">se présente ainsi comme </w:t>
      </w:r>
      <w:r w:rsidRPr="00B965F0">
        <w:rPr>
          <w:rFonts w:eastAsiaTheme="minorHAnsi"/>
          <w:sz w:val="24"/>
          <w:szCs w:val="24"/>
        </w:rPr>
        <w:t>la substance psychoactive la plus couramment consommée par les élèves à l’échelle mondial</w:t>
      </w:r>
      <w:bookmarkEnd w:id="264"/>
      <w:r>
        <w:rPr>
          <w:rFonts w:eastAsiaTheme="minorHAnsi"/>
          <w:sz w:val="24"/>
          <w:szCs w:val="24"/>
        </w:rPr>
        <w:t>e ; e</w:t>
      </w:r>
      <w:r w:rsidRPr="00B965F0">
        <w:rPr>
          <w:rFonts w:eastAsiaTheme="minorHAnsi"/>
          <w:sz w:val="24"/>
          <w:szCs w:val="24"/>
        </w:rPr>
        <w:t xml:space="preserve">lle est présente dans diverses boissons comme la bière, le vin, les spiritueux, le cidre, les rafraîchissements à base d’alcool (« </w:t>
      </w:r>
      <w:proofErr w:type="spellStart"/>
      <w:r w:rsidRPr="00B965F0">
        <w:rPr>
          <w:rFonts w:eastAsiaTheme="minorHAnsi"/>
          <w:sz w:val="24"/>
          <w:szCs w:val="24"/>
        </w:rPr>
        <w:t>coolers</w:t>
      </w:r>
      <w:proofErr w:type="spellEnd"/>
      <w:r w:rsidRPr="00B965F0">
        <w:rPr>
          <w:rFonts w:eastAsiaTheme="minorHAnsi"/>
          <w:sz w:val="24"/>
          <w:szCs w:val="24"/>
        </w:rPr>
        <w:t xml:space="preserve"> » ou « alcopops »). </w:t>
      </w:r>
      <w:r>
        <w:rPr>
          <w:rFonts w:eastAsiaTheme="minorHAnsi"/>
          <w:sz w:val="24"/>
          <w:szCs w:val="24"/>
        </w:rPr>
        <w:t>De plus,</w:t>
      </w:r>
      <w:r w:rsidRPr="004D5479">
        <w:rPr>
          <w:color w:val="000000"/>
          <w:sz w:val="24"/>
          <w:szCs w:val="24"/>
        </w:rPr>
        <w:t xml:space="preserve"> </w:t>
      </w:r>
      <w:r w:rsidRPr="004D5479">
        <w:rPr>
          <w:rFonts w:eastAsiaTheme="minorHAnsi"/>
          <w:sz w:val="24"/>
          <w:szCs w:val="24"/>
        </w:rPr>
        <w:t>au niveau mondial, le tabac tue près de 6 millions de personnes chaque année</w:t>
      </w:r>
      <w:r>
        <w:rPr>
          <w:rFonts w:eastAsiaTheme="minorHAnsi"/>
          <w:sz w:val="24"/>
          <w:szCs w:val="24"/>
        </w:rPr>
        <w:t> ; p</w:t>
      </w:r>
      <w:r w:rsidRPr="004D5479">
        <w:rPr>
          <w:rFonts w:eastAsiaTheme="minorHAnsi"/>
          <w:sz w:val="24"/>
          <w:szCs w:val="24"/>
        </w:rPr>
        <w:t>ar rapport à l’alcool, sa consommation excessive entraîne 320 000 décès de jeunes gens de 15 à 29 ans chaque année, ce qui représente 9 % de la mortalité totale dans ce groupe d’âge</w:t>
      </w:r>
      <w:r>
        <w:rPr>
          <w:rFonts w:eastAsiaTheme="minorHAnsi"/>
          <w:sz w:val="24"/>
          <w:szCs w:val="24"/>
        </w:rPr>
        <w:t xml:space="preserve"> (</w:t>
      </w:r>
      <w:proofErr w:type="spellStart"/>
      <w:r w:rsidRPr="004D5479">
        <w:rPr>
          <w:rFonts w:eastAsiaTheme="minorHAnsi"/>
          <w:sz w:val="24"/>
          <w:szCs w:val="24"/>
        </w:rPr>
        <w:t>Kpozehouen</w:t>
      </w:r>
      <w:proofErr w:type="spellEnd"/>
      <w:r w:rsidRPr="004D5479">
        <w:rPr>
          <w:rFonts w:eastAsiaTheme="minorHAnsi"/>
          <w:sz w:val="24"/>
          <w:szCs w:val="24"/>
        </w:rPr>
        <w:t xml:space="preserve"> et al.</w:t>
      </w:r>
      <w:r>
        <w:rPr>
          <w:rFonts w:eastAsiaTheme="minorHAnsi"/>
          <w:sz w:val="24"/>
          <w:szCs w:val="24"/>
        </w:rPr>
        <w:t xml:space="preserve">, </w:t>
      </w:r>
      <w:r w:rsidRPr="004D5479">
        <w:rPr>
          <w:rFonts w:eastAsiaTheme="minorHAnsi"/>
          <w:sz w:val="24"/>
          <w:szCs w:val="24"/>
        </w:rPr>
        <w:t>2015</w:t>
      </w:r>
      <w:r>
        <w:rPr>
          <w:rFonts w:eastAsiaTheme="minorHAnsi"/>
          <w:sz w:val="24"/>
          <w:szCs w:val="24"/>
        </w:rPr>
        <w:t>, p. 872</w:t>
      </w:r>
      <w:r w:rsidRPr="004D5479">
        <w:rPr>
          <w:rFonts w:eastAsiaTheme="minorHAnsi"/>
          <w:sz w:val="24"/>
          <w:szCs w:val="24"/>
        </w:rPr>
        <w:t>).</w:t>
      </w:r>
    </w:p>
    <w:p w14:paraId="68D74DE4" w14:textId="77777777" w:rsidR="00D80693" w:rsidRDefault="00D80693" w:rsidP="008276DA">
      <w:pPr>
        <w:spacing w:before="120" w:after="240"/>
        <w:jc w:val="both"/>
        <w:rPr>
          <w:color w:val="000000"/>
          <w:sz w:val="24"/>
          <w:szCs w:val="24"/>
          <w:lang w:eastAsia="fr-FR"/>
        </w:rPr>
      </w:pPr>
      <w:r>
        <w:rPr>
          <w:rFonts w:eastAsiaTheme="minorHAnsi"/>
          <w:sz w:val="24"/>
          <w:szCs w:val="24"/>
        </w:rPr>
        <w:t>Parmi les</w:t>
      </w:r>
      <w:r w:rsidRPr="00B70D71">
        <w:rPr>
          <w:rFonts w:eastAsiaTheme="minorHAnsi"/>
          <w:sz w:val="24"/>
          <w:szCs w:val="24"/>
        </w:rPr>
        <w:t xml:space="preserve"> travaux faits en Afrique sub-saharienne, </w:t>
      </w:r>
      <w:r>
        <w:rPr>
          <w:rFonts w:eastAsiaTheme="minorHAnsi"/>
          <w:sz w:val="24"/>
          <w:szCs w:val="24"/>
        </w:rPr>
        <w:t>ceux</w:t>
      </w:r>
      <w:r w:rsidRPr="00B70D71">
        <w:rPr>
          <w:rFonts w:eastAsiaTheme="minorHAnsi"/>
          <w:sz w:val="24"/>
          <w:szCs w:val="24"/>
        </w:rPr>
        <w:t xml:space="preserve"> </w:t>
      </w:r>
      <w:r>
        <w:rPr>
          <w:rFonts w:eastAsiaTheme="minorHAnsi"/>
          <w:sz w:val="24"/>
          <w:szCs w:val="24"/>
        </w:rPr>
        <w:t xml:space="preserve">effectués par </w:t>
      </w:r>
      <w:r>
        <w:rPr>
          <w:sz w:val="24"/>
          <w:szCs w:val="24"/>
        </w:rPr>
        <w:fldChar w:fldCharType="begin" w:fldLock="1"/>
      </w:r>
      <w:r>
        <w:rPr>
          <w:rFonts w:eastAsiaTheme="minorHAnsi"/>
          <w:sz w:val="24"/>
          <w:szCs w:val="24"/>
        </w:rPr>
        <w:instrText>ADDIN CSL_CITATION {"citationItems":[{"id":"ITEM-1","itemData":{"author":[{"dropping-particle":"","family":"Kpozehouen","given":"Alphonse","non-dropping-particle":"","parse-names":false,"suffix":""},{"dropping-particle":"","family":"Ahanhanzo","given":"Yolaine Glèlè","non-dropping-particle":"","parse-names":false,"suffix":""},{"dropping-particle":"","family":"Paraïso","given":"Moussiliou Noël","non-dropping-particle":"","parse-names":false,"suffix":""},{"dropping-particle":"","family":"Saizonou","given":"Jacques Z","non-dropping-particle":"","parse-names":false,"suffix":""},{"dropping-particle":"","family":"Makoutodé","given":"Michel","non-dropping-particle":"","parse-names":false,"suffix":""},{"dropping-particle":"","family":"Ouedraogo","given":"Tinoaga","non-dropping-particle":"","parse-names":false,"suffix":""},{"dropping-particle":"","family":"Publique","given":"S F S P Santé","non-dropping-particle":"","parse-names":false,"suffix":""},{"dropping-particle":"","family":"Kpozehouen","given":"Alphonse","non-dropping-particle":"","parse-names":false,"suffix":""},{"dropping-particle":"","family":"Ahanhanzo","given":"Yolaine Glèlè","non-dropping-particle":"","parse-names":false,"suffix":""},{"dropping-particle":"","family":"Paraïso","given":"Moussiliou Noël","non-dropping-particle":"","parse-names":false,"suffix":""},{"dropping-particle":"","family":"Munezero","given":"Florence","non-dropping-particle":"","parse-names":false,"suffix":""},{"dropping-particle":"","family":"Saizonou","given":"Jacques Z","non-dropping-particle":"","parse-names":false,"suffix":""},{"dropping-particle":"","family":"Makoutodé","given":"Michel","non-dropping-particle":"","parse-names":false,"suffix":""},{"dropping-particle":"","family":"Ouedraogo","given":"Laurent Tinoaga","non-dropping-particle":"","parse-names":false,"suffix":""}],"id":"ITEM-1","issued":{"date-parts":[["2015"]]},"title":"Facteurs associés à l ’ usage de substances psychoactives chez les adolescents au Bénin Factors associated with psychoactive substance use among Beninese adolescents","type":"article-journal"},"uris":["http://www.mendeley.com/documents/?uuid=1a59cfcb-95b1-4103-b4b1-a79dec1a1a3b"]}],"mendeley":{"formattedCitation":"(Kpozehouen, Ahanhanzo, Paraïso, Saizonou, Makoutodé, Ouedraogo, et al., 2015)","manualFormatting":"Kpozehouen et al. (2015)","plainTextFormattedCitation":"(Kpozehouen, Ahanhanzo, Paraïso, Saizonou, Makoutodé, Ouedraogo, et al., 2015)","previouslyFormattedCitation":"(Kpozehouen, Ahanhanzo, Paraïso, Saizonou, Makoutodé, Ouedraogo, et al., 2015)"},"properties":{"noteIndex":0},"schema":"https://github.com/citation-style-language/schema/raw/master/csl-citation.json"}</w:instrText>
      </w:r>
      <w:r>
        <w:rPr>
          <w:sz w:val="24"/>
          <w:szCs w:val="24"/>
        </w:rPr>
        <w:fldChar w:fldCharType="separate"/>
      </w:r>
      <w:r w:rsidRPr="007735D9">
        <w:rPr>
          <w:rFonts w:eastAsiaTheme="minorHAnsi"/>
          <w:noProof/>
          <w:sz w:val="24"/>
          <w:szCs w:val="24"/>
        </w:rPr>
        <w:t xml:space="preserve">Kpozehouen et al. </w:t>
      </w:r>
      <w:r>
        <w:rPr>
          <w:rFonts w:eastAsiaTheme="minorHAnsi"/>
          <w:noProof/>
          <w:sz w:val="24"/>
          <w:szCs w:val="24"/>
        </w:rPr>
        <w:t>(</w:t>
      </w:r>
      <w:r w:rsidRPr="007735D9">
        <w:rPr>
          <w:rFonts w:eastAsiaTheme="minorHAnsi"/>
          <w:noProof/>
          <w:sz w:val="24"/>
          <w:szCs w:val="24"/>
        </w:rPr>
        <w:t>2015)</w:t>
      </w:r>
      <w:r>
        <w:rPr>
          <w:sz w:val="24"/>
          <w:szCs w:val="24"/>
        </w:rPr>
        <w:fldChar w:fldCharType="end"/>
      </w:r>
      <w:r>
        <w:rPr>
          <w:rFonts w:eastAsiaTheme="minorHAnsi"/>
          <w:sz w:val="24"/>
          <w:szCs w:val="24"/>
        </w:rPr>
        <w:t xml:space="preserve">, </w:t>
      </w:r>
      <w:r w:rsidRPr="00B70D71">
        <w:rPr>
          <w:color w:val="000000"/>
          <w:sz w:val="24"/>
          <w:szCs w:val="24"/>
          <w:lang w:eastAsia="fr-FR"/>
        </w:rPr>
        <w:t xml:space="preserve">sur une population de 451 adolescents au Bénin, </w:t>
      </w:r>
      <w:r>
        <w:rPr>
          <w:color w:val="000000"/>
          <w:sz w:val="24"/>
          <w:szCs w:val="24"/>
          <w:lang w:eastAsia="fr-FR"/>
        </w:rPr>
        <w:t>ont</w:t>
      </w:r>
      <w:r w:rsidRPr="00B70D71">
        <w:rPr>
          <w:color w:val="000000"/>
          <w:sz w:val="24"/>
          <w:szCs w:val="24"/>
          <w:lang w:eastAsia="fr-FR"/>
        </w:rPr>
        <w:t xml:space="preserve"> montré que 327 d’entre eux avaient consommé au moins une boisson alcoolisée dans les 12 mois précédant l’enquête, soit une prévalence de 74,66 %. </w:t>
      </w:r>
      <w:r w:rsidRPr="00C53208">
        <w:rPr>
          <w:color w:val="000000"/>
          <w:sz w:val="24"/>
          <w:szCs w:val="24"/>
        </w:rPr>
        <w:t xml:space="preserve">La boisson alcoolisée la plus consommée </w:t>
      </w:r>
      <w:r>
        <w:rPr>
          <w:color w:val="000000"/>
          <w:sz w:val="24"/>
          <w:szCs w:val="24"/>
        </w:rPr>
        <w:t>était</w:t>
      </w:r>
      <w:r w:rsidRPr="00C53208">
        <w:rPr>
          <w:color w:val="000000"/>
          <w:sz w:val="24"/>
          <w:szCs w:val="24"/>
        </w:rPr>
        <w:t xml:space="preserve"> la bière dans une proportion de 52,69 %</w:t>
      </w:r>
      <w:r>
        <w:rPr>
          <w:color w:val="000000"/>
          <w:sz w:val="24"/>
          <w:szCs w:val="24"/>
        </w:rPr>
        <w:t xml:space="preserve">. Dans le même sens, </w:t>
      </w:r>
      <w:bookmarkStart w:id="265" w:name="_Hlk49848358"/>
      <w:r>
        <w:rPr>
          <w:color w:val="000000"/>
          <w:sz w:val="24"/>
          <w:szCs w:val="24"/>
        </w:rPr>
        <w:t>l</w:t>
      </w:r>
      <w:r w:rsidRPr="0066618B">
        <w:rPr>
          <w:color w:val="000000"/>
          <w:sz w:val="24"/>
          <w:szCs w:val="24"/>
        </w:rPr>
        <w:t>es travaux de Kam-Siham (2018)</w:t>
      </w:r>
      <w:bookmarkEnd w:id="265"/>
      <w:r w:rsidRPr="0066618B">
        <w:rPr>
          <w:color w:val="000000"/>
          <w:sz w:val="24"/>
          <w:szCs w:val="24"/>
        </w:rPr>
        <w:t xml:space="preserve"> ont fait état </w:t>
      </w:r>
      <w:r>
        <w:rPr>
          <w:color w:val="000000"/>
          <w:sz w:val="24"/>
          <w:szCs w:val="24"/>
        </w:rPr>
        <w:t>du fait qu’</w:t>
      </w:r>
      <w:r w:rsidRPr="0066618B">
        <w:rPr>
          <w:color w:val="000000"/>
          <w:sz w:val="24"/>
          <w:szCs w:val="24"/>
        </w:rPr>
        <w:t xml:space="preserve">à 15 ans, plus de 90 % des jeunes ont déjà expérimenté une boisson alcoolisée et 59 % rapportent avoir déjà été ivres au cours de leur vie. </w:t>
      </w:r>
      <w:r w:rsidRPr="00C53208">
        <w:rPr>
          <w:color w:val="000000"/>
          <w:sz w:val="24"/>
          <w:szCs w:val="24"/>
        </w:rPr>
        <w:t>Ces chiffres sont d’autant plus inquiétants que la tendance est à la consommation de plusieurs substances en même temps</w:t>
      </w:r>
      <w:r>
        <w:rPr>
          <w:color w:val="000000"/>
          <w:sz w:val="24"/>
          <w:szCs w:val="24"/>
        </w:rPr>
        <w:t>. Il</w:t>
      </w:r>
      <w:r w:rsidRPr="00C53208">
        <w:rPr>
          <w:color w:val="000000"/>
          <w:sz w:val="24"/>
          <w:szCs w:val="24"/>
        </w:rPr>
        <w:t xml:space="preserve"> s’agit des </w:t>
      </w:r>
      <w:r w:rsidRPr="002F4E27">
        <w:rPr>
          <w:color w:val="000000"/>
          <w:sz w:val="24"/>
          <w:szCs w:val="24"/>
        </w:rPr>
        <w:t>Drogues licites ou dépresseurs</w:t>
      </w:r>
      <w:r w:rsidRPr="00C53208">
        <w:rPr>
          <w:color w:val="000000"/>
          <w:sz w:val="24"/>
          <w:szCs w:val="24"/>
        </w:rPr>
        <w:t xml:space="preserve"> : - Alcools (vins, bière, liqueurs) et Cigarettes… ; - Les solvants volatiles (colle, diluants, encre de marqueur) ; - Les sédatifs (somnifères) et des </w:t>
      </w:r>
      <w:r w:rsidRPr="002F4E27">
        <w:rPr>
          <w:color w:val="000000"/>
          <w:sz w:val="24"/>
          <w:szCs w:val="24"/>
        </w:rPr>
        <w:t>Drogues illicites ou stimulants</w:t>
      </w:r>
      <w:r w:rsidRPr="00C53208">
        <w:rPr>
          <w:color w:val="000000"/>
          <w:sz w:val="24"/>
          <w:szCs w:val="24"/>
        </w:rPr>
        <w:t xml:space="preserve"> : Chanvre Indien, Cocaïne, </w:t>
      </w:r>
      <w:proofErr w:type="spellStart"/>
      <w:r w:rsidRPr="00C53208">
        <w:rPr>
          <w:color w:val="000000"/>
          <w:sz w:val="24"/>
          <w:szCs w:val="24"/>
        </w:rPr>
        <w:t>Tramol</w:t>
      </w:r>
      <w:proofErr w:type="spellEnd"/>
      <w:r w:rsidRPr="00C53208">
        <w:rPr>
          <w:color w:val="000000"/>
          <w:sz w:val="24"/>
          <w:szCs w:val="24"/>
        </w:rPr>
        <w:t xml:space="preserve"> ou </w:t>
      </w:r>
      <w:proofErr w:type="spellStart"/>
      <w:r w:rsidRPr="00C53208">
        <w:rPr>
          <w:color w:val="000000"/>
          <w:sz w:val="24"/>
          <w:szCs w:val="24"/>
        </w:rPr>
        <w:t>Tramadol</w:t>
      </w:r>
      <w:proofErr w:type="spellEnd"/>
      <w:r w:rsidRPr="00C53208">
        <w:rPr>
          <w:color w:val="000000"/>
          <w:sz w:val="24"/>
          <w:szCs w:val="24"/>
        </w:rPr>
        <w:t xml:space="preserve">, Cannabis, Chicha, </w:t>
      </w:r>
      <w:proofErr w:type="spellStart"/>
      <w:r w:rsidRPr="00C53208">
        <w:rPr>
          <w:color w:val="000000"/>
          <w:sz w:val="24"/>
          <w:szCs w:val="24"/>
        </w:rPr>
        <w:t>Bérré</w:t>
      </w:r>
      <w:proofErr w:type="spellEnd"/>
      <w:r w:rsidRPr="00C53208">
        <w:rPr>
          <w:color w:val="000000"/>
          <w:sz w:val="24"/>
          <w:szCs w:val="24"/>
        </w:rPr>
        <w:t xml:space="preserve"> Rouge, Comprimé de Diazépam, Banga, D10 </w:t>
      </w:r>
      <w:proofErr w:type="spellStart"/>
      <w:r w:rsidRPr="00C53208">
        <w:rPr>
          <w:color w:val="000000"/>
          <w:sz w:val="24"/>
          <w:szCs w:val="24"/>
        </w:rPr>
        <w:t>etc</w:t>
      </w:r>
      <w:proofErr w:type="spellEnd"/>
      <w:r>
        <w:rPr>
          <w:color w:val="000000"/>
          <w:sz w:val="24"/>
          <w:szCs w:val="24"/>
        </w:rPr>
        <w:t xml:space="preserve"> (</w:t>
      </w:r>
      <w:r w:rsidRPr="0066618B">
        <w:rPr>
          <w:color w:val="000000"/>
          <w:sz w:val="24"/>
          <w:szCs w:val="24"/>
        </w:rPr>
        <w:t>Kam-Siham</w:t>
      </w:r>
      <w:r>
        <w:rPr>
          <w:color w:val="000000"/>
          <w:sz w:val="24"/>
          <w:szCs w:val="24"/>
        </w:rPr>
        <w:t>,</w:t>
      </w:r>
      <w:r w:rsidRPr="0066618B">
        <w:rPr>
          <w:color w:val="000000"/>
          <w:sz w:val="24"/>
          <w:szCs w:val="24"/>
        </w:rPr>
        <w:t xml:space="preserve"> 2018)</w:t>
      </w:r>
      <w:r w:rsidRPr="00C53208">
        <w:rPr>
          <w:color w:val="000000"/>
          <w:sz w:val="24"/>
          <w:szCs w:val="24"/>
        </w:rPr>
        <w:t>.</w:t>
      </w:r>
    </w:p>
    <w:p w14:paraId="26D400E4" w14:textId="77777777" w:rsidR="00D80693" w:rsidRPr="00B70D71" w:rsidRDefault="00D80693" w:rsidP="008276DA">
      <w:pPr>
        <w:spacing w:before="120" w:after="240"/>
        <w:jc w:val="both"/>
        <w:rPr>
          <w:color w:val="000000"/>
          <w:sz w:val="24"/>
          <w:szCs w:val="24"/>
          <w:lang w:eastAsia="fr-FR"/>
        </w:rPr>
      </w:pPr>
      <w:r>
        <w:rPr>
          <w:color w:val="000000"/>
          <w:sz w:val="24"/>
          <w:szCs w:val="24"/>
          <w:lang w:eastAsia="fr-FR"/>
        </w:rPr>
        <w:t xml:space="preserve">De plus, l’usage des SPA est généralement associé à l’adoption du comportement violent chez l’élève. Dans ce sens, </w:t>
      </w:r>
      <w:proofErr w:type="spellStart"/>
      <w:r>
        <w:rPr>
          <w:color w:val="000000"/>
          <w:sz w:val="24"/>
          <w:szCs w:val="24"/>
          <w:lang w:eastAsia="fr-FR"/>
        </w:rPr>
        <w:t>Fall</w:t>
      </w:r>
      <w:proofErr w:type="spellEnd"/>
      <w:r>
        <w:rPr>
          <w:color w:val="000000"/>
          <w:sz w:val="24"/>
          <w:szCs w:val="24"/>
          <w:lang w:eastAsia="fr-FR"/>
        </w:rPr>
        <w:t xml:space="preserve"> et al. (2014), avançaient que, l</w:t>
      </w:r>
      <w:r w:rsidRPr="00B70D71">
        <w:rPr>
          <w:color w:val="000000"/>
          <w:sz w:val="24"/>
          <w:szCs w:val="24"/>
          <w:lang w:eastAsia="fr-FR"/>
        </w:rPr>
        <w:t xml:space="preserve">es consommations de cannabis ou de </w:t>
      </w:r>
      <w:proofErr w:type="spellStart"/>
      <w:r w:rsidRPr="00B70D71">
        <w:rPr>
          <w:color w:val="000000"/>
          <w:sz w:val="24"/>
          <w:szCs w:val="24"/>
          <w:lang w:eastAsia="fr-FR"/>
        </w:rPr>
        <w:t>tramadol</w:t>
      </w:r>
      <w:proofErr w:type="spellEnd"/>
      <w:r w:rsidRPr="00B70D71">
        <w:rPr>
          <w:color w:val="000000"/>
          <w:sz w:val="24"/>
          <w:szCs w:val="24"/>
          <w:lang w:eastAsia="fr-FR"/>
        </w:rPr>
        <w:t xml:space="preserve"> sont également connues comme très prévalentes dans la population adolescente et souvent en lien avec la violence en milieu scolaire</w:t>
      </w:r>
      <w:r>
        <w:rPr>
          <w:color w:val="000000"/>
          <w:sz w:val="24"/>
          <w:szCs w:val="24"/>
          <w:lang w:eastAsia="fr-FR"/>
        </w:rPr>
        <w:t>.</w:t>
      </w:r>
      <w:r w:rsidRPr="00B70D71">
        <w:rPr>
          <w:color w:val="000000"/>
          <w:sz w:val="24"/>
          <w:szCs w:val="24"/>
          <w:lang w:eastAsia="fr-FR"/>
        </w:rPr>
        <w:t xml:space="preserve"> </w:t>
      </w:r>
      <w:r>
        <w:rPr>
          <w:color w:val="000000"/>
          <w:sz w:val="24"/>
          <w:szCs w:val="24"/>
          <w:lang w:eastAsia="fr-FR"/>
        </w:rPr>
        <w:t>Dans le même sens,</w:t>
      </w:r>
      <w:r w:rsidRPr="00F0751F">
        <w:rPr>
          <w:rFonts w:asciiTheme="minorHAnsi" w:eastAsiaTheme="minorHAnsi" w:hAnsiTheme="minorHAnsi" w:cstheme="minorBidi"/>
        </w:rPr>
        <w:t xml:space="preserve"> </w:t>
      </w:r>
      <w:r w:rsidRPr="00F0751F">
        <w:rPr>
          <w:color w:val="000000"/>
          <w:sz w:val="24"/>
          <w:szCs w:val="24"/>
          <w:lang w:eastAsia="fr-FR"/>
        </w:rPr>
        <w:t xml:space="preserve">Kuete et </w:t>
      </w:r>
      <w:proofErr w:type="spellStart"/>
      <w:r w:rsidRPr="00F0751F">
        <w:rPr>
          <w:color w:val="000000"/>
          <w:sz w:val="24"/>
          <w:szCs w:val="24"/>
          <w:lang w:eastAsia="fr-FR"/>
        </w:rPr>
        <w:t>Njengoué</w:t>
      </w:r>
      <w:proofErr w:type="spellEnd"/>
      <w:r w:rsidRPr="00F0751F">
        <w:rPr>
          <w:color w:val="000000"/>
          <w:sz w:val="24"/>
          <w:szCs w:val="24"/>
          <w:lang w:eastAsia="fr-FR"/>
        </w:rPr>
        <w:t xml:space="preserve"> Ngamaleu (2024)</w:t>
      </w:r>
      <w:r>
        <w:rPr>
          <w:color w:val="000000"/>
          <w:sz w:val="24"/>
          <w:szCs w:val="24"/>
          <w:lang w:eastAsia="fr-FR"/>
        </w:rPr>
        <w:t xml:space="preserve">, remarquaient que la </w:t>
      </w:r>
      <w:r>
        <w:rPr>
          <w:rFonts w:eastAsia="Calibri" w:cstheme="minorBidi"/>
          <w:sz w:val="24"/>
          <w:szCs w:val="24"/>
        </w:rPr>
        <w:t xml:space="preserve">consommation des stupéfiants serait une des caractéristiques principales liées à la production du comportement violent en milieu scolaire : </w:t>
      </w:r>
      <w:r w:rsidRPr="00B206F1">
        <w:rPr>
          <w:rFonts w:eastAsia="Calibri" w:cstheme="minorBidi"/>
          <w:i/>
          <w:iCs/>
          <w:sz w:val="24"/>
          <w:szCs w:val="24"/>
        </w:rPr>
        <w:t>« Il y a d'abord la consommation des stupéfiants »</w:t>
      </w:r>
      <w:r w:rsidRPr="00B206F1">
        <w:rPr>
          <w:rFonts w:eastAsia="Calibri" w:cstheme="minorBidi"/>
          <w:sz w:val="24"/>
          <w:szCs w:val="24"/>
        </w:rPr>
        <w:t xml:space="preserve"> </w:t>
      </w:r>
      <w:r>
        <w:rPr>
          <w:rFonts w:eastAsia="Calibri" w:cstheme="minorBidi"/>
          <w:sz w:val="24"/>
          <w:szCs w:val="24"/>
        </w:rPr>
        <w:t>(p. 11).</w:t>
      </w:r>
      <w:r>
        <w:rPr>
          <w:color w:val="000000"/>
          <w:sz w:val="24"/>
          <w:szCs w:val="24"/>
          <w:lang w:eastAsia="fr-FR"/>
        </w:rPr>
        <w:t xml:space="preserve"> </w:t>
      </w:r>
      <w:r w:rsidRPr="00F51812">
        <w:rPr>
          <w:rFonts w:eastAsiaTheme="minorHAnsi" w:cstheme="minorBidi"/>
          <w:bCs/>
          <w:iCs/>
          <w:color w:val="000000"/>
          <w:sz w:val="24"/>
          <w:szCs w:val="24"/>
          <w:lang w:bidi="en-US"/>
        </w:rPr>
        <w:t>Dans la même optique, d’autres auteurs avan</w:t>
      </w:r>
      <w:r>
        <w:rPr>
          <w:rFonts w:eastAsiaTheme="minorHAnsi" w:cstheme="minorBidi"/>
          <w:bCs/>
          <w:iCs/>
          <w:color w:val="000000"/>
          <w:sz w:val="24"/>
          <w:szCs w:val="24"/>
          <w:lang w:bidi="en-US"/>
        </w:rPr>
        <w:t>c</w:t>
      </w:r>
      <w:r w:rsidRPr="00F51812">
        <w:rPr>
          <w:rFonts w:eastAsiaTheme="minorHAnsi" w:cstheme="minorBidi"/>
          <w:bCs/>
          <w:iCs/>
          <w:color w:val="000000"/>
          <w:sz w:val="24"/>
          <w:szCs w:val="24"/>
          <w:lang w:bidi="en-US"/>
        </w:rPr>
        <w:t>ent que, l’accès aux stupéfiants engendre ou augmente la survenance des comportements violents chez les jeunes</w:t>
      </w:r>
      <w:r>
        <w:rPr>
          <w:rFonts w:eastAsiaTheme="minorHAnsi" w:cstheme="minorBidi"/>
          <w:bCs/>
          <w:iCs/>
          <w:color w:val="000000"/>
          <w:sz w:val="24"/>
          <w:szCs w:val="24"/>
          <w:lang w:bidi="en-US"/>
        </w:rPr>
        <w:t xml:space="preserve"> </w:t>
      </w:r>
      <w:r w:rsidRPr="00F0751F">
        <w:rPr>
          <w:rFonts w:eastAsiaTheme="minorHAnsi" w:cstheme="minorBidi"/>
          <w:bCs/>
          <w:iCs/>
          <w:color w:val="000000"/>
          <w:sz w:val="24"/>
          <w:szCs w:val="24"/>
          <w:lang w:bidi="en-US"/>
        </w:rPr>
        <w:t>(</w:t>
      </w:r>
      <w:proofErr w:type="spellStart"/>
      <w:r w:rsidRPr="00F0751F">
        <w:rPr>
          <w:rFonts w:eastAsiaTheme="minorHAnsi" w:cstheme="minorBidi"/>
          <w:bCs/>
          <w:iCs/>
          <w:color w:val="000000"/>
          <w:sz w:val="24"/>
          <w:szCs w:val="24"/>
          <w:lang w:bidi="en-US"/>
        </w:rPr>
        <w:t>Chaffi</w:t>
      </w:r>
      <w:proofErr w:type="spellEnd"/>
      <w:r w:rsidRPr="00F0751F">
        <w:rPr>
          <w:rFonts w:eastAsiaTheme="minorHAnsi" w:cstheme="minorBidi"/>
          <w:bCs/>
          <w:iCs/>
          <w:color w:val="000000"/>
          <w:sz w:val="24"/>
          <w:szCs w:val="24"/>
          <w:lang w:bidi="en-US"/>
        </w:rPr>
        <w:t xml:space="preserve"> &amp; </w:t>
      </w:r>
      <w:proofErr w:type="spellStart"/>
      <w:r w:rsidRPr="00F0751F">
        <w:rPr>
          <w:rFonts w:eastAsiaTheme="minorHAnsi" w:cstheme="minorBidi"/>
          <w:bCs/>
          <w:iCs/>
          <w:color w:val="000000"/>
          <w:sz w:val="24"/>
          <w:szCs w:val="24"/>
          <w:lang w:bidi="en-US"/>
        </w:rPr>
        <w:t>Ndoumba</w:t>
      </w:r>
      <w:proofErr w:type="spellEnd"/>
      <w:r w:rsidRPr="00F0751F">
        <w:rPr>
          <w:rFonts w:eastAsiaTheme="minorHAnsi" w:cstheme="minorBidi"/>
          <w:bCs/>
          <w:iCs/>
          <w:color w:val="000000"/>
          <w:sz w:val="24"/>
          <w:szCs w:val="24"/>
          <w:lang w:bidi="en-US"/>
        </w:rPr>
        <w:t xml:space="preserve">, </w:t>
      </w:r>
      <w:proofErr w:type="gramStart"/>
      <w:r w:rsidRPr="00F0751F">
        <w:rPr>
          <w:rFonts w:eastAsiaTheme="minorHAnsi" w:cstheme="minorBidi"/>
          <w:bCs/>
          <w:iCs/>
          <w:color w:val="000000"/>
          <w:sz w:val="24"/>
          <w:szCs w:val="24"/>
          <w:lang w:bidi="en-US"/>
        </w:rPr>
        <w:t>2017;</w:t>
      </w:r>
      <w:proofErr w:type="gramEnd"/>
      <w:r w:rsidRPr="00F0751F">
        <w:rPr>
          <w:rFonts w:eastAsiaTheme="minorHAnsi" w:cstheme="minorBidi"/>
          <w:bCs/>
          <w:iCs/>
          <w:color w:val="000000"/>
          <w:sz w:val="24"/>
          <w:szCs w:val="24"/>
          <w:lang w:bidi="en-US"/>
        </w:rPr>
        <w:t xml:space="preserve"> </w:t>
      </w:r>
      <w:r>
        <w:rPr>
          <w:rFonts w:eastAsiaTheme="minorHAnsi" w:cstheme="minorBidi"/>
          <w:bCs/>
          <w:iCs/>
          <w:color w:val="000000"/>
          <w:sz w:val="24"/>
          <w:szCs w:val="24"/>
          <w:lang w:bidi="en-US"/>
        </w:rPr>
        <w:t xml:space="preserve">Kuete, </w:t>
      </w:r>
      <w:proofErr w:type="gramStart"/>
      <w:r>
        <w:rPr>
          <w:rFonts w:eastAsiaTheme="minorHAnsi" w:cstheme="minorBidi"/>
          <w:bCs/>
          <w:iCs/>
          <w:color w:val="000000"/>
          <w:sz w:val="24"/>
          <w:szCs w:val="24"/>
          <w:lang w:bidi="en-US"/>
        </w:rPr>
        <w:t>2020;</w:t>
      </w:r>
      <w:proofErr w:type="gramEnd"/>
      <w:r>
        <w:rPr>
          <w:rFonts w:eastAsiaTheme="minorHAnsi" w:cstheme="minorBidi"/>
          <w:bCs/>
          <w:iCs/>
          <w:color w:val="000000"/>
          <w:sz w:val="24"/>
          <w:szCs w:val="24"/>
          <w:lang w:bidi="en-US"/>
        </w:rPr>
        <w:t xml:space="preserve"> </w:t>
      </w:r>
      <w:r w:rsidRPr="00F0751F">
        <w:rPr>
          <w:rFonts w:eastAsiaTheme="minorHAnsi" w:cstheme="minorBidi"/>
          <w:bCs/>
          <w:iCs/>
          <w:color w:val="000000"/>
          <w:sz w:val="24"/>
          <w:szCs w:val="24"/>
          <w:lang w:bidi="en-US"/>
        </w:rPr>
        <w:t xml:space="preserve">SCP &amp; </w:t>
      </w:r>
      <w:proofErr w:type="spellStart"/>
      <w:r w:rsidRPr="00F0751F">
        <w:rPr>
          <w:rFonts w:eastAsiaTheme="minorHAnsi" w:cstheme="minorBidi"/>
          <w:bCs/>
          <w:iCs/>
          <w:color w:val="000000"/>
          <w:sz w:val="24"/>
          <w:szCs w:val="24"/>
          <w:lang w:bidi="en-US"/>
        </w:rPr>
        <w:t>BfdW</w:t>
      </w:r>
      <w:proofErr w:type="spellEnd"/>
      <w:r w:rsidRPr="00F0751F">
        <w:rPr>
          <w:rFonts w:eastAsiaTheme="minorHAnsi" w:cstheme="minorBidi"/>
          <w:bCs/>
          <w:iCs/>
          <w:color w:val="000000"/>
          <w:sz w:val="24"/>
          <w:szCs w:val="24"/>
          <w:lang w:bidi="en-US"/>
        </w:rPr>
        <w:t>, 2024)</w:t>
      </w:r>
      <w:r w:rsidRPr="00F51812">
        <w:rPr>
          <w:rFonts w:eastAsiaTheme="minorHAnsi" w:cstheme="minorBidi"/>
          <w:bCs/>
          <w:iCs/>
          <w:color w:val="000000"/>
          <w:sz w:val="24"/>
          <w:szCs w:val="24"/>
          <w:lang w:bidi="en-US"/>
        </w:rPr>
        <w:t>.</w:t>
      </w:r>
    </w:p>
    <w:p w14:paraId="2E32F53C" w14:textId="77777777" w:rsidR="00D80693" w:rsidRDefault="00D80693" w:rsidP="008276DA">
      <w:pPr>
        <w:spacing w:before="120" w:after="240"/>
        <w:jc w:val="both"/>
        <w:rPr>
          <w:color w:val="000000"/>
          <w:sz w:val="24"/>
          <w:szCs w:val="24"/>
          <w:lang w:eastAsia="fr-FR"/>
        </w:rPr>
      </w:pPr>
      <w:r w:rsidRPr="00B70D71">
        <w:rPr>
          <w:color w:val="000000"/>
          <w:sz w:val="24"/>
          <w:szCs w:val="24"/>
          <w:lang w:eastAsia="fr-FR"/>
        </w:rPr>
        <w:t xml:space="preserve">Au Cameroun, </w:t>
      </w:r>
      <w:proofErr w:type="spellStart"/>
      <w:r w:rsidRPr="00B70D71">
        <w:rPr>
          <w:color w:val="000000"/>
          <w:sz w:val="24"/>
          <w:szCs w:val="24"/>
          <w:lang w:eastAsia="fr-FR"/>
        </w:rPr>
        <w:t>Mbongo’o</w:t>
      </w:r>
      <w:proofErr w:type="spellEnd"/>
      <w:r w:rsidRPr="00B70D71">
        <w:rPr>
          <w:color w:val="000000"/>
          <w:sz w:val="24"/>
          <w:szCs w:val="24"/>
          <w:lang w:eastAsia="fr-FR"/>
        </w:rPr>
        <w:t xml:space="preserve"> et al.</w:t>
      </w:r>
      <w:r>
        <w:rPr>
          <w:color w:val="000000"/>
          <w:sz w:val="24"/>
          <w:szCs w:val="24"/>
          <w:lang w:eastAsia="fr-FR"/>
        </w:rPr>
        <w:t>,</w:t>
      </w:r>
      <w:r w:rsidRPr="00B70D71">
        <w:rPr>
          <w:color w:val="000000"/>
          <w:sz w:val="24"/>
          <w:szCs w:val="24"/>
          <w:lang w:eastAsia="fr-FR"/>
        </w:rPr>
        <w:t xml:space="preserve"> trouvent dans leur échantillon d’adolescents (13-18 ans) admis au service de psychiatrie de l’hôpital Jamot de Yaoundé, 53,8% de consommateur</w:t>
      </w:r>
      <w:r>
        <w:rPr>
          <w:color w:val="000000"/>
          <w:sz w:val="24"/>
          <w:szCs w:val="24"/>
          <w:lang w:eastAsia="fr-FR"/>
        </w:rPr>
        <w:t xml:space="preserve">s </w:t>
      </w:r>
      <w:r w:rsidRPr="00B70D71">
        <w:rPr>
          <w:color w:val="000000"/>
          <w:sz w:val="24"/>
          <w:szCs w:val="24"/>
          <w:lang w:eastAsia="fr-FR"/>
        </w:rPr>
        <w:t xml:space="preserve">de </w:t>
      </w:r>
      <w:proofErr w:type="spellStart"/>
      <w:r w:rsidRPr="00B70D71">
        <w:rPr>
          <w:color w:val="000000"/>
          <w:sz w:val="24"/>
          <w:szCs w:val="24"/>
          <w:lang w:eastAsia="fr-FR"/>
        </w:rPr>
        <w:t>tramadol</w:t>
      </w:r>
      <w:proofErr w:type="spellEnd"/>
      <w:r w:rsidRPr="00B70D71">
        <w:rPr>
          <w:color w:val="000000"/>
          <w:sz w:val="24"/>
          <w:szCs w:val="24"/>
          <w:lang w:eastAsia="fr-FR"/>
        </w:rPr>
        <w:t xml:space="preserve"> et 65,3% de consommateurs d’alcool</w:t>
      </w:r>
      <w:r>
        <w:rPr>
          <w:color w:val="000000"/>
          <w:sz w:val="24"/>
          <w:szCs w:val="24"/>
          <w:lang w:eastAsia="fr-FR"/>
        </w:rPr>
        <w:t xml:space="preserve"> (</w:t>
      </w:r>
      <w:proofErr w:type="spellStart"/>
      <w:r>
        <w:rPr>
          <w:color w:val="000000"/>
          <w:sz w:val="24"/>
          <w:szCs w:val="24"/>
          <w:lang w:eastAsia="fr-FR"/>
        </w:rPr>
        <w:t>Mbongo’o</w:t>
      </w:r>
      <w:proofErr w:type="spellEnd"/>
      <w:r>
        <w:rPr>
          <w:color w:val="000000"/>
          <w:sz w:val="24"/>
          <w:szCs w:val="24"/>
          <w:lang w:eastAsia="fr-FR"/>
        </w:rPr>
        <w:t xml:space="preserve"> et al., 2021a)</w:t>
      </w:r>
      <w:r w:rsidRPr="00B70D71">
        <w:rPr>
          <w:color w:val="000000"/>
          <w:sz w:val="24"/>
          <w:szCs w:val="24"/>
          <w:lang w:eastAsia="fr-FR"/>
        </w:rPr>
        <w:t xml:space="preserve">. Le travail de </w:t>
      </w:r>
      <w:proofErr w:type="spellStart"/>
      <w:r w:rsidRPr="00B70D71">
        <w:rPr>
          <w:color w:val="000000"/>
          <w:sz w:val="24"/>
          <w:szCs w:val="24"/>
          <w:lang w:eastAsia="fr-FR"/>
        </w:rPr>
        <w:t>Metuge</w:t>
      </w:r>
      <w:proofErr w:type="spellEnd"/>
      <w:r w:rsidRPr="00B70D71">
        <w:rPr>
          <w:color w:val="000000"/>
          <w:sz w:val="24"/>
          <w:szCs w:val="24"/>
          <w:lang w:eastAsia="fr-FR"/>
        </w:rPr>
        <w:t xml:space="preserve"> et al., sur la consommation de substances psychoactives chez les étudiants de l’Université de Buea au Cameroun montrant 66,9% de consommateurs d’alcool et 26,2% de consommateurs de tabac sur les 562 étudiants retenus, démontre à suffisance l’intérêt à porter au sujet de la consommation de substances chez les jeunes, particulièrement ceux du secondaire</w:t>
      </w:r>
      <w:r>
        <w:rPr>
          <w:color w:val="000000"/>
          <w:sz w:val="24"/>
          <w:szCs w:val="24"/>
          <w:lang w:eastAsia="fr-FR"/>
        </w:rPr>
        <w:t xml:space="preserve"> </w:t>
      </w:r>
      <w:r w:rsidRPr="00F0751F">
        <w:rPr>
          <w:color w:val="000000"/>
          <w:sz w:val="24"/>
          <w:szCs w:val="24"/>
          <w:lang w:eastAsia="fr-FR"/>
        </w:rPr>
        <w:t>(</w:t>
      </w:r>
      <w:proofErr w:type="spellStart"/>
      <w:r w:rsidRPr="00F0751F">
        <w:rPr>
          <w:color w:val="000000"/>
          <w:sz w:val="24"/>
          <w:szCs w:val="24"/>
          <w:lang w:eastAsia="fr-FR"/>
        </w:rPr>
        <w:t>Metuge</w:t>
      </w:r>
      <w:proofErr w:type="spellEnd"/>
      <w:r w:rsidRPr="00F0751F">
        <w:rPr>
          <w:color w:val="000000"/>
          <w:sz w:val="24"/>
          <w:szCs w:val="24"/>
          <w:lang w:eastAsia="fr-FR"/>
        </w:rPr>
        <w:t xml:space="preserve"> et al., 2022)</w:t>
      </w:r>
      <w:r w:rsidRPr="00B70D71">
        <w:rPr>
          <w:color w:val="000000"/>
          <w:sz w:val="24"/>
          <w:szCs w:val="24"/>
          <w:lang w:eastAsia="fr-FR"/>
        </w:rPr>
        <w:t xml:space="preserve">. </w:t>
      </w:r>
    </w:p>
    <w:p w14:paraId="73F6C06E" w14:textId="77777777" w:rsidR="00D80693" w:rsidRPr="005809B4" w:rsidRDefault="00D80693" w:rsidP="008276DA">
      <w:pPr>
        <w:spacing w:before="120" w:after="240"/>
        <w:jc w:val="both"/>
        <w:rPr>
          <w:color w:val="000000"/>
          <w:sz w:val="24"/>
          <w:szCs w:val="24"/>
          <w:lang w:eastAsia="fr-FR"/>
        </w:rPr>
      </w:pPr>
      <w:r>
        <w:rPr>
          <w:color w:val="000000"/>
          <w:sz w:val="24"/>
          <w:szCs w:val="24"/>
          <w:lang w:eastAsia="fr-FR"/>
        </w:rPr>
        <w:t>L’</w:t>
      </w:r>
      <w:r w:rsidRPr="005809B4">
        <w:rPr>
          <w:color w:val="000000"/>
          <w:sz w:val="24"/>
          <w:szCs w:val="24"/>
          <w:lang w:eastAsia="fr-FR"/>
        </w:rPr>
        <w:t xml:space="preserve">enquête exploratoire </w:t>
      </w:r>
      <w:r>
        <w:rPr>
          <w:color w:val="000000"/>
          <w:sz w:val="24"/>
          <w:szCs w:val="24"/>
          <w:lang w:eastAsia="fr-FR"/>
        </w:rPr>
        <w:t>que nous avons</w:t>
      </w:r>
      <w:r w:rsidRPr="005809B4">
        <w:rPr>
          <w:color w:val="000000"/>
          <w:sz w:val="24"/>
          <w:szCs w:val="24"/>
          <w:lang w:eastAsia="fr-FR"/>
        </w:rPr>
        <w:t xml:space="preserve"> menée auprès de certains élèves</w:t>
      </w:r>
      <w:r>
        <w:rPr>
          <w:color w:val="000000"/>
          <w:sz w:val="24"/>
          <w:szCs w:val="24"/>
          <w:lang w:eastAsia="fr-FR"/>
        </w:rPr>
        <w:t>,</w:t>
      </w:r>
      <w:r w:rsidRPr="005809B4">
        <w:rPr>
          <w:color w:val="000000"/>
          <w:sz w:val="24"/>
          <w:szCs w:val="24"/>
          <w:lang w:eastAsia="fr-FR"/>
        </w:rPr>
        <w:t xml:space="preserve"> personnel</w:t>
      </w:r>
      <w:r>
        <w:rPr>
          <w:color w:val="000000"/>
          <w:sz w:val="24"/>
          <w:szCs w:val="24"/>
          <w:lang w:eastAsia="fr-FR"/>
        </w:rPr>
        <w:t>s</w:t>
      </w:r>
      <w:r w:rsidRPr="005809B4">
        <w:rPr>
          <w:color w:val="000000"/>
          <w:sz w:val="24"/>
          <w:szCs w:val="24"/>
          <w:lang w:eastAsia="fr-FR"/>
        </w:rPr>
        <w:t xml:space="preserve"> de santé </w:t>
      </w:r>
      <w:r>
        <w:rPr>
          <w:color w:val="000000"/>
          <w:sz w:val="24"/>
          <w:szCs w:val="24"/>
          <w:lang w:eastAsia="fr-FR"/>
        </w:rPr>
        <w:t xml:space="preserve">et </w:t>
      </w:r>
      <w:r w:rsidRPr="005809B4">
        <w:rPr>
          <w:color w:val="000000"/>
          <w:sz w:val="24"/>
          <w:szCs w:val="24"/>
          <w:lang w:eastAsia="fr-FR"/>
        </w:rPr>
        <w:t xml:space="preserve">parents d’élèves </w:t>
      </w:r>
      <w:r>
        <w:rPr>
          <w:color w:val="000000"/>
          <w:sz w:val="24"/>
          <w:szCs w:val="24"/>
          <w:lang w:eastAsia="fr-FR"/>
        </w:rPr>
        <w:t xml:space="preserve">de </w:t>
      </w:r>
      <w:r w:rsidRPr="005809B4">
        <w:rPr>
          <w:color w:val="000000"/>
          <w:sz w:val="24"/>
          <w:szCs w:val="24"/>
          <w:lang w:eastAsia="fr-FR"/>
        </w:rPr>
        <w:t>l’arrondissement de Garoua 1</w:t>
      </w:r>
      <w:r w:rsidRPr="005809B4">
        <w:rPr>
          <w:color w:val="000000"/>
          <w:sz w:val="24"/>
          <w:szCs w:val="24"/>
          <w:vertAlign w:val="superscript"/>
          <w:lang w:eastAsia="fr-FR"/>
        </w:rPr>
        <w:t>er </w:t>
      </w:r>
      <w:r>
        <w:rPr>
          <w:color w:val="000000"/>
          <w:sz w:val="24"/>
          <w:szCs w:val="24"/>
          <w:lang w:eastAsia="fr-FR"/>
        </w:rPr>
        <w:t xml:space="preserve">permettent d’approfondir les informations sur l’usage de drogues par les élèves. </w:t>
      </w:r>
      <w:r w:rsidRPr="005809B4">
        <w:rPr>
          <w:color w:val="000000"/>
          <w:sz w:val="24"/>
          <w:szCs w:val="24"/>
          <w:lang w:eastAsia="fr-FR"/>
        </w:rPr>
        <w:t xml:space="preserve"> Voici quelques extraits des propos de ces enquêtés : </w:t>
      </w:r>
    </w:p>
    <w:p w14:paraId="5C4140A8" w14:textId="77777777" w:rsidR="00D80693" w:rsidRDefault="00D80693" w:rsidP="008276DA">
      <w:pPr>
        <w:spacing w:before="120" w:after="240"/>
        <w:jc w:val="both"/>
        <w:rPr>
          <w:color w:val="000000"/>
          <w:sz w:val="24"/>
          <w:szCs w:val="24"/>
          <w:lang w:eastAsia="fr-FR"/>
        </w:rPr>
      </w:pPr>
      <w:r w:rsidRPr="005809B4">
        <w:rPr>
          <w:color w:val="000000"/>
          <w:sz w:val="24"/>
          <w:szCs w:val="24"/>
          <w:lang w:eastAsia="fr-FR"/>
        </w:rPr>
        <w:t>« </w:t>
      </w:r>
      <w:r w:rsidRPr="005809B4">
        <w:rPr>
          <w:i/>
          <w:color w:val="000000"/>
          <w:sz w:val="24"/>
          <w:szCs w:val="24"/>
          <w:lang w:eastAsia="fr-FR"/>
        </w:rPr>
        <w:t>Certains élèves consomment les drogues dans notre salle de classe ; le surveillant ne les a jamais attrapés</w:t>
      </w:r>
      <w:r>
        <w:rPr>
          <w:i/>
          <w:color w:val="000000"/>
          <w:sz w:val="24"/>
          <w:szCs w:val="24"/>
          <w:lang w:eastAsia="fr-FR"/>
        </w:rPr>
        <w:t>,</w:t>
      </w:r>
      <w:r w:rsidRPr="005809B4">
        <w:rPr>
          <w:i/>
          <w:color w:val="000000"/>
          <w:sz w:val="24"/>
          <w:szCs w:val="24"/>
          <w:lang w:eastAsia="fr-FR"/>
        </w:rPr>
        <w:t xml:space="preserve"> parce qu’ils n’hésitent pas d’envoyer ça au plafond dès que le surveillant passe dans le secteur. Ils consomment en général du whisky dans les sachets, ou du vin qu’ils gardent soigneusement au plafond dans notre salle de classe</w:t>
      </w:r>
      <w:r>
        <w:rPr>
          <w:i/>
          <w:color w:val="000000"/>
          <w:sz w:val="24"/>
          <w:szCs w:val="24"/>
          <w:lang w:eastAsia="fr-FR"/>
        </w:rPr>
        <w:t> » (</w:t>
      </w:r>
      <w:r w:rsidRPr="005267AC">
        <w:rPr>
          <w:iCs/>
          <w:color w:val="000000"/>
          <w:sz w:val="24"/>
          <w:szCs w:val="24"/>
          <w:lang w:eastAsia="fr-FR"/>
        </w:rPr>
        <w:t>élève</w:t>
      </w:r>
      <w:r>
        <w:rPr>
          <w:i/>
          <w:color w:val="000000"/>
          <w:sz w:val="24"/>
          <w:szCs w:val="24"/>
          <w:lang w:eastAsia="fr-FR"/>
        </w:rPr>
        <w:t xml:space="preserve"> </w:t>
      </w:r>
      <w:r w:rsidRPr="005809B4">
        <w:rPr>
          <w:color w:val="000000"/>
          <w:sz w:val="24"/>
          <w:szCs w:val="24"/>
          <w:lang w:eastAsia="fr-FR"/>
        </w:rPr>
        <w:t>J, en classe de seconde au lycée de Garoua-</w:t>
      </w:r>
      <w:proofErr w:type="spellStart"/>
      <w:r w:rsidRPr="005809B4">
        <w:rPr>
          <w:color w:val="000000"/>
          <w:sz w:val="24"/>
          <w:szCs w:val="24"/>
          <w:lang w:eastAsia="fr-FR"/>
        </w:rPr>
        <w:t>Djamboutou</w:t>
      </w:r>
      <w:proofErr w:type="spellEnd"/>
      <w:r>
        <w:rPr>
          <w:color w:val="000000"/>
          <w:sz w:val="24"/>
          <w:szCs w:val="24"/>
          <w:lang w:eastAsia="fr-FR"/>
        </w:rPr>
        <w:t xml:space="preserve">). Une autre affirmation : </w:t>
      </w:r>
      <w:r w:rsidRPr="005809B4">
        <w:rPr>
          <w:i/>
          <w:color w:val="000000"/>
          <w:sz w:val="24"/>
          <w:szCs w:val="24"/>
          <w:lang w:eastAsia="fr-FR"/>
        </w:rPr>
        <w:t xml:space="preserve">« Nous avons reçu ce 28 février une élève mourante qui saignait abondamment après avoir été abusée sexuellement par ses deux camarades garçons avec qui elle venait de consommer une dose signifiante de </w:t>
      </w:r>
      <w:proofErr w:type="spellStart"/>
      <w:r w:rsidRPr="005809B4">
        <w:rPr>
          <w:i/>
          <w:color w:val="000000"/>
          <w:sz w:val="24"/>
          <w:szCs w:val="24"/>
          <w:lang w:eastAsia="fr-FR"/>
        </w:rPr>
        <w:t>tramol</w:t>
      </w:r>
      <w:proofErr w:type="spellEnd"/>
      <w:r w:rsidRPr="005809B4">
        <w:rPr>
          <w:i/>
          <w:color w:val="000000"/>
          <w:sz w:val="24"/>
          <w:szCs w:val="24"/>
          <w:lang w:eastAsia="fr-FR"/>
        </w:rPr>
        <w:t xml:space="preserve">. </w:t>
      </w:r>
      <w:proofErr w:type="gramStart"/>
      <w:r w:rsidRPr="005809B4">
        <w:rPr>
          <w:i/>
          <w:color w:val="000000"/>
          <w:sz w:val="24"/>
          <w:szCs w:val="24"/>
          <w:lang w:eastAsia="fr-FR"/>
        </w:rPr>
        <w:t>C’était</w:t>
      </w:r>
      <w:proofErr w:type="gramEnd"/>
      <w:r w:rsidRPr="005809B4">
        <w:rPr>
          <w:i/>
          <w:color w:val="000000"/>
          <w:sz w:val="24"/>
          <w:szCs w:val="24"/>
          <w:lang w:eastAsia="fr-FR"/>
        </w:rPr>
        <w:t xml:space="preserve"> les élèves du lycée de Ouro-</w:t>
      </w:r>
      <w:proofErr w:type="spellStart"/>
      <w:r w:rsidRPr="005809B4">
        <w:rPr>
          <w:i/>
          <w:color w:val="000000"/>
          <w:sz w:val="24"/>
          <w:szCs w:val="24"/>
          <w:lang w:eastAsia="fr-FR"/>
        </w:rPr>
        <w:t>Hourso</w:t>
      </w:r>
      <w:proofErr w:type="spellEnd"/>
      <w:r w:rsidRPr="005809B4">
        <w:rPr>
          <w:i/>
          <w:color w:val="000000"/>
          <w:sz w:val="24"/>
          <w:szCs w:val="24"/>
          <w:lang w:eastAsia="fr-FR"/>
        </w:rPr>
        <w:t xml:space="preserve"> du Camp-Chinois »</w:t>
      </w:r>
      <w:r>
        <w:rPr>
          <w:color w:val="000000"/>
          <w:sz w:val="24"/>
          <w:szCs w:val="24"/>
          <w:lang w:eastAsia="fr-FR"/>
        </w:rPr>
        <w:t xml:space="preserve"> </w:t>
      </w:r>
      <w:r w:rsidRPr="005809B4">
        <w:rPr>
          <w:color w:val="000000"/>
          <w:sz w:val="24"/>
          <w:szCs w:val="24"/>
          <w:lang w:eastAsia="fr-FR"/>
        </w:rPr>
        <w:t>C’est ce qu’affirme</w:t>
      </w:r>
      <w:r>
        <w:rPr>
          <w:color w:val="000000"/>
          <w:sz w:val="24"/>
          <w:szCs w:val="24"/>
          <w:lang w:eastAsia="fr-FR"/>
        </w:rPr>
        <w:t xml:space="preserve"> monsieur</w:t>
      </w:r>
      <w:r w:rsidRPr="005809B4">
        <w:rPr>
          <w:color w:val="000000"/>
          <w:sz w:val="24"/>
          <w:szCs w:val="24"/>
          <w:lang w:eastAsia="fr-FR"/>
        </w:rPr>
        <w:t xml:space="preserve"> </w:t>
      </w:r>
      <w:r>
        <w:rPr>
          <w:color w:val="000000"/>
          <w:sz w:val="24"/>
          <w:szCs w:val="24"/>
          <w:lang w:eastAsia="fr-FR"/>
        </w:rPr>
        <w:t>W</w:t>
      </w:r>
      <w:r w:rsidRPr="005809B4">
        <w:rPr>
          <w:color w:val="000000"/>
          <w:sz w:val="24"/>
          <w:szCs w:val="24"/>
          <w:lang w:eastAsia="fr-FR"/>
        </w:rPr>
        <w:t xml:space="preserve">, infirmier </w:t>
      </w:r>
      <w:r>
        <w:rPr>
          <w:color w:val="000000"/>
          <w:sz w:val="24"/>
          <w:szCs w:val="24"/>
          <w:lang w:eastAsia="fr-FR"/>
        </w:rPr>
        <w:t>du centre médical</w:t>
      </w:r>
      <w:r w:rsidRPr="005809B4">
        <w:rPr>
          <w:color w:val="000000"/>
          <w:sz w:val="24"/>
          <w:szCs w:val="24"/>
          <w:lang w:eastAsia="fr-FR"/>
        </w:rPr>
        <w:t xml:space="preserve"> </w:t>
      </w:r>
      <w:r>
        <w:rPr>
          <w:color w:val="000000"/>
          <w:sz w:val="24"/>
          <w:szCs w:val="24"/>
          <w:lang w:eastAsia="fr-FR"/>
        </w:rPr>
        <w:t>Martin Luther situé derrière le Lycée de Ouro-</w:t>
      </w:r>
      <w:proofErr w:type="spellStart"/>
      <w:r>
        <w:rPr>
          <w:color w:val="000000"/>
          <w:sz w:val="24"/>
          <w:szCs w:val="24"/>
          <w:lang w:eastAsia="fr-FR"/>
        </w:rPr>
        <w:t>Hourso</w:t>
      </w:r>
      <w:proofErr w:type="spellEnd"/>
      <w:r>
        <w:rPr>
          <w:color w:val="000000"/>
          <w:sz w:val="24"/>
          <w:szCs w:val="24"/>
          <w:lang w:eastAsia="fr-FR"/>
        </w:rPr>
        <w:t>. Voici la déclaration d’un parent dont l’élève consomme des SPA : « </w:t>
      </w:r>
      <w:r>
        <w:rPr>
          <w:i/>
          <w:color w:val="000000"/>
          <w:sz w:val="24"/>
          <w:szCs w:val="24"/>
          <w:lang w:eastAsia="fr-FR"/>
        </w:rPr>
        <w:t>Mon fils c</w:t>
      </w:r>
      <w:r w:rsidRPr="005809B4">
        <w:rPr>
          <w:i/>
          <w:color w:val="000000"/>
          <w:sz w:val="24"/>
          <w:szCs w:val="24"/>
          <w:lang w:eastAsia="fr-FR"/>
        </w:rPr>
        <w:t xml:space="preserve">onsommait déjà les drogues </w:t>
      </w:r>
      <w:r>
        <w:rPr>
          <w:i/>
          <w:color w:val="000000"/>
          <w:sz w:val="24"/>
          <w:szCs w:val="24"/>
          <w:lang w:eastAsia="fr-FR"/>
        </w:rPr>
        <w:t xml:space="preserve">depuis ses 13 ans, </w:t>
      </w:r>
      <w:r w:rsidRPr="005809B4">
        <w:rPr>
          <w:i/>
          <w:color w:val="000000"/>
          <w:sz w:val="24"/>
          <w:szCs w:val="24"/>
          <w:lang w:eastAsia="fr-FR"/>
        </w:rPr>
        <w:t xml:space="preserve">mais je ne le savais pas parce que sa mère me l’avait caché. </w:t>
      </w:r>
      <w:r>
        <w:rPr>
          <w:i/>
          <w:color w:val="000000"/>
          <w:sz w:val="24"/>
          <w:szCs w:val="24"/>
          <w:lang w:eastAsia="fr-FR"/>
        </w:rPr>
        <w:t>Ceci à</w:t>
      </w:r>
      <w:r w:rsidRPr="005809B4">
        <w:rPr>
          <w:i/>
          <w:color w:val="000000"/>
          <w:sz w:val="24"/>
          <w:szCs w:val="24"/>
          <w:lang w:eastAsia="fr-FR"/>
        </w:rPr>
        <w:t xml:space="preserve"> l’école et même au quartier</w:t>
      </w:r>
      <w:r>
        <w:rPr>
          <w:i/>
          <w:color w:val="000000"/>
          <w:sz w:val="24"/>
          <w:szCs w:val="24"/>
          <w:lang w:eastAsia="fr-FR"/>
        </w:rPr>
        <w:t>. I</w:t>
      </w:r>
      <w:r w:rsidRPr="005809B4">
        <w:rPr>
          <w:i/>
          <w:color w:val="000000"/>
          <w:sz w:val="24"/>
          <w:szCs w:val="24"/>
          <w:lang w:eastAsia="fr-FR"/>
        </w:rPr>
        <w:t>l a dit que la chicha qu’ils consomment est semblable à un stylo donc toujours confondu par les surveillants lors des fouilles et se recharge à 2000fr</w:t>
      </w:r>
      <w:r>
        <w:rPr>
          <w:i/>
          <w:color w:val="000000"/>
          <w:sz w:val="24"/>
          <w:szCs w:val="24"/>
          <w:lang w:eastAsia="fr-FR"/>
        </w:rPr>
        <w:t xml:space="preserve"> » </w:t>
      </w:r>
      <w:r w:rsidRPr="00DE3DBF">
        <w:rPr>
          <w:iCs/>
          <w:color w:val="000000"/>
          <w:sz w:val="24"/>
          <w:szCs w:val="24"/>
          <w:lang w:eastAsia="fr-FR"/>
        </w:rPr>
        <w:t>(</w:t>
      </w:r>
      <w:r w:rsidRPr="005809B4">
        <w:rPr>
          <w:color w:val="000000"/>
          <w:sz w:val="24"/>
          <w:szCs w:val="24"/>
          <w:lang w:eastAsia="fr-FR"/>
        </w:rPr>
        <w:t>parent de W, un élève en classe de terminale au Collège Moderne de la Bénoué</w:t>
      </w:r>
      <w:r>
        <w:rPr>
          <w:color w:val="000000"/>
          <w:sz w:val="24"/>
          <w:szCs w:val="24"/>
          <w:lang w:eastAsia="fr-FR"/>
        </w:rPr>
        <w:t>)</w:t>
      </w:r>
      <w:r w:rsidRPr="005809B4">
        <w:rPr>
          <w:color w:val="000000"/>
          <w:sz w:val="24"/>
          <w:szCs w:val="24"/>
          <w:lang w:eastAsia="fr-FR"/>
        </w:rPr>
        <w:t>.</w:t>
      </w:r>
    </w:p>
    <w:p w14:paraId="4E5A613F" w14:textId="77777777" w:rsidR="00D80693" w:rsidRPr="00621E63" w:rsidRDefault="00D80693" w:rsidP="008276DA">
      <w:pPr>
        <w:spacing w:before="120" w:after="240"/>
        <w:jc w:val="both"/>
        <w:rPr>
          <w:color w:val="000000"/>
          <w:sz w:val="24"/>
          <w:szCs w:val="24"/>
          <w:lang w:eastAsia="fr-FR"/>
        </w:rPr>
      </w:pPr>
      <w:r>
        <w:rPr>
          <w:color w:val="000000"/>
          <w:sz w:val="24"/>
          <w:szCs w:val="24"/>
          <w:lang w:eastAsia="fr-FR"/>
        </w:rPr>
        <w:t xml:space="preserve">Après cet exposé de l’état de la question sur la consommation des SPA par les élèves, il nous semble intéressant de lever un pan de voile sur la question des facteurs sociaux associés à ce comportement de consommation des SPA par les élèves. </w:t>
      </w:r>
      <w:r w:rsidRPr="00621E63">
        <w:rPr>
          <w:color w:val="000000"/>
          <w:sz w:val="24"/>
          <w:szCs w:val="24"/>
          <w:lang w:eastAsia="fr-FR"/>
        </w:rPr>
        <w:t>Pour Maalouf (2003), les facteurs sociaux sont des agents de socialisation qui interviennent au cours de la vie de l’individu et ainsi la conditionnent ; ces agents intervenant dans le processus de socialisation sont d’ordre primaire (la famille, l’école) et secondaire (les groupes de pairs, les relations de voisinage, les entreprises, les parties, les églises, l’internet et les moyens de communication).</w:t>
      </w:r>
      <w:r>
        <w:rPr>
          <w:color w:val="000000"/>
          <w:sz w:val="24"/>
          <w:szCs w:val="24"/>
          <w:lang w:eastAsia="fr-FR"/>
        </w:rPr>
        <w:t xml:space="preserve"> S</w:t>
      </w:r>
      <w:r w:rsidRPr="00621E63">
        <w:rPr>
          <w:color w:val="000000"/>
          <w:sz w:val="24"/>
          <w:szCs w:val="24"/>
          <w:lang w:eastAsia="fr-FR"/>
        </w:rPr>
        <w:t>ous l’inspiration de</w:t>
      </w:r>
      <w:r>
        <w:rPr>
          <w:color w:val="000000"/>
          <w:sz w:val="24"/>
          <w:szCs w:val="24"/>
          <w:lang w:eastAsia="fr-FR"/>
        </w:rPr>
        <w:t xml:space="preserve"> ce</w:t>
      </w:r>
      <w:r w:rsidRPr="00621E63">
        <w:rPr>
          <w:color w:val="000000"/>
          <w:sz w:val="24"/>
          <w:szCs w:val="24"/>
          <w:lang w:eastAsia="fr-FR"/>
        </w:rPr>
        <w:t xml:space="preserve">s travaux, </w:t>
      </w:r>
      <w:r>
        <w:rPr>
          <w:color w:val="000000"/>
          <w:sz w:val="24"/>
          <w:szCs w:val="24"/>
          <w:lang w:eastAsia="fr-FR"/>
        </w:rPr>
        <w:t xml:space="preserve">nous avons retenus </w:t>
      </w:r>
      <w:r w:rsidRPr="00621E63">
        <w:rPr>
          <w:color w:val="000000"/>
          <w:sz w:val="24"/>
          <w:szCs w:val="24"/>
          <w:lang w:eastAsia="fr-FR"/>
        </w:rPr>
        <w:t xml:space="preserve">trois facteurs sociaux principaux </w:t>
      </w:r>
      <w:r>
        <w:rPr>
          <w:color w:val="000000"/>
          <w:sz w:val="24"/>
          <w:szCs w:val="24"/>
          <w:lang w:eastAsia="fr-FR"/>
        </w:rPr>
        <w:t>notamment</w:t>
      </w:r>
      <w:r w:rsidRPr="00621E63">
        <w:rPr>
          <w:color w:val="000000"/>
          <w:sz w:val="24"/>
          <w:szCs w:val="24"/>
          <w:lang w:eastAsia="fr-FR"/>
        </w:rPr>
        <w:t xml:space="preserve"> : </w:t>
      </w:r>
      <w:r>
        <w:rPr>
          <w:color w:val="000000"/>
          <w:sz w:val="24"/>
          <w:szCs w:val="24"/>
          <w:lang w:eastAsia="fr-FR"/>
        </w:rPr>
        <w:t>l</w:t>
      </w:r>
      <w:r w:rsidRPr="00621E63">
        <w:rPr>
          <w:color w:val="000000"/>
          <w:sz w:val="24"/>
          <w:szCs w:val="24"/>
          <w:lang w:eastAsia="fr-FR"/>
        </w:rPr>
        <w:t>es pair</w:t>
      </w:r>
      <w:r>
        <w:rPr>
          <w:color w:val="000000"/>
          <w:sz w:val="24"/>
          <w:szCs w:val="24"/>
          <w:lang w:eastAsia="fr-FR"/>
        </w:rPr>
        <w:t xml:space="preserve">s, </w:t>
      </w:r>
      <w:r w:rsidRPr="00621E63">
        <w:rPr>
          <w:color w:val="000000"/>
          <w:sz w:val="24"/>
          <w:szCs w:val="24"/>
          <w:lang w:eastAsia="fr-FR"/>
        </w:rPr>
        <w:t>la famille et l</w:t>
      </w:r>
      <w:r>
        <w:rPr>
          <w:color w:val="000000"/>
          <w:sz w:val="24"/>
          <w:szCs w:val="24"/>
          <w:lang w:eastAsia="fr-FR"/>
        </w:rPr>
        <w:t>’entourag</w:t>
      </w:r>
      <w:r w:rsidRPr="00621E63">
        <w:rPr>
          <w:color w:val="000000"/>
          <w:sz w:val="24"/>
          <w:szCs w:val="24"/>
          <w:lang w:eastAsia="fr-FR"/>
        </w:rPr>
        <w:t xml:space="preserve">e </w:t>
      </w:r>
      <w:r>
        <w:rPr>
          <w:color w:val="000000"/>
          <w:sz w:val="24"/>
          <w:szCs w:val="24"/>
          <w:lang w:eastAsia="fr-FR"/>
        </w:rPr>
        <w:t xml:space="preserve">dans le </w:t>
      </w:r>
      <w:r w:rsidRPr="00621E63">
        <w:rPr>
          <w:color w:val="000000"/>
          <w:sz w:val="24"/>
          <w:szCs w:val="24"/>
          <w:lang w:eastAsia="fr-FR"/>
        </w:rPr>
        <w:t>quartier de résidence.</w:t>
      </w:r>
    </w:p>
    <w:p w14:paraId="7C517D28" w14:textId="77777777" w:rsidR="00D80693" w:rsidRDefault="00D80693" w:rsidP="008276DA">
      <w:pPr>
        <w:spacing w:before="120" w:after="240"/>
        <w:jc w:val="both"/>
        <w:rPr>
          <w:color w:val="000000"/>
          <w:sz w:val="24"/>
          <w:szCs w:val="24"/>
          <w:lang w:eastAsia="fr-FR"/>
        </w:rPr>
      </w:pPr>
      <w:bookmarkStart w:id="266" w:name="_Hlk49862514"/>
      <w:bookmarkStart w:id="267" w:name="_Hlk211691840"/>
      <w:proofErr w:type="spellStart"/>
      <w:r w:rsidRPr="001943B5">
        <w:rPr>
          <w:color w:val="000000"/>
          <w:sz w:val="24"/>
          <w:szCs w:val="24"/>
          <w:lang w:eastAsia="fr-FR"/>
        </w:rPr>
        <w:t>Kpozehouen</w:t>
      </w:r>
      <w:proofErr w:type="spellEnd"/>
      <w:r w:rsidRPr="001943B5">
        <w:rPr>
          <w:color w:val="000000"/>
          <w:sz w:val="24"/>
          <w:szCs w:val="24"/>
          <w:lang w:eastAsia="fr-FR"/>
        </w:rPr>
        <w:t xml:space="preserve"> et al. (2015)</w:t>
      </w:r>
      <w:bookmarkEnd w:id="266"/>
      <w:r>
        <w:rPr>
          <w:color w:val="000000"/>
          <w:sz w:val="24"/>
          <w:szCs w:val="24"/>
          <w:lang w:eastAsia="fr-FR"/>
        </w:rPr>
        <w:t>,</w:t>
      </w:r>
      <w:r w:rsidRPr="001943B5">
        <w:rPr>
          <w:color w:val="000000"/>
          <w:sz w:val="24"/>
          <w:szCs w:val="24"/>
          <w:lang w:eastAsia="fr-FR"/>
        </w:rPr>
        <w:t xml:space="preserve"> </w:t>
      </w:r>
      <w:bookmarkEnd w:id="267"/>
      <w:r w:rsidRPr="001943B5">
        <w:rPr>
          <w:color w:val="000000"/>
          <w:sz w:val="24"/>
          <w:szCs w:val="24"/>
          <w:lang w:eastAsia="fr-FR"/>
        </w:rPr>
        <w:t xml:space="preserve">ont proposé une </w:t>
      </w:r>
      <w:r>
        <w:rPr>
          <w:color w:val="000000"/>
          <w:sz w:val="24"/>
          <w:szCs w:val="24"/>
          <w:lang w:eastAsia="fr-FR"/>
        </w:rPr>
        <w:t>étude dans laquelle ils analysaient l’association entre l</w:t>
      </w:r>
      <w:r w:rsidRPr="001943B5">
        <w:rPr>
          <w:color w:val="000000"/>
          <w:sz w:val="24"/>
          <w:szCs w:val="24"/>
          <w:lang w:eastAsia="fr-FR"/>
        </w:rPr>
        <w:t>es facteurs individuels (caractéristiques sociodémographiques et psychologiques de l’adolescent), familiaux (attitudes des parents ainsi que le contexte de la vie familiale) et socio-environnementaux (attitudes de l’entourage de l’enquêté</w:t>
      </w:r>
      <w:r>
        <w:rPr>
          <w:color w:val="000000"/>
          <w:sz w:val="24"/>
          <w:szCs w:val="24"/>
          <w:lang w:eastAsia="fr-FR"/>
        </w:rPr>
        <w:t>,</w:t>
      </w:r>
      <w:r w:rsidRPr="001943B5">
        <w:rPr>
          <w:color w:val="000000"/>
          <w:sz w:val="24"/>
          <w:szCs w:val="24"/>
          <w:lang w:eastAsia="fr-FR"/>
        </w:rPr>
        <w:t xml:space="preserve"> ainsi que sa participation dans les activités d</w:t>
      </w:r>
      <w:r>
        <w:rPr>
          <w:color w:val="000000"/>
          <w:sz w:val="24"/>
          <w:szCs w:val="24"/>
          <w:lang w:eastAsia="fr-FR"/>
        </w:rPr>
        <w:t>e</w:t>
      </w:r>
      <w:r w:rsidRPr="001943B5">
        <w:rPr>
          <w:color w:val="000000"/>
          <w:sz w:val="24"/>
          <w:szCs w:val="24"/>
          <w:lang w:eastAsia="fr-FR"/>
        </w:rPr>
        <w:t xml:space="preserve"> loisir et d’épanouissement</w:t>
      </w:r>
      <w:r>
        <w:rPr>
          <w:color w:val="000000"/>
          <w:sz w:val="24"/>
          <w:szCs w:val="24"/>
          <w:lang w:eastAsia="fr-FR"/>
        </w:rPr>
        <w:t>), et le</w:t>
      </w:r>
      <w:r w:rsidRPr="001943B5">
        <w:rPr>
          <w:color w:val="000000"/>
          <w:sz w:val="24"/>
          <w:szCs w:val="24"/>
          <w:lang w:eastAsia="fr-FR"/>
        </w:rPr>
        <w:t xml:space="preserve"> comportement des adolescents</w:t>
      </w:r>
      <w:r>
        <w:rPr>
          <w:color w:val="000000"/>
          <w:sz w:val="24"/>
          <w:szCs w:val="24"/>
          <w:lang w:eastAsia="fr-FR"/>
        </w:rPr>
        <w:t xml:space="preserve">. Selon ces auteurs, </w:t>
      </w:r>
      <w:r w:rsidRPr="001943B5">
        <w:rPr>
          <w:color w:val="000000"/>
          <w:sz w:val="24"/>
          <w:szCs w:val="24"/>
          <w:lang w:eastAsia="fr-FR"/>
        </w:rPr>
        <w:t xml:space="preserve">l’état matrimonial des parents influence fortement </w:t>
      </w:r>
      <w:bookmarkStart w:id="268" w:name="_Hlk214956703"/>
      <w:r w:rsidRPr="001943B5">
        <w:rPr>
          <w:color w:val="000000"/>
          <w:sz w:val="24"/>
          <w:szCs w:val="24"/>
          <w:lang w:eastAsia="fr-FR"/>
        </w:rPr>
        <w:t>le comportement des adolescents</w:t>
      </w:r>
      <w:bookmarkEnd w:id="268"/>
      <w:r w:rsidRPr="001943B5">
        <w:rPr>
          <w:color w:val="000000"/>
          <w:sz w:val="24"/>
          <w:szCs w:val="24"/>
          <w:lang w:eastAsia="fr-FR"/>
        </w:rPr>
        <w:t>. Ce constat a favorisé, pour les analyses effectuées dans cette enquête, le regroupement des adolescents entre deux groupes à savoir ceux dont les deux parents vivaient ensemble (monogame ou polygame) et ceux qui étaient dans les familles monoparentales</w:t>
      </w:r>
      <w:r>
        <w:rPr>
          <w:color w:val="000000"/>
          <w:sz w:val="24"/>
          <w:szCs w:val="24"/>
          <w:lang w:eastAsia="fr-FR"/>
        </w:rPr>
        <w:t>,</w:t>
      </w:r>
      <w:r w:rsidRPr="001943B5">
        <w:rPr>
          <w:color w:val="000000"/>
          <w:sz w:val="24"/>
          <w:szCs w:val="24"/>
          <w:lang w:eastAsia="fr-FR"/>
        </w:rPr>
        <w:t xml:space="preserve"> dont les parents étaient veufs ou séparés</w:t>
      </w:r>
      <w:r>
        <w:rPr>
          <w:color w:val="000000"/>
          <w:sz w:val="24"/>
          <w:szCs w:val="24"/>
          <w:lang w:eastAsia="fr-FR"/>
        </w:rPr>
        <w:t>,</w:t>
      </w:r>
      <w:r w:rsidRPr="001943B5">
        <w:rPr>
          <w:color w:val="000000"/>
          <w:sz w:val="24"/>
          <w:szCs w:val="24"/>
          <w:lang w:eastAsia="fr-FR"/>
        </w:rPr>
        <w:t xml:space="preserve"> et ceux qui étaient orphelins. Les résultats </w:t>
      </w:r>
      <w:r>
        <w:rPr>
          <w:color w:val="000000"/>
          <w:sz w:val="24"/>
          <w:szCs w:val="24"/>
          <w:lang w:eastAsia="fr-FR"/>
        </w:rPr>
        <w:t>indiquaient</w:t>
      </w:r>
      <w:r w:rsidRPr="001943B5">
        <w:rPr>
          <w:color w:val="000000"/>
          <w:sz w:val="24"/>
          <w:szCs w:val="24"/>
          <w:lang w:eastAsia="fr-FR"/>
        </w:rPr>
        <w:t xml:space="preserve"> que</w:t>
      </w:r>
      <w:r>
        <w:rPr>
          <w:color w:val="000000"/>
          <w:sz w:val="24"/>
          <w:szCs w:val="24"/>
          <w:lang w:eastAsia="fr-FR"/>
        </w:rPr>
        <w:t>,</w:t>
      </w:r>
      <w:r w:rsidRPr="001943B5">
        <w:rPr>
          <w:color w:val="000000"/>
          <w:sz w:val="24"/>
          <w:szCs w:val="24"/>
          <w:lang w:eastAsia="fr-FR"/>
        </w:rPr>
        <w:t xml:space="preserve"> les adolescents qui vivaient dans les familles monoparentales ou qui étaient orphelins avaient un risque de consommer des SPA</w:t>
      </w:r>
      <w:r>
        <w:rPr>
          <w:color w:val="000000"/>
          <w:sz w:val="24"/>
          <w:szCs w:val="24"/>
          <w:lang w:eastAsia="fr-FR"/>
        </w:rPr>
        <w:t xml:space="preserve">. </w:t>
      </w:r>
      <w:r w:rsidRPr="001943B5">
        <w:rPr>
          <w:color w:val="000000"/>
          <w:sz w:val="24"/>
          <w:szCs w:val="24"/>
          <w:lang w:eastAsia="fr-FR"/>
        </w:rPr>
        <w:t>Ledoux</w:t>
      </w:r>
      <w:r w:rsidRPr="001171A1">
        <w:rPr>
          <w:color w:val="000000"/>
          <w:sz w:val="24"/>
          <w:szCs w:val="24"/>
          <w:lang w:eastAsia="fr-FR"/>
        </w:rPr>
        <w:t xml:space="preserve"> et al. </w:t>
      </w:r>
      <w:r w:rsidRPr="001943B5">
        <w:rPr>
          <w:color w:val="000000"/>
          <w:sz w:val="24"/>
          <w:szCs w:val="24"/>
          <w:lang w:eastAsia="fr-FR"/>
        </w:rPr>
        <w:t xml:space="preserve">(2002, </w:t>
      </w:r>
      <w:r w:rsidRPr="001171A1">
        <w:rPr>
          <w:color w:val="000000"/>
          <w:sz w:val="24"/>
          <w:szCs w:val="24"/>
          <w:lang w:eastAsia="fr-FR"/>
        </w:rPr>
        <w:t xml:space="preserve">cités dans </w:t>
      </w:r>
      <w:r w:rsidRPr="001943B5">
        <w:rPr>
          <w:color w:val="000000"/>
          <w:sz w:val="24"/>
          <w:szCs w:val="24"/>
          <w:lang w:eastAsia="fr-FR"/>
        </w:rPr>
        <w:t>Gauthier, 2011)</w:t>
      </w:r>
      <w:r w:rsidRPr="001171A1">
        <w:rPr>
          <w:color w:val="000000"/>
          <w:sz w:val="24"/>
          <w:szCs w:val="24"/>
          <w:lang w:eastAsia="fr-FR"/>
        </w:rPr>
        <w:t xml:space="preserve">, </w:t>
      </w:r>
      <w:r w:rsidRPr="001943B5">
        <w:rPr>
          <w:color w:val="000000"/>
          <w:sz w:val="24"/>
          <w:szCs w:val="24"/>
          <w:lang w:eastAsia="fr-FR"/>
        </w:rPr>
        <w:t xml:space="preserve">vont </w:t>
      </w:r>
      <w:r>
        <w:rPr>
          <w:color w:val="000000"/>
          <w:sz w:val="24"/>
          <w:szCs w:val="24"/>
          <w:lang w:eastAsia="fr-FR"/>
        </w:rPr>
        <w:t>dans la même optique</w:t>
      </w:r>
      <w:r w:rsidRPr="001943B5">
        <w:rPr>
          <w:color w:val="000000"/>
          <w:sz w:val="24"/>
          <w:szCs w:val="24"/>
          <w:lang w:eastAsia="fr-FR"/>
        </w:rPr>
        <w:t xml:space="preserve"> en examinant trois structures parentales (biparentale, monoparentale, reconstituée) et en conclu</w:t>
      </w:r>
      <w:r>
        <w:rPr>
          <w:color w:val="000000"/>
          <w:sz w:val="24"/>
          <w:szCs w:val="24"/>
          <w:lang w:eastAsia="fr-FR"/>
        </w:rPr>
        <w:t>e</w:t>
      </w:r>
      <w:r w:rsidRPr="001943B5">
        <w:rPr>
          <w:color w:val="000000"/>
          <w:sz w:val="24"/>
          <w:szCs w:val="24"/>
          <w:lang w:eastAsia="fr-FR"/>
        </w:rPr>
        <w:t>nt</w:t>
      </w:r>
      <w:r>
        <w:rPr>
          <w:color w:val="000000"/>
          <w:sz w:val="24"/>
          <w:szCs w:val="24"/>
          <w:lang w:eastAsia="fr-FR"/>
        </w:rPr>
        <w:t xml:space="preserve"> que,</w:t>
      </w:r>
      <w:r w:rsidRPr="001943B5">
        <w:rPr>
          <w:color w:val="000000"/>
          <w:sz w:val="24"/>
          <w:szCs w:val="24"/>
          <w:lang w:eastAsia="fr-FR"/>
        </w:rPr>
        <w:t xml:space="preserve"> les familles biparentales sont un facteur de protection, mais également</w:t>
      </w:r>
      <w:r>
        <w:rPr>
          <w:color w:val="000000"/>
          <w:sz w:val="24"/>
          <w:szCs w:val="24"/>
          <w:lang w:eastAsia="fr-FR"/>
        </w:rPr>
        <w:t>,</w:t>
      </w:r>
      <w:r w:rsidRPr="001943B5">
        <w:rPr>
          <w:color w:val="000000"/>
          <w:sz w:val="24"/>
          <w:szCs w:val="24"/>
          <w:lang w:eastAsia="fr-FR"/>
        </w:rPr>
        <w:t xml:space="preserve"> ce sont les familles reconstituées qui sont les plus à risque de voir leurs adolescents consommer</w:t>
      </w:r>
      <w:r>
        <w:rPr>
          <w:color w:val="000000"/>
          <w:sz w:val="24"/>
          <w:szCs w:val="24"/>
          <w:lang w:eastAsia="fr-FR"/>
        </w:rPr>
        <w:t xml:space="preserve"> des SPA</w:t>
      </w:r>
      <w:r w:rsidRPr="001943B5">
        <w:rPr>
          <w:color w:val="000000"/>
          <w:sz w:val="24"/>
          <w:szCs w:val="24"/>
          <w:lang w:eastAsia="fr-FR"/>
        </w:rPr>
        <w:t>.</w:t>
      </w:r>
      <w:r>
        <w:rPr>
          <w:color w:val="000000"/>
          <w:sz w:val="24"/>
          <w:szCs w:val="24"/>
          <w:lang w:eastAsia="fr-FR"/>
        </w:rPr>
        <w:t xml:space="preserve"> </w:t>
      </w:r>
      <w:proofErr w:type="spellStart"/>
      <w:r w:rsidRPr="00C71EAC">
        <w:rPr>
          <w:color w:val="000000"/>
          <w:sz w:val="24"/>
          <w:szCs w:val="24"/>
          <w:lang w:eastAsia="fr-FR"/>
        </w:rPr>
        <w:t>Kpozehouen</w:t>
      </w:r>
      <w:proofErr w:type="spellEnd"/>
      <w:r w:rsidRPr="00C71EAC">
        <w:rPr>
          <w:color w:val="000000"/>
          <w:sz w:val="24"/>
          <w:szCs w:val="24"/>
          <w:lang w:eastAsia="fr-FR"/>
        </w:rPr>
        <w:t xml:space="preserve"> et al. (2015)</w:t>
      </w:r>
      <w:r>
        <w:rPr>
          <w:color w:val="000000"/>
          <w:sz w:val="24"/>
          <w:szCs w:val="24"/>
          <w:lang w:eastAsia="fr-FR"/>
        </w:rPr>
        <w:t xml:space="preserve">, montraient également </w:t>
      </w:r>
      <w:r w:rsidRPr="001943B5">
        <w:rPr>
          <w:color w:val="000000"/>
          <w:sz w:val="24"/>
          <w:szCs w:val="24"/>
          <w:lang w:eastAsia="fr-FR"/>
        </w:rPr>
        <w:t>que le style éducatif désengagé</w:t>
      </w:r>
      <w:r>
        <w:rPr>
          <w:color w:val="000000"/>
          <w:sz w:val="24"/>
          <w:szCs w:val="24"/>
          <w:lang w:eastAsia="fr-FR"/>
        </w:rPr>
        <w:t>,</w:t>
      </w:r>
      <w:r w:rsidRPr="001943B5">
        <w:rPr>
          <w:color w:val="000000"/>
          <w:sz w:val="24"/>
          <w:szCs w:val="24"/>
          <w:lang w:eastAsia="fr-FR"/>
        </w:rPr>
        <w:t xml:space="preserve"> caractérisé par l’indifférence et l’</w:t>
      </w:r>
      <w:bookmarkStart w:id="269" w:name="_Hlk50213437"/>
      <w:r w:rsidRPr="001943B5">
        <w:rPr>
          <w:color w:val="000000"/>
          <w:sz w:val="24"/>
          <w:szCs w:val="24"/>
          <w:lang w:eastAsia="fr-FR"/>
        </w:rPr>
        <w:t>absence de soutien adéquat de la part des parents</w:t>
      </w:r>
      <w:bookmarkEnd w:id="269"/>
      <w:r>
        <w:rPr>
          <w:color w:val="000000"/>
          <w:sz w:val="24"/>
          <w:szCs w:val="24"/>
          <w:lang w:eastAsia="fr-FR"/>
        </w:rPr>
        <w:t>,</w:t>
      </w:r>
      <w:r w:rsidRPr="001943B5">
        <w:rPr>
          <w:color w:val="000000"/>
          <w:sz w:val="24"/>
          <w:szCs w:val="24"/>
          <w:lang w:eastAsia="fr-FR"/>
        </w:rPr>
        <w:t xml:space="preserve"> peut entraîner la délinquance de certains adolescents et l’adoption des comportements à risque comme l’usage des substances psychoactives</w:t>
      </w:r>
      <w:r>
        <w:rPr>
          <w:color w:val="000000"/>
          <w:sz w:val="24"/>
          <w:szCs w:val="24"/>
          <w:lang w:eastAsia="fr-FR"/>
        </w:rPr>
        <w:t xml:space="preserve">. </w:t>
      </w:r>
    </w:p>
    <w:p w14:paraId="5D3B6E7A" w14:textId="77777777" w:rsidR="00D80693" w:rsidRPr="001943B5" w:rsidRDefault="00D80693" w:rsidP="008276DA">
      <w:pPr>
        <w:spacing w:before="120" w:after="240"/>
        <w:jc w:val="both"/>
        <w:rPr>
          <w:color w:val="000000"/>
          <w:sz w:val="24"/>
          <w:szCs w:val="24"/>
          <w:lang w:eastAsia="fr-FR"/>
        </w:rPr>
      </w:pPr>
      <w:bookmarkStart w:id="270" w:name="_Hlk211691986"/>
      <w:proofErr w:type="spellStart"/>
      <w:r w:rsidRPr="001943B5">
        <w:rPr>
          <w:color w:val="000000"/>
          <w:sz w:val="24"/>
          <w:szCs w:val="24"/>
          <w:lang w:eastAsia="fr-FR"/>
        </w:rPr>
        <w:t>Kpozehouen</w:t>
      </w:r>
      <w:proofErr w:type="spellEnd"/>
      <w:r w:rsidRPr="001943B5">
        <w:rPr>
          <w:color w:val="000000"/>
          <w:sz w:val="24"/>
          <w:szCs w:val="24"/>
          <w:lang w:eastAsia="fr-FR"/>
        </w:rPr>
        <w:t xml:space="preserve"> et al. (2015)</w:t>
      </w:r>
      <w:bookmarkEnd w:id="270"/>
      <w:r>
        <w:rPr>
          <w:color w:val="000000"/>
          <w:sz w:val="24"/>
          <w:szCs w:val="24"/>
          <w:lang w:eastAsia="fr-FR"/>
        </w:rPr>
        <w:t>,</w:t>
      </w:r>
      <w:r w:rsidRPr="001943B5">
        <w:rPr>
          <w:color w:val="000000"/>
          <w:sz w:val="24"/>
          <w:szCs w:val="24"/>
          <w:lang w:eastAsia="fr-FR"/>
        </w:rPr>
        <w:t xml:space="preserve"> </w:t>
      </w:r>
      <w:r>
        <w:rPr>
          <w:color w:val="000000"/>
          <w:sz w:val="24"/>
          <w:szCs w:val="24"/>
          <w:lang w:eastAsia="fr-FR"/>
        </w:rPr>
        <w:t>retrouvaient également que les</w:t>
      </w:r>
      <w:r w:rsidRPr="001943B5">
        <w:rPr>
          <w:color w:val="000000"/>
          <w:sz w:val="24"/>
          <w:szCs w:val="24"/>
          <w:lang w:eastAsia="fr-FR"/>
        </w:rPr>
        <w:t xml:space="preserve"> conflits familiaux </w:t>
      </w:r>
      <w:r>
        <w:rPr>
          <w:color w:val="000000"/>
          <w:sz w:val="24"/>
          <w:szCs w:val="24"/>
          <w:lang w:eastAsia="fr-FR"/>
        </w:rPr>
        <w:t>(</w:t>
      </w:r>
      <w:r w:rsidRPr="001943B5">
        <w:rPr>
          <w:color w:val="000000"/>
          <w:sz w:val="24"/>
          <w:szCs w:val="24"/>
          <w:lang w:eastAsia="fr-FR"/>
        </w:rPr>
        <w:t>qu’ils concernent directement ou indirectement l’adolescent</w:t>
      </w:r>
      <w:r>
        <w:rPr>
          <w:color w:val="000000"/>
          <w:sz w:val="24"/>
          <w:szCs w:val="24"/>
          <w:lang w:eastAsia="fr-FR"/>
        </w:rPr>
        <w:t>)</w:t>
      </w:r>
      <w:r w:rsidRPr="001943B5">
        <w:rPr>
          <w:color w:val="000000"/>
          <w:sz w:val="24"/>
          <w:szCs w:val="24"/>
          <w:lang w:eastAsia="fr-FR"/>
        </w:rPr>
        <w:t xml:space="preserve"> étaient des facteurs de déstabilisation de l’adolescent qui croit retrouver une sorte d’équilibre dans l’usage des substances psychoactives. </w:t>
      </w:r>
      <w:r>
        <w:rPr>
          <w:color w:val="000000"/>
          <w:sz w:val="24"/>
          <w:szCs w:val="24"/>
          <w:lang w:eastAsia="fr-FR"/>
        </w:rPr>
        <w:t>Leur</w:t>
      </w:r>
      <w:r w:rsidRPr="001943B5">
        <w:rPr>
          <w:color w:val="000000"/>
          <w:sz w:val="24"/>
          <w:szCs w:val="24"/>
          <w:lang w:eastAsia="fr-FR"/>
        </w:rPr>
        <w:t xml:space="preserve"> étude a montré que les adolescents</w:t>
      </w:r>
      <w:r>
        <w:rPr>
          <w:color w:val="000000"/>
          <w:sz w:val="24"/>
          <w:szCs w:val="24"/>
          <w:lang w:eastAsia="fr-FR"/>
        </w:rPr>
        <w:t>,</w:t>
      </w:r>
      <w:r w:rsidRPr="001943B5">
        <w:rPr>
          <w:color w:val="000000"/>
          <w:sz w:val="24"/>
          <w:szCs w:val="24"/>
          <w:lang w:eastAsia="fr-FR"/>
        </w:rPr>
        <w:t xml:space="preserve"> ayant déclaré avoir eu des conflits dans leurs familles</w:t>
      </w:r>
      <w:r>
        <w:rPr>
          <w:color w:val="000000"/>
          <w:sz w:val="24"/>
          <w:szCs w:val="24"/>
          <w:lang w:eastAsia="fr-FR"/>
        </w:rPr>
        <w:t>,</w:t>
      </w:r>
      <w:r w:rsidRPr="001943B5">
        <w:rPr>
          <w:color w:val="000000"/>
          <w:sz w:val="24"/>
          <w:szCs w:val="24"/>
          <w:lang w:eastAsia="fr-FR"/>
        </w:rPr>
        <w:t xml:space="preserve"> avaient plus de risque de consommer de l’alcool</w:t>
      </w:r>
      <w:r>
        <w:rPr>
          <w:color w:val="000000"/>
          <w:sz w:val="24"/>
          <w:szCs w:val="24"/>
          <w:lang w:eastAsia="fr-FR"/>
        </w:rPr>
        <w:t>,</w:t>
      </w:r>
      <w:r w:rsidRPr="001943B5">
        <w:rPr>
          <w:color w:val="000000"/>
          <w:sz w:val="24"/>
          <w:szCs w:val="24"/>
          <w:lang w:eastAsia="fr-FR"/>
        </w:rPr>
        <w:t xml:space="preserve"> avec mésusage de consommer des drogues illicites.</w:t>
      </w:r>
      <w:r>
        <w:rPr>
          <w:color w:val="000000"/>
          <w:sz w:val="24"/>
          <w:szCs w:val="24"/>
          <w:lang w:eastAsia="fr-FR"/>
        </w:rPr>
        <w:t xml:space="preserve"> De plus, l’as</w:t>
      </w:r>
      <w:r w:rsidRPr="001943B5">
        <w:rPr>
          <w:color w:val="000000"/>
          <w:sz w:val="24"/>
          <w:szCs w:val="24"/>
          <w:lang w:eastAsia="fr-FR"/>
        </w:rPr>
        <w:t>sociation à des pairs : Consommation d’au moins un des stupéfiants par les amis, les parents, appartenance aux groupes culturels ; le mésusage de l’alcool par l’adolescent était associé à la consommation d’alcool par les voisins, la consommation de tabac par l’adolescent était associée au tabagisme des amis et des voisins ; la consommation des drogues illicites par l’adolescent était associée à la consommation des drogues par les parents et celle des amis</w:t>
      </w:r>
      <w:r>
        <w:rPr>
          <w:color w:val="000000"/>
          <w:sz w:val="24"/>
          <w:szCs w:val="24"/>
          <w:lang w:eastAsia="fr-FR"/>
        </w:rPr>
        <w:t xml:space="preserve"> (</w:t>
      </w:r>
      <w:proofErr w:type="spellStart"/>
      <w:r w:rsidRPr="001943B5">
        <w:rPr>
          <w:color w:val="000000"/>
          <w:sz w:val="24"/>
          <w:szCs w:val="24"/>
          <w:lang w:eastAsia="fr-FR"/>
        </w:rPr>
        <w:t>Kpozehouen</w:t>
      </w:r>
      <w:proofErr w:type="spellEnd"/>
      <w:r w:rsidRPr="001943B5">
        <w:rPr>
          <w:color w:val="000000"/>
          <w:sz w:val="24"/>
          <w:szCs w:val="24"/>
          <w:lang w:eastAsia="fr-FR"/>
        </w:rPr>
        <w:t xml:space="preserve"> et al.</w:t>
      </w:r>
      <w:r>
        <w:rPr>
          <w:color w:val="000000"/>
          <w:sz w:val="24"/>
          <w:szCs w:val="24"/>
          <w:lang w:eastAsia="fr-FR"/>
        </w:rPr>
        <w:t xml:space="preserve">, </w:t>
      </w:r>
      <w:r w:rsidRPr="001943B5">
        <w:rPr>
          <w:color w:val="000000"/>
          <w:sz w:val="24"/>
          <w:szCs w:val="24"/>
          <w:lang w:eastAsia="fr-FR"/>
        </w:rPr>
        <w:t>2015</w:t>
      </w:r>
      <w:r>
        <w:rPr>
          <w:color w:val="000000"/>
          <w:sz w:val="24"/>
          <w:szCs w:val="24"/>
          <w:lang w:eastAsia="fr-FR"/>
        </w:rPr>
        <w:t>, p. 879</w:t>
      </w:r>
      <w:r w:rsidRPr="001943B5">
        <w:rPr>
          <w:color w:val="000000"/>
          <w:sz w:val="24"/>
          <w:szCs w:val="24"/>
          <w:lang w:eastAsia="fr-FR"/>
        </w:rPr>
        <w:t>)</w:t>
      </w:r>
      <w:r>
        <w:rPr>
          <w:color w:val="000000"/>
          <w:sz w:val="24"/>
          <w:szCs w:val="24"/>
          <w:lang w:eastAsia="fr-FR"/>
        </w:rPr>
        <w:t xml:space="preserve">. </w:t>
      </w:r>
    </w:p>
    <w:p w14:paraId="4C0A1D67" w14:textId="77777777" w:rsidR="00D80693" w:rsidRPr="001943B5" w:rsidRDefault="00D80693" w:rsidP="008276DA">
      <w:pPr>
        <w:spacing w:before="120" w:after="240"/>
        <w:jc w:val="both"/>
        <w:rPr>
          <w:color w:val="000000"/>
          <w:sz w:val="24"/>
          <w:szCs w:val="24"/>
          <w:lang w:eastAsia="fr-FR"/>
        </w:rPr>
      </w:pPr>
      <w:r>
        <w:rPr>
          <w:color w:val="000000"/>
          <w:sz w:val="24"/>
          <w:szCs w:val="24"/>
          <w:lang w:eastAsia="fr-FR"/>
        </w:rPr>
        <w:t xml:space="preserve">En outre, </w:t>
      </w:r>
      <w:r w:rsidRPr="001943B5">
        <w:rPr>
          <w:color w:val="000000"/>
          <w:sz w:val="24"/>
          <w:szCs w:val="24"/>
          <w:lang w:eastAsia="fr-FR"/>
        </w:rPr>
        <w:t>Laventure et Fallu (200</w:t>
      </w:r>
      <w:r>
        <w:rPr>
          <w:color w:val="000000"/>
          <w:sz w:val="24"/>
          <w:szCs w:val="24"/>
          <w:lang w:eastAsia="fr-FR"/>
        </w:rPr>
        <w:t>8</w:t>
      </w:r>
      <w:r w:rsidRPr="001943B5">
        <w:rPr>
          <w:color w:val="000000"/>
          <w:sz w:val="24"/>
          <w:szCs w:val="24"/>
          <w:lang w:eastAsia="fr-FR"/>
        </w:rPr>
        <w:t>)</w:t>
      </w:r>
      <w:r>
        <w:rPr>
          <w:color w:val="000000"/>
          <w:sz w:val="24"/>
          <w:szCs w:val="24"/>
          <w:lang w:eastAsia="fr-FR"/>
        </w:rPr>
        <w:t>, proposaient une lecture d</w:t>
      </w:r>
      <w:r w:rsidRPr="001943B5">
        <w:rPr>
          <w:color w:val="000000"/>
          <w:sz w:val="24"/>
          <w:szCs w:val="24"/>
          <w:lang w:eastAsia="fr-FR"/>
        </w:rPr>
        <w:t xml:space="preserve">es facteurs contextuels </w:t>
      </w:r>
      <w:r>
        <w:rPr>
          <w:color w:val="000000"/>
          <w:sz w:val="24"/>
          <w:szCs w:val="24"/>
          <w:lang w:eastAsia="fr-FR"/>
        </w:rPr>
        <w:t>et leur rapport au comportement d’usage des drogues. Ces auteurs ont relevé plusieurs facteurs notamment : les</w:t>
      </w:r>
      <w:r w:rsidRPr="001943B5">
        <w:rPr>
          <w:color w:val="000000"/>
          <w:sz w:val="24"/>
          <w:szCs w:val="24"/>
          <w:lang w:eastAsia="fr-FR"/>
        </w:rPr>
        <w:t xml:space="preserve"> politiques scolaires absentes ou peu connues ou mal appliquées ou mal adaptées ; </w:t>
      </w:r>
      <w:r>
        <w:rPr>
          <w:color w:val="000000"/>
          <w:sz w:val="24"/>
          <w:szCs w:val="24"/>
          <w:lang w:eastAsia="fr-FR"/>
        </w:rPr>
        <w:t xml:space="preserve">la </w:t>
      </w:r>
      <w:r w:rsidRPr="001943B5">
        <w:rPr>
          <w:color w:val="000000"/>
          <w:sz w:val="24"/>
          <w:szCs w:val="24"/>
          <w:lang w:eastAsia="fr-FR"/>
        </w:rPr>
        <w:t xml:space="preserve">tolérance et </w:t>
      </w:r>
      <w:r>
        <w:rPr>
          <w:color w:val="000000"/>
          <w:sz w:val="24"/>
          <w:szCs w:val="24"/>
          <w:lang w:eastAsia="fr-FR"/>
        </w:rPr>
        <w:t xml:space="preserve">la </w:t>
      </w:r>
      <w:r w:rsidRPr="001943B5">
        <w:rPr>
          <w:color w:val="000000"/>
          <w:sz w:val="24"/>
          <w:szCs w:val="24"/>
          <w:lang w:eastAsia="fr-FR"/>
        </w:rPr>
        <w:t xml:space="preserve">permissivité en matière de consommation ; </w:t>
      </w:r>
      <w:r>
        <w:rPr>
          <w:color w:val="000000"/>
          <w:sz w:val="24"/>
          <w:szCs w:val="24"/>
          <w:lang w:eastAsia="fr-FR"/>
        </w:rPr>
        <w:t xml:space="preserve">la </w:t>
      </w:r>
      <w:r w:rsidRPr="001943B5">
        <w:rPr>
          <w:color w:val="000000"/>
          <w:sz w:val="24"/>
          <w:szCs w:val="24"/>
          <w:lang w:eastAsia="fr-FR"/>
        </w:rPr>
        <w:t>famille (consommation des parents et de la fratrie, alcoolisme parental, pratiques éducatives parentales inadéquates, manque de soutien parental, pression sociale ou familiale à la performance)</w:t>
      </w:r>
      <w:r>
        <w:rPr>
          <w:color w:val="000000"/>
          <w:sz w:val="24"/>
          <w:szCs w:val="24"/>
          <w:lang w:eastAsia="fr-FR"/>
        </w:rPr>
        <w:t>. Ces auteurs ont également relevé d’autres facteurs tels que l’</w:t>
      </w:r>
      <w:r w:rsidRPr="001943B5">
        <w:rPr>
          <w:color w:val="000000"/>
          <w:sz w:val="24"/>
          <w:szCs w:val="24"/>
          <w:lang w:eastAsia="fr-FR"/>
        </w:rPr>
        <w:t xml:space="preserve">environnement global </w:t>
      </w:r>
      <w:r>
        <w:rPr>
          <w:color w:val="000000"/>
          <w:sz w:val="24"/>
          <w:szCs w:val="24"/>
          <w:lang w:eastAsia="fr-FR"/>
        </w:rPr>
        <w:t>caractérisée par des éléments liés à l’</w:t>
      </w:r>
      <w:r w:rsidRPr="001943B5">
        <w:rPr>
          <w:color w:val="000000"/>
          <w:sz w:val="24"/>
          <w:szCs w:val="24"/>
          <w:lang w:eastAsia="fr-FR"/>
        </w:rPr>
        <w:t xml:space="preserve">influence négative des pairs, </w:t>
      </w:r>
      <w:r>
        <w:rPr>
          <w:color w:val="000000"/>
          <w:sz w:val="24"/>
          <w:szCs w:val="24"/>
          <w:lang w:eastAsia="fr-FR"/>
        </w:rPr>
        <w:t xml:space="preserve">la </w:t>
      </w:r>
      <w:r w:rsidRPr="001943B5">
        <w:rPr>
          <w:color w:val="000000"/>
          <w:sz w:val="24"/>
          <w:szCs w:val="24"/>
          <w:lang w:eastAsia="fr-FR"/>
        </w:rPr>
        <w:t xml:space="preserve">consommation des </w:t>
      </w:r>
      <w:r>
        <w:rPr>
          <w:color w:val="000000"/>
          <w:sz w:val="24"/>
          <w:szCs w:val="24"/>
          <w:lang w:eastAsia="fr-FR"/>
        </w:rPr>
        <w:t xml:space="preserve">SPA par les </w:t>
      </w:r>
      <w:r w:rsidRPr="001943B5">
        <w:rPr>
          <w:color w:val="000000"/>
          <w:sz w:val="24"/>
          <w:szCs w:val="24"/>
          <w:lang w:eastAsia="fr-FR"/>
        </w:rPr>
        <w:t xml:space="preserve">amis, </w:t>
      </w:r>
      <w:r>
        <w:rPr>
          <w:color w:val="000000"/>
          <w:sz w:val="24"/>
          <w:szCs w:val="24"/>
          <w:lang w:eastAsia="fr-FR"/>
        </w:rPr>
        <w:t xml:space="preserve">la </w:t>
      </w:r>
      <w:r w:rsidRPr="001943B5">
        <w:rPr>
          <w:color w:val="000000"/>
          <w:sz w:val="24"/>
          <w:szCs w:val="24"/>
          <w:lang w:eastAsia="fr-FR"/>
        </w:rPr>
        <w:t xml:space="preserve">pauvreté, </w:t>
      </w:r>
      <w:r>
        <w:rPr>
          <w:color w:val="000000"/>
          <w:sz w:val="24"/>
          <w:szCs w:val="24"/>
          <w:lang w:eastAsia="fr-FR"/>
        </w:rPr>
        <w:t xml:space="preserve">la </w:t>
      </w:r>
      <w:r w:rsidRPr="001943B5">
        <w:rPr>
          <w:color w:val="000000"/>
          <w:sz w:val="24"/>
          <w:szCs w:val="24"/>
          <w:lang w:eastAsia="fr-FR"/>
        </w:rPr>
        <w:t xml:space="preserve">criminalité et </w:t>
      </w:r>
      <w:r>
        <w:rPr>
          <w:color w:val="000000"/>
          <w:sz w:val="24"/>
          <w:szCs w:val="24"/>
          <w:lang w:eastAsia="fr-FR"/>
        </w:rPr>
        <w:t>l’</w:t>
      </w:r>
      <w:r w:rsidRPr="001943B5">
        <w:rPr>
          <w:color w:val="000000"/>
          <w:sz w:val="24"/>
          <w:szCs w:val="24"/>
          <w:lang w:eastAsia="fr-FR"/>
        </w:rPr>
        <w:t xml:space="preserve">isolement, </w:t>
      </w:r>
      <w:r>
        <w:rPr>
          <w:color w:val="000000"/>
          <w:sz w:val="24"/>
          <w:szCs w:val="24"/>
          <w:lang w:eastAsia="fr-FR"/>
        </w:rPr>
        <w:t xml:space="preserve">la </w:t>
      </w:r>
      <w:r w:rsidRPr="001943B5">
        <w:rPr>
          <w:color w:val="000000"/>
          <w:sz w:val="24"/>
          <w:szCs w:val="24"/>
          <w:lang w:eastAsia="fr-FR"/>
        </w:rPr>
        <w:t xml:space="preserve">banalisation de la consommation, </w:t>
      </w:r>
      <w:r>
        <w:rPr>
          <w:color w:val="000000"/>
          <w:sz w:val="24"/>
          <w:szCs w:val="24"/>
          <w:lang w:eastAsia="fr-FR"/>
        </w:rPr>
        <w:t xml:space="preserve">le </w:t>
      </w:r>
      <w:r w:rsidRPr="001943B5">
        <w:rPr>
          <w:color w:val="000000"/>
          <w:sz w:val="24"/>
          <w:szCs w:val="24"/>
          <w:lang w:eastAsia="fr-FR"/>
        </w:rPr>
        <w:t xml:space="preserve">non-respect de la loi sur la vente aux mineurs, </w:t>
      </w:r>
      <w:r>
        <w:rPr>
          <w:color w:val="000000"/>
          <w:sz w:val="24"/>
          <w:szCs w:val="24"/>
          <w:lang w:eastAsia="fr-FR"/>
        </w:rPr>
        <w:t xml:space="preserve">les </w:t>
      </w:r>
      <w:r w:rsidRPr="001943B5">
        <w:rPr>
          <w:color w:val="000000"/>
          <w:sz w:val="24"/>
          <w:szCs w:val="24"/>
          <w:lang w:eastAsia="fr-FR"/>
        </w:rPr>
        <w:t>normes sociales qui favorisent ou permettent la consommation</w:t>
      </w:r>
      <w:r>
        <w:rPr>
          <w:color w:val="000000"/>
          <w:sz w:val="24"/>
          <w:szCs w:val="24"/>
          <w:lang w:eastAsia="fr-FR"/>
        </w:rPr>
        <w:t xml:space="preserve"> et les</w:t>
      </w:r>
      <w:r w:rsidRPr="001943B5">
        <w:rPr>
          <w:color w:val="000000"/>
          <w:sz w:val="24"/>
          <w:szCs w:val="24"/>
          <w:lang w:eastAsia="fr-FR"/>
        </w:rPr>
        <w:t xml:space="preserve"> modèles de consommation dans la culture.</w:t>
      </w:r>
    </w:p>
    <w:p w14:paraId="3B16E584" w14:textId="77777777" w:rsidR="00D80693" w:rsidRDefault="00D80693" w:rsidP="008276DA">
      <w:pPr>
        <w:spacing w:before="120" w:after="240"/>
        <w:jc w:val="both"/>
        <w:rPr>
          <w:color w:val="000000"/>
          <w:sz w:val="24"/>
          <w:szCs w:val="24"/>
          <w:lang w:eastAsia="fr-FR"/>
        </w:rPr>
      </w:pPr>
      <w:r>
        <w:rPr>
          <w:color w:val="000000"/>
          <w:sz w:val="24"/>
          <w:szCs w:val="24"/>
          <w:lang w:eastAsia="fr-FR"/>
        </w:rPr>
        <w:t xml:space="preserve">Dans la même perspective, </w:t>
      </w:r>
      <w:r w:rsidRPr="001943B5">
        <w:rPr>
          <w:color w:val="000000"/>
          <w:sz w:val="24"/>
          <w:szCs w:val="24"/>
          <w:lang w:eastAsia="fr-FR"/>
        </w:rPr>
        <w:t xml:space="preserve">Sydow et al., (2002), </w:t>
      </w:r>
      <w:r>
        <w:rPr>
          <w:color w:val="000000"/>
          <w:sz w:val="24"/>
          <w:szCs w:val="24"/>
          <w:lang w:eastAsia="fr-FR"/>
        </w:rPr>
        <w:t>proposaient une lecture d</w:t>
      </w:r>
      <w:r w:rsidRPr="001943B5">
        <w:rPr>
          <w:color w:val="000000"/>
          <w:sz w:val="24"/>
          <w:szCs w:val="24"/>
          <w:lang w:eastAsia="fr-FR"/>
        </w:rPr>
        <w:t>es variables</w:t>
      </w:r>
      <w:r>
        <w:rPr>
          <w:color w:val="000000"/>
          <w:sz w:val="24"/>
          <w:szCs w:val="24"/>
          <w:lang w:eastAsia="fr-FR"/>
        </w:rPr>
        <w:t>,</w:t>
      </w:r>
      <w:r w:rsidRPr="001943B5">
        <w:rPr>
          <w:color w:val="000000"/>
          <w:sz w:val="24"/>
          <w:szCs w:val="24"/>
          <w:lang w:eastAsia="fr-FR"/>
        </w:rPr>
        <w:t xml:space="preserve"> décrivant les relations de l’individu avec sa famille (la pauvreté affective et familiale, la vie hors du foyer familial avant l’âge de 18 ans, la séparation des parents, les conflits familiaux ou avec l’enseignement</w:t>
      </w:r>
      <w:r>
        <w:rPr>
          <w:color w:val="000000"/>
          <w:sz w:val="24"/>
          <w:szCs w:val="24"/>
          <w:lang w:eastAsia="fr-FR"/>
        </w:rPr>
        <w:t>, l’</w:t>
      </w:r>
      <w:r w:rsidRPr="001943B5">
        <w:rPr>
          <w:color w:val="000000"/>
          <w:sz w:val="24"/>
          <w:szCs w:val="24"/>
          <w:lang w:eastAsia="fr-FR"/>
        </w:rPr>
        <w:t xml:space="preserve">absentéisme à l’école, les antécédents familiaux tels que les troubles mentaux parentaux, la mort parentale précoce). </w:t>
      </w:r>
      <w:r>
        <w:rPr>
          <w:color w:val="000000"/>
          <w:sz w:val="24"/>
          <w:szCs w:val="24"/>
          <w:lang w:eastAsia="fr-FR"/>
        </w:rPr>
        <w:t>L</w:t>
      </w:r>
      <w:r w:rsidRPr="001943B5">
        <w:rPr>
          <w:color w:val="000000"/>
          <w:sz w:val="24"/>
          <w:szCs w:val="24"/>
          <w:lang w:eastAsia="fr-FR"/>
        </w:rPr>
        <w:t xml:space="preserve">es facteurs liés à la crise d’éducation familiale : </w:t>
      </w:r>
      <w:r>
        <w:rPr>
          <w:color w:val="000000"/>
          <w:sz w:val="24"/>
          <w:szCs w:val="24"/>
          <w:lang w:eastAsia="fr-FR"/>
        </w:rPr>
        <w:t>s</w:t>
      </w:r>
      <w:r w:rsidRPr="001943B5">
        <w:rPr>
          <w:color w:val="000000"/>
          <w:sz w:val="24"/>
          <w:szCs w:val="24"/>
          <w:lang w:eastAsia="fr-FR"/>
        </w:rPr>
        <w:t>ituations familiales perturbées notamment par le divorce des parents, ou par les conflits conjugaux ; Parents trop occupés par leurs activités professionnelles qui remettent l’éducation de leurs enfants à des domestiques ou à des institutions incompétentes ; Absence de dialogue entre parents et enfants. Les facteurs liés au système éducatif</w:t>
      </w:r>
      <w:r>
        <w:rPr>
          <w:color w:val="000000"/>
          <w:sz w:val="24"/>
          <w:szCs w:val="24"/>
          <w:lang w:eastAsia="fr-FR"/>
        </w:rPr>
        <w:t>,</w:t>
      </w:r>
      <w:r w:rsidRPr="001943B5">
        <w:rPr>
          <w:color w:val="000000"/>
          <w:sz w:val="24"/>
          <w:szCs w:val="24"/>
          <w:lang w:eastAsia="fr-FR"/>
        </w:rPr>
        <w:t xml:space="preserve"> </w:t>
      </w:r>
      <w:r>
        <w:rPr>
          <w:color w:val="000000"/>
          <w:sz w:val="24"/>
          <w:szCs w:val="24"/>
          <w:lang w:eastAsia="fr-FR"/>
        </w:rPr>
        <w:t>l</w:t>
      </w:r>
      <w:r w:rsidRPr="001943B5">
        <w:rPr>
          <w:color w:val="000000"/>
          <w:sz w:val="24"/>
          <w:szCs w:val="24"/>
          <w:lang w:eastAsia="fr-FR"/>
        </w:rPr>
        <w:t>a surcharge des programmes scolaires</w:t>
      </w:r>
      <w:r>
        <w:rPr>
          <w:color w:val="000000"/>
          <w:sz w:val="24"/>
          <w:szCs w:val="24"/>
          <w:lang w:eastAsia="fr-FR"/>
        </w:rPr>
        <w:t>,</w:t>
      </w:r>
      <w:r w:rsidRPr="001943B5">
        <w:rPr>
          <w:color w:val="000000"/>
          <w:sz w:val="24"/>
          <w:szCs w:val="24"/>
          <w:lang w:eastAsia="fr-FR"/>
        </w:rPr>
        <w:t xml:space="preserve"> </w:t>
      </w:r>
      <w:r>
        <w:rPr>
          <w:color w:val="000000"/>
          <w:sz w:val="24"/>
          <w:szCs w:val="24"/>
          <w:lang w:eastAsia="fr-FR"/>
        </w:rPr>
        <w:t xml:space="preserve">sont autant de caractéristiques liées </w:t>
      </w:r>
      <w:r w:rsidRPr="002554AD">
        <w:rPr>
          <w:color w:val="000000"/>
          <w:sz w:val="24"/>
          <w:szCs w:val="24"/>
          <w:lang w:eastAsia="fr-FR"/>
        </w:rPr>
        <w:t>au comportement relatif à la consommation de SPA</w:t>
      </w:r>
      <w:r>
        <w:rPr>
          <w:color w:val="000000"/>
          <w:sz w:val="24"/>
          <w:szCs w:val="24"/>
          <w:lang w:eastAsia="fr-FR"/>
        </w:rPr>
        <w:t>.</w:t>
      </w:r>
    </w:p>
    <w:p w14:paraId="786FBE69" w14:textId="77777777" w:rsidR="00D80693" w:rsidRDefault="00D80693" w:rsidP="008276DA">
      <w:pPr>
        <w:spacing w:before="120" w:after="240"/>
        <w:jc w:val="both"/>
        <w:rPr>
          <w:color w:val="000000"/>
          <w:sz w:val="24"/>
          <w:szCs w:val="24"/>
          <w:lang w:eastAsia="fr-FR"/>
        </w:rPr>
      </w:pPr>
      <w:r>
        <w:rPr>
          <w:color w:val="000000"/>
          <w:sz w:val="24"/>
          <w:szCs w:val="24"/>
          <w:lang w:eastAsia="fr-FR"/>
        </w:rPr>
        <w:t xml:space="preserve">En parlant du rapport entre la consommation des drogues et la fréquentation des pairs par l’élève, </w:t>
      </w:r>
      <w:bookmarkStart w:id="271" w:name="_Hlk211726990"/>
      <w:proofErr w:type="spellStart"/>
      <w:r>
        <w:rPr>
          <w:color w:val="000000"/>
          <w:sz w:val="24"/>
          <w:szCs w:val="24"/>
          <w:lang w:eastAsia="fr-FR"/>
        </w:rPr>
        <w:t>Chaffi</w:t>
      </w:r>
      <w:proofErr w:type="spellEnd"/>
      <w:r>
        <w:rPr>
          <w:color w:val="000000"/>
          <w:sz w:val="24"/>
          <w:szCs w:val="24"/>
          <w:lang w:eastAsia="fr-FR"/>
        </w:rPr>
        <w:t xml:space="preserve"> et </w:t>
      </w:r>
      <w:proofErr w:type="spellStart"/>
      <w:r>
        <w:rPr>
          <w:color w:val="000000"/>
          <w:sz w:val="24"/>
          <w:szCs w:val="24"/>
          <w:lang w:eastAsia="fr-FR"/>
        </w:rPr>
        <w:t>Ndoumba</w:t>
      </w:r>
      <w:proofErr w:type="spellEnd"/>
      <w:r>
        <w:rPr>
          <w:color w:val="000000"/>
          <w:sz w:val="24"/>
          <w:szCs w:val="24"/>
          <w:lang w:eastAsia="fr-FR"/>
        </w:rPr>
        <w:t xml:space="preserve"> (2017)</w:t>
      </w:r>
      <w:bookmarkEnd w:id="271"/>
      <w:r>
        <w:rPr>
          <w:color w:val="000000"/>
          <w:sz w:val="24"/>
          <w:szCs w:val="24"/>
          <w:lang w:eastAsia="fr-FR"/>
        </w:rPr>
        <w:t xml:space="preserve">, avancent que, </w:t>
      </w:r>
      <w:r w:rsidRPr="000C226E">
        <w:rPr>
          <w:color w:val="000000"/>
          <w:sz w:val="24"/>
          <w:szCs w:val="24"/>
          <w:lang w:eastAsia="fr-FR"/>
        </w:rPr>
        <w:t>les pairs prennent une place importance dans la vie du jeune adolescent</w:t>
      </w:r>
      <w:r>
        <w:rPr>
          <w:color w:val="000000"/>
          <w:sz w:val="24"/>
          <w:szCs w:val="24"/>
          <w:lang w:eastAsia="fr-FR"/>
        </w:rPr>
        <w:t>.</w:t>
      </w:r>
      <w:r w:rsidRPr="000C226E">
        <w:rPr>
          <w:color w:val="000000"/>
          <w:sz w:val="24"/>
          <w:szCs w:val="24"/>
          <w:lang w:eastAsia="fr-FR"/>
        </w:rPr>
        <w:t xml:space="preserve"> </w:t>
      </w:r>
      <w:r>
        <w:rPr>
          <w:color w:val="000000"/>
          <w:sz w:val="24"/>
          <w:szCs w:val="24"/>
          <w:lang w:eastAsia="fr-FR"/>
        </w:rPr>
        <w:t>C</w:t>
      </w:r>
      <w:r w:rsidRPr="000C226E">
        <w:rPr>
          <w:color w:val="000000"/>
          <w:sz w:val="24"/>
          <w:szCs w:val="24"/>
          <w:lang w:eastAsia="fr-FR"/>
        </w:rPr>
        <w:t>ar</w:t>
      </w:r>
      <w:r>
        <w:rPr>
          <w:color w:val="000000"/>
          <w:sz w:val="24"/>
          <w:szCs w:val="24"/>
          <w:lang w:eastAsia="fr-FR"/>
        </w:rPr>
        <w:t xml:space="preserve">, l’adolescent </w:t>
      </w:r>
      <w:r w:rsidRPr="000C226E">
        <w:rPr>
          <w:color w:val="000000"/>
          <w:sz w:val="24"/>
          <w:szCs w:val="24"/>
          <w:lang w:eastAsia="fr-FR"/>
        </w:rPr>
        <w:t xml:space="preserve">étant à la recherche des repères identificatoires, </w:t>
      </w:r>
      <w:r>
        <w:rPr>
          <w:color w:val="000000"/>
          <w:sz w:val="24"/>
          <w:szCs w:val="24"/>
          <w:lang w:eastAsia="fr-FR"/>
        </w:rPr>
        <w:t xml:space="preserve">a tendance à adhérer à un groupe de pairs, qui </w:t>
      </w:r>
      <w:r w:rsidRPr="000C226E">
        <w:rPr>
          <w:color w:val="000000"/>
          <w:sz w:val="24"/>
          <w:szCs w:val="24"/>
          <w:lang w:eastAsia="fr-FR"/>
        </w:rPr>
        <w:t xml:space="preserve">représentent </w:t>
      </w:r>
      <w:r>
        <w:rPr>
          <w:color w:val="000000"/>
          <w:sz w:val="24"/>
          <w:szCs w:val="24"/>
          <w:lang w:eastAsia="fr-FR"/>
        </w:rPr>
        <w:t>selon</w:t>
      </w:r>
      <w:r w:rsidRPr="000C226E">
        <w:rPr>
          <w:color w:val="000000"/>
          <w:sz w:val="24"/>
          <w:szCs w:val="24"/>
          <w:lang w:eastAsia="fr-FR"/>
        </w:rPr>
        <w:t xml:space="preserve"> lui des semblables rassurants</w:t>
      </w:r>
      <w:r>
        <w:rPr>
          <w:color w:val="000000"/>
          <w:sz w:val="24"/>
          <w:szCs w:val="24"/>
          <w:lang w:eastAsia="fr-FR"/>
        </w:rPr>
        <w:t xml:space="preserve"> avec qui il peut </w:t>
      </w:r>
      <w:r w:rsidRPr="000C226E">
        <w:rPr>
          <w:color w:val="000000"/>
          <w:sz w:val="24"/>
          <w:szCs w:val="24"/>
          <w:lang w:eastAsia="fr-FR"/>
        </w:rPr>
        <w:t xml:space="preserve">s’affirmer. </w:t>
      </w:r>
      <w:r>
        <w:rPr>
          <w:color w:val="000000"/>
          <w:sz w:val="24"/>
          <w:szCs w:val="24"/>
          <w:lang w:eastAsia="fr-FR"/>
        </w:rPr>
        <w:t>Aussi, i</w:t>
      </w:r>
      <w:r w:rsidRPr="000C226E">
        <w:rPr>
          <w:color w:val="000000"/>
          <w:sz w:val="24"/>
          <w:szCs w:val="24"/>
          <w:lang w:eastAsia="fr-FR"/>
        </w:rPr>
        <w:t xml:space="preserve">l existe le besoin de découvrir ce qui se cache dans cet interdit et la désirabilité sociale </w:t>
      </w:r>
      <w:r w:rsidRPr="009539E0">
        <w:rPr>
          <w:color w:val="000000"/>
          <w:sz w:val="24"/>
          <w:szCs w:val="24"/>
          <w:lang w:eastAsia="fr-FR"/>
        </w:rPr>
        <w:t xml:space="preserve">à travers laquelle le sujet veut </w:t>
      </w:r>
      <w:r w:rsidRPr="000C226E">
        <w:rPr>
          <w:color w:val="000000"/>
          <w:sz w:val="24"/>
          <w:szCs w:val="24"/>
          <w:lang w:eastAsia="fr-FR"/>
        </w:rPr>
        <w:t xml:space="preserve">faire une identité sociale. </w:t>
      </w:r>
      <w:r>
        <w:rPr>
          <w:color w:val="000000"/>
          <w:sz w:val="24"/>
          <w:szCs w:val="24"/>
          <w:lang w:eastAsia="fr-FR"/>
        </w:rPr>
        <w:t>Selon ces auteurs, c</w:t>
      </w:r>
      <w:r w:rsidRPr="000C226E">
        <w:rPr>
          <w:color w:val="000000"/>
          <w:sz w:val="24"/>
          <w:szCs w:val="24"/>
          <w:lang w:eastAsia="fr-FR"/>
        </w:rPr>
        <w:t>’est sans doute évident qu’un adolescent veu</w:t>
      </w:r>
      <w:r>
        <w:rPr>
          <w:color w:val="000000"/>
          <w:sz w:val="24"/>
          <w:szCs w:val="24"/>
          <w:lang w:eastAsia="fr-FR"/>
        </w:rPr>
        <w:t>ille</w:t>
      </w:r>
      <w:r w:rsidRPr="000C226E">
        <w:rPr>
          <w:color w:val="000000"/>
          <w:sz w:val="24"/>
          <w:szCs w:val="24"/>
          <w:lang w:eastAsia="fr-FR"/>
        </w:rPr>
        <w:t xml:space="preserve"> expérimenter un produit dont on parle beaucoup dans son environnement. Ensuite, c’est par imitation qu’il se drogue. Afin d’appartenir au groupe de référence, l’impétrant devrait subir le rite initiatique, qui est le plus souvent la consommation des psychoactifs</w:t>
      </w:r>
      <w:r>
        <w:rPr>
          <w:color w:val="000000"/>
          <w:sz w:val="24"/>
          <w:szCs w:val="24"/>
          <w:lang w:eastAsia="fr-FR"/>
        </w:rPr>
        <w:t>,</w:t>
      </w:r>
      <w:r w:rsidRPr="000C226E">
        <w:rPr>
          <w:color w:val="000000"/>
          <w:sz w:val="24"/>
          <w:szCs w:val="24"/>
          <w:lang w:eastAsia="fr-FR"/>
        </w:rPr>
        <w:t xml:space="preserve"> afin de se conformer aux normes du groupe d’appartenance. En effet, si dans un groupe de copains</w:t>
      </w:r>
      <w:r>
        <w:rPr>
          <w:color w:val="000000"/>
          <w:sz w:val="24"/>
          <w:szCs w:val="24"/>
          <w:lang w:eastAsia="fr-FR"/>
        </w:rPr>
        <w:t>,</w:t>
      </w:r>
      <w:r w:rsidRPr="000C226E">
        <w:rPr>
          <w:color w:val="000000"/>
          <w:sz w:val="24"/>
          <w:szCs w:val="24"/>
          <w:lang w:eastAsia="fr-FR"/>
        </w:rPr>
        <w:t xml:space="preserve"> quelques individus influents se droguent, le jeune se voit dans l’obligation de les suivre pour être accepté et reconnu, c’est-à-dire, prendre lui aussi sa dose de drogue, sinon il risque d’être exclu du groupe et subir le “</w:t>
      </w:r>
      <w:r w:rsidRPr="000C226E">
        <w:rPr>
          <w:i/>
          <w:iCs/>
          <w:color w:val="000000"/>
          <w:sz w:val="24"/>
          <w:szCs w:val="24"/>
          <w:lang w:eastAsia="fr-FR"/>
        </w:rPr>
        <w:t xml:space="preserve">black </w:t>
      </w:r>
      <w:proofErr w:type="spellStart"/>
      <w:r w:rsidRPr="000C226E">
        <w:rPr>
          <w:i/>
          <w:iCs/>
          <w:color w:val="000000"/>
          <w:sz w:val="24"/>
          <w:szCs w:val="24"/>
          <w:lang w:eastAsia="fr-FR"/>
        </w:rPr>
        <w:t>sheep</w:t>
      </w:r>
      <w:proofErr w:type="spellEnd"/>
      <w:r w:rsidRPr="000C226E">
        <w:rPr>
          <w:i/>
          <w:iCs/>
          <w:color w:val="000000"/>
          <w:sz w:val="24"/>
          <w:szCs w:val="24"/>
          <w:lang w:eastAsia="fr-FR"/>
        </w:rPr>
        <w:t xml:space="preserve"> </w:t>
      </w:r>
      <w:proofErr w:type="spellStart"/>
      <w:r w:rsidRPr="000C226E">
        <w:rPr>
          <w:i/>
          <w:iCs/>
          <w:color w:val="000000"/>
          <w:sz w:val="24"/>
          <w:szCs w:val="24"/>
          <w:lang w:eastAsia="fr-FR"/>
        </w:rPr>
        <w:t>effect</w:t>
      </w:r>
      <w:proofErr w:type="spellEnd"/>
      <w:r w:rsidRPr="000C226E">
        <w:rPr>
          <w:color w:val="000000"/>
          <w:sz w:val="24"/>
          <w:szCs w:val="24"/>
          <w:lang w:eastAsia="fr-FR"/>
        </w:rPr>
        <w:t>”</w:t>
      </w:r>
      <w:r>
        <w:rPr>
          <w:color w:val="000000"/>
          <w:sz w:val="24"/>
          <w:szCs w:val="24"/>
          <w:lang w:eastAsia="fr-FR"/>
        </w:rPr>
        <w:t xml:space="preserve"> (</w:t>
      </w:r>
      <w:proofErr w:type="spellStart"/>
      <w:r>
        <w:rPr>
          <w:color w:val="000000"/>
          <w:sz w:val="24"/>
          <w:szCs w:val="24"/>
          <w:lang w:eastAsia="fr-FR"/>
        </w:rPr>
        <w:t>Chaffi</w:t>
      </w:r>
      <w:proofErr w:type="spellEnd"/>
      <w:r>
        <w:rPr>
          <w:color w:val="000000"/>
          <w:sz w:val="24"/>
          <w:szCs w:val="24"/>
          <w:lang w:eastAsia="fr-FR"/>
        </w:rPr>
        <w:t xml:space="preserve"> et </w:t>
      </w:r>
      <w:proofErr w:type="spellStart"/>
      <w:r>
        <w:rPr>
          <w:color w:val="000000"/>
          <w:sz w:val="24"/>
          <w:szCs w:val="24"/>
          <w:lang w:eastAsia="fr-FR"/>
        </w:rPr>
        <w:t>Ndoumba</w:t>
      </w:r>
      <w:proofErr w:type="spellEnd"/>
      <w:r>
        <w:rPr>
          <w:color w:val="000000"/>
          <w:sz w:val="24"/>
          <w:szCs w:val="24"/>
          <w:lang w:eastAsia="fr-FR"/>
        </w:rPr>
        <w:t>, 2017, p. 3).</w:t>
      </w:r>
      <w:r w:rsidRPr="008B2805">
        <w:rPr>
          <w:color w:val="000000"/>
          <w:sz w:val="24"/>
          <w:szCs w:val="24"/>
          <w:lang w:eastAsia="fr-FR"/>
        </w:rPr>
        <w:t xml:space="preserve"> </w:t>
      </w:r>
    </w:p>
    <w:p w14:paraId="71E8AA98" w14:textId="77777777" w:rsidR="00D80693" w:rsidRDefault="00D80693" w:rsidP="008276DA">
      <w:pPr>
        <w:spacing w:before="120" w:after="240"/>
        <w:jc w:val="both"/>
        <w:rPr>
          <w:color w:val="000000"/>
          <w:sz w:val="24"/>
          <w:szCs w:val="24"/>
          <w:lang w:eastAsia="fr-FR"/>
        </w:rPr>
      </w:pPr>
      <w:r w:rsidRPr="001943B5">
        <w:rPr>
          <w:color w:val="000000"/>
          <w:sz w:val="24"/>
          <w:szCs w:val="24"/>
          <w:lang w:eastAsia="fr-FR"/>
        </w:rPr>
        <w:t xml:space="preserve">Par ailleurs, </w:t>
      </w:r>
      <w:bookmarkStart w:id="272" w:name="_Hlk50285136"/>
      <w:r w:rsidRPr="001943B5">
        <w:rPr>
          <w:color w:val="000000"/>
          <w:sz w:val="24"/>
          <w:szCs w:val="24"/>
          <w:lang w:eastAsia="fr-FR"/>
        </w:rPr>
        <w:t>Duprez et Kokoreff (2000)</w:t>
      </w:r>
      <w:bookmarkEnd w:id="272"/>
      <w:r w:rsidRPr="001943B5">
        <w:rPr>
          <w:color w:val="000000"/>
          <w:sz w:val="24"/>
          <w:szCs w:val="24"/>
          <w:lang w:eastAsia="fr-FR"/>
        </w:rPr>
        <w:t xml:space="preserve"> ont proposé une lecture sur la socialité des cités</w:t>
      </w:r>
      <w:r>
        <w:rPr>
          <w:color w:val="000000"/>
          <w:sz w:val="24"/>
          <w:szCs w:val="24"/>
          <w:lang w:eastAsia="fr-FR"/>
        </w:rPr>
        <w:t>,</w:t>
      </w:r>
      <w:r w:rsidRPr="001943B5">
        <w:rPr>
          <w:color w:val="000000"/>
          <w:sz w:val="24"/>
          <w:szCs w:val="24"/>
          <w:lang w:eastAsia="fr-FR"/>
        </w:rPr>
        <w:t xml:space="preserve"> afin de mieux comprendre les formes et les significations sociales des activités illicites liées à l'usage de drogues en milieux populaires. </w:t>
      </w:r>
      <w:r>
        <w:rPr>
          <w:color w:val="000000"/>
          <w:sz w:val="24"/>
          <w:szCs w:val="24"/>
          <w:lang w:eastAsia="fr-FR"/>
        </w:rPr>
        <w:t>Selon ces auteurs, l</w:t>
      </w:r>
      <w:r w:rsidRPr="001943B5">
        <w:rPr>
          <w:color w:val="000000"/>
          <w:sz w:val="24"/>
          <w:szCs w:val="24"/>
          <w:lang w:eastAsia="fr-FR"/>
        </w:rPr>
        <w:t xml:space="preserve">a drogue </w:t>
      </w:r>
      <w:r>
        <w:rPr>
          <w:color w:val="000000"/>
          <w:sz w:val="24"/>
          <w:szCs w:val="24"/>
          <w:lang w:eastAsia="fr-FR"/>
        </w:rPr>
        <w:t>en tant que</w:t>
      </w:r>
      <w:r w:rsidRPr="001943B5">
        <w:rPr>
          <w:color w:val="000000"/>
          <w:sz w:val="24"/>
          <w:szCs w:val="24"/>
          <w:lang w:eastAsia="fr-FR"/>
        </w:rPr>
        <w:t xml:space="preserve"> réalité économique s'est imposée comme un fait social, non plus seulement à l'échelle internationale, avec le narcotrafic, mais aux divers échelons du local, avec le développement de trafics de proximité</w:t>
      </w:r>
      <w:r>
        <w:rPr>
          <w:color w:val="000000"/>
          <w:sz w:val="24"/>
          <w:szCs w:val="24"/>
          <w:lang w:eastAsia="fr-FR"/>
        </w:rPr>
        <w:t>. Ainsi, l</w:t>
      </w:r>
      <w:r w:rsidRPr="001943B5">
        <w:rPr>
          <w:color w:val="000000"/>
          <w:sz w:val="24"/>
          <w:szCs w:val="24"/>
          <w:lang w:eastAsia="fr-FR"/>
        </w:rPr>
        <w:t>es formes juvéniles de la sociabilité jouent un rôle majeur dans l'</w:t>
      </w:r>
      <w:r>
        <w:rPr>
          <w:color w:val="000000"/>
          <w:sz w:val="24"/>
          <w:szCs w:val="24"/>
          <w:lang w:eastAsia="fr-FR"/>
        </w:rPr>
        <w:t>initiation et la pratique de</w:t>
      </w:r>
      <w:r w:rsidRPr="001943B5">
        <w:rPr>
          <w:color w:val="000000"/>
          <w:sz w:val="24"/>
          <w:szCs w:val="24"/>
          <w:lang w:eastAsia="fr-FR"/>
        </w:rPr>
        <w:t xml:space="preserve"> consommation</w:t>
      </w:r>
      <w:r>
        <w:rPr>
          <w:color w:val="000000"/>
          <w:sz w:val="24"/>
          <w:szCs w:val="24"/>
          <w:lang w:eastAsia="fr-FR"/>
        </w:rPr>
        <w:t xml:space="preserve"> de SPA ; et </w:t>
      </w:r>
      <w:r w:rsidRPr="001943B5">
        <w:rPr>
          <w:color w:val="000000"/>
          <w:sz w:val="24"/>
          <w:szCs w:val="24"/>
          <w:lang w:eastAsia="fr-FR"/>
        </w:rPr>
        <w:t xml:space="preserve">sont exprimées de façons diverses : les « copains » ou </w:t>
      </w:r>
      <w:proofErr w:type="gramStart"/>
      <w:r w:rsidRPr="001943B5">
        <w:rPr>
          <w:color w:val="000000"/>
          <w:sz w:val="24"/>
          <w:szCs w:val="24"/>
          <w:lang w:eastAsia="fr-FR"/>
        </w:rPr>
        <w:t>l’ «</w:t>
      </w:r>
      <w:proofErr w:type="gramEnd"/>
      <w:r w:rsidRPr="001943B5">
        <w:rPr>
          <w:color w:val="000000"/>
          <w:sz w:val="24"/>
          <w:szCs w:val="24"/>
          <w:lang w:eastAsia="fr-FR"/>
        </w:rPr>
        <w:t xml:space="preserve"> entourage au quartier », les « mauvaises fréquentations », ou « simplement à force de traîner avec les copains qui consomment ». Duprez et Kokoreff (2000), </w:t>
      </w:r>
      <w:bookmarkStart w:id="273" w:name="_Hlk50286865"/>
      <w:r w:rsidRPr="001943B5">
        <w:rPr>
          <w:color w:val="000000"/>
          <w:sz w:val="24"/>
          <w:szCs w:val="24"/>
          <w:lang w:eastAsia="fr-FR"/>
        </w:rPr>
        <w:t>indique</w:t>
      </w:r>
      <w:r>
        <w:rPr>
          <w:color w:val="000000"/>
          <w:sz w:val="24"/>
          <w:szCs w:val="24"/>
          <w:lang w:eastAsia="fr-FR"/>
        </w:rPr>
        <w:t>nt</w:t>
      </w:r>
      <w:r w:rsidRPr="001943B5">
        <w:rPr>
          <w:color w:val="000000"/>
          <w:sz w:val="24"/>
          <w:szCs w:val="24"/>
          <w:lang w:eastAsia="fr-FR"/>
        </w:rPr>
        <w:t xml:space="preserve"> clairement les situations vécues à l'école et celles vécues au quartie</w:t>
      </w:r>
      <w:r>
        <w:rPr>
          <w:color w:val="000000"/>
          <w:sz w:val="24"/>
          <w:szCs w:val="24"/>
          <w:lang w:eastAsia="fr-FR"/>
        </w:rPr>
        <w:t>r. A</w:t>
      </w:r>
      <w:r w:rsidRPr="001943B5">
        <w:rPr>
          <w:color w:val="000000"/>
          <w:sz w:val="24"/>
          <w:szCs w:val="24"/>
          <w:lang w:eastAsia="fr-FR"/>
        </w:rPr>
        <w:t>utrement dit, le lien très fluide entre la vente/livraison/consommation des stupéfiants à l’école et la continuité de l’activité au quartier se voit établi</w:t>
      </w:r>
      <w:r>
        <w:rPr>
          <w:color w:val="000000"/>
          <w:sz w:val="24"/>
          <w:szCs w:val="24"/>
          <w:lang w:eastAsia="fr-FR"/>
        </w:rPr>
        <w:t>.</w:t>
      </w:r>
      <w:r w:rsidRPr="001943B5">
        <w:rPr>
          <w:color w:val="000000"/>
          <w:sz w:val="24"/>
          <w:szCs w:val="24"/>
          <w:lang w:eastAsia="fr-FR"/>
        </w:rPr>
        <w:t xml:space="preserve">  Également</w:t>
      </w:r>
      <w:r>
        <w:rPr>
          <w:color w:val="000000"/>
          <w:sz w:val="24"/>
          <w:szCs w:val="24"/>
          <w:lang w:eastAsia="fr-FR"/>
        </w:rPr>
        <w:t>,</w:t>
      </w:r>
      <w:r w:rsidRPr="001943B5">
        <w:rPr>
          <w:color w:val="000000"/>
          <w:sz w:val="24"/>
          <w:szCs w:val="24"/>
          <w:lang w:eastAsia="fr-FR"/>
        </w:rPr>
        <w:t xml:space="preserve"> la compagnie ou la fréquentation de ces pairs consommateurs</w:t>
      </w:r>
      <w:r>
        <w:rPr>
          <w:color w:val="000000"/>
          <w:sz w:val="24"/>
          <w:szCs w:val="24"/>
          <w:lang w:eastAsia="fr-FR"/>
        </w:rPr>
        <w:t>,</w:t>
      </w:r>
      <w:r w:rsidRPr="001943B5">
        <w:rPr>
          <w:color w:val="000000"/>
          <w:sz w:val="24"/>
          <w:szCs w:val="24"/>
          <w:lang w:eastAsia="fr-FR"/>
        </w:rPr>
        <w:t xml:space="preserve"> tant à l’école qu’au quartier</w:t>
      </w:r>
      <w:r>
        <w:rPr>
          <w:color w:val="000000"/>
          <w:sz w:val="24"/>
          <w:szCs w:val="24"/>
          <w:lang w:eastAsia="fr-FR"/>
        </w:rPr>
        <w:t>,</w:t>
      </w:r>
      <w:r w:rsidRPr="001943B5">
        <w:rPr>
          <w:color w:val="000000"/>
          <w:sz w:val="24"/>
          <w:szCs w:val="24"/>
          <w:lang w:eastAsia="fr-FR"/>
        </w:rPr>
        <w:t xml:space="preserve"> </w:t>
      </w:r>
      <w:proofErr w:type="gramStart"/>
      <w:r w:rsidRPr="001943B5">
        <w:rPr>
          <w:color w:val="000000"/>
          <w:sz w:val="24"/>
          <w:szCs w:val="24"/>
          <w:lang w:eastAsia="fr-FR"/>
        </w:rPr>
        <w:t>renforce en</w:t>
      </w:r>
      <w:proofErr w:type="gramEnd"/>
      <w:r w:rsidRPr="001943B5">
        <w:rPr>
          <w:color w:val="000000"/>
          <w:sz w:val="24"/>
          <w:szCs w:val="24"/>
          <w:lang w:eastAsia="fr-FR"/>
        </w:rPr>
        <w:t xml:space="preserve"> ces jeunes élèves</w:t>
      </w:r>
      <w:r>
        <w:rPr>
          <w:color w:val="000000"/>
          <w:sz w:val="24"/>
          <w:szCs w:val="24"/>
          <w:lang w:eastAsia="fr-FR"/>
        </w:rPr>
        <w:t>,</w:t>
      </w:r>
      <w:r w:rsidRPr="001943B5">
        <w:rPr>
          <w:color w:val="000000"/>
          <w:sz w:val="24"/>
          <w:szCs w:val="24"/>
          <w:lang w:eastAsia="fr-FR"/>
        </w:rPr>
        <w:t xml:space="preserve"> non seulement l’usage de drogues, mais aussi la maîtrise du système et leur envie d’en faire leur propre activité</w:t>
      </w:r>
      <w:r w:rsidRPr="00BA6621">
        <w:rPr>
          <w:color w:val="000000"/>
          <w:sz w:val="24"/>
          <w:szCs w:val="24"/>
          <w:lang w:eastAsia="fr-FR"/>
        </w:rPr>
        <w:t xml:space="preserve"> </w:t>
      </w:r>
      <w:r>
        <w:rPr>
          <w:color w:val="000000"/>
          <w:sz w:val="24"/>
          <w:szCs w:val="24"/>
          <w:lang w:eastAsia="fr-FR"/>
        </w:rPr>
        <w:t>(</w:t>
      </w:r>
      <w:r w:rsidRPr="001943B5">
        <w:rPr>
          <w:color w:val="000000"/>
          <w:sz w:val="24"/>
          <w:szCs w:val="24"/>
          <w:lang w:eastAsia="fr-FR"/>
        </w:rPr>
        <w:t>Dubet, 1993</w:t>
      </w:r>
      <w:r>
        <w:rPr>
          <w:color w:val="000000"/>
          <w:sz w:val="24"/>
          <w:szCs w:val="24"/>
          <w:lang w:eastAsia="fr-FR"/>
        </w:rPr>
        <w:t> ;</w:t>
      </w:r>
      <w:r w:rsidRPr="001943B5">
        <w:rPr>
          <w:color w:val="000000"/>
          <w:sz w:val="24"/>
          <w:szCs w:val="24"/>
          <w:lang w:eastAsia="fr-FR"/>
        </w:rPr>
        <w:t xml:space="preserve"> Galland, 1991 cités </w:t>
      </w:r>
      <w:r>
        <w:rPr>
          <w:color w:val="000000"/>
          <w:sz w:val="24"/>
          <w:szCs w:val="24"/>
          <w:lang w:eastAsia="fr-FR"/>
        </w:rPr>
        <w:t>dans</w:t>
      </w:r>
      <w:r w:rsidRPr="001943B5">
        <w:rPr>
          <w:color w:val="000000"/>
          <w:sz w:val="24"/>
          <w:szCs w:val="24"/>
          <w:lang w:eastAsia="fr-FR"/>
        </w:rPr>
        <w:t xml:space="preserve"> Duprez et Kokoreff, 2000).</w:t>
      </w:r>
      <w:bookmarkEnd w:id="273"/>
    </w:p>
    <w:p w14:paraId="05E56B27" w14:textId="77777777" w:rsidR="00D80693" w:rsidRPr="001943B5" w:rsidRDefault="00D80693" w:rsidP="008276DA">
      <w:pPr>
        <w:spacing w:before="120"/>
        <w:jc w:val="both"/>
        <w:rPr>
          <w:color w:val="000000"/>
          <w:sz w:val="24"/>
          <w:szCs w:val="24"/>
          <w:lang w:eastAsia="fr-FR"/>
        </w:rPr>
      </w:pPr>
      <w:r w:rsidRPr="00B70D71">
        <w:rPr>
          <w:color w:val="000000"/>
          <w:sz w:val="24"/>
          <w:szCs w:val="24"/>
          <w:lang w:eastAsia="fr-FR"/>
        </w:rPr>
        <w:t xml:space="preserve">Getting et Beauvais </w:t>
      </w:r>
      <w:r>
        <w:rPr>
          <w:color w:val="000000"/>
          <w:sz w:val="24"/>
          <w:szCs w:val="24"/>
          <w:lang w:eastAsia="fr-FR"/>
        </w:rPr>
        <w:t>(1987), dans</w:t>
      </w:r>
      <w:r w:rsidRPr="00B70D71">
        <w:rPr>
          <w:color w:val="000000"/>
          <w:sz w:val="24"/>
          <w:szCs w:val="24"/>
          <w:lang w:eastAsia="fr-FR"/>
        </w:rPr>
        <w:t xml:space="preserve"> l</w:t>
      </w:r>
      <w:r>
        <w:rPr>
          <w:color w:val="000000"/>
          <w:sz w:val="24"/>
          <w:szCs w:val="24"/>
          <w:lang w:eastAsia="fr-FR"/>
        </w:rPr>
        <w:t>eur</w:t>
      </w:r>
      <w:r w:rsidRPr="00B70D71">
        <w:rPr>
          <w:color w:val="000000"/>
          <w:sz w:val="24"/>
          <w:szCs w:val="24"/>
          <w:lang w:eastAsia="fr-FR"/>
        </w:rPr>
        <w:t xml:space="preserve"> théorie du clustering ou des pairs</w:t>
      </w:r>
      <w:r>
        <w:rPr>
          <w:color w:val="000000"/>
          <w:sz w:val="24"/>
          <w:szCs w:val="24"/>
          <w:lang w:eastAsia="fr-FR"/>
        </w:rPr>
        <w:t>,</w:t>
      </w:r>
      <w:r w:rsidRPr="00B70D71">
        <w:rPr>
          <w:color w:val="000000"/>
          <w:sz w:val="24"/>
          <w:szCs w:val="24"/>
          <w:lang w:eastAsia="fr-FR"/>
        </w:rPr>
        <w:t xml:space="preserve"> illustre</w:t>
      </w:r>
      <w:r>
        <w:rPr>
          <w:color w:val="000000"/>
          <w:sz w:val="24"/>
          <w:szCs w:val="24"/>
          <w:lang w:eastAsia="fr-FR"/>
        </w:rPr>
        <w:t>nt</w:t>
      </w:r>
      <w:r w:rsidRPr="00B70D71">
        <w:rPr>
          <w:color w:val="000000"/>
          <w:sz w:val="24"/>
          <w:szCs w:val="24"/>
          <w:lang w:eastAsia="fr-FR"/>
        </w:rPr>
        <w:t xml:space="preserve"> la relation entre la consommation de substances par les jeunes adolescents et celle de leurs pairs</w:t>
      </w:r>
      <w:r>
        <w:rPr>
          <w:color w:val="000000"/>
          <w:sz w:val="24"/>
          <w:szCs w:val="24"/>
          <w:lang w:eastAsia="fr-FR"/>
        </w:rPr>
        <w:t>, et avancent que,</w:t>
      </w:r>
      <w:r w:rsidRPr="00B70D71">
        <w:rPr>
          <w:color w:val="000000"/>
          <w:sz w:val="24"/>
          <w:szCs w:val="24"/>
          <w:lang w:eastAsia="fr-FR"/>
        </w:rPr>
        <w:t xml:space="preserve"> l’association d’un jeune avec des pairs ayant des problèmes de toxicomanie ou de dépendance aux stupéfiants</w:t>
      </w:r>
      <w:r>
        <w:rPr>
          <w:color w:val="000000"/>
          <w:sz w:val="24"/>
          <w:szCs w:val="24"/>
          <w:lang w:eastAsia="fr-FR"/>
        </w:rPr>
        <w:t>,</w:t>
      </w:r>
      <w:r w:rsidRPr="00B70D71">
        <w:rPr>
          <w:color w:val="000000"/>
          <w:sz w:val="24"/>
          <w:szCs w:val="24"/>
          <w:lang w:eastAsia="fr-FR"/>
        </w:rPr>
        <w:t xml:space="preserve"> normalise et renforce </w:t>
      </w:r>
      <w:r>
        <w:rPr>
          <w:color w:val="000000"/>
          <w:sz w:val="24"/>
          <w:szCs w:val="24"/>
          <w:lang w:eastAsia="fr-FR"/>
        </w:rPr>
        <w:t>la pratique</w:t>
      </w:r>
      <w:r w:rsidRPr="00B70D71">
        <w:rPr>
          <w:color w:val="000000"/>
          <w:sz w:val="24"/>
          <w:szCs w:val="24"/>
          <w:lang w:eastAsia="fr-FR"/>
        </w:rPr>
        <w:t xml:space="preserve"> de consommation chez ce jeune</w:t>
      </w:r>
      <w:r>
        <w:rPr>
          <w:color w:val="000000"/>
          <w:sz w:val="24"/>
          <w:szCs w:val="24"/>
          <w:lang w:eastAsia="fr-FR"/>
        </w:rPr>
        <w:t xml:space="preserve">. En outre, </w:t>
      </w:r>
      <w:r w:rsidRPr="00C53208">
        <w:rPr>
          <w:sz w:val="24"/>
          <w:szCs w:val="24"/>
        </w:rPr>
        <w:t>Bronfenbrenner</w:t>
      </w:r>
      <w:r>
        <w:rPr>
          <w:sz w:val="24"/>
          <w:szCs w:val="24"/>
        </w:rPr>
        <w:t xml:space="preserve"> (1979)</w:t>
      </w:r>
      <w:r w:rsidRPr="00C53208">
        <w:rPr>
          <w:sz w:val="24"/>
          <w:szCs w:val="24"/>
        </w:rPr>
        <w:t xml:space="preserve">, </w:t>
      </w:r>
      <w:r>
        <w:rPr>
          <w:sz w:val="24"/>
          <w:szCs w:val="24"/>
        </w:rPr>
        <w:t>dans sa</w:t>
      </w:r>
      <w:r w:rsidRPr="00C53208">
        <w:rPr>
          <w:sz w:val="24"/>
          <w:szCs w:val="24"/>
        </w:rPr>
        <w:t xml:space="preserve"> théorie</w:t>
      </w:r>
      <w:r>
        <w:rPr>
          <w:sz w:val="24"/>
          <w:szCs w:val="24"/>
        </w:rPr>
        <w:t xml:space="preserve"> écologique</w:t>
      </w:r>
      <w:r w:rsidRPr="00C53208">
        <w:rPr>
          <w:sz w:val="24"/>
          <w:szCs w:val="24"/>
        </w:rPr>
        <w:t>, a observé que la façon d’être des enfants</w:t>
      </w:r>
      <w:r>
        <w:rPr>
          <w:sz w:val="24"/>
          <w:szCs w:val="24"/>
        </w:rPr>
        <w:t>,</w:t>
      </w:r>
      <w:r w:rsidRPr="00C53208">
        <w:rPr>
          <w:sz w:val="24"/>
          <w:szCs w:val="24"/>
        </w:rPr>
        <w:t xml:space="preserve"> changeait en fonction de l’environnement dans lequel ils grandissaient</w:t>
      </w:r>
      <w:r>
        <w:rPr>
          <w:sz w:val="24"/>
          <w:szCs w:val="24"/>
        </w:rPr>
        <w:t xml:space="preserve"> ; </w:t>
      </w:r>
      <w:r w:rsidRPr="00C53208">
        <w:rPr>
          <w:sz w:val="24"/>
          <w:szCs w:val="24"/>
        </w:rPr>
        <w:t>l’environnement</w:t>
      </w:r>
      <w:r>
        <w:rPr>
          <w:sz w:val="24"/>
          <w:szCs w:val="24"/>
        </w:rPr>
        <w:t xml:space="preserve"> étant perçu par l’auteur</w:t>
      </w:r>
      <w:r w:rsidRPr="00C53208">
        <w:rPr>
          <w:sz w:val="24"/>
          <w:szCs w:val="24"/>
        </w:rPr>
        <w:t xml:space="preserve"> comme un ensemble de systèmes reliés entre eux</w:t>
      </w:r>
      <w:r>
        <w:rPr>
          <w:sz w:val="24"/>
          <w:szCs w:val="24"/>
        </w:rPr>
        <w:t xml:space="preserve">. </w:t>
      </w:r>
      <w:r w:rsidRPr="00C53208">
        <w:rPr>
          <w:sz w:val="24"/>
          <w:szCs w:val="24"/>
        </w:rPr>
        <w:t xml:space="preserve">Le microsystème </w:t>
      </w:r>
      <w:r>
        <w:rPr>
          <w:sz w:val="24"/>
          <w:szCs w:val="24"/>
        </w:rPr>
        <w:t xml:space="preserve">développé par l’auteur </w:t>
      </w:r>
      <w:r w:rsidRPr="00C53208">
        <w:rPr>
          <w:sz w:val="24"/>
          <w:szCs w:val="24"/>
        </w:rPr>
        <w:t>est formé des groupes qui ont un contact direct avec l’enfant. Même s’il peut exister de nombreuses possibilités, certaines des plus important</w:t>
      </w:r>
      <w:r>
        <w:rPr>
          <w:sz w:val="24"/>
          <w:szCs w:val="24"/>
        </w:rPr>
        <w:t>e</w:t>
      </w:r>
      <w:r w:rsidRPr="00C53208">
        <w:rPr>
          <w:sz w:val="24"/>
          <w:szCs w:val="24"/>
        </w:rPr>
        <w:t>s</w:t>
      </w:r>
      <w:r>
        <w:rPr>
          <w:sz w:val="24"/>
          <w:szCs w:val="24"/>
        </w:rPr>
        <w:t>,</w:t>
      </w:r>
      <w:r w:rsidRPr="00C53208">
        <w:rPr>
          <w:sz w:val="24"/>
          <w:szCs w:val="24"/>
        </w:rPr>
        <w:t xml:space="preserve"> sont la famille et l’école. La relation entre ce système et le développement de l’enfant est évidente</w:t>
      </w:r>
      <w:r>
        <w:rPr>
          <w:sz w:val="24"/>
          <w:szCs w:val="24"/>
        </w:rPr>
        <w:t>,</w:t>
      </w:r>
      <w:r w:rsidRPr="00C53208">
        <w:rPr>
          <w:sz w:val="24"/>
          <w:szCs w:val="24"/>
        </w:rPr>
        <w:t xml:space="preserve"> mais se produit dans les deux directions. Ainsi, les croyances</w:t>
      </w:r>
      <w:r>
        <w:rPr>
          <w:sz w:val="24"/>
          <w:szCs w:val="24"/>
        </w:rPr>
        <w:t xml:space="preserve"> et les conduites</w:t>
      </w:r>
      <w:r w:rsidRPr="00C53208">
        <w:rPr>
          <w:sz w:val="24"/>
          <w:szCs w:val="24"/>
        </w:rPr>
        <w:t xml:space="preserve"> des parents affectent directement la façon d’être de l’enfant. Cependant, celui-ci est aussi capable de modifier les perspectives des membres de sa famille. La même chose se produit avec l</w:t>
      </w:r>
      <w:r>
        <w:rPr>
          <w:sz w:val="24"/>
          <w:szCs w:val="24"/>
        </w:rPr>
        <w:t>es pairs à l</w:t>
      </w:r>
      <w:r w:rsidRPr="00C53208">
        <w:rPr>
          <w:sz w:val="24"/>
          <w:szCs w:val="24"/>
        </w:rPr>
        <w:t>’école et avec le reste des groupes qui font partie du microsystème</w:t>
      </w:r>
      <w:r>
        <w:rPr>
          <w:sz w:val="24"/>
          <w:szCs w:val="24"/>
        </w:rPr>
        <w:t xml:space="preserve">. Ces théories illustrent davantage les caractéristiques liées à la fréquentation des pairs, au milieu familial ou à l’entourage dans le quartier de résidence, comme des facteurs en rapport avec la consommation de drogues chez les élèves. C’est ce que nous allons vérifier </w:t>
      </w:r>
      <w:r w:rsidRPr="00031537">
        <w:rPr>
          <w:sz w:val="24"/>
          <w:szCs w:val="24"/>
        </w:rPr>
        <w:t>chez les élèves du Lycée de Ouro-</w:t>
      </w:r>
      <w:proofErr w:type="spellStart"/>
      <w:r w:rsidRPr="00031537">
        <w:rPr>
          <w:sz w:val="24"/>
          <w:szCs w:val="24"/>
        </w:rPr>
        <w:t>Hourso</w:t>
      </w:r>
      <w:proofErr w:type="spellEnd"/>
      <w:r w:rsidRPr="00031537">
        <w:rPr>
          <w:sz w:val="24"/>
          <w:szCs w:val="24"/>
        </w:rPr>
        <w:t xml:space="preserve"> et ceux du Collège Moderne </w:t>
      </w:r>
      <w:r w:rsidRPr="00AE76AD">
        <w:rPr>
          <w:color w:val="000000"/>
          <w:sz w:val="24"/>
          <w:szCs w:val="24"/>
          <w:lang w:eastAsia="fr-FR"/>
        </w:rPr>
        <w:t>de la Bénoué </w:t>
      </w:r>
      <w:r>
        <w:rPr>
          <w:color w:val="000000"/>
          <w:sz w:val="24"/>
          <w:szCs w:val="24"/>
          <w:lang w:eastAsia="fr-FR"/>
        </w:rPr>
        <w:t>dans l’arrondissement de Garoua 1</w:t>
      </w:r>
      <w:r w:rsidRPr="00C64CDA">
        <w:rPr>
          <w:color w:val="000000"/>
          <w:sz w:val="24"/>
          <w:szCs w:val="24"/>
          <w:vertAlign w:val="superscript"/>
          <w:lang w:eastAsia="fr-FR"/>
        </w:rPr>
        <w:t>er</w:t>
      </w:r>
      <w:r>
        <w:rPr>
          <w:color w:val="000000"/>
          <w:sz w:val="24"/>
          <w:szCs w:val="24"/>
          <w:lang w:eastAsia="fr-FR"/>
        </w:rPr>
        <w:t>, région du Nord-Cameroun.</w:t>
      </w:r>
    </w:p>
    <w:p w14:paraId="4D4C7A3A" w14:textId="77777777" w:rsidR="00D80693" w:rsidRPr="00E74E4C" w:rsidRDefault="00D80693" w:rsidP="008276DA">
      <w:pPr>
        <w:widowControl/>
        <w:numPr>
          <w:ilvl w:val="0"/>
          <w:numId w:val="189"/>
        </w:numPr>
        <w:autoSpaceDE/>
        <w:autoSpaceDN/>
        <w:spacing w:before="120" w:after="240"/>
        <w:jc w:val="both"/>
        <w:rPr>
          <w:b/>
          <w:color w:val="000000"/>
          <w:sz w:val="28"/>
          <w:szCs w:val="28"/>
          <w:lang w:eastAsia="fr-FR"/>
        </w:rPr>
      </w:pPr>
      <w:r w:rsidRPr="00E74E4C">
        <w:rPr>
          <w:b/>
          <w:color w:val="000000"/>
          <w:sz w:val="28"/>
          <w:szCs w:val="28"/>
          <w:lang w:eastAsia="fr-FR"/>
        </w:rPr>
        <w:t>Méthodologie</w:t>
      </w:r>
    </w:p>
    <w:p w14:paraId="09F9F2B8" w14:textId="77777777" w:rsidR="00D80693" w:rsidRPr="00D61262" w:rsidRDefault="00D80693" w:rsidP="008276DA">
      <w:pPr>
        <w:widowControl/>
        <w:numPr>
          <w:ilvl w:val="1"/>
          <w:numId w:val="189"/>
        </w:numPr>
        <w:autoSpaceDE/>
        <w:autoSpaceDN/>
        <w:spacing w:before="120" w:after="240"/>
        <w:ind w:right="48"/>
        <w:jc w:val="both"/>
        <w:rPr>
          <w:b/>
          <w:bCs/>
          <w:color w:val="000000"/>
          <w:sz w:val="24"/>
          <w:szCs w:val="24"/>
          <w:lang w:eastAsia="fr-FR"/>
        </w:rPr>
      </w:pPr>
      <w:r>
        <w:rPr>
          <w:b/>
          <w:bCs/>
          <w:color w:val="000000"/>
          <w:sz w:val="24"/>
          <w:szCs w:val="24"/>
          <w:lang w:eastAsia="fr-FR"/>
        </w:rPr>
        <w:t xml:space="preserve"> </w:t>
      </w:r>
      <w:r w:rsidRPr="00D61262">
        <w:rPr>
          <w:b/>
          <w:bCs/>
          <w:color w:val="000000"/>
          <w:sz w:val="24"/>
          <w:szCs w:val="24"/>
          <w:lang w:eastAsia="fr-FR"/>
        </w:rPr>
        <w:t>Population de l’étude</w:t>
      </w:r>
    </w:p>
    <w:p w14:paraId="54E122AE" w14:textId="77777777" w:rsidR="00D80693" w:rsidRPr="00B70D71" w:rsidRDefault="00D80693" w:rsidP="008276DA">
      <w:pPr>
        <w:spacing w:before="120" w:after="240"/>
        <w:ind w:left="-5" w:right="48" w:hanging="10"/>
        <w:jc w:val="both"/>
        <w:rPr>
          <w:color w:val="000000"/>
          <w:sz w:val="24"/>
          <w:szCs w:val="24"/>
          <w:lang w:eastAsia="fr-FR"/>
        </w:rPr>
      </w:pPr>
      <w:r w:rsidRPr="00B70D71">
        <w:rPr>
          <w:color w:val="000000"/>
          <w:sz w:val="24"/>
          <w:szCs w:val="24"/>
          <w:lang w:eastAsia="fr-FR"/>
        </w:rPr>
        <w:t xml:space="preserve">Les données de cette étude ont été recueillies dans deux établissements secondaires de l’arrondissement de Garoua 1er : </w:t>
      </w:r>
      <w:r>
        <w:rPr>
          <w:color w:val="000000"/>
          <w:sz w:val="24"/>
          <w:szCs w:val="24"/>
          <w:lang w:eastAsia="fr-FR"/>
        </w:rPr>
        <w:t>l</w:t>
      </w:r>
      <w:r w:rsidRPr="00B70D71">
        <w:rPr>
          <w:color w:val="000000"/>
          <w:sz w:val="24"/>
          <w:szCs w:val="24"/>
          <w:lang w:eastAsia="fr-FR"/>
        </w:rPr>
        <w:t>e Lycée de Ouro-</w:t>
      </w:r>
      <w:proofErr w:type="spellStart"/>
      <w:r w:rsidRPr="00B70D71">
        <w:rPr>
          <w:color w:val="000000"/>
          <w:sz w:val="24"/>
          <w:szCs w:val="24"/>
          <w:lang w:eastAsia="fr-FR"/>
        </w:rPr>
        <w:t>Hourso</w:t>
      </w:r>
      <w:proofErr w:type="spellEnd"/>
      <w:r w:rsidRPr="00B70D71">
        <w:rPr>
          <w:color w:val="000000"/>
          <w:sz w:val="24"/>
          <w:szCs w:val="24"/>
          <w:lang w:eastAsia="fr-FR"/>
        </w:rPr>
        <w:t xml:space="preserve">, situé au quartier Camp Chinois, comprenant </w:t>
      </w:r>
      <w:r>
        <w:rPr>
          <w:color w:val="000000"/>
          <w:sz w:val="24"/>
          <w:szCs w:val="24"/>
          <w:lang w:eastAsia="fr-FR"/>
        </w:rPr>
        <w:t xml:space="preserve">un effectif total de </w:t>
      </w:r>
      <w:r w:rsidRPr="00B70D71">
        <w:rPr>
          <w:color w:val="000000"/>
          <w:sz w:val="24"/>
          <w:szCs w:val="24"/>
          <w:lang w:eastAsia="fr-FR"/>
        </w:rPr>
        <w:t>1597 élèves et </w:t>
      </w:r>
      <w:r>
        <w:rPr>
          <w:color w:val="000000"/>
          <w:sz w:val="24"/>
          <w:szCs w:val="24"/>
          <w:lang w:eastAsia="fr-FR"/>
        </w:rPr>
        <w:t>l</w:t>
      </w:r>
      <w:r w:rsidRPr="00B70D71">
        <w:rPr>
          <w:color w:val="000000"/>
          <w:sz w:val="24"/>
          <w:szCs w:val="24"/>
          <w:lang w:eastAsia="fr-FR"/>
        </w:rPr>
        <w:t xml:space="preserve">e Collège Moderne de la Bénoué, situé au quartier Plateau, comprenant </w:t>
      </w:r>
      <w:r>
        <w:rPr>
          <w:color w:val="000000"/>
          <w:sz w:val="24"/>
          <w:szCs w:val="24"/>
          <w:lang w:eastAsia="fr-FR"/>
        </w:rPr>
        <w:t xml:space="preserve">un effectif total de </w:t>
      </w:r>
      <w:r w:rsidRPr="00B70D71">
        <w:rPr>
          <w:color w:val="000000"/>
          <w:sz w:val="24"/>
          <w:szCs w:val="24"/>
          <w:lang w:eastAsia="fr-FR"/>
        </w:rPr>
        <w:t>705 élèves</w:t>
      </w:r>
      <w:r>
        <w:rPr>
          <w:color w:val="000000"/>
          <w:sz w:val="24"/>
          <w:szCs w:val="24"/>
          <w:lang w:eastAsia="fr-FR"/>
        </w:rPr>
        <w:t>. Ces établissements ont été choisis pour leur réputation reconnue en termes d’usage de SPA par les élèves, et par rapport aux données issues d’une enquête exploratoire telles que développées plus haut</w:t>
      </w:r>
      <w:r w:rsidRPr="00B70D71">
        <w:rPr>
          <w:color w:val="000000"/>
          <w:sz w:val="24"/>
          <w:szCs w:val="24"/>
          <w:lang w:eastAsia="fr-FR"/>
        </w:rPr>
        <w:t xml:space="preserve">. </w:t>
      </w:r>
      <w:r>
        <w:rPr>
          <w:color w:val="000000"/>
          <w:sz w:val="24"/>
          <w:szCs w:val="24"/>
          <w:lang w:eastAsia="fr-FR"/>
        </w:rPr>
        <w:t>L</w:t>
      </w:r>
      <w:r w:rsidRPr="008D48C3">
        <w:rPr>
          <w:color w:val="000000"/>
          <w:sz w:val="24"/>
          <w:szCs w:val="24"/>
          <w:lang w:eastAsia="fr-FR"/>
        </w:rPr>
        <w:t xml:space="preserve">’unité d’échantillonnage, </w:t>
      </w:r>
      <w:r>
        <w:rPr>
          <w:color w:val="000000"/>
          <w:sz w:val="24"/>
          <w:szCs w:val="24"/>
          <w:lang w:eastAsia="fr-FR"/>
        </w:rPr>
        <w:t xml:space="preserve">était </w:t>
      </w:r>
      <w:r w:rsidRPr="008D48C3">
        <w:rPr>
          <w:color w:val="000000"/>
          <w:sz w:val="24"/>
          <w:szCs w:val="24"/>
          <w:lang w:eastAsia="fr-FR"/>
        </w:rPr>
        <w:t>la classe</w:t>
      </w:r>
      <w:r>
        <w:rPr>
          <w:color w:val="000000"/>
          <w:sz w:val="24"/>
          <w:szCs w:val="24"/>
          <w:lang w:eastAsia="fr-FR"/>
        </w:rPr>
        <w:t xml:space="preserve"> (ONUDC, 2004). Il s’agissait donc des classes du premier cycle et second cycle </w:t>
      </w:r>
      <w:r w:rsidRPr="00B70D71">
        <w:rPr>
          <w:color w:val="000000"/>
          <w:sz w:val="24"/>
          <w:szCs w:val="24"/>
          <w:lang w:eastAsia="fr-FR"/>
        </w:rPr>
        <w:t xml:space="preserve">dans les établissements secondaires choisis. </w:t>
      </w:r>
    </w:p>
    <w:p w14:paraId="5BFC62FF" w14:textId="77777777" w:rsidR="00D80693" w:rsidRPr="00B70D71" w:rsidRDefault="00D80693" w:rsidP="008276DA">
      <w:pPr>
        <w:widowControl/>
        <w:numPr>
          <w:ilvl w:val="1"/>
          <w:numId w:val="189"/>
        </w:numPr>
        <w:autoSpaceDE/>
        <w:autoSpaceDN/>
        <w:spacing w:before="120" w:after="240"/>
        <w:ind w:right="48"/>
        <w:jc w:val="both"/>
        <w:rPr>
          <w:b/>
          <w:color w:val="000000"/>
          <w:sz w:val="24"/>
          <w:szCs w:val="24"/>
          <w:lang w:eastAsia="fr-FR"/>
        </w:rPr>
      </w:pPr>
      <w:r w:rsidRPr="00B70D71">
        <w:rPr>
          <w:color w:val="000000"/>
          <w:sz w:val="24"/>
          <w:szCs w:val="24"/>
          <w:lang w:eastAsia="fr-FR"/>
        </w:rPr>
        <w:t xml:space="preserve"> </w:t>
      </w:r>
      <w:r>
        <w:rPr>
          <w:b/>
          <w:color w:val="000000"/>
          <w:sz w:val="24"/>
          <w:szCs w:val="24"/>
          <w:lang w:eastAsia="fr-FR"/>
        </w:rPr>
        <w:t>Technique de collecte et d’analyse des données</w:t>
      </w:r>
    </w:p>
    <w:p w14:paraId="3FA8384C" w14:textId="2BA301C0" w:rsidR="00D80693" w:rsidRDefault="00D80693" w:rsidP="008276DA">
      <w:pPr>
        <w:spacing w:before="120" w:after="240"/>
        <w:ind w:left="-5" w:right="48" w:hanging="10"/>
        <w:jc w:val="both"/>
        <w:rPr>
          <w:color w:val="000000"/>
          <w:sz w:val="24"/>
          <w:szCs w:val="24"/>
          <w:lang w:eastAsia="fr-FR"/>
        </w:rPr>
      </w:pPr>
      <w:r w:rsidRPr="00B70D71">
        <w:rPr>
          <w:color w:val="000000"/>
          <w:sz w:val="24"/>
          <w:szCs w:val="24"/>
          <w:lang w:eastAsia="fr-FR"/>
        </w:rPr>
        <w:t>Les données ont été recueillies à travers un questionnaire auprès de 625 élèves. Afin de garantir l’anonymat et la confidentialité, le questionnaire auto-administré était distribué à tous les élèves en même temps</w:t>
      </w:r>
      <w:r>
        <w:rPr>
          <w:color w:val="000000"/>
          <w:sz w:val="24"/>
          <w:szCs w:val="24"/>
          <w:lang w:eastAsia="fr-FR"/>
        </w:rPr>
        <w:t>,</w:t>
      </w:r>
      <w:r w:rsidRPr="00B70D71">
        <w:rPr>
          <w:color w:val="000000"/>
          <w:sz w:val="24"/>
          <w:szCs w:val="24"/>
          <w:lang w:eastAsia="fr-FR"/>
        </w:rPr>
        <w:t xml:space="preserve"> et la durée nécessaire pour y répondre était la même.</w:t>
      </w:r>
      <w:r>
        <w:rPr>
          <w:color w:val="000000"/>
          <w:sz w:val="24"/>
          <w:szCs w:val="24"/>
          <w:lang w:eastAsia="fr-FR"/>
        </w:rPr>
        <w:t xml:space="preserve"> Car, comme le </w:t>
      </w:r>
      <w:r w:rsidRPr="00DA1681">
        <w:rPr>
          <w:color w:val="000000"/>
          <w:sz w:val="24"/>
          <w:szCs w:val="24"/>
          <w:lang w:eastAsia="fr-FR"/>
        </w:rPr>
        <w:t>souligne ONUDC</w:t>
      </w:r>
      <w:r>
        <w:rPr>
          <w:color w:val="000000"/>
          <w:sz w:val="24"/>
          <w:szCs w:val="24"/>
          <w:lang w:eastAsia="fr-FR"/>
        </w:rPr>
        <w:t xml:space="preserve"> (2004)</w:t>
      </w:r>
      <w:r w:rsidRPr="00DA1681">
        <w:rPr>
          <w:color w:val="000000"/>
          <w:sz w:val="24"/>
          <w:szCs w:val="24"/>
          <w:lang w:eastAsia="fr-FR"/>
        </w:rPr>
        <w:t>,</w:t>
      </w:r>
      <w:r>
        <w:rPr>
          <w:color w:val="000000"/>
          <w:sz w:val="24"/>
          <w:szCs w:val="24"/>
          <w:lang w:eastAsia="fr-FR"/>
        </w:rPr>
        <w:t xml:space="preserve"> les </w:t>
      </w:r>
      <w:r w:rsidRPr="00552FCE">
        <w:rPr>
          <w:color w:val="000000"/>
          <w:sz w:val="24"/>
          <w:szCs w:val="24"/>
        </w:rPr>
        <w:t>questionnaires auto-administrés en milieu scolaire tendent à donner des résultats plus</w:t>
      </w:r>
      <w:r>
        <w:rPr>
          <w:color w:val="000000"/>
          <w:sz w:val="24"/>
          <w:szCs w:val="24"/>
        </w:rPr>
        <w:t xml:space="preserve"> </w:t>
      </w:r>
      <w:r w:rsidRPr="00552FCE">
        <w:rPr>
          <w:color w:val="000000"/>
          <w:sz w:val="24"/>
          <w:szCs w:val="24"/>
        </w:rPr>
        <w:t>valides que ne le f</w:t>
      </w:r>
      <w:r>
        <w:rPr>
          <w:color w:val="000000"/>
          <w:sz w:val="24"/>
          <w:szCs w:val="24"/>
        </w:rPr>
        <w:t>o</w:t>
      </w:r>
      <w:r w:rsidRPr="00552FCE">
        <w:rPr>
          <w:color w:val="000000"/>
          <w:sz w:val="24"/>
          <w:szCs w:val="24"/>
        </w:rPr>
        <w:t>nt les interviews</w:t>
      </w:r>
      <w:r>
        <w:rPr>
          <w:color w:val="000000"/>
          <w:sz w:val="24"/>
          <w:szCs w:val="24"/>
        </w:rPr>
        <w:t>. Et, dans ce cas, l</w:t>
      </w:r>
      <w:r w:rsidRPr="00C53208">
        <w:rPr>
          <w:color w:val="000000"/>
          <w:sz w:val="24"/>
          <w:szCs w:val="24"/>
        </w:rPr>
        <w:t>e</w:t>
      </w:r>
      <w:r>
        <w:rPr>
          <w:color w:val="000000"/>
          <w:sz w:val="24"/>
          <w:szCs w:val="24"/>
        </w:rPr>
        <w:t>s</w:t>
      </w:r>
      <w:r w:rsidRPr="00C53208">
        <w:rPr>
          <w:color w:val="000000"/>
          <w:sz w:val="24"/>
          <w:szCs w:val="24"/>
        </w:rPr>
        <w:t xml:space="preserve"> questionnaire</w:t>
      </w:r>
      <w:r>
        <w:rPr>
          <w:color w:val="000000"/>
          <w:sz w:val="24"/>
          <w:szCs w:val="24"/>
        </w:rPr>
        <w:t>s</w:t>
      </w:r>
      <w:r w:rsidRPr="00C53208">
        <w:rPr>
          <w:color w:val="000000"/>
          <w:sz w:val="24"/>
          <w:szCs w:val="24"/>
        </w:rPr>
        <w:t xml:space="preserve"> </w:t>
      </w:r>
      <w:r>
        <w:rPr>
          <w:color w:val="000000"/>
          <w:sz w:val="24"/>
          <w:szCs w:val="24"/>
        </w:rPr>
        <w:t>doivent</w:t>
      </w:r>
      <w:r w:rsidRPr="00C53208">
        <w:rPr>
          <w:color w:val="000000"/>
          <w:sz w:val="24"/>
          <w:szCs w:val="24"/>
        </w:rPr>
        <w:t xml:space="preserve"> </w:t>
      </w:r>
      <w:r>
        <w:rPr>
          <w:color w:val="000000"/>
          <w:sz w:val="24"/>
          <w:szCs w:val="24"/>
        </w:rPr>
        <w:t xml:space="preserve">être </w:t>
      </w:r>
      <w:r w:rsidRPr="00C53208">
        <w:rPr>
          <w:color w:val="000000"/>
          <w:sz w:val="24"/>
          <w:szCs w:val="24"/>
        </w:rPr>
        <w:t>distribué</w:t>
      </w:r>
      <w:r>
        <w:rPr>
          <w:color w:val="000000"/>
          <w:sz w:val="24"/>
          <w:szCs w:val="24"/>
        </w:rPr>
        <w:t>s</w:t>
      </w:r>
      <w:r w:rsidRPr="00C53208">
        <w:rPr>
          <w:color w:val="000000"/>
          <w:sz w:val="24"/>
          <w:szCs w:val="24"/>
        </w:rPr>
        <w:t xml:space="preserve"> à tous les élèves en même temps et la durée nécessaire pour y répondre </w:t>
      </w:r>
      <w:r>
        <w:rPr>
          <w:color w:val="000000"/>
          <w:sz w:val="24"/>
          <w:szCs w:val="24"/>
        </w:rPr>
        <w:t>devra être</w:t>
      </w:r>
      <w:r w:rsidRPr="00C53208">
        <w:rPr>
          <w:color w:val="000000"/>
          <w:sz w:val="24"/>
          <w:szCs w:val="24"/>
        </w:rPr>
        <w:t xml:space="preserve"> la même</w:t>
      </w:r>
      <w:r>
        <w:rPr>
          <w:color w:val="000000"/>
          <w:sz w:val="24"/>
          <w:szCs w:val="24"/>
        </w:rPr>
        <w:t>,</w:t>
      </w:r>
      <w:r w:rsidRPr="00C53208">
        <w:rPr>
          <w:color w:val="000000"/>
          <w:sz w:val="24"/>
          <w:szCs w:val="24"/>
        </w:rPr>
        <w:t xml:space="preserve"> que l’on soit consommateur de substances psychoactives ou non, pour éviter que les consommateurs soient reconnus ou trahis par une durée de remplissage plus longue</w:t>
      </w:r>
      <w:r>
        <w:rPr>
          <w:color w:val="000000"/>
          <w:sz w:val="24"/>
          <w:szCs w:val="24"/>
        </w:rPr>
        <w:t>. Ce</w:t>
      </w:r>
      <w:r w:rsidRPr="00C53208">
        <w:rPr>
          <w:color w:val="000000"/>
          <w:sz w:val="24"/>
          <w:szCs w:val="24"/>
        </w:rPr>
        <w:t xml:space="preserve"> qui pourrait être interprétée par les enquêtés comme une rupture d’anonymat.</w:t>
      </w:r>
      <w:r w:rsidR="008276DA">
        <w:rPr>
          <w:color w:val="000000"/>
          <w:sz w:val="24"/>
          <w:szCs w:val="24"/>
        </w:rPr>
        <w:t xml:space="preserve"> </w:t>
      </w:r>
      <w:r>
        <w:rPr>
          <w:color w:val="000000"/>
          <w:sz w:val="24"/>
          <w:szCs w:val="24"/>
          <w:lang w:eastAsia="fr-FR"/>
        </w:rPr>
        <w:t>Des</w:t>
      </w:r>
      <w:r w:rsidRPr="009C2127">
        <w:rPr>
          <w:color w:val="000000"/>
          <w:sz w:val="24"/>
          <w:szCs w:val="24"/>
          <w:lang w:eastAsia="fr-FR"/>
        </w:rPr>
        <w:t xml:space="preserve"> 625 réponses</w:t>
      </w:r>
      <w:r>
        <w:rPr>
          <w:color w:val="000000"/>
          <w:sz w:val="24"/>
          <w:szCs w:val="24"/>
          <w:lang w:eastAsia="fr-FR"/>
        </w:rPr>
        <w:t xml:space="preserve"> recueillies, n</w:t>
      </w:r>
      <w:r w:rsidRPr="009C2127">
        <w:rPr>
          <w:color w:val="000000"/>
          <w:sz w:val="24"/>
          <w:szCs w:val="24"/>
          <w:lang w:eastAsia="fr-FR"/>
        </w:rPr>
        <w:t xml:space="preserve">ous en avons exclu 32 </w:t>
      </w:r>
      <w:r>
        <w:rPr>
          <w:color w:val="000000"/>
          <w:sz w:val="24"/>
          <w:szCs w:val="24"/>
          <w:lang w:eastAsia="fr-FR"/>
        </w:rPr>
        <w:t>qui étaient</w:t>
      </w:r>
      <w:r w:rsidRPr="009C2127">
        <w:rPr>
          <w:color w:val="000000"/>
          <w:sz w:val="24"/>
          <w:szCs w:val="24"/>
          <w:lang w:eastAsia="fr-FR"/>
        </w:rPr>
        <w:t xml:space="preserve"> mal ou non renseignées et avons retenu 593 </w:t>
      </w:r>
      <w:r>
        <w:rPr>
          <w:color w:val="000000"/>
          <w:sz w:val="24"/>
          <w:szCs w:val="24"/>
          <w:lang w:eastAsia="fr-FR"/>
        </w:rPr>
        <w:t>réponses</w:t>
      </w:r>
      <w:r w:rsidRPr="009C2127">
        <w:rPr>
          <w:color w:val="000000"/>
          <w:sz w:val="24"/>
          <w:szCs w:val="24"/>
          <w:lang w:eastAsia="fr-FR"/>
        </w:rPr>
        <w:t xml:space="preserve">. </w:t>
      </w:r>
      <w:r>
        <w:rPr>
          <w:color w:val="000000"/>
          <w:sz w:val="24"/>
          <w:szCs w:val="24"/>
          <w:lang w:eastAsia="fr-FR"/>
        </w:rPr>
        <w:t xml:space="preserve">Des </w:t>
      </w:r>
      <w:r w:rsidRPr="009C2127">
        <w:rPr>
          <w:color w:val="000000"/>
          <w:sz w:val="24"/>
          <w:szCs w:val="24"/>
          <w:lang w:eastAsia="fr-FR"/>
        </w:rPr>
        <w:t xml:space="preserve">593 </w:t>
      </w:r>
      <w:r>
        <w:rPr>
          <w:color w:val="000000"/>
          <w:sz w:val="24"/>
          <w:szCs w:val="24"/>
          <w:lang w:eastAsia="fr-FR"/>
        </w:rPr>
        <w:t>réponses</w:t>
      </w:r>
      <w:r w:rsidRPr="009C2127">
        <w:rPr>
          <w:color w:val="000000"/>
          <w:sz w:val="24"/>
          <w:szCs w:val="24"/>
          <w:lang w:eastAsia="fr-FR"/>
        </w:rPr>
        <w:t xml:space="preserve"> bien renseigné</w:t>
      </w:r>
      <w:r>
        <w:rPr>
          <w:color w:val="000000"/>
          <w:sz w:val="24"/>
          <w:szCs w:val="24"/>
          <w:lang w:eastAsia="fr-FR"/>
        </w:rPr>
        <w:t>e</w:t>
      </w:r>
      <w:r w:rsidRPr="009C2127">
        <w:rPr>
          <w:color w:val="000000"/>
          <w:sz w:val="24"/>
          <w:szCs w:val="24"/>
          <w:lang w:eastAsia="fr-FR"/>
        </w:rPr>
        <w:t xml:space="preserve">s, 254 répondants </w:t>
      </w:r>
      <w:r>
        <w:rPr>
          <w:color w:val="000000"/>
          <w:sz w:val="24"/>
          <w:szCs w:val="24"/>
          <w:lang w:eastAsia="fr-FR"/>
        </w:rPr>
        <w:t>avaient</w:t>
      </w:r>
      <w:r w:rsidRPr="009C2127">
        <w:rPr>
          <w:color w:val="000000"/>
          <w:sz w:val="24"/>
          <w:szCs w:val="24"/>
          <w:lang w:eastAsia="fr-FR"/>
        </w:rPr>
        <w:t xml:space="preserve"> déclaré qu’ils </w:t>
      </w:r>
      <w:r>
        <w:rPr>
          <w:color w:val="000000"/>
          <w:sz w:val="24"/>
          <w:szCs w:val="24"/>
          <w:lang w:eastAsia="fr-FR"/>
        </w:rPr>
        <w:t>avaient</w:t>
      </w:r>
      <w:r w:rsidRPr="009C2127">
        <w:rPr>
          <w:color w:val="000000"/>
          <w:sz w:val="24"/>
          <w:szCs w:val="24"/>
          <w:lang w:eastAsia="fr-FR"/>
        </w:rPr>
        <w:t xml:space="preserve"> consommé des </w:t>
      </w:r>
      <w:r>
        <w:rPr>
          <w:color w:val="000000"/>
          <w:sz w:val="24"/>
          <w:szCs w:val="24"/>
          <w:lang w:eastAsia="fr-FR"/>
        </w:rPr>
        <w:t>SPA</w:t>
      </w:r>
      <w:r w:rsidRPr="009C2127">
        <w:rPr>
          <w:color w:val="000000"/>
          <w:sz w:val="24"/>
          <w:szCs w:val="24"/>
          <w:lang w:eastAsia="fr-FR"/>
        </w:rPr>
        <w:t xml:space="preserve"> </w:t>
      </w:r>
      <w:bookmarkStart w:id="274" w:name="_Hlk198984638"/>
      <w:r w:rsidRPr="009C2127">
        <w:rPr>
          <w:color w:val="000000"/>
          <w:sz w:val="24"/>
          <w:szCs w:val="24"/>
          <w:lang w:eastAsia="fr-FR"/>
        </w:rPr>
        <w:t>dans les 18 derniers mois précédant l’enquête.</w:t>
      </w:r>
      <w:bookmarkEnd w:id="274"/>
      <w:r w:rsidRPr="009C2127">
        <w:rPr>
          <w:color w:val="000000"/>
          <w:sz w:val="24"/>
          <w:szCs w:val="24"/>
          <w:lang w:eastAsia="fr-FR"/>
        </w:rPr>
        <w:t xml:space="preserve"> Conformément à notre sujet d’étude et à notre méthodologie, les données qui nous intéressaient concernaient donc simplement </w:t>
      </w:r>
      <w:bookmarkStart w:id="275" w:name="_Hlk198984721"/>
      <w:r w:rsidRPr="009C2127">
        <w:rPr>
          <w:color w:val="000000"/>
          <w:sz w:val="24"/>
          <w:szCs w:val="24"/>
          <w:lang w:eastAsia="fr-FR"/>
        </w:rPr>
        <w:t>ces 254 répondants</w:t>
      </w:r>
      <w:bookmarkEnd w:id="275"/>
      <w:r w:rsidRPr="009C2127">
        <w:rPr>
          <w:color w:val="000000"/>
          <w:sz w:val="24"/>
          <w:szCs w:val="24"/>
          <w:lang w:eastAsia="fr-FR"/>
        </w:rPr>
        <w:t>.</w:t>
      </w:r>
      <w:r>
        <w:rPr>
          <w:color w:val="000000"/>
          <w:sz w:val="24"/>
          <w:szCs w:val="24"/>
          <w:lang w:eastAsia="fr-FR"/>
        </w:rPr>
        <w:t xml:space="preserve"> </w:t>
      </w:r>
      <w:r w:rsidRPr="00B70D71">
        <w:rPr>
          <w:color w:val="000000"/>
          <w:sz w:val="24"/>
          <w:szCs w:val="24"/>
          <w:lang w:eastAsia="fr-FR"/>
        </w:rPr>
        <w:t>Le traitement et l’analyse de ces informations ont été réalisés par les logiciels statistiques Microsoft Excel 2016 et SPSS v.2</w:t>
      </w:r>
      <w:r>
        <w:rPr>
          <w:color w:val="000000"/>
          <w:sz w:val="24"/>
          <w:szCs w:val="24"/>
          <w:lang w:eastAsia="fr-FR"/>
        </w:rPr>
        <w:t>5</w:t>
      </w:r>
      <w:r w:rsidRPr="00B70D71">
        <w:rPr>
          <w:color w:val="000000"/>
          <w:sz w:val="24"/>
          <w:szCs w:val="24"/>
          <w:lang w:eastAsia="fr-FR"/>
        </w:rPr>
        <w:t>.</w:t>
      </w:r>
    </w:p>
    <w:p w14:paraId="026017B1" w14:textId="77777777" w:rsidR="00D80693" w:rsidRPr="00B70D71" w:rsidRDefault="00D80693" w:rsidP="008276DA">
      <w:pPr>
        <w:widowControl/>
        <w:numPr>
          <w:ilvl w:val="0"/>
          <w:numId w:val="189"/>
        </w:numPr>
        <w:autoSpaceDE/>
        <w:autoSpaceDN/>
        <w:spacing w:before="120" w:after="240"/>
        <w:jc w:val="both"/>
        <w:rPr>
          <w:b/>
          <w:color w:val="000000"/>
          <w:sz w:val="24"/>
          <w:szCs w:val="24"/>
          <w:lang w:eastAsia="fr-FR"/>
        </w:rPr>
      </w:pPr>
      <w:r w:rsidRPr="003041E1">
        <w:rPr>
          <w:b/>
          <w:color w:val="000000"/>
          <w:sz w:val="28"/>
          <w:szCs w:val="28"/>
          <w:lang w:eastAsia="fr-FR"/>
        </w:rPr>
        <w:t>Résultats</w:t>
      </w:r>
      <w:r w:rsidRPr="00B70D71">
        <w:rPr>
          <w:b/>
          <w:color w:val="000000"/>
          <w:sz w:val="24"/>
          <w:szCs w:val="24"/>
          <w:lang w:eastAsia="fr-FR"/>
        </w:rPr>
        <w:t xml:space="preserve"> </w:t>
      </w:r>
    </w:p>
    <w:p w14:paraId="3B7997ED" w14:textId="77777777" w:rsidR="00D80693" w:rsidRPr="00B70D71" w:rsidRDefault="00D80693" w:rsidP="008276DA">
      <w:pPr>
        <w:spacing w:before="120" w:after="240"/>
        <w:ind w:left="-5" w:right="48" w:hanging="10"/>
        <w:jc w:val="both"/>
        <w:rPr>
          <w:color w:val="000000"/>
          <w:sz w:val="24"/>
          <w:szCs w:val="24"/>
          <w:lang w:eastAsia="fr-FR"/>
        </w:rPr>
      </w:pPr>
      <w:bookmarkStart w:id="276" w:name="_Hlk211344437"/>
      <w:r w:rsidRPr="00B70D71">
        <w:rPr>
          <w:color w:val="000000"/>
          <w:sz w:val="24"/>
          <w:szCs w:val="24"/>
          <w:lang w:eastAsia="fr-FR"/>
        </w:rPr>
        <w:t xml:space="preserve">La figure 1 présente la répartition des élèves consommateurs de </w:t>
      </w:r>
      <w:r>
        <w:rPr>
          <w:color w:val="000000"/>
          <w:sz w:val="24"/>
          <w:szCs w:val="24"/>
          <w:lang w:eastAsia="fr-FR"/>
        </w:rPr>
        <w:t>SPA</w:t>
      </w:r>
      <w:r w:rsidRPr="00B70D71">
        <w:rPr>
          <w:color w:val="000000"/>
          <w:sz w:val="24"/>
          <w:szCs w:val="24"/>
          <w:lang w:eastAsia="fr-FR"/>
        </w:rPr>
        <w:t xml:space="preserve"> par sexe</w:t>
      </w:r>
      <w:r>
        <w:rPr>
          <w:color w:val="000000"/>
          <w:sz w:val="24"/>
          <w:szCs w:val="24"/>
          <w:lang w:eastAsia="fr-FR"/>
        </w:rPr>
        <w:t> :</w:t>
      </w:r>
      <w:r w:rsidRPr="008C7995">
        <w:rPr>
          <w:color w:val="000000"/>
          <w:sz w:val="24"/>
          <w:szCs w:val="24"/>
          <w:lang w:eastAsia="fr-FR"/>
        </w:rPr>
        <w:t xml:space="preserve"> </w:t>
      </w:r>
      <w:r w:rsidRPr="00B70D71">
        <w:rPr>
          <w:color w:val="000000"/>
          <w:sz w:val="24"/>
          <w:szCs w:val="24"/>
          <w:lang w:eastAsia="fr-FR"/>
        </w:rPr>
        <w:t>35% (soit 90 élèves) étaient de sexe féminin et 65% (soit 164 élèves) étaient de sexe masculin ; soit un sexe ratio de 1,8</w:t>
      </w:r>
      <w:r>
        <w:rPr>
          <w:color w:val="000000"/>
          <w:sz w:val="24"/>
          <w:szCs w:val="24"/>
          <w:lang w:eastAsia="fr-FR"/>
        </w:rPr>
        <w:t>.</w:t>
      </w:r>
    </w:p>
    <w:bookmarkEnd w:id="276"/>
    <w:p w14:paraId="42C62289" w14:textId="77777777" w:rsidR="00D80693" w:rsidRPr="00B70D71" w:rsidRDefault="00D80693" w:rsidP="008276DA">
      <w:pPr>
        <w:spacing w:before="120" w:after="240"/>
        <w:ind w:left="-5" w:right="48" w:hanging="10"/>
        <w:jc w:val="both"/>
        <w:rPr>
          <w:bCs/>
          <w:color w:val="000000"/>
          <w:sz w:val="24"/>
          <w:szCs w:val="24"/>
          <w:lang w:eastAsia="fr-FR"/>
        </w:rPr>
      </w:pPr>
      <w:r>
        <w:rPr>
          <w:noProof/>
          <w:lang w:val="fr-SN" w:eastAsia="fr-SN"/>
        </w:rPr>
        <w:drawing>
          <wp:inline distT="0" distB="0" distL="0" distR="0" wp14:anchorId="70F1F86A" wp14:editId="5B3C1896">
            <wp:extent cx="5359400" cy="1927860"/>
            <wp:effectExtent l="0" t="0" r="12700" b="15240"/>
            <wp:docPr id="1689396719" name="Graphique 1">
              <a:extLst xmlns:a="http://schemas.openxmlformats.org/drawingml/2006/main">
                <a:ext uri="{FF2B5EF4-FFF2-40B4-BE49-F238E27FC236}">
                  <a16:creationId xmlns:a16="http://schemas.microsoft.com/office/drawing/2014/main" id="{33ADF61E-FEC2-4712-9344-DC80029B0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627BE88" w14:textId="2B880C55" w:rsidR="00D80693" w:rsidRPr="00F72D6B" w:rsidRDefault="00D80693" w:rsidP="008276DA">
      <w:pPr>
        <w:spacing w:before="120" w:after="240"/>
        <w:ind w:left="-5" w:right="48" w:hanging="10"/>
        <w:jc w:val="center"/>
        <w:rPr>
          <w:bCs/>
          <w:i/>
          <w:iCs/>
          <w:color w:val="000000"/>
          <w:lang w:eastAsia="fr-FR"/>
        </w:rPr>
      </w:pPr>
      <w:bookmarkStart w:id="277" w:name="_Hlk211733984"/>
      <w:r w:rsidRPr="00F72D6B">
        <w:rPr>
          <w:bCs/>
          <w:i/>
          <w:iCs/>
          <w:color w:val="000000"/>
          <w:lang w:eastAsia="fr-FR"/>
        </w:rPr>
        <w:t>Source : nos données du terrain</w:t>
      </w:r>
      <w:bookmarkEnd w:id="277"/>
    </w:p>
    <w:p w14:paraId="7DC53C4C" w14:textId="77777777" w:rsidR="00D80693" w:rsidRPr="009D48DF" w:rsidRDefault="00D80693" w:rsidP="008276DA">
      <w:pPr>
        <w:spacing w:before="120" w:after="240"/>
        <w:ind w:left="-5" w:right="48" w:hanging="10"/>
        <w:jc w:val="center"/>
        <w:rPr>
          <w:b/>
          <w:i/>
          <w:iCs/>
          <w:color w:val="000000"/>
          <w:lang w:eastAsia="fr-FR"/>
        </w:rPr>
      </w:pPr>
      <w:r w:rsidRPr="009D48DF">
        <w:rPr>
          <w:b/>
          <w:i/>
          <w:iCs/>
          <w:color w:val="000000"/>
          <w:lang w:eastAsia="fr-FR"/>
        </w:rPr>
        <w:t xml:space="preserve">Figure </w:t>
      </w:r>
      <w:r>
        <w:rPr>
          <w:b/>
          <w:i/>
          <w:iCs/>
          <w:color w:val="000000"/>
          <w:lang w:eastAsia="fr-FR"/>
        </w:rPr>
        <w:t xml:space="preserve">n° </w:t>
      </w:r>
      <w:r w:rsidRPr="009D48DF">
        <w:rPr>
          <w:b/>
          <w:i/>
          <w:iCs/>
          <w:color w:val="000000"/>
          <w:lang w:eastAsia="fr-FR"/>
        </w:rPr>
        <w:t xml:space="preserve">1 : Répartition de la population d’étude </w:t>
      </w:r>
      <w:bookmarkStart w:id="278" w:name="_Hlk108951720"/>
      <w:r w:rsidRPr="009D48DF">
        <w:rPr>
          <w:b/>
          <w:i/>
          <w:iCs/>
          <w:color w:val="000000"/>
          <w:lang w:eastAsia="fr-FR"/>
        </w:rPr>
        <w:t xml:space="preserve">(n=254) </w:t>
      </w:r>
      <w:bookmarkEnd w:id="278"/>
      <w:r w:rsidRPr="009D48DF">
        <w:rPr>
          <w:b/>
          <w:i/>
          <w:iCs/>
          <w:color w:val="000000"/>
          <w:lang w:eastAsia="fr-FR"/>
        </w:rPr>
        <w:t>selon le sexe</w:t>
      </w:r>
    </w:p>
    <w:p w14:paraId="31B9FD8E" w14:textId="77777777" w:rsidR="00D80693" w:rsidRPr="004E2AEB" w:rsidRDefault="00D80693" w:rsidP="008276DA">
      <w:pPr>
        <w:spacing w:before="120" w:after="240"/>
        <w:ind w:left="-5" w:right="48" w:hanging="10"/>
        <w:jc w:val="both"/>
        <w:rPr>
          <w:color w:val="000000"/>
          <w:sz w:val="24"/>
          <w:szCs w:val="24"/>
          <w:lang w:eastAsia="fr-FR"/>
        </w:rPr>
      </w:pPr>
      <w:r w:rsidRPr="004E2AEB">
        <w:rPr>
          <w:color w:val="000000"/>
          <w:sz w:val="24"/>
          <w:szCs w:val="24"/>
          <w:lang w:eastAsia="fr-FR"/>
        </w:rPr>
        <w:t xml:space="preserve">La figure </w:t>
      </w:r>
      <w:r>
        <w:rPr>
          <w:color w:val="000000"/>
          <w:sz w:val="24"/>
          <w:szCs w:val="24"/>
          <w:lang w:eastAsia="fr-FR"/>
        </w:rPr>
        <w:t>2</w:t>
      </w:r>
      <w:r w:rsidRPr="004E2AEB">
        <w:rPr>
          <w:color w:val="000000"/>
          <w:sz w:val="24"/>
          <w:szCs w:val="24"/>
          <w:lang w:eastAsia="fr-FR"/>
        </w:rPr>
        <w:t xml:space="preserve"> présente la répartition des élèves consommateurs de drogues par </w:t>
      </w:r>
      <w:r>
        <w:rPr>
          <w:color w:val="000000"/>
          <w:sz w:val="24"/>
          <w:szCs w:val="24"/>
          <w:lang w:eastAsia="fr-FR"/>
        </w:rPr>
        <w:t>tranches d’âge :</w:t>
      </w:r>
      <w:r>
        <w:rPr>
          <w:color w:val="000000"/>
          <w:sz w:val="24"/>
          <w:szCs w:val="24"/>
        </w:rPr>
        <w:t xml:space="preserve"> ces </w:t>
      </w:r>
      <w:r w:rsidRPr="00B70D71">
        <w:rPr>
          <w:color w:val="000000"/>
          <w:sz w:val="24"/>
          <w:szCs w:val="24"/>
        </w:rPr>
        <w:t xml:space="preserve">élèves </w:t>
      </w:r>
      <w:r>
        <w:rPr>
          <w:color w:val="000000"/>
          <w:sz w:val="24"/>
          <w:szCs w:val="24"/>
        </w:rPr>
        <w:t>étaient</w:t>
      </w:r>
      <w:r w:rsidRPr="00B70D71">
        <w:rPr>
          <w:color w:val="000000"/>
          <w:sz w:val="24"/>
          <w:szCs w:val="24"/>
        </w:rPr>
        <w:t xml:space="preserve"> âgés de 1</w:t>
      </w:r>
      <w:r>
        <w:rPr>
          <w:color w:val="000000"/>
          <w:sz w:val="24"/>
          <w:szCs w:val="24"/>
        </w:rPr>
        <w:t>0</w:t>
      </w:r>
      <w:r w:rsidRPr="00B70D71">
        <w:rPr>
          <w:color w:val="000000"/>
          <w:sz w:val="24"/>
          <w:szCs w:val="24"/>
        </w:rPr>
        <w:t xml:space="preserve"> à 24 ans ; l’âge moyen </w:t>
      </w:r>
      <w:r>
        <w:rPr>
          <w:color w:val="000000"/>
          <w:sz w:val="24"/>
          <w:szCs w:val="24"/>
        </w:rPr>
        <w:t>était</w:t>
      </w:r>
      <w:r w:rsidRPr="00B70D71">
        <w:rPr>
          <w:color w:val="000000"/>
          <w:sz w:val="24"/>
          <w:szCs w:val="24"/>
        </w:rPr>
        <w:t xml:space="preserve"> de </w:t>
      </w:r>
      <w:r w:rsidRPr="00794E07">
        <w:rPr>
          <w:color w:val="000000"/>
          <w:sz w:val="24"/>
          <w:szCs w:val="24"/>
        </w:rPr>
        <w:t>19,25 ± 2,3 ans</w:t>
      </w:r>
      <w:r>
        <w:rPr>
          <w:color w:val="000000"/>
          <w:sz w:val="24"/>
          <w:szCs w:val="24"/>
        </w:rPr>
        <w:t xml:space="preserve"> et</w:t>
      </w:r>
      <w:r w:rsidRPr="00B70D71">
        <w:rPr>
          <w:color w:val="000000"/>
          <w:sz w:val="24"/>
          <w:szCs w:val="24"/>
        </w:rPr>
        <w:t xml:space="preserve"> le mode 20</w:t>
      </w:r>
      <w:r>
        <w:rPr>
          <w:color w:val="000000"/>
          <w:sz w:val="24"/>
          <w:szCs w:val="24"/>
        </w:rPr>
        <w:t xml:space="preserve">. </w:t>
      </w:r>
      <w:r w:rsidRPr="00B70D71">
        <w:rPr>
          <w:color w:val="000000"/>
          <w:sz w:val="24"/>
          <w:szCs w:val="24"/>
        </w:rPr>
        <w:t>La tranche d’âge la plus représentée était celle de 16 à 20 ans</w:t>
      </w:r>
      <w:r>
        <w:rPr>
          <w:color w:val="000000"/>
          <w:sz w:val="24"/>
          <w:szCs w:val="24"/>
        </w:rPr>
        <w:t xml:space="preserve"> (soit 67%)</w:t>
      </w:r>
      <w:r w:rsidRPr="00B70D71">
        <w:rPr>
          <w:color w:val="000000"/>
          <w:sz w:val="24"/>
          <w:szCs w:val="24"/>
        </w:rPr>
        <w:t>.</w:t>
      </w:r>
    </w:p>
    <w:p w14:paraId="47410C73" w14:textId="77777777" w:rsidR="00D80693" w:rsidRPr="00B70D71" w:rsidRDefault="00D80693" w:rsidP="008276DA">
      <w:pPr>
        <w:spacing w:before="120" w:after="240"/>
        <w:ind w:left="-5" w:right="48" w:hanging="10"/>
        <w:jc w:val="both"/>
        <w:rPr>
          <w:color w:val="000000"/>
          <w:sz w:val="24"/>
          <w:szCs w:val="24"/>
          <w:lang w:eastAsia="fr-FR"/>
        </w:rPr>
      </w:pPr>
      <w:r>
        <w:rPr>
          <w:noProof/>
          <w:lang w:val="fr-SN" w:eastAsia="fr-SN"/>
        </w:rPr>
        <w:drawing>
          <wp:inline distT="0" distB="0" distL="0" distR="0" wp14:anchorId="1596F43D" wp14:editId="73A9833E">
            <wp:extent cx="5626100" cy="1828800"/>
            <wp:effectExtent l="0" t="0" r="12700" b="0"/>
            <wp:docPr id="1972880000" name="Graphique 1">
              <a:extLst xmlns:a="http://schemas.openxmlformats.org/drawingml/2006/main">
                <a:ext uri="{FF2B5EF4-FFF2-40B4-BE49-F238E27FC236}">
                  <a16:creationId xmlns:a16="http://schemas.microsoft.com/office/drawing/2014/main" id="{AC770132-80EC-4D45-46DE-52715BC99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258765C8" w14:textId="77777777" w:rsidR="00D80693" w:rsidRPr="007F4444" w:rsidRDefault="00D80693" w:rsidP="008276DA">
      <w:pPr>
        <w:spacing w:before="120" w:after="240"/>
        <w:jc w:val="center"/>
        <w:rPr>
          <w:rFonts w:eastAsia="Calibri"/>
          <w:bCs/>
          <w:i/>
          <w:iCs/>
        </w:rPr>
      </w:pPr>
      <w:bookmarkStart w:id="279" w:name="_Hlk46250729"/>
      <w:bookmarkStart w:id="280" w:name="_Hlk49430022"/>
      <w:r w:rsidRPr="007F4444">
        <w:rPr>
          <w:bCs/>
          <w:i/>
          <w:iCs/>
          <w:color w:val="000000"/>
          <w:lang w:eastAsia="fr-FR"/>
        </w:rPr>
        <w:t>Source : nos données du terrain</w:t>
      </w:r>
    </w:p>
    <w:p w14:paraId="56586081" w14:textId="77777777" w:rsidR="00D80693" w:rsidRPr="00FE1BA5" w:rsidRDefault="00D80693" w:rsidP="008276DA">
      <w:pPr>
        <w:spacing w:before="120" w:after="240"/>
        <w:jc w:val="center"/>
        <w:rPr>
          <w:i/>
          <w:iCs/>
          <w:color w:val="000000"/>
        </w:rPr>
      </w:pPr>
      <w:r w:rsidRPr="00FE1BA5">
        <w:rPr>
          <w:rFonts w:eastAsiaTheme="minorHAnsi"/>
          <w:b/>
          <w:i/>
          <w:iCs/>
        </w:rPr>
        <w:t>Figure</w:t>
      </w:r>
      <w:r>
        <w:rPr>
          <w:rFonts w:eastAsiaTheme="minorHAnsi"/>
          <w:b/>
          <w:i/>
          <w:iCs/>
        </w:rPr>
        <w:t xml:space="preserve"> n°</w:t>
      </w:r>
      <w:r w:rsidRPr="00FE1BA5">
        <w:rPr>
          <w:rFonts w:eastAsiaTheme="minorHAnsi"/>
          <w:b/>
          <w:i/>
          <w:iCs/>
        </w:rPr>
        <w:t xml:space="preserve"> 2 : Répartition de la population d’étude (n=254) selon les tranches d’âge</w:t>
      </w:r>
      <w:bookmarkEnd w:id="279"/>
    </w:p>
    <w:bookmarkEnd w:id="280"/>
    <w:p w14:paraId="66B663A6" w14:textId="77777777" w:rsidR="00D80693" w:rsidRPr="00C83891" w:rsidRDefault="00D80693" w:rsidP="008276DA">
      <w:pPr>
        <w:spacing w:before="120" w:after="240"/>
        <w:jc w:val="both"/>
        <w:rPr>
          <w:rFonts w:eastAsia="Calibri"/>
          <w:sz w:val="24"/>
          <w:szCs w:val="24"/>
        </w:rPr>
      </w:pPr>
      <w:r w:rsidRPr="004E2AEB">
        <w:rPr>
          <w:color w:val="000000"/>
          <w:sz w:val="24"/>
          <w:szCs w:val="24"/>
          <w:lang w:eastAsia="fr-FR"/>
        </w:rPr>
        <w:t xml:space="preserve">La figure </w:t>
      </w:r>
      <w:r>
        <w:rPr>
          <w:color w:val="000000"/>
          <w:sz w:val="24"/>
          <w:szCs w:val="24"/>
          <w:lang w:eastAsia="fr-FR"/>
        </w:rPr>
        <w:t>3</w:t>
      </w:r>
      <w:r w:rsidRPr="004E2AEB">
        <w:rPr>
          <w:color w:val="000000"/>
          <w:sz w:val="24"/>
          <w:szCs w:val="24"/>
          <w:lang w:eastAsia="fr-FR"/>
        </w:rPr>
        <w:t xml:space="preserve"> présente la répartition des élèves </w:t>
      </w:r>
      <w:r>
        <w:rPr>
          <w:color w:val="000000"/>
          <w:sz w:val="24"/>
          <w:szCs w:val="24"/>
          <w:lang w:eastAsia="fr-FR"/>
        </w:rPr>
        <w:t>selon le type de SPA consommé :</w:t>
      </w:r>
      <w:r w:rsidRPr="008720C2">
        <w:rPr>
          <w:noProof/>
          <w:color w:val="000000"/>
          <w:sz w:val="24"/>
          <w:szCs w:val="24"/>
        </w:rPr>
        <w:t xml:space="preserve"> </w:t>
      </w:r>
      <w:bookmarkStart w:id="281" w:name="_Hlk51072249"/>
      <w:r>
        <w:rPr>
          <w:color w:val="000000"/>
          <w:sz w:val="24"/>
          <w:szCs w:val="24"/>
        </w:rPr>
        <w:t>l</w:t>
      </w:r>
      <w:r w:rsidRPr="00B70D71">
        <w:rPr>
          <w:color w:val="000000"/>
          <w:sz w:val="24"/>
          <w:szCs w:val="24"/>
        </w:rPr>
        <w:t xml:space="preserve">es drogues rapportées comme les plus consommées sont les suivantes : Alcool sous toutes ses formes (68,50%) ; Chicha (31,88%) ; Banga (16,53%) ; Cigarettes (15,74%) ; </w:t>
      </w:r>
      <w:proofErr w:type="spellStart"/>
      <w:r w:rsidRPr="00B70D71">
        <w:rPr>
          <w:color w:val="000000"/>
          <w:sz w:val="24"/>
          <w:szCs w:val="24"/>
        </w:rPr>
        <w:t>Tramadol</w:t>
      </w:r>
      <w:proofErr w:type="spellEnd"/>
      <w:r w:rsidRPr="00B70D71">
        <w:rPr>
          <w:color w:val="000000"/>
          <w:sz w:val="24"/>
          <w:szCs w:val="24"/>
        </w:rPr>
        <w:t xml:space="preserve"> (14,96%) ; Tabac (12,59%) ; Diazépam (5,90%) ; les drogues injectées (5,11%) ; la cocaïne (4,72%) ; les somnifères (3,93%)</w:t>
      </w:r>
      <w:r>
        <w:rPr>
          <w:color w:val="000000"/>
          <w:sz w:val="24"/>
          <w:szCs w:val="24"/>
        </w:rPr>
        <w:t xml:space="preserve">, etc. </w:t>
      </w:r>
      <w:r w:rsidRPr="00B70D71">
        <w:rPr>
          <w:color w:val="000000"/>
          <w:sz w:val="24"/>
          <w:szCs w:val="24"/>
        </w:rPr>
        <w:t xml:space="preserve">De plus, </w:t>
      </w:r>
      <w:r>
        <w:rPr>
          <w:color w:val="000000"/>
          <w:sz w:val="24"/>
          <w:szCs w:val="24"/>
        </w:rPr>
        <w:t>un élément qui attire notre attention ici est le fait que</w:t>
      </w:r>
      <w:r w:rsidRPr="00B70D71">
        <w:rPr>
          <w:color w:val="000000"/>
          <w:sz w:val="24"/>
          <w:szCs w:val="24"/>
        </w:rPr>
        <w:t xml:space="preserve"> 22,83%</w:t>
      </w:r>
      <w:r>
        <w:rPr>
          <w:color w:val="000000"/>
          <w:sz w:val="24"/>
          <w:szCs w:val="24"/>
        </w:rPr>
        <w:t xml:space="preserve"> de</w:t>
      </w:r>
      <w:r w:rsidRPr="00B70D71">
        <w:rPr>
          <w:color w:val="000000"/>
          <w:sz w:val="24"/>
          <w:szCs w:val="24"/>
        </w:rPr>
        <w:t xml:space="preserve"> ces élèves, </w:t>
      </w:r>
      <w:bookmarkEnd w:id="281"/>
      <w:r w:rsidRPr="00B70D71">
        <w:rPr>
          <w:color w:val="000000"/>
          <w:sz w:val="24"/>
          <w:szCs w:val="24"/>
        </w:rPr>
        <w:t xml:space="preserve">ont déclaré consommer fréquemment </w:t>
      </w:r>
      <w:r>
        <w:rPr>
          <w:color w:val="000000"/>
          <w:sz w:val="24"/>
          <w:szCs w:val="24"/>
        </w:rPr>
        <w:t>au moins trois formes</w:t>
      </w:r>
      <w:r w:rsidRPr="00B70D71">
        <w:rPr>
          <w:color w:val="000000"/>
          <w:sz w:val="24"/>
          <w:szCs w:val="24"/>
        </w:rPr>
        <w:t xml:space="preserve"> de drogues à la fois.</w:t>
      </w:r>
      <w:r w:rsidRPr="009F6DA7">
        <w:rPr>
          <w:rFonts w:eastAsiaTheme="minorHAnsi"/>
          <w:sz w:val="24"/>
          <w:szCs w:val="24"/>
        </w:rPr>
        <w:t xml:space="preserve"> </w:t>
      </w:r>
    </w:p>
    <w:p w14:paraId="7E19B663" w14:textId="77777777" w:rsidR="00D80693" w:rsidRPr="00B70D71" w:rsidRDefault="00D80693" w:rsidP="008276DA">
      <w:pPr>
        <w:spacing w:before="120" w:after="240"/>
        <w:jc w:val="both"/>
        <w:rPr>
          <w:color w:val="000000"/>
          <w:sz w:val="24"/>
          <w:szCs w:val="24"/>
        </w:rPr>
      </w:pPr>
      <w:r w:rsidRPr="00B70D71">
        <w:rPr>
          <w:noProof/>
          <w:color w:val="000000"/>
          <w:sz w:val="24"/>
          <w:szCs w:val="24"/>
          <w:lang w:val="fr-SN" w:eastAsia="fr-SN"/>
        </w:rPr>
        <w:drawing>
          <wp:inline distT="0" distB="0" distL="0" distR="0" wp14:anchorId="254E23DC" wp14:editId="41C26552">
            <wp:extent cx="6186617" cy="4587875"/>
            <wp:effectExtent l="0" t="0" r="5080" b="3175"/>
            <wp:docPr id="34" name="Graphique 34">
              <a:extLst xmlns:a="http://schemas.openxmlformats.org/drawingml/2006/main">
                <a:ext uri="{FF2B5EF4-FFF2-40B4-BE49-F238E27FC236}">
                  <a16:creationId xmlns:a16="http://schemas.microsoft.com/office/drawing/2014/main" id="{CF3F82EC-F4CF-4339-BDDE-6A99A973B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B76E110" w14:textId="77777777" w:rsidR="00D80693" w:rsidRPr="00F72D6B" w:rsidRDefault="00D80693" w:rsidP="002410D0">
      <w:pPr>
        <w:spacing w:before="120" w:after="240"/>
        <w:jc w:val="center"/>
        <w:rPr>
          <w:bCs/>
          <w:i/>
          <w:iCs/>
          <w:color w:val="000000"/>
          <w:sz w:val="24"/>
          <w:szCs w:val="24"/>
        </w:rPr>
      </w:pPr>
      <w:bookmarkStart w:id="282" w:name="_Hlk51106365"/>
      <w:r w:rsidRPr="00F72D6B">
        <w:rPr>
          <w:bCs/>
          <w:i/>
          <w:iCs/>
          <w:color w:val="000000"/>
          <w:lang w:eastAsia="fr-FR"/>
        </w:rPr>
        <w:t>Source : nos données du terrain</w:t>
      </w:r>
    </w:p>
    <w:p w14:paraId="5AA4E845" w14:textId="77777777" w:rsidR="00D80693" w:rsidRPr="001D39C9" w:rsidRDefault="00D80693" w:rsidP="008276DA">
      <w:pPr>
        <w:spacing w:before="120" w:after="240"/>
        <w:jc w:val="center"/>
        <w:rPr>
          <w:i/>
          <w:iCs/>
          <w:color w:val="000000"/>
        </w:rPr>
      </w:pPr>
      <w:r w:rsidRPr="001D39C9">
        <w:rPr>
          <w:b/>
          <w:i/>
          <w:iCs/>
          <w:color w:val="000000"/>
        </w:rPr>
        <w:t>Figure n° 3 : Répartition des effectifs (n=254) selon le type de SPA consommé</w:t>
      </w:r>
      <w:bookmarkEnd w:id="282"/>
    </w:p>
    <w:p w14:paraId="68AEB4BB" w14:textId="7FF7991B" w:rsidR="00D80693" w:rsidRDefault="00D80693" w:rsidP="008276DA">
      <w:pPr>
        <w:spacing w:before="120" w:after="240"/>
        <w:jc w:val="both"/>
        <w:rPr>
          <w:color w:val="000000"/>
          <w:sz w:val="24"/>
          <w:szCs w:val="24"/>
        </w:rPr>
      </w:pPr>
      <w:r>
        <w:rPr>
          <w:rFonts w:eastAsiaTheme="minorHAnsi"/>
          <w:sz w:val="24"/>
          <w:szCs w:val="24"/>
        </w:rPr>
        <w:t xml:space="preserve">Les résultats qui précèdent rejoignent ceux retrouvés dans les travaux des auteurs tels que </w:t>
      </w:r>
      <w:r w:rsidRPr="009F6DA7">
        <w:rPr>
          <w:color w:val="000000"/>
          <w:sz w:val="24"/>
          <w:szCs w:val="24"/>
        </w:rPr>
        <w:t>UNESCO, ONUDC et OMS (2018)</w:t>
      </w:r>
      <w:r>
        <w:rPr>
          <w:color w:val="000000"/>
          <w:sz w:val="24"/>
          <w:szCs w:val="24"/>
        </w:rPr>
        <w:t> ;</w:t>
      </w:r>
      <w:r w:rsidRPr="009F6DA7">
        <w:rPr>
          <w:color w:val="000000"/>
          <w:sz w:val="24"/>
          <w:szCs w:val="24"/>
        </w:rPr>
        <w:t xml:space="preserve"> </w:t>
      </w:r>
      <w:r w:rsidRPr="009F6DA7">
        <w:rPr>
          <w:color w:val="000000"/>
          <w:sz w:val="24"/>
          <w:szCs w:val="24"/>
        </w:rPr>
        <w:fldChar w:fldCharType="begin" w:fldLock="1"/>
      </w:r>
      <w:r w:rsidRPr="009F6DA7">
        <w:rPr>
          <w:color w:val="000000"/>
          <w:sz w:val="24"/>
          <w:szCs w:val="24"/>
        </w:rPr>
        <w:instrText>ADDIN CSL_CITATION {"citationItems":[{"id":"ITEM-1","itemData":{"author":[{"dropping-particle":"","family":"Kpozehouen","given":"Alphonse","non-dropping-particle":"","parse-names":false,"suffix":""},{"dropping-particle":"","family":"Ahanhanzo","given":"Yolaine Glèlè","non-dropping-particle":"","parse-names":false,"suffix":""},{"dropping-particle":"","family":"Paraïso","given":"Moussiliou Noël","non-dropping-particle":"","parse-names":false,"suffix":""},{"dropping-particle":"","family":"Saizonou","given":"Jacques Z","non-dropping-particle":"","parse-names":false,"suffix":""},{"dropping-particle":"","family":"Makoutodé","given":"Michel","non-dropping-particle":"","parse-names":false,"suffix":""},{"dropping-particle":"","family":"Ouedraogo","given":"Tinoaga","non-dropping-particle":"","parse-names":false,"suffix":""},{"dropping-particle":"","family":"Publique","given":"S F S P Santé","non-dropping-particle":"","parse-names":false,"suffix":""},{"dropping-particle":"","family":"Kpozehouen","given":"Alphonse","non-dropping-particle":"","parse-names":false,"suffix":""},{"dropping-particle":"","family":"Ahanhanzo","given":"Yolaine Glèlè","non-dropping-particle":"","parse-names":false,"suffix":""},{"dropping-particle":"","family":"Paraïso","given":"Moussiliou Noël","non-dropping-particle":"","parse-names":false,"suffix":""},{"dropping-particle":"","family":"Munezero","given":"Florence","non-dropping-particle":"","parse-names":false,"suffix":""},{"dropping-particle":"","family":"Saizonou","given":"Jacques Z","non-dropping-particle":"","parse-names":false,"suffix":""},{"dropping-particle":"","family":"Makoutodé","given":"Michel","non-dropping-particle":"","parse-names":false,"suffix":""},{"dropping-particle":"","family":"Ouedraogo","given":"Laurent Tinoaga","non-dropping-particle":"","parse-names":false,"suffix":""}],"id":"ITEM-1","issued":{"date-parts":[["2015"]]},"title":"Facteurs associés à l ’ usage de substances psychoactives chez les adolescents au Bénin Factors associated with psychoactive substance use among Beninese adolescents","type":"article-journal"},"uris":["http://www.mendeley.com/documents/?uuid=1a59cfcb-95b1-4103-b4b1-a79dec1a1a3b"]}],"mendeley":{"formattedCitation":"(Kpozehouen, Ahanhanzo, Paraïso, Saizonou, Makoutodé, Ouedraogo, et al., 2015)","manualFormatting":"Kpozehouen et al. (2015)","plainTextFormattedCitation":"(Kpozehouen, Ahanhanzo, Paraïso, Saizonou, Makoutodé, Ouedraogo, et al., 2015)","previouslyFormattedCitation":"(Kpozehouen, Ahanhanzo, Paraïso, Saizonou, Makoutodé, Ouedraogo, et al., 2015)"},"properties":{"noteIndex":0},"schema":"https://github.com/citation-style-language/schema/raw/master/csl-citation.json"}</w:instrText>
      </w:r>
      <w:r w:rsidRPr="009F6DA7">
        <w:rPr>
          <w:color w:val="000000"/>
          <w:sz w:val="24"/>
          <w:szCs w:val="24"/>
        </w:rPr>
        <w:fldChar w:fldCharType="separate"/>
      </w:r>
      <w:proofErr w:type="spellStart"/>
      <w:r w:rsidRPr="009F6DA7">
        <w:rPr>
          <w:color w:val="000000"/>
          <w:sz w:val="24"/>
          <w:szCs w:val="24"/>
        </w:rPr>
        <w:t>Kpozehouen</w:t>
      </w:r>
      <w:proofErr w:type="spellEnd"/>
      <w:r w:rsidRPr="009F6DA7">
        <w:rPr>
          <w:color w:val="000000"/>
          <w:sz w:val="24"/>
          <w:szCs w:val="24"/>
        </w:rPr>
        <w:t xml:space="preserve"> et al. (2015)</w:t>
      </w:r>
      <w:r w:rsidRPr="009F6DA7">
        <w:rPr>
          <w:color w:val="000000"/>
          <w:sz w:val="24"/>
          <w:szCs w:val="24"/>
        </w:rPr>
        <w:fldChar w:fldCharType="end"/>
      </w:r>
      <w:r>
        <w:rPr>
          <w:color w:val="000000"/>
          <w:sz w:val="24"/>
          <w:szCs w:val="24"/>
        </w:rPr>
        <w:t>, qui trouvaient que, l</w:t>
      </w:r>
      <w:r w:rsidRPr="009F6DA7">
        <w:rPr>
          <w:color w:val="000000"/>
          <w:sz w:val="24"/>
          <w:szCs w:val="24"/>
        </w:rPr>
        <w:t>’alcool se présente comme la substance psychoactive la plus couramment consommée par les élèves</w:t>
      </w:r>
      <w:r>
        <w:rPr>
          <w:color w:val="000000"/>
          <w:sz w:val="24"/>
          <w:szCs w:val="24"/>
        </w:rPr>
        <w:t xml:space="preserve"> ; et on le retrouve </w:t>
      </w:r>
      <w:r w:rsidRPr="009F6DA7">
        <w:rPr>
          <w:color w:val="000000"/>
          <w:sz w:val="24"/>
          <w:szCs w:val="24"/>
        </w:rPr>
        <w:t xml:space="preserve">dans diverses boissons comme la bière, le vin, les spiritueux, le cidre, les rafraîchissements à base d’alcool (« </w:t>
      </w:r>
      <w:proofErr w:type="spellStart"/>
      <w:r w:rsidRPr="009F6DA7">
        <w:rPr>
          <w:color w:val="000000"/>
          <w:sz w:val="24"/>
          <w:szCs w:val="24"/>
        </w:rPr>
        <w:t>coolers</w:t>
      </w:r>
      <w:proofErr w:type="spellEnd"/>
      <w:r w:rsidRPr="009F6DA7">
        <w:rPr>
          <w:color w:val="000000"/>
          <w:sz w:val="24"/>
          <w:szCs w:val="24"/>
        </w:rPr>
        <w:t xml:space="preserve"> » ou « alcopops »).</w:t>
      </w:r>
      <w:r>
        <w:rPr>
          <w:color w:val="000000"/>
          <w:sz w:val="24"/>
          <w:szCs w:val="24"/>
        </w:rPr>
        <w:t xml:space="preserve"> L</w:t>
      </w:r>
      <w:r w:rsidRPr="009F6DA7">
        <w:rPr>
          <w:color w:val="000000"/>
          <w:sz w:val="24"/>
          <w:szCs w:val="24"/>
        </w:rPr>
        <w:t>es travaux de Kam-Siham (2018)</w:t>
      </w:r>
      <w:r>
        <w:rPr>
          <w:color w:val="000000"/>
          <w:sz w:val="24"/>
          <w:szCs w:val="24"/>
        </w:rPr>
        <w:t xml:space="preserve">, faisaient également le constat selon lequel à l’âge de </w:t>
      </w:r>
      <w:r w:rsidRPr="009F6DA7">
        <w:rPr>
          <w:color w:val="000000"/>
          <w:sz w:val="24"/>
          <w:szCs w:val="24"/>
        </w:rPr>
        <w:t>15 ans, plus de 90 % des jeunes ont déjà expérimenté une boisson alcoolisée et 59 % rapportent avoir déjà été ivres au cours de leur vie</w:t>
      </w:r>
      <w:r>
        <w:rPr>
          <w:color w:val="000000"/>
          <w:sz w:val="24"/>
          <w:szCs w:val="24"/>
        </w:rPr>
        <w:t>, soulignant aussi qu</w:t>
      </w:r>
      <w:r w:rsidRPr="009F6DA7">
        <w:rPr>
          <w:color w:val="000000"/>
          <w:sz w:val="24"/>
          <w:szCs w:val="24"/>
        </w:rPr>
        <w:t>e la tendance est à la consommation de plusieurs substances en même temps</w:t>
      </w:r>
      <w:r>
        <w:rPr>
          <w:color w:val="000000"/>
          <w:sz w:val="24"/>
          <w:szCs w:val="24"/>
        </w:rPr>
        <w:t xml:space="preserve">. </w:t>
      </w:r>
      <w:proofErr w:type="spellStart"/>
      <w:r w:rsidRPr="009F6DA7">
        <w:rPr>
          <w:color w:val="000000"/>
          <w:sz w:val="24"/>
          <w:szCs w:val="24"/>
        </w:rPr>
        <w:t>Mbongo’o</w:t>
      </w:r>
      <w:proofErr w:type="spellEnd"/>
      <w:r w:rsidRPr="009F6DA7">
        <w:rPr>
          <w:color w:val="000000"/>
          <w:sz w:val="24"/>
          <w:szCs w:val="24"/>
        </w:rPr>
        <w:t xml:space="preserve"> et al., trouv</w:t>
      </w:r>
      <w:r>
        <w:rPr>
          <w:color w:val="000000"/>
          <w:sz w:val="24"/>
          <w:szCs w:val="24"/>
        </w:rPr>
        <w:t>ai</w:t>
      </w:r>
      <w:r w:rsidRPr="009F6DA7">
        <w:rPr>
          <w:color w:val="000000"/>
          <w:sz w:val="24"/>
          <w:szCs w:val="24"/>
        </w:rPr>
        <w:t xml:space="preserve">ent dans leur échantillon d’adolescents (13-18 ans) admis au service de psychiatrie de l’hôpital Jamot de Yaoundé, 53,8% de consommateurs de </w:t>
      </w:r>
      <w:proofErr w:type="spellStart"/>
      <w:r w:rsidRPr="009F6DA7">
        <w:rPr>
          <w:color w:val="000000"/>
          <w:sz w:val="24"/>
          <w:szCs w:val="24"/>
        </w:rPr>
        <w:t>tramadol</w:t>
      </w:r>
      <w:proofErr w:type="spellEnd"/>
      <w:r w:rsidRPr="009F6DA7">
        <w:rPr>
          <w:color w:val="000000"/>
          <w:sz w:val="24"/>
          <w:szCs w:val="24"/>
        </w:rPr>
        <w:t xml:space="preserve"> et 65,3% de consommateurs d’alcool (</w:t>
      </w:r>
      <w:proofErr w:type="spellStart"/>
      <w:r w:rsidRPr="009F6DA7">
        <w:rPr>
          <w:color w:val="000000"/>
          <w:sz w:val="24"/>
          <w:szCs w:val="24"/>
        </w:rPr>
        <w:t>Mbongo’o</w:t>
      </w:r>
      <w:proofErr w:type="spellEnd"/>
      <w:r w:rsidRPr="009F6DA7">
        <w:rPr>
          <w:color w:val="000000"/>
          <w:sz w:val="24"/>
          <w:szCs w:val="24"/>
        </w:rPr>
        <w:t xml:space="preserve"> et al., 2021a)</w:t>
      </w:r>
      <w:r>
        <w:rPr>
          <w:color w:val="000000"/>
          <w:sz w:val="24"/>
          <w:szCs w:val="24"/>
        </w:rPr>
        <w:t>. Par ailleurs, en ce qui concerne les réponses à la question des facteurs sociaux qui déterminent les conduites de consommation de SPA chez les élèves, nous avons questionné plusieurs déterminants liés à la fréquentation des pairs, aux facteurs familiaux et au quartier de résidence :</w:t>
      </w:r>
    </w:p>
    <w:p w14:paraId="11586BB6" w14:textId="77777777" w:rsidR="00D80693" w:rsidRDefault="00D80693" w:rsidP="008276DA">
      <w:pPr>
        <w:spacing w:before="120" w:after="240"/>
        <w:jc w:val="both"/>
        <w:rPr>
          <w:color w:val="000000"/>
          <w:sz w:val="24"/>
          <w:szCs w:val="24"/>
        </w:rPr>
      </w:pPr>
      <w:r>
        <w:rPr>
          <w:color w:val="000000"/>
          <w:sz w:val="24"/>
          <w:szCs w:val="24"/>
        </w:rPr>
        <w:t>Pour la première hypothèse de recherche (HR1,</w:t>
      </w:r>
      <w:r w:rsidRPr="008639C0">
        <w:rPr>
          <w:color w:val="000000"/>
          <w:sz w:val="24"/>
          <w:szCs w:val="24"/>
        </w:rPr>
        <w:t xml:space="preserve"> fréquentation des pairs</w:t>
      </w:r>
      <w:r>
        <w:rPr>
          <w:color w:val="000000"/>
          <w:sz w:val="24"/>
          <w:szCs w:val="24"/>
        </w:rPr>
        <w:t xml:space="preserve"> </w:t>
      </w:r>
      <w:r w:rsidRPr="008639C0">
        <w:rPr>
          <w:color w:val="000000"/>
          <w:sz w:val="24"/>
          <w:szCs w:val="24"/>
        </w:rPr>
        <w:t>et consommation des SPA</w:t>
      </w:r>
      <w:r>
        <w:rPr>
          <w:color w:val="000000"/>
          <w:sz w:val="24"/>
          <w:szCs w:val="24"/>
        </w:rPr>
        <w:t xml:space="preserve">), nous avons évaluer les indicateurs suivants </w:t>
      </w:r>
      <w:r w:rsidRPr="008639C0">
        <w:rPr>
          <w:color w:val="000000"/>
          <w:sz w:val="24"/>
          <w:szCs w:val="24"/>
        </w:rPr>
        <w:t>: connaissance des SPA à travers un camarade à l’écol</w:t>
      </w:r>
      <w:r>
        <w:rPr>
          <w:color w:val="000000"/>
          <w:sz w:val="24"/>
          <w:szCs w:val="24"/>
        </w:rPr>
        <w:t>e, à travers</w:t>
      </w:r>
      <w:r w:rsidRPr="008639C0">
        <w:rPr>
          <w:color w:val="000000"/>
          <w:sz w:val="24"/>
          <w:szCs w:val="24"/>
        </w:rPr>
        <w:t xml:space="preserve"> un groupe d’amis</w:t>
      </w:r>
      <w:r>
        <w:rPr>
          <w:color w:val="000000"/>
          <w:sz w:val="24"/>
          <w:szCs w:val="24"/>
        </w:rPr>
        <w:t xml:space="preserve"> (Tableaux n° 1 et n° 2) :</w:t>
      </w:r>
    </w:p>
    <w:p w14:paraId="0828EFAD" w14:textId="77777777" w:rsidR="00D80693" w:rsidRPr="00C22865" w:rsidRDefault="00D80693" w:rsidP="008276DA">
      <w:pPr>
        <w:spacing w:before="120" w:after="100" w:afterAutospacing="1"/>
        <w:jc w:val="center"/>
        <w:rPr>
          <w:b/>
          <w:i/>
          <w:iCs/>
          <w:color w:val="000000"/>
          <w:sz w:val="24"/>
          <w:szCs w:val="24"/>
        </w:rPr>
      </w:pPr>
      <w:bookmarkStart w:id="283" w:name="_Hlk51105242"/>
      <w:bookmarkStart w:id="284" w:name="_Toc52611691"/>
      <w:r w:rsidRPr="00C22865">
        <w:rPr>
          <w:b/>
          <w:i/>
          <w:iCs/>
          <w:color w:val="000000"/>
          <w:sz w:val="24"/>
          <w:szCs w:val="24"/>
        </w:rPr>
        <w:t>Tableau</w:t>
      </w:r>
      <w:r>
        <w:rPr>
          <w:b/>
          <w:i/>
          <w:iCs/>
          <w:color w:val="000000"/>
          <w:sz w:val="24"/>
          <w:szCs w:val="24"/>
        </w:rPr>
        <w:t xml:space="preserve"> n°1</w:t>
      </w:r>
      <w:r w:rsidRPr="00C22865">
        <w:rPr>
          <w:b/>
          <w:i/>
          <w:iCs/>
          <w:color w:val="000000"/>
          <w:sz w:val="24"/>
          <w:szCs w:val="24"/>
        </w:rPr>
        <w:t xml:space="preserve"> : Connaissance </w:t>
      </w:r>
      <w:r w:rsidRPr="00556917">
        <w:rPr>
          <w:b/>
          <w:bCs/>
          <w:i/>
          <w:iCs/>
          <w:color w:val="000000"/>
          <w:sz w:val="24"/>
          <w:szCs w:val="24"/>
        </w:rPr>
        <w:t xml:space="preserve">des drogues </w:t>
      </w:r>
      <w:r w:rsidRPr="00C22865">
        <w:rPr>
          <w:b/>
          <w:i/>
          <w:iCs/>
          <w:color w:val="000000"/>
          <w:sz w:val="24"/>
          <w:szCs w:val="24"/>
        </w:rPr>
        <w:t>par un camarade à l’école</w:t>
      </w:r>
      <w:bookmarkEnd w:id="283"/>
      <w:bookmarkEnd w:id="284"/>
    </w:p>
    <w:tbl>
      <w:tblPr>
        <w:tblW w:w="7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15"/>
      </w:tblGrid>
      <w:tr w:rsidR="00D80693" w14:paraId="63F11AC6" w14:textId="77777777" w:rsidTr="00D72320">
        <w:trPr>
          <w:cantSplit/>
          <w:trHeight w:val="2280"/>
        </w:trPr>
        <w:tc>
          <w:tcPr>
            <w:tcW w:w="7915" w:type="dxa"/>
            <w:tcBorders>
              <w:top w:val="nil"/>
              <w:left w:val="nil"/>
              <w:bottom w:val="nil"/>
              <w:right w:val="nil"/>
            </w:tcBorders>
            <w:shd w:val="clear" w:color="auto" w:fill="FFFFFF"/>
            <w:vAlign w:val="center"/>
          </w:tcPr>
          <w:tbl>
            <w:tblPr>
              <w:tblStyle w:val="PlainTable20"/>
              <w:tblW w:w="8222" w:type="dxa"/>
              <w:tblLayout w:type="fixed"/>
              <w:tblLook w:val="06A0" w:firstRow="1" w:lastRow="0" w:firstColumn="1" w:lastColumn="0" w:noHBand="1" w:noVBand="1"/>
            </w:tblPr>
            <w:tblGrid>
              <w:gridCol w:w="1624"/>
              <w:gridCol w:w="1473"/>
              <w:gridCol w:w="2393"/>
              <w:gridCol w:w="2732"/>
            </w:tblGrid>
            <w:tr w:rsidR="00D80693" w14:paraId="51556871" w14:textId="77777777" w:rsidTr="00D72320">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97" w:type="dxa"/>
                  <w:gridSpan w:val="2"/>
                </w:tcPr>
                <w:p w14:paraId="257F690F" w14:textId="77777777" w:rsidR="00D80693" w:rsidRPr="00C22865" w:rsidRDefault="00D80693" w:rsidP="008276DA">
                  <w:pPr>
                    <w:spacing w:before="120"/>
                    <w:rPr>
                      <w:b w:val="0"/>
                      <w:bCs w:val="0"/>
                      <w:sz w:val="24"/>
                      <w:szCs w:val="24"/>
                    </w:rPr>
                  </w:pPr>
                </w:p>
              </w:tc>
              <w:tc>
                <w:tcPr>
                  <w:tcW w:w="2393" w:type="dxa"/>
                </w:tcPr>
                <w:p w14:paraId="23EE3A8B" w14:textId="77777777" w:rsidR="00D80693" w:rsidRPr="00C22865"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sz w:val="24"/>
                      <w:szCs w:val="24"/>
                    </w:rPr>
                  </w:pPr>
                  <w:r w:rsidRPr="009E448B">
                    <w:rPr>
                      <w:rFonts w:eastAsiaTheme="minorHAnsi"/>
                      <w:b w:val="0"/>
                      <w:bCs w:val="0"/>
                      <w:sz w:val="24"/>
                      <w:szCs w:val="24"/>
                    </w:rPr>
                    <w:t>Effectifs (n=254)</w:t>
                  </w:r>
                </w:p>
              </w:tc>
              <w:tc>
                <w:tcPr>
                  <w:tcW w:w="2732" w:type="dxa"/>
                </w:tcPr>
                <w:p w14:paraId="0548B506" w14:textId="77777777" w:rsidR="00D80693" w:rsidRPr="00C22865"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sz w:val="24"/>
                      <w:szCs w:val="24"/>
                    </w:rPr>
                  </w:pPr>
                  <w:r w:rsidRPr="009E448B">
                    <w:rPr>
                      <w:b w:val="0"/>
                      <w:bCs w:val="0"/>
                      <w:color w:val="000000"/>
                      <w:sz w:val="24"/>
                      <w:szCs w:val="24"/>
                    </w:rPr>
                    <w:t>Pourcentage (%)</w:t>
                  </w:r>
                </w:p>
              </w:tc>
            </w:tr>
            <w:tr w:rsidR="00D80693" w14:paraId="27A45953" w14:textId="77777777" w:rsidTr="00D72320">
              <w:trPr>
                <w:trHeight w:val="347"/>
              </w:trPr>
              <w:tc>
                <w:tcPr>
                  <w:cnfStyle w:val="001000000000" w:firstRow="0" w:lastRow="0" w:firstColumn="1" w:lastColumn="0" w:oddVBand="0" w:evenVBand="0" w:oddHBand="0" w:evenHBand="0" w:firstRowFirstColumn="0" w:firstRowLastColumn="0" w:lastRowFirstColumn="0" w:lastRowLastColumn="0"/>
                  <w:tcW w:w="1624" w:type="dxa"/>
                  <w:vMerge w:val="restart"/>
                </w:tcPr>
                <w:p w14:paraId="549498E8" w14:textId="77777777" w:rsidR="00D80693" w:rsidRPr="00C22865" w:rsidRDefault="00D80693" w:rsidP="008276DA">
                  <w:pPr>
                    <w:spacing w:before="120"/>
                    <w:rPr>
                      <w:b w:val="0"/>
                      <w:bCs w:val="0"/>
                      <w:sz w:val="24"/>
                      <w:szCs w:val="24"/>
                    </w:rPr>
                  </w:pPr>
                </w:p>
              </w:tc>
              <w:tc>
                <w:tcPr>
                  <w:tcW w:w="1473" w:type="dxa"/>
                </w:tcPr>
                <w:p w14:paraId="63BADEA9"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Pr>
                      <w:rFonts w:eastAsiaTheme="minorHAnsi"/>
                      <w:sz w:val="24"/>
                      <w:szCs w:val="24"/>
                    </w:rPr>
                    <w:t>RAS</w:t>
                  </w:r>
                </w:p>
              </w:tc>
              <w:tc>
                <w:tcPr>
                  <w:tcW w:w="2393" w:type="dxa"/>
                </w:tcPr>
                <w:p w14:paraId="12FCE632"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6</w:t>
                  </w:r>
                </w:p>
              </w:tc>
              <w:tc>
                <w:tcPr>
                  <w:tcW w:w="2732" w:type="dxa"/>
                </w:tcPr>
                <w:p w14:paraId="0B17B5C1"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2,4</w:t>
                  </w:r>
                </w:p>
              </w:tc>
            </w:tr>
            <w:tr w:rsidR="00D80693" w14:paraId="565AEB06" w14:textId="77777777" w:rsidTr="00D72320">
              <w:trPr>
                <w:trHeight w:val="414"/>
              </w:trPr>
              <w:tc>
                <w:tcPr>
                  <w:cnfStyle w:val="001000000000" w:firstRow="0" w:lastRow="0" w:firstColumn="1" w:lastColumn="0" w:oddVBand="0" w:evenVBand="0" w:oddHBand="0" w:evenHBand="0" w:firstRowFirstColumn="0" w:firstRowLastColumn="0" w:lastRowFirstColumn="0" w:lastRowLastColumn="0"/>
                  <w:tcW w:w="1624" w:type="dxa"/>
                  <w:vMerge/>
                </w:tcPr>
                <w:p w14:paraId="67037F12" w14:textId="77777777" w:rsidR="00D80693" w:rsidRPr="00C22865" w:rsidRDefault="00D80693" w:rsidP="008276DA">
                  <w:pPr>
                    <w:spacing w:before="120"/>
                    <w:rPr>
                      <w:b w:val="0"/>
                      <w:bCs w:val="0"/>
                      <w:sz w:val="24"/>
                      <w:szCs w:val="24"/>
                    </w:rPr>
                  </w:pPr>
                </w:p>
              </w:tc>
              <w:tc>
                <w:tcPr>
                  <w:tcW w:w="1473" w:type="dxa"/>
                </w:tcPr>
                <w:p w14:paraId="0C2EBF0B"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Non</w:t>
                  </w:r>
                </w:p>
              </w:tc>
              <w:tc>
                <w:tcPr>
                  <w:tcW w:w="2393" w:type="dxa"/>
                </w:tcPr>
                <w:p w14:paraId="7863B2E1"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111</w:t>
                  </w:r>
                </w:p>
              </w:tc>
              <w:tc>
                <w:tcPr>
                  <w:tcW w:w="2732" w:type="dxa"/>
                </w:tcPr>
                <w:p w14:paraId="23D2502F"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43,7</w:t>
                  </w:r>
                </w:p>
              </w:tc>
            </w:tr>
            <w:tr w:rsidR="00D80693" w14:paraId="160473E1" w14:textId="77777777" w:rsidTr="00D72320">
              <w:trPr>
                <w:trHeight w:val="392"/>
              </w:trPr>
              <w:tc>
                <w:tcPr>
                  <w:cnfStyle w:val="001000000000" w:firstRow="0" w:lastRow="0" w:firstColumn="1" w:lastColumn="0" w:oddVBand="0" w:evenVBand="0" w:oddHBand="0" w:evenHBand="0" w:firstRowFirstColumn="0" w:firstRowLastColumn="0" w:lastRowFirstColumn="0" w:lastRowLastColumn="0"/>
                  <w:tcW w:w="1624" w:type="dxa"/>
                  <w:vMerge/>
                </w:tcPr>
                <w:p w14:paraId="78F717BF" w14:textId="77777777" w:rsidR="00D80693" w:rsidRPr="00C22865" w:rsidRDefault="00D80693" w:rsidP="008276DA">
                  <w:pPr>
                    <w:spacing w:before="120"/>
                    <w:rPr>
                      <w:b w:val="0"/>
                      <w:bCs w:val="0"/>
                      <w:sz w:val="24"/>
                      <w:szCs w:val="24"/>
                    </w:rPr>
                  </w:pPr>
                </w:p>
              </w:tc>
              <w:tc>
                <w:tcPr>
                  <w:tcW w:w="1473" w:type="dxa"/>
                </w:tcPr>
                <w:p w14:paraId="3A570109"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Oui</w:t>
                  </w:r>
                </w:p>
              </w:tc>
              <w:tc>
                <w:tcPr>
                  <w:tcW w:w="2393" w:type="dxa"/>
                </w:tcPr>
                <w:p w14:paraId="36CF797B"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137</w:t>
                  </w:r>
                </w:p>
              </w:tc>
              <w:tc>
                <w:tcPr>
                  <w:tcW w:w="2732" w:type="dxa"/>
                </w:tcPr>
                <w:p w14:paraId="50743AE6"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53,9</w:t>
                  </w:r>
                </w:p>
              </w:tc>
            </w:tr>
            <w:tr w:rsidR="00D80693" w14:paraId="63F1A4EC" w14:textId="77777777" w:rsidTr="00D72320">
              <w:trPr>
                <w:trHeight w:val="392"/>
              </w:trPr>
              <w:tc>
                <w:tcPr>
                  <w:cnfStyle w:val="001000000000" w:firstRow="0" w:lastRow="0" w:firstColumn="1" w:lastColumn="0" w:oddVBand="0" w:evenVBand="0" w:oddHBand="0" w:evenHBand="0" w:firstRowFirstColumn="0" w:firstRowLastColumn="0" w:lastRowFirstColumn="0" w:lastRowLastColumn="0"/>
                  <w:tcW w:w="1624" w:type="dxa"/>
                  <w:vMerge/>
                </w:tcPr>
                <w:p w14:paraId="43DE4EE9" w14:textId="77777777" w:rsidR="00D80693" w:rsidRPr="00C22865" w:rsidRDefault="00D80693" w:rsidP="008276DA">
                  <w:pPr>
                    <w:spacing w:before="120"/>
                    <w:rPr>
                      <w:b w:val="0"/>
                      <w:bCs w:val="0"/>
                      <w:sz w:val="24"/>
                      <w:szCs w:val="24"/>
                    </w:rPr>
                  </w:pPr>
                </w:p>
              </w:tc>
              <w:tc>
                <w:tcPr>
                  <w:tcW w:w="1473" w:type="dxa"/>
                </w:tcPr>
                <w:p w14:paraId="4286281F"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Total</w:t>
                  </w:r>
                </w:p>
              </w:tc>
              <w:tc>
                <w:tcPr>
                  <w:tcW w:w="2393" w:type="dxa"/>
                </w:tcPr>
                <w:p w14:paraId="2FBE012F"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254</w:t>
                  </w:r>
                </w:p>
              </w:tc>
              <w:tc>
                <w:tcPr>
                  <w:tcW w:w="2732" w:type="dxa"/>
                </w:tcPr>
                <w:p w14:paraId="27402C56"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100,0</w:t>
                  </w:r>
                </w:p>
              </w:tc>
            </w:tr>
          </w:tbl>
          <w:p w14:paraId="4850EF17" w14:textId="77777777" w:rsidR="00D80693" w:rsidRPr="00C53208" w:rsidRDefault="00D80693" w:rsidP="008276DA">
            <w:pPr>
              <w:adjustRightInd w:val="0"/>
              <w:spacing w:before="120" w:after="100" w:afterAutospacing="1"/>
              <w:rPr>
                <w:color w:val="000000"/>
                <w:sz w:val="24"/>
                <w:szCs w:val="24"/>
                <w:lang w:val="fr-CM" w:eastAsia="fr-CM"/>
              </w:rPr>
            </w:pPr>
          </w:p>
        </w:tc>
      </w:tr>
    </w:tbl>
    <w:p w14:paraId="339CFA78" w14:textId="77777777" w:rsidR="00D80693" w:rsidRPr="00F72D6B" w:rsidRDefault="00D80693" w:rsidP="002410D0">
      <w:pPr>
        <w:spacing w:before="120" w:after="240"/>
        <w:jc w:val="center"/>
        <w:rPr>
          <w:bCs/>
          <w:color w:val="000000"/>
          <w:sz w:val="24"/>
          <w:szCs w:val="24"/>
        </w:rPr>
      </w:pPr>
      <w:r w:rsidRPr="00F72D6B">
        <w:rPr>
          <w:bCs/>
          <w:i/>
          <w:iCs/>
          <w:color w:val="000000"/>
          <w:lang w:eastAsia="fr-FR"/>
        </w:rPr>
        <w:t>Source : nos données du terrain</w:t>
      </w:r>
    </w:p>
    <w:p w14:paraId="75E16B9C" w14:textId="222B5D5A" w:rsidR="00D80693" w:rsidRPr="00330167" w:rsidRDefault="00D80693" w:rsidP="008276DA">
      <w:pPr>
        <w:spacing w:before="120" w:after="100" w:afterAutospacing="1"/>
        <w:jc w:val="both"/>
        <w:rPr>
          <w:color w:val="000000"/>
          <w:sz w:val="24"/>
          <w:szCs w:val="24"/>
        </w:rPr>
      </w:pPr>
      <w:r w:rsidRPr="00C53208">
        <w:rPr>
          <w:color w:val="000000"/>
          <w:sz w:val="24"/>
          <w:szCs w:val="24"/>
        </w:rPr>
        <w:t xml:space="preserve">53,9% des élèves enquêtés </w:t>
      </w:r>
      <w:r>
        <w:rPr>
          <w:color w:val="000000"/>
          <w:sz w:val="24"/>
          <w:szCs w:val="24"/>
        </w:rPr>
        <w:t>déclarent avoir</w:t>
      </w:r>
      <w:r w:rsidRPr="00C53208">
        <w:rPr>
          <w:color w:val="000000"/>
          <w:sz w:val="24"/>
          <w:szCs w:val="24"/>
        </w:rPr>
        <w:t xml:space="preserve"> connu les </w:t>
      </w:r>
      <w:r>
        <w:rPr>
          <w:color w:val="000000"/>
          <w:sz w:val="24"/>
          <w:szCs w:val="24"/>
        </w:rPr>
        <w:t>SPA</w:t>
      </w:r>
      <w:r w:rsidRPr="00C53208">
        <w:rPr>
          <w:color w:val="000000"/>
          <w:sz w:val="24"/>
          <w:szCs w:val="24"/>
        </w:rPr>
        <w:t xml:space="preserve"> par un camarade à l’école</w:t>
      </w:r>
      <w:r>
        <w:rPr>
          <w:color w:val="000000"/>
          <w:sz w:val="24"/>
          <w:szCs w:val="24"/>
        </w:rPr>
        <w:t xml:space="preserve">, </w:t>
      </w:r>
      <w:r w:rsidRPr="00517258">
        <w:rPr>
          <w:color w:val="000000"/>
          <w:sz w:val="24"/>
          <w:szCs w:val="24"/>
        </w:rPr>
        <w:t>donc d</w:t>
      </w:r>
      <w:r w:rsidRPr="00132299">
        <w:rPr>
          <w:color w:val="000000"/>
          <w:sz w:val="24"/>
          <w:szCs w:val="24"/>
        </w:rPr>
        <w:t>isent avoir été en contact avec la drogue via la proposition d’un camarade de classe.</w:t>
      </w:r>
    </w:p>
    <w:p w14:paraId="63EA41BF" w14:textId="77777777" w:rsidR="00D80693" w:rsidRPr="00C22865" w:rsidRDefault="00D80693" w:rsidP="008276DA">
      <w:pPr>
        <w:spacing w:before="120" w:after="100" w:afterAutospacing="1"/>
        <w:jc w:val="center"/>
        <w:rPr>
          <w:b/>
          <w:i/>
          <w:iCs/>
          <w:color w:val="000000"/>
          <w:sz w:val="24"/>
          <w:szCs w:val="24"/>
        </w:rPr>
      </w:pPr>
      <w:bookmarkStart w:id="285" w:name="_Toc52611692"/>
      <w:r w:rsidRPr="00C22865">
        <w:rPr>
          <w:b/>
          <w:i/>
          <w:iCs/>
          <w:color w:val="000000"/>
          <w:sz w:val="24"/>
          <w:szCs w:val="24"/>
        </w:rPr>
        <w:t xml:space="preserve">Tableau </w:t>
      </w:r>
      <w:r>
        <w:rPr>
          <w:b/>
          <w:i/>
          <w:iCs/>
          <w:color w:val="000000"/>
          <w:sz w:val="24"/>
          <w:szCs w:val="24"/>
        </w:rPr>
        <w:t>n°2</w:t>
      </w:r>
      <w:r w:rsidRPr="00C22865">
        <w:rPr>
          <w:b/>
          <w:i/>
          <w:iCs/>
          <w:color w:val="000000"/>
          <w:sz w:val="24"/>
          <w:szCs w:val="24"/>
        </w:rPr>
        <w:t xml:space="preserve"> : Consommation des </w:t>
      </w:r>
      <w:r>
        <w:rPr>
          <w:b/>
          <w:i/>
          <w:iCs/>
          <w:color w:val="000000"/>
          <w:sz w:val="24"/>
          <w:szCs w:val="24"/>
        </w:rPr>
        <w:t>SPA</w:t>
      </w:r>
      <w:r w:rsidRPr="00C22865">
        <w:rPr>
          <w:b/>
          <w:i/>
          <w:iCs/>
          <w:color w:val="000000"/>
          <w:sz w:val="24"/>
          <w:szCs w:val="24"/>
        </w:rPr>
        <w:t xml:space="preserve"> </w:t>
      </w:r>
      <w:r w:rsidRPr="009B3FA3">
        <w:rPr>
          <w:b/>
          <w:i/>
          <w:iCs/>
          <w:color w:val="000000"/>
          <w:sz w:val="24"/>
          <w:szCs w:val="24"/>
        </w:rPr>
        <w:t xml:space="preserve">en guise d’adhésion </w:t>
      </w:r>
      <w:r w:rsidRPr="00C22865">
        <w:rPr>
          <w:b/>
          <w:i/>
          <w:iCs/>
          <w:color w:val="000000"/>
          <w:sz w:val="24"/>
          <w:szCs w:val="24"/>
        </w:rPr>
        <w:t>à un groupe d’amis</w:t>
      </w:r>
      <w:bookmarkEnd w:id="285"/>
    </w:p>
    <w:tbl>
      <w:tblPr>
        <w:tblStyle w:val="PlainTable20"/>
        <w:tblW w:w="8271" w:type="dxa"/>
        <w:tblLayout w:type="fixed"/>
        <w:tblLook w:val="06A0" w:firstRow="1" w:lastRow="0" w:firstColumn="1" w:lastColumn="0" w:noHBand="1" w:noVBand="1"/>
      </w:tblPr>
      <w:tblGrid>
        <w:gridCol w:w="1634"/>
        <w:gridCol w:w="1481"/>
        <w:gridCol w:w="2408"/>
        <w:gridCol w:w="2748"/>
      </w:tblGrid>
      <w:tr w:rsidR="00D80693" w14:paraId="03FA9CCD" w14:textId="77777777" w:rsidTr="00D7232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15" w:type="dxa"/>
            <w:gridSpan w:val="2"/>
          </w:tcPr>
          <w:p w14:paraId="2CE922D1" w14:textId="77777777" w:rsidR="00D80693" w:rsidRPr="00C22865" w:rsidRDefault="00D80693" w:rsidP="008276DA">
            <w:pPr>
              <w:spacing w:before="120"/>
              <w:rPr>
                <w:b w:val="0"/>
                <w:bCs w:val="0"/>
                <w:sz w:val="24"/>
                <w:szCs w:val="24"/>
              </w:rPr>
            </w:pPr>
          </w:p>
        </w:tc>
        <w:tc>
          <w:tcPr>
            <w:tcW w:w="2408" w:type="dxa"/>
          </w:tcPr>
          <w:p w14:paraId="06E96B05" w14:textId="77777777" w:rsidR="00D80693" w:rsidRPr="00C22865"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sz w:val="24"/>
                <w:szCs w:val="24"/>
              </w:rPr>
            </w:pPr>
            <w:r w:rsidRPr="009E448B">
              <w:rPr>
                <w:rFonts w:eastAsiaTheme="minorHAnsi"/>
                <w:b w:val="0"/>
                <w:bCs w:val="0"/>
                <w:sz w:val="24"/>
                <w:szCs w:val="24"/>
              </w:rPr>
              <w:t>Effectifs (n=254)</w:t>
            </w:r>
          </w:p>
        </w:tc>
        <w:tc>
          <w:tcPr>
            <w:tcW w:w="2748" w:type="dxa"/>
          </w:tcPr>
          <w:p w14:paraId="43BB500B" w14:textId="77777777" w:rsidR="00D80693" w:rsidRPr="00C22865"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sz w:val="24"/>
                <w:szCs w:val="24"/>
              </w:rPr>
            </w:pPr>
            <w:r w:rsidRPr="009E448B">
              <w:rPr>
                <w:b w:val="0"/>
                <w:bCs w:val="0"/>
                <w:color w:val="000000"/>
                <w:sz w:val="24"/>
                <w:szCs w:val="24"/>
              </w:rPr>
              <w:t>Pourcentage (%)</w:t>
            </w:r>
          </w:p>
        </w:tc>
      </w:tr>
      <w:tr w:rsidR="00D80693" w14:paraId="14865CE2" w14:textId="77777777" w:rsidTr="00D72320">
        <w:trPr>
          <w:trHeight w:val="317"/>
        </w:trPr>
        <w:tc>
          <w:tcPr>
            <w:cnfStyle w:val="001000000000" w:firstRow="0" w:lastRow="0" w:firstColumn="1" w:lastColumn="0" w:oddVBand="0" w:evenVBand="0" w:oddHBand="0" w:evenHBand="0" w:firstRowFirstColumn="0" w:firstRowLastColumn="0" w:lastRowFirstColumn="0" w:lastRowLastColumn="0"/>
            <w:tcW w:w="1634" w:type="dxa"/>
            <w:vMerge w:val="restart"/>
          </w:tcPr>
          <w:p w14:paraId="405E200A" w14:textId="77777777" w:rsidR="00D80693" w:rsidRPr="00C22865" w:rsidRDefault="00D80693" w:rsidP="008276DA">
            <w:pPr>
              <w:spacing w:before="120"/>
              <w:rPr>
                <w:b w:val="0"/>
                <w:bCs w:val="0"/>
                <w:sz w:val="24"/>
                <w:szCs w:val="24"/>
              </w:rPr>
            </w:pPr>
          </w:p>
        </w:tc>
        <w:tc>
          <w:tcPr>
            <w:tcW w:w="1481" w:type="dxa"/>
          </w:tcPr>
          <w:p w14:paraId="760008FB"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Pr>
                <w:rFonts w:eastAsiaTheme="minorHAnsi"/>
                <w:sz w:val="24"/>
                <w:szCs w:val="24"/>
              </w:rPr>
              <w:t>RAS</w:t>
            </w:r>
          </w:p>
        </w:tc>
        <w:tc>
          <w:tcPr>
            <w:tcW w:w="2408" w:type="dxa"/>
          </w:tcPr>
          <w:p w14:paraId="7A656DDB"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6</w:t>
            </w:r>
          </w:p>
        </w:tc>
        <w:tc>
          <w:tcPr>
            <w:tcW w:w="2748" w:type="dxa"/>
          </w:tcPr>
          <w:p w14:paraId="20346152"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2,4</w:t>
            </w:r>
          </w:p>
        </w:tc>
      </w:tr>
      <w:tr w:rsidR="00D80693" w14:paraId="78E660F2" w14:textId="77777777" w:rsidTr="00D72320">
        <w:trPr>
          <w:trHeight w:val="367"/>
        </w:trPr>
        <w:tc>
          <w:tcPr>
            <w:cnfStyle w:val="001000000000" w:firstRow="0" w:lastRow="0" w:firstColumn="1" w:lastColumn="0" w:oddVBand="0" w:evenVBand="0" w:oddHBand="0" w:evenHBand="0" w:firstRowFirstColumn="0" w:firstRowLastColumn="0" w:lastRowFirstColumn="0" w:lastRowLastColumn="0"/>
            <w:tcW w:w="1634" w:type="dxa"/>
            <w:vMerge/>
          </w:tcPr>
          <w:p w14:paraId="01A618A1" w14:textId="77777777" w:rsidR="00D80693" w:rsidRPr="00C22865" w:rsidRDefault="00D80693" w:rsidP="008276DA">
            <w:pPr>
              <w:spacing w:before="120"/>
              <w:rPr>
                <w:b w:val="0"/>
                <w:bCs w:val="0"/>
                <w:sz w:val="24"/>
                <w:szCs w:val="24"/>
              </w:rPr>
            </w:pPr>
          </w:p>
        </w:tc>
        <w:tc>
          <w:tcPr>
            <w:tcW w:w="1481" w:type="dxa"/>
          </w:tcPr>
          <w:p w14:paraId="5C0B99C0"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Non</w:t>
            </w:r>
          </w:p>
        </w:tc>
        <w:tc>
          <w:tcPr>
            <w:tcW w:w="2408" w:type="dxa"/>
          </w:tcPr>
          <w:p w14:paraId="44163C9C"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98</w:t>
            </w:r>
          </w:p>
        </w:tc>
        <w:tc>
          <w:tcPr>
            <w:tcW w:w="2748" w:type="dxa"/>
          </w:tcPr>
          <w:p w14:paraId="241FF428"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38,6</w:t>
            </w:r>
          </w:p>
        </w:tc>
      </w:tr>
      <w:tr w:rsidR="00D80693" w14:paraId="33713533" w14:textId="77777777" w:rsidTr="00D72320">
        <w:trPr>
          <w:trHeight w:val="367"/>
        </w:trPr>
        <w:tc>
          <w:tcPr>
            <w:cnfStyle w:val="001000000000" w:firstRow="0" w:lastRow="0" w:firstColumn="1" w:lastColumn="0" w:oddVBand="0" w:evenVBand="0" w:oddHBand="0" w:evenHBand="0" w:firstRowFirstColumn="0" w:firstRowLastColumn="0" w:lastRowFirstColumn="0" w:lastRowLastColumn="0"/>
            <w:tcW w:w="1634" w:type="dxa"/>
            <w:vMerge/>
          </w:tcPr>
          <w:p w14:paraId="39220984" w14:textId="77777777" w:rsidR="00D80693" w:rsidRPr="00C22865" w:rsidRDefault="00D80693" w:rsidP="008276DA">
            <w:pPr>
              <w:spacing w:before="120"/>
              <w:rPr>
                <w:b w:val="0"/>
                <w:bCs w:val="0"/>
                <w:sz w:val="24"/>
                <w:szCs w:val="24"/>
              </w:rPr>
            </w:pPr>
          </w:p>
        </w:tc>
        <w:tc>
          <w:tcPr>
            <w:tcW w:w="1481" w:type="dxa"/>
          </w:tcPr>
          <w:p w14:paraId="69D3F27B"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Oui</w:t>
            </w:r>
          </w:p>
        </w:tc>
        <w:tc>
          <w:tcPr>
            <w:tcW w:w="2408" w:type="dxa"/>
          </w:tcPr>
          <w:p w14:paraId="030A373F"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150</w:t>
            </w:r>
          </w:p>
        </w:tc>
        <w:tc>
          <w:tcPr>
            <w:tcW w:w="2748" w:type="dxa"/>
          </w:tcPr>
          <w:p w14:paraId="39F62834"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59,1</w:t>
            </w:r>
          </w:p>
        </w:tc>
      </w:tr>
      <w:tr w:rsidR="00D80693" w14:paraId="641B80D5" w14:textId="77777777" w:rsidTr="00D72320">
        <w:trPr>
          <w:trHeight w:val="367"/>
        </w:trPr>
        <w:tc>
          <w:tcPr>
            <w:cnfStyle w:val="001000000000" w:firstRow="0" w:lastRow="0" w:firstColumn="1" w:lastColumn="0" w:oddVBand="0" w:evenVBand="0" w:oddHBand="0" w:evenHBand="0" w:firstRowFirstColumn="0" w:firstRowLastColumn="0" w:lastRowFirstColumn="0" w:lastRowLastColumn="0"/>
            <w:tcW w:w="1634" w:type="dxa"/>
            <w:vMerge/>
          </w:tcPr>
          <w:p w14:paraId="1912BBFF" w14:textId="77777777" w:rsidR="00D80693" w:rsidRPr="00C22865" w:rsidRDefault="00D80693" w:rsidP="008276DA">
            <w:pPr>
              <w:spacing w:before="120"/>
              <w:rPr>
                <w:b w:val="0"/>
                <w:bCs w:val="0"/>
                <w:sz w:val="24"/>
                <w:szCs w:val="24"/>
              </w:rPr>
            </w:pPr>
          </w:p>
        </w:tc>
        <w:tc>
          <w:tcPr>
            <w:tcW w:w="1481" w:type="dxa"/>
          </w:tcPr>
          <w:p w14:paraId="7EC2F0A3"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Total</w:t>
            </w:r>
          </w:p>
        </w:tc>
        <w:tc>
          <w:tcPr>
            <w:tcW w:w="2408" w:type="dxa"/>
          </w:tcPr>
          <w:p w14:paraId="1796969A"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254</w:t>
            </w:r>
          </w:p>
        </w:tc>
        <w:tc>
          <w:tcPr>
            <w:tcW w:w="2748" w:type="dxa"/>
          </w:tcPr>
          <w:p w14:paraId="071C4F51" w14:textId="77777777" w:rsidR="00D80693" w:rsidRPr="00C22865" w:rsidRDefault="00D80693" w:rsidP="008276D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C22865">
              <w:rPr>
                <w:rFonts w:eastAsiaTheme="minorHAnsi"/>
                <w:sz w:val="24"/>
                <w:szCs w:val="24"/>
              </w:rPr>
              <w:t>100,0</w:t>
            </w:r>
          </w:p>
        </w:tc>
      </w:tr>
    </w:tbl>
    <w:p w14:paraId="0E2A643E" w14:textId="77777777" w:rsidR="00D80693" w:rsidRPr="00F72D6B" w:rsidRDefault="00D80693" w:rsidP="002410D0">
      <w:pPr>
        <w:spacing w:before="120" w:after="240"/>
        <w:jc w:val="center"/>
        <w:rPr>
          <w:bCs/>
          <w:color w:val="000000"/>
          <w:sz w:val="24"/>
          <w:szCs w:val="24"/>
        </w:rPr>
      </w:pPr>
      <w:bookmarkStart w:id="286" w:name="_Hlk50286598"/>
      <w:r w:rsidRPr="00F72D6B">
        <w:rPr>
          <w:bCs/>
          <w:i/>
          <w:iCs/>
          <w:color w:val="000000"/>
          <w:lang w:eastAsia="fr-FR"/>
        </w:rPr>
        <w:t>Source : nos données du terrain</w:t>
      </w:r>
    </w:p>
    <w:p w14:paraId="3CC67C94" w14:textId="4A2198DA" w:rsidR="00D80693" w:rsidRDefault="00D80693" w:rsidP="008276DA">
      <w:pPr>
        <w:spacing w:before="120" w:after="240"/>
        <w:jc w:val="both"/>
        <w:rPr>
          <w:bCs/>
          <w:color w:val="000000"/>
          <w:sz w:val="24"/>
          <w:szCs w:val="24"/>
        </w:rPr>
      </w:pPr>
      <w:r>
        <w:rPr>
          <w:bCs/>
          <w:color w:val="000000"/>
          <w:sz w:val="24"/>
          <w:szCs w:val="24"/>
        </w:rPr>
        <w:t xml:space="preserve">Le tableau ci-dessus indique que, </w:t>
      </w:r>
      <w:r w:rsidRPr="00C53208">
        <w:rPr>
          <w:bCs/>
          <w:color w:val="000000"/>
          <w:sz w:val="24"/>
          <w:szCs w:val="24"/>
        </w:rPr>
        <w:t>59,1% de la population d’étude</w:t>
      </w:r>
      <w:r>
        <w:rPr>
          <w:bCs/>
          <w:color w:val="000000"/>
          <w:sz w:val="24"/>
          <w:szCs w:val="24"/>
        </w:rPr>
        <w:t>,</w:t>
      </w:r>
      <w:r w:rsidRPr="00C53208">
        <w:rPr>
          <w:bCs/>
          <w:color w:val="000000"/>
          <w:sz w:val="24"/>
          <w:szCs w:val="24"/>
        </w:rPr>
        <w:t xml:space="preserve"> </w:t>
      </w:r>
      <w:r>
        <w:rPr>
          <w:bCs/>
          <w:color w:val="000000"/>
          <w:sz w:val="24"/>
          <w:szCs w:val="24"/>
        </w:rPr>
        <w:t>déclarent avoir</w:t>
      </w:r>
      <w:r w:rsidRPr="00C53208">
        <w:rPr>
          <w:bCs/>
          <w:color w:val="000000"/>
          <w:sz w:val="24"/>
          <w:szCs w:val="24"/>
        </w:rPr>
        <w:t xml:space="preserve"> consommé des </w:t>
      </w:r>
      <w:r>
        <w:rPr>
          <w:bCs/>
          <w:color w:val="000000"/>
          <w:sz w:val="24"/>
          <w:szCs w:val="24"/>
        </w:rPr>
        <w:t>drogues</w:t>
      </w:r>
      <w:r w:rsidRPr="00C53208">
        <w:rPr>
          <w:bCs/>
          <w:color w:val="000000"/>
          <w:sz w:val="24"/>
          <w:szCs w:val="24"/>
        </w:rPr>
        <w:t xml:space="preserve"> </w:t>
      </w:r>
      <w:r w:rsidRPr="009B3FA3">
        <w:rPr>
          <w:bCs/>
          <w:color w:val="000000"/>
          <w:sz w:val="24"/>
          <w:szCs w:val="24"/>
        </w:rPr>
        <w:t xml:space="preserve">en guise d’adhésion </w:t>
      </w:r>
      <w:r w:rsidRPr="00C53208">
        <w:rPr>
          <w:bCs/>
          <w:color w:val="000000"/>
          <w:sz w:val="24"/>
          <w:szCs w:val="24"/>
        </w:rPr>
        <w:t xml:space="preserve">à un groupe (c’est-à-dire pour faire partie du groupe, </w:t>
      </w:r>
      <w:r>
        <w:rPr>
          <w:bCs/>
          <w:color w:val="000000"/>
          <w:sz w:val="24"/>
          <w:szCs w:val="24"/>
        </w:rPr>
        <w:t>d</w:t>
      </w:r>
      <w:r w:rsidRPr="00C53208">
        <w:rPr>
          <w:bCs/>
          <w:color w:val="000000"/>
          <w:sz w:val="24"/>
          <w:szCs w:val="24"/>
        </w:rPr>
        <w:t>e peur d’être exclu du groupe, ou par imitation d’un groupe d’amis à l’école).</w:t>
      </w:r>
      <w:bookmarkEnd w:id="286"/>
      <w:r w:rsidR="008276DA">
        <w:rPr>
          <w:bCs/>
          <w:color w:val="000000"/>
          <w:sz w:val="24"/>
          <w:szCs w:val="24"/>
        </w:rPr>
        <w:t xml:space="preserve"> </w:t>
      </w:r>
      <w:r w:rsidRPr="00DB4DDB">
        <w:rPr>
          <w:bCs/>
          <w:color w:val="000000"/>
          <w:sz w:val="24"/>
          <w:szCs w:val="24"/>
        </w:rPr>
        <w:t xml:space="preserve">Quant à la </w:t>
      </w:r>
      <w:r>
        <w:rPr>
          <w:bCs/>
          <w:color w:val="000000"/>
          <w:sz w:val="24"/>
          <w:szCs w:val="24"/>
        </w:rPr>
        <w:t>seconde</w:t>
      </w:r>
      <w:r w:rsidRPr="00DB4DDB">
        <w:rPr>
          <w:bCs/>
          <w:color w:val="000000"/>
          <w:sz w:val="24"/>
          <w:szCs w:val="24"/>
        </w:rPr>
        <w:t xml:space="preserve"> hypothèse de recherche (HR</w:t>
      </w:r>
      <w:r>
        <w:rPr>
          <w:bCs/>
          <w:color w:val="000000"/>
          <w:sz w:val="24"/>
          <w:szCs w:val="24"/>
        </w:rPr>
        <w:t>2</w:t>
      </w:r>
      <w:r w:rsidRPr="00DB4DDB">
        <w:rPr>
          <w:bCs/>
          <w:color w:val="000000"/>
          <w:sz w:val="24"/>
          <w:szCs w:val="24"/>
        </w:rPr>
        <w:t xml:space="preserve">, </w:t>
      </w:r>
      <w:r>
        <w:rPr>
          <w:bCs/>
          <w:color w:val="000000"/>
          <w:sz w:val="24"/>
          <w:szCs w:val="24"/>
        </w:rPr>
        <w:t>f</w:t>
      </w:r>
      <w:r w:rsidRPr="00DB4DDB">
        <w:rPr>
          <w:bCs/>
          <w:color w:val="000000"/>
          <w:sz w:val="24"/>
          <w:szCs w:val="24"/>
        </w:rPr>
        <w:t xml:space="preserve">amille et consommation des SPA), </w:t>
      </w:r>
      <w:r>
        <w:rPr>
          <w:bCs/>
          <w:color w:val="000000"/>
          <w:sz w:val="24"/>
          <w:szCs w:val="24"/>
        </w:rPr>
        <w:t xml:space="preserve">nous avons questionner </w:t>
      </w:r>
      <w:r w:rsidRPr="00DB4DDB">
        <w:rPr>
          <w:bCs/>
          <w:color w:val="000000"/>
          <w:sz w:val="24"/>
          <w:szCs w:val="24"/>
        </w:rPr>
        <w:t>les indicateurs suivants : pressions familiales</w:t>
      </w:r>
      <w:r>
        <w:rPr>
          <w:bCs/>
          <w:color w:val="000000"/>
          <w:sz w:val="24"/>
          <w:szCs w:val="24"/>
        </w:rPr>
        <w:t xml:space="preserve"> par rapport</w:t>
      </w:r>
      <w:r w:rsidRPr="00DB4DDB">
        <w:rPr>
          <w:bCs/>
          <w:color w:val="000000"/>
          <w:sz w:val="24"/>
          <w:szCs w:val="24"/>
        </w:rPr>
        <w:t xml:space="preserve"> à la performance </w:t>
      </w:r>
      <w:r>
        <w:rPr>
          <w:bCs/>
          <w:color w:val="000000"/>
          <w:sz w:val="24"/>
          <w:szCs w:val="24"/>
        </w:rPr>
        <w:t xml:space="preserve">de l’élève, </w:t>
      </w:r>
      <w:r w:rsidRPr="00DB4DDB">
        <w:rPr>
          <w:bCs/>
          <w:color w:val="000000"/>
          <w:sz w:val="24"/>
          <w:szCs w:val="24"/>
        </w:rPr>
        <w:t>violences familiales vécues par l’élève</w:t>
      </w:r>
      <w:r>
        <w:rPr>
          <w:bCs/>
          <w:color w:val="000000"/>
          <w:sz w:val="24"/>
          <w:szCs w:val="24"/>
        </w:rPr>
        <w:t xml:space="preserve"> (Tableaux n° 3 et n° 4) :</w:t>
      </w:r>
    </w:p>
    <w:p w14:paraId="25A609A4" w14:textId="77777777" w:rsidR="00D80693" w:rsidRPr="00E37036" w:rsidRDefault="00D80693" w:rsidP="008276DA">
      <w:pPr>
        <w:spacing w:before="120" w:after="240"/>
        <w:jc w:val="center"/>
        <w:rPr>
          <w:b/>
          <w:bCs/>
          <w:i/>
          <w:iCs/>
          <w:color w:val="000000"/>
          <w:sz w:val="24"/>
          <w:szCs w:val="24"/>
        </w:rPr>
      </w:pPr>
      <w:bookmarkStart w:id="287" w:name="_Hlk51105093"/>
      <w:bookmarkStart w:id="288" w:name="_Toc52611696"/>
      <w:r w:rsidRPr="00E37036">
        <w:rPr>
          <w:b/>
          <w:bCs/>
          <w:i/>
          <w:iCs/>
          <w:color w:val="000000"/>
          <w:sz w:val="24"/>
          <w:szCs w:val="24"/>
        </w:rPr>
        <w:t>Tableau n°</w:t>
      </w:r>
      <w:r>
        <w:rPr>
          <w:b/>
          <w:bCs/>
          <w:i/>
          <w:iCs/>
          <w:color w:val="000000"/>
          <w:sz w:val="24"/>
          <w:szCs w:val="24"/>
        </w:rPr>
        <w:t>3</w:t>
      </w:r>
      <w:r w:rsidRPr="00E37036">
        <w:rPr>
          <w:b/>
          <w:bCs/>
          <w:i/>
          <w:iCs/>
          <w:color w:val="000000"/>
          <w:sz w:val="24"/>
          <w:szCs w:val="24"/>
        </w:rPr>
        <w:t xml:space="preserve"> : Répartition des effectifs (n=254) selon qu’ils subissent une pression familiale </w:t>
      </w:r>
      <w:bookmarkEnd w:id="287"/>
      <w:bookmarkEnd w:id="288"/>
      <w:r w:rsidRPr="009B3FA3">
        <w:rPr>
          <w:b/>
          <w:bCs/>
          <w:i/>
          <w:iCs/>
          <w:color w:val="000000"/>
          <w:sz w:val="24"/>
          <w:szCs w:val="24"/>
        </w:rPr>
        <w:t>par rapport à leur performance</w:t>
      </w:r>
    </w:p>
    <w:tbl>
      <w:tblPr>
        <w:tblStyle w:val="PlainTable20"/>
        <w:tblW w:w="8086" w:type="dxa"/>
        <w:tblLayout w:type="fixed"/>
        <w:tblLook w:val="06A0" w:firstRow="1" w:lastRow="0" w:firstColumn="1" w:lastColumn="0" w:noHBand="1" w:noVBand="1"/>
      </w:tblPr>
      <w:tblGrid>
        <w:gridCol w:w="1545"/>
        <w:gridCol w:w="2322"/>
        <w:gridCol w:w="2145"/>
        <w:gridCol w:w="2074"/>
      </w:tblGrid>
      <w:tr w:rsidR="00D80693" w14:paraId="061DC92B" w14:textId="77777777" w:rsidTr="00D72320">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867" w:type="dxa"/>
            <w:gridSpan w:val="2"/>
          </w:tcPr>
          <w:p w14:paraId="6DCCA42E" w14:textId="77777777" w:rsidR="00D80693" w:rsidRPr="00B70D71" w:rsidRDefault="00D80693" w:rsidP="008276DA">
            <w:pPr>
              <w:spacing w:before="120"/>
              <w:rPr>
                <w:bCs w:val="0"/>
                <w:color w:val="000000"/>
                <w:sz w:val="24"/>
                <w:szCs w:val="24"/>
              </w:rPr>
            </w:pPr>
          </w:p>
        </w:tc>
        <w:tc>
          <w:tcPr>
            <w:tcW w:w="2145" w:type="dxa"/>
          </w:tcPr>
          <w:p w14:paraId="5EC35D1D" w14:textId="77777777" w:rsidR="00D80693" w:rsidRPr="009E448B"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9E448B">
              <w:rPr>
                <w:b w:val="0"/>
                <w:bCs w:val="0"/>
                <w:color w:val="000000"/>
                <w:sz w:val="24"/>
                <w:szCs w:val="24"/>
              </w:rPr>
              <w:t>Effectifs (n=254)</w:t>
            </w:r>
          </w:p>
        </w:tc>
        <w:tc>
          <w:tcPr>
            <w:tcW w:w="2074" w:type="dxa"/>
          </w:tcPr>
          <w:p w14:paraId="07D80AAA" w14:textId="77777777" w:rsidR="00D80693" w:rsidRPr="009E448B"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bookmarkStart w:id="289" w:name="_Hlk211735838"/>
            <w:r w:rsidRPr="009E448B">
              <w:rPr>
                <w:b w:val="0"/>
                <w:bCs w:val="0"/>
                <w:color w:val="000000"/>
                <w:sz w:val="24"/>
                <w:szCs w:val="24"/>
              </w:rPr>
              <w:t>Pourcentage (%)</w:t>
            </w:r>
            <w:bookmarkEnd w:id="289"/>
          </w:p>
        </w:tc>
      </w:tr>
      <w:tr w:rsidR="00D80693" w14:paraId="1991B422" w14:textId="77777777" w:rsidTr="00D72320">
        <w:trPr>
          <w:trHeight w:val="214"/>
        </w:trPr>
        <w:tc>
          <w:tcPr>
            <w:cnfStyle w:val="001000000000" w:firstRow="0" w:lastRow="0" w:firstColumn="1" w:lastColumn="0" w:oddVBand="0" w:evenVBand="0" w:oddHBand="0" w:evenHBand="0" w:firstRowFirstColumn="0" w:firstRowLastColumn="0" w:lastRowFirstColumn="0" w:lastRowLastColumn="0"/>
            <w:tcW w:w="1545" w:type="dxa"/>
            <w:vMerge w:val="restart"/>
          </w:tcPr>
          <w:p w14:paraId="3FBB2CF2" w14:textId="77777777" w:rsidR="00D80693" w:rsidRPr="00B70D71" w:rsidRDefault="00D80693" w:rsidP="008276DA">
            <w:pPr>
              <w:spacing w:before="120"/>
              <w:rPr>
                <w:bCs w:val="0"/>
                <w:color w:val="000000"/>
                <w:sz w:val="24"/>
                <w:szCs w:val="24"/>
              </w:rPr>
            </w:pPr>
          </w:p>
        </w:tc>
        <w:tc>
          <w:tcPr>
            <w:tcW w:w="2322" w:type="dxa"/>
          </w:tcPr>
          <w:p w14:paraId="0AB80DD8"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Pr>
                <w:bCs/>
                <w:color w:val="000000"/>
                <w:sz w:val="24"/>
                <w:szCs w:val="24"/>
              </w:rPr>
              <w:t>RAS</w:t>
            </w:r>
          </w:p>
        </w:tc>
        <w:tc>
          <w:tcPr>
            <w:tcW w:w="2145" w:type="dxa"/>
          </w:tcPr>
          <w:p w14:paraId="51F7C759"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4</w:t>
            </w:r>
          </w:p>
        </w:tc>
        <w:tc>
          <w:tcPr>
            <w:tcW w:w="2074" w:type="dxa"/>
          </w:tcPr>
          <w:p w14:paraId="29A77DCC"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1,6</w:t>
            </w:r>
          </w:p>
        </w:tc>
      </w:tr>
      <w:tr w:rsidR="00D80693" w14:paraId="32F414F3" w14:textId="77777777" w:rsidTr="00D72320">
        <w:trPr>
          <w:trHeight w:val="243"/>
        </w:trPr>
        <w:tc>
          <w:tcPr>
            <w:cnfStyle w:val="001000000000" w:firstRow="0" w:lastRow="0" w:firstColumn="1" w:lastColumn="0" w:oddVBand="0" w:evenVBand="0" w:oddHBand="0" w:evenHBand="0" w:firstRowFirstColumn="0" w:firstRowLastColumn="0" w:lastRowFirstColumn="0" w:lastRowLastColumn="0"/>
            <w:tcW w:w="1545" w:type="dxa"/>
            <w:vMerge/>
          </w:tcPr>
          <w:p w14:paraId="05B83899" w14:textId="77777777" w:rsidR="00D80693" w:rsidRPr="00B70D71" w:rsidRDefault="00D80693" w:rsidP="008276DA">
            <w:pPr>
              <w:spacing w:before="120"/>
              <w:rPr>
                <w:bCs w:val="0"/>
                <w:color w:val="000000"/>
                <w:sz w:val="24"/>
                <w:szCs w:val="24"/>
              </w:rPr>
            </w:pPr>
          </w:p>
        </w:tc>
        <w:tc>
          <w:tcPr>
            <w:tcW w:w="2322" w:type="dxa"/>
          </w:tcPr>
          <w:p w14:paraId="075FFA8F"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Non</w:t>
            </w:r>
          </w:p>
        </w:tc>
        <w:tc>
          <w:tcPr>
            <w:tcW w:w="2145" w:type="dxa"/>
          </w:tcPr>
          <w:p w14:paraId="081C038A"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55</w:t>
            </w:r>
          </w:p>
        </w:tc>
        <w:tc>
          <w:tcPr>
            <w:tcW w:w="2074" w:type="dxa"/>
          </w:tcPr>
          <w:p w14:paraId="35C07277"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21,7</w:t>
            </w:r>
          </w:p>
        </w:tc>
      </w:tr>
      <w:tr w:rsidR="00D80693" w14:paraId="5A06E2AF" w14:textId="77777777" w:rsidTr="00D72320">
        <w:trPr>
          <w:trHeight w:val="256"/>
        </w:trPr>
        <w:tc>
          <w:tcPr>
            <w:cnfStyle w:val="001000000000" w:firstRow="0" w:lastRow="0" w:firstColumn="1" w:lastColumn="0" w:oddVBand="0" w:evenVBand="0" w:oddHBand="0" w:evenHBand="0" w:firstRowFirstColumn="0" w:firstRowLastColumn="0" w:lastRowFirstColumn="0" w:lastRowLastColumn="0"/>
            <w:tcW w:w="1545" w:type="dxa"/>
            <w:vMerge/>
          </w:tcPr>
          <w:p w14:paraId="58D48053" w14:textId="77777777" w:rsidR="00D80693" w:rsidRPr="00B70D71" w:rsidRDefault="00D80693" w:rsidP="008276DA">
            <w:pPr>
              <w:spacing w:before="120"/>
              <w:rPr>
                <w:bCs w:val="0"/>
                <w:color w:val="000000"/>
                <w:sz w:val="24"/>
                <w:szCs w:val="24"/>
              </w:rPr>
            </w:pPr>
          </w:p>
        </w:tc>
        <w:tc>
          <w:tcPr>
            <w:tcW w:w="2322" w:type="dxa"/>
          </w:tcPr>
          <w:p w14:paraId="6B4BC605"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Oui</w:t>
            </w:r>
          </w:p>
        </w:tc>
        <w:tc>
          <w:tcPr>
            <w:tcW w:w="2145" w:type="dxa"/>
          </w:tcPr>
          <w:p w14:paraId="54F88DCC"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195</w:t>
            </w:r>
          </w:p>
        </w:tc>
        <w:tc>
          <w:tcPr>
            <w:tcW w:w="2074" w:type="dxa"/>
          </w:tcPr>
          <w:p w14:paraId="5E64BF2C"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76,8</w:t>
            </w:r>
          </w:p>
        </w:tc>
      </w:tr>
      <w:tr w:rsidR="00D80693" w14:paraId="464A4A09" w14:textId="77777777" w:rsidTr="00D72320">
        <w:trPr>
          <w:trHeight w:val="228"/>
        </w:trPr>
        <w:tc>
          <w:tcPr>
            <w:cnfStyle w:val="001000000000" w:firstRow="0" w:lastRow="0" w:firstColumn="1" w:lastColumn="0" w:oddVBand="0" w:evenVBand="0" w:oddHBand="0" w:evenHBand="0" w:firstRowFirstColumn="0" w:firstRowLastColumn="0" w:lastRowFirstColumn="0" w:lastRowLastColumn="0"/>
            <w:tcW w:w="1545" w:type="dxa"/>
            <w:vMerge/>
          </w:tcPr>
          <w:p w14:paraId="55333C66" w14:textId="77777777" w:rsidR="00D80693" w:rsidRPr="00B70D71" w:rsidRDefault="00D80693" w:rsidP="008276DA">
            <w:pPr>
              <w:spacing w:before="120"/>
              <w:rPr>
                <w:bCs w:val="0"/>
                <w:color w:val="000000"/>
                <w:sz w:val="24"/>
                <w:szCs w:val="24"/>
              </w:rPr>
            </w:pPr>
          </w:p>
        </w:tc>
        <w:tc>
          <w:tcPr>
            <w:tcW w:w="2322" w:type="dxa"/>
          </w:tcPr>
          <w:p w14:paraId="29A0F351"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Total</w:t>
            </w:r>
          </w:p>
        </w:tc>
        <w:tc>
          <w:tcPr>
            <w:tcW w:w="2145" w:type="dxa"/>
          </w:tcPr>
          <w:p w14:paraId="1EA3313C"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254</w:t>
            </w:r>
          </w:p>
        </w:tc>
        <w:tc>
          <w:tcPr>
            <w:tcW w:w="2074" w:type="dxa"/>
          </w:tcPr>
          <w:p w14:paraId="75A49739"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100,0</w:t>
            </w:r>
          </w:p>
        </w:tc>
      </w:tr>
    </w:tbl>
    <w:p w14:paraId="2B071D81" w14:textId="77777777" w:rsidR="00D80693" w:rsidRPr="00F72D6B" w:rsidRDefault="00D80693" w:rsidP="008276DA">
      <w:pPr>
        <w:spacing w:before="120" w:after="240"/>
        <w:jc w:val="right"/>
        <w:rPr>
          <w:bCs/>
          <w:color w:val="000000"/>
          <w:sz w:val="24"/>
          <w:szCs w:val="24"/>
        </w:rPr>
      </w:pPr>
      <w:bookmarkStart w:id="290" w:name="_Hlk50230332"/>
      <w:r w:rsidRPr="00F72D6B">
        <w:rPr>
          <w:bCs/>
          <w:i/>
          <w:iCs/>
          <w:color w:val="000000"/>
          <w:lang w:eastAsia="fr-FR"/>
        </w:rPr>
        <w:t>Source : nos données du terrain</w:t>
      </w:r>
    </w:p>
    <w:p w14:paraId="4B03965C" w14:textId="77777777" w:rsidR="00D80693" w:rsidRDefault="00D80693" w:rsidP="008276DA">
      <w:pPr>
        <w:spacing w:before="120" w:after="240"/>
        <w:jc w:val="both"/>
        <w:rPr>
          <w:bCs/>
          <w:color w:val="000000"/>
          <w:sz w:val="24"/>
          <w:szCs w:val="24"/>
        </w:rPr>
      </w:pPr>
      <w:r w:rsidRPr="00B70D71">
        <w:rPr>
          <w:bCs/>
          <w:color w:val="000000"/>
          <w:sz w:val="24"/>
          <w:szCs w:val="24"/>
        </w:rPr>
        <w:t>Parmi les élèves enquêtés, 76,8% d</w:t>
      </w:r>
      <w:r>
        <w:rPr>
          <w:bCs/>
          <w:color w:val="000000"/>
          <w:sz w:val="24"/>
          <w:szCs w:val="24"/>
        </w:rPr>
        <w:t>éclarent qu’ils subissent une pression familiale en soulignant que,</w:t>
      </w:r>
      <w:r w:rsidRPr="00B70D71">
        <w:rPr>
          <w:bCs/>
          <w:color w:val="000000"/>
          <w:sz w:val="24"/>
          <w:szCs w:val="24"/>
        </w:rPr>
        <w:t xml:space="preserve"> leurs parents et leur environnement familial leur demandent beaucoup d’efforts à l’école par rapport à ce qu’ils fournissent déjà.</w:t>
      </w:r>
      <w:bookmarkStart w:id="291" w:name="_Hlk48895923"/>
      <w:bookmarkStart w:id="292" w:name="_Toc52611697"/>
      <w:bookmarkEnd w:id="290"/>
    </w:p>
    <w:p w14:paraId="5D459BDB" w14:textId="77777777" w:rsidR="00D80693" w:rsidRPr="00AC46A3" w:rsidRDefault="00D80693" w:rsidP="008276DA">
      <w:pPr>
        <w:spacing w:before="120" w:after="240"/>
        <w:jc w:val="center"/>
        <w:rPr>
          <w:b/>
          <w:bCs/>
          <w:i/>
          <w:iCs/>
          <w:color w:val="000000"/>
          <w:sz w:val="24"/>
          <w:szCs w:val="24"/>
        </w:rPr>
      </w:pPr>
      <w:r w:rsidRPr="00AC46A3">
        <w:rPr>
          <w:b/>
          <w:bCs/>
          <w:i/>
          <w:iCs/>
          <w:color w:val="000000"/>
          <w:sz w:val="24"/>
          <w:szCs w:val="24"/>
        </w:rPr>
        <w:t>Tableau n°</w:t>
      </w:r>
      <w:r>
        <w:rPr>
          <w:b/>
          <w:bCs/>
          <w:i/>
          <w:iCs/>
          <w:color w:val="000000"/>
          <w:sz w:val="24"/>
          <w:szCs w:val="24"/>
        </w:rPr>
        <w:t>4</w:t>
      </w:r>
      <w:r w:rsidRPr="00AC46A3">
        <w:rPr>
          <w:b/>
          <w:bCs/>
          <w:i/>
          <w:iCs/>
          <w:color w:val="000000"/>
          <w:sz w:val="24"/>
          <w:szCs w:val="24"/>
        </w:rPr>
        <w:t xml:space="preserve"> : Répartition des effectifs (n=254) selon qu’ils subissent des violences en famille</w:t>
      </w:r>
      <w:bookmarkEnd w:id="291"/>
      <w:bookmarkEnd w:id="292"/>
    </w:p>
    <w:tbl>
      <w:tblPr>
        <w:tblStyle w:val="PlainTable20"/>
        <w:tblW w:w="7980" w:type="dxa"/>
        <w:tblLayout w:type="fixed"/>
        <w:tblLook w:val="06A0" w:firstRow="1" w:lastRow="0" w:firstColumn="1" w:lastColumn="0" w:noHBand="1" w:noVBand="1"/>
      </w:tblPr>
      <w:tblGrid>
        <w:gridCol w:w="1573"/>
        <w:gridCol w:w="1433"/>
        <w:gridCol w:w="2323"/>
        <w:gridCol w:w="2651"/>
      </w:tblGrid>
      <w:tr w:rsidR="00D80693" w14:paraId="71E43416" w14:textId="77777777" w:rsidTr="00D7232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06" w:type="dxa"/>
            <w:gridSpan w:val="2"/>
          </w:tcPr>
          <w:p w14:paraId="527907E2" w14:textId="77777777" w:rsidR="00D80693" w:rsidRPr="009E448B" w:rsidRDefault="00D80693" w:rsidP="008276DA">
            <w:pPr>
              <w:spacing w:before="120"/>
              <w:rPr>
                <w:b w:val="0"/>
                <w:bCs w:val="0"/>
                <w:color w:val="000000"/>
              </w:rPr>
            </w:pPr>
          </w:p>
        </w:tc>
        <w:tc>
          <w:tcPr>
            <w:tcW w:w="2323" w:type="dxa"/>
          </w:tcPr>
          <w:p w14:paraId="08305574" w14:textId="77777777" w:rsidR="00D80693" w:rsidRPr="009E448B"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color w:val="000000"/>
              </w:rPr>
            </w:pPr>
            <w:r w:rsidRPr="009E448B">
              <w:rPr>
                <w:b w:val="0"/>
                <w:bCs w:val="0"/>
                <w:color w:val="000000"/>
              </w:rPr>
              <w:t>Effectifs (n=254)</w:t>
            </w:r>
          </w:p>
        </w:tc>
        <w:tc>
          <w:tcPr>
            <w:tcW w:w="2651" w:type="dxa"/>
          </w:tcPr>
          <w:p w14:paraId="414AE948" w14:textId="77777777" w:rsidR="00D80693" w:rsidRPr="009E448B"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color w:val="000000"/>
              </w:rPr>
            </w:pPr>
            <w:r w:rsidRPr="009E448B">
              <w:rPr>
                <w:b w:val="0"/>
                <w:bCs w:val="0"/>
                <w:color w:val="000000"/>
                <w:sz w:val="24"/>
                <w:szCs w:val="24"/>
              </w:rPr>
              <w:t>Pourcentage (%)</w:t>
            </w:r>
          </w:p>
        </w:tc>
      </w:tr>
      <w:tr w:rsidR="00D80693" w14:paraId="6B7A3275" w14:textId="77777777" w:rsidTr="00D72320">
        <w:trPr>
          <w:trHeight w:val="210"/>
        </w:trPr>
        <w:tc>
          <w:tcPr>
            <w:cnfStyle w:val="001000000000" w:firstRow="0" w:lastRow="0" w:firstColumn="1" w:lastColumn="0" w:oddVBand="0" w:evenVBand="0" w:oddHBand="0" w:evenHBand="0" w:firstRowFirstColumn="0" w:firstRowLastColumn="0" w:lastRowFirstColumn="0" w:lastRowLastColumn="0"/>
            <w:tcW w:w="1573" w:type="dxa"/>
            <w:vMerge w:val="restart"/>
          </w:tcPr>
          <w:p w14:paraId="5AAF3464" w14:textId="77777777" w:rsidR="00D80693" w:rsidRPr="00AC46A3" w:rsidRDefault="00D80693" w:rsidP="008276DA">
            <w:pPr>
              <w:spacing w:before="120"/>
              <w:rPr>
                <w:bCs w:val="0"/>
                <w:color w:val="000000"/>
              </w:rPr>
            </w:pPr>
          </w:p>
        </w:tc>
        <w:tc>
          <w:tcPr>
            <w:tcW w:w="1433" w:type="dxa"/>
          </w:tcPr>
          <w:p w14:paraId="0E79B8AC"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RAS</w:t>
            </w:r>
          </w:p>
        </w:tc>
        <w:tc>
          <w:tcPr>
            <w:tcW w:w="2323" w:type="dxa"/>
          </w:tcPr>
          <w:p w14:paraId="6EAE57E0"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6</w:t>
            </w:r>
          </w:p>
        </w:tc>
        <w:tc>
          <w:tcPr>
            <w:tcW w:w="2651" w:type="dxa"/>
          </w:tcPr>
          <w:p w14:paraId="316E31D3"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2,4</w:t>
            </w:r>
          </w:p>
        </w:tc>
      </w:tr>
      <w:tr w:rsidR="00D80693" w14:paraId="0CC4706C" w14:textId="77777777" w:rsidTr="00D72320">
        <w:trPr>
          <w:trHeight w:val="239"/>
        </w:trPr>
        <w:tc>
          <w:tcPr>
            <w:cnfStyle w:val="001000000000" w:firstRow="0" w:lastRow="0" w:firstColumn="1" w:lastColumn="0" w:oddVBand="0" w:evenVBand="0" w:oddHBand="0" w:evenHBand="0" w:firstRowFirstColumn="0" w:firstRowLastColumn="0" w:lastRowFirstColumn="0" w:lastRowLastColumn="0"/>
            <w:tcW w:w="1573" w:type="dxa"/>
            <w:vMerge/>
          </w:tcPr>
          <w:p w14:paraId="49EEA54B" w14:textId="77777777" w:rsidR="00D80693" w:rsidRPr="00AC46A3" w:rsidRDefault="00D80693" w:rsidP="008276DA">
            <w:pPr>
              <w:spacing w:before="120"/>
              <w:rPr>
                <w:bCs w:val="0"/>
                <w:color w:val="000000"/>
              </w:rPr>
            </w:pPr>
          </w:p>
        </w:tc>
        <w:tc>
          <w:tcPr>
            <w:tcW w:w="1433" w:type="dxa"/>
          </w:tcPr>
          <w:p w14:paraId="63481293"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Non</w:t>
            </w:r>
          </w:p>
        </w:tc>
        <w:tc>
          <w:tcPr>
            <w:tcW w:w="2323" w:type="dxa"/>
          </w:tcPr>
          <w:p w14:paraId="5EFD738F"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101</w:t>
            </w:r>
          </w:p>
        </w:tc>
        <w:tc>
          <w:tcPr>
            <w:tcW w:w="2651" w:type="dxa"/>
          </w:tcPr>
          <w:p w14:paraId="3C470CD7"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39,8</w:t>
            </w:r>
          </w:p>
        </w:tc>
      </w:tr>
      <w:tr w:rsidR="00D80693" w14:paraId="719E15F4" w14:textId="77777777" w:rsidTr="00D72320">
        <w:trPr>
          <w:trHeight w:val="239"/>
        </w:trPr>
        <w:tc>
          <w:tcPr>
            <w:cnfStyle w:val="001000000000" w:firstRow="0" w:lastRow="0" w:firstColumn="1" w:lastColumn="0" w:oddVBand="0" w:evenVBand="0" w:oddHBand="0" w:evenHBand="0" w:firstRowFirstColumn="0" w:firstRowLastColumn="0" w:lastRowFirstColumn="0" w:lastRowLastColumn="0"/>
            <w:tcW w:w="1573" w:type="dxa"/>
            <w:vMerge/>
          </w:tcPr>
          <w:p w14:paraId="67198A51" w14:textId="77777777" w:rsidR="00D80693" w:rsidRPr="00AC46A3" w:rsidRDefault="00D80693" w:rsidP="008276DA">
            <w:pPr>
              <w:spacing w:before="120"/>
              <w:rPr>
                <w:bCs w:val="0"/>
                <w:color w:val="000000"/>
              </w:rPr>
            </w:pPr>
          </w:p>
        </w:tc>
        <w:tc>
          <w:tcPr>
            <w:tcW w:w="1433" w:type="dxa"/>
          </w:tcPr>
          <w:p w14:paraId="59DC3046"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Oui</w:t>
            </w:r>
          </w:p>
        </w:tc>
        <w:tc>
          <w:tcPr>
            <w:tcW w:w="2323" w:type="dxa"/>
          </w:tcPr>
          <w:p w14:paraId="6F34C804"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147</w:t>
            </w:r>
          </w:p>
        </w:tc>
        <w:tc>
          <w:tcPr>
            <w:tcW w:w="2651" w:type="dxa"/>
          </w:tcPr>
          <w:p w14:paraId="56EA3272"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57,9</w:t>
            </w:r>
          </w:p>
        </w:tc>
      </w:tr>
      <w:tr w:rsidR="00D80693" w14:paraId="677DF271" w14:textId="77777777" w:rsidTr="00D72320">
        <w:trPr>
          <w:trHeight w:val="229"/>
        </w:trPr>
        <w:tc>
          <w:tcPr>
            <w:cnfStyle w:val="001000000000" w:firstRow="0" w:lastRow="0" w:firstColumn="1" w:lastColumn="0" w:oddVBand="0" w:evenVBand="0" w:oddHBand="0" w:evenHBand="0" w:firstRowFirstColumn="0" w:firstRowLastColumn="0" w:lastRowFirstColumn="0" w:lastRowLastColumn="0"/>
            <w:tcW w:w="1573" w:type="dxa"/>
            <w:vMerge/>
          </w:tcPr>
          <w:p w14:paraId="58BD29F9" w14:textId="77777777" w:rsidR="00D80693" w:rsidRPr="00AC46A3" w:rsidRDefault="00D80693" w:rsidP="008276DA">
            <w:pPr>
              <w:spacing w:before="120"/>
              <w:rPr>
                <w:bCs w:val="0"/>
                <w:color w:val="000000"/>
              </w:rPr>
            </w:pPr>
          </w:p>
        </w:tc>
        <w:tc>
          <w:tcPr>
            <w:tcW w:w="1433" w:type="dxa"/>
          </w:tcPr>
          <w:p w14:paraId="6C002ADE"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Total</w:t>
            </w:r>
          </w:p>
        </w:tc>
        <w:tc>
          <w:tcPr>
            <w:tcW w:w="2323" w:type="dxa"/>
          </w:tcPr>
          <w:p w14:paraId="5D7978B0"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254</w:t>
            </w:r>
          </w:p>
        </w:tc>
        <w:tc>
          <w:tcPr>
            <w:tcW w:w="2651" w:type="dxa"/>
          </w:tcPr>
          <w:p w14:paraId="1817E376" w14:textId="77777777" w:rsidR="00D80693" w:rsidRPr="00AC46A3"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rPr>
            </w:pPr>
            <w:r w:rsidRPr="00AC46A3">
              <w:rPr>
                <w:bCs/>
                <w:color w:val="000000"/>
              </w:rPr>
              <w:t>100,0</w:t>
            </w:r>
          </w:p>
        </w:tc>
      </w:tr>
    </w:tbl>
    <w:p w14:paraId="65CACB50" w14:textId="77777777" w:rsidR="00D80693" w:rsidRPr="00F72D6B" w:rsidRDefault="00D80693" w:rsidP="002410D0">
      <w:pPr>
        <w:spacing w:before="120" w:after="240"/>
        <w:jc w:val="center"/>
        <w:rPr>
          <w:bCs/>
          <w:color w:val="000000"/>
          <w:sz w:val="24"/>
          <w:szCs w:val="24"/>
        </w:rPr>
      </w:pPr>
      <w:bookmarkStart w:id="293" w:name="_Hlk48896088"/>
      <w:r w:rsidRPr="00F72D6B">
        <w:rPr>
          <w:bCs/>
          <w:i/>
          <w:iCs/>
          <w:color w:val="000000"/>
          <w:lang w:eastAsia="fr-FR"/>
        </w:rPr>
        <w:t>Source : nos données du terrain</w:t>
      </w:r>
    </w:p>
    <w:p w14:paraId="2FE6BC57" w14:textId="77777777" w:rsidR="00D80693" w:rsidRDefault="00D80693" w:rsidP="008276DA">
      <w:pPr>
        <w:spacing w:before="120" w:after="240"/>
        <w:jc w:val="both"/>
        <w:rPr>
          <w:bCs/>
          <w:color w:val="000000"/>
          <w:sz w:val="24"/>
          <w:szCs w:val="24"/>
        </w:rPr>
      </w:pPr>
      <w:r>
        <w:rPr>
          <w:bCs/>
          <w:color w:val="000000"/>
          <w:sz w:val="24"/>
          <w:szCs w:val="24"/>
        </w:rPr>
        <w:t>Le tableau ci-dessus indique que</w:t>
      </w:r>
      <w:r w:rsidRPr="00B70D71">
        <w:rPr>
          <w:bCs/>
          <w:color w:val="000000"/>
          <w:sz w:val="24"/>
          <w:szCs w:val="24"/>
        </w:rPr>
        <w:t>, 57,9% des élèves subissent des violences de tout genre en famille (disputes, insultes, menaces, viols, bagarres entre parents, frères ou sœurs).</w:t>
      </w:r>
      <w:bookmarkEnd w:id="293"/>
    </w:p>
    <w:p w14:paraId="41D42E3F" w14:textId="77777777" w:rsidR="00D80693" w:rsidRPr="008639C0" w:rsidRDefault="00D80693" w:rsidP="008276DA">
      <w:pPr>
        <w:spacing w:before="120" w:after="240"/>
        <w:jc w:val="both"/>
        <w:rPr>
          <w:bCs/>
          <w:color w:val="000000"/>
          <w:sz w:val="24"/>
          <w:szCs w:val="24"/>
        </w:rPr>
      </w:pPr>
      <w:r>
        <w:rPr>
          <w:bCs/>
          <w:color w:val="000000"/>
          <w:sz w:val="24"/>
          <w:szCs w:val="24"/>
        </w:rPr>
        <w:t>En ce qui concerne la troisième hypothèse de recherche (</w:t>
      </w:r>
      <w:r w:rsidRPr="008639C0">
        <w:rPr>
          <w:color w:val="000000"/>
          <w:sz w:val="24"/>
          <w:szCs w:val="24"/>
        </w:rPr>
        <w:t>HR3,</w:t>
      </w:r>
      <w:r w:rsidRPr="008639C0">
        <w:rPr>
          <w:bCs/>
          <w:color w:val="000000"/>
          <w:sz w:val="24"/>
          <w:szCs w:val="24"/>
        </w:rPr>
        <w:t xml:space="preserve"> entourage dans le quartier de résidence et consommation des SPA), </w:t>
      </w:r>
      <w:r>
        <w:rPr>
          <w:bCs/>
          <w:color w:val="000000"/>
          <w:sz w:val="24"/>
          <w:szCs w:val="24"/>
        </w:rPr>
        <w:t xml:space="preserve">nous avons questionné </w:t>
      </w:r>
      <w:r w:rsidRPr="008639C0">
        <w:rPr>
          <w:bCs/>
          <w:color w:val="000000"/>
          <w:sz w:val="24"/>
          <w:szCs w:val="24"/>
        </w:rPr>
        <w:t xml:space="preserve">les indicateurs </w:t>
      </w:r>
      <w:r>
        <w:rPr>
          <w:bCs/>
          <w:color w:val="000000"/>
          <w:sz w:val="24"/>
          <w:szCs w:val="24"/>
        </w:rPr>
        <w:t>suivants</w:t>
      </w:r>
      <w:r w:rsidRPr="008639C0">
        <w:rPr>
          <w:bCs/>
          <w:color w:val="000000"/>
          <w:sz w:val="24"/>
          <w:szCs w:val="24"/>
        </w:rPr>
        <w:t xml:space="preserve"> : connaissance des stupéfiants à travers un ami au quartier de résidence</w:t>
      </w:r>
      <w:r>
        <w:rPr>
          <w:bCs/>
          <w:color w:val="000000"/>
          <w:sz w:val="24"/>
          <w:szCs w:val="24"/>
        </w:rPr>
        <w:t>,</w:t>
      </w:r>
      <w:r w:rsidRPr="008639C0">
        <w:rPr>
          <w:bCs/>
          <w:color w:val="000000"/>
          <w:sz w:val="24"/>
          <w:szCs w:val="24"/>
        </w:rPr>
        <w:t xml:space="preserve"> fréquentation des lieux où se regroupent les toxicomanes </w:t>
      </w:r>
      <w:r>
        <w:rPr>
          <w:bCs/>
          <w:color w:val="000000"/>
          <w:sz w:val="24"/>
          <w:szCs w:val="24"/>
        </w:rPr>
        <w:t>dans le</w:t>
      </w:r>
      <w:r w:rsidRPr="008639C0">
        <w:rPr>
          <w:bCs/>
          <w:color w:val="000000"/>
          <w:sz w:val="24"/>
          <w:szCs w:val="24"/>
        </w:rPr>
        <w:t xml:space="preserve"> quartier</w:t>
      </w:r>
      <w:r w:rsidRPr="00FF6FEB">
        <w:rPr>
          <w:bCs/>
          <w:color w:val="000000"/>
          <w:sz w:val="24"/>
          <w:szCs w:val="24"/>
        </w:rPr>
        <w:t xml:space="preserve"> </w:t>
      </w:r>
      <w:r>
        <w:rPr>
          <w:bCs/>
          <w:color w:val="000000"/>
          <w:sz w:val="24"/>
          <w:szCs w:val="24"/>
        </w:rPr>
        <w:t>(</w:t>
      </w:r>
      <w:r w:rsidRPr="00FF6FEB">
        <w:rPr>
          <w:bCs/>
          <w:color w:val="000000"/>
          <w:sz w:val="24"/>
          <w:szCs w:val="24"/>
        </w:rPr>
        <w:t xml:space="preserve">Tableaux n° </w:t>
      </w:r>
      <w:r>
        <w:rPr>
          <w:bCs/>
          <w:color w:val="000000"/>
          <w:sz w:val="24"/>
          <w:szCs w:val="24"/>
        </w:rPr>
        <w:t>5</w:t>
      </w:r>
      <w:r w:rsidRPr="00FF6FEB">
        <w:rPr>
          <w:bCs/>
          <w:color w:val="000000"/>
          <w:sz w:val="24"/>
          <w:szCs w:val="24"/>
        </w:rPr>
        <w:t xml:space="preserve"> et n° </w:t>
      </w:r>
      <w:r>
        <w:rPr>
          <w:bCs/>
          <w:color w:val="000000"/>
          <w:sz w:val="24"/>
          <w:szCs w:val="24"/>
        </w:rPr>
        <w:t>6</w:t>
      </w:r>
      <w:r w:rsidRPr="00FF6FEB">
        <w:rPr>
          <w:bCs/>
          <w:color w:val="000000"/>
          <w:sz w:val="24"/>
          <w:szCs w:val="24"/>
        </w:rPr>
        <w:t>) :</w:t>
      </w:r>
    </w:p>
    <w:p w14:paraId="22943596" w14:textId="77777777" w:rsidR="00D80693" w:rsidRPr="00AC46A3" w:rsidRDefault="00D80693" w:rsidP="008276DA">
      <w:pPr>
        <w:spacing w:before="120" w:after="240"/>
        <w:jc w:val="center"/>
        <w:rPr>
          <w:b/>
          <w:bCs/>
          <w:i/>
          <w:iCs/>
          <w:color w:val="000000"/>
          <w:sz w:val="24"/>
          <w:szCs w:val="24"/>
        </w:rPr>
      </w:pPr>
      <w:bookmarkStart w:id="294" w:name="_Hlk51105033"/>
      <w:bookmarkStart w:id="295" w:name="_Toc52611698"/>
      <w:r w:rsidRPr="00AC46A3">
        <w:rPr>
          <w:b/>
          <w:bCs/>
          <w:i/>
          <w:iCs/>
          <w:color w:val="000000"/>
          <w:sz w:val="24"/>
          <w:szCs w:val="24"/>
        </w:rPr>
        <w:t>Tableau n°</w:t>
      </w:r>
      <w:r>
        <w:rPr>
          <w:b/>
          <w:bCs/>
          <w:i/>
          <w:iCs/>
          <w:color w:val="000000"/>
          <w:sz w:val="24"/>
          <w:szCs w:val="24"/>
        </w:rPr>
        <w:t>5</w:t>
      </w:r>
      <w:r w:rsidRPr="00AC46A3">
        <w:rPr>
          <w:b/>
          <w:bCs/>
          <w:i/>
          <w:iCs/>
          <w:color w:val="000000"/>
          <w:sz w:val="24"/>
          <w:szCs w:val="24"/>
        </w:rPr>
        <w:t xml:space="preserve"> : Connaissance </w:t>
      </w:r>
      <w:bookmarkStart w:id="296" w:name="_Hlk214961416"/>
      <w:r w:rsidRPr="00556917">
        <w:rPr>
          <w:b/>
          <w:bCs/>
          <w:i/>
          <w:iCs/>
          <w:color w:val="000000"/>
          <w:sz w:val="24"/>
          <w:szCs w:val="24"/>
        </w:rPr>
        <w:t>des drogues</w:t>
      </w:r>
      <w:r>
        <w:rPr>
          <w:b/>
          <w:bCs/>
          <w:i/>
          <w:iCs/>
          <w:color w:val="000000"/>
          <w:sz w:val="24"/>
          <w:szCs w:val="24"/>
        </w:rPr>
        <w:t xml:space="preserve"> </w:t>
      </w:r>
      <w:bookmarkEnd w:id="296"/>
      <w:r w:rsidRPr="00AC46A3">
        <w:rPr>
          <w:b/>
          <w:bCs/>
          <w:i/>
          <w:iCs/>
          <w:color w:val="000000"/>
          <w:sz w:val="24"/>
          <w:szCs w:val="24"/>
        </w:rPr>
        <w:t>par un camarade au quartier</w:t>
      </w:r>
      <w:bookmarkEnd w:id="294"/>
      <w:bookmarkEnd w:id="295"/>
    </w:p>
    <w:tbl>
      <w:tblPr>
        <w:tblStyle w:val="PlainTable20"/>
        <w:tblW w:w="7535" w:type="dxa"/>
        <w:tblLayout w:type="fixed"/>
        <w:tblLook w:val="0620" w:firstRow="1" w:lastRow="0" w:firstColumn="0" w:lastColumn="0" w:noHBand="1" w:noVBand="1"/>
      </w:tblPr>
      <w:tblGrid>
        <w:gridCol w:w="1694"/>
        <w:gridCol w:w="1159"/>
        <w:gridCol w:w="2245"/>
        <w:gridCol w:w="2437"/>
      </w:tblGrid>
      <w:tr w:rsidR="00D80693" w14:paraId="050170FE" w14:textId="77777777" w:rsidTr="00D72320">
        <w:trPr>
          <w:cnfStyle w:val="100000000000" w:firstRow="1" w:lastRow="0" w:firstColumn="0" w:lastColumn="0" w:oddVBand="0" w:evenVBand="0" w:oddHBand="0" w:evenHBand="0" w:firstRowFirstColumn="0" w:firstRowLastColumn="0" w:lastRowFirstColumn="0" w:lastRowLastColumn="0"/>
          <w:trHeight w:val="259"/>
        </w:trPr>
        <w:tc>
          <w:tcPr>
            <w:tcW w:w="2853" w:type="dxa"/>
            <w:gridSpan w:val="2"/>
          </w:tcPr>
          <w:p w14:paraId="2AD872DE" w14:textId="77777777" w:rsidR="00D80693" w:rsidRPr="00B70D71" w:rsidRDefault="00D80693" w:rsidP="008276DA">
            <w:pPr>
              <w:spacing w:before="120"/>
              <w:rPr>
                <w:bCs w:val="0"/>
                <w:color w:val="000000"/>
                <w:sz w:val="24"/>
                <w:szCs w:val="24"/>
                <w:lang w:val="fr-CM"/>
              </w:rPr>
            </w:pPr>
          </w:p>
        </w:tc>
        <w:tc>
          <w:tcPr>
            <w:tcW w:w="2245" w:type="dxa"/>
          </w:tcPr>
          <w:p w14:paraId="4CBB6B0A" w14:textId="77777777" w:rsidR="00D80693" w:rsidRPr="009E448B" w:rsidRDefault="00D80693" w:rsidP="008276DA">
            <w:pPr>
              <w:spacing w:before="120"/>
              <w:rPr>
                <w:b w:val="0"/>
                <w:bCs w:val="0"/>
                <w:color w:val="000000"/>
                <w:sz w:val="24"/>
                <w:szCs w:val="24"/>
                <w:lang w:val="fr-CM"/>
              </w:rPr>
            </w:pPr>
            <w:r w:rsidRPr="009E448B">
              <w:rPr>
                <w:b w:val="0"/>
                <w:bCs w:val="0"/>
                <w:color w:val="000000"/>
                <w:sz w:val="24"/>
                <w:szCs w:val="24"/>
              </w:rPr>
              <w:t>Effectifs (n=254)</w:t>
            </w:r>
          </w:p>
        </w:tc>
        <w:tc>
          <w:tcPr>
            <w:tcW w:w="2437" w:type="dxa"/>
          </w:tcPr>
          <w:p w14:paraId="4D0647E8" w14:textId="77777777" w:rsidR="00D80693" w:rsidRPr="009E448B" w:rsidRDefault="00D80693" w:rsidP="008276DA">
            <w:pPr>
              <w:spacing w:before="120"/>
              <w:rPr>
                <w:b w:val="0"/>
                <w:bCs w:val="0"/>
                <w:color w:val="000000"/>
                <w:sz w:val="24"/>
                <w:szCs w:val="24"/>
                <w:lang w:val="fr-CM"/>
              </w:rPr>
            </w:pPr>
            <w:r w:rsidRPr="009E448B">
              <w:rPr>
                <w:b w:val="0"/>
                <w:bCs w:val="0"/>
                <w:color w:val="000000"/>
                <w:sz w:val="24"/>
                <w:szCs w:val="24"/>
              </w:rPr>
              <w:t>Pourcentage (%)</w:t>
            </w:r>
          </w:p>
        </w:tc>
      </w:tr>
      <w:tr w:rsidR="00D80693" w14:paraId="0CE07BE2" w14:textId="77777777" w:rsidTr="00D72320">
        <w:trPr>
          <w:trHeight w:val="132"/>
        </w:trPr>
        <w:tc>
          <w:tcPr>
            <w:tcW w:w="1694" w:type="dxa"/>
            <w:vMerge w:val="restart"/>
          </w:tcPr>
          <w:p w14:paraId="23586E5B" w14:textId="77777777" w:rsidR="00D80693" w:rsidRPr="00B70D71" w:rsidRDefault="00D80693" w:rsidP="008276DA">
            <w:pPr>
              <w:spacing w:before="120"/>
              <w:rPr>
                <w:bCs/>
                <w:color w:val="000000"/>
                <w:sz w:val="24"/>
                <w:szCs w:val="24"/>
                <w:lang w:val="fr-CM"/>
              </w:rPr>
            </w:pPr>
          </w:p>
        </w:tc>
        <w:tc>
          <w:tcPr>
            <w:tcW w:w="1159" w:type="dxa"/>
          </w:tcPr>
          <w:p w14:paraId="128E67BD" w14:textId="77777777" w:rsidR="00D80693" w:rsidRPr="00B70D71" w:rsidRDefault="00D80693" w:rsidP="008276DA">
            <w:pPr>
              <w:spacing w:before="120"/>
              <w:rPr>
                <w:bCs/>
                <w:color w:val="000000"/>
                <w:sz w:val="24"/>
                <w:szCs w:val="24"/>
                <w:lang w:val="fr-CM"/>
              </w:rPr>
            </w:pPr>
            <w:r>
              <w:rPr>
                <w:bCs/>
                <w:color w:val="000000"/>
                <w:sz w:val="24"/>
                <w:szCs w:val="24"/>
                <w:lang w:val="fr-CM"/>
              </w:rPr>
              <w:t>RAS</w:t>
            </w:r>
          </w:p>
        </w:tc>
        <w:tc>
          <w:tcPr>
            <w:tcW w:w="2245" w:type="dxa"/>
          </w:tcPr>
          <w:p w14:paraId="7C2E667E"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2</w:t>
            </w:r>
          </w:p>
        </w:tc>
        <w:tc>
          <w:tcPr>
            <w:tcW w:w="2437" w:type="dxa"/>
          </w:tcPr>
          <w:p w14:paraId="1B1EEFC1"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0,8</w:t>
            </w:r>
          </w:p>
        </w:tc>
      </w:tr>
      <w:tr w:rsidR="00D80693" w14:paraId="68776E32" w14:textId="77777777" w:rsidTr="00D72320">
        <w:trPr>
          <w:trHeight w:val="150"/>
        </w:trPr>
        <w:tc>
          <w:tcPr>
            <w:tcW w:w="1694" w:type="dxa"/>
            <w:vMerge/>
          </w:tcPr>
          <w:p w14:paraId="1AFD4C7E" w14:textId="77777777" w:rsidR="00D80693" w:rsidRPr="00B70D71" w:rsidRDefault="00D80693" w:rsidP="008276DA">
            <w:pPr>
              <w:spacing w:before="120"/>
              <w:rPr>
                <w:bCs/>
                <w:color w:val="000000"/>
                <w:sz w:val="24"/>
                <w:szCs w:val="24"/>
                <w:lang w:val="fr-CM"/>
              </w:rPr>
            </w:pPr>
          </w:p>
        </w:tc>
        <w:tc>
          <w:tcPr>
            <w:tcW w:w="1159" w:type="dxa"/>
          </w:tcPr>
          <w:p w14:paraId="026C4AE1"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Non</w:t>
            </w:r>
          </w:p>
        </w:tc>
        <w:tc>
          <w:tcPr>
            <w:tcW w:w="2245" w:type="dxa"/>
          </w:tcPr>
          <w:p w14:paraId="0F8149B2"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106</w:t>
            </w:r>
          </w:p>
        </w:tc>
        <w:tc>
          <w:tcPr>
            <w:tcW w:w="2437" w:type="dxa"/>
          </w:tcPr>
          <w:p w14:paraId="6DF4EEBB"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41,7</w:t>
            </w:r>
          </w:p>
        </w:tc>
      </w:tr>
      <w:tr w:rsidR="00D80693" w14:paraId="0241D02F" w14:textId="77777777" w:rsidTr="00D72320">
        <w:trPr>
          <w:trHeight w:val="158"/>
        </w:trPr>
        <w:tc>
          <w:tcPr>
            <w:tcW w:w="1694" w:type="dxa"/>
            <w:vMerge/>
          </w:tcPr>
          <w:p w14:paraId="48CB7484" w14:textId="77777777" w:rsidR="00D80693" w:rsidRPr="00B70D71" w:rsidRDefault="00D80693" w:rsidP="008276DA">
            <w:pPr>
              <w:spacing w:before="120"/>
              <w:rPr>
                <w:bCs/>
                <w:color w:val="000000"/>
                <w:sz w:val="24"/>
                <w:szCs w:val="24"/>
                <w:lang w:val="fr-CM"/>
              </w:rPr>
            </w:pPr>
          </w:p>
        </w:tc>
        <w:tc>
          <w:tcPr>
            <w:tcW w:w="1159" w:type="dxa"/>
          </w:tcPr>
          <w:p w14:paraId="4041CB90"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Oui</w:t>
            </w:r>
          </w:p>
        </w:tc>
        <w:tc>
          <w:tcPr>
            <w:tcW w:w="2245" w:type="dxa"/>
          </w:tcPr>
          <w:p w14:paraId="372B2476"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146</w:t>
            </w:r>
          </w:p>
        </w:tc>
        <w:tc>
          <w:tcPr>
            <w:tcW w:w="2437" w:type="dxa"/>
          </w:tcPr>
          <w:p w14:paraId="0D2291D8"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57,5</w:t>
            </w:r>
          </w:p>
        </w:tc>
      </w:tr>
      <w:tr w:rsidR="00D80693" w14:paraId="41408BF5" w14:textId="77777777" w:rsidTr="00D72320">
        <w:trPr>
          <w:trHeight w:val="141"/>
        </w:trPr>
        <w:tc>
          <w:tcPr>
            <w:tcW w:w="1694" w:type="dxa"/>
            <w:vMerge/>
          </w:tcPr>
          <w:p w14:paraId="31DC3DD8" w14:textId="77777777" w:rsidR="00D80693" w:rsidRPr="00B70D71" w:rsidRDefault="00D80693" w:rsidP="008276DA">
            <w:pPr>
              <w:spacing w:before="120"/>
              <w:rPr>
                <w:bCs/>
                <w:color w:val="000000"/>
                <w:sz w:val="24"/>
                <w:szCs w:val="24"/>
                <w:lang w:val="fr-CM"/>
              </w:rPr>
            </w:pPr>
          </w:p>
        </w:tc>
        <w:tc>
          <w:tcPr>
            <w:tcW w:w="1159" w:type="dxa"/>
          </w:tcPr>
          <w:p w14:paraId="693D45BC"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Total</w:t>
            </w:r>
          </w:p>
        </w:tc>
        <w:tc>
          <w:tcPr>
            <w:tcW w:w="2245" w:type="dxa"/>
          </w:tcPr>
          <w:p w14:paraId="6EA92BF7"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254</w:t>
            </w:r>
          </w:p>
        </w:tc>
        <w:tc>
          <w:tcPr>
            <w:tcW w:w="2437" w:type="dxa"/>
          </w:tcPr>
          <w:p w14:paraId="6B08876F" w14:textId="77777777" w:rsidR="00D80693" w:rsidRPr="00B70D71" w:rsidRDefault="00D80693" w:rsidP="008276DA">
            <w:pPr>
              <w:spacing w:before="120"/>
              <w:rPr>
                <w:bCs/>
                <w:color w:val="000000"/>
                <w:sz w:val="24"/>
                <w:szCs w:val="24"/>
                <w:lang w:val="fr-CM"/>
              </w:rPr>
            </w:pPr>
            <w:r w:rsidRPr="00B70D71">
              <w:rPr>
                <w:bCs/>
                <w:color w:val="000000"/>
                <w:sz w:val="24"/>
                <w:szCs w:val="24"/>
                <w:lang w:val="fr-CM"/>
              </w:rPr>
              <w:t>100,0</w:t>
            </w:r>
          </w:p>
        </w:tc>
      </w:tr>
    </w:tbl>
    <w:p w14:paraId="64461FBA" w14:textId="77777777" w:rsidR="00D80693" w:rsidRPr="00F72D6B" w:rsidRDefault="00D80693" w:rsidP="002410D0">
      <w:pPr>
        <w:spacing w:before="120" w:after="240"/>
        <w:jc w:val="center"/>
        <w:rPr>
          <w:bCs/>
          <w:color w:val="000000"/>
          <w:sz w:val="24"/>
          <w:szCs w:val="24"/>
        </w:rPr>
      </w:pPr>
      <w:bookmarkStart w:id="297" w:name="_Hlk211735458"/>
      <w:r w:rsidRPr="00F72D6B">
        <w:rPr>
          <w:bCs/>
          <w:i/>
          <w:iCs/>
          <w:color w:val="000000"/>
          <w:lang w:eastAsia="fr-FR"/>
        </w:rPr>
        <w:t>Source : nos données du terrain</w:t>
      </w:r>
    </w:p>
    <w:bookmarkEnd w:id="297"/>
    <w:p w14:paraId="713C07B9" w14:textId="77777777" w:rsidR="00D80693" w:rsidRDefault="00D80693" w:rsidP="008276DA">
      <w:pPr>
        <w:spacing w:before="120" w:after="240"/>
        <w:jc w:val="both"/>
        <w:rPr>
          <w:b/>
          <w:bCs/>
          <w:color w:val="000000"/>
          <w:sz w:val="24"/>
          <w:szCs w:val="24"/>
        </w:rPr>
      </w:pPr>
      <w:r>
        <w:rPr>
          <w:bCs/>
          <w:color w:val="000000"/>
          <w:sz w:val="24"/>
          <w:szCs w:val="24"/>
        </w:rPr>
        <w:t xml:space="preserve">Le tableau ci-dessus indique que, </w:t>
      </w:r>
      <w:r w:rsidRPr="00B70D71">
        <w:rPr>
          <w:bCs/>
          <w:color w:val="000000"/>
          <w:sz w:val="24"/>
          <w:szCs w:val="24"/>
        </w:rPr>
        <w:t xml:space="preserve">57,5% de la population d’étude ont pris connaissance des </w:t>
      </w:r>
      <w:r>
        <w:rPr>
          <w:bCs/>
          <w:color w:val="000000"/>
          <w:sz w:val="24"/>
          <w:szCs w:val="24"/>
        </w:rPr>
        <w:t>drogues</w:t>
      </w:r>
      <w:r w:rsidRPr="00B70D71">
        <w:rPr>
          <w:bCs/>
          <w:color w:val="000000"/>
          <w:sz w:val="24"/>
          <w:szCs w:val="24"/>
        </w:rPr>
        <w:t xml:space="preserve"> via un ami </w:t>
      </w:r>
      <w:r>
        <w:rPr>
          <w:bCs/>
          <w:color w:val="000000"/>
          <w:sz w:val="24"/>
          <w:szCs w:val="24"/>
        </w:rPr>
        <w:t>dans leur</w:t>
      </w:r>
      <w:r w:rsidRPr="00B70D71">
        <w:rPr>
          <w:bCs/>
          <w:color w:val="000000"/>
          <w:sz w:val="24"/>
          <w:szCs w:val="24"/>
        </w:rPr>
        <w:t xml:space="preserve"> quartier</w:t>
      </w:r>
      <w:r>
        <w:rPr>
          <w:bCs/>
          <w:color w:val="000000"/>
          <w:sz w:val="24"/>
          <w:szCs w:val="24"/>
        </w:rPr>
        <w:t xml:space="preserve"> de résidence</w:t>
      </w:r>
      <w:r w:rsidRPr="00B70D71">
        <w:rPr>
          <w:bCs/>
          <w:color w:val="000000"/>
          <w:sz w:val="24"/>
          <w:szCs w:val="24"/>
        </w:rPr>
        <w:t>.</w:t>
      </w:r>
      <w:r w:rsidRPr="00B70D71">
        <w:rPr>
          <w:b/>
          <w:bCs/>
          <w:color w:val="000000"/>
          <w:sz w:val="24"/>
          <w:szCs w:val="24"/>
        </w:rPr>
        <w:t> </w:t>
      </w:r>
    </w:p>
    <w:p w14:paraId="7226B5E1" w14:textId="77777777" w:rsidR="00D80693" w:rsidRPr="009719E3" w:rsidRDefault="00D80693" w:rsidP="008276DA">
      <w:pPr>
        <w:spacing w:before="120" w:after="240"/>
        <w:jc w:val="center"/>
        <w:rPr>
          <w:b/>
          <w:bCs/>
          <w:i/>
          <w:iCs/>
          <w:color w:val="000000"/>
          <w:sz w:val="24"/>
          <w:szCs w:val="24"/>
        </w:rPr>
      </w:pPr>
      <w:bookmarkStart w:id="298" w:name="_Hlk51104993"/>
      <w:bookmarkStart w:id="299" w:name="_Toc52611699"/>
      <w:r w:rsidRPr="009719E3">
        <w:rPr>
          <w:b/>
          <w:bCs/>
          <w:i/>
          <w:iCs/>
          <w:color w:val="000000"/>
          <w:sz w:val="24"/>
          <w:szCs w:val="24"/>
        </w:rPr>
        <w:t>Tableau n°6 : Répartition des effectifs (n=254) selon leur fréquentation des endroits où se regroupent les toxicomanes du quartier</w:t>
      </w:r>
      <w:bookmarkEnd w:id="298"/>
      <w:bookmarkEnd w:id="299"/>
    </w:p>
    <w:tbl>
      <w:tblPr>
        <w:tblStyle w:val="PlainTable20"/>
        <w:tblW w:w="7860" w:type="dxa"/>
        <w:tblLayout w:type="fixed"/>
        <w:tblLook w:val="06A0" w:firstRow="1" w:lastRow="0" w:firstColumn="1" w:lastColumn="0" w:noHBand="1" w:noVBand="1"/>
      </w:tblPr>
      <w:tblGrid>
        <w:gridCol w:w="1550"/>
        <w:gridCol w:w="1410"/>
        <w:gridCol w:w="2287"/>
        <w:gridCol w:w="2613"/>
      </w:tblGrid>
      <w:tr w:rsidR="00D80693" w14:paraId="662F2D31" w14:textId="77777777" w:rsidTr="00D7232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60" w:type="dxa"/>
            <w:gridSpan w:val="2"/>
          </w:tcPr>
          <w:p w14:paraId="521C6023" w14:textId="77777777" w:rsidR="00D80693" w:rsidRPr="00B70D71" w:rsidRDefault="00D80693" w:rsidP="008276DA">
            <w:pPr>
              <w:spacing w:before="120"/>
              <w:rPr>
                <w:bCs w:val="0"/>
                <w:color w:val="000000"/>
                <w:sz w:val="24"/>
                <w:szCs w:val="24"/>
              </w:rPr>
            </w:pPr>
          </w:p>
        </w:tc>
        <w:tc>
          <w:tcPr>
            <w:tcW w:w="2287" w:type="dxa"/>
          </w:tcPr>
          <w:p w14:paraId="25A11208" w14:textId="77777777" w:rsidR="00D80693" w:rsidRPr="009E448B"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9E448B">
              <w:rPr>
                <w:b w:val="0"/>
                <w:bCs w:val="0"/>
                <w:color w:val="000000"/>
                <w:sz w:val="24"/>
                <w:szCs w:val="24"/>
              </w:rPr>
              <w:t>Effectifs (n=254)</w:t>
            </w:r>
          </w:p>
        </w:tc>
        <w:tc>
          <w:tcPr>
            <w:tcW w:w="2613" w:type="dxa"/>
          </w:tcPr>
          <w:p w14:paraId="2F3D854A" w14:textId="77777777" w:rsidR="00D80693" w:rsidRPr="009E448B" w:rsidRDefault="00D80693" w:rsidP="008276DA">
            <w:pPr>
              <w:spacing w:before="120"/>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9E448B">
              <w:rPr>
                <w:b w:val="0"/>
                <w:bCs w:val="0"/>
                <w:color w:val="000000"/>
                <w:sz w:val="24"/>
                <w:szCs w:val="24"/>
              </w:rPr>
              <w:t>Pourcentage (%)</w:t>
            </w:r>
          </w:p>
        </w:tc>
      </w:tr>
      <w:tr w:rsidR="00D80693" w14:paraId="52AA0CE9" w14:textId="77777777" w:rsidTr="00D72320">
        <w:trPr>
          <w:trHeight w:val="186"/>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3AE58B51" w14:textId="77777777" w:rsidR="00D80693" w:rsidRPr="00B70D71" w:rsidRDefault="00D80693" w:rsidP="008276DA">
            <w:pPr>
              <w:spacing w:before="120"/>
              <w:rPr>
                <w:bCs w:val="0"/>
                <w:color w:val="000000"/>
                <w:sz w:val="24"/>
                <w:szCs w:val="24"/>
              </w:rPr>
            </w:pPr>
          </w:p>
        </w:tc>
        <w:tc>
          <w:tcPr>
            <w:tcW w:w="1410" w:type="dxa"/>
          </w:tcPr>
          <w:p w14:paraId="131E6617"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Non</w:t>
            </w:r>
          </w:p>
        </w:tc>
        <w:tc>
          <w:tcPr>
            <w:tcW w:w="2287" w:type="dxa"/>
          </w:tcPr>
          <w:p w14:paraId="103F34A9"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67</w:t>
            </w:r>
          </w:p>
        </w:tc>
        <w:tc>
          <w:tcPr>
            <w:tcW w:w="2613" w:type="dxa"/>
          </w:tcPr>
          <w:p w14:paraId="63D3E2A0"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26,4</w:t>
            </w:r>
          </w:p>
        </w:tc>
      </w:tr>
      <w:tr w:rsidR="00D80693" w14:paraId="714D76E7" w14:textId="77777777" w:rsidTr="00D72320">
        <w:trPr>
          <w:trHeight w:val="211"/>
        </w:trPr>
        <w:tc>
          <w:tcPr>
            <w:cnfStyle w:val="001000000000" w:firstRow="0" w:lastRow="0" w:firstColumn="1" w:lastColumn="0" w:oddVBand="0" w:evenVBand="0" w:oddHBand="0" w:evenHBand="0" w:firstRowFirstColumn="0" w:firstRowLastColumn="0" w:lastRowFirstColumn="0" w:lastRowLastColumn="0"/>
            <w:tcW w:w="1550" w:type="dxa"/>
            <w:vMerge/>
          </w:tcPr>
          <w:p w14:paraId="60BE18FD" w14:textId="77777777" w:rsidR="00D80693" w:rsidRPr="00B70D71" w:rsidRDefault="00D80693" w:rsidP="008276DA">
            <w:pPr>
              <w:spacing w:before="120"/>
              <w:rPr>
                <w:bCs w:val="0"/>
                <w:color w:val="000000"/>
                <w:sz w:val="24"/>
                <w:szCs w:val="24"/>
              </w:rPr>
            </w:pPr>
          </w:p>
        </w:tc>
        <w:tc>
          <w:tcPr>
            <w:tcW w:w="1410" w:type="dxa"/>
          </w:tcPr>
          <w:p w14:paraId="77D193A6"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Oui</w:t>
            </w:r>
          </w:p>
        </w:tc>
        <w:tc>
          <w:tcPr>
            <w:tcW w:w="2287" w:type="dxa"/>
          </w:tcPr>
          <w:p w14:paraId="3E1A3D2B"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187</w:t>
            </w:r>
          </w:p>
        </w:tc>
        <w:tc>
          <w:tcPr>
            <w:tcW w:w="2613" w:type="dxa"/>
          </w:tcPr>
          <w:p w14:paraId="0FA969D3"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73,6</w:t>
            </w:r>
          </w:p>
        </w:tc>
      </w:tr>
      <w:tr w:rsidR="00D80693" w14:paraId="2917020A" w14:textId="77777777" w:rsidTr="00D72320">
        <w:trPr>
          <w:trHeight w:val="211"/>
        </w:trPr>
        <w:tc>
          <w:tcPr>
            <w:cnfStyle w:val="001000000000" w:firstRow="0" w:lastRow="0" w:firstColumn="1" w:lastColumn="0" w:oddVBand="0" w:evenVBand="0" w:oddHBand="0" w:evenHBand="0" w:firstRowFirstColumn="0" w:firstRowLastColumn="0" w:lastRowFirstColumn="0" w:lastRowLastColumn="0"/>
            <w:tcW w:w="1550" w:type="dxa"/>
            <w:vMerge/>
          </w:tcPr>
          <w:p w14:paraId="43D75F0C" w14:textId="77777777" w:rsidR="00D80693" w:rsidRPr="00B70D71" w:rsidRDefault="00D80693" w:rsidP="008276DA">
            <w:pPr>
              <w:spacing w:before="120"/>
              <w:rPr>
                <w:bCs w:val="0"/>
                <w:color w:val="000000"/>
                <w:sz w:val="24"/>
                <w:szCs w:val="24"/>
              </w:rPr>
            </w:pPr>
          </w:p>
        </w:tc>
        <w:tc>
          <w:tcPr>
            <w:tcW w:w="1410" w:type="dxa"/>
          </w:tcPr>
          <w:p w14:paraId="38663530"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Total</w:t>
            </w:r>
          </w:p>
        </w:tc>
        <w:tc>
          <w:tcPr>
            <w:tcW w:w="2287" w:type="dxa"/>
          </w:tcPr>
          <w:p w14:paraId="44134682"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254</w:t>
            </w:r>
          </w:p>
        </w:tc>
        <w:tc>
          <w:tcPr>
            <w:tcW w:w="2613" w:type="dxa"/>
          </w:tcPr>
          <w:p w14:paraId="3284BB6D" w14:textId="77777777" w:rsidR="00D80693" w:rsidRPr="00B70D71" w:rsidRDefault="00D80693" w:rsidP="008276DA">
            <w:pPr>
              <w:spacing w:before="120"/>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B70D71">
              <w:rPr>
                <w:bCs/>
                <w:color w:val="000000"/>
                <w:sz w:val="24"/>
                <w:szCs w:val="24"/>
              </w:rPr>
              <w:t>100,0</w:t>
            </w:r>
          </w:p>
        </w:tc>
      </w:tr>
    </w:tbl>
    <w:p w14:paraId="72B6115F" w14:textId="77777777" w:rsidR="00D80693" w:rsidRPr="0001657F" w:rsidRDefault="00D80693" w:rsidP="002410D0">
      <w:pPr>
        <w:spacing w:before="120" w:after="240"/>
        <w:jc w:val="center"/>
        <w:rPr>
          <w:bCs/>
          <w:color w:val="000000"/>
          <w:sz w:val="24"/>
          <w:szCs w:val="24"/>
        </w:rPr>
      </w:pPr>
      <w:bookmarkStart w:id="300" w:name="_Hlk50752142"/>
      <w:r w:rsidRPr="0001657F">
        <w:rPr>
          <w:bCs/>
          <w:i/>
          <w:iCs/>
          <w:color w:val="000000"/>
          <w:lang w:eastAsia="fr-FR"/>
        </w:rPr>
        <w:t>Source : nos données du terrain</w:t>
      </w:r>
    </w:p>
    <w:p w14:paraId="4DC55E40" w14:textId="77777777" w:rsidR="00D80693" w:rsidRDefault="00D80693" w:rsidP="008276DA">
      <w:pPr>
        <w:spacing w:before="120" w:after="240"/>
        <w:jc w:val="both"/>
        <w:rPr>
          <w:bCs/>
          <w:color w:val="000000"/>
          <w:sz w:val="24"/>
          <w:szCs w:val="24"/>
        </w:rPr>
      </w:pPr>
      <w:r w:rsidRPr="00B70D71">
        <w:rPr>
          <w:bCs/>
          <w:color w:val="000000"/>
          <w:sz w:val="24"/>
          <w:szCs w:val="24"/>
        </w:rPr>
        <w:t>73,6% de la population d’étude fréquente les endroits où les toxicomanes se regroupent dans leurs quartiers pour consommer des stupéfiants.</w:t>
      </w:r>
      <w:bookmarkEnd w:id="300"/>
      <w:r w:rsidRPr="00B70D71">
        <w:rPr>
          <w:bCs/>
          <w:color w:val="000000"/>
          <w:sz w:val="24"/>
          <w:szCs w:val="24"/>
        </w:rPr>
        <w:t xml:space="preserve"> Certains élèves ont précisé l’endroit </w:t>
      </w:r>
      <w:r>
        <w:rPr>
          <w:bCs/>
          <w:color w:val="000000"/>
          <w:sz w:val="24"/>
          <w:szCs w:val="24"/>
        </w:rPr>
        <w:t xml:space="preserve">notamment </w:t>
      </w:r>
      <w:r w:rsidRPr="00B70D71">
        <w:rPr>
          <w:bCs/>
          <w:color w:val="000000"/>
          <w:sz w:val="24"/>
          <w:szCs w:val="24"/>
        </w:rPr>
        <w:t>: en face de leur maison, dans le bar du quartier, dans les charters, dans des maisons abandonnées ou en cours de construction.</w:t>
      </w:r>
    </w:p>
    <w:p w14:paraId="27BD9717" w14:textId="77777777" w:rsidR="00D80693" w:rsidRPr="00B70D71" w:rsidRDefault="00D80693" w:rsidP="008276DA">
      <w:pPr>
        <w:spacing w:before="120" w:after="240"/>
        <w:jc w:val="both"/>
        <w:rPr>
          <w:bCs/>
          <w:color w:val="000000"/>
          <w:sz w:val="24"/>
          <w:szCs w:val="24"/>
        </w:rPr>
      </w:pPr>
      <w:r>
        <w:rPr>
          <w:bCs/>
          <w:color w:val="000000"/>
          <w:sz w:val="24"/>
          <w:szCs w:val="24"/>
        </w:rPr>
        <w:t xml:space="preserve">Ces facteurs sociaux étant présentés, il nous semble pertinent de vérifier les différentes hypothèses qui les sous-tendent afin d’apporter des commentaires </w:t>
      </w:r>
      <w:r w:rsidRPr="00E17B77">
        <w:rPr>
          <w:bCs/>
          <w:color w:val="000000"/>
          <w:sz w:val="24"/>
          <w:szCs w:val="24"/>
        </w:rPr>
        <w:t>par rapport à la revue de la littérature.</w:t>
      </w:r>
    </w:p>
    <w:p w14:paraId="2F5A1F07" w14:textId="2C4EE2DC" w:rsidR="00D80693" w:rsidRPr="003041E1" w:rsidRDefault="00D80693" w:rsidP="008276DA">
      <w:pPr>
        <w:widowControl/>
        <w:numPr>
          <w:ilvl w:val="0"/>
          <w:numId w:val="189"/>
        </w:numPr>
        <w:autoSpaceDE/>
        <w:autoSpaceDN/>
        <w:spacing w:before="120" w:after="240"/>
        <w:jc w:val="both"/>
        <w:rPr>
          <w:b/>
          <w:color w:val="000000"/>
          <w:sz w:val="28"/>
          <w:szCs w:val="28"/>
        </w:rPr>
      </w:pPr>
      <w:r w:rsidRPr="003041E1">
        <w:rPr>
          <w:b/>
          <w:color w:val="000000"/>
          <w:sz w:val="28"/>
          <w:szCs w:val="28"/>
        </w:rPr>
        <w:t xml:space="preserve">Vérification des hypothèses </w:t>
      </w:r>
      <w:r>
        <w:rPr>
          <w:b/>
          <w:color w:val="000000"/>
          <w:sz w:val="28"/>
          <w:szCs w:val="28"/>
        </w:rPr>
        <w:t>de recherche (HR) et discussion</w:t>
      </w:r>
    </w:p>
    <w:p w14:paraId="2F6528EF" w14:textId="77777777" w:rsidR="00D80693" w:rsidRPr="00B70D71" w:rsidRDefault="00D80693" w:rsidP="008276DA">
      <w:pPr>
        <w:spacing w:before="120" w:after="240"/>
        <w:jc w:val="both"/>
        <w:rPr>
          <w:color w:val="000000"/>
          <w:sz w:val="24"/>
          <w:szCs w:val="24"/>
        </w:rPr>
      </w:pPr>
      <w:r>
        <w:rPr>
          <w:color w:val="000000"/>
          <w:sz w:val="24"/>
          <w:szCs w:val="24"/>
        </w:rPr>
        <w:t>Afin</w:t>
      </w:r>
      <w:r w:rsidRPr="00B70D71">
        <w:rPr>
          <w:color w:val="000000"/>
          <w:sz w:val="24"/>
          <w:szCs w:val="24"/>
        </w:rPr>
        <w:t xml:space="preserve"> </w:t>
      </w:r>
      <w:r>
        <w:rPr>
          <w:color w:val="000000"/>
          <w:sz w:val="24"/>
          <w:szCs w:val="24"/>
        </w:rPr>
        <w:t>d’</w:t>
      </w:r>
      <w:r w:rsidRPr="00B70D71">
        <w:rPr>
          <w:color w:val="000000"/>
          <w:sz w:val="24"/>
          <w:szCs w:val="24"/>
        </w:rPr>
        <w:t xml:space="preserve">évaluer les facteurs sociaux qui déterminent la consommation des stupéfiants chez les élèves, nous avons testé au </w:t>
      </w:r>
      <w:bookmarkStart w:id="301" w:name="_Hlk214964189"/>
      <w:r w:rsidRPr="00B70D71">
        <w:rPr>
          <w:color w:val="000000"/>
          <w:sz w:val="24"/>
          <w:szCs w:val="24"/>
        </w:rPr>
        <w:t>khi-deux</w:t>
      </w:r>
      <w:bookmarkEnd w:id="301"/>
      <w:r>
        <w:rPr>
          <w:color w:val="000000"/>
          <w:sz w:val="24"/>
          <w:szCs w:val="24"/>
          <w:vertAlign w:val="superscript"/>
        </w:rPr>
        <w:footnoteReference w:id="20"/>
      </w:r>
      <w:r w:rsidRPr="00B70D71">
        <w:rPr>
          <w:color w:val="000000"/>
          <w:sz w:val="24"/>
          <w:szCs w:val="24"/>
        </w:rPr>
        <w:t xml:space="preserve"> </w:t>
      </w:r>
      <w:r>
        <w:rPr>
          <w:color w:val="000000"/>
          <w:sz w:val="24"/>
          <w:szCs w:val="24"/>
        </w:rPr>
        <w:t xml:space="preserve">nos </w:t>
      </w:r>
      <w:r w:rsidRPr="00B70D71">
        <w:rPr>
          <w:color w:val="000000"/>
          <w:sz w:val="24"/>
          <w:szCs w:val="24"/>
        </w:rPr>
        <w:t>trois hypothèses</w:t>
      </w:r>
      <w:r>
        <w:rPr>
          <w:color w:val="000000"/>
          <w:sz w:val="24"/>
          <w:szCs w:val="24"/>
        </w:rPr>
        <w:t xml:space="preserve"> de recherche (HR1, HR2, HR3)</w:t>
      </w:r>
      <w:r w:rsidRPr="00B70D71">
        <w:rPr>
          <w:color w:val="000000"/>
          <w:sz w:val="24"/>
          <w:szCs w:val="24"/>
        </w:rPr>
        <w:t xml:space="preserve"> : </w:t>
      </w:r>
    </w:p>
    <w:p w14:paraId="56E0270C" w14:textId="77777777" w:rsidR="00D80693" w:rsidRPr="002410D0" w:rsidRDefault="00D80693" w:rsidP="002410D0">
      <w:pPr>
        <w:pStyle w:val="Paragraphedeliste"/>
        <w:numPr>
          <w:ilvl w:val="0"/>
          <w:numId w:val="226"/>
        </w:numPr>
        <w:spacing w:after="240"/>
        <w:rPr>
          <w:color w:val="000000"/>
          <w:sz w:val="24"/>
          <w:szCs w:val="24"/>
        </w:rPr>
      </w:pPr>
      <w:r w:rsidRPr="002410D0">
        <w:rPr>
          <w:color w:val="000000"/>
          <w:sz w:val="24"/>
          <w:szCs w:val="24"/>
        </w:rPr>
        <w:t>HR1</w:t>
      </w:r>
      <w:r>
        <w:rPr>
          <w:vertAlign w:val="superscript"/>
        </w:rPr>
        <w:footnoteReference w:id="21"/>
      </w:r>
      <w:r w:rsidRPr="002410D0">
        <w:rPr>
          <w:color w:val="000000"/>
          <w:sz w:val="24"/>
          <w:szCs w:val="24"/>
        </w:rPr>
        <w:t xml:space="preserve">, la fréquentation des pairs toxicomanes contribue </w:t>
      </w:r>
      <w:bookmarkStart w:id="302" w:name="_Hlk211735856"/>
      <w:r w:rsidRPr="002410D0">
        <w:rPr>
          <w:color w:val="000000"/>
          <w:sz w:val="24"/>
          <w:szCs w:val="24"/>
        </w:rPr>
        <w:t>significativement à la pratique de consommation de SPA chez les élèves</w:t>
      </w:r>
      <w:bookmarkEnd w:id="302"/>
      <w:r w:rsidRPr="002410D0">
        <w:rPr>
          <w:color w:val="000000"/>
          <w:sz w:val="24"/>
          <w:szCs w:val="24"/>
        </w:rPr>
        <w:t xml:space="preserve"> ; </w:t>
      </w:r>
    </w:p>
    <w:p w14:paraId="7046E979" w14:textId="77777777" w:rsidR="00D80693" w:rsidRPr="002410D0" w:rsidRDefault="00D80693" w:rsidP="002410D0">
      <w:pPr>
        <w:pStyle w:val="Paragraphedeliste"/>
        <w:numPr>
          <w:ilvl w:val="0"/>
          <w:numId w:val="226"/>
        </w:numPr>
        <w:spacing w:after="240"/>
        <w:rPr>
          <w:color w:val="000000"/>
          <w:sz w:val="24"/>
          <w:szCs w:val="24"/>
        </w:rPr>
      </w:pPr>
      <w:r w:rsidRPr="002410D0">
        <w:rPr>
          <w:color w:val="000000"/>
          <w:sz w:val="24"/>
          <w:szCs w:val="24"/>
        </w:rPr>
        <w:t xml:space="preserve">HR2, les facteurs familiaux (les frustrations vécues en famille et autres pressions familiales) </w:t>
      </w:r>
      <w:bookmarkStart w:id="303" w:name="_Hlk211736042"/>
      <w:r w:rsidRPr="002410D0">
        <w:rPr>
          <w:color w:val="000000"/>
          <w:sz w:val="24"/>
          <w:szCs w:val="24"/>
        </w:rPr>
        <w:t xml:space="preserve">exposent les élèves à un risque accru de consommation de SPA </w:t>
      </w:r>
      <w:bookmarkEnd w:id="303"/>
      <w:r w:rsidRPr="002410D0">
        <w:rPr>
          <w:color w:val="000000"/>
          <w:sz w:val="24"/>
          <w:szCs w:val="24"/>
        </w:rPr>
        <w:t xml:space="preserve">; </w:t>
      </w:r>
    </w:p>
    <w:p w14:paraId="6B77B94C" w14:textId="77777777" w:rsidR="00D80693" w:rsidRPr="002410D0" w:rsidRDefault="00D80693" w:rsidP="002410D0">
      <w:pPr>
        <w:pStyle w:val="Paragraphedeliste"/>
        <w:numPr>
          <w:ilvl w:val="0"/>
          <w:numId w:val="226"/>
        </w:numPr>
        <w:spacing w:after="240"/>
        <w:rPr>
          <w:color w:val="000000"/>
          <w:sz w:val="24"/>
          <w:szCs w:val="24"/>
        </w:rPr>
      </w:pPr>
      <w:r w:rsidRPr="002410D0">
        <w:rPr>
          <w:color w:val="000000"/>
          <w:sz w:val="24"/>
          <w:szCs w:val="24"/>
        </w:rPr>
        <w:t>HR3, l’entourage dans le quartier de résidence est un facteur qui détermine la conduite de consommation de SPA chez les élèves.</w:t>
      </w:r>
    </w:p>
    <w:p w14:paraId="6B0C79A4" w14:textId="77777777" w:rsidR="00D80693" w:rsidRDefault="00D80693" w:rsidP="008276DA">
      <w:pPr>
        <w:spacing w:before="120" w:after="240"/>
        <w:ind w:firstLine="708"/>
        <w:jc w:val="both"/>
        <w:rPr>
          <w:color w:val="000000"/>
          <w:sz w:val="24"/>
          <w:szCs w:val="24"/>
        </w:rPr>
      </w:pPr>
      <w:r>
        <w:rPr>
          <w:color w:val="000000"/>
          <w:sz w:val="24"/>
          <w:szCs w:val="24"/>
        </w:rPr>
        <w:t>Pour</w:t>
      </w:r>
      <w:r w:rsidRPr="00891443">
        <w:rPr>
          <w:color w:val="000000"/>
          <w:sz w:val="24"/>
          <w:szCs w:val="24"/>
        </w:rPr>
        <w:t xml:space="preserve"> HR1</w:t>
      </w:r>
      <w:r w:rsidRPr="00B70D71">
        <w:rPr>
          <w:color w:val="000000"/>
          <w:sz w:val="24"/>
          <w:szCs w:val="24"/>
        </w:rPr>
        <w:t xml:space="preserve"> (</w:t>
      </w:r>
      <w:r>
        <w:rPr>
          <w:color w:val="000000"/>
          <w:sz w:val="24"/>
          <w:szCs w:val="24"/>
        </w:rPr>
        <w:t>p</w:t>
      </w:r>
      <w:r w:rsidRPr="00B70D71">
        <w:rPr>
          <w:color w:val="000000"/>
          <w:sz w:val="24"/>
          <w:szCs w:val="24"/>
        </w:rPr>
        <w:t>airs et consommation des SPA), les indicateurs testés étaient : connaissance des SPA à travers un camarade à l’école ou un groupe d’amis ; et consommation des stupéfiants pour appartenir à un groupe.</w:t>
      </w:r>
      <w:r>
        <w:rPr>
          <w:color w:val="000000"/>
          <w:sz w:val="24"/>
          <w:szCs w:val="24"/>
        </w:rPr>
        <w:t xml:space="preserve"> </w:t>
      </w:r>
      <w:r w:rsidRPr="00B70D71">
        <w:rPr>
          <w:color w:val="000000"/>
          <w:sz w:val="24"/>
          <w:szCs w:val="24"/>
        </w:rPr>
        <w:t xml:space="preserve">Les indicateurs de HR1 testés </w:t>
      </w:r>
      <w:bookmarkStart w:id="304" w:name="_Hlk198985579"/>
      <w:r w:rsidRPr="00B70D71">
        <w:rPr>
          <w:color w:val="000000"/>
          <w:sz w:val="24"/>
          <w:szCs w:val="24"/>
        </w:rPr>
        <w:t xml:space="preserve">au khi-deux </w:t>
      </w:r>
      <w:bookmarkEnd w:id="304"/>
      <w:r w:rsidRPr="00B70D71">
        <w:rPr>
          <w:color w:val="000000"/>
          <w:sz w:val="24"/>
          <w:szCs w:val="24"/>
        </w:rPr>
        <w:t xml:space="preserve">ont présenté une valeur significative moyenne de p=0,000. </w:t>
      </w:r>
      <w:r>
        <w:rPr>
          <w:color w:val="000000"/>
          <w:sz w:val="24"/>
          <w:szCs w:val="24"/>
        </w:rPr>
        <w:t>P</w:t>
      </w:r>
      <w:r w:rsidRPr="00B70D71">
        <w:rPr>
          <w:color w:val="000000"/>
          <w:sz w:val="24"/>
          <w:szCs w:val="24"/>
        </w:rPr>
        <w:t xml:space="preserve">uisque 0,000&lt; 0,05 alors H0 est rejetée et Ha acceptée donc nous dirons que la fréquentation des pairs </w:t>
      </w:r>
      <w:r>
        <w:rPr>
          <w:color w:val="000000"/>
          <w:sz w:val="24"/>
          <w:szCs w:val="24"/>
        </w:rPr>
        <w:t>qui consomment des SPA,</w:t>
      </w:r>
      <w:r w:rsidRPr="00B70D71">
        <w:rPr>
          <w:color w:val="000000"/>
          <w:sz w:val="24"/>
          <w:szCs w:val="24"/>
        </w:rPr>
        <w:t xml:space="preserve"> </w:t>
      </w:r>
      <w:r>
        <w:rPr>
          <w:color w:val="000000"/>
          <w:sz w:val="24"/>
          <w:szCs w:val="24"/>
        </w:rPr>
        <w:t xml:space="preserve">contribue significativement </w:t>
      </w:r>
      <w:r w:rsidRPr="005A47AC">
        <w:rPr>
          <w:color w:val="000000"/>
          <w:sz w:val="24"/>
          <w:szCs w:val="24"/>
        </w:rPr>
        <w:t>à la pratique de consommation de SPA chez les élèves</w:t>
      </w:r>
      <w:r w:rsidRPr="00B70D71">
        <w:rPr>
          <w:color w:val="000000"/>
          <w:sz w:val="24"/>
          <w:szCs w:val="24"/>
        </w:rPr>
        <w:t>.</w:t>
      </w:r>
    </w:p>
    <w:p w14:paraId="58A36B1C" w14:textId="77777777" w:rsidR="00D80693" w:rsidRPr="00B70D71" w:rsidRDefault="00D80693" w:rsidP="008276DA">
      <w:pPr>
        <w:spacing w:before="120" w:after="240"/>
        <w:ind w:left="-5" w:right="48" w:hanging="10"/>
        <w:jc w:val="both"/>
        <w:rPr>
          <w:color w:val="000000"/>
          <w:sz w:val="24"/>
          <w:szCs w:val="24"/>
          <w:lang w:eastAsia="fr-FR"/>
        </w:rPr>
      </w:pPr>
      <w:r w:rsidRPr="00B70D71">
        <w:rPr>
          <w:color w:val="000000"/>
          <w:sz w:val="24"/>
          <w:szCs w:val="24"/>
          <w:lang w:eastAsia="fr-FR"/>
        </w:rPr>
        <w:t>Les résultats de cette hypothèse s’expliquent par le fait que la plupart de nos élèves enquêtés qui consomment des stupéfiants disent qu’ils ont connu les stupéfiants à travers des camarades à l’école qui en consommaient déjà</w:t>
      </w:r>
      <w:r>
        <w:rPr>
          <w:color w:val="000000"/>
          <w:sz w:val="24"/>
          <w:szCs w:val="24"/>
          <w:lang w:eastAsia="fr-FR"/>
        </w:rPr>
        <w:t>,</w:t>
      </w:r>
      <w:r w:rsidRPr="00B70D71">
        <w:rPr>
          <w:color w:val="000000"/>
          <w:sz w:val="24"/>
          <w:szCs w:val="24"/>
          <w:lang w:eastAsia="fr-FR"/>
        </w:rPr>
        <w:t xml:space="preserve"> et ils en ont consommé</w:t>
      </w:r>
      <w:r>
        <w:rPr>
          <w:color w:val="000000"/>
          <w:sz w:val="24"/>
          <w:szCs w:val="24"/>
          <w:lang w:eastAsia="fr-FR"/>
        </w:rPr>
        <w:t>,</w:t>
      </w:r>
      <w:r w:rsidRPr="00B70D71">
        <w:rPr>
          <w:color w:val="000000"/>
          <w:sz w:val="24"/>
          <w:szCs w:val="24"/>
          <w:lang w:eastAsia="fr-FR"/>
        </w:rPr>
        <w:t xml:space="preserve"> soit pour faire partie du groupe, de peur d’</w:t>
      </w:r>
      <w:r>
        <w:rPr>
          <w:color w:val="000000"/>
          <w:sz w:val="24"/>
          <w:szCs w:val="24"/>
          <w:lang w:eastAsia="fr-FR"/>
        </w:rPr>
        <w:t xml:space="preserve">en </w:t>
      </w:r>
      <w:r w:rsidRPr="00B70D71">
        <w:rPr>
          <w:color w:val="000000"/>
          <w:sz w:val="24"/>
          <w:szCs w:val="24"/>
          <w:lang w:eastAsia="fr-FR"/>
        </w:rPr>
        <w:t xml:space="preserve">être exclu, soit par imitation d’un groupe d’amis qui en consommaient.  Les résultats obtenus de cette hypothèse se clarifient par la théorie du clustering ou des pairs de Getting et Beauvais </w:t>
      </w:r>
      <w:r>
        <w:rPr>
          <w:color w:val="000000"/>
          <w:sz w:val="24"/>
          <w:szCs w:val="24"/>
          <w:lang w:eastAsia="fr-FR"/>
        </w:rPr>
        <w:t>(1987) qui</w:t>
      </w:r>
      <w:r w:rsidRPr="00B70D71">
        <w:rPr>
          <w:color w:val="000000"/>
          <w:sz w:val="24"/>
          <w:szCs w:val="24"/>
          <w:lang w:eastAsia="fr-FR"/>
        </w:rPr>
        <w:t xml:space="preserve"> illustr</w:t>
      </w:r>
      <w:r>
        <w:rPr>
          <w:color w:val="000000"/>
          <w:sz w:val="24"/>
          <w:szCs w:val="24"/>
          <w:lang w:eastAsia="fr-FR"/>
        </w:rPr>
        <w:t>ai</w:t>
      </w:r>
      <w:r w:rsidRPr="00B70D71">
        <w:rPr>
          <w:color w:val="000000"/>
          <w:sz w:val="24"/>
          <w:szCs w:val="24"/>
          <w:lang w:eastAsia="fr-FR"/>
        </w:rPr>
        <w:t>e</w:t>
      </w:r>
      <w:r>
        <w:rPr>
          <w:color w:val="000000"/>
          <w:sz w:val="24"/>
          <w:szCs w:val="24"/>
          <w:lang w:eastAsia="fr-FR"/>
        </w:rPr>
        <w:t>nt</w:t>
      </w:r>
      <w:r w:rsidRPr="00B70D71">
        <w:rPr>
          <w:color w:val="000000"/>
          <w:sz w:val="24"/>
          <w:szCs w:val="24"/>
          <w:lang w:eastAsia="fr-FR"/>
        </w:rPr>
        <w:t xml:space="preserve"> la relation entre la consommation de substances par les jeunes adolescents et celle de leurs pairs. Aussi, </w:t>
      </w:r>
      <w:r>
        <w:rPr>
          <w:color w:val="000000"/>
          <w:sz w:val="24"/>
          <w:szCs w:val="24"/>
          <w:lang w:eastAsia="fr-FR"/>
        </w:rPr>
        <w:t>ces</w:t>
      </w:r>
      <w:r w:rsidRPr="00B70D71">
        <w:rPr>
          <w:color w:val="000000"/>
          <w:sz w:val="24"/>
          <w:szCs w:val="24"/>
          <w:lang w:eastAsia="fr-FR"/>
        </w:rPr>
        <w:t xml:space="preserve"> résultats concordent avec ceux des travaux de </w:t>
      </w:r>
      <w:proofErr w:type="spellStart"/>
      <w:r w:rsidRPr="00B70D71">
        <w:rPr>
          <w:color w:val="000000"/>
          <w:sz w:val="24"/>
          <w:szCs w:val="24"/>
          <w:lang w:eastAsia="fr-FR"/>
        </w:rPr>
        <w:t>Kpozehouen</w:t>
      </w:r>
      <w:proofErr w:type="spellEnd"/>
      <w:r w:rsidRPr="00B70D71">
        <w:rPr>
          <w:color w:val="000000"/>
          <w:sz w:val="24"/>
          <w:szCs w:val="24"/>
          <w:lang w:eastAsia="fr-FR"/>
        </w:rPr>
        <w:t xml:space="preserve"> et </w:t>
      </w:r>
      <w:r>
        <w:rPr>
          <w:color w:val="000000"/>
          <w:sz w:val="24"/>
          <w:szCs w:val="24"/>
          <w:lang w:eastAsia="fr-FR"/>
        </w:rPr>
        <w:t xml:space="preserve">al. (2015) </w:t>
      </w:r>
      <w:r w:rsidRPr="00B70D71">
        <w:rPr>
          <w:color w:val="000000"/>
          <w:sz w:val="24"/>
          <w:szCs w:val="24"/>
          <w:lang w:eastAsia="fr-FR"/>
        </w:rPr>
        <w:t xml:space="preserve">au Bénin qui ont trouvé l’association à des pairs et l’appartenance à des groupes culturels comme des facteurs associés à la consommation des </w:t>
      </w:r>
      <w:r>
        <w:rPr>
          <w:color w:val="000000"/>
          <w:sz w:val="24"/>
          <w:szCs w:val="24"/>
          <w:lang w:eastAsia="fr-FR"/>
        </w:rPr>
        <w:t>SPA</w:t>
      </w:r>
      <w:r w:rsidRPr="00B70D71">
        <w:rPr>
          <w:color w:val="000000"/>
          <w:sz w:val="24"/>
          <w:szCs w:val="24"/>
          <w:lang w:eastAsia="fr-FR"/>
        </w:rPr>
        <w:t xml:space="preserve"> chez les jeunes en milieu scolaire.</w:t>
      </w:r>
      <w:r w:rsidRPr="00B70D71">
        <w:rPr>
          <w:rFonts w:eastAsiaTheme="minorHAnsi"/>
          <w:sz w:val="24"/>
          <w:szCs w:val="24"/>
        </w:rPr>
        <w:t xml:space="preserve"> </w:t>
      </w:r>
      <w:r w:rsidRPr="00B70D71">
        <w:rPr>
          <w:color w:val="000000"/>
          <w:sz w:val="24"/>
          <w:szCs w:val="24"/>
          <w:lang w:eastAsia="fr-FR"/>
        </w:rPr>
        <w:t>Laventure et al. (200</w:t>
      </w:r>
      <w:r>
        <w:rPr>
          <w:color w:val="000000"/>
          <w:sz w:val="24"/>
          <w:szCs w:val="24"/>
          <w:lang w:eastAsia="fr-FR"/>
        </w:rPr>
        <w:t>8</w:t>
      </w:r>
      <w:r w:rsidRPr="00B70D71">
        <w:rPr>
          <w:color w:val="000000"/>
          <w:sz w:val="24"/>
          <w:szCs w:val="24"/>
          <w:lang w:eastAsia="fr-FR"/>
        </w:rPr>
        <w:t>)</w:t>
      </w:r>
      <w:r>
        <w:rPr>
          <w:color w:val="000000"/>
          <w:sz w:val="24"/>
          <w:szCs w:val="24"/>
          <w:lang w:eastAsia="fr-FR"/>
        </w:rPr>
        <w:t xml:space="preserve"> ; </w:t>
      </w:r>
      <w:proofErr w:type="spellStart"/>
      <w:r>
        <w:rPr>
          <w:color w:val="000000"/>
          <w:sz w:val="24"/>
          <w:szCs w:val="24"/>
          <w:lang w:eastAsia="fr-FR"/>
        </w:rPr>
        <w:t>Chaffi</w:t>
      </w:r>
      <w:proofErr w:type="spellEnd"/>
      <w:r>
        <w:rPr>
          <w:color w:val="000000"/>
          <w:sz w:val="24"/>
          <w:szCs w:val="24"/>
          <w:lang w:eastAsia="fr-FR"/>
        </w:rPr>
        <w:t xml:space="preserve"> et </w:t>
      </w:r>
      <w:proofErr w:type="spellStart"/>
      <w:r>
        <w:rPr>
          <w:color w:val="000000"/>
          <w:sz w:val="24"/>
          <w:szCs w:val="24"/>
          <w:lang w:eastAsia="fr-FR"/>
        </w:rPr>
        <w:t>Ndoumba</w:t>
      </w:r>
      <w:proofErr w:type="spellEnd"/>
      <w:r>
        <w:rPr>
          <w:color w:val="000000"/>
          <w:sz w:val="24"/>
          <w:szCs w:val="24"/>
          <w:lang w:eastAsia="fr-FR"/>
        </w:rPr>
        <w:t xml:space="preserve"> (2017) trouvaient </w:t>
      </w:r>
      <w:r w:rsidRPr="00B70D71">
        <w:rPr>
          <w:color w:val="000000"/>
          <w:sz w:val="24"/>
          <w:szCs w:val="24"/>
          <w:lang w:eastAsia="fr-FR"/>
        </w:rPr>
        <w:t>également que</w:t>
      </w:r>
      <w:r>
        <w:rPr>
          <w:color w:val="000000"/>
          <w:sz w:val="24"/>
          <w:szCs w:val="24"/>
          <w:lang w:eastAsia="fr-FR"/>
        </w:rPr>
        <w:t>,</w:t>
      </w:r>
      <w:r w:rsidRPr="00B70D71">
        <w:rPr>
          <w:color w:val="000000"/>
          <w:sz w:val="24"/>
          <w:szCs w:val="24"/>
          <w:lang w:eastAsia="fr-FR"/>
        </w:rPr>
        <w:t xml:space="preserve"> les jeunes élèves consomment des stupéfiants pour des raisons d’appartenance à un groupe de pairs.</w:t>
      </w:r>
    </w:p>
    <w:p w14:paraId="1050E59F" w14:textId="77777777" w:rsidR="00D80693" w:rsidRDefault="00D80693" w:rsidP="002410D0">
      <w:pPr>
        <w:spacing w:before="120" w:after="240"/>
        <w:jc w:val="both"/>
        <w:rPr>
          <w:color w:val="000000"/>
          <w:sz w:val="24"/>
          <w:szCs w:val="24"/>
        </w:rPr>
      </w:pPr>
      <w:r w:rsidRPr="00891443">
        <w:rPr>
          <w:color w:val="000000"/>
          <w:sz w:val="24"/>
          <w:szCs w:val="24"/>
        </w:rPr>
        <w:t xml:space="preserve">Pour </w:t>
      </w:r>
      <w:r w:rsidRPr="00891443">
        <w:rPr>
          <w:sz w:val="24"/>
          <w:szCs w:val="24"/>
        </w:rPr>
        <w:t>HR2</w:t>
      </w:r>
      <w:r w:rsidRPr="00B70D71">
        <w:rPr>
          <w:sz w:val="24"/>
          <w:szCs w:val="24"/>
        </w:rPr>
        <w:t xml:space="preserve"> (</w:t>
      </w:r>
      <w:r>
        <w:rPr>
          <w:sz w:val="24"/>
          <w:szCs w:val="24"/>
        </w:rPr>
        <w:t>f</w:t>
      </w:r>
      <w:r w:rsidRPr="00B70D71">
        <w:rPr>
          <w:sz w:val="24"/>
          <w:szCs w:val="24"/>
        </w:rPr>
        <w:t>amille et consommation des SPA), les indicateurs testés étaient : pressions familiales à la performance ; et violences familiales vécues par l’élève.</w:t>
      </w:r>
      <w:r>
        <w:rPr>
          <w:sz w:val="24"/>
          <w:szCs w:val="24"/>
        </w:rPr>
        <w:t xml:space="preserve"> </w:t>
      </w:r>
      <w:r w:rsidRPr="00B70D71">
        <w:rPr>
          <w:sz w:val="24"/>
          <w:szCs w:val="24"/>
        </w:rPr>
        <w:t xml:space="preserve">Les indicateurs de HR2 testés au khi-deux ont présenté la valeur significative moyenne de p=0,028. </w:t>
      </w:r>
      <w:r>
        <w:rPr>
          <w:sz w:val="24"/>
          <w:szCs w:val="24"/>
        </w:rPr>
        <w:t>P</w:t>
      </w:r>
      <w:r w:rsidRPr="00B70D71">
        <w:rPr>
          <w:sz w:val="24"/>
          <w:szCs w:val="24"/>
        </w:rPr>
        <w:t xml:space="preserve">uisque 0,028 &lt; 0,05 alors H0 est rejetée et Ha acceptée donc nous </w:t>
      </w:r>
      <w:r>
        <w:rPr>
          <w:sz w:val="24"/>
          <w:szCs w:val="24"/>
        </w:rPr>
        <w:t xml:space="preserve">dirons </w:t>
      </w:r>
      <w:r w:rsidRPr="00B70D71">
        <w:rPr>
          <w:sz w:val="24"/>
          <w:szCs w:val="24"/>
        </w:rPr>
        <w:t xml:space="preserve">que </w:t>
      </w:r>
      <w:r w:rsidRPr="005A47AC">
        <w:rPr>
          <w:sz w:val="24"/>
          <w:szCs w:val="24"/>
        </w:rPr>
        <w:t>les facteurs familiaux exposent les élèves à un risque accru de consommation de SPA</w:t>
      </w:r>
      <w:r w:rsidRPr="00B70D71">
        <w:rPr>
          <w:color w:val="000000"/>
          <w:sz w:val="24"/>
          <w:szCs w:val="24"/>
        </w:rPr>
        <w:t xml:space="preserve"> chez les élèves.</w:t>
      </w:r>
      <w:r>
        <w:rPr>
          <w:color w:val="000000"/>
          <w:sz w:val="24"/>
          <w:szCs w:val="24"/>
        </w:rPr>
        <w:t xml:space="preserve"> </w:t>
      </w:r>
    </w:p>
    <w:p w14:paraId="0A85AD14" w14:textId="77777777" w:rsidR="00D80693" w:rsidRPr="00D61262" w:rsidRDefault="00D80693" w:rsidP="008276DA">
      <w:pPr>
        <w:spacing w:before="120" w:after="240"/>
        <w:jc w:val="both"/>
        <w:rPr>
          <w:sz w:val="24"/>
          <w:szCs w:val="24"/>
        </w:rPr>
      </w:pPr>
      <w:r w:rsidRPr="00D61262">
        <w:rPr>
          <w:sz w:val="24"/>
          <w:szCs w:val="24"/>
        </w:rPr>
        <w:t xml:space="preserve">Les résultats obtenus </w:t>
      </w:r>
      <w:r>
        <w:rPr>
          <w:sz w:val="24"/>
          <w:szCs w:val="24"/>
        </w:rPr>
        <w:t xml:space="preserve">de ce test d’hypothèse </w:t>
      </w:r>
      <w:r w:rsidRPr="00D61262">
        <w:rPr>
          <w:sz w:val="24"/>
          <w:szCs w:val="24"/>
        </w:rPr>
        <w:t>s’expliquent par le fait que</w:t>
      </w:r>
      <w:r>
        <w:rPr>
          <w:sz w:val="24"/>
          <w:szCs w:val="24"/>
        </w:rPr>
        <w:t>,</w:t>
      </w:r>
      <w:r w:rsidRPr="00D61262">
        <w:rPr>
          <w:sz w:val="24"/>
          <w:szCs w:val="24"/>
        </w:rPr>
        <w:t xml:space="preserve"> </w:t>
      </w:r>
      <w:r>
        <w:rPr>
          <w:sz w:val="24"/>
          <w:szCs w:val="24"/>
        </w:rPr>
        <w:t>nos enquêtés</w:t>
      </w:r>
      <w:r w:rsidRPr="00D61262">
        <w:rPr>
          <w:sz w:val="24"/>
          <w:szCs w:val="24"/>
        </w:rPr>
        <w:t xml:space="preserve"> disent ne recevoir ni soutien, ni encouragement de leurs parents et précisent aussi qu’ils n’ont pas, sinon très peu de moments de communication en famille. Ceci rejoint la théorie écologique de Bronfenbrenner, lorsqu’il avance que les croyances et les conduites des parents affectent directement la façon d’être de l’enfant. En conséquence, la carence d’affectivité, le stress vécu par l’enfant au sein de la famille</w:t>
      </w:r>
      <w:r>
        <w:rPr>
          <w:sz w:val="24"/>
          <w:szCs w:val="24"/>
        </w:rPr>
        <w:t>,</w:t>
      </w:r>
      <w:r w:rsidRPr="00D61262">
        <w:rPr>
          <w:sz w:val="24"/>
          <w:szCs w:val="24"/>
        </w:rPr>
        <w:t xml:space="preserve"> peuvent contribuer au recours </w:t>
      </w:r>
      <w:r>
        <w:rPr>
          <w:sz w:val="24"/>
          <w:szCs w:val="24"/>
        </w:rPr>
        <w:t>d</w:t>
      </w:r>
      <w:r w:rsidRPr="00D61262">
        <w:rPr>
          <w:sz w:val="24"/>
          <w:szCs w:val="24"/>
        </w:rPr>
        <w:t xml:space="preserve">’usage des </w:t>
      </w:r>
      <w:r>
        <w:rPr>
          <w:sz w:val="24"/>
          <w:szCs w:val="24"/>
        </w:rPr>
        <w:t>SPA</w:t>
      </w:r>
      <w:r w:rsidRPr="00D61262">
        <w:rPr>
          <w:sz w:val="24"/>
          <w:szCs w:val="24"/>
        </w:rPr>
        <w:t>. Nos enquêtés dis</w:t>
      </w:r>
      <w:r>
        <w:rPr>
          <w:sz w:val="24"/>
          <w:szCs w:val="24"/>
        </w:rPr>
        <w:t>ai</w:t>
      </w:r>
      <w:r w:rsidRPr="00D61262">
        <w:rPr>
          <w:sz w:val="24"/>
          <w:szCs w:val="24"/>
        </w:rPr>
        <w:t>ent également que</w:t>
      </w:r>
      <w:r>
        <w:rPr>
          <w:sz w:val="24"/>
          <w:szCs w:val="24"/>
        </w:rPr>
        <w:t>,</w:t>
      </w:r>
      <w:r w:rsidRPr="00D61262">
        <w:rPr>
          <w:sz w:val="24"/>
          <w:szCs w:val="24"/>
        </w:rPr>
        <w:t xml:space="preserve"> leurs parents leur demandent beaucoup plus d’efforts à l’école qu’ils ne peuvent en fournir</w:t>
      </w:r>
      <w:r>
        <w:rPr>
          <w:sz w:val="24"/>
          <w:szCs w:val="24"/>
        </w:rPr>
        <w:t>.</w:t>
      </w:r>
      <w:r w:rsidRPr="00D61262">
        <w:rPr>
          <w:sz w:val="24"/>
          <w:szCs w:val="24"/>
        </w:rPr>
        <w:t xml:space="preserve"> </w:t>
      </w:r>
      <w:r>
        <w:rPr>
          <w:sz w:val="24"/>
          <w:szCs w:val="24"/>
        </w:rPr>
        <w:t>C</w:t>
      </w:r>
      <w:r w:rsidRPr="00D61262">
        <w:rPr>
          <w:sz w:val="24"/>
          <w:szCs w:val="24"/>
        </w:rPr>
        <w:t xml:space="preserve">ette forte pression à la performance </w:t>
      </w:r>
      <w:r>
        <w:rPr>
          <w:sz w:val="24"/>
          <w:szCs w:val="24"/>
        </w:rPr>
        <w:t>amènerait ces élèves</w:t>
      </w:r>
      <w:r w:rsidRPr="00D61262">
        <w:rPr>
          <w:sz w:val="24"/>
          <w:szCs w:val="24"/>
        </w:rPr>
        <w:t xml:space="preserve"> à consommer </w:t>
      </w:r>
      <w:r>
        <w:rPr>
          <w:sz w:val="24"/>
          <w:szCs w:val="24"/>
        </w:rPr>
        <w:t xml:space="preserve">des drogues, </w:t>
      </w:r>
      <w:r w:rsidRPr="00D61262">
        <w:rPr>
          <w:sz w:val="24"/>
          <w:szCs w:val="24"/>
        </w:rPr>
        <w:t>parfois pour accroître leur performance ou pour oublier la pression subie des parents</w:t>
      </w:r>
      <w:r>
        <w:rPr>
          <w:sz w:val="24"/>
          <w:szCs w:val="24"/>
        </w:rPr>
        <w:t> :</w:t>
      </w:r>
      <w:r w:rsidRPr="00D61262">
        <w:rPr>
          <w:sz w:val="24"/>
          <w:szCs w:val="24"/>
        </w:rPr>
        <w:t xml:space="preserve"> Laventure et Fallu (2009)</w:t>
      </w:r>
      <w:r>
        <w:rPr>
          <w:sz w:val="24"/>
          <w:szCs w:val="24"/>
        </w:rPr>
        <w:t xml:space="preserve"> et </w:t>
      </w:r>
      <w:proofErr w:type="spellStart"/>
      <w:r>
        <w:rPr>
          <w:sz w:val="24"/>
          <w:szCs w:val="24"/>
        </w:rPr>
        <w:t>Chaffi</w:t>
      </w:r>
      <w:proofErr w:type="spellEnd"/>
      <w:r>
        <w:rPr>
          <w:sz w:val="24"/>
          <w:szCs w:val="24"/>
        </w:rPr>
        <w:t xml:space="preserve"> et </w:t>
      </w:r>
      <w:proofErr w:type="spellStart"/>
      <w:r>
        <w:rPr>
          <w:sz w:val="24"/>
          <w:szCs w:val="24"/>
        </w:rPr>
        <w:t>Ndoumba</w:t>
      </w:r>
      <w:proofErr w:type="spellEnd"/>
      <w:r>
        <w:rPr>
          <w:sz w:val="24"/>
          <w:szCs w:val="24"/>
        </w:rPr>
        <w:t xml:space="preserve"> (2017) retrouvaient également </w:t>
      </w:r>
      <w:r w:rsidRPr="00D61262">
        <w:rPr>
          <w:sz w:val="24"/>
          <w:szCs w:val="24"/>
        </w:rPr>
        <w:t>des résultats similaires</w:t>
      </w:r>
      <w:r>
        <w:rPr>
          <w:sz w:val="24"/>
          <w:szCs w:val="24"/>
        </w:rPr>
        <w:t xml:space="preserve">. </w:t>
      </w:r>
      <w:r w:rsidRPr="00D61262">
        <w:rPr>
          <w:sz w:val="24"/>
          <w:szCs w:val="24"/>
        </w:rPr>
        <w:t>Ces élèves dis</w:t>
      </w:r>
      <w:r>
        <w:rPr>
          <w:sz w:val="24"/>
          <w:szCs w:val="24"/>
        </w:rPr>
        <w:t>ai</w:t>
      </w:r>
      <w:r w:rsidRPr="00D61262">
        <w:rPr>
          <w:sz w:val="24"/>
          <w:szCs w:val="24"/>
        </w:rPr>
        <w:t xml:space="preserve">ent aussi qu’au lieu de recevoir de l’attention en famille, ils subissent plutôt des violences de tout genre en famille (physiques, verbales, morales et même sexuelles). L’usage des SPA devient une porte de sortie pour oublier ce vécu stressant en famille. La violence parentale/familiale en tant que facteur qui influence l’usage des stupéfiants chez les élèves a été retrouvée dans les travaux de </w:t>
      </w:r>
      <w:proofErr w:type="spellStart"/>
      <w:r w:rsidRPr="00D61262">
        <w:rPr>
          <w:sz w:val="24"/>
          <w:szCs w:val="24"/>
        </w:rPr>
        <w:t>Kpozehouen</w:t>
      </w:r>
      <w:proofErr w:type="spellEnd"/>
      <w:r w:rsidRPr="00D61262">
        <w:rPr>
          <w:sz w:val="24"/>
          <w:szCs w:val="24"/>
        </w:rPr>
        <w:t xml:space="preserve"> et al</w:t>
      </w:r>
      <w:r>
        <w:rPr>
          <w:sz w:val="24"/>
          <w:szCs w:val="24"/>
        </w:rPr>
        <w:t xml:space="preserve">. (2015), Kuete (2020), </w:t>
      </w:r>
      <w:r w:rsidRPr="00351CD2">
        <w:rPr>
          <w:rFonts w:eastAsiaTheme="minorHAnsi"/>
          <w:noProof/>
          <w:sz w:val="24"/>
          <w:szCs w:val="24"/>
        </w:rPr>
        <w:t>Kuete</w:t>
      </w:r>
      <w:r>
        <w:rPr>
          <w:rFonts w:eastAsiaTheme="minorHAnsi"/>
          <w:noProof/>
          <w:sz w:val="24"/>
          <w:szCs w:val="24"/>
        </w:rPr>
        <w:t xml:space="preserve"> et </w:t>
      </w:r>
      <w:r w:rsidRPr="00351CD2">
        <w:rPr>
          <w:rFonts w:eastAsiaTheme="minorHAnsi"/>
          <w:noProof/>
          <w:sz w:val="24"/>
          <w:szCs w:val="24"/>
        </w:rPr>
        <w:t>Njengoué Ngamaleu (2024)</w:t>
      </w:r>
      <w:r>
        <w:rPr>
          <w:rFonts w:eastAsiaTheme="minorHAnsi"/>
          <w:noProof/>
          <w:sz w:val="24"/>
          <w:szCs w:val="24"/>
        </w:rPr>
        <w:t>,</w:t>
      </w:r>
      <w:r>
        <w:rPr>
          <w:sz w:val="24"/>
          <w:szCs w:val="24"/>
        </w:rPr>
        <w:t xml:space="preserve"> </w:t>
      </w:r>
      <w:r w:rsidRPr="00D61262">
        <w:rPr>
          <w:sz w:val="24"/>
          <w:szCs w:val="24"/>
        </w:rPr>
        <w:t>UNESCO, ONUDC et OMS (201</w:t>
      </w:r>
      <w:r>
        <w:rPr>
          <w:sz w:val="24"/>
          <w:szCs w:val="24"/>
        </w:rPr>
        <w:t>8</w:t>
      </w:r>
      <w:r w:rsidRPr="00D61262">
        <w:rPr>
          <w:sz w:val="24"/>
          <w:szCs w:val="24"/>
        </w:rPr>
        <w:t>)</w:t>
      </w:r>
      <w:r>
        <w:rPr>
          <w:sz w:val="24"/>
          <w:szCs w:val="24"/>
        </w:rPr>
        <w:t>.</w:t>
      </w:r>
    </w:p>
    <w:p w14:paraId="454D811A" w14:textId="77777777" w:rsidR="00D80693" w:rsidRPr="00B70D71" w:rsidRDefault="00D80693" w:rsidP="002410D0">
      <w:pPr>
        <w:spacing w:before="120" w:after="240"/>
        <w:jc w:val="both"/>
        <w:rPr>
          <w:color w:val="000000"/>
          <w:sz w:val="24"/>
          <w:szCs w:val="24"/>
        </w:rPr>
      </w:pPr>
      <w:r w:rsidRPr="00891443">
        <w:rPr>
          <w:color w:val="000000"/>
          <w:sz w:val="24"/>
          <w:szCs w:val="24"/>
        </w:rPr>
        <w:t>Pour HR3 (</w:t>
      </w:r>
      <w:r>
        <w:rPr>
          <w:color w:val="000000"/>
          <w:sz w:val="24"/>
          <w:szCs w:val="24"/>
        </w:rPr>
        <w:t>entourage dans le q</w:t>
      </w:r>
      <w:r w:rsidRPr="00B70D71">
        <w:rPr>
          <w:color w:val="000000"/>
          <w:sz w:val="24"/>
          <w:szCs w:val="24"/>
        </w:rPr>
        <w:t xml:space="preserve">uartier de résidence et consommation des SPA), les indicateurs testés étaient : connaissance des stupéfiants à travers un ami au </w:t>
      </w:r>
      <w:r w:rsidRPr="0029464C">
        <w:rPr>
          <w:sz w:val="24"/>
          <w:szCs w:val="24"/>
        </w:rPr>
        <w:t xml:space="preserve">quartier de résidence ; et fréquentation des lieux où se regroupent les toxicomanes au quartier. Les indicateurs de HR3 testés au khi-deux ont présenté la valeur significative moyenne de p=0,012. </w:t>
      </w:r>
      <w:r>
        <w:rPr>
          <w:sz w:val="24"/>
          <w:szCs w:val="24"/>
        </w:rPr>
        <w:t>P</w:t>
      </w:r>
      <w:r w:rsidRPr="0029464C">
        <w:rPr>
          <w:sz w:val="24"/>
          <w:szCs w:val="24"/>
        </w:rPr>
        <w:t>uisque 0,012 &lt; 0,05 alors H0 est rejetée et Ha acceptée</w:t>
      </w:r>
      <w:r>
        <w:rPr>
          <w:sz w:val="24"/>
          <w:szCs w:val="24"/>
        </w:rPr>
        <w:t>,</w:t>
      </w:r>
      <w:r w:rsidRPr="0029464C">
        <w:rPr>
          <w:sz w:val="24"/>
          <w:szCs w:val="24"/>
        </w:rPr>
        <w:t xml:space="preserve"> nous pouvons que </w:t>
      </w:r>
      <w:bookmarkStart w:id="305" w:name="_Hlk109135831"/>
      <w:r w:rsidRPr="0029464C">
        <w:rPr>
          <w:sz w:val="24"/>
          <w:szCs w:val="24"/>
        </w:rPr>
        <w:t xml:space="preserve">l’entourage du quartier de résidence de l’élève </w:t>
      </w:r>
      <w:proofErr w:type="gramStart"/>
      <w:r w:rsidRPr="0029464C">
        <w:rPr>
          <w:sz w:val="24"/>
          <w:szCs w:val="24"/>
        </w:rPr>
        <w:t>est</w:t>
      </w:r>
      <w:proofErr w:type="gramEnd"/>
      <w:r w:rsidRPr="0029464C">
        <w:rPr>
          <w:sz w:val="24"/>
          <w:szCs w:val="24"/>
        </w:rPr>
        <w:t xml:space="preserve"> un déterminant </w:t>
      </w:r>
      <w:bookmarkEnd w:id="305"/>
      <w:r w:rsidRPr="0029464C">
        <w:rPr>
          <w:sz w:val="24"/>
          <w:szCs w:val="24"/>
        </w:rPr>
        <w:t xml:space="preserve">significatif </w:t>
      </w:r>
      <w:r>
        <w:rPr>
          <w:sz w:val="24"/>
          <w:szCs w:val="24"/>
        </w:rPr>
        <w:t xml:space="preserve">dans </w:t>
      </w:r>
      <w:r w:rsidRPr="005C5230">
        <w:rPr>
          <w:color w:val="000000"/>
          <w:sz w:val="24"/>
          <w:szCs w:val="24"/>
        </w:rPr>
        <w:t>la conduite de consommation de SPA chez les élèves.</w:t>
      </w:r>
    </w:p>
    <w:p w14:paraId="495E9C0F" w14:textId="77777777" w:rsidR="00D80693" w:rsidRPr="00B70D71" w:rsidRDefault="00D80693" w:rsidP="008276DA">
      <w:pPr>
        <w:spacing w:before="120" w:after="240"/>
        <w:jc w:val="both"/>
        <w:rPr>
          <w:color w:val="000000"/>
          <w:sz w:val="24"/>
          <w:szCs w:val="24"/>
          <w:lang w:eastAsia="fr-FR"/>
        </w:rPr>
      </w:pPr>
      <w:r w:rsidRPr="00AD57AD">
        <w:rPr>
          <w:color w:val="000000"/>
          <w:sz w:val="24"/>
          <w:szCs w:val="24"/>
          <w:lang w:eastAsia="fr-FR"/>
        </w:rPr>
        <w:t xml:space="preserve">Les résultats de cette hypothèse s’expliquent par le fait que nos élèves consommateurs de stupéfiants </w:t>
      </w:r>
      <w:r>
        <w:rPr>
          <w:color w:val="000000"/>
          <w:sz w:val="24"/>
          <w:szCs w:val="24"/>
          <w:lang w:eastAsia="fr-FR"/>
        </w:rPr>
        <w:t>déclaraient</w:t>
      </w:r>
      <w:r w:rsidRPr="00AD57AD">
        <w:rPr>
          <w:color w:val="000000"/>
          <w:sz w:val="24"/>
          <w:szCs w:val="24"/>
          <w:lang w:eastAsia="fr-FR"/>
        </w:rPr>
        <w:t xml:space="preserve"> pour la plupart qu’ils ont connu les stupéfiants à travers un ami ou un groupe d’ami au quartier. Également, ces élèves dis</w:t>
      </w:r>
      <w:r>
        <w:rPr>
          <w:color w:val="000000"/>
          <w:sz w:val="24"/>
          <w:szCs w:val="24"/>
          <w:lang w:eastAsia="fr-FR"/>
        </w:rPr>
        <w:t>ai</w:t>
      </w:r>
      <w:r w:rsidRPr="00AD57AD">
        <w:rPr>
          <w:color w:val="000000"/>
          <w:sz w:val="24"/>
          <w:szCs w:val="24"/>
          <w:lang w:eastAsia="fr-FR"/>
        </w:rPr>
        <w:t xml:space="preserve">ent qu’ils fréquentent les endroits où se regroupent les </w:t>
      </w:r>
      <w:r>
        <w:rPr>
          <w:color w:val="000000"/>
          <w:sz w:val="24"/>
          <w:szCs w:val="24"/>
          <w:lang w:eastAsia="fr-FR"/>
        </w:rPr>
        <w:t>personnes qui en consomment</w:t>
      </w:r>
      <w:r w:rsidRPr="00AD57AD">
        <w:rPr>
          <w:color w:val="000000"/>
          <w:sz w:val="24"/>
          <w:szCs w:val="24"/>
          <w:lang w:eastAsia="fr-FR"/>
        </w:rPr>
        <w:t xml:space="preserve"> dans le quartier. </w:t>
      </w:r>
      <w:r>
        <w:rPr>
          <w:color w:val="000000"/>
          <w:sz w:val="24"/>
          <w:szCs w:val="24"/>
          <w:lang w:eastAsia="fr-FR"/>
        </w:rPr>
        <w:t xml:space="preserve">À ce moment, </w:t>
      </w:r>
      <w:r w:rsidRPr="0068782D">
        <w:rPr>
          <w:color w:val="000000"/>
          <w:sz w:val="24"/>
          <w:szCs w:val="24"/>
          <w:lang w:eastAsia="fr-FR"/>
        </w:rPr>
        <w:t xml:space="preserve">la qualité de l’entourage dans le quartier </w:t>
      </w:r>
      <w:r>
        <w:rPr>
          <w:color w:val="000000"/>
          <w:sz w:val="24"/>
          <w:szCs w:val="24"/>
          <w:lang w:eastAsia="fr-FR"/>
        </w:rPr>
        <w:t xml:space="preserve">peut contribuer à la consommation de drogues chez l’élève. </w:t>
      </w:r>
      <w:r w:rsidRPr="00AD57AD">
        <w:rPr>
          <w:color w:val="000000"/>
          <w:sz w:val="24"/>
          <w:szCs w:val="24"/>
          <w:lang w:eastAsia="fr-FR"/>
        </w:rPr>
        <w:t>Nos résultats concordent avec ceux de Duprez et Kokoreff</w:t>
      </w:r>
      <w:r>
        <w:rPr>
          <w:color w:val="000000"/>
          <w:sz w:val="24"/>
          <w:szCs w:val="24"/>
          <w:lang w:eastAsia="fr-FR"/>
        </w:rPr>
        <w:t xml:space="preserve"> (2018),</w:t>
      </w:r>
      <w:r w:rsidRPr="00AD57AD">
        <w:rPr>
          <w:color w:val="000000"/>
          <w:sz w:val="24"/>
          <w:szCs w:val="24"/>
          <w:lang w:eastAsia="fr-FR"/>
        </w:rPr>
        <w:t xml:space="preserve"> et aussi ceux </w:t>
      </w:r>
      <w:r>
        <w:rPr>
          <w:color w:val="000000"/>
          <w:sz w:val="24"/>
          <w:szCs w:val="24"/>
          <w:lang w:eastAsia="fr-FR"/>
        </w:rPr>
        <w:t xml:space="preserve">de </w:t>
      </w:r>
      <w:r w:rsidRPr="00AD57AD">
        <w:rPr>
          <w:color w:val="000000"/>
          <w:sz w:val="24"/>
          <w:szCs w:val="24"/>
          <w:lang w:eastAsia="fr-FR"/>
        </w:rPr>
        <w:t>UNESCO, ONUDC et OMS (201</w:t>
      </w:r>
      <w:r>
        <w:rPr>
          <w:color w:val="000000"/>
          <w:sz w:val="24"/>
          <w:szCs w:val="24"/>
          <w:lang w:eastAsia="fr-FR"/>
        </w:rPr>
        <w:t>8</w:t>
      </w:r>
      <w:r w:rsidRPr="00AD57AD">
        <w:rPr>
          <w:color w:val="000000"/>
          <w:sz w:val="24"/>
          <w:szCs w:val="24"/>
          <w:lang w:eastAsia="fr-FR"/>
        </w:rPr>
        <w:t xml:space="preserve">), qui </w:t>
      </w:r>
      <w:r>
        <w:rPr>
          <w:color w:val="000000"/>
          <w:sz w:val="24"/>
          <w:szCs w:val="24"/>
          <w:lang w:eastAsia="fr-FR"/>
        </w:rPr>
        <w:t>avaient</w:t>
      </w:r>
      <w:r w:rsidRPr="00AD57AD">
        <w:rPr>
          <w:color w:val="000000"/>
          <w:sz w:val="24"/>
          <w:szCs w:val="24"/>
          <w:lang w:eastAsia="fr-FR"/>
        </w:rPr>
        <w:t xml:space="preserve"> trouvé que </w:t>
      </w:r>
      <w:r>
        <w:rPr>
          <w:color w:val="000000"/>
          <w:sz w:val="24"/>
          <w:szCs w:val="24"/>
          <w:lang w:eastAsia="fr-FR"/>
        </w:rPr>
        <w:t>« </w:t>
      </w:r>
      <w:r w:rsidRPr="00AD57AD">
        <w:rPr>
          <w:color w:val="000000"/>
          <w:sz w:val="24"/>
          <w:szCs w:val="24"/>
          <w:lang w:eastAsia="fr-FR"/>
        </w:rPr>
        <w:t>l</w:t>
      </w:r>
      <w:r>
        <w:rPr>
          <w:color w:val="000000"/>
          <w:sz w:val="24"/>
          <w:szCs w:val="24"/>
          <w:lang w:eastAsia="fr-FR"/>
        </w:rPr>
        <w:t>a fréquentation d</w:t>
      </w:r>
      <w:r w:rsidRPr="00AD57AD">
        <w:rPr>
          <w:color w:val="000000"/>
          <w:sz w:val="24"/>
          <w:szCs w:val="24"/>
          <w:lang w:eastAsia="fr-FR"/>
        </w:rPr>
        <w:t xml:space="preserve">es copains </w:t>
      </w:r>
      <w:r>
        <w:rPr>
          <w:color w:val="000000"/>
          <w:sz w:val="24"/>
          <w:szCs w:val="24"/>
          <w:lang w:eastAsia="fr-FR"/>
        </w:rPr>
        <w:t>d</w:t>
      </w:r>
      <w:r w:rsidRPr="00AD57AD">
        <w:rPr>
          <w:color w:val="000000"/>
          <w:sz w:val="24"/>
          <w:szCs w:val="24"/>
          <w:lang w:eastAsia="fr-FR"/>
        </w:rPr>
        <w:t xml:space="preserve">u quartier qui consomment des SPA </w:t>
      </w:r>
      <w:r>
        <w:rPr>
          <w:color w:val="000000"/>
          <w:sz w:val="24"/>
          <w:szCs w:val="24"/>
          <w:lang w:eastAsia="fr-FR"/>
        </w:rPr>
        <w:t>ainsi que</w:t>
      </w:r>
      <w:r w:rsidRPr="00AD57AD">
        <w:rPr>
          <w:color w:val="000000"/>
          <w:sz w:val="24"/>
          <w:szCs w:val="24"/>
          <w:lang w:eastAsia="fr-FR"/>
        </w:rPr>
        <w:t xml:space="preserve"> la fréquentation de sujets marginaux </w:t>
      </w:r>
      <w:r>
        <w:rPr>
          <w:color w:val="000000"/>
          <w:sz w:val="24"/>
          <w:szCs w:val="24"/>
          <w:lang w:eastAsia="fr-FR"/>
        </w:rPr>
        <w:t>contribuent significativement à la consommation de drogues chez</w:t>
      </w:r>
      <w:r w:rsidRPr="00AD57AD">
        <w:rPr>
          <w:color w:val="000000"/>
          <w:sz w:val="24"/>
          <w:szCs w:val="24"/>
          <w:lang w:eastAsia="fr-FR"/>
        </w:rPr>
        <w:t xml:space="preserve"> </w:t>
      </w:r>
      <w:r>
        <w:rPr>
          <w:color w:val="000000"/>
          <w:sz w:val="24"/>
          <w:szCs w:val="24"/>
          <w:lang w:eastAsia="fr-FR"/>
        </w:rPr>
        <w:t>les</w:t>
      </w:r>
      <w:r w:rsidRPr="00AD57AD">
        <w:rPr>
          <w:color w:val="000000"/>
          <w:sz w:val="24"/>
          <w:szCs w:val="24"/>
          <w:lang w:eastAsia="fr-FR"/>
        </w:rPr>
        <w:t xml:space="preserve"> élèves</w:t>
      </w:r>
      <w:r>
        <w:rPr>
          <w:color w:val="000000"/>
          <w:sz w:val="24"/>
          <w:szCs w:val="24"/>
          <w:lang w:eastAsia="fr-FR"/>
        </w:rPr>
        <w:t xml:space="preserve"> qui y vivent</w:t>
      </w:r>
      <w:r w:rsidRPr="00AD57AD">
        <w:rPr>
          <w:color w:val="000000"/>
          <w:sz w:val="24"/>
          <w:szCs w:val="24"/>
          <w:lang w:eastAsia="fr-FR"/>
        </w:rPr>
        <w:t>. De plus, nos différentes enquêtes exploratoires menées dans le cadre de notre travail indiquaient que</w:t>
      </w:r>
      <w:r>
        <w:rPr>
          <w:color w:val="000000"/>
          <w:sz w:val="24"/>
          <w:szCs w:val="24"/>
          <w:lang w:eastAsia="fr-FR"/>
        </w:rPr>
        <w:t>,</w:t>
      </w:r>
      <w:r w:rsidRPr="00AD57AD">
        <w:rPr>
          <w:color w:val="000000"/>
          <w:sz w:val="24"/>
          <w:szCs w:val="24"/>
          <w:lang w:eastAsia="fr-FR"/>
        </w:rPr>
        <w:t xml:space="preserve"> le phénomène de consommation de </w:t>
      </w:r>
      <w:r>
        <w:rPr>
          <w:color w:val="000000"/>
          <w:sz w:val="24"/>
          <w:szCs w:val="24"/>
          <w:lang w:eastAsia="fr-FR"/>
        </w:rPr>
        <w:t>drogues</w:t>
      </w:r>
      <w:r w:rsidRPr="00AD57AD">
        <w:rPr>
          <w:color w:val="000000"/>
          <w:sz w:val="24"/>
          <w:szCs w:val="24"/>
          <w:lang w:eastAsia="fr-FR"/>
        </w:rPr>
        <w:t xml:space="preserve"> est bel et bien accentué dans certains quartiers et par conséquent, les élèves qui habitent ces quartiers à risque, sont plus exposés à </w:t>
      </w:r>
      <w:r>
        <w:rPr>
          <w:color w:val="000000"/>
          <w:sz w:val="24"/>
          <w:szCs w:val="24"/>
          <w:lang w:eastAsia="fr-FR"/>
        </w:rPr>
        <w:t xml:space="preserve">un risque accru de </w:t>
      </w:r>
      <w:r w:rsidRPr="00AD57AD">
        <w:rPr>
          <w:color w:val="000000"/>
          <w:sz w:val="24"/>
          <w:szCs w:val="24"/>
          <w:lang w:eastAsia="fr-FR"/>
        </w:rPr>
        <w:t>consommation</w:t>
      </w:r>
      <w:r>
        <w:rPr>
          <w:color w:val="000000"/>
          <w:sz w:val="24"/>
          <w:szCs w:val="24"/>
          <w:lang w:eastAsia="fr-FR"/>
        </w:rPr>
        <w:t xml:space="preserve"> des SPA</w:t>
      </w:r>
      <w:r w:rsidRPr="00AD57AD">
        <w:rPr>
          <w:color w:val="000000"/>
          <w:sz w:val="24"/>
          <w:szCs w:val="24"/>
          <w:lang w:eastAsia="fr-FR"/>
        </w:rPr>
        <w:t>.</w:t>
      </w:r>
    </w:p>
    <w:p w14:paraId="4D95CE94" w14:textId="77777777" w:rsidR="00D80693" w:rsidRPr="007A6784" w:rsidRDefault="00D80693" w:rsidP="008276DA">
      <w:pPr>
        <w:widowControl/>
        <w:numPr>
          <w:ilvl w:val="0"/>
          <w:numId w:val="189"/>
        </w:numPr>
        <w:autoSpaceDE/>
        <w:autoSpaceDN/>
        <w:spacing w:before="120" w:after="240"/>
        <w:jc w:val="both"/>
        <w:rPr>
          <w:b/>
          <w:bCs/>
          <w:color w:val="000000"/>
          <w:sz w:val="24"/>
          <w:szCs w:val="24"/>
          <w:lang w:eastAsia="fr-FR"/>
        </w:rPr>
      </w:pPr>
      <w:r w:rsidRPr="00B70D71">
        <w:rPr>
          <w:color w:val="000000"/>
          <w:sz w:val="24"/>
          <w:szCs w:val="24"/>
          <w:lang w:eastAsia="fr-FR"/>
        </w:rPr>
        <w:t xml:space="preserve"> </w:t>
      </w:r>
      <w:r w:rsidRPr="00874074">
        <w:rPr>
          <w:rFonts w:eastAsiaTheme="minorHAnsi" w:cstheme="minorBidi"/>
          <w:b/>
          <w:bCs/>
          <w:sz w:val="28"/>
          <w:szCs w:val="28"/>
          <w:lang w:bidi="en-US"/>
        </w:rPr>
        <w:t>Recommandations</w:t>
      </w:r>
    </w:p>
    <w:p w14:paraId="0722E986" w14:textId="77777777" w:rsidR="00D80693" w:rsidRDefault="00D80693" w:rsidP="008276DA">
      <w:pPr>
        <w:spacing w:before="120" w:after="240"/>
        <w:ind w:left="-5" w:right="48" w:hanging="10"/>
        <w:jc w:val="both"/>
        <w:rPr>
          <w:color w:val="000000"/>
          <w:sz w:val="24"/>
          <w:szCs w:val="24"/>
          <w:lang w:eastAsia="fr-FR"/>
        </w:rPr>
      </w:pPr>
      <w:r w:rsidRPr="00B70D71">
        <w:rPr>
          <w:color w:val="000000"/>
          <w:sz w:val="24"/>
          <w:szCs w:val="24"/>
          <w:lang w:eastAsia="fr-FR"/>
        </w:rPr>
        <w:t xml:space="preserve">Au regard de ces résultats, </w:t>
      </w:r>
      <w:r>
        <w:rPr>
          <w:color w:val="000000"/>
          <w:sz w:val="24"/>
          <w:szCs w:val="24"/>
          <w:lang w:eastAsia="fr-FR"/>
        </w:rPr>
        <w:t>il</w:t>
      </w:r>
      <w:r w:rsidRPr="00B70D71">
        <w:rPr>
          <w:color w:val="000000"/>
          <w:sz w:val="24"/>
          <w:szCs w:val="24"/>
          <w:lang w:eastAsia="fr-FR"/>
        </w:rPr>
        <w:t xml:space="preserve"> est important pour le monde éducatif, le monde de la santé, le monde scientifique et les </w:t>
      </w:r>
      <w:r>
        <w:rPr>
          <w:color w:val="000000"/>
          <w:sz w:val="24"/>
          <w:szCs w:val="24"/>
          <w:lang w:eastAsia="fr-FR"/>
        </w:rPr>
        <w:t>familles,</w:t>
      </w:r>
      <w:r w:rsidRPr="00B70D71">
        <w:rPr>
          <w:color w:val="000000"/>
          <w:sz w:val="24"/>
          <w:szCs w:val="24"/>
          <w:lang w:eastAsia="fr-FR"/>
        </w:rPr>
        <w:t xml:space="preserve"> d’affronter ce phénomène à bras-le-corps.</w:t>
      </w:r>
      <w:r>
        <w:rPr>
          <w:color w:val="000000"/>
          <w:sz w:val="24"/>
          <w:szCs w:val="24"/>
          <w:lang w:eastAsia="fr-FR"/>
        </w:rPr>
        <w:t xml:space="preserve"> Nous suggérons que dans ces différents contextes, des actions de prévention soient déployées sur la base de ces déterminants sociaux. </w:t>
      </w:r>
      <w:r w:rsidRPr="00B70D71">
        <w:rPr>
          <w:color w:val="000000"/>
          <w:sz w:val="24"/>
          <w:szCs w:val="24"/>
          <w:lang w:eastAsia="fr-FR"/>
        </w:rPr>
        <w:t xml:space="preserve"> </w:t>
      </w:r>
    </w:p>
    <w:p w14:paraId="6165606A" w14:textId="77777777" w:rsidR="00D80693" w:rsidRPr="00B70D71" w:rsidRDefault="00D80693" w:rsidP="008276DA">
      <w:pPr>
        <w:spacing w:before="120" w:after="240"/>
        <w:ind w:left="-5" w:right="48" w:hanging="10"/>
        <w:jc w:val="both"/>
        <w:rPr>
          <w:color w:val="000000"/>
          <w:sz w:val="24"/>
          <w:szCs w:val="24"/>
          <w:lang w:eastAsia="fr-FR"/>
        </w:rPr>
      </w:pPr>
      <w:r>
        <w:rPr>
          <w:color w:val="000000"/>
          <w:sz w:val="24"/>
          <w:szCs w:val="24"/>
          <w:lang w:eastAsia="fr-FR"/>
        </w:rPr>
        <w:t>Aux</w:t>
      </w:r>
      <w:r w:rsidRPr="00B70D71">
        <w:rPr>
          <w:color w:val="000000"/>
          <w:sz w:val="24"/>
          <w:szCs w:val="24"/>
          <w:lang w:eastAsia="fr-FR"/>
        </w:rPr>
        <w:t xml:space="preserve"> administrateurs scolaires, nous suggérons la création au sein de leurs établissements </w:t>
      </w:r>
      <w:r>
        <w:rPr>
          <w:color w:val="000000"/>
          <w:sz w:val="24"/>
          <w:szCs w:val="24"/>
          <w:lang w:eastAsia="fr-FR"/>
        </w:rPr>
        <w:t>d’une</w:t>
      </w:r>
      <w:r w:rsidRPr="00B70D71">
        <w:rPr>
          <w:color w:val="000000"/>
          <w:sz w:val="24"/>
          <w:szCs w:val="24"/>
          <w:lang w:eastAsia="fr-FR"/>
        </w:rPr>
        <w:t xml:space="preserve"> Cellule Psycho-Médicosociale (CPMS)</w:t>
      </w:r>
      <w:r>
        <w:rPr>
          <w:color w:val="000000"/>
          <w:sz w:val="24"/>
          <w:szCs w:val="24"/>
          <w:lang w:eastAsia="fr-FR"/>
        </w:rPr>
        <w:t>, c</w:t>
      </w:r>
      <w:r w:rsidRPr="00B70D71">
        <w:rPr>
          <w:color w:val="000000"/>
          <w:sz w:val="24"/>
          <w:szCs w:val="24"/>
          <w:lang w:eastAsia="fr-FR"/>
        </w:rPr>
        <w:t>omposée d’un Psychologue scolaire, un Médecin scolaire et un Sociologue scolaire</w:t>
      </w:r>
      <w:r>
        <w:rPr>
          <w:color w:val="000000"/>
          <w:sz w:val="24"/>
          <w:szCs w:val="24"/>
          <w:lang w:eastAsia="fr-FR"/>
        </w:rPr>
        <w:t xml:space="preserve">. Cette cellule </w:t>
      </w:r>
      <w:r w:rsidRPr="00B70D71">
        <w:rPr>
          <w:color w:val="000000"/>
          <w:sz w:val="24"/>
          <w:szCs w:val="24"/>
          <w:lang w:eastAsia="fr-FR"/>
        </w:rPr>
        <w:t>qui sera un lieu d’accueil, d’écoute et de dialogue</w:t>
      </w:r>
      <w:r>
        <w:rPr>
          <w:color w:val="000000"/>
          <w:sz w:val="24"/>
          <w:szCs w:val="24"/>
          <w:lang w:eastAsia="fr-FR"/>
        </w:rPr>
        <w:t xml:space="preserve">. Ainsi, </w:t>
      </w:r>
      <w:r w:rsidRPr="00B70D71">
        <w:rPr>
          <w:color w:val="000000"/>
          <w:sz w:val="24"/>
          <w:szCs w:val="24"/>
          <w:lang w:eastAsia="fr-FR"/>
        </w:rPr>
        <w:t>le jeune élève, son parent, ou l’enseignant pourrai</w:t>
      </w:r>
      <w:r>
        <w:rPr>
          <w:color w:val="000000"/>
          <w:sz w:val="24"/>
          <w:szCs w:val="24"/>
          <w:lang w:eastAsia="fr-FR"/>
        </w:rPr>
        <w:t>en</w:t>
      </w:r>
      <w:r w:rsidRPr="00B70D71">
        <w:rPr>
          <w:color w:val="000000"/>
          <w:sz w:val="24"/>
          <w:szCs w:val="24"/>
          <w:lang w:eastAsia="fr-FR"/>
        </w:rPr>
        <w:t>t aborder les questions qui les préoccupent en matière d’éducation, de vie familiale et sociale, de santé</w:t>
      </w:r>
      <w:r>
        <w:rPr>
          <w:color w:val="000000"/>
          <w:sz w:val="24"/>
          <w:szCs w:val="24"/>
          <w:lang w:eastAsia="fr-FR"/>
        </w:rPr>
        <w:t xml:space="preserve"> et </w:t>
      </w:r>
      <w:r w:rsidRPr="00B70D71">
        <w:rPr>
          <w:color w:val="000000"/>
          <w:sz w:val="24"/>
          <w:szCs w:val="24"/>
          <w:lang w:eastAsia="fr-FR"/>
        </w:rPr>
        <w:t>de bien</w:t>
      </w:r>
      <w:r>
        <w:rPr>
          <w:color w:val="000000"/>
          <w:sz w:val="24"/>
          <w:szCs w:val="24"/>
          <w:lang w:eastAsia="fr-FR"/>
        </w:rPr>
        <w:t>-</w:t>
      </w:r>
      <w:r w:rsidRPr="00B70D71">
        <w:rPr>
          <w:color w:val="000000"/>
          <w:sz w:val="24"/>
          <w:szCs w:val="24"/>
          <w:lang w:eastAsia="fr-FR"/>
        </w:rPr>
        <w:t>être.</w:t>
      </w:r>
      <w:r>
        <w:rPr>
          <w:color w:val="000000"/>
          <w:sz w:val="24"/>
          <w:szCs w:val="24"/>
          <w:lang w:eastAsia="fr-FR"/>
        </w:rPr>
        <w:t xml:space="preserve"> Cette cellule pourra être le lieu de déploiement des p</w:t>
      </w:r>
      <w:r w:rsidRPr="008B5BE0">
        <w:rPr>
          <w:color w:val="000000"/>
          <w:sz w:val="24"/>
          <w:szCs w:val="24"/>
          <w:lang w:eastAsia="fr-FR"/>
        </w:rPr>
        <w:t xml:space="preserve">rogrammes parentaux : formation des parents sur </w:t>
      </w:r>
      <w:r>
        <w:rPr>
          <w:color w:val="000000"/>
          <w:sz w:val="24"/>
          <w:szCs w:val="24"/>
          <w:lang w:eastAsia="fr-FR"/>
        </w:rPr>
        <w:t xml:space="preserve">les mesures de </w:t>
      </w:r>
      <w:r w:rsidRPr="008B5BE0">
        <w:rPr>
          <w:color w:val="000000"/>
          <w:sz w:val="24"/>
          <w:szCs w:val="24"/>
          <w:lang w:eastAsia="fr-FR"/>
        </w:rPr>
        <w:t>surveillance</w:t>
      </w:r>
      <w:r>
        <w:rPr>
          <w:color w:val="000000"/>
          <w:sz w:val="24"/>
          <w:szCs w:val="24"/>
          <w:lang w:eastAsia="fr-FR"/>
        </w:rPr>
        <w:t xml:space="preserve"> des enfants</w:t>
      </w:r>
      <w:r w:rsidRPr="008B5BE0">
        <w:rPr>
          <w:color w:val="000000"/>
          <w:sz w:val="24"/>
          <w:szCs w:val="24"/>
          <w:lang w:eastAsia="fr-FR"/>
        </w:rPr>
        <w:t xml:space="preserve">, </w:t>
      </w:r>
      <w:r>
        <w:rPr>
          <w:color w:val="000000"/>
          <w:sz w:val="24"/>
          <w:szCs w:val="24"/>
          <w:lang w:eastAsia="fr-FR"/>
        </w:rPr>
        <w:t xml:space="preserve">sur la reconnaissance des </w:t>
      </w:r>
      <w:r w:rsidRPr="008B5BE0">
        <w:rPr>
          <w:color w:val="000000"/>
          <w:sz w:val="24"/>
          <w:szCs w:val="24"/>
          <w:lang w:eastAsia="fr-FR"/>
        </w:rPr>
        <w:t>signes d’alerte</w:t>
      </w:r>
      <w:r>
        <w:rPr>
          <w:color w:val="000000"/>
          <w:sz w:val="24"/>
          <w:szCs w:val="24"/>
          <w:lang w:eastAsia="fr-FR"/>
        </w:rPr>
        <w:t>,</w:t>
      </w:r>
      <w:r w:rsidRPr="005F5455">
        <w:rPr>
          <w:color w:val="000000"/>
          <w:sz w:val="24"/>
          <w:szCs w:val="24"/>
          <w:lang w:eastAsia="fr-FR"/>
        </w:rPr>
        <w:t xml:space="preserve"> </w:t>
      </w:r>
      <w:r>
        <w:rPr>
          <w:color w:val="000000"/>
          <w:sz w:val="24"/>
          <w:szCs w:val="24"/>
          <w:lang w:eastAsia="fr-FR"/>
        </w:rPr>
        <w:t xml:space="preserve">le renforcement de la </w:t>
      </w:r>
      <w:r w:rsidRPr="008B5BE0">
        <w:rPr>
          <w:color w:val="000000"/>
          <w:sz w:val="24"/>
          <w:szCs w:val="24"/>
          <w:lang w:eastAsia="fr-FR"/>
        </w:rPr>
        <w:t>communication</w:t>
      </w:r>
      <w:r>
        <w:rPr>
          <w:color w:val="000000"/>
          <w:sz w:val="24"/>
          <w:szCs w:val="24"/>
          <w:lang w:eastAsia="fr-FR"/>
        </w:rPr>
        <w:t xml:space="preserve"> et de la collaboration école-famille</w:t>
      </w:r>
      <w:r w:rsidRPr="008B5BE0">
        <w:rPr>
          <w:color w:val="000000"/>
          <w:sz w:val="24"/>
          <w:szCs w:val="24"/>
          <w:lang w:eastAsia="fr-FR"/>
        </w:rPr>
        <w:t>.</w:t>
      </w:r>
    </w:p>
    <w:p w14:paraId="0930BF31" w14:textId="3A6B2B7C" w:rsidR="00D80693" w:rsidRDefault="00D80693" w:rsidP="008276DA">
      <w:pPr>
        <w:spacing w:before="120" w:after="240"/>
        <w:ind w:left="-5" w:right="48" w:hanging="10"/>
        <w:jc w:val="both"/>
        <w:rPr>
          <w:color w:val="000000"/>
          <w:sz w:val="24"/>
          <w:szCs w:val="24"/>
          <w:lang w:eastAsia="fr-FR"/>
        </w:rPr>
      </w:pPr>
      <w:r w:rsidRPr="00B70D71">
        <w:rPr>
          <w:color w:val="000000"/>
          <w:sz w:val="24"/>
          <w:szCs w:val="24"/>
          <w:lang w:eastAsia="fr-FR"/>
        </w:rPr>
        <w:t xml:space="preserve">Par ailleurs, </w:t>
      </w:r>
      <w:r>
        <w:rPr>
          <w:color w:val="000000"/>
          <w:sz w:val="24"/>
          <w:szCs w:val="24"/>
          <w:lang w:eastAsia="fr-FR"/>
        </w:rPr>
        <w:t xml:space="preserve">pour une meilleure surveillance à l’école, </w:t>
      </w:r>
      <w:r w:rsidRPr="00B70D71">
        <w:rPr>
          <w:color w:val="000000"/>
          <w:sz w:val="24"/>
          <w:szCs w:val="24"/>
          <w:lang w:eastAsia="fr-FR"/>
        </w:rPr>
        <w:t>le gestionnaire de l’éducation doit entreprendre des mesures de contrôle</w:t>
      </w:r>
      <w:r>
        <w:rPr>
          <w:color w:val="000000"/>
          <w:sz w:val="24"/>
          <w:szCs w:val="24"/>
          <w:lang w:eastAsia="fr-FR"/>
        </w:rPr>
        <w:t>,</w:t>
      </w:r>
      <w:r w:rsidRPr="005971A9">
        <w:rPr>
          <w:rFonts w:asciiTheme="minorHAnsi" w:eastAsiaTheme="minorHAnsi" w:hAnsiTheme="minorHAnsi" w:cstheme="minorBidi"/>
        </w:rPr>
        <w:t xml:space="preserve"> </w:t>
      </w:r>
      <w:r w:rsidRPr="005971A9">
        <w:rPr>
          <w:color w:val="000000"/>
          <w:sz w:val="24"/>
          <w:szCs w:val="24"/>
          <w:lang w:eastAsia="fr-FR"/>
        </w:rPr>
        <w:t>il s’agit entre autres</w:t>
      </w:r>
      <w:r>
        <w:rPr>
          <w:color w:val="000000"/>
          <w:sz w:val="24"/>
          <w:szCs w:val="24"/>
          <w:lang w:eastAsia="fr-FR"/>
        </w:rPr>
        <w:t xml:space="preserve"> </w:t>
      </w:r>
      <w:r w:rsidRPr="00B70D71">
        <w:rPr>
          <w:color w:val="000000"/>
          <w:sz w:val="24"/>
          <w:szCs w:val="24"/>
          <w:lang w:eastAsia="fr-FR"/>
        </w:rPr>
        <w:t>:</w:t>
      </w:r>
      <w:r>
        <w:rPr>
          <w:color w:val="000000"/>
          <w:sz w:val="24"/>
          <w:szCs w:val="24"/>
          <w:lang w:eastAsia="fr-FR"/>
        </w:rPr>
        <w:t xml:space="preserve"> e</w:t>
      </w:r>
      <w:r w:rsidRPr="00B70D71">
        <w:rPr>
          <w:color w:val="000000"/>
          <w:sz w:val="24"/>
          <w:szCs w:val="24"/>
          <w:lang w:eastAsia="fr-FR"/>
        </w:rPr>
        <w:t xml:space="preserve">ffectuer des « fouilles systématiques » </w:t>
      </w:r>
      <w:r>
        <w:rPr>
          <w:color w:val="000000"/>
          <w:sz w:val="24"/>
          <w:szCs w:val="24"/>
          <w:lang w:eastAsia="fr-FR"/>
        </w:rPr>
        <w:t xml:space="preserve">ainsi que des </w:t>
      </w:r>
      <w:r w:rsidRPr="00B70D71">
        <w:rPr>
          <w:color w:val="000000"/>
          <w:sz w:val="24"/>
          <w:szCs w:val="24"/>
          <w:lang w:eastAsia="fr-FR"/>
        </w:rPr>
        <w:t xml:space="preserve">fouilles inopinées </w:t>
      </w:r>
      <w:r>
        <w:rPr>
          <w:color w:val="000000"/>
          <w:sz w:val="24"/>
          <w:szCs w:val="24"/>
          <w:lang w:eastAsia="fr-FR"/>
        </w:rPr>
        <w:t>chez les</w:t>
      </w:r>
      <w:r w:rsidRPr="00B70D71">
        <w:rPr>
          <w:color w:val="000000"/>
          <w:sz w:val="24"/>
          <w:szCs w:val="24"/>
          <w:lang w:eastAsia="fr-FR"/>
        </w:rPr>
        <w:t xml:space="preserve"> élèves, </w:t>
      </w:r>
      <w:r>
        <w:rPr>
          <w:color w:val="000000"/>
          <w:sz w:val="24"/>
          <w:szCs w:val="24"/>
          <w:lang w:eastAsia="fr-FR"/>
        </w:rPr>
        <w:t>fouiller</w:t>
      </w:r>
      <w:r w:rsidRPr="00B70D71">
        <w:rPr>
          <w:color w:val="000000"/>
          <w:sz w:val="24"/>
          <w:szCs w:val="24"/>
          <w:lang w:eastAsia="fr-FR"/>
        </w:rPr>
        <w:t xml:space="preserve"> leurs sacs de classe et leurs sous-vêtements avant leur entrée dans l’établissement ou dans les salles de classe</w:t>
      </w:r>
      <w:r>
        <w:rPr>
          <w:color w:val="000000"/>
          <w:sz w:val="24"/>
          <w:szCs w:val="24"/>
          <w:lang w:eastAsia="fr-FR"/>
        </w:rPr>
        <w:t> ; i</w:t>
      </w:r>
      <w:r w:rsidRPr="00B70D71">
        <w:rPr>
          <w:color w:val="000000"/>
          <w:sz w:val="24"/>
          <w:szCs w:val="24"/>
          <w:lang w:eastAsia="fr-FR"/>
        </w:rPr>
        <w:t>nstaller des caméras de surveillance dans les salles de classe</w:t>
      </w:r>
      <w:r>
        <w:rPr>
          <w:color w:val="000000"/>
          <w:sz w:val="24"/>
          <w:szCs w:val="24"/>
          <w:lang w:eastAsia="fr-FR"/>
        </w:rPr>
        <w:t>. Également, c</w:t>
      </w:r>
      <w:r w:rsidRPr="00B70D71">
        <w:rPr>
          <w:color w:val="000000"/>
          <w:sz w:val="24"/>
          <w:szCs w:val="24"/>
          <w:lang w:eastAsia="fr-FR"/>
        </w:rPr>
        <w:t xml:space="preserve">hoisir des élèves « espions » </w:t>
      </w:r>
      <w:r w:rsidRPr="007F5160">
        <w:rPr>
          <w:color w:val="000000"/>
          <w:sz w:val="24"/>
          <w:szCs w:val="24"/>
          <w:lang w:eastAsia="fr-FR"/>
        </w:rPr>
        <w:t xml:space="preserve">qui fourniront des </w:t>
      </w:r>
      <w:r w:rsidRPr="00B70D71">
        <w:rPr>
          <w:color w:val="000000"/>
          <w:sz w:val="24"/>
          <w:szCs w:val="24"/>
          <w:lang w:eastAsia="fr-FR"/>
        </w:rPr>
        <w:t>informations sur des élèves suspects ou consommateurs de stupéfiants</w:t>
      </w:r>
      <w:r>
        <w:rPr>
          <w:color w:val="000000"/>
          <w:sz w:val="24"/>
          <w:szCs w:val="24"/>
          <w:lang w:eastAsia="fr-FR"/>
        </w:rPr>
        <w:t>,</w:t>
      </w:r>
      <w:r w:rsidRPr="00847AB5">
        <w:rPr>
          <w:color w:val="000000"/>
          <w:sz w:val="24"/>
          <w:szCs w:val="24"/>
          <w:lang w:eastAsia="fr-FR"/>
        </w:rPr>
        <w:t xml:space="preserve"> </w:t>
      </w:r>
      <w:r>
        <w:rPr>
          <w:color w:val="000000"/>
          <w:sz w:val="24"/>
          <w:szCs w:val="24"/>
          <w:lang w:eastAsia="fr-FR"/>
        </w:rPr>
        <w:t xml:space="preserve">ou, disposer </w:t>
      </w:r>
      <w:r w:rsidR="002410D0">
        <w:rPr>
          <w:color w:val="000000"/>
          <w:sz w:val="24"/>
          <w:szCs w:val="24"/>
          <w:lang w:eastAsia="fr-FR"/>
        </w:rPr>
        <w:t>de part et d’autre</w:t>
      </w:r>
      <w:r>
        <w:rPr>
          <w:color w:val="000000"/>
          <w:sz w:val="24"/>
          <w:szCs w:val="24"/>
          <w:lang w:eastAsia="fr-FR"/>
        </w:rPr>
        <w:t xml:space="preserve"> dans l’établissement des boites à lettres pour dénonciation anonyme. De plus, l’administrateur scolaire pourra c</w:t>
      </w:r>
      <w:r w:rsidRPr="00B70D71">
        <w:rPr>
          <w:color w:val="000000"/>
          <w:sz w:val="24"/>
          <w:szCs w:val="24"/>
          <w:lang w:eastAsia="fr-FR"/>
        </w:rPr>
        <w:t>oncevoir une «</w:t>
      </w:r>
      <w:r>
        <w:rPr>
          <w:color w:val="000000"/>
          <w:sz w:val="24"/>
          <w:szCs w:val="24"/>
          <w:lang w:eastAsia="fr-FR"/>
        </w:rPr>
        <w:t xml:space="preserve"> </w:t>
      </w:r>
      <w:r w:rsidRPr="00B70D71">
        <w:rPr>
          <w:color w:val="000000"/>
          <w:sz w:val="24"/>
          <w:szCs w:val="24"/>
          <w:lang w:eastAsia="fr-FR"/>
        </w:rPr>
        <w:t>fiche d’identification » que les élèves doivent remplir, particulièrement les nouveaux arrivants</w:t>
      </w:r>
      <w:r>
        <w:rPr>
          <w:color w:val="000000"/>
          <w:sz w:val="24"/>
          <w:szCs w:val="24"/>
          <w:lang w:eastAsia="fr-FR"/>
        </w:rPr>
        <w:t>,</w:t>
      </w:r>
      <w:r w:rsidRPr="00B70D71">
        <w:rPr>
          <w:color w:val="000000"/>
          <w:sz w:val="24"/>
          <w:szCs w:val="24"/>
          <w:lang w:eastAsia="fr-FR"/>
        </w:rPr>
        <w:t xml:space="preserve"> afin de savoir d’où ils viennent (quartier, établissement), et ce qui a motivé leur transfert dans une nouvelle école pour éviter de</w:t>
      </w:r>
      <w:r>
        <w:rPr>
          <w:color w:val="000000"/>
          <w:sz w:val="24"/>
          <w:szCs w:val="24"/>
          <w:lang w:eastAsia="fr-FR"/>
        </w:rPr>
        <w:t>s</w:t>
      </w:r>
      <w:r w:rsidRPr="00B70D71">
        <w:rPr>
          <w:color w:val="000000"/>
          <w:sz w:val="24"/>
          <w:szCs w:val="24"/>
          <w:lang w:eastAsia="fr-FR"/>
        </w:rPr>
        <w:t xml:space="preserve"> surprises désagréables</w:t>
      </w:r>
      <w:r>
        <w:rPr>
          <w:color w:val="000000"/>
          <w:sz w:val="24"/>
          <w:szCs w:val="24"/>
          <w:lang w:eastAsia="fr-FR"/>
        </w:rPr>
        <w:t>. Ces mesures de surveillance pourraient être renforcées par l’appui des forces de l’ordre (police scolaire).</w:t>
      </w:r>
    </w:p>
    <w:p w14:paraId="2E2377DE" w14:textId="77777777" w:rsidR="00D80693" w:rsidRDefault="00D80693" w:rsidP="008276DA">
      <w:pPr>
        <w:spacing w:before="120" w:after="240"/>
        <w:ind w:left="-5" w:right="48" w:hanging="10"/>
        <w:jc w:val="both"/>
        <w:rPr>
          <w:color w:val="000000"/>
          <w:sz w:val="24"/>
          <w:szCs w:val="24"/>
          <w:lang w:eastAsia="fr-FR"/>
        </w:rPr>
      </w:pPr>
      <w:r>
        <w:rPr>
          <w:color w:val="000000"/>
          <w:sz w:val="24"/>
          <w:szCs w:val="24"/>
          <w:lang w:eastAsia="fr-FR"/>
        </w:rPr>
        <w:t>L’établissement pourra également, par mesure de prévention, o</w:t>
      </w:r>
      <w:r w:rsidRPr="00B70D71">
        <w:rPr>
          <w:color w:val="000000"/>
          <w:sz w:val="24"/>
          <w:szCs w:val="24"/>
          <w:lang w:eastAsia="fr-FR"/>
        </w:rPr>
        <w:t xml:space="preserve">rganiser des journées de causeries éducatives et caravanes de sensibilisation </w:t>
      </w:r>
      <w:r>
        <w:rPr>
          <w:color w:val="000000"/>
          <w:sz w:val="24"/>
          <w:szCs w:val="24"/>
          <w:lang w:eastAsia="fr-FR"/>
        </w:rPr>
        <w:t>exposant les</w:t>
      </w:r>
      <w:r w:rsidRPr="00B70D71">
        <w:rPr>
          <w:color w:val="000000"/>
          <w:sz w:val="24"/>
          <w:szCs w:val="24"/>
          <w:lang w:eastAsia="fr-FR"/>
        </w:rPr>
        <w:t xml:space="preserve"> conséquences associées à l’usage des SPA sur la santé de l’élève, ses résultats scolaires</w:t>
      </w:r>
      <w:r>
        <w:rPr>
          <w:color w:val="000000"/>
          <w:sz w:val="24"/>
          <w:szCs w:val="24"/>
          <w:lang w:eastAsia="fr-FR"/>
        </w:rPr>
        <w:t>. Il sera aussi question pour l’administrateur scolaire de, mettre un accent particulier sur des i</w:t>
      </w:r>
      <w:r w:rsidRPr="009C00FF">
        <w:rPr>
          <w:color w:val="000000"/>
          <w:sz w:val="24"/>
          <w:szCs w:val="24"/>
          <w:lang w:eastAsia="fr-FR"/>
        </w:rPr>
        <w:t>nterventions ciblées</w:t>
      </w:r>
      <w:r>
        <w:rPr>
          <w:color w:val="000000"/>
          <w:sz w:val="24"/>
          <w:szCs w:val="24"/>
          <w:lang w:eastAsia="fr-FR"/>
        </w:rPr>
        <w:t>, des</w:t>
      </w:r>
      <w:r w:rsidRPr="009C00FF">
        <w:rPr>
          <w:color w:val="000000"/>
          <w:sz w:val="24"/>
          <w:szCs w:val="24"/>
          <w:lang w:eastAsia="fr-FR"/>
        </w:rPr>
        <w:t xml:space="preserve"> campagne</w:t>
      </w:r>
      <w:r>
        <w:rPr>
          <w:color w:val="000000"/>
          <w:sz w:val="24"/>
          <w:szCs w:val="24"/>
          <w:lang w:eastAsia="fr-FR"/>
        </w:rPr>
        <w:t>s</w:t>
      </w:r>
      <w:r w:rsidRPr="009C00FF">
        <w:rPr>
          <w:color w:val="000000"/>
          <w:sz w:val="24"/>
          <w:szCs w:val="24"/>
          <w:lang w:eastAsia="fr-FR"/>
        </w:rPr>
        <w:t xml:space="preserve"> spécifique</w:t>
      </w:r>
      <w:r>
        <w:rPr>
          <w:color w:val="000000"/>
          <w:sz w:val="24"/>
          <w:szCs w:val="24"/>
          <w:lang w:eastAsia="fr-FR"/>
        </w:rPr>
        <w:t xml:space="preserve">s </w:t>
      </w:r>
      <w:r w:rsidRPr="009C00FF">
        <w:rPr>
          <w:color w:val="000000"/>
          <w:sz w:val="24"/>
          <w:szCs w:val="24"/>
          <w:lang w:eastAsia="fr-FR"/>
        </w:rPr>
        <w:t>sur les dangers</w:t>
      </w:r>
      <w:r>
        <w:rPr>
          <w:color w:val="000000"/>
          <w:sz w:val="24"/>
          <w:szCs w:val="24"/>
          <w:lang w:eastAsia="fr-FR"/>
        </w:rPr>
        <w:t xml:space="preserve"> liés à l’usage de chaque substance psychoactive. De plus, l’établissement devra veiller au r</w:t>
      </w:r>
      <w:r w:rsidRPr="00BA52BF">
        <w:rPr>
          <w:color w:val="000000"/>
          <w:sz w:val="24"/>
          <w:szCs w:val="24"/>
          <w:lang w:eastAsia="fr-FR"/>
        </w:rPr>
        <w:t xml:space="preserve">enforcement des services de santé scolaire </w:t>
      </w:r>
      <w:r>
        <w:rPr>
          <w:color w:val="000000"/>
          <w:sz w:val="24"/>
          <w:szCs w:val="24"/>
          <w:lang w:eastAsia="fr-FR"/>
        </w:rPr>
        <w:t>qui pourront effectuer un</w:t>
      </w:r>
      <w:r w:rsidRPr="00BA52BF">
        <w:rPr>
          <w:color w:val="000000"/>
          <w:sz w:val="24"/>
          <w:szCs w:val="24"/>
          <w:lang w:eastAsia="fr-FR"/>
        </w:rPr>
        <w:t xml:space="preserve"> dépistage</w:t>
      </w:r>
      <w:r>
        <w:rPr>
          <w:color w:val="000000"/>
          <w:sz w:val="24"/>
          <w:szCs w:val="24"/>
          <w:lang w:eastAsia="fr-FR"/>
        </w:rPr>
        <w:t>, aux fins d’</w:t>
      </w:r>
      <w:r w:rsidRPr="00BA52BF">
        <w:rPr>
          <w:color w:val="000000"/>
          <w:sz w:val="24"/>
          <w:szCs w:val="24"/>
          <w:lang w:eastAsia="fr-FR"/>
        </w:rPr>
        <w:t xml:space="preserve">orientation vers soins et prise en charge </w:t>
      </w:r>
      <w:r>
        <w:rPr>
          <w:color w:val="000000"/>
          <w:sz w:val="24"/>
          <w:szCs w:val="24"/>
          <w:lang w:eastAsia="fr-FR"/>
        </w:rPr>
        <w:t>anticipée des élèves au comportement à risque</w:t>
      </w:r>
      <w:r w:rsidRPr="00BA52BF">
        <w:rPr>
          <w:color w:val="000000"/>
          <w:sz w:val="24"/>
          <w:szCs w:val="24"/>
          <w:lang w:eastAsia="fr-FR"/>
        </w:rPr>
        <w:t>.</w:t>
      </w:r>
    </w:p>
    <w:p w14:paraId="21BA5AEA" w14:textId="77777777" w:rsidR="00D80693" w:rsidRPr="00B70D71" w:rsidRDefault="00D80693" w:rsidP="008276DA">
      <w:pPr>
        <w:spacing w:before="120" w:after="240"/>
        <w:ind w:left="-5" w:right="48" w:hanging="10"/>
        <w:jc w:val="both"/>
        <w:rPr>
          <w:color w:val="000000"/>
          <w:sz w:val="24"/>
          <w:szCs w:val="24"/>
          <w:lang w:eastAsia="fr-FR"/>
        </w:rPr>
      </w:pPr>
      <w:r w:rsidRPr="00B70D71">
        <w:rPr>
          <w:color w:val="000000"/>
          <w:sz w:val="24"/>
          <w:szCs w:val="24"/>
          <w:lang w:eastAsia="fr-FR"/>
        </w:rPr>
        <w:t>Enfin, aux parents d’élèves, nous suggérons de créer un climat familial stable</w:t>
      </w:r>
      <w:r>
        <w:rPr>
          <w:color w:val="000000"/>
          <w:sz w:val="24"/>
          <w:szCs w:val="24"/>
          <w:lang w:eastAsia="fr-FR"/>
        </w:rPr>
        <w:t>,</w:t>
      </w:r>
      <w:r w:rsidRPr="00B70D71">
        <w:rPr>
          <w:color w:val="000000"/>
          <w:sz w:val="24"/>
          <w:szCs w:val="24"/>
          <w:lang w:eastAsia="fr-FR"/>
        </w:rPr>
        <w:t xml:space="preserve"> </w:t>
      </w:r>
      <w:r>
        <w:rPr>
          <w:color w:val="000000"/>
          <w:sz w:val="24"/>
          <w:szCs w:val="24"/>
          <w:lang w:eastAsia="fr-FR"/>
        </w:rPr>
        <w:t xml:space="preserve">un </w:t>
      </w:r>
      <w:r w:rsidRPr="00B70D71">
        <w:rPr>
          <w:color w:val="000000"/>
          <w:sz w:val="24"/>
          <w:szCs w:val="24"/>
          <w:lang w:eastAsia="fr-FR"/>
        </w:rPr>
        <w:t>réseau de confiden</w:t>
      </w:r>
      <w:r>
        <w:rPr>
          <w:color w:val="000000"/>
          <w:sz w:val="24"/>
          <w:szCs w:val="24"/>
          <w:lang w:eastAsia="fr-FR"/>
        </w:rPr>
        <w:t>ce et de communication/dialogue avec leurs enfants</w:t>
      </w:r>
      <w:r w:rsidRPr="00B70D71">
        <w:rPr>
          <w:color w:val="000000"/>
          <w:sz w:val="24"/>
          <w:szCs w:val="24"/>
          <w:lang w:eastAsia="fr-FR"/>
        </w:rPr>
        <w:t>,</w:t>
      </w:r>
      <w:r>
        <w:rPr>
          <w:color w:val="000000"/>
          <w:sz w:val="24"/>
          <w:szCs w:val="24"/>
          <w:lang w:eastAsia="fr-FR"/>
        </w:rPr>
        <w:t xml:space="preserve"> qui </w:t>
      </w:r>
      <w:r w:rsidRPr="00B70D71">
        <w:rPr>
          <w:color w:val="000000"/>
          <w:sz w:val="24"/>
          <w:szCs w:val="24"/>
          <w:lang w:eastAsia="fr-FR"/>
        </w:rPr>
        <w:t>représente</w:t>
      </w:r>
      <w:r>
        <w:rPr>
          <w:color w:val="000000"/>
          <w:sz w:val="24"/>
          <w:szCs w:val="24"/>
          <w:lang w:eastAsia="fr-FR"/>
        </w:rPr>
        <w:t>nt</w:t>
      </w:r>
      <w:r w:rsidRPr="00B70D71">
        <w:rPr>
          <w:color w:val="000000"/>
          <w:sz w:val="24"/>
          <w:szCs w:val="24"/>
          <w:lang w:eastAsia="fr-FR"/>
        </w:rPr>
        <w:t>, pour le jeune, des facteurs de protection</w:t>
      </w:r>
      <w:r>
        <w:rPr>
          <w:color w:val="000000"/>
          <w:sz w:val="24"/>
          <w:szCs w:val="24"/>
          <w:lang w:eastAsia="fr-FR"/>
        </w:rPr>
        <w:t xml:space="preserve"> face à la consommation de SPA. </w:t>
      </w:r>
      <w:r w:rsidRPr="00B70D71">
        <w:rPr>
          <w:color w:val="000000"/>
          <w:sz w:val="24"/>
          <w:szCs w:val="24"/>
          <w:lang w:eastAsia="fr-FR"/>
        </w:rPr>
        <w:t>Les parents sont invités à encourager et soutenir leurs enfants</w:t>
      </w:r>
      <w:r>
        <w:rPr>
          <w:color w:val="000000"/>
          <w:sz w:val="24"/>
          <w:szCs w:val="24"/>
          <w:lang w:eastAsia="fr-FR"/>
        </w:rPr>
        <w:t>,</w:t>
      </w:r>
      <w:r w:rsidRPr="00B70D71">
        <w:rPr>
          <w:color w:val="000000"/>
          <w:sz w:val="24"/>
          <w:szCs w:val="24"/>
          <w:lang w:eastAsia="fr-FR"/>
        </w:rPr>
        <w:t xml:space="preserve"> à éviter toutes sortes de violence sur leurs enfants</w:t>
      </w:r>
      <w:r>
        <w:rPr>
          <w:color w:val="000000"/>
          <w:sz w:val="24"/>
          <w:szCs w:val="24"/>
          <w:lang w:eastAsia="fr-FR"/>
        </w:rPr>
        <w:t xml:space="preserve"> ou en présence de leurs enfants</w:t>
      </w:r>
      <w:r w:rsidRPr="00B70D71">
        <w:rPr>
          <w:color w:val="000000"/>
          <w:sz w:val="24"/>
          <w:szCs w:val="24"/>
          <w:lang w:eastAsia="fr-FR"/>
        </w:rPr>
        <w:t xml:space="preserve">. Aussi, les parents doivent vérifier les sacs des enfants à l'aller et au retour des classes et </w:t>
      </w:r>
      <w:r>
        <w:rPr>
          <w:color w:val="000000"/>
          <w:sz w:val="24"/>
          <w:szCs w:val="24"/>
          <w:lang w:eastAsia="fr-FR"/>
        </w:rPr>
        <w:t>surveiller</w:t>
      </w:r>
      <w:r w:rsidRPr="00B70D71">
        <w:rPr>
          <w:color w:val="000000"/>
          <w:sz w:val="24"/>
          <w:szCs w:val="24"/>
          <w:lang w:eastAsia="fr-FR"/>
        </w:rPr>
        <w:t xml:space="preserve"> leur fréquentation</w:t>
      </w:r>
      <w:r>
        <w:rPr>
          <w:color w:val="000000"/>
          <w:sz w:val="24"/>
          <w:szCs w:val="24"/>
          <w:lang w:eastAsia="fr-FR"/>
        </w:rPr>
        <w:t xml:space="preserve"> tant à l’école que dans le quartier</w:t>
      </w:r>
      <w:r w:rsidRPr="00B70D71">
        <w:rPr>
          <w:color w:val="000000"/>
          <w:sz w:val="24"/>
          <w:szCs w:val="24"/>
          <w:lang w:eastAsia="fr-FR"/>
        </w:rPr>
        <w:t xml:space="preserve">. </w:t>
      </w:r>
    </w:p>
    <w:p w14:paraId="053E7FA1" w14:textId="77777777" w:rsidR="00D80693" w:rsidRDefault="00D80693" w:rsidP="008276DA">
      <w:pPr>
        <w:spacing w:before="120" w:after="240"/>
        <w:ind w:left="-5" w:right="48" w:hanging="10"/>
        <w:jc w:val="both"/>
        <w:rPr>
          <w:color w:val="000000"/>
          <w:sz w:val="24"/>
          <w:szCs w:val="24"/>
          <w:highlight w:val="yellow"/>
          <w:lang w:eastAsia="fr-FR"/>
        </w:rPr>
      </w:pPr>
      <w:r>
        <w:rPr>
          <w:color w:val="000000"/>
          <w:sz w:val="24"/>
          <w:szCs w:val="24"/>
          <w:lang w:eastAsia="fr-FR"/>
        </w:rPr>
        <w:t>Pour la recherche, certains points pourraient être approfondis, notamment en ouvrant l’étude à</w:t>
      </w:r>
      <w:r w:rsidRPr="00B70D71">
        <w:rPr>
          <w:color w:val="000000"/>
          <w:sz w:val="24"/>
          <w:szCs w:val="24"/>
          <w:lang w:eastAsia="fr-FR"/>
        </w:rPr>
        <w:t xml:space="preserve"> une population plus vaste</w:t>
      </w:r>
      <w:r>
        <w:rPr>
          <w:color w:val="000000"/>
          <w:sz w:val="24"/>
          <w:szCs w:val="24"/>
          <w:lang w:eastAsia="fr-FR"/>
        </w:rPr>
        <w:t xml:space="preserve"> et variée</w:t>
      </w:r>
      <w:r w:rsidRPr="00B70D71">
        <w:rPr>
          <w:color w:val="000000"/>
          <w:sz w:val="24"/>
          <w:szCs w:val="24"/>
          <w:lang w:eastAsia="fr-FR"/>
        </w:rPr>
        <w:t xml:space="preserve"> </w:t>
      </w:r>
      <w:r>
        <w:rPr>
          <w:color w:val="000000"/>
          <w:sz w:val="24"/>
          <w:szCs w:val="24"/>
          <w:lang w:eastAsia="fr-FR"/>
        </w:rPr>
        <w:t>comme</w:t>
      </w:r>
      <w:r w:rsidRPr="00B70D71">
        <w:rPr>
          <w:color w:val="000000"/>
          <w:sz w:val="24"/>
          <w:szCs w:val="24"/>
          <w:lang w:eastAsia="fr-FR"/>
        </w:rPr>
        <w:t xml:space="preserve"> </w:t>
      </w:r>
      <w:r>
        <w:rPr>
          <w:color w:val="000000"/>
          <w:sz w:val="24"/>
          <w:szCs w:val="24"/>
          <w:lang w:eastAsia="fr-FR"/>
        </w:rPr>
        <w:t xml:space="preserve">le </w:t>
      </w:r>
      <w:r w:rsidRPr="00B70D71">
        <w:rPr>
          <w:color w:val="000000"/>
          <w:sz w:val="24"/>
          <w:szCs w:val="24"/>
          <w:lang w:eastAsia="fr-FR"/>
        </w:rPr>
        <w:t xml:space="preserve">personnel enseignant et </w:t>
      </w:r>
      <w:r>
        <w:rPr>
          <w:color w:val="000000"/>
          <w:sz w:val="24"/>
          <w:szCs w:val="24"/>
          <w:lang w:eastAsia="fr-FR"/>
        </w:rPr>
        <w:t xml:space="preserve">le personnel </w:t>
      </w:r>
      <w:r w:rsidRPr="00B70D71">
        <w:rPr>
          <w:color w:val="000000"/>
          <w:sz w:val="24"/>
          <w:szCs w:val="24"/>
          <w:lang w:eastAsia="fr-FR"/>
        </w:rPr>
        <w:t>administratif</w:t>
      </w:r>
      <w:r>
        <w:rPr>
          <w:color w:val="000000"/>
          <w:sz w:val="24"/>
          <w:szCs w:val="24"/>
          <w:lang w:eastAsia="fr-FR"/>
        </w:rPr>
        <w:t xml:space="preserve"> ; </w:t>
      </w:r>
      <w:r w:rsidRPr="00B70D71">
        <w:rPr>
          <w:color w:val="000000"/>
          <w:sz w:val="24"/>
          <w:szCs w:val="24"/>
          <w:lang w:eastAsia="fr-FR"/>
        </w:rPr>
        <w:t xml:space="preserve">en prenant en compte </w:t>
      </w:r>
      <w:r>
        <w:rPr>
          <w:color w:val="000000"/>
          <w:sz w:val="24"/>
          <w:szCs w:val="24"/>
          <w:lang w:eastAsia="fr-FR"/>
        </w:rPr>
        <w:t xml:space="preserve">l’étude des autres </w:t>
      </w:r>
      <w:r w:rsidRPr="00B70D71">
        <w:rPr>
          <w:color w:val="000000"/>
          <w:sz w:val="24"/>
          <w:szCs w:val="24"/>
          <w:lang w:eastAsia="fr-FR"/>
        </w:rPr>
        <w:t>facteurs associés à la consommation de drogues en milieu scolaire</w:t>
      </w:r>
      <w:r>
        <w:rPr>
          <w:color w:val="000000"/>
          <w:sz w:val="24"/>
          <w:szCs w:val="24"/>
          <w:lang w:eastAsia="fr-FR"/>
        </w:rPr>
        <w:t>,</w:t>
      </w:r>
      <w:r w:rsidRPr="00B70D71">
        <w:rPr>
          <w:color w:val="000000"/>
          <w:sz w:val="24"/>
          <w:szCs w:val="24"/>
          <w:lang w:eastAsia="fr-FR"/>
        </w:rPr>
        <w:t> </w:t>
      </w:r>
      <w:r>
        <w:rPr>
          <w:color w:val="000000"/>
          <w:sz w:val="24"/>
          <w:szCs w:val="24"/>
          <w:lang w:eastAsia="fr-FR"/>
        </w:rPr>
        <w:t>ainsi que l’étude d</w:t>
      </w:r>
      <w:r w:rsidRPr="00B70D71">
        <w:rPr>
          <w:color w:val="000000"/>
          <w:sz w:val="24"/>
          <w:szCs w:val="24"/>
          <w:lang w:eastAsia="fr-FR"/>
        </w:rPr>
        <w:t>es conséquences de la consommation des SPA qui</w:t>
      </w:r>
      <w:r>
        <w:rPr>
          <w:color w:val="000000"/>
          <w:sz w:val="24"/>
          <w:szCs w:val="24"/>
          <w:lang w:eastAsia="fr-FR"/>
        </w:rPr>
        <w:t>,</w:t>
      </w:r>
      <w:r w:rsidRPr="00B70D71">
        <w:rPr>
          <w:color w:val="000000"/>
          <w:sz w:val="24"/>
          <w:szCs w:val="24"/>
          <w:lang w:eastAsia="fr-FR"/>
        </w:rPr>
        <w:t xml:space="preserve"> </w:t>
      </w:r>
      <w:r>
        <w:rPr>
          <w:color w:val="000000"/>
          <w:sz w:val="24"/>
          <w:szCs w:val="24"/>
          <w:lang w:eastAsia="fr-FR"/>
        </w:rPr>
        <w:t>parfois à leur tour génèrent</w:t>
      </w:r>
      <w:r w:rsidRPr="00B70D71">
        <w:rPr>
          <w:color w:val="000000"/>
          <w:sz w:val="24"/>
          <w:szCs w:val="24"/>
          <w:lang w:eastAsia="fr-FR"/>
        </w:rPr>
        <w:t xml:space="preserve"> de nouveaux phénomènes à l’instar du phénomène de violence en milieu scolaire.</w:t>
      </w:r>
    </w:p>
    <w:p w14:paraId="49B2F4F1" w14:textId="77777777" w:rsidR="00D80693" w:rsidRPr="0008120D" w:rsidRDefault="00D80693" w:rsidP="008276DA">
      <w:pPr>
        <w:spacing w:before="120"/>
        <w:rPr>
          <w:rFonts w:eastAsia="Calibri"/>
          <w:b/>
          <w:bCs/>
          <w:sz w:val="28"/>
          <w:szCs w:val="28"/>
          <w:lang w:eastAsia="fr-FR"/>
        </w:rPr>
      </w:pPr>
      <w:r w:rsidRPr="0008120D">
        <w:rPr>
          <w:rFonts w:eastAsiaTheme="minorHAnsi"/>
          <w:b/>
          <w:bCs/>
          <w:sz w:val="28"/>
          <w:szCs w:val="28"/>
          <w:lang w:eastAsia="fr-FR"/>
        </w:rPr>
        <w:t xml:space="preserve">Conclusion </w:t>
      </w:r>
    </w:p>
    <w:p w14:paraId="716B96E4" w14:textId="77777777" w:rsidR="00D80693" w:rsidRDefault="00D80693" w:rsidP="008276DA">
      <w:pPr>
        <w:spacing w:before="120"/>
        <w:jc w:val="both"/>
        <w:rPr>
          <w:rFonts w:ascii="Calibri" w:eastAsia="Calibri" w:hAnsi="Calibri"/>
        </w:rPr>
      </w:pPr>
      <w:r w:rsidRPr="00B70D71">
        <w:rPr>
          <w:color w:val="000000"/>
          <w:sz w:val="24"/>
          <w:szCs w:val="24"/>
          <w:lang w:eastAsia="fr-FR"/>
        </w:rPr>
        <w:t>En définitive, nous avons mené ce travail dans le but général d’étudier les facteurs sociaux qui déterminent la consommation de drogues chez les élèves</w:t>
      </w:r>
      <w:r>
        <w:rPr>
          <w:color w:val="000000"/>
          <w:sz w:val="24"/>
          <w:szCs w:val="24"/>
          <w:lang w:eastAsia="fr-FR"/>
        </w:rPr>
        <w:t xml:space="preserve"> </w:t>
      </w:r>
      <w:r w:rsidRPr="00794E07">
        <w:rPr>
          <w:color w:val="000000"/>
          <w:sz w:val="24"/>
          <w:szCs w:val="24"/>
        </w:rPr>
        <w:t>inscrits au Lycée de Ouro-</w:t>
      </w:r>
      <w:proofErr w:type="spellStart"/>
      <w:r w:rsidRPr="00794E07">
        <w:rPr>
          <w:color w:val="000000"/>
          <w:sz w:val="24"/>
          <w:szCs w:val="24"/>
        </w:rPr>
        <w:t>Hourso</w:t>
      </w:r>
      <w:proofErr w:type="spellEnd"/>
      <w:r w:rsidRPr="00794E07">
        <w:rPr>
          <w:color w:val="000000"/>
          <w:sz w:val="24"/>
          <w:szCs w:val="24"/>
        </w:rPr>
        <w:t xml:space="preserve"> et au Collège Moderne de la Bénoué</w:t>
      </w:r>
      <w:r w:rsidRPr="00B70D71">
        <w:rPr>
          <w:color w:val="000000"/>
          <w:sz w:val="24"/>
          <w:szCs w:val="24"/>
          <w:lang w:eastAsia="fr-FR"/>
        </w:rPr>
        <w:t>.</w:t>
      </w:r>
      <w:r w:rsidRPr="00B70D71">
        <w:rPr>
          <w:rFonts w:eastAsiaTheme="minorHAnsi"/>
          <w:sz w:val="24"/>
          <w:szCs w:val="24"/>
        </w:rPr>
        <w:t xml:space="preserve"> </w:t>
      </w:r>
      <w:r>
        <w:rPr>
          <w:rFonts w:eastAsiaTheme="minorHAnsi"/>
          <w:sz w:val="24"/>
          <w:szCs w:val="24"/>
        </w:rPr>
        <w:t>Sur la base de la littérature sur le sujet, n</w:t>
      </w:r>
      <w:r w:rsidRPr="00B70D71">
        <w:rPr>
          <w:color w:val="000000"/>
          <w:sz w:val="24"/>
          <w:szCs w:val="24"/>
          <w:lang w:eastAsia="fr-FR"/>
        </w:rPr>
        <w:t>ous avons retenu trois facteurs sociaux principaux qui sont : les pairs, la famille et le quartier de résidence.</w:t>
      </w:r>
      <w:r w:rsidRPr="00B70D71">
        <w:rPr>
          <w:rFonts w:eastAsiaTheme="minorHAnsi"/>
          <w:sz w:val="24"/>
          <w:szCs w:val="24"/>
        </w:rPr>
        <w:t xml:space="preserve"> </w:t>
      </w:r>
      <w:r>
        <w:rPr>
          <w:rFonts w:eastAsiaTheme="minorHAnsi"/>
          <w:sz w:val="24"/>
          <w:szCs w:val="24"/>
        </w:rPr>
        <w:t xml:space="preserve">Nous avons recueilli à l’aide d’un </w:t>
      </w:r>
      <w:r w:rsidRPr="00B70D71">
        <w:rPr>
          <w:color w:val="000000"/>
          <w:sz w:val="24"/>
          <w:szCs w:val="24"/>
          <w:lang w:eastAsia="fr-FR"/>
        </w:rPr>
        <w:t xml:space="preserve">questionnaire </w:t>
      </w:r>
      <w:r>
        <w:rPr>
          <w:rFonts w:eastAsiaTheme="minorHAnsi"/>
          <w:sz w:val="24"/>
          <w:szCs w:val="24"/>
        </w:rPr>
        <w:t xml:space="preserve">625 réponses et avons analysé les données des </w:t>
      </w:r>
      <w:r w:rsidRPr="009C2127">
        <w:rPr>
          <w:color w:val="000000"/>
          <w:sz w:val="24"/>
          <w:szCs w:val="24"/>
          <w:lang w:eastAsia="fr-FR"/>
        </w:rPr>
        <w:t xml:space="preserve">254 répondants </w:t>
      </w:r>
      <w:r>
        <w:rPr>
          <w:color w:val="000000"/>
          <w:sz w:val="24"/>
          <w:szCs w:val="24"/>
          <w:lang w:eastAsia="fr-FR"/>
        </w:rPr>
        <w:t>ayant</w:t>
      </w:r>
      <w:r w:rsidRPr="009C2127">
        <w:rPr>
          <w:color w:val="000000"/>
          <w:sz w:val="24"/>
          <w:szCs w:val="24"/>
          <w:lang w:eastAsia="fr-FR"/>
        </w:rPr>
        <w:t xml:space="preserve"> déclaré qu’ils </w:t>
      </w:r>
      <w:r>
        <w:rPr>
          <w:color w:val="000000"/>
          <w:sz w:val="24"/>
          <w:szCs w:val="24"/>
          <w:lang w:eastAsia="fr-FR"/>
        </w:rPr>
        <w:t>avaient</w:t>
      </w:r>
      <w:r w:rsidRPr="009C2127">
        <w:rPr>
          <w:color w:val="000000"/>
          <w:sz w:val="24"/>
          <w:szCs w:val="24"/>
          <w:lang w:eastAsia="fr-FR"/>
        </w:rPr>
        <w:t xml:space="preserve"> consommé des </w:t>
      </w:r>
      <w:r>
        <w:rPr>
          <w:color w:val="000000"/>
          <w:sz w:val="24"/>
          <w:szCs w:val="24"/>
          <w:lang w:eastAsia="fr-FR"/>
        </w:rPr>
        <w:t>SPA</w:t>
      </w:r>
      <w:r w:rsidRPr="009C2127">
        <w:rPr>
          <w:color w:val="000000"/>
          <w:sz w:val="24"/>
          <w:szCs w:val="24"/>
          <w:lang w:eastAsia="fr-FR"/>
        </w:rPr>
        <w:t xml:space="preserve"> dans les 18 derniers mois précédant l’enquête</w:t>
      </w:r>
      <w:r>
        <w:rPr>
          <w:color w:val="000000"/>
          <w:sz w:val="24"/>
          <w:szCs w:val="24"/>
          <w:lang w:eastAsia="fr-FR"/>
        </w:rPr>
        <w:t>.</w:t>
      </w:r>
      <w:r w:rsidRPr="00B70D71">
        <w:rPr>
          <w:color w:val="000000"/>
          <w:sz w:val="24"/>
          <w:szCs w:val="24"/>
          <w:lang w:eastAsia="fr-FR"/>
        </w:rPr>
        <w:t xml:space="preserve"> </w:t>
      </w:r>
      <w:r>
        <w:rPr>
          <w:color w:val="000000"/>
          <w:sz w:val="24"/>
          <w:szCs w:val="24"/>
        </w:rPr>
        <w:t>L</w:t>
      </w:r>
      <w:r w:rsidRPr="00794E07">
        <w:rPr>
          <w:color w:val="000000"/>
          <w:sz w:val="24"/>
          <w:szCs w:val="24"/>
        </w:rPr>
        <w:t xml:space="preserve">es filles représentaient 35 %, avec </w:t>
      </w:r>
      <w:proofErr w:type="gramStart"/>
      <w:r w:rsidRPr="00794E07">
        <w:rPr>
          <w:color w:val="000000"/>
          <w:sz w:val="24"/>
          <w:szCs w:val="24"/>
        </w:rPr>
        <w:t>un sex-ratio</w:t>
      </w:r>
      <w:proofErr w:type="gramEnd"/>
      <w:r w:rsidRPr="00794E07">
        <w:rPr>
          <w:color w:val="000000"/>
          <w:sz w:val="24"/>
          <w:szCs w:val="24"/>
        </w:rPr>
        <w:t xml:space="preserve"> de 1,8. L’âge moyen était 19,25 ± 2,3 ans</w:t>
      </w:r>
      <w:r>
        <w:rPr>
          <w:color w:val="000000"/>
          <w:sz w:val="24"/>
          <w:szCs w:val="24"/>
        </w:rPr>
        <w:t xml:space="preserve"> avec des extrêmes de 10 et 24 ans</w:t>
      </w:r>
      <w:r w:rsidRPr="00794E07">
        <w:rPr>
          <w:color w:val="000000"/>
          <w:sz w:val="24"/>
          <w:szCs w:val="24"/>
        </w:rPr>
        <w:t>, et la tranche d’âge la plus représentée était celle de 16 à 20 ans (</w:t>
      </w:r>
      <w:r>
        <w:rPr>
          <w:color w:val="000000"/>
          <w:sz w:val="24"/>
          <w:szCs w:val="24"/>
        </w:rPr>
        <w:t xml:space="preserve">soit </w:t>
      </w:r>
      <w:r w:rsidRPr="00794E07">
        <w:rPr>
          <w:color w:val="000000"/>
          <w:sz w:val="24"/>
          <w:szCs w:val="24"/>
        </w:rPr>
        <w:t xml:space="preserve">67 %). </w:t>
      </w:r>
      <w:r w:rsidRPr="00024C15">
        <w:rPr>
          <w:color w:val="000000"/>
          <w:sz w:val="24"/>
          <w:szCs w:val="24"/>
          <w:lang w:eastAsia="fr-FR"/>
        </w:rPr>
        <w:t xml:space="preserve">Les principales drogues les plus consommées par nos élèves étaient : les alcools (68,50%) ; la Chicha (31,88%) ; le Banga (16,53%) ; les cigarettes (15,74%) ; le </w:t>
      </w:r>
      <w:proofErr w:type="spellStart"/>
      <w:r w:rsidRPr="00024C15">
        <w:rPr>
          <w:color w:val="000000"/>
          <w:sz w:val="24"/>
          <w:szCs w:val="24"/>
          <w:lang w:eastAsia="fr-FR"/>
        </w:rPr>
        <w:t>tramadol</w:t>
      </w:r>
      <w:proofErr w:type="spellEnd"/>
      <w:r w:rsidRPr="00024C15">
        <w:rPr>
          <w:color w:val="000000"/>
          <w:sz w:val="24"/>
          <w:szCs w:val="24"/>
          <w:lang w:eastAsia="fr-FR"/>
        </w:rPr>
        <w:t xml:space="preserve"> (14,96%) ; le tabac (12,59%) ; le Diazépam (5,90%) ; les drogues injectées (5,11%) ; la cocaïne (4,72%) ; les somnifères (3,93%). De plus, parmi tous ces élèves, 22,83% consommaient au moins trois formes de SPA</w:t>
      </w:r>
      <w:r>
        <w:rPr>
          <w:color w:val="000000"/>
          <w:sz w:val="24"/>
          <w:szCs w:val="24"/>
          <w:lang w:eastAsia="fr-FR"/>
        </w:rPr>
        <w:t xml:space="preserve"> (</w:t>
      </w:r>
      <w:proofErr w:type="spellStart"/>
      <w:r w:rsidRPr="002B5CEF">
        <w:rPr>
          <w:i/>
          <w:iCs/>
          <w:color w:val="000000"/>
          <w:sz w:val="24"/>
          <w:szCs w:val="24"/>
          <w:lang w:eastAsia="fr-FR"/>
        </w:rPr>
        <w:t>polyusage</w:t>
      </w:r>
      <w:proofErr w:type="spellEnd"/>
      <w:r>
        <w:rPr>
          <w:color w:val="000000"/>
          <w:sz w:val="24"/>
          <w:szCs w:val="24"/>
          <w:lang w:eastAsia="fr-FR"/>
        </w:rPr>
        <w:t>)</w:t>
      </w:r>
      <w:r w:rsidRPr="00024C15">
        <w:rPr>
          <w:color w:val="000000"/>
          <w:sz w:val="24"/>
          <w:szCs w:val="24"/>
          <w:lang w:eastAsia="fr-FR"/>
        </w:rPr>
        <w:t xml:space="preserve">. </w:t>
      </w:r>
      <w:r w:rsidRPr="00B70D71">
        <w:rPr>
          <w:color w:val="000000"/>
          <w:sz w:val="24"/>
          <w:szCs w:val="24"/>
          <w:lang w:eastAsia="fr-FR"/>
        </w:rPr>
        <w:t>Après</w:t>
      </w:r>
      <w:r>
        <w:rPr>
          <w:color w:val="000000"/>
          <w:sz w:val="24"/>
          <w:szCs w:val="24"/>
          <w:lang w:eastAsia="fr-FR"/>
        </w:rPr>
        <w:t xml:space="preserve"> une </w:t>
      </w:r>
      <w:r w:rsidRPr="00B70D71">
        <w:rPr>
          <w:color w:val="000000"/>
          <w:sz w:val="24"/>
          <w:szCs w:val="24"/>
          <w:lang w:eastAsia="fr-FR"/>
        </w:rPr>
        <w:t xml:space="preserve">vérification des hypothèses </w:t>
      </w:r>
      <w:r>
        <w:rPr>
          <w:color w:val="000000"/>
          <w:sz w:val="24"/>
          <w:szCs w:val="24"/>
          <w:lang w:eastAsia="fr-FR"/>
        </w:rPr>
        <w:t>au test du</w:t>
      </w:r>
      <w:r w:rsidRPr="00B70D71">
        <w:rPr>
          <w:color w:val="000000"/>
          <w:sz w:val="24"/>
          <w:szCs w:val="24"/>
          <w:lang w:eastAsia="fr-FR"/>
        </w:rPr>
        <w:t xml:space="preserve"> khi-deux, nous avons obtenus </w:t>
      </w:r>
      <w:r>
        <w:rPr>
          <w:color w:val="000000"/>
          <w:sz w:val="24"/>
          <w:szCs w:val="24"/>
          <w:lang w:eastAsia="fr-FR"/>
        </w:rPr>
        <w:t xml:space="preserve">les </w:t>
      </w:r>
      <w:r w:rsidRPr="00B70D71">
        <w:rPr>
          <w:color w:val="000000"/>
          <w:sz w:val="24"/>
          <w:szCs w:val="24"/>
          <w:lang w:eastAsia="fr-FR"/>
        </w:rPr>
        <w:t>valeurs significatives moyennes de p= 0,000 pour HR1 (Fréquentation des pairs et consommation des SPA) ; ensuite p=0,028 pour HR2 (</w:t>
      </w:r>
      <w:r>
        <w:rPr>
          <w:color w:val="000000"/>
          <w:sz w:val="24"/>
          <w:szCs w:val="24"/>
          <w:lang w:eastAsia="fr-FR"/>
        </w:rPr>
        <w:t>milieu familial</w:t>
      </w:r>
      <w:r w:rsidRPr="00B70D71">
        <w:rPr>
          <w:color w:val="000000"/>
          <w:sz w:val="24"/>
          <w:szCs w:val="24"/>
          <w:lang w:eastAsia="fr-FR"/>
        </w:rPr>
        <w:t xml:space="preserve"> et consommation des SPA) et p=0,012 pour HR3 (</w:t>
      </w:r>
      <w:r>
        <w:rPr>
          <w:color w:val="000000"/>
          <w:sz w:val="24"/>
          <w:szCs w:val="24"/>
          <w:lang w:eastAsia="fr-FR"/>
        </w:rPr>
        <w:t>Entourage dans le q</w:t>
      </w:r>
      <w:r w:rsidRPr="00B70D71">
        <w:rPr>
          <w:color w:val="000000"/>
          <w:sz w:val="24"/>
          <w:szCs w:val="24"/>
          <w:lang w:eastAsia="fr-FR"/>
        </w:rPr>
        <w:t xml:space="preserve">uartier de résidence et consommation des SPA). Ces valeurs de significativité toutes inférieures au seuil de signification (0,05) nous ont permis de conclure que </w:t>
      </w:r>
      <w:r>
        <w:rPr>
          <w:color w:val="000000"/>
          <w:sz w:val="24"/>
          <w:szCs w:val="24"/>
          <w:lang w:eastAsia="fr-FR"/>
        </w:rPr>
        <w:t>c</w:t>
      </w:r>
      <w:r w:rsidRPr="00B70D71">
        <w:rPr>
          <w:color w:val="000000"/>
          <w:sz w:val="24"/>
          <w:szCs w:val="24"/>
          <w:lang w:eastAsia="fr-FR"/>
        </w:rPr>
        <w:t xml:space="preserve">es facteurs sociaux déterminent </w:t>
      </w:r>
      <w:r>
        <w:rPr>
          <w:color w:val="000000"/>
          <w:sz w:val="24"/>
          <w:szCs w:val="24"/>
          <w:lang w:eastAsia="fr-FR"/>
        </w:rPr>
        <w:t>la consommation de drogues</w:t>
      </w:r>
      <w:r w:rsidRPr="00B70D71">
        <w:rPr>
          <w:color w:val="000000"/>
          <w:sz w:val="24"/>
          <w:szCs w:val="24"/>
          <w:lang w:eastAsia="fr-FR"/>
        </w:rPr>
        <w:t xml:space="preserve"> chez les jeunes en milieu scolaire. </w:t>
      </w:r>
      <w:r>
        <w:rPr>
          <w:color w:val="000000"/>
          <w:sz w:val="24"/>
          <w:szCs w:val="24"/>
          <w:lang w:eastAsia="fr-FR"/>
        </w:rPr>
        <w:t>Nous avons discuté nos</w:t>
      </w:r>
      <w:r w:rsidRPr="00B70D71">
        <w:rPr>
          <w:color w:val="000000"/>
          <w:sz w:val="24"/>
          <w:szCs w:val="24"/>
          <w:lang w:eastAsia="fr-FR"/>
        </w:rPr>
        <w:t xml:space="preserve"> résultats par rapport aux éléments de notre cadre théorique.</w:t>
      </w:r>
    </w:p>
    <w:p w14:paraId="4788A4C2" w14:textId="77777777" w:rsidR="00D80693" w:rsidRPr="002B5CEF" w:rsidRDefault="00D80693" w:rsidP="008276DA">
      <w:pPr>
        <w:spacing w:before="120"/>
        <w:jc w:val="both"/>
        <w:rPr>
          <w:rFonts w:ascii="Calibri" w:eastAsia="Calibri" w:hAnsi="Calibri"/>
        </w:rPr>
      </w:pPr>
      <w:r w:rsidRPr="002B5CEF">
        <w:rPr>
          <w:color w:val="000000"/>
          <w:sz w:val="24"/>
          <w:szCs w:val="24"/>
          <w:lang w:eastAsia="fr-FR"/>
        </w:rPr>
        <w:t xml:space="preserve">Bien qu’il soit intéressant d’approfondir l’étude des facteurs </w:t>
      </w:r>
      <w:r>
        <w:rPr>
          <w:color w:val="000000"/>
          <w:sz w:val="24"/>
          <w:szCs w:val="24"/>
          <w:lang w:eastAsia="fr-FR"/>
        </w:rPr>
        <w:t xml:space="preserve">sociaux </w:t>
      </w:r>
      <w:r w:rsidRPr="002B5CEF">
        <w:rPr>
          <w:color w:val="000000"/>
          <w:sz w:val="24"/>
          <w:szCs w:val="24"/>
          <w:lang w:eastAsia="fr-FR"/>
        </w:rPr>
        <w:t>associés à la consommation des SPA en milieu scolaire,</w:t>
      </w:r>
      <w:r>
        <w:rPr>
          <w:color w:val="000000"/>
          <w:sz w:val="24"/>
          <w:szCs w:val="24"/>
          <w:lang w:eastAsia="fr-FR"/>
        </w:rPr>
        <w:t xml:space="preserve"> ou d’élargir le contexte de l’étude pour une généralisation des résultats, </w:t>
      </w:r>
      <w:r w:rsidRPr="002B5CEF">
        <w:rPr>
          <w:color w:val="000000"/>
          <w:sz w:val="24"/>
          <w:szCs w:val="24"/>
          <w:lang w:eastAsia="fr-FR"/>
        </w:rPr>
        <w:t xml:space="preserve">ce travail montre l’urgence de mettre en place des interventions pour une prise en charge efficace, et </w:t>
      </w:r>
      <w:bookmarkStart w:id="306" w:name="_Hlk211333695"/>
      <w:r w:rsidRPr="002B5CEF">
        <w:rPr>
          <w:color w:val="000000"/>
          <w:sz w:val="24"/>
          <w:szCs w:val="24"/>
          <w:lang w:eastAsia="fr-FR"/>
        </w:rPr>
        <w:t>suggère ainsi que des mesures de prévention de l’usage de drogues en milieu scolaire soient développées</w:t>
      </w:r>
      <w:r>
        <w:rPr>
          <w:color w:val="000000"/>
          <w:sz w:val="24"/>
          <w:szCs w:val="24"/>
          <w:lang w:eastAsia="fr-FR"/>
        </w:rPr>
        <w:t>,</w:t>
      </w:r>
      <w:r w:rsidRPr="002B5CEF">
        <w:rPr>
          <w:color w:val="000000"/>
          <w:sz w:val="24"/>
          <w:szCs w:val="24"/>
          <w:lang w:eastAsia="fr-FR"/>
        </w:rPr>
        <w:t xml:space="preserve"> en prenant en compte ces principaux </w:t>
      </w:r>
      <w:r>
        <w:rPr>
          <w:color w:val="000000"/>
          <w:sz w:val="24"/>
          <w:szCs w:val="24"/>
          <w:lang w:eastAsia="fr-FR"/>
        </w:rPr>
        <w:t>déterminants sociaux</w:t>
      </w:r>
      <w:r w:rsidRPr="002B5CEF">
        <w:rPr>
          <w:color w:val="000000"/>
          <w:sz w:val="24"/>
          <w:szCs w:val="24"/>
          <w:lang w:eastAsia="fr-FR"/>
        </w:rPr>
        <w:t>.</w:t>
      </w:r>
      <w:bookmarkEnd w:id="306"/>
      <w:r w:rsidRPr="000C1E40">
        <w:rPr>
          <w:color w:val="000000"/>
          <w:sz w:val="24"/>
          <w:szCs w:val="24"/>
          <w:lang w:eastAsia="fr-FR"/>
        </w:rPr>
        <w:t xml:space="preserve"> </w:t>
      </w:r>
      <w:r w:rsidRPr="00B70D71">
        <w:rPr>
          <w:color w:val="000000"/>
          <w:sz w:val="24"/>
          <w:szCs w:val="24"/>
          <w:lang w:eastAsia="fr-FR"/>
        </w:rPr>
        <w:t xml:space="preserve"> </w:t>
      </w:r>
    </w:p>
    <w:p w14:paraId="1C3C5822" w14:textId="19847C1E" w:rsidR="00D80693" w:rsidRPr="00C41548" w:rsidRDefault="00D80693" w:rsidP="008276DA">
      <w:pPr>
        <w:spacing w:before="120"/>
        <w:rPr>
          <w:rFonts w:eastAsia="Calibri"/>
          <w:b/>
          <w:bCs/>
          <w:sz w:val="28"/>
          <w:szCs w:val="28"/>
          <w:lang w:eastAsia="fr-FR"/>
        </w:rPr>
      </w:pPr>
      <w:r w:rsidRPr="00C41548">
        <w:rPr>
          <w:rFonts w:eastAsiaTheme="minorHAnsi"/>
          <w:b/>
          <w:bCs/>
          <w:sz w:val="28"/>
          <w:szCs w:val="28"/>
          <w:lang w:eastAsia="fr-FR"/>
        </w:rPr>
        <w:t xml:space="preserve">Références </w:t>
      </w:r>
      <w:r w:rsidR="002410D0">
        <w:rPr>
          <w:rFonts w:eastAsiaTheme="minorHAnsi"/>
          <w:b/>
          <w:bCs/>
          <w:sz w:val="28"/>
          <w:szCs w:val="28"/>
          <w:lang w:eastAsia="fr-FR"/>
        </w:rPr>
        <w:t>bibliographiques</w:t>
      </w:r>
      <w:r w:rsidRPr="00B70D71">
        <w:rPr>
          <w:b/>
          <w:color w:val="000000"/>
          <w:sz w:val="24"/>
          <w:szCs w:val="24"/>
          <w:lang w:eastAsia="fr-FR"/>
        </w:rPr>
        <w:fldChar w:fldCharType="begin" w:fldLock="1"/>
      </w:r>
      <w:r w:rsidRPr="001B4C38">
        <w:rPr>
          <w:b/>
          <w:color w:val="000000"/>
          <w:sz w:val="24"/>
          <w:szCs w:val="24"/>
          <w:lang w:eastAsia="fr-FR"/>
        </w:rPr>
        <w:instrText xml:space="preserve">ADDIN Mendeley Bibliography CSL_BIBLIOGRAPHY </w:instrText>
      </w:r>
      <w:r w:rsidRPr="00B70D71">
        <w:rPr>
          <w:b/>
          <w:color w:val="000000"/>
          <w:sz w:val="24"/>
          <w:szCs w:val="24"/>
          <w:lang w:eastAsia="fr-FR"/>
        </w:rPr>
        <w:fldChar w:fldCharType="separate"/>
      </w:r>
    </w:p>
    <w:p w14:paraId="520DC0FB" w14:textId="77777777" w:rsidR="00D80693" w:rsidRDefault="00D80693" w:rsidP="008276DA">
      <w:pPr>
        <w:adjustRightInd w:val="0"/>
        <w:spacing w:before="120" w:after="120"/>
        <w:ind w:left="482" w:hanging="737"/>
        <w:jc w:val="both"/>
        <w:rPr>
          <w:noProof/>
          <w:sz w:val="24"/>
          <w:szCs w:val="24"/>
        </w:rPr>
      </w:pPr>
      <w:r w:rsidRPr="00EB5F9F">
        <w:rPr>
          <w:noProof/>
          <w:sz w:val="24"/>
          <w:szCs w:val="24"/>
        </w:rPr>
        <w:t xml:space="preserve">Badolo, L. (2018). La violence en milieu éducatif africain. </w:t>
      </w:r>
      <w:r w:rsidRPr="00EB5F9F">
        <w:rPr>
          <w:i/>
          <w:iCs/>
          <w:noProof/>
          <w:sz w:val="24"/>
          <w:szCs w:val="24"/>
        </w:rPr>
        <w:t>Psychologues et Psychologies</w:t>
      </w:r>
      <w:r w:rsidRPr="00EB5F9F">
        <w:rPr>
          <w:noProof/>
          <w:sz w:val="24"/>
          <w:szCs w:val="24"/>
        </w:rPr>
        <w:t xml:space="preserve">, </w:t>
      </w:r>
      <w:r w:rsidRPr="00EB5F9F">
        <w:rPr>
          <w:i/>
          <w:iCs/>
          <w:noProof/>
          <w:sz w:val="24"/>
          <w:szCs w:val="24"/>
        </w:rPr>
        <w:t>2</w:t>
      </w:r>
      <w:r w:rsidRPr="00EB5F9F">
        <w:rPr>
          <w:noProof/>
          <w:sz w:val="24"/>
          <w:szCs w:val="24"/>
        </w:rPr>
        <w:t>(255), 18–25.</w:t>
      </w:r>
      <w:bookmarkStart w:id="307" w:name="_Hlk214970977"/>
      <w:r w:rsidRPr="00EB5F9F">
        <w:rPr>
          <w:noProof/>
          <w:sz w:val="24"/>
          <w:szCs w:val="24"/>
        </w:rPr>
        <w:t xml:space="preserve"> https://doi.org/10.3917/pep.255.0010</w:t>
      </w:r>
      <w:bookmarkEnd w:id="307"/>
      <w:r w:rsidRPr="00EB5F9F">
        <w:rPr>
          <w:noProof/>
          <w:sz w:val="24"/>
          <w:szCs w:val="24"/>
        </w:rPr>
        <w:t xml:space="preserve"> </w:t>
      </w:r>
    </w:p>
    <w:p w14:paraId="74B13299" w14:textId="77777777" w:rsidR="00D80693" w:rsidRDefault="00D80693" w:rsidP="008276DA">
      <w:pPr>
        <w:adjustRightInd w:val="0"/>
        <w:spacing w:before="120" w:after="120"/>
        <w:ind w:left="482" w:hanging="737"/>
        <w:jc w:val="both"/>
        <w:rPr>
          <w:noProof/>
          <w:sz w:val="24"/>
          <w:szCs w:val="24"/>
        </w:rPr>
      </w:pPr>
      <w:r w:rsidRPr="00811AB5">
        <w:rPr>
          <w:noProof/>
          <w:sz w:val="24"/>
          <w:szCs w:val="24"/>
          <w:lang w:val="en-GB"/>
        </w:rPr>
        <w:t xml:space="preserve">Bronfenbrenner, U. (1979). </w:t>
      </w:r>
      <w:r w:rsidRPr="00811AB5">
        <w:rPr>
          <w:i/>
          <w:iCs/>
          <w:noProof/>
          <w:sz w:val="24"/>
          <w:szCs w:val="24"/>
          <w:lang w:val="en-GB"/>
        </w:rPr>
        <w:t>The Ecology of Human Development: Experiments by Nature and Design</w:t>
      </w:r>
      <w:r w:rsidRPr="00811AB5">
        <w:rPr>
          <w:noProof/>
          <w:sz w:val="24"/>
          <w:szCs w:val="24"/>
          <w:lang w:val="en-GB"/>
        </w:rPr>
        <w:t xml:space="preserve">. </w:t>
      </w:r>
      <w:r w:rsidRPr="001345BA">
        <w:rPr>
          <w:noProof/>
          <w:sz w:val="24"/>
          <w:szCs w:val="24"/>
        </w:rPr>
        <w:t>Harvard University Press.</w:t>
      </w:r>
    </w:p>
    <w:p w14:paraId="4CEF1A7B" w14:textId="77777777" w:rsidR="00D80693" w:rsidRPr="00EB5F9F" w:rsidRDefault="00D80693" w:rsidP="008276DA">
      <w:pPr>
        <w:adjustRightInd w:val="0"/>
        <w:spacing w:before="120" w:after="120"/>
        <w:ind w:left="482" w:hanging="737"/>
        <w:jc w:val="both"/>
        <w:rPr>
          <w:noProof/>
          <w:sz w:val="24"/>
          <w:szCs w:val="24"/>
        </w:rPr>
      </w:pPr>
      <w:r w:rsidRPr="00B70D71">
        <w:rPr>
          <w:rFonts w:eastAsia="SimSun"/>
          <w:sz w:val="24"/>
          <w:szCs w:val="24"/>
          <w:lang w:val="fr-CM" w:eastAsia="zh-CN"/>
        </w:rPr>
        <w:t>Centre National de Prévention du Crime [CNPC]. (2009). L</w:t>
      </w:r>
      <w:r w:rsidRPr="00B70D71">
        <w:rPr>
          <w:rFonts w:eastAsia="SimSun"/>
          <w:i/>
          <w:iCs/>
          <w:sz w:val="24"/>
          <w:szCs w:val="24"/>
          <w:lang w:val="fr-CM" w:eastAsia="zh-CN"/>
        </w:rPr>
        <w:t xml:space="preserve">a prévention de l’abus de drogues en milieu scolaire : des programmes prometteurs et efficaces. </w:t>
      </w:r>
      <w:r w:rsidRPr="00B70D71">
        <w:rPr>
          <w:rFonts w:eastAsia="SimSun"/>
          <w:sz w:val="24"/>
          <w:szCs w:val="24"/>
          <w:lang w:val="fr-CM" w:eastAsia="zh-CN"/>
        </w:rPr>
        <w:t>Sécurité publique Canada</w:t>
      </w:r>
      <w:r>
        <w:rPr>
          <w:rFonts w:eastAsia="SimSun"/>
          <w:sz w:val="24"/>
          <w:szCs w:val="24"/>
          <w:lang w:val="fr-CM" w:eastAsia="zh-CN"/>
        </w:rPr>
        <w:t>.</w:t>
      </w:r>
    </w:p>
    <w:p w14:paraId="0BD7C71D" w14:textId="77777777" w:rsidR="00D80693" w:rsidRDefault="00D80693" w:rsidP="008276DA">
      <w:pPr>
        <w:adjustRightInd w:val="0"/>
        <w:spacing w:before="120" w:after="120"/>
        <w:ind w:left="482" w:hanging="737"/>
        <w:jc w:val="both"/>
        <w:rPr>
          <w:noProof/>
          <w:sz w:val="24"/>
          <w:szCs w:val="24"/>
        </w:rPr>
      </w:pPr>
      <w:r w:rsidRPr="00FB6480">
        <w:rPr>
          <w:noProof/>
          <w:sz w:val="24"/>
          <w:szCs w:val="24"/>
        </w:rPr>
        <w:t xml:space="preserve">Chaffi, C. I., &amp; Ndoumba, F. (2017). </w:t>
      </w:r>
      <w:r w:rsidRPr="00EB5F9F">
        <w:rPr>
          <w:noProof/>
          <w:sz w:val="24"/>
          <w:szCs w:val="24"/>
        </w:rPr>
        <w:t xml:space="preserve">Les origines, les causes et les conséquences de la drogue en milieu scolaire. </w:t>
      </w:r>
      <w:r w:rsidRPr="00EB5F9F">
        <w:rPr>
          <w:i/>
          <w:iCs/>
          <w:noProof/>
          <w:sz w:val="24"/>
          <w:szCs w:val="24"/>
        </w:rPr>
        <w:t>Drogue, sexe et violences en milieu scolaire au Cameroun</w:t>
      </w:r>
      <w:r w:rsidRPr="00EB5F9F">
        <w:rPr>
          <w:noProof/>
          <w:sz w:val="24"/>
          <w:szCs w:val="24"/>
        </w:rPr>
        <w:t xml:space="preserve">, </w:t>
      </w:r>
      <w:r w:rsidRPr="00EB5F9F">
        <w:rPr>
          <w:i/>
          <w:iCs/>
          <w:noProof/>
          <w:sz w:val="24"/>
          <w:szCs w:val="24"/>
        </w:rPr>
        <w:t>2</w:t>
      </w:r>
      <w:r w:rsidRPr="00EB5F9F">
        <w:rPr>
          <w:noProof/>
          <w:sz w:val="24"/>
          <w:szCs w:val="24"/>
        </w:rPr>
        <w:t xml:space="preserve">, 12–14. </w:t>
      </w:r>
      <w:bookmarkStart w:id="308" w:name="_Hlk214971108"/>
      <w:r>
        <w:rPr>
          <w:noProof/>
          <w:sz w:val="24"/>
          <w:szCs w:val="24"/>
        </w:rPr>
        <w:t>https://</w:t>
      </w:r>
      <w:r w:rsidRPr="00EB5F9F">
        <w:rPr>
          <w:noProof/>
          <w:sz w:val="24"/>
          <w:szCs w:val="24"/>
        </w:rPr>
        <w:t xml:space="preserve">www.centrederechercheapriori.com </w:t>
      </w:r>
      <w:bookmarkEnd w:id="308"/>
    </w:p>
    <w:p w14:paraId="6FFE629F" w14:textId="77777777" w:rsidR="00D80693" w:rsidRDefault="00D80693" w:rsidP="008276DA">
      <w:pPr>
        <w:adjustRightInd w:val="0"/>
        <w:spacing w:before="120" w:after="120"/>
        <w:ind w:left="482" w:hanging="737"/>
        <w:jc w:val="both"/>
        <w:rPr>
          <w:rFonts w:eastAsia="Calibri"/>
          <w:noProof/>
          <w:sz w:val="24"/>
          <w:szCs w:val="24"/>
        </w:rPr>
      </w:pPr>
      <w:r w:rsidRPr="00F73BBD">
        <w:rPr>
          <w:noProof/>
          <w:sz w:val="24"/>
          <w:szCs w:val="24"/>
        </w:rPr>
        <w:t>Duprez, D.</w:t>
      </w:r>
      <w:r>
        <w:rPr>
          <w:noProof/>
          <w:sz w:val="24"/>
          <w:szCs w:val="24"/>
        </w:rPr>
        <w:t>,</w:t>
      </w:r>
      <w:r w:rsidRPr="00F73BBD">
        <w:rPr>
          <w:noProof/>
          <w:sz w:val="24"/>
          <w:szCs w:val="24"/>
        </w:rPr>
        <w:t xml:space="preserve"> </w:t>
      </w:r>
      <w:r>
        <w:rPr>
          <w:noProof/>
          <w:sz w:val="24"/>
          <w:szCs w:val="24"/>
        </w:rPr>
        <w:t>&amp;</w:t>
      </w:r>
      <w:r w:rsidRPr="00F73BBD">
        <w:rPr>
          <w:noProof/>
          <w:sz w:val="24"/>
          <w:szCs w:val="24"/>
        </w:rPr>
        <w:t xml:space="preserve"> Kokoreff, M. (2000). Usages et trafics de drogues en milieux populaires. In : </w:t>
      </w:r>
      <w:r w:rsidRPr="00F73BBD">
        <w:rPr>
          <w:i/>
          <w:iCs/>
          <w:noProof/>
          <w:sz w:val="24"/>
          <w:szCs w:val="24"/>
        </w:rPr>
        <w:t>Déviance et société,</w:t>
      </w:r>
      <w:r w:rsidRPr="00F73BBD">
        <w:rPr>
          <w:noProof/>
          <w:sz w:val="24"/>
          <w:szCs w:val="24"/>
        </w:rPr>
        <w:t xml:space="preserve"> 24(2), 143-166. doi : https://doi.org/10.3406/ds.2000.1722</w:t>
      </w:r>
      <w:r>
        <w:rPr>
          <w:noProof/>
          <w:sz w:val="24"/>
          <w:szCs w:val="24"/>
        </w:rPr>
        <w:t xml:space="preserve"> </w:t>
      </w:r>
      <w:r w:rsidRPr="00263809">
        <w:rPr>
          <w:rFonts w:eastAsiaTheme="minorHAnsi"/>
          <w:noProof/>
          <w:sz w:val="24"/>
          <w:szCs w:val="24"/>
        </w:rPr>
        <w:t xml:space="preserve"> </w:t>
      </w:r>
    </w:p>
    <w:p w14:paraId="0D1A6BB8" w14:textId="77777777" w:rsidR="00D80693" w:rsidRPr="00AD7754" w:rsidRDefault="00D80693" w:rsidP="008276DA">
      <w:pPr>
        <w:adjustRightInd w:val="0"/>
        <w:spacing w:before="120" w:after="120"/>
        <w:ind w:left="482" w:hanging="737"/>
        <w:jc w:val="both"/>
        <w:rPr>
          <w:rFonts w:eastAsia="Calibri"/>
          <w:noProof/>
          <w:sz w:val="24"/>
          <w:szCs w:val="24"/>
          <w:lang w:val="en-GB"/>
        </w:rPr>
      </w:pPr>
      <w:proofErr w:type="spellStart"/>
      <w:r w:rsidRPr="00B70D71">
        <w:rPr>
          <w:rFonts w:eastAsia="SimSun"/>
          <w:sz w:val="24"/>
          <w:szCs w:val="24"/>
          <w:lang w:eastAsia="zh-CN"/>
        </w:rPr>
        <w:t>Eyoum</w:t>
      </w:r>
      <w:proofErr w:type="spellEnd"/>
      <w:r>
        <w:rPr>
          <w:rFonts w:eastAsia="SimSun"/>
          <w:sz w:val="24"/>
          <w:szCs w:val="24"/>
          <w:lang w:eastAsia="zh-CN"/>
        </w:rPr>
        <w:t>, C.,</w:t>
      </w:r>
      <w:r w:rsidRPr="009205EE">
        <w:rPr>
          <w:rFonts w:eastAsia="SimSun"/>
          <w:sz w:val="24"/>
          <w:szCs w:val="24"/>
          <w:lang w:eastAsia="zh-CN"/>
        </w:rPr>
        <w:t xml:space="preserve"> </w:t>
      </w:r>
      <w:proofErr w:type="spellStart"/>
      <w:r w:rsidRPr="009205EE">
        <w:rPr>
          <w:rFonts w:eastAsia="SimSun"/>
          <w:sz w:val="24"/>
          <w:szCs w:val="24"/>
          <w:lang w:eastAsia="zh-CN"/>
        </w:rPr>
        <w:t>Mbongo’o</w:t>
      </w:r>
      <w:proofErr w:type="spellEnd"/>
      <w:r>
        <w:rPr>
          <w:rFonts w:eastAsia="SimSun"/>
          <w:sz w:val="24"/>
          <w:szCs w:val="24"/>
          <w:lang w:eastAsia="zh-CN"/>
        </w:rPr>
        <w:t>,</w:t>
      </w:r>
      <w:r w:rsidRPr="009205EE">
        <w:rPr>
          <w:rFonts w:eastAsia="SimSun"/>
          <w:sz w:val="24"/>
          <w:szCs w:val="24"/>
          <w:lang w:eastAsia="zh-CN"/>
        </w:rPr>
        <w:t xml:space="preserve"> GC</w:t>
      </w:r>
      <w:r>
        <w:rPr>
          <w:rFonts w:eastAsia="SimSun"/>
          <w:sz w:val="24"/>
          <w:szCs w:val="24"/>
          <w:lang w:eastAsia="zh-CN"/>
        </w:rPr>
        <w:t xml:space="preserve">., </w:t>
      </w:r>
      <w:proofErr w:type="spellStart"/>
      <w:r w:rsidRPr="009205EE">
        <w:rPr>
          <w:rFonts w:eastAsia="SimSun"/>
          <w:sz w:val="24"/>
          <w:szCs w:val="24"/>
          <w:lang w:eastAsia="zh-CN"/>
        </w:rPr>
        <w:t>Njiengwe</w:t>
      </w:r>
      <w:proofErr w:type="spellEnd"/>
      <w:r>
        <w:rPr>
          <w:rFonts w:eastAsia="SimSun"/>
          <w:sz w:val="24"/>
          <w:szCs w:val="24"/>
          <w:lang w:eastAsia="zh-CN"/>
        </w:rPr>
        <w:t>,</w:t>
      </w:r>
      <w:r w:rsidRPr="009205EE">
        <w:rPr>
          <w:rFonts w:eastAsia="SimSun"/>
          <w:sz w:val="24"/>
          <w:szCs w:val="24"/>
          <w:lang w:eastAsia="zh-CN"/>
        </w:rPr>
        <w:t xml:space="preserve"> E</w:t>
      </w:r>
      <w:r>
        <w:rPr>
          <w:rFonts w:eastAsia="SimSun"/>
          <w:sz w:val="24"/>
          <w:szCs w:val="24"/>
          <w:lang w:eastAsia="zh-CN"/>
        </w:rPr>
        <w:t>.,</w:t>
      </w:r>
      <w:r w:rsidRPr="009205EE">
        <w:rPr>
          <w:rFonts w:eastAsia="SimSun"/>
          <w:sz w:val="24"/>
          <w:szCs w:val="24"/>
          <w:lang w:eastAsia="zh-CN"/>
        </w:rPr>
        <w:t xml:space="preserve"> </w:t>
      </w:r>
      <w:proofErr w:type="spellStart"/>
      <w:r w:rsidRPr="009205EE">
        <w:rPr>
          <w:rFonts w:eastAsia="SimSun"/>
          <w:sz w:val="24"/>
          <w:szCs w:val="24"/>
          <w:lang w:eastAsia="zh-CN"/>
        </w:rPr>
        <w:t>Epopa</w:t>
      </w:r>
      <w:proofErr w:type="spellEnd"/>
      <w:r w:rsidRPr="009205EE">
        <w:rPr>
          <w:rFonts w:eastAsia="SimSun"/>
          <w:sz w:val="24"/>
          <w:szCs w:val="24"/>
          <w:lang w:eastAsia="zh-CN"/>
        </w:rPr>
        <w:t xml:space="preserve"> Ebene</w:t>
      </w:r>
      <w:r>
        <w:rPr>
          <w:rFonts w:eastAsia="SimSun"/>
          <w:sz w:val="24"/>
          <w:szCs w:val="24"/>
          <w:lang w:eastAsia="zh-CN"/>
        </w:rPr>
        <w:t>,</w:t>
      </w:r>
      <w:r w:rsidRPr="009205EE">
        <w:rPr>
          <w:rFonts w:eastAsia="SimSun"/>
          <w:sz w:val="24"/>
          <w:szCs w:val="24"/>
          <w:lang w:eastAsia="zh-CN"/>
        </w:rPr>
        <w:t xml:space="preserve"> DD</w:t>
      </w:r>
      <w:r>
        <w:rPr>
          <w:rFonts w:eastAsia="SimSun"/>
          <w:sz w:val="24"/>
          <w:szCs w:val="24"/>
          <w:lang w:eastAsia="zh-CN"/>
        </w:rPr>
        <w:t>.</w:t>
      </w:r>
      <w:r w:rsidRPr="009205EE">
        <w:rPr>
          <w:rFonts w:eastAsia="SimSun"/>
          <w:sz w:val="24"/>
          <w:szCs w:val="24"/>
          <w:lang w:eastAsia="zh-CN"/>
        </w:rPr>
        <w:t xml:space="preserve">, </w:t>
      </w:r>
      <w:proofErr w:type="spellStart"/>
      <w:r w:rsidRPr="009205EE">
        <w:rPr>
          <w:rFonts w:eastAsia="SimSun"/>
          <w:sz w:val="24"/>
          <w:szCs w:val="24"/>
          <w:lang w:eastAsia="zh-CN"/>
        </w:rPr>
        <w:t>Menzepo</w:t>
      </w:r>
      <w:proofErr w:type="spellEnd"/>
      <w:r>
        <w:rPr>
          <w:rFonts w:eastAsia="SimSun"/>
          <w:sz w:val="24"/>
          <w:szCs w:val="24"/>
          <w:lang w:eastAsia="zh-CN"/>
        </w:rPr>
        <w:t>,</w:t>
      </w:r>
      <w:r w:rsidRPr="009205EE">
        <w:rPr>
          <w:rFonts w:eastAsia="SimSun"/>
          <w:sz w:val="24"/>
          <w:szCs w:val="24"/>
          <w:lang w:eastAsia="zh-CN"/>
        </w:rPr>
        <w:t xml:space="preserve"> GD</w:t>
      </w:r>
      <w:r>
        <w:rPr>
          <w:rFonts w:eastAsia="SimSun"/>
          <w:sz w:val="24"/>
          <w:szCs w:val="24"/>
          <w:lang w:eastAsia="zh-CN"/>
        </w:rPr>
        <w:t>.,</w:t>
      </w:r>
      <w:r w:rsidRPr="009205EE">
        <w:rPr>
          <w:rFonts w:eastAsia="SimSun"/>
          <w:sz w:val="24"/>
          <w:szCs w:val="24"/>
          <w:lang w:eastAsia="zh-CN"/>
        </w:rPr>
        <w:t xml:space="preserve"> Sidi </w:t>
      </w:r>
      <w:proofErr w:type="spellStart"/>
      <w:r w:rsidRPr="009205EE">
        <w:rPr>
          <w:rFonts w:eastAsia="SimSun"/>
          <w:sz w:val="24"/>
          <w:szCs w:val="24"/>
          <w:lang w:eastAsia="zh-CN"/>
        </w:rPr>
        <w:t>Tchameni</w:t>
      </w:r>
      <w:proofErr w:type="spellEnd"/>
      <w:r>
        <w:rPr>
          <w:rFonts w:eastAsia="SimSun"/>
          <w:sz w:val="24"/>
          <w:szCs w:val="24"/>
          <w:lang w:eastAsia="zh-CN"/>
        </w:rPr>
        <w:t>,</w:t>
      </w:r>
      <w:r w:rsidRPr="009205EE">
        <w:rPr>
          <w:rFonts w:eastAsia="SimSun"/>
          <w:sz w:val="24"/>
          <w:szCs w:val="24"/>
          <w:lang w:eastAsia="zh-CN"/>
        </w:rPr>
        <w:t xml:space="preserve"> C</w:t>
      </w:r>
      <w:r>
        <w:rPr>
          <w:rFonts w:eastAsia="SimSun"/>
          <w:sz w:val="24"/>
          <w:szCs w:val="24"/>
          <w:lang w:eastAsia="zh-CN"/>
        </w:rPr>
        <w:t>.</w:t>
      </w:r>
      <w:r w:rsidRPr="009205EE">
        <w:rPr>
          <w:rFonts w:eastAsia="SimSun"/>
          <w:sz w:val="24"/>
          <w:szCs w:val="24"/>
          <w:lang w:eastAsia="zh-CN"/>
        </w:rPr>
        <w:t>, Dongmo Tsague</w:t>
      </w:r>
      <w:r>
        <w:rPr>
          <w:rFonts w:eastAsia="SimSun"/>
          <w:sz w:val="24"/>
          <w:szCs w:val="24"/>
          <w:lang w:eastAsia="zh-CN"/>
        </w:rPr>
        <w:t>,</w:t>
      </w:r>
      <w:r w:rsidRPr="009205EE">
        <w:rPr>
          <w:rFonts w:eastAsia="SimSun"/>
          <w:sz w:val="24"/>
          <w:szCs w:val="24"/>
          <w:lang w:eastAsia="zh-CN"/>
        </w:rPr>
        <w:t xml:space="preserve"> P</w:t>
      </w:r>
      <w:r>
        <w:rPr>
          <w:rFonts w:eastAsia="SimSun"/>
          <w:sz w:val="24"/>
          <w:szCs w:val="24"/>
          <w:lang w:eastAsia="zh-CN"/>
        </w:rPr>
        <w:t>.</w:t>
      </w:r>
      <w:r w:rsidRPr="009205EE">
        <w:rPr>
          <w:rFonts w:eastAsia="SimSun"/>
          <w:sz w:val="24"/>
          <w:szCs w:val="24"/>
          <w:lang w:eastAsia="zh-CN"/>
        </w:rPr>
        <w:t>, Sam Mekem</w:t>
      </w:r>
      <w:r>
        <w:rPr>
          <w:rFonts w:eastAsia="SimSun"/>
          <w:sz w:val="24"/>
          <w:szCs w:val="24"/>
          <w:lang w:eastAsia="zh-CN"/>
        </w:rPr>
        <w:t>,</w:t>
      </w:r>
      <w:r w:rsidRPr="009205EE">
        <w:rPr>
          <w:rFonts w:eastAsia="SimSun"/>
          <w:sz w:val="24"/>
          <w:szCs w:val="24"/>
          <w:lang w:eastAsia="zh-CN"/>
        </w:rPr>
        <w:t xml:space="preserve"> R</w:t>
      </w:r>
      <w:r>
        <w:rPr>
          <w:rFonts w:eastAsia="SimSun"/>
          <w:sz w:val="24"/>
          <w:szCs w:val="24"/>
          <w:lang w:eastAsia="zh-CN"/>
        </w:rPr>
        <w:t>.</w:t>
      </w:r>
      <w:r w:rsidRPr="009205EE">
        <w:rPr>
          <w:rFonts w:eastAsia="SimSun"/>
          <w:sz w:val="24"/>
          <w:szCs w:val="24"/>
          <w:lang w:eastAsia="zh-CN"/>
        </w:rPr>
        <w:t xml:space="preserve">, </w:t>
      </w:r>
      <w:r>
        <w:rPr>
          <w:rFonts w:eastAsia="SimSun"/>
          <w:sz w:val="24"/>
          <w:szCs w:val="24"/>
          <w:lang w:eastAsia="zh-CN"/>
        </w:rPr>
        <w:t xml:space="preserve">&amp; </w:t>
      </w:r>
      <w:r w:rsidRPr="009205EE">
        <w:rPr>
          <w:rFonts w:eastAsia="SimSun"/>
          <w:sz w:val="24"/>
          <w:szCs w:val="24"/>
          <w:lang w:eastAsia="zh-CN"/>
        </w:rPr>
        <w:t xml:space="preserve">Kuate </w:t>
      </w:r>
      <w:proofErr w:type="spellStart"/>
      <w:r w:rsidRPr="009205EE">
        <w:rPr>
          <w:rFonts w:eastAsia="SimSun"/>
          <w:sz w:val="24"/>
          <w:szCs w:val="24"/>
          <w:lang w:eastAsia="zh-CN"/>
        </w:rPr>
        <w:t>Tegueu</w:t>
      </w:r>
      <w:proofErr w:type="spellEnd"/>
      <w:r>
        <w:rPr>
          <w:rFonts w:eastAsia="SimSun"/>
          <w:sz w:val="24"/>
          <w:szCs w:val="24"/>
          <w:lang w:eastAsia="zh-CN"/>
        </w:rPr>
        <w:t>,</w:t>
      </w:r>
      <w:r w:rsidRPr="009205EE">
        <w:rPr>
          <w:rFonts w:eastAsia="SimSun"/>
          <w:sz w:val="24"/>
          <w:szCs w:val="24"/>
          <w:lang w:eastAsia="zh-CN"/>
        </w:rPr>
        <w:t xml:space="preserve"> C</w:t>
      </w:r>
      <w:r w:rsidRPr="00B70D71">
        <w:rPr>
          <w:rFonts w:eastAsia="SimSun"/>
          <w:sz w:val="24"/>
          <w:szCs w:val="24"/>
          <w:lang w:eastAsia="zh-CN"/>
        </w:rPr>
        <w:t xml:space="preserve">. (2021). Pratique de la </w:t>
      </w:r>
      <w:r>
        <w:rPr>
          <w:rFonts w:eastAsia="SimSun"/>
          <w:sz w:val="24"/>
          <w:szCs w:val="24"/>
          <w:lang w:eastAsia="zh-CN"/>
        </w:rPr>
        <w:t>p</w:t>
      </w:r>
      <w:r w:rsidRPr="00B70D71">
        <w:rPr>
          <w:rFonts w:eastAsia="SimSun"/>
          <w:sz w:val="24"/>
          <w:szCs w:val="24"/>
          <w:lang w:eastAsia="zh-CN"/>
        </w:rPr>
        <w:t xml:space="preserve">sychiatrie à l’Hôpital </w:t>
      </w:r>
      <w:proofErr w:type="spellStart"/>
      <w:r w:rsidRPr="00B70D71">
        <w:rPr>
          <w:rFonts w:eastAsia="SimSun"/>
          <w:sz w:val="24"/>
          <w:szCs w:val="24"/>
          <w:lang w:eastAsia="zh-CN"/>
        </w:rPr>
        <w:t>Laquintinie</w:t>
      </w:r>
      <w:proofErr w:type="spellEnd"/>
      <w:r w:rsidRPr="00B70D71">
        <w:rPr>
          <w:rFonts w:eastAsia="SimSun"/>
          <w:sz w:val="24"/>
          <w:szCs w:val="24"/>
          <w:lang w:eastAsia="zh-CN"/>
        </w:rPr>
        <w:t xml:space="preserve"> de Douala </w:t>
      </w:r>
      <w:r w:rsidRPr="00B70D71">
        <w:rPr>
          <w:rFonts w:eastAsiaTheme="minorHAnsi"/>
          <w:sz w:val="24"/>
          <w:szCs w:val="24"/>
        </w:rPr>
        <w:t xml:space="preserve">: </w:t>
      </w:r>
      <w:r w:rsidRPr="00B70D71">
        <w:rPr>
          <w:rFonts w:eastAsia="SimSun"/>
          <w:sz w:val="24"/>
          <w:szCs w:val="24"/>
          <w:lang w:eastAsia="zh-CN"/>
        </w:rPr>
        <w:t xml:space="preserve">Évaluation de </w:t>
      </w:r>
      <w:r>
        <w:rPr>
          <w:rFonts w:eastAsia="SimSun"/>
          <w:sz w:val="24"/>
          <w:szCs w:val="24"/>
          <w:lang w:eastAsia="zh-CN"/>
        </w:rPr>
        <w:t>t</w:t>
      </w:r>
      <w:r w:rsidRPr="00B70D71">
        <w:rPr>
          <w:rFonts w:eastAsia="SimSun"/>
          <w:sz w:val="24"/>
          <w:szCs w:val="24"/>
          <w:lang w:eastAsia="zh-CN"/>
        </w:rPr>
        <w:t xml:space="preserve">rois </w:t>
      </w:r>
      <w:r>
        <w:rPr>
          <w:rFonts w:eastAsia="SimSun"/>
          <w:sz w:val="24"/>
          <w:szCs w:val="24"/>
          <w:lang w:eastAsia="zh-CN"/>
        </w:rPr>
        <w:t>a</w:t>
      </w:r>
      <w:r w:rsidRPr="00B70D71">
        <w:rPr>
          <w:rFonts w:eastAsia="SimSun"/>
          <w:sz w:val="24"/>
          <w:szCs w:val="24"/>
          <w:lang w:eastAsia="zh-CN"/>
        </w:rPr>
        <w:t>ns d’</w:t>
      </w:r>
      <w:r>
        <w:rPr>
          <w:rFonts w:eastAsia="SimSun"/>
          <w:sz w:val="24"/>
          <w:szCs w:val="24"/>
          <w:lang w:eastAsia="zh-CN"/>
        </w:rPr>
        <w:t>a</w:t>
      </w:r>
      <w:r w:rsidRPr="00B70D71">
        <w:rPr>
          <w:rFonts w:eastAsia="SimSun"/>
          <w:sz w:val="24"/>
          <w:szCs w:val="24"/>
          <w:lang w:eastAsia="zh-CN"/>
        </w:rPr>
        <w:t xml:space="preserve">ctivités. </w:t>
      </w:r>
      <w:r w:rsidRPr="00B70D71">
        <w:rPr>
          <w:rFonts w:eastAsia="SimSun"/>
          <w:i/>
          <w:sz w:val="24"/>
          <w:szCs w:val="24"/>
          <w:lang w:val="en-US" w:eastAsia="zh-CN"/>
        </w:rPr>
        <w:t>Health Sci. Dis.,</w:t>
      </w:r>
      <w:r w:rsidRPr="00B70D71">
        <w:rPr>
          <w:rFonts w:eastAsia="SimSun"/>
          <w:sz w:val="24"/>
          <w:szCs w:val="24"/>
          <w:lang w:val="en-US" w:eastAsia="zh-CN"/>
        </w:rPr>
        <w:t xml:space="preserve"> 22 (</w:t>
      </w:r>
      <w:r w:rsidRPr="00B70D71">
        <w:rPr>
          <w:rFonts w:eastAsia="SimSun"/>
          <w:i/>
          <w:sz w:val="24"/>
          <w:szCs w:val="24"/>
          <w:lang w:val="en-US" w:eastAsia="zh-CN"/>
        </w:rPr>
        <w:t>8</w:t>
      </w:r>
      <w:r w:rsidRPr="00B70D71">
        <w:rPr>
          <w:rFonts w:eastAsia="SimSun"/>
          <w:sz w:val="24"/>
          <w:szCs w:val="24"/>
          <w:lang w:val="en-US" w:eastAsia="zh-CN"/>
        </w:rPr>
        <w:t xml:space="preserve">) 76-81 URL: </w:t>
      </w:r>
      <w:r w:rsidRPr="00263809">
        <w:rPr>
          <w:rFonts w:eastAsia="SimSun"/>
          <w:sz w:val="24"/>
          <w:szCs w:val="24"/>
          <w:lang w:val="en-US" w:eastAsia="zh-CN"/>
        </w:rPr>
        <w:t>www.hsd-fmsb.org</w:t>
      </w:r>
      <w:r w:rsidRPr="00B70D71">
        <w:rPr>
          <w:rFonts w:eastAsia="SimSun"/>
          <w:sz w:val="24"/>
          <w:szCs w:val="24"/>
          <w:lang w:val="en-US" w:eastAsia="zh-CN"/>
        </w:rPr>
        <w:t xml:space="preserve"> </w:t>
      </w:r>
    </w:p>
    <w:p w14:paraId="49A3325B" w14:textId="77777777" w:rsidR="00D80693" w:rsidRDefault="00D80693" w:rsidP="008276DA">
      <w:pPr>
        <w:adjustRightInd w:val="0"/>
        <w:spacing w:before="120" w:after="120"/>
        <w:ind w:left="482" w:hanging="737"/>
        <w:jc w:val="both"/>
        <w:rPr>
          <w:rFonts w:eastAsia="Calibri"/>
          <w:noProof/>
          <w:sz w:val="24"/>
          <w:szCs w:val="24"/>
        </w:rPr>
      </w:pPr>
      <w:r w:rsidRPr="00263809">
        <w:rPr>
          <w:rFonts w:eastAsiaTheme="minorHAnsi"/>
          <w:noProof/>
          <w:sz w:val="24"/>
          <w:szCs w:val="24"/>
          <w:lang w:val="en-GB"/>
        </w:rPr>
        <w:t xml:space="preserve">Fall, L., Sy, O., Ndiaye-Ndongo, N. D., &amp; Sylla, A. (2014). </w:t>
      </w:r>
      <w:r w:rsidRPr="00621E63">
        <w:rPr>
          <w:rFonts w:eastAsiaTheme="minorHAnsi"/>
          <w:noProof/>
          <w:sz w:val="24"/>
          <w:szCs w:val="24"/>
          <w:lang w:val="en-GB"/>
        </w:rPr>
        <w:t xml:space="preserve">Use of Cannabis by </w:t>
      </w:r>
      <w:r>
        <w:rPr>
          <w:rFonts w:eastAsiaTheme="minorHAnsi"/>
          <w:noProof/>
          <w:sz w:val="24"/>
          <w:szCs w:val="24"/>
          <w:lang w:val="en-GB"/>
        </w:rPr>
        <w:t>y</w:t>
      </w:r>
      <w:r w:rsidRPr="00621E63">
        <w:rPr>
          <w:rFonts w:eastAsiaTheme="minorHAnsi"/>
          <w:noProof/>
          <w:sz w:val="24"/>
          <w:szCs w:val="24"/>
          <w:lang w:val="en-GB"/>
        </w:rPr>
        <w:t xml:space="preserve">oung </w:t>
      </w:r>
      <w:r>
        <w:rPr>
          <w:rFonts w:eastAsiaTheme="minorHAnsi"/>
          <w:noProof/>
          <w:sz w:val="24"/>
          <w:szCs w:val="24"/>
          <w:lang w:val="en-GB"/>
        </w:rPr>
        <w:t>p</w:t>
      </w:r>
      <w:r w:rsidRPr="00621E63">
        <w:rPr>
          <w:rFonts w:eastAsiaTheme="minorHAnsi"/>
          <w:noProof/>
          <w:sz w:val="24"/>
          <w:szCs w:val="24"/>
          <w:lang w:val="en-GB"/>
        </w:rPr>
        <w:t xml:space="preserve">eople and </w:t>
      </w:r>
      <w:r>
        <w:rPr>
          <w:rFonts w:eastAsiaTheme="minorHAnsi"/>
          <w:noProof/>
          <w:sz w:val="24"/>
          <w:szCs w:val="24"/>
          <w:lang w:val="en-GB"/>
        </w:rPr>
        <w:t>p</w:t>
      </w:r>
      <w:r w:rsidRPr="00621E63">
        <w:rPr>
          <w:rFonts w:eastAsiaTheme="minorHAnsi"/>
          <w:noProof/>
          <w:sz w:val="24"/>
          <w:szCs w:val="24"/>
          <w:lang w:val="en-GB"/>
        </w:rPr>
        <w:t xml:space="preserve">sychopathological </w:t>
      </w:r>
      <w:r>
        <w:rPr>
          <w:rFonts w:eastAsiaTheme="minorHAnsi"/>
          <w:noProof/>
          <w:sz w:val="24"/>
          <w:szCs w:val="24"/>
          <w:lang w:val="en-GB"/>
        </w:rPr>
        <w:t>d</w:t>
      </w:r>
      <w:r w:rsidRPr="00621E63">
        <w:rPr>
          <w:rFonts w:eastAsiaTheme="minorHAnsi"/>
          <w:noProof/>
          <w:sz w:val="24"/>
          <w:szCs w:val="24"/>
          <w:lang w:val="en-GB"/>
        </w:rPr>
        <w:t xml:space="preserve">isorders, in Fatick (Senegal). </w:t>
      </w:r>
      <w:r w:rsidRPr="00351CD2">
        <w:rPr>
          <w:rFonts w:eastAsiaTheme="minorHAnsi"/>
          <w:i/>
          <w:iCs/>
          <w:noProof/>
          <w:sz w:val="24"/>
          <w:szCs w:val="24"/>
        </w:rPr>
        <w:t>Psychology</w:t>
      </w:r>
      <w:r w:rsidRPr="00351CD2">
        <w:rPr>
          <w:rFonts w:eastAsiaTheme="minorHAnsi"/>
          <w:noProof/>
          <w:sz w:val="24"/>
          <w:szCs w:val="24"/>
        </w:rPr>
        <w:t xml:space="preserve">, </w:t>
      </w:r>
      <w:r w:rsidRPr="00351CD2">
        <w:rPr>
          <w:rFonts w:eastAsiaTheme="minorHAnsi"/>
          <w:i/>
          <w:iCs/>
          <w:noProof/>
          <w:sz w:val="24"/>
          <w:szCs w:val="24"/>
        </w:rPr>
        <w:t>05</w:t>
      </w:r>
      <w:r w:rsidRPr="00351CD2">
        <w:rPr>
          <w:rFonts w:eastAsiaTheme="minorHAnsi"/>
          <w:noProof/>
          <w:sz w:val="24"/>
          <w:szCs w:val="24"/>
        </w:rPr>
        <w:t>(04), 271–281. https://doi.org/10.4236/psych.2014.54037</w:t>
      </w:r>
    </w:p>
    <w:p w14:paraId="14CFB5F6" w14:textId="77777777" w:rsidR="00D80693" w:rsidRDefault="00D80693" w:rsidP="008276DA">
      <w:pPr>
        <w:adjustRightInd w:val="0"/>
        <w:spacing w:before="120" w:after="120"/>
        <w:ind w:left="482" w:hanging="737"/>
        <w:jc w:val="both"/>
        <w:rPr>
          <w:rFonts w:eastAsia="Calibri"/>
          <w:sz w:val="24"/>
          <w:szCs w:val="24"/>
        </w:rPr>
      </w:pPr>
      <w:r w:rsidRPr="00B70D71">
        <w:rPr>
          <w:rFonts w:eastAsiaTheme="minorHAnsi"/>
          <w:sz w:val="24"/>
          <w:szCs w:val="24"/>
        </w:rPr>
        <w:t xml:space="preserve">Gauthier, B. (2011). </w:t>
      </w:r>
      <w:r w:rsidRPr="00B70D71">
        <w:rPr>
          <w:rFonts w:eastAsiaTheme="minorHAnsi"/>
          <w:i/>
          <w:sz w:val="24"/>
          <w:szCs w:val="24"/>
        </w:rPr>
        <w:t>Famille et traitement de la toxicomanie chez les adolescents : étude de cas</w:t>
      </w:r>
      <w:r w:rsidRPr="00B70D71">
        <w:rPr>
          <w:rFonts w:eastAsiaTheme="minorHAnsi"/>
          <w:sz w:val="24"/>
          <w:szCs w:val="24"/>
        </w:rPr>
        <w:t xml:space="preserve"> </w:t>
      </w:r>
      <w:r>
        <w:rPr>
          <w:rFonts w:eastAsiaTheme="minorHAnsi"/>
          <w:sz w:val="24"/>
          <w:szCs w:val="24"/>
        </w:rPr>
        <w:t>[</w:t>
      </w:r>
      <w:r w:rsidRPr="00B70D71">
        <w:rPr>
          <w:rFonts w:eastAsiaTheme="minorHAnsi"/>
          <w:sz w:val="24"/>
          <w:szCs w:val="24"/>
        </w:rPr>
        <w:t>Essai de 3</w:t>
      </w:r>
      <w:r w:rsidRPr="00B70D71">
        <w:rPr>
          <w:rFonts w:eastAsiaTheme="minorHAnsi"/>
          <w:sz w:val="24"/>
          <w:szCs w:val="24"/>
          <w:vertAlign w:val="superscript"/>
        </w:rPr>
        <w:t>ème</w:t>
      </w:r>
      <w:r w:rsidRPr="00B70D71">
        <w:rPr>
          <w:rFonts w:eastAsiaTheme="minorHAnsi"/>
          <w:sz w:val="24"/>
          <w:szCs w:val="24"/>
        </w:rPr>
        <w:t xml:space="preserve"> cycle présenté à l'Université du Québec à Trois-Rivières comme exigence partielle du doctorat en psychologie (profil intervention)</w:t>
      </w:r>
      <w:r>
        <w:rPr>
          <w:rFonts w:eastAsiaTheme="minorHAnsi"/>
          <w:sz w:val="24"/>
          <w:szCs w:val="24"/>
        </w:rPr>
        <w:t>]</w:t>
      </w:r>
      <w:r w:rsidRPr="00B70D71">
        <w:rPr>
          <w:rFonts w:eastAsiaTheme="minorHAnsi"/>
          <w:sz w:val="24"/>
          <w:szCs w:val="24"/>
        </w:rPr>
        <w:t>. Service de la bibliothèque</w:t>
      </w:r>
    </w:p>
    <w:p w14:paraId="7F845D3A" w14:textId="77777777" w:rsidR="00D80693" w:rsidRDefault="00D80693" w:rsidP="008276DA">
      <w:pPr>
        <w:adjustRightInd w:val="0"/>
        <w:spacing w:before="120" w:after="120"/>
        <w:ind w:left="482" w:hanging="737"/>
        <w:jc w:val="both"/>
        <w:rPr>
          <w:rFonts w:eastAsia="Calibri"/>
          <w:noProof/>
          <w:sz w:val="24"/>
          <w:szCs w:val="24"/>
        </w:rPr>
      </w:pPr>
      <w:r w:rsidRPr="001345BA">
        <w:rPr>
          <w:rFonts w:eastAsiaTheme="minorHAnsi"/>
          <w:noProof/>
          <w:sz w:val="24"/>
          <w:szCs w:val="24"/>
        </w:rPr>
        <w:t xml:space="preserve">Getting, E. R., &amp; Beauvais, F. (1987). </w:t>
      </w:r>
      <w:r w:rsidRPr="001345BA">
        <w:rPr>
          <w:rFonts w:eastAsiaTheme="minorHAnsi"/>
          <w:i/>
          <w:iCs/>
          <w:noProof/>
          <w:sz w:val="24"/>
          <w:szCs w:val="24"/>
        </w:rPr>
        <w:t>Peer Cluster Theory , Socialization Characteristics , and Adolescent Drug Use : A Path Analysis</w:t>
      </w:r>
      <w:r w:rsidRPr="001345BA">
        <w:rPr>
          <w:rFonts w:eastAsiaTheme="minorHAnsi"/>
          <w:noProof/>
          <w:sz w:val="24"/>
          <w:szCs w:val="24"/>
        </w:rPr>
        <w:t xml:space="preserve">. </w:t>
      </w:r>
      <w:r w:rsidRPr="00351CD2">
        <w:rPr>
          <w:rFonts w:eastAsiaTheme="minorHAnsi"/>
          <w:i/>
          <w:iCs/>
          <w:noProof/>
          <w:sz w:val="24"/>
          <w:szCs w:val="24"/>
        </w:rPr>
        <w:t>34</w:t>
      </w:r>
      <w:r w:rsidRPr="00351CD2">
        <w:rPr>
          <w:rFonts w:eastAsiaTheme="minorHAnsi"/>
          <w:noProof/>
          <w:sz w:val="24"/>
          <w:szCs w:val="24"/>
        </w:rPr>
        <w:t>(2), 205–213.</w:t>
      </w:r>
    </w:p>
    <w:p w14:paraId="13F9897C" w14:textId="77777777" w:rsidR="00D80693" w:rsidRPr="00B70D71" w:rsidRDefault="00D80693" w:rsidP="008276DA">
      <w:pPr>
        <w:adjustRightInd w:val="0"/>
        <w:spacing w:before="120" w:after="120"/>
        <w:ind w:left="482" w:hanging="737"/>
        <w:jc w:val="both"/>
        <w:rPr>
          <w:rFonts w:eastAsia="SimSun"/>
          <w:sz w:val="24"/>
          <w:szCs w:val="24"/>
          <w:lang w:eastAsia="zh-CN"/>
        </w:rPr>
      </w:pPr>
      <w:proofErr w:type="spellStart"/>
      <w:r w:rsidRPr="00391389">
        <w:rPr>
          <w:rFonts w:eastAsia="SimSun"/>
          <w:sz w:val="24"/>
          <w:szCs w:val="24"/>
          <w:lang w:eastAsia="zh-CN"/>
        </w:rPr>
        <w:t>Grawitz</w:t>
      </w:r>
      <w:proofErr w:type="spellEnd"/>
      <w:r w:rsidRPr="00391389">
        <w:rPr>
          <w:rFonts w:eastAsia="SimSun"/>
          <w:sz w:val="24"/>
          <w:szCs w:val="24"/>
          <w:lang w:eastAsia="zh-CN"/>
        </w:rPr>
        <w:t xml:space="preserve">, M. (2004). </w:t>
      </w:r>
      <w:r w:rsidRPr="00B70D71">
        <w:rPr>
          <w:rFonts w:eastAsia="SimSun"/>
          <w:i/>
          <w:sz w:val="24"/>
          <w:szCs w:val="24"/>
          <w:lang w:eastAsia="zh-CN"/>
        </w:rPr>
        <w:t>Lexique des sciences sociales</w:t>
      </w:r>
      <w:r w:rsidRPr="00B70D71">
        <w:rPr>
          <w:rFonts w:eastAsia="SimSun"/>
          <w:sz w:val="24"/>
          <w:szCs w:val="24"/>
          <w:lang w:eastAsia="zh-CN"/>
        </w:rPr>
        <w:t xml:space="preserve"> (8e</w:t>
      </w:r>
      <w:r w:rsidRPr="00B70D71">
        <w:rPr>
          <w:rFonts w:eastAsia="SimSun"/>
          <w:sz w:val="24"/>
          <w:szCs w:val="24"/>
          <w:vertAlign w:val="superscript"/>
          <w:lang w:eastAsia="zh-CN"/>
        </w:rPr>
        <w:t xml:space="preserve"> </w:t>
      </w:r>
      <w:r w:rsidRPr="00B70D71">
        <w:rPr>
          <w:rFonts w:eastAsia="SimSun"/>
          <w:sz w:val="24"/>
          <w:szCs w:val="24"/>
          <w:lang w:eastAsia="zh-CN"/>
        </w:rPr>
        <w:t>éd.).</w:t>
      </w:r>
      <w:r>
        <w:rPr>
          <w:rFonts w:eastAsia="SimSun"/>
          <w:sz w:val="24"/>
          <w:szCs w:val="24"/>
          <w:lang w:eastAsia="zh-CN"/>
        </w:rPr>
        <w:t xml:space="preserve"> </w:t>
      </w:r>
      <w:r w:rsidRPr="00B70D71">
        <w:rPr>
          <w:rFonts w:eastAsia="SimSun"/>
          <w:sz w:val="24"/>
          <w:szCs w:val="24"/>
          <w:lang w:eastAsia="zh-CN"/>
        </w:rPr>
        <w:t>Dalloz, Coll.</w:t>
      </w:r>
    </w:p>
    <w:p w14:paraId="671C26FF" w14:textId="77777777" w:rsidR="00D80693" w:rsidRDefault="00D80693" w:rsidP="008276DA">
      <w:pPr>
        <w:adjustRightInd w:val="0"/>
        <w:spacing w:before="120" w:after="120"/>
        <w:ind w:left="482" w:hanging="737"/>
        <w:jc w:val="both"/>
        <w:rPr>
          <w:rFonts w:eastAsia="SimSun"/>
          <w:sz w:val="24"/>
          <w:szCs w:val="24"/>
          <w:lang w:eastAsia="zh-CN"/>
        </w:rPr>
      </w:pPr>
      <w:r w:rsidRPr="00B70D71">
        <w:rPr>
          <w:rFonts w:eastAsia="SimSun"/>
          <w:sz w:val="24"/>
          <w:szCs w:val="24"/>
          <w:lang w:eastAsia="zh-CN"/>
        </w:rPr>
        <w:t xml:space="preserve">Grégoire, M. (2005). </w:t>
      </w:r>
      <w:r w:rsidRPr="00B70D71">
        <w:rPr>
          <w:rFonts w:eastAsia="SimSun"/>
          <w:i/>
          <w:sz w:val="24"/>
          <w:szCs w:val="24"/>
          <w:lang w:eastAsia="zh-CN"/>
        </w:rPr>
        <w:t>Facteurs personnels et environnementaux liés à la gravité de la consommation de produits psychotropes à l'adolescence</w:t>
      </w:r>
      <w:r w:rsidRPr="00E85245">
        <w:rPr>
          <w:rFonts w:eastAsia="SimSun"/>
          <w:sz w:val="24"/>
          <w:szCs w:val="24"/>
          <w:lang w:eastAsia="zh-CN"/>
        </w:rPr>
        <w:t xml:space="preserve"> </w:t>
      </w:r>
      <w:r>
        <w:rPr>
          <w:rFonts w:eastAsia="SimSun"/>
          <w:sz w:val="24"/>
          <w:szCs w:val="24"/>
          <w:lang w:eastAsia="zh-CN"/>
        </w:rPr>
        <w:t>[</w:t>
      </w:r>
      <w:r w:rsidRPr="00B70D71">
        <w:rPr>
          <w:rFonts w:eastAsia="SimSun"/>
          <w:sz w:val="24"/>
          <w:szCs w:val="24"/>
          <w:lang w:eastAsia="zh-CN"/>
        </w:rPr>
        <w:t>Mémoire</w:t>
      </w:r>
      <w:r>
        <w:rPr>
          <w:rFonts w:eastAsia="SimSun"/>
          <w:sz w:val="24"/>
          <w:szCs w:val="24"/>
          <w:lang w:eastAsia="zh-CN"/>
        </w:rPr>
        <w:t>,</w:t>
      </w:r>
      <w:r w:rsidRPr="00FB6480">
        <w:rPr>
          <w:rFonts w:eastAsia="SimSun"/>
          <w:sz w:val="24"/>
          <w:szCs w:val="24"/>
          <w:lang w:eastAsia="zh-CN"/>
        </w:rPr>
        <w:t xml:space="preserve"> </w:t>
      </w:r>
      <w:r w:rsidRPr="00B70D71">
        <w:rPr>
          <w:rFonts w:eastAsia="SimSun"/>
          <w:sz w:val="24"/>
          <w:szCs w:val="24"/>
          <w:lang w:eastAsia="zh-CN"/>
        </w:rPr>
        <w:t>Université du Québec à Trois-Rivières</w:t>
      </w:r>
      <w:r>
        <w:rPr>
          <w:rFonts w:eastAsia="SimSun"/>
          <w:sz w:val="24"/>
          <w:szCs w:val="24"/>
          <w:lang w:eastAsia="zh-CN"/>
        </w:rPr>
        <w:t>]</w:t>
      </w:r>
      <w:r w:rsidRPr="00B70D71">
        <w:rPr>
          <w:rFonts w:eastAsia="SimSun"/>
          <w:i/>
          <w:sz w:val="24"/>
          <w:szCs w:val="24"/>
          <w:lang w:eastAsia="zh-CN"/>
        </w:rPr>
        <w:t>.</w:t>
      </w:r>
    </w:p>
    <w:p w14:paraId="3E10F362" w14:textId="77777777" w:rsidR="00D80693" w:rsidRDefault="00D80693" w:rsidP="008276DA">
      <w:pPr>
        <w:adjustRightInd w:val="0"/>
        <w:spacing w:before="120" w:after="120"/>
        <w:ind w:left="482" w:hanging="737"/>
        <w:jc w:val="both"/>
        <w:rPr>
          <w:noProof/>
          <w:sz w:val="24"/>
          <w:szCs w:val="24"/>
        </w:rPr>
      </w:pPr>
      <w:r w:rsidRPr="00B70D71">
        <w:rPr>
          <w:color w:val="000000"/>
          <w:sz w:val="24"/>
          <w:szCs w:val="24"/>
        </w:rPr>
        <w:t xml:space="preserve">INSPQ. (2010). </w:t>
      </w:r>
      <w:r w:rsidRPr="00B70D71">
        <w:rPr>
          <w:i/>
          <w:iCs/>
          <w:color w:val="000000"/>
          <w:sz w:val="24"/>
          <w:szCs w:val="24"/>
        </w:rPr>
        <w:t>L’usage de substances psychoactives chez les jeunes Québécois :  conséquences et facteurs associés.</w:t>
      </w:r>
      <w:r w:rsidRPr="00B70D71">
        <w:rPr>
          <w:color w:val="000000"/>
          <w:sz w:val="24"/>
          <w:szCs w:val="24"/>
        </w:rPr>
        <w:t xml:space="preserve"> Direction du développement des individus et des communautés</w:t>
      </w:r>
    </w:p>
    <w:p w14:paraId="2B55BBE9" w14:textId="77777777" w:rsidR="00D80693" w:rsidRPr="0065773E" w:rsidRDefault="00D80693" w:rsidP="008276DA">
      <w:pPr>
        <w:adjustRightInd w:val="0"/>
        <w:spacing w:before="120" w:after="120"/>
        <w:ind w:left="482" w:hanging="737"/>
        <w:jc w:val="both"/>
        <w:rPr>
          <w:sz w:val="24"/>
          <w:szCs w:val="24"/>
        </w:rPr>
      </w:pPr>
      <w:bookmarkStart w:id="309" w:name="_Hlk214971826"/>
      <w:r w:rsidRPr="001403A0">
        <w:rPr>
          <w:rFonts w:eastAsiaTheme="minorHAnsi"/>
          <w:sz w:val="24"/>
          <w:szCs w:val="24"/>
        </w:rPr>
        <w:t>Kam-Siham.</w:t>
      </w:r>
      <w:r w:rsidRPr="001403A0">
        <w:rPr>
          <w:color w:val="000000"/>
          <w:sz w:val="24"/>
          <w:szCs w:val="24"/>
        </w:rPr>
        <w:t xml:space="preserve"> (2018, janvier). Drogues en m</w:t>
      </w:r>
      <w:r w:rsidRPr="001403A0">
        <w:rPr>
          <w:sz w:val="24"/>
          <w:szCs w:val="24"/>
        </w:rPr>
        <w:t xml:space="preserve">ilieu scolaire au Cameroun : la répression est-elle la solution idoine ? </w:t>
      </w:r>
      <w:r w:rsidRPr="0065773E">
        <w:rPr>
          <w:i/>
          <w:iCs/>
          <w:sz w:val="24"/>
          <w:szCs w:val="24"/>
        </w:rPr>
        <w:t>Camer.be.</w:t>
      </w:r>
      <w:r w:rsidRPr="0065773E">
        <w:rPr>
          <w:sz w:val="24"/>
          <w:szCs w:val="24"/>
        </w:rPr>
        <w:t xml:space="preserve"> https://www.camer.be/66041/30:27/drogues-en-milieu-scolaire-au-cameroun-la-repression-est-elle-la-solution-idoineg-cameroun-html </w:t>
      </w:r>
    </w:p>
    <w:bookmarkEnd w:id="309"/>
    <w:p w14:paraId="1316B429" w14:textId="77777777" w:rsidR="00D80693" w:rsidRPr="001403A0" w:rsidRDefault="00D80693" w:rsidP="008276DA">
      <w:pPr>
        <w:adjustRightInd w:val="0"/>
        <w:spacing w:before="120" w:after="120"/>
        <w:ind w:left="482" w:hanging="737"/>
        <w:jc w:val="both"/>
        <w:rPr>
          <w:noProof/>
          <w:sz w:val="24"/>
          <w:szCs w:val="24"/>
        </w:rPr>
      </w:pPr>
      <w:proofErr w:type="spellStart"/>
      <w:r w:rsidRPr="00B70D71">
        <w:rPr>
          <w:rFonts w:eastAsia="SimSun"/>
          <w:sz w:val="24"/>
          <w:szCs w:val="24"/>
          <w:lang w:eastAsia="zh-CN"/>
        </w:rPr>
        <w:t>Kouagne</w:t>
      </w:r>
      <w:proofErr w:type="spellEnd"/>
      <w:r w:rsidRPr="00B70D71">
        <w:rPr>
          <w:rFonts w:eastAsia="SimSun"/>
          <w:sz w:val="24"/>
          <w:szCs w:val="24"/>
          <w:lang w:eastAsia="zh-CN"/>
        </w:rPr>
        <w:t>, E.</w:t>
      </w:r>
      <w:r w:rsidRPr="001403A0">
        <w:rPr>
          <w:rFonts w:eastAsia="SimSun"/>
          <w:sz w:val="24"/>
          <w:szCs w:val="24"/>
          <w:lang w:eastAsia="zh-CN"/>
        </w:rPr>
        <w:t xml:space="preserve"> (2017, Novembre). La drogue fait des ravages en milieu scolaire : Pas une semaine ne se passe sans que des adolescents soient renvoyés pour consommation de drogue. </w:t>
      </w:r>
      <w:r w:rsidRPr="001403A0">
        <w:rPr>
          <w:rFonts w:eastAsia="SimSun"/>
          <w:i/>
          <w:iCs/>
          <w:sz w:val="24"/>
          <w:szCs w:val="24"/>
          <w:lang w:eastAsia="zh-CN"/>
        </w:rPr>
        <w:t xml:space="preserve">Le360 Afrique. </w:t>
      </w:r>
      <w:r w:rsidRPr="001403A0">
        <w:rPr>
          <w:rFonts w:eastAsia="SimSun"/>
          <w:sz w:val="24"/>
          <w:szCs w:val="24"/>
          <w:lang w:eastAsia="zh-CN"/>
        </w:rPr>
        <w:t>https://m.le360.ma/afrique/autres-pays/societe/2017/11/14/16476-cameroun-la-drogue-fait-des-ravages-en-milieu-scolaire-16476</w:t>
      </w:r>
    </w:p>
    <w:p w14:paraId="690A4C8D" w14:textId="77777777" w:rsidR="00D80693" w:rsidRPr="008C594B" w:rsidRDefault="00D80693" w:rsidP="008276DA">
      <w:pPr>
        <w:adjustRightInd w:val="0"/>
        <w:spacing w:before="120" w:after="120"/>
        <w:ind w:left="482" w:hanging="737"/>
        <w:jc w:val="both"/>
        <w:rPr>
          <w:rFonts w:eastAsia="Calibri"/>
          <w:noProof/>
          <w:sz w:val="24"/>
          <w:szCs w:val="24"/>
        </w:rPr>
      </w:pPr>
      <w:r w:rsidRPr="00F73BBD">
        <w:rPr>
          <w:rFonts w:eastAsiaTheme="minorHAnsi"/>
          <w:noProof/>
          <w:sz w:val="24"/>
          <w:szCs w:val="24"/>
        </w:rPr>
        <w:t xml:space="preserve">Kpozehouen, A., Ahanhanzo, Y. G., Paraïso, M. N., Saizonou, J. Z., Makoutodé, M., &amp; Ouedraogo, L. T. (2015). </w:t>
      </w:r>
      <w:r w:rsidRPr="00351CD2">
        <w:rPr>
          <w:rFonts w:eastAsiaTheme="minorHAnsi"/>
          <w:noProof/>
          <w:sz w:val="24"/>
          <w:szCs w:val="24"/>
        </w:rPr>
        <w:t xml:space="preserve">Facteurs associés à l’usage de substances psychoactives chez les adolescents au Bénin. </w:t>
      </w:r>
      <w:r w:rsidRPr="00351CD2">
        <w:rPr>
          <w:rFonts w:eastAsiaTheme="minorHAnsi"/>
          <w:i/>
          <w:iCs/>
          <w:noProof/>
          <w:sz w:val="24"/>
          <w:szCs w:val="24"/>
        </w:rPr>
        <w:t>Santé Publique</w:t>
      </w:r>
      <w:r w:rsidRPr="00351CD2">
        <w:rPr>
          <w:rFonts w:eastAsiaTheme="minorHAnsi"/>
          <w:noProof/>
          <w:sz w:val="24"/>
          <w:szCs w:val="24"/>
        </w:rPr>
        <w:t xml:space="preserve">, </w:t>
      </w:r>
      <w:r w:rsidRPr="00351CD2">
        <w:rPr>
          <w:rFonts w:eastAsiaTheme="minorHAnsi"/>
          <w:i/>
          <w:iCs/>
          <w:noProof/>
          <w:sz w:val="24"/>
          <w:szCs w:val="24"/>
        </w:rPr>
        <w:t>27</w:t>
      </w:r>
      <w:r w:rsidRPr="00351CD2">
        <w:rPr>
          <w:rFonts w:eastAsiaTheme="minorHAnsi"/>
          <w:noProof/>
          <w:sz w:val="24"/>
          <w:szCs w:val="24"/>
        </w:rPr>
        <w:t>(6), 871–880. https://doi.org/10.3917/spub.156.0871</w:t>
      </w:r>
    </w:p>
    <w:p w14:paraId="4B27BE40" w14:textId="77777777" w:rsidR="00D80693" w:rsidRDefault="00D80693" w:rsidP="008276DA">
      <w:pPr>
        <w:adjustRightInd w:val="0"/>
        <w:spacing w:before="120" w:after="120"/>
        <w:ind w:left="482" w:hanging="737"/>
        <w:jc w:val="both"/>
        <w:rPr>
          <w:noProof/>
          <w:sz w:val="24"/>
          <w:szCs w:val="24"/>
        </w:rPr>
      </w:pPr>
      <w:r w:rsidRPr="00EB5F9F">
        <w:rPr>
          <w:noProof/>
          <w:sz w:val="24"/>
          <w:szCs w:val="24"/>
        </w:rPr>
        <w:t xml:space="preserve">Kuete, V. (2020). </w:t>
      </w:r>
      <w:r w:rsidRPr="00EB5F9F">
        <w:rPr>
          <w:i/>
          <w:iCs/>
          <w:noProof/>
          <w:sz w:val="24"/>
          <w:szCs w:val="24"/>
        </w:rPr>
        <w:t>Facteurs sociaux et consommation des stupéfiants chez les élèves : cas de du lycée de Ouro-Hourso et du collège Moderne de la Bénoué dans l’arrondissement de Garoua 1er / Région du Nord Cameroun</w:t>
      </w:r>
      <w:r w:rsidRPr="00EB5F9F">
        <w:rPr>
          <w:noProof/>
          <w:sz w:val="24"/>
          <w:szCs w:val="24"/>
        </w:rPr>
        <w:t xml:space="preserve"> </w:t>
      </w:r>
      <w:r>
        <w:rPr>
          <w:noProof/>
          <w:sz w:val="24"/>
          <w:szCs w:val="24"/>
        </w:rPr>
        <w:t>[Mémoire de master non publié,</w:t>
      </w:r>
      <w:r w:rsidRPr="00EB5F9F">
        <w:rPr>
          <w:noProof/>
          <w:sz w:val="24"/>
          <w:szCs w:val="24"/>
        </w:rPr>
        <w:t xml:space="preserve"> Université de Ngaoundéré - Annexe de Garoua</w:t>
      </w:r>
      <w:r>
        <w:rPr>
          <w:noProof/>
          <w:sz w:val="24"/>
          <w:szCs w:val="24"/>
        </w:rPr>
        <w:t>]</w:t>
      </w:r>
      <w:r w:rsidRPr="00EB5F9F">
        <w:rPr>
          <w:noProof/>
          <w:sz w:val="24"/>
          <w:szCs w:val="24"/>
        </w:rPr>
        <w:t>.</w:t>
      </w:r>
    </w:p>
    <w:p w14:paraId="4EBA6ED9" w14:textId="77777777" w:rsidR="00D80693" w:rsidRPr="00B62E3D" w:rsidRDefault="00D80693" w:rsidP="008276DA">
      <w:pPr>
        <w:adjustRightInd w:val="0"/>
        <w:spacing w:before="120" w:after="120"/>
        <w:ind w:left="482" w:hanging="737"/>
        <w:jc w:val="both"/>
        <w:rPr>
          <w:noProof/>
          <w:sz w:val="24"/>
          <w:szCs w:val="24"/>
          <w:lang w:val="en-GB"/>
        </w:rPr>
      </w:pPr>
      <w:bookmarkStart w:id="310" w:name="_Hlk211761316"/>
      <w:r w:rsidRPr="0065773E">
        <w:rPr>
          <w:rFonts w:eastAsiaTheme="minorHAnsi"/>
          <w:noProof/>
          <w:sz w:val="24"/>
          <w:szCs w:val="24"/>
          <w:lang w:val="pt-PT"/>
        </w:rPr>
        <w:t>Kuete, V., &amp; Njengoué Ngamaleu, H. (2024).</w:t>
      </w:r>
      <w:bookmarkEnd w:id="310"/>
      <w:r w:rsidRPr="0065773E">
        <w:rPr>
          <w:rFonts w:eastAsiaTheme="minorHAnsi"/>
          <w:noProof/>
          <w:sz w:val="24"/>
          <w:szCs w:val="24"/>
          <w:lang w:val="pt-PT"/>
        </w:rPr>
        <w:t xml:space="preserve"> </w:t>
      </w:r>
      <w:r w:rsidRPr="00621E63">
        <w:rPr>
          <w:rFonts w:eastAsiaTheme="minorHAnsi"/>
          <w:noProof/>
          <w:sz w:val="24"/>
          <w:szCs w:val="24"/>
          <w:lang w:val="en-GB"/>
        </w:rPr>
        <w:t xml:space="preserve">Causes of the increase of violent bahavior in public secondary schools in Cameroon and managerial perspectives : case of Nkolbisson and Etoug-Ebe high schools. </w:t>
      </w:r>
      <w:r w:rsidRPr="00621E63">
        <w:rPr>
          <w:rFonts w:eastAsiaTheme="minorHAnsi"/>
          <w:i/>
          <w:iCs/>
          <w:noProof/>
          <w:sz w:val="24"/>
          <w:szCs w:val="24"/>
          <w:lang w:val="en-GB"/>
        </w:rPr>
        <w:t>European Journal of Education Studies</w:t>
      </w:r>
      <w:r w:rsidRPr="00621E63">
        <w:rPr>
          <w:rFonts w:eastAsiaTheme="minorHAnsi"/>
          <w:noProof/>
          <w:sz w:val="24"/>
          <w:szCs w:val="24"/>
          <w:lang w:val="en-GB"/>
        </w:rPr>
        <w:t xml:space="preserve">, </w:t>
      </w:r>
      <w:r w:rsidRPr="00621E63">
        <w:rPr>
          <w:rFonts w:eastAsiaTheme="minorHAnsi"/>
          <w:i/>
          <w:iCs/>
          <w:noProof/>
          <w:sz w:val="24"/>
          <w:szCs w:val="24"/>
          <w:lang w:val="en-GB"/>
        </w:rPr>
        <w:t>11</w:t>
      </w:r>
      <w:r w:rsidRPr="00621E63">
        <w:rPr>
          <w:rFonts w:eastAsiaTheme="minorHAnsi"/>
          <w:noProof/>
          <w:sz w:val="24"/>
          <w:szCs w:val="24"/>
          <w:lang w:val="en-GB"/>
        </w:rPr>
        <w:t>(11), 960–975. https://doi.org/10.46827/ejes.v11i11.5717</w:t>
      </w:r>
    </w:p>
    <w:p w14:paraId="613B4D40" w14:textId="77777777" w:rsidR="00D80693" w:rsidRPr="006C4E95" w:rsidRDefault="00D80693" w:rsidP="008276DA">
      <w:pPr>
        <w:adjustRightInd w:val="0"/>
        <w:spacing w:before="120" w:after="120"/>
        <w:ind w:left="482" w:hanging="737"/>
        <w:jc w:val="both"/>
        <w:rPr>
          <w:noProof/>
          <w:sz w:val="24"/>
          <w:szCs w:val="24"/>
        </w:rPr>
      </w:pPr>
      <w:r w:rsidRPr="00351CD2">
        <w:rPr>
          <w:rFonts w:eastAsiaTheme="minorHAnsi"/>
          <w:noProof/>
          <w:sz w:val="24"/>
          <w:szCs w:val="24"/>
        </w:rPr>
        <w:t>Laventure, M., Déry, M., &amp; Pauzé, R. (200</w:t>
      </w:r>
      <w:r>
        <w:rPr>
          <w:rFonts w:eastAsiaTheme="minorHAnsi"/>
          <w:noProof/>
          <w:sz w:val="24"/>
          <w:szCs w:val="24"/>
        </w:rPr>
        <w:t>8</w:t>
      </w:r>
      <w:r w:rsidRPr="00351CD2">
        <w:rPr>
          <w:rFonts w:eastAsiaTheme="minorHAnsi"/>
          <w:noProof/>
          <w:sz w:val="24"/>
          <w:szCs w:val="24"/>
        </w:rPr>
        <w:t xml:space="preserve">). </w:t>
      </w:r>
      <w:r w:rsidRPr="006C4E95">
        <w:rPr>
          <w:rFonts w:eastAsiaTheme="minorHAnsi"/>
          <w:noProof/>
          <w:sz w:val="24"/>
          <w:szCs w:val="24"/>
        </w:rPr>
        <w:t>Profils de consommation d’adolescents , garçons et filles , desservis par des centres jeunesse.</w:t>
      </w:r>
      <w:r>
        <w:rPr>
          <w:rFonts w:eastAsiaTheme="minorHAnsi"/>
          <w:i/>
          <w:iCs/>
          <w:noProof/>
          <w:sz w:val="24"/>
          <w:szCs w:val="24"/>
        </w:rPr>
        <w:t xml:space="preserve"> </w:t>
      </w:r>
      <w:r w:rsidRPr="00351CD2">
        <w:rPr>
          <w:rFonts w:eastAsiaTheme="minorHAnsi"/>
          <w:i/>
          <w:iCs/>
          <w:noProof/>
          <w:sz w:val="24"/>
          <w:szCs w:val="24"/>
        </w:rPr>
        <w:t xml:space="preserve"> </w:t>
      </w:r>
      <w:r>
        <w:rPr>
          <w:rFonts w:eastAsiaTheme="minorHAnsi"/>
          <w:i/>
          <w:iCs/>
          <w:noProof/>
          <w:sz w:val="24"/>
          <w:szCs w:val="24"/>
        </w:rPr>
        <w:t>Drogues, santé et société, 7</w:t>
      </w:r>
      <w:r>
        <w:rPr>
          <w:rFonts w:eastAsiaTheme="minorHAnsi"/>
          <w:noProof/>
          <w:sz w:val="24"/>
          <w:szCs w:val="24"/>
        </w:rPr>
        <w:t xml:space="preserve"> (2), 9-45 DOI:10.7202/037564ar</w:t>
      </w:r>
    </w:p>
    <w:p w14:paraId="3B0F88F6" w14:textId="77777777" w:rsidR="00D80693" w:rsidRPr="00B62E3D" w:rsidRDefault="00D80693" w:rsidP="008276DA">
      <w:pPr>
        <w:adjustRightInd w:val="0"/>
        <w:spacing w:before="120" w:after="120"/>
        <w:ind w:left="482" w:hanging="737"/>
        <w:jc w:val="both"/>
        <w:rPr>
          <w:noProof/>
          <w:sz w:val="24"/>
          <w:szCs w:val="24"/>
        </w:rPr>
      </w:pPr>
      <w:r w:rsidRPr="00B70D71">
        <w:rPr>
          <w:rFonts w:eastAsia="SimSun"/>
          <w:sz w:val="24"/>
          <w:szCs w:val="24"/>
          <w:lang w:eastAsia="zh-CN"/>
        </w:rPr>
        <w:t xml:space="preserve">Laventure, M. </w:t>
      </w:r>
      <w:r>
        <w:rPr>
          <w:rFonts w:eastAsia="SimSun"/>
          <w:sz w:val="24"/>
          <w:szCs w:val="24"/>
          <w:lang w:eastAsia="zh-CN"/>
        </w:rPr>
        <w:t>&amp;</w:t>
      </w:r>
      <w:r w:rsidRPr="00B70D71">
        <w:rPr>
          <w:rFonts w:eastAsia="SimSun"/>
          <w:sz w:val="24"/>
          <w:szCs w:val="24"/>
          <w:lang w:eastAsia="zh-CN"/>
        </w:rPr>
        <w:t xml:space="preserve"> Fallu, S. (2009). Recherche et intervention sur les substances psychoactives – Québec. </w:t>
      </w:r>
      <w:r w:rsidRPr="00D05A14">
        <w:rPr>
          <w:rFonts w:eastAsia="SimSun"/>
          <w:i/>
          <w:iCs/>
          <w:sz w:val="24"/>
          <w:szCs w:val="24"/>
          <w:lang w:eastAsia="zh-CN"/>
        </w:rPr>
        <w:t>L’intervenant : revue sur la toxicomanie et le jeu excessif,</w:t>
      </w:r>
      <w:r w:rsidRPr="00B70D71">
        <w:rPr>
          <w:rFonts w:eastAsia="SimSun"/>
          <w:sz w:val="24"/>
          <w:szCs w:val="24"/>
          <w:lang w:eastAsia="zh-CN"/>
        </w:rPr>
        <w:t xml:space="preserve"> </w:t>
      </w:r>
      <w:r w:rsidRPr="00D05A14">
        <w:rPr>
          <w:rFonts w:eastAsia="SimSun"/>
          <w:i/>
          <w:iCs/>
          <w:sz w:val="24"/>
          <w:szCs w:val="24"/>
          <w:lang w:eastAsia="zh-CN"/>
        </w:rPr>
        <w:t>25</w:t>
      </w:r>
      <w:r w:rsidRPr="00B70D71">
        <w:rPr>
          <w:rFonts w:eastAsia="SimSun"/>
          <w:sz w:val="24"/>
          <w:szCs w:val="24"/>
          <w:lang w:eastAsia="zh-CN"/>
        </w:rPr>
        <w:t xml:space="preserve"> (3).</w:t>
      </w:r>
    </w:p>
    <w:p w14:paraId="5E0610BE" w14:textId="77777777" w:rsidR="00D80693" w:rsidRPr="001345BA" w:rsidRDefault="00D80693" w:rsidP="008276DA">
      <w:pPr>
        <w:adjustRightInd w:val="0"/>
        <w:spacing w:before="120" w:after="120"/>
        <w:ind w:left="482" w:hanging="737"/>
        <w:jc w:val="both"/>
        <w:rPr>
          <w:rFonts w:eastAsia="Calibri"/>
          <w:noProof/>
          <w:sz w:val="24"/>
          <w:szCs w:val="24"/>
        </w:rPr>
      </w:pPr>
      <w:r w:rsidRPr="00351CD2">
        <w:rPr>
          <w:rFonts w:eastAsiaTheme="minorHAnsi"/>
          <w:noProof/>
          <w:sz w:val="24"/>
          <w:szCs w:val="24"/>
        </w:rPr>
        <w:t xml:space="preserve">Mabouopda, V., Guy Toguem, M., Domngang Noche, C., &amp; Fotso Djemo, J.-B. (2022). </w:t>
      </w:r>
      <w:r w:rsidRPr="00621E63">
        <w:rPr>
          <w:rFonts w:eastAsiaTheme="minorHAnsi"/>
          <w:noProof/>
          <w:sz w:val="24"/>
          <w:szCs w:val="24"/>
          <w:lang w:val="en-GB"/>
        </w:rPr>
        <w:t xml:space="preserve">Substance use and substance abuse among street children in the city of Yaounde, Cameroon. </w:t>
      </w:r>
      <w:r w:rsidRPr="001345BA">
        <w:rPr>
          <w:rFonts w:eastAsiaTheme="minorHAnsi"/>
          <w:i/>
          <w:iCs/>
          <w:noProof/>
          <w:sz w:val="24"/>
          <w:szCs w:val="24"/>
        </w:rPr>
        <w:t>Sys Rev Pharm</w:t>
      </w:r>
      <w:r w:rsidRPr="001345BA">
        <w:rPr>
          <w:rFonts w:eastAsiaTheme="minorHAnsi"/>
          <w:noProof/>
          <w:sz w:val="24"/>
          <w:szCs w:val="24"/>
        </w:rPr>
        <w:t xml:space="preserve">, </w:t>
      </w:r>
      <w:r w:rsidRPr="001345BA">
        <w:rPr>
          <w:rFonts w:eastAsiaTheme="minorHAnsi"/>
          <w:i/>
          <w:iCs/>
          <w:noProof/>
          <w:sz w:val="24"/>
          <w:szCs w:val="24"/>
        </w:rPr>
        <w:t>13</w:t>
      </w:r>
      <w:r w:rsidRPr="001345BA">
        <w:rPr>
          <w:rFonts w:eastAsiaTheme="minorHAnsi"/>
          <w:noProof/>
          <w:sz w:val="24"/>
          <w:szCs w:val="24"/>
        </w:rPr>
        <w:t>(7), 749–754. https://doi.org/10.31858/0975-8453.13.7.749-754</w:t>
      </w:r>
    </w:p>
    <w:p w14:paraId="29BD3EE3" w14:textId="77777777" w:rsidR="00D80693" w:rsidRPr="001345BA" w:rsidRDefault="00D80693" w:rsidP="008276DA">
      <w:pPr>
        <w:adjustRightInd w:val="0"/>
        <w:spacing w:before="120" w:after="120"/>
        <w:ind w:left="482" w:hanging="737"/>
        <w:jc w:val="both"/>
        <w:rPr>
          <w:rFonts w:eastAsia="Calibri"/>
          <w:noProof/>
          <w:sz w:val="24"/>
          <w:szCs w:val="24"/>
        </w:rPr>
      </w:pPr>
      <w:r w:rsidRPr="00C53208">
        <w:rPr>
          <w:color w:val="000000"/>
          <w:sz w:val="24"/>
          <w:szCs w:val="24"/>
        </w:rPr>
        <w:t xml:space="preserve">Maalouf, M. (2003). </w:t>
      </w:r>
      <w:r w:rsidRPr="00C53208">
        <w:rPr>
          <w:i/>
          <w:color w:val="000000"/>
          <w:sz w:val="24"/>
          <w:szCs w:val="24"/>
        </w:rPr>
        <w:t>Socialisation et Espace Pluridimensionnel d’interactions</w:t>
      </w:r>
      <w:r w:rsidRPr="00C53208">
        <w:rPr>
          <w:color w:val="000000"/>
          <w:sz w:val="24"/>
          <w:szCs w:val="24"/>
        </w:rPr>
        <w:t xml:space="preserve"> </w:t>
      </w:r>
      <w:r>
        <w:rPr>
          <w:color w:val="000000"/>
          <w:sz w:val="24"/>
          <w:szCs w:val="24"/>
        </w:rPr>
        <w:t>[</w:t>
      </w:r>
      <w:r w:rsidRPr="00C53208">
        <w:rPr>
          <w:color w:val="000000"/>
          <w:sz w:val="24"/>
          <w:szCs w:val="24"/>
        </w:rPr>
        <w:t>Thèse de Doctorat en Psychologie Sociale</w:t>
      </w:r>
      <w:r>
        <w:rPr>
          <w:color w:val="000000"/>
          <w:sz w:val="24"/>
          <w:szCs w:val="24"/>
        </w:rPr>
        <w:t xml:space="preserve">, </w:t>
      </w:r>
      <w:r w:rsidRPr="00C53208">
        <w:rPr>
          <w:color w:val="000000"/>
          <w:sz w:val="24"/>
          <w:szCs w:val="24"/>
        </w:rPr>
        <w:t>Université Lumière-Lyon II</w:t>
      </w:r>
      <w:r>
        <w:rPr>
          <w:color w:val="000000"/>
          <w:sz w:val="24"/>
          <w:szCs w:val="24"/>
        </w:rPr>
        <w:t>]</w:t>
      </w:r>
      <w:r w:rsidRPr="00C53208">
        <w:rPr>
          <w:color w:val="000000"/>
          <w:sz w:val="24"/>
          <w:szCs w:val="24"/>
        </w:rPr>
        <w:t xml:space="preserve">. </w:t>
      </w:r>
    </w:p>
    <w:p w14:paraId="5C225996" w14:textId="77777777" w:rsidR="00D80693" w:rsidRPr="00351CD2" w:rsidRDefault="00D80693" w:rsidP="008276DA">
      <w:pPr>
        <w:adjustRightInd w:val="0"/>
        <w:spacing w:before="120" w:after="120"/>
        <w:ind w:left="482" w:hanging="737"/>
        <w:jc w:val="both"/>
        <w:rPr>
          <w:rFonts w:eastAsia="Calibri"/>
          <w:noProof/>
          <w:sz w:val="24"/>
          <w:szCs w:val="24"/>
        </w:rPr>
      </w:pPr>
      <w:r w:rsidRPr="0065773E">
        <w:rPr>
          <w:rFonts w:eastAsiaTheme="minorHAnsi"/>
          <w:noProof/>
          <w:sz w:val="24"/>
          <w:szCs w:val="24"/>
          <w:lang w:val="pt-PT"/>
        </w:rPr>
        <w:t xml:space="preserve">Mbongo’o, G., Mbole, J., Banga Nkomo, D., Menguene, J., Mendimi Nkodo, J., Awana, A., Nko Amvene, M., Eyoum, C., Basseguin Atchou, J., &amp; Ntone Enyime, F. (2021a). </w:t>
      </w:r>
      <w:r w:rsidRPr="00351CD2">
        <w:rPr>
          <w:rFonts w:eastAsiaTheme="minorHAnsi"/>
          <w:noProof/>
          <w:sz w:val="24"/>
          <w:szCs w:val="24"/>
        </w:rPr>
        <w:t xml:space="preserve">Bilan d’un an d’activités Médico-Hospitalières au Service B de Psychiatrie à l’Hôpital Jamot (Yaoundé). </w:t>
      </w:r>
      <w:r w:rsidRPr="00351CD2">
        <w:rPr>
          <w:rFonts w:eastAsiaTheme="minorHAnsi"/>
          <w:i/>
          <w:iCs/>
          <w:noProof/>
          <w:sz w:val="24"/>
          <w:szCs w:val="24"/>
        </w:rPr>
        <w:t>Health Sciences and Diseases</w:t>
      </w:r>
      <w:r w:rsidRPr="00351CD2">
        <w:rPr>
          <w:rFonts w:eastAsiaTheme="minorHAnsi"/>
          <w:noProof/>
          <w:sz w:val="24"/>
          <w:szCs w:val="24"/>
        </w:rPr>
        <w:t xml:space="preserve">, </w:t>
      </w:r>
      <w:r w:rsidRPr="00351CD2">
        <w:rPr>
          <w:rFonts w:eastAsiaTheme="minorHAnsi"/>
          <w:i/>
          <w:iCs/>
          <w:noProof/>
          <w:sz w:val="24"/>
          <w:szCs w:val="24"/>
        </w:rPr>
        <w:t>22</w:t>
      </w:r>
      <w:r w:rsidRPr="00351CD2">
        <w:rPr>
          <w:rFonts w:eastAsiaTheme="minorHAnsi"/>
          <w:noProof/>
          <w:sz w:val="24"/>
          <w:szCs w:val="24"/>
        </w:rPr>
        <w:t>(2), 73–79.</w:t>
      </w:r>
    </w:p>
    <w:p w14:paraId="2CD3C881" w14:textId="77777777" w:rsidR="00D80693" w:rsidRPr="00621E63" w:rsidRDefault="00D80693" w:rsidP="008276DA">
      <w:pPr>
        <w:adjustRightInd w:val="0"/>
        <w:spacing w:before="120" w:after="120"/>
        <w:ind w:left="482" w:hanging="737"/>
        <w:jc w:val="both"/>
        <w:rPr>
          <w:rFonts w:eastAsia="Calibri"/>
          <w:noProof/>
          <w:sz w:val="24"/>
          <w:szCs w:val="24"/>
          <w:lang w:val="en-GB"/>
        </w:rPr>
      </w:pPr>
      <w:r w:rsidRPr="00351CD2">
        <w:rPr>
          <w:rFonts w:eastAsiaTheme="minorHAnsi"/>
          <w:noProof/>
          <w:sz w:val="24"/>
          <w:szCs w:val="24"/>
        </w:rPr>
        <w:t>Mbongo’o, G., Okoto Mvondo, N., Fogang Fogoum, Y., Njanjo Yimgoua, M., Basseguin Atchou, J., Eyoum, C., Menguene, J., Mendimi Nkodo, J., &amp; Nguefack, S. (2021</w:t>
      </w:r>
      <w:r>
        <w:rPr>
          <w:rFonts w:eastAsiaTheme="minorHAnsi"/>
          <w:noProof/>
          <w:sz w:val="24"/>
          <w:szCs w:val="24"/>
        </w:rPr>
        <w:t>b</w:t>
      </w:r>
      <w:r w:rsidRPr="00351CD2">
        <w:rPr>
          <w:rFonts w:eastAsiaTheme="minorHAnsi"/>
          <w:noProof/>
          <w:sz w:val="24"/>
          <w:szCs w:val="24"/>
        </w:rPr>
        <w:t xml:space="preserve">). Profils sociodémographiques et comorbidités des usagers en consultation d’addictologie à Yaoundé. </w:t>
      </w:r>
      <w:r w:rsidRPr="00621E63">
        <w:rPr>
          <w:rFonts w:eastAsiaTheme="minorHAnsi"/>
          <w:i/>
          <w:iCs/>
          <w:noProof/>
          <w:sz w:val="24"/>
          <w:szCs w:val="24"/>
          <w:lang w:val="en-GB"/>
        </w:rPr>
        <w:t>Health Sciences and Disease</w:t>
      </w:r>
      <w:r w:rsidRPr="00621E63">
        <w:rPr>
          <w:rFonts w:eastAsiaTheme="minorHAnsi"/>
          <w:noProof/>
          <w:sz w:val="24"/>
          <w:szCs w:val="24"/>
          <w:lang w:val="en-GB"/>
        </w:rPr>
        <w:t xml:space="preserve">, </w:t>
      </w:r>
      <w:r w:rsidRPr="00621E63">
        <w:rPr>
          <w:rFonts w:eastAsiaTheme="minorHAnsi"/>
          <w:i/>
          <w:iCs/>
          <w:noProof/>
          <w:sz w:val="24"/>
          <w:szCs w:val="24"/>
          <w:lang w:val="en-GB"/>
        </w:rPr>
        <w:t>22</w:t>
      </w:r>
      <w:r w:rsidRPr="00621E63">
        <w:rPr>
          <w:rFonts w:eastAsiaTheme="minorHAnsi"/>
          <w:noProof/>
          <w:sz w:val="24"/>
          <w:szCs w:val="24"/>
          <w:lang w:val="en-GB"/>
        </w:rPr>
        <w:t>(11), 35–41. www.hsd-fmsb.org</w:t>
      </w:r>
    </w:p>
    <w:p w14:paraId="53BFBDC0" w14:textId="77777777" w:rsidR="00D80693" w:rsidRPr="001065D8" w:rsidRDefault="00D80693" w:rsidP="008276DA">
      <w:pPr>
        <w:adjustRightInd w:val="0"/>
        <w:spacing w:before="120" w:after="120"/>
        <w:ind w:left="482" w:hanging="737"/>
        <w:jc w:val="both"/>
        <w:rPr>
          <w:b/>
          <w:color w:val="000000"/>
          <w:sz w:val="24"/>
          <w:szCs w:val="24"/>
          <w:lang w:val="fr-SN" w:eastAsia="fr-FR"/>
        </w:rPr>
      </w:pPr>
      <w:r w:rsidRPr="00621E63">
        <w:rPr>
          <w:rFonts w:eastAsiaTheme="minorHAnsi"/>
          <w:noProof/>
          <w:sz w:val="24"/>
          <w:szCs w:val="24"/>
          <w:lang w:val="en-GB"/>
        </w:rPr>
        <w:t xml:space="preserve">Metuge, C. E., Dzudie, A., Ebasone, P. V., Assob, J. C. N., Ngowe, M. N., Njang, E., &amp; Eyoum, S. M. C. (2022). Prevalence and factors associated with substance use among students in tertiary institutions in Buea, Cameroon. </w:t>
      </w:r>
      <w:r w:rsidRPr="001065D8">
        <w:rPr>
          <w:rFonts w:eastAsiaTheme="minorHAnsi"/>
          <w:i/>
          <w:iCs/>
          <w:noProof/>
          <w:sz w:val="24"/>
          <w:szCs w:val="24"/>
          <w:lang w:val="fr-SN"/>
        </w:rPr>
        <w:t>Pan African Medical Journal</w:t>
      </w:r>
      <w:r w:rsidRPr="001065D8">
        <w:rPr>
          <w:rFonts w:eastAsiaTheme="minorHAnsi"/>
          <w:noProof/>
          <w:sz w:val="24"/>
          <w:szCs w:val="24"/>
          <w:lang w:val="fr-SN"/>
        </w:rPr>
        <w:t xml:space="preserve">, </w:t>
      </w:r>
      <w:r w:rsidRPr="001065D8">
        <w:rPr>
          <w:rFonts w:eastAsiaTheme="minorHAnsi"/>
          <w:i/>
          <w:iCs/>
          <w:noProof/>
          <w:sz w:val="24"/>
          <w:szCs w:val="24"/>
          <w:lang w:val="fr-SN"/>
        </w:rPr>
        <w:t>41</w:t>
      </w:r>
      <w:r w:rsidRPr="001065D8">
        <w:rPr>
          <w:rFonts w:eastAsiaTheme="minorHAnsi"/>
          <w:noProof/>
          <w:sz w:val="24"/>
          <w:szCs w:val="24"/>
          <w:lang w:val="fr-SN"/>
        </w:rPr>
        <w:t>. https://doi.org/10.11604/pamj.2022.41.103.29272</w:t>
      </w:r>
      <w:r w:rsidRPr="00B70D71">
        <w:rPr>
          <w:b/>
          <w:color w:val="000000"/>
          <w:sz w:val="24"/>
          <w:szCs w:val="24"/>
          <w:lang w:eastAsia="fr-FR"/>
        </w:rPr>
        <w:fldChar w:fldCharType="end"/>
      </w:r>
    </w:p>
    <w:p w14:paraId="7DDF5420" w14:textId="77777777" w:rsidR="00D80693" w:rsidRDefault="00D80693" w:rsidP="008276DA">
      <w:pPr>
        <w:adjustRightInd w:val="0"/>
        <w:spacing w:before="120" w:after="120"/>
        <w:ind w:left="482" w:hanging="737"/>
        <w:jc w:val="both"/>
        <w:rPr>
          <w:i/>
          <w:color w:val="000000"/>
          <w:sz w:val="24"/>
          <w:szCs w:val="24"/>
        </w:rPr>
      </w:pPr>
      <w:proofErr w:type="spellStart"/>
      <w:r w:rsidRPr="00B70D71">
        <w:rPr>
          <w:color w:val="000000"/>
          <w:sz w:val="24"/>
          <w:szCs w:val="24"/>
        </w:rPr>
        <w:t>Ntap</w:t>
      </w:r>
      <w:proofErr w:type="spellEnd"/>
      <w:r w:rsidRPr="00B70D71">
        <w:rPr>
          <w:color w:val="000000"/>
          <w:sz w:val="24"/>
          <w:szCs w:val="24"/>
        </w:rPr>
        <w:t xml:space="preserve">, E. J. (2018, mai). Le fléau du </w:t>
      </w:r>
      <w:proofErr w:type="spellStart"/>
      <w:r w:rsidRPr="00B70D71">
        <w:rPr>
          <w:color w:val="000000"/>
          <w:sz w:val="24"/>
          <w:szCs w:val="24"/>
        </w:rPr>
        <w:t>tramadol</w:t>
      </w:r>
      <w:proofErr w:type="spellEnd"/>
      <w:r w:rsidRPr="00B70D71">
        <w:rPr>
          <w:color w:val="000000"/>
          <w:sz w:val="24"/>
          <w:szCs w:val="24"/>
        </w:rPr>
        <w:t xml:space="preserve"> dans les établissements scolaires au Cameroun. </w:t>
      </w:r>
      <w:r>
        <w:rPr>
          <w:color w:val="000000"/>
          <w:sz w:val="24"/>
          <w:szCs w:val="24"/>
        </w:rPr>
        <w:t xml:space="preserve">[Article de presse] </w:t>
      </w:r>
      <w:r w:rsidRPr="00B70D71">
        <w:rPr>
          <w:i/>
          <w:color w:val="000000"/>
          <w:sz w:val="24"/>
          <w:szCs w:val="24"/>
        </w:rPr>
        <w:t>VOA Afrique</w:t>
      </w:r>
    </w:p>
    <w:p w14:paraId="7BAB469C" w14:textId="77777777" w:rsidR="00D80693" w:rsidRDefault="00D80693" w:rsidP="008276DA">
      <w:pPr>
        <w:adjustRightInd w:val="0"/>
        <w:spacing w:before="120" w:after="120"/>
        <w:ind w:left="482" w:hanging="737"/>
        <w:jc w:val="both"/>
        <w:rPr>
          <w:rFonts w:eastAsia="SimSun"/>
          <w:sz w:val="24"/>
          <w:szCs w:val="24"/>
          <w:lang w:eastAsia="zh-CN"/>
        </w:rPr>
      </w:pPr>
      <w:r w:rsidRPr="00B70D71">
        <w:rPr>
          <w:rFonts w:eastAsia="SimSun"/>
          <w:sz w:val="24"/>
          <w:szCs w:val="24"/>
          <w:lang w:eastAsia="zh-CN"/>
        </w:rPr>
        <w:t>Oetting, E. R. et Beauvais, F. (1986). Théorie des groupes de pairs : la drogue et l'adolescent.</w:t>
      </w:r>
      <w:r w:rsidRPr="00B70D71">
        <w:rPr>
          <w:rFonts w:eastAsia="SimSun"/>
          <w:i/>
          <w:sz w:val="24"/>
          <w:szCs w:val="24"/>
          <w:lang w:eastAsia="zh-CN"/>
        </w:rPr>
        <w:t xml:space="preserve"> Journal of Counseling Psychology</w:t>
      </w:r>
      <w:r w:rsidRPr="00B70D71">
        <w:rPr>
          <w:rFonts w:eastAsia="SimSun"/>
          <w:sz w:val="24"/>
          <w:szCs w:val="24"/>
          <w:lang w:eastAsia="zh-CN"/>
        </w:rPr>
        <w:t xml:space="preserve">. </w:t>
      </w:r>
      <w:r w:rsidRPr="007F1BA7">
        <w:rPr>
          <w:rFonts w:eastAsia="SimSun"/>
          <w:i/>
          <w:sz w:val="24"/>
          <w:szCs w:val="24"/>
          <w:lang w:eastAsia="zh-CN"/>
        </w:rPr>
        <w:t>65</w:t>
      </w:r>
      <w:r w:rsidRPr="00B70D71">
        <w:rPr>
          <w:rFonts w:eastAsia="SimSun"/>
          <w:sz w:val="24"/>
          <w:szCs w:val="24"/>
          <w:lang w:eastAsia="zh-CN"/>
        </w:rPr>
        <w:t>, 17-22.</w:t>
      </w:r>
    </w:p>
    <w:p w14:paraId="74C0B997" w14:textId="77777777" w:rsidR="00D80693" w:rsidRDefault="00D80693" w:rsidP="008276DA">
      <w:pPr>
        <w:adjustRightInd w:val="0"/>
        <w:spacing w:before="120" w:after="120"/>
        <w:ind w:left="482" w:hanging="737"/>
        <w:jc w:val="both"/>
        <w:rPr>
          <w:rFonts w:eastAsia="SimSun"/>
          <w:sz w:val="24"/>
          <w:szCs w:val="24"/>
          <w:lang w:eastAsia="zh-CN"/>
        </w:rPr>
      </w:pPr>
      <w:r w:rsidRPr="00B70D71">
        <w:rPr>
          <w:color w:val="000000"/>
          <w:sz w:val="24"/>
          <w:szCs w:val="24"/>
        </w:rPr>
        <w:t xml:space="preserve">OMS (2002). </w:t>
      </w:r>
      <w:r w:rsidRPr="007F1BA7">
        <w:rPr>
          <w:i/>
          <w:iCs/>
          <w:color w:val="000000"/>
          <w:sz w:val="24"/>
          <w:szCs w:val="24"/>
        </w:rPr>
        <w:t>« Rapport sur la santé dans le monde : réduire les risques et promouvoir une vie saine. »</w:t>
      </w:r>
    </w:p>
    <w:p w14:paraId="209CDDDA" w14:textId="77777777" w:rsidR="00D80693" w:rsidRDefault="00D80693" w:rsidP="008276DA">
      <w:pPr>
        <w:adjustRightInd w:val="0"/>
        <w:spacing w:before="120" w:after="120"/>
        <w:ind w:left="482" w:hanging="737"/>
        <w:jc w:val="both"/>
        <w:rPr>
          <w:rFonts w:eastAsia="SimSun"/>
          <w:sz w:val="24"/>
          <w:szCs w:val="24"/>
          <w:lang w:eastAsia="zh-CN"/>
        </w:rPr>
      </w:pPr>
      <w:r w:rsidRPr="00B70D71">
        <w:rPr>
          <w:color w:val="000000"/>
          <w:sz w:val="24"/>
          <w:szCs w:val="24"/>
        </w:rPr>
        <w:t xml:space="preserve">ONUDC (2004). </w:t>
      </w:r>
      <w:r w:rsidRPr="00B70D71">
        <w:rPr>
          <w:i/>
          <w:iCs/>
          <w:color w:val="000000"/>
          <w:sz w:val="24"/>
          <w:szCs w:val="24"/>
        </w:rPr>
        <w:t>Réalisation d’enquêtes en milieu scolaire sur l’abus des drogues</w:t>
      </w:r>
      <w:r w:rsidRPr="00B70D71">
        <w:rPr>
          <w:color w:val="000000"/>
          <w:sz w:val="24"/>
          <w:szCs w:val="24"/>
        </w:rPr>
        <w:t>. Programme mondial d’évaluation de l’abus de drogues (GAP). Module 3 du référentiel GAP. Vienne (Autriche)</w:t>
      </w:r>
    </w:p>
    <w:p w14:paraId="3CF7C1BF" w14:textId="77777777" w:rsidR="00D80693" w:rsidRPr="00AC415C" w:rsidRDefault="00D80693" w:rsidP="008276DA">
      <w:pPr>
        <w:adjustRightInd w:val="0"/>
        <w:spacing w:before="120" w:after="120"/>
        <w:ind w:left="482" w:hanging="737"/>
        <w:jc w:val="both"/>
        <w:rPr>
          <w:rFonts w:eastAsia="SimSun"/>
          <w:sz w:val="24"/>
          <w:szCs w:val="24"/>
          <w:lang w:eastAsia="zh-CN"/>
        </w:rPr>
      </w:pPr>
      <w:r w:rsidRPr="00351CD2">
        <w:rPr>
          <w:rFonts w:eastAsiaTheme="minorHAnsi"/>
          <w:noProof/>
          <w:sz w:val="24"/>
          <w:szCs w:val="24"/>
        </w:rPr>
        <w:t xml:space="preserve">SCP, &amp; BfdW. (2024). </w:t>
      </w:r>
      <w:r w:rsidRPr="00351CD2">
        <w:rPr>
          <w:rFonts w:eastAsiaTheme="minorHAnsi"/>
          <w:i/>
          <w:iCs/>
          <w:noProof/>
          <w:sz w:val="24"/>
          <w:szCs w:val="24"/>
        </w:rPr>
        <w:t xml:space="preserve">Les violences en milieu jeune au Cameroun. </w:t>
      </w:r>
      <w:r w:rsidRPr="00621E63">
        <w:rPr>
          <w:rFonts w:eastAsiaTheme="minorHAnsi"/>
          <w:i/>
          <w:iCs/>
          <w:noProof/>
          <w:sz w:val="24"/>
          <w:szCs w:val="24"/>
          <w:lang w:val="en-GB"/>
        </w:rPr>
        <w:t>Violence In Youth Settings In Cameroon</w:t>
      </w:r>
      <w:r>
        <w:rPr>
          <w:rFonts w:eastAsiaTheme="minorHAnsi"/>
          <w:i/>
          <w:iCs/>
          <w:noProof/>
          <w:sz w:val="24"/>
          <w:szCs w:val="24"/>
          <w:lang w:val="en-GB"/>
        </w:rPr>
        <w:t>.</w:t>
      </w:r>
      <w:r w:rsidRPr="00621E63">
        <w:rPr>
          <w:rFonts w:eastAsiaTheme="minorHAnsi"/>
          <w:noProof/>
          <w:sz w:val="24"/>
          <w:szCs w:val="24"/>
          <w:lang w:val="en-GB"/>
        </w:rPr>
        <w:t xml:space="preserve"> </w:t>
      </w:r>
      <w:r w:rsidRPr="00AC415C">
        <w:rPr>
          <w:rFonts w:eastAsiaTheme="minorHAnsi"/>
          <w:noProof/>
          <w:sz w:val="24"/>
          <w:szCs w:val="24"/>
        </w:rPr>
        <w:t>CLE.</w:t>
      </w:r>
    </w:p>
    <w:p w14:paraId="07D09628" w14:textId="77777777" w:rsidR="00D80693" w:rsidRPr="00016AE7" w:rsidRDefault="00D80693" w:rsidP="008276DA">
      <w:pPr>
        <w:adjustRightInd w:val="0"/>
        <w:spacing w:before="120" w:after="120"/>
        <w:ind w:left="482" w:hanging="737"/>
        <w:jc w:val="both"/>
        <w:rPr>
          <w:rFonts w:eastAsia="SimSun"/>
          <w:sz w:val="24"/>
          <w:szCs w:val="24"/>
          <w:lang w:val="en-GB" w:eastAsia="zh-CN"/>
        </w:rPr>
      </w:pPr>
      <w:proofErr w:type="spellStart"/>
      <w:r w:rsidRPr="00B70D71">
        <w:rPr>
          <w:rFonts w:eastAsiaTheme="minorHAnsi"/>
          <w:sz w:val="24"/>
          <w:szCs w:val="24"/>
        </w:rPr>
        <w:t>Silins</w:t>
      </w:r>
      <w:proofErr w:type="spellEnd"/>
      <w:r w:rsidRPr="00B70D71">
        <w:rPr>
          <w:rFonts w:eastAsiaTheme="minorHAnsi"/>
          <w:sz w:val="24"/>
          <w:szCs w:val="24"/>
        </w:rPr>
        <w:t>, E. et al. (2014). Les séquelles psychosociales d</w:t>
      </w:r>
      <w:r w:rsidRPr="00B70D71">
        <w:rPr>
          <w:rFonts w:eastAsiaTheme="minorHAnsi"/>
          <w:sz w:val="24"/>
          <w:szCs w:val="24"/>
          <w:lang w:val="fr-CM"/>
        </w:rPr>
        <w:t xml:space="preserve"> </w:t>
      </w:r>
      <w:r w:rsidRPr="00B70D71">
        <w:rPr>
          <w:rFonts w:eastAsiaTheme="minorHAnsi"/>
          <w:sz w:val="24"/>
          <w:szCs w:val="24"/>
        </w:rPr>
        <w:t xml:space="preserve">e la consommation de cannabis chez les adolescents. </w:t>
      </w:r>
      <w:r w:rsidRPr="00016AE7">
        <w:rPr>
          <w:rFonts w:eastAsiaTheme="minorHAnsi"/>
          <w:sz w:val="24"/>
          <w:szCs w:val="24"/>
          <w:lang w:val="en-GB"/>
        </w:rPr>
        <w:t xml:space="preserve">Revue </w:t>
      </w:r>
      <w:proofErr w:type="spellStart"/>
      <w:r w:rsidRPr="00016AE7">
        <w:rPr>
          <w:rFonts w:eastAsiaTheme="minorHAnsi"/>
          <w:sz w:val="24"/>
          <w:szCs w:val="24"/>
          <w:lang w:val="en-GB"/>
        </w:rPr>
        <w:t>médicale</w:t>
      </w:r>
      <w:proofErr w:type="spellEnd"/>
      <w:r w:rsidRPr="00016AE7">
        <w:rPr>
          <w:rFonts w:eastAsiaTheme="minorHAnsi"/>
          <w:i/>
          <w:iCs/>
          <w:sz w:val="24"/>
          <w:szCs w:val="24"/>
          <w:lang w:val="en-GB"/>
        </w:rPr>
        <w:t xml:space="preserve"> The Lancet psychiatry</w:t>
      </w:r>
      <w:r w:rsidRPr="00016AE7">
        <w:rPr>
          <w:rFonts w:eastAsiaTheme="minorHAnsi"/>
          <w:sz w:val="24"/>
          <w:szCs w:val="24"/>
          <w:lang w:val="en-GB"/>
        </w:rPr>
        <w:t xml:space="preserve">, </w:t>
      </w:r>
      <w:r w:rsidRPr="007F1BA7">
        <w:rPr>
          <w:rFonts w:eastAsiaTheme="minorHAnsi"/>
          <w:i/>
          <w:sz w:val="24"/>
          <w:szCs w:val="24"/>
          <w:lang w:val="en-GB"/>
        </w:rPr>
        <w:t>1</w:t>
      </w:r>
      <w:r w:rsidRPr="007F1BA7">
        <w:rPr>
          <w:rFonts w:eastAsiaTheme="minorHAnsi"/>
          <w:iCs/>
          <w:sz w:val="24"/>
          <w:szCs w:val="24"/>
          <w:lang w:val="en-GB"/>
        </w:rPr>
        <w:t xml:space="preserve"> (4),</w:t>
      </w:r>
      <w:r w:rsidRPr="00016AE7">
        <w:rPr>
          <w:rFonts w:eastAsiaTheme="minorHAnsi"/>
          <w:sz w:val="24"/>
          <w:szCs w:val="24"/>
          <w:lang w:val="en-GB"/>
        </w:rPr>
        <w:t xml:space="preserve"> 286-293.</w:t>
      </w:r>
    </w:p>
    <w:p w14:paraId="681D20DF" w14:textId="77777777" w:rsidR="00D80693" w:rsidRPr="00AC415C" w:rsidRDefault="00D80693" w:rsidP="008276DA">
      <w:pPr>
        <w:adjustRightInd w:val="0"/>
        <w:spacing w:before="120" w:after="120"/>
        <w:ind w:left="482" w:hanging="737"/>
        <w:jc w:val="both"/>
        <w:rPr>
          <w:rFonts w:eastAsia="SimSun"/>
          <w:sz w:val="24"/>
          <w:szCs w:val="24"/>
          <w:lang w:val="en-GB" w:eastAsia="zh-CN"/>
        </w:rPr>
      </w:pPr>
      <w:r w:rsidRPr="007F4076">
        <w:rPr>
          <w:rFonts w:eastAsia="SimSun"/>
          <w:sz w:val="24"/>
          <w:szCs w:val="24"/>
          <w:lang w:val="en-GB" w:eastAsia="zh-CN"/>
        </w:rPr>
        <w:t xml:space="preserve">Sydow, V. K., </w:t>
      </w:r>
      <w:proofErr w:type="spellStart"/>
      <w:proofErr w:type="gramStart"/>
      <w:r w:rsidRPr="007F4076">
        <w:rPr>
          <w:rFonts w:eastAsia="SimSun"/>
          <w:sz w:val="24"/>
          <w:szCs w:val="24"/>
          <w:lang w:val="en-GB" w:eastAsia="zh-CN"/>
        </w:rPr>
        <w:t>Lieb,R</w:t>
      </w:r>
      <w:proofErr w:type="spellEnd"/>
      <w:r w:rsidRPr="007F4076">
        <w:rPr>
          <w:rFonts w:eastAsia="SimSun"/>
          <w:sz w:val="24"/>
          <w:szCs w:val="24"/>
          <w:lang w:val="en-GB" w:eastAsia="zh-CN"/>
        </w:rPr>
        <w:t>.</w:t>
      </w:r>
      <w:proofErr w:type="gramEnd"/>
      <w:r w:rsidRPr="007F4076">
        <w:rPr>
          <w:rFonts w:eastAsia="SimSun"/>
          <w:sz w:val="24"/>
          <w:szCs w:val="24"/>
          <w:lang w:val="en-GB" w:eastAsia="zh-CN"/>
        </w:rPr>
        <w:t xml:space="preserve">, </w:t>
      </w:r>
      <w:proofErr w:type="spellStart"/>
      <w:proofErr w:type="gramStart"/>
      <w:r w:rsidRPr="007F4076">
        <w:rPr>
          <w:rFonts w:eastAsia="SimSun"/>
          <w:sz w:val="24"/>
          <w:szCs w:val="24"/>
          <w:lang w:val="en-GB" w:eastAsia="zh-CN"/>
        </w:rPr>
        <w:t>Pfister,H</w:t>
      </w:r>
      <w:proofErr w:type="spellEnd"/>
      <w:r w:rsidRPr="007F4076">
        <w:rPr>
          <w:rFonts w:eastAsia="SimSun"/>
          <w:sz w:val="24"/>
          <w:szCs w:val="24"/>
          <w:lang w:val="en-GB" w:eastAsia="zh-CN"/>
        </w:rPr>
        <w:t>.</w:t>
      </w:r>
      <w:proofErr w:type="gramEnd"/>
      <w:r w:rsidRPr="007F4076">
        <w:rPr>
          <w:rFonts w:eastAsia="SimSun"/>
          <w:sz w:val="24"/>
          <w:szCs w:val="24"/>
          <w:lang w:val="en-GB" w:eastAsia="zh-CN"/>
        </w:rPr>
        <w:t xml:space="preserve">, </w:t>
      </w:r>
      <w:proofErr w:type="spellStart"/>
      <w:r w:rsidRPr="007F4076">
        <w:rPr>
          <w:rFonts w:eastAsia="SimSun"/>
          <w:sz w:val="24"/>
          <w:szCs w:val="24"/>
          <w:lang w:val="en-GB" w:eastAsia="zh-CN"/>
        </w:rPr>
        <w:t>höfler</w:t>
      </w:r>
      <w:proofErr w:type="spellEnd"/>
      <w:r w:rsidRPr="007F4076">
        <w:rPr>
          <w:rFonts w:eastAsia="SimSun"/>
          <w:sz w:val="24"/>
          <w:szCs w:val="24"/>
          <w:lang w:val="en-GB" w:eastAsia="zh-CN"/>
        </w:rPr>
        <w:t xml:space="preserve">, M., &amp; Wittchen, H. U. (2002). </w:t>
      </w:r>
      <w:r w:rsidRPr="00B70D71">
        <w:rPr>
          <w:rFonts w:eastAsia="SimSun"/>
          <w:sz w:val="24"/>
          <w:szCs w:val="24"/>
          <w:lang w:val="en-GB" w:eastAsia="zh-CN"/>
        </w:rPr>
        <w:t xml:space="preserve">What predicts incident use of cannabis and progression to abuse and dependence? A 4-year prospective examination of risk factors in a community sample of adolescents and young adults. </w:t>
      </w:r>
      <w:r w:rsidRPr="00AC415C">
        <w:rPr>
          <w:rFonts w:eastAsia="SimSun"/>
          <w:i/>
          <w:iCs/>
          <w:sz w:val="24"/>
          <w:szCs w:val="24"/>
          <w:lang w:val="en-GB" w:eastAsia="zh-CN"/>
        </w:rPr>
        <w:t>Drug Alcohol Depend</w:t>
      </w:r>
      <w:r w:rsidRPr="00AC415C">
        <w:rPr>
          <w:rFonts w:eastAsia="SimSun"/>
          <w:sz w:val="24"/>
          <w:szCs w:val="24"/>
          <w:lang w:val="en-GB" w:eastAsia="zh-CN"/>
        </w:rPr>
        <w:t xml:space="preserve">, </w:t>
      </w:r>
      <w:r w:rsidRPr="00AC415C">
        <w:rPr>
          <w:rFonts w:eastAsia="SimSun"/>
          <w:i/>
          <w:iCs/>
          <w:sz w:val="24"/>
          <w:szCs w:val="24"/>
          <w:lang w:val="en-GB" w:eastAsia="zh-CN"/>
        </w:rPr>
        <w:t>68</w:t>
      </w:r>
      <w:r w:rsidRPr="00AC415C">
        <w:rPr>
          <w:rFonts w:eastAsia="SimSun"/>
          <w:sz w:val="24"/>
          <w:szCs w:val="24"/>
          <w:lang w:val="en-GB" w:eastAsia="zh-CN"/>
        </w:rPr>
        <w:t xml:space="preserve"> (1), 49-64. https://doi.org/10.1016/s0376-8716(02)00102-3</w:t>
      </w:r>
      <w:bookmarkStart w:id="311" w:name="_Hlk37760131"/>
    </w:p>
    <w:p w14:paraId="4082E886" w14:textId="77777777" w:rsidR="00D80693" w:rsidRPr="00BE7B95" w:rsidRDefault="00D80693" w:rsidP="008276DA">
      <w:pPr>
        <w:adjustRightInd w:val="0"/>
        <w:spacing w:before="120" w:after="120"/>
        <w:ind w:left="482" w:hanging="737"/>
        <w:jc w:val="both"/>
        <w:rPr>
          <w:rFonts w:eastAsia="SimSun"/>
          <w:sz w:val="24"/>
          <w:szCs w:val="24"/>
          <w:lang w:eastAsia="zh-CN"/>
        </w:rPr>
      </w:pPr>
      <w:r w:rsidRPr="00AC415C">
        <w:rPr>
          <w:rFonts w:eastAsia="SimSun"/>
          <w:sz w:val="24"/>
          <w:szCs w:val="24"/>
          <w:lang w:val="en-GB" w:eastAsia="zh-CN"/>
        </w:rPr>
        <w:t xml:space="preserve">UNESCO, ONUDC &amp; OMS (2018). </w:t>
      </w:r>
      <w:r w:rsidRPr="00B70D71">
        <w:rPr>
          <w:rFonts w:eastAsia="SimSun"/>
          <w:i/>
          <w:sz w:val="24"/>
          <w:szCs w:val="24"/>
          <w:lang w:eastAsia="zh-CN"/>
        </w:rPr>
        <w:t>Politiques rationnelles et bonnes pratiques en matière d’éducation à la santé : brochure 10, Réponses du secteur de l’éducation à la consommation d’alcool, de tabac et de drogues.</w:t>
      </w:r>
      <w:r w:rsidRPr="00B70D71">
        <w:rPr>
          <w:rFonts w:eastAsia="SimSun"/>
          <w:sz w:val="24"/>
          <w:szCs w:val="24"/>
          <w:lang w:eastAsia="zh-CN"/>
        </w:rPr>
        <w:t xml:space="preserve"> </w:t>
      </w:r>
      <w:r w:rsidRPr="00BE7B95">
        <w:rPr>
          <w:rFonts w:eastAsia="SimSun"/>
          <w:sz w:val="24"/>
          <w:szCs w:val="24"/>
          <w:lang w:eastAsia="zh-CN"/>
        </w:rPr>
        <w:t xml:space="preserve">Centre international de Vienne. </w:t>
      </w:r>
      <w:bookmarkEnd w:id="311"/>
      <w:r w:rsidRPr="00BE7B95">
        <w:rPr>
          <w:rFonts w:eastAsia="SimSun"/>
          <w:sz w:val="24"/>
          <w:szCs w:val="24"/>
          <w:lang w:eastAsia="zh-CN"/>
        </w:rPr>
        <w:t>https://unesdoc.unesco.org/ark:/48223/pf0000262941</w:t>
      </w:r>
      <w:r>
        <w:rPr>
          <w:rFonts w:eastAsia="SimSun"/>
          <w:sz w:val="24"/>
          <w:szCs w:val="24"/>
          <w:lang w:eastAsia="zh-CN"/>
        </w:rPr>
        <w:t xml:space="preserve"> </w:t>
      </w:r>
    </w:p>
    <w:p w14:paraId="791F2A87" w14:textId="77777777" w:rsidR="00D80693" w:rsidRPr="00BE7B95" w:rsidRDefault="00D80693" w:rsidP="008276DA">
      <w:pPr>
        <w:keepNext/>
        <w:keepLines/>
        <w:spacing w:before="120" w:after="240"/>
        <w:ind w:left="-57"/>
        <w:jc w:val="both"/>
        <w:outlineLvl w:val="0"/>
        <w:rPr>
          <w:color w:val="000000"/>
          <w:sz w:val="24"/>
          <w:szCs w:val="24"/>
          <w:lang w:eastAsia="fr-FR"/>
        </w:rPr>
        <w:sectPr w:rsidR="00D80693" w:rsidRPr="00BE7B95" w:rsidSect="00D80693">
          <w:type w:val="continuous"/>
          <w:pgSz w:w="11906" w:h="16838" w:code="9"/>
          <w:pgMar w:top="1417" w:right="1417" w:bottom="1417" w:left="1417" w:header="720" w:footer="720" w:gutter="0"/>
          <w:cols w:space="659"/>
          <w:docGrid w:linePitch="299"/>
        </w:sectPr>
      </w:pPr>
    </w:p>
    <w:p w14:paraId="3BAF72AE" w14:textId="77777777" w:rsidR="00D80693" w:rsidRPr="001752C7" w:rsidRDefault="00D80693" w:rsidP="008276DA">
      <w:pPr>
        <w:spacing w:before="120" w:after="240"/>
        <w:jc w:val="both"/>
        <w:rPr>
          <w:rFonts w:eastAsia="Calibri"/>
          <w:iCs/>
          <w:sz w:val="24"/>
          <w:szCs w:val="24"/>
        </w:rPr>
        <w:sectPr w:rsidR="00D80693" w:rsidRPr="001752C7" w:rsidSect="00D80693">
          <w:type w:val="continuous"/>
          <w:pgSz w:w="11906" w:h="16838" w:code="9"/>
          <w:pgMar w:top="1417" w:right="1417" w:bottom="1417" w:left="1417" w:header="720" w:footer="720" w:gutter="0"/>
          <w:cols w:space="659"/>
          <w:docGrid w:linePitch="299"/>
        </w:sectPr>
      </w:pPr>
    </w:p>
    <w:p w14:paraId="54CF5DF1" w14:textId="77777777" w:rsidR="00D80693" w:rsidRDefault="00D80693" w:rsidP="00D80693">
      <w:pPr>
        <w:suppressAutoHyphens/>
        <w:spacing w:after="200"/>
        <w:jc w:val="both"/>
        <w:textAlignment w:val="baseline"/>
        <w:rPr>
          <w:rFonts w:eastAsia="Calibri"/>
          <w:b/>
          <w:sz w:val="28"/>
          <w:szCs w:val="28"/>
        </w:rPr>
      </w:pPr>
    </w:p>
    <w:p w14:paraId="3253D37F" w14:textId="77777777" w:rsidR="00D80693" w:rsidRDefault="00D80693" w:rsidP="00D80693">
      <w:pPr>
        <w:suppressAutoHyphens/>
        <w:spacing w:after="200"/>
        <w:jc w:val="both"/>
        <w:textAlignment w:val="baseline"/>
        <w:rPr>
          <w:rFonts w:eastAsia="Calibri"/>
          <w:b/>
          <w:sz w:val="28"/>
          <w:szCs w:val="28"/>
        </w:rPr>
      </w:pPr>
    </w:p>
    <w:p w14:paraId="54E58D05" w14:textId="77777777" w:rsidR="00D80693" w:rsidRDefault="00D80693" w:rsidP="00D80693">
      <w:pPr>
        <w:suppressAutoHyphens/>
        <w:spacing w:after="200"/>
        <w:jc w:val="both"/>
        <w:textAlignment w:val="baseline"/>
        <w:rPr>
          <w:rFonts w:eastAsia="Calibri"/>
          <w:b/>
          <w:sz w:val="28"/>
          <w:szCs w:val="28"/>
        </w:rPr>
      </w:pPr>
    </w:p>
    <w:p w14:paraId="055FE983" w14:textId="77777777" w:rsidR="00D80693" w:rsidRDefault="00D80693" w:rsidP="00D80693">
      <w:pPr>
        <w:suppressAutoHyphens/>
        <w:spacing w:after="200"/>
        <w:jc w:val="both"/>
        <w:textAlignment w:val="baseline"/>
        <w:rPr>
          <w:rFonts w:eastAsia="Calibri"/>
          <w:b/>
          <w:sz w:val="28"/>
          <w:szCs w:val="28"/>
        </w:rPr>
      </w:pPr>
    </w:p>
    <w:p w14:paraId="4B8E0142" w14:textId="77777777" w:rsidR="00D80693" w:rsidRDefault="00D80693" w:rsidP="00D80693">
      <w:pPr>
        <w:suppressAutoHyphens/>
        <w:spacing w:after="200"/>
        <w:jc w:val="both"/>
        <w:textAlignment w:val="baseline"/>
        <w:rPr>
          <w:rFonts w:eastAsia="Calibri"/>
          <w:b/>
          <w:sz w:val="28"/>
          <w:szCs w:val="28"/>
        </w:rPr>
      </w:pPr>
    </w:p>
    <w:p w14:paraId="21D3236F" w14:textId="77777777" w:rsidR="00D80693" w:rsidRDefault="00D80693" w:rsidP="00D80693">
      <w:pPr>
        <w:suppressAutoHyphens/>
        <w:spacing w:after="200"/>
        <w:jc w:val="both"/>
        <w:textAlignment w:val="baseline"/>
        <w:rPr>
          <w:rFonts w:eastAsia="Calibri"/>
          <w:b/>
          <w:sz w:val="28"/>
          <w:szCs w:val="28"/>
        </w:rPr>
      </w:pPr>
    </w:p>
    <w:p w14:paraId="3C0326BA" w14:textId="77777777" w:rsidR="00D80693" w:rsidRDefault="00D80693" w:rsidP="00D80693">
      <w:pPr>
        <w:suppressAutoHyphens/>
        <w:spacing w:after="200"/>
        <w:jc w:val="both"/>
        <w:textAlignment w:val="baseline"/>
        <w:rPr>
          <w:rFonts w:eastAsia="Calibri"/>
          <w:b/>
          <w:sz w:val="28"/>
          <w:szCs w:val="28"/>
        </w:rPr>
      </w:pPr>
    </w:p>
    <w:p w14:paraId="5FF17965" w14:textId="409F4ACB" w:rsidR="00D80693" w:rsidRPr="0028601D" w:rsidRDefault="002410D0" w:rsidP="000C3C8C">
      <w:pPr>
        <w:pStyle w:val="Titre1"/>
        <w:shd w:val="clear" w:color="auto" w:fill="B8CCE4" w:themeFill="accent1" w:themeFillTint="66"/>
        <w:rPr>
          <w:rFonts w:eastAsia="Calibri"/>
          <w:bCs w:val="0"/>
          <w:sz w:val="44"/>
          <w:szCs w:val="44"/>
        </w:rPr>
      </w:pPr>
      <w:bookmarkStart w:id="312" w:name="_Toc219272588"/>
      <w:r w:rsidRPr="0028601D">
        <w:rPr>
          <w:rFonts w:eastAsia="Calibri"/>
          <w:bCs w:val="0"/>
          <w:sz w:val="44"/>
          <w:szCs w:val="44"/>
        </w:rPr>
        <w:t>Partie 4 :</w:t>
      </w:r>
      <w:r w:rsidR="00D80693" w:rsidRPr="0028601D">
        <w:rPr>
          <w:rFonts w:eastAsia="Calibri"/>
          <w:bCs w:val="0"/>
          <w:sz w:val="44"/>
          <w:szCs w:val="44"/>
        </w:rPr>
        <w:t xml:space="preserve"> Performance scolaire, inclusion et transformation éducative</w:t>
      </w:r>
      <w:bookmarkEnd w:id="312"/>
    </w:p>
    <w:p w14:paraId="4DCB1100" w14:textId="77777777" w:rsidR="00D80693" w:rsidRDefault="00D80693" w:rsidP="00D80693">
      <w:pPr>
        <w:suppressAutoHyphens/>
        <w:spacing w:after="200"/>
        <w:jc w:val="both"/>
        <w:textAlignment w:val="baseline"/>
        <w:rPr>
          <w:rFonts w:eastAsia="Calibri"/>
          <w:b/>
          <w:sz w:val="28"/>
          <w:szCs w:val="28"/>
        </w:rPr>
      </w:pPr>
    </w:p>
    <w:p w14:paraId="025809C4" w14:textId="77777777" w:rsidR="00D80693" w:rsidRDefault="00D80693" w:rsidP="00D80693">
      <w:pPr>
        <w:suppressAutoHyphens/>
        <w:spacing w:after="200"/>
        <w:jc w:val="both"/>
        <w:textAlignment w:val="baseline"/>
        <w:rPr>
          <w:rFonts w:eastAsia="Calibri"/>
          <w:b/>
          <w:sz w:val="28"/>
          <w:szCs w:val="28"/>
        </w:rPr>
      </w:pPr>
    </w:p>
    <w:p w14:paraId="067B52BD" w14:textId="77777777" w:rsidR="00D80693" w:rsidRDefault="00D80693" w:rsidP="00D80693">
      <w:pPr>
        <w:suppressAutoHyphens/>
        <w:spacing w:after="200"/>
        <w:jc w:val="both"/>
        <w:textAlignment w:val="baseline"/>
        <w:rPr>
          <w:rFonts w:eastAsia="Calibri"/>
          <w:b/>
          <w:sz w:val="28"/>
          <w:szCs w:val="28"/>
        </w:rPr>
      </w:pPr>
    </w:p>
    <w:p w14:paraId="4421C86C" w14:textId="77777777" w:rsidR="00D80693" w:rsidRDefault="00D80693" w:rsidP="00D80693">
      <w:pPr>
        <w:suppressAutoHyphens/>
        <w:spacing w:after="200"/>
        <w:jc w:val="both"/>
        <w:textAlignment w:val="baseline"/>
        <w:rPr>
          <w:rFonts w:eastAsia="Calibri"/>
          <w:b/>
          <w:sz w:val="28"/>
          <w:szCs w:val="28"/>
        </w:rPr>
      </w:pPr>
    </w:p>
    <w:p w14:paraId="5F12A4B3" w14:textId="77777777" w:rsidR="00D80693" w:rsidRDefault="00D80693" w:rsidP="00D80693">
      <w:pPr>
        <w:suppressAutoHyphens/>
        <w:spacing w:after="200"/>
        <w:jc w:val="both"/>
        <w:textAlignment w:val="baseline"/>
        <w:rPr>
          <w:rFonts w:eastAsia="Calibri"/>
          <w:b/>
          <w:sz w:val="28"/>
          <w:szCs w:val="28"/>
        </w:rPr>
      </w:pPr>
    </w:p>
    <w:p w14:paraId="694550E6" w14:textId="77777777" w:rsidR="00D80693" w:rsidRDefault="00D80693" w:rsidP="00D80693">
      <w:pPr>
        <w:suppressAutoHyphens/>
        <w:spacing w:after="200"/>
        <w:jc w:val="both"/>
        <w:textAlignment w:val="baseline"/>
        <w:rPr>
          <w:rFonts w:eastAsia="Calibri"/>
          <w:b/>
          <w:sz w:val="28"/>
          <w:szCs w:val="28"/>
        </w:rPr>
      </w:pPr>
    </w:p>
    <w:p w14:paraId="233D7AA6" w14:textId="77777777" w:rsidR="00D80693" w:rsidRDefault="00D80693" w:rsidP="00D80693">
      <w:pPr>
        <w:suppressAutoHyphens/>
        <w:spacing w:after="200"/>
        <w:jc w:val="both"/>
        <w:textAlignment w:val="baseline"/>
        <w:rPr>
          <w:rFonts w:eastAsia="Calibri"/>
          <w:b/>
          <w:sz w:val="28"/>
          <w:szCs w:val="28"/>
        </w:rPr>
      </w:pPr>
    </w:p>
    <w:p w14:paraId="0896E5C9" w14:textId="77777777" w:rsidR="00D80693" w:rsidRDefault="00D80693" w:rsidP="00D80693">
      <w:pPr>
        <w:suppressAutoHyphens/>
        <w:spacing w:after="200"/>
        <w:jc w:val="both"/>
        <w:textAlignment w:val="baseline"/>
        <w:rPr>
          <w:rFonts w:eastAsia="Calibri"/>
          <w:b/>
          <w:sz w:val="28"/>
          <w:szCs w:val="28"/>
        </w:rPr>
      </w:pPr>
    </w:p>
    <w:p w14:paraId="1FF9FB55" w14:textId="77777777" w:rsidR="00D80693" w:rsidRDefault="00D80693" w:rsidP="00D80693">
      <w:pPr>
        <w:suppressAutoHyphens/>
        <w:spacing w:after="200"/>
        <w:jc w:val="both"/>
        <w:textAlignment w:val="baseline"/>
        <w:rPr>
          <w:rFonts w:eastAsia="Calibri"/>
          <w:b/>
          <w:sz w:val="28"/>
          <w:szCs w:val="28"/>
        </w:rPr>
      </w:pPr>
    </w:p>
    <w:p w14:paraId="542B9EE7" w14:textId="77777777" w:rsidR="00D80693" w:rsidRDefault="00D80693" w:rsidP="00D80693">
      <w:pPr>
        <w:suppressAutoHyphens/>
        <w:spacing w:after="200"/>
        <w:jc w:val="both"/>
        <w:textAlignment w:val="baseline"/>
        <w:rPr>
          <w:rFonts w:eastAsia="Calibri"/>
          <w:b/>
          <w:sz w:val="28"/>
          <w:szCs w:val="28"/>
        </w:rPr>
      </w:pPr>
    </w:p>
    <w:p w14:paraId="287BF882" w14:textId="77777777" w:rsidR="00D80693" w:rsidRDefault="00D80693" w:rsidP="00D80693">
      <w:pPr>
        <w:suppressAutoHyphens/>
        <w:spacing w:after="200"/>
        <w:jc w:val="both"/>
        <w:textAlignment w:val="baseline"/>
        <w:rPr>
          <w:rFonts w:eastAsia="Calibri"/>
          <w:b/>
          <w:sz w:val="28"/>
          <w:szCs w:val="28"/>
        </w:rPr>
      </w:pPr>
    </w:p>
    <w:p w14:paraId="36F95EFB" w14:textId="77777777" w:rsidR="00D80693" w:rsidRDefault="00D80693" w:rsidP="00D80693">
      <w:pPr>
        <w:suppressAutoHyphens/>
        <w:spacing w:after="200"/>
        <w:jc w:val="both"/>
        <w:textAlignment w:val="baseline"/>
        <w:rPr>
          <w:rFonts w:eastAsia="Calibri"/>
          <w:b/>
          <w:sz w:val="28"/>
          <w:szCs w:val="28"/>
        </w:rPr>
      </w:pPr>
    </w:p>
    <w:p w14:paraId="17BD8F2A" w14:textId="77777777" w:rsidR="00D80693" w:rsidRDefault="00D80693" w:rsidP="00D80693">
      <w:pPr>
        <w:suppressAutoHyphens/>
        <w:spacing w:after="200"/>
        <w:jc w:val="both"/>
        <w:textAlignment w:val="baseline"/>
        <w:rPr>
          <w:rFonts w:eastAsia="Calibri"/>
          <w:b/>
          <w:sz w:val="28"/>
          <w:szCs w:val="28"/>
        </w:rPr>
      </w:pPr>
    </w:p>
    <w:p w14:paraId="5E29F8C6" w14:textId="77777777" w:rsidR="00D80693" w:rsidRDefault="00D80693" w:rsidP="00D80693">
      <w:pPr>
        <w:suppressAutoHyphens/>
        <w:spacing w:after="200"/>
        <w:jc w:val="both"/>
        <w:textAlignment w:val="baseline"/>
        <w:rPr>
          <w:rFonts w:eastAsia="Calibri"/>
          <w:b/>
          <w:sz w:val="28"/>
          <w:szCs w:val="28"/>
        </w:rPr>
      </w:pPr>
    </w:p>
    <w:p w14:paraId="0B39BED1" w14:textId="77777777" w:rsidR="00D80693" w:rsidRDefault="00D80693" w:rsidP="00D80693">
      <w:pPr>
        <w:suppressAutoHyphens/>
        <w:spacing w:after="200"/>
        <w:jc w:val="both"/>
        <w:textAlignment w:val="baseline"/>
        <w:rPr>
          <w:rFonts w:eastAsia="Calibri"/>
          <w:b/>
          <w:sz w:val="28"/>
          <w:szCs w:val="28"/>
        </w:rPr>
      </w:pPr>
    </w:p>
    <w:p w14:paraId="415A0735" w14:textId="77777777" w:rsidR="00D80693" w:rsidRDefault="00D80693" w:rsidP="00D80693">
      <w:pPr>
        <w:suppressAutoHyphens/>
        <w:spacing w:after="200"/>
        <w:jc w:val="both"/>
        <w:textAlignment w:val="baseline"/>
        <w:rPr>
          <w:rFonts w:eastAsia="Calibri"/>
          <w:b/>
          <w:sz w:val="28"/>
          <w:szCs w:val="28"/>
        </w:rPr>
      </w:pPr>
    </w:p>
    <w:p w14:paraId="35D34755" w14:textId="77777777" w:rsidR="00D80693" w:rsidRDefault="00D80693" w:rsidP="00D80693">
      <w:pPr>
        <w:suppressAutoHyphens/>
        <w:spacing w:after="200"/>
        <w:jc w:val="both"/>
        <w:textAlignment w:val="baseline"/>
        <w:rPr>
          <w:rFonts w:eastAsia="Calibri"/>
          <w:b/>
          <w:sz w:val="28"/>
          <w:szCs w:val="28"/>
        </w:rPr>
      </w:pPr>
    </w:p>
    <w:p w14:paraId="056461DF" w14:textId="77777777" w:rsidR="00D80693" w:rsidRDefault="00D80693" w:rsidP="00D80693">
      <w:pPr>
        <w:suppressAutoHyphens/>
        <w:spacing w:after="200"/>
        <w:jc w:val="both"/>
        <w:textAlignment w:val="baseline"/>
        <w:rPr>
          <w:rFonts w:eastAsia="Calibri"/>
          <w:b/>
          <w:sz w:val="28"/>
          <w:szCs w:val="28"/>
        </w:rPr>
      </w:pPr>
    </w:p>
    <w:p w14:paraId="770B6141" w14:textId="77777777" w:rsidR="00D80693" w:rsidRPr="003B7C12" w:rsidRDefault="00D80693" w:rsidP="002410D0">
      <w:pPr>
        <w:pStyle w:val="Titre1"/>
        <w:spacing w:before="120"/>
        <w:ind w:left="164"/>
        <w:rPr>
          <w:rFonts w:eastAsia="Calibri"/>
          <w:b w:val="0"/>
          <w:i/>
          <w:iCs/>
        </w:rPr>
      </w:pPr>
      <w:bookmarkStart w:id="313" w:name="_Toc219272589"/>
      <w:r w:rsidRPr="003B7C12">
        <w:rPr>
          <w:rFonts w:eastAsia="Calibri"/>
          <w:i/>
          <w:iCs/>
        </w:rPr>
        <w:t>Justice procédurale, déviance constructive et leadership éthique : leviers de transformation du système éducatif camerounais</w:t>
      </w:r>
      <w:bookmarkEnd w:id="313"/>
    </w:p>
    <w:p w14:paraId="0A9EF221" w14:textId="585A9186" w:rsidR="00D80693" w:rsidRPr="002410D0" w:rsidRDefault="00D80693" w:rsidP="002410D0">
      <w:pPr>
        <w:pStyle w:val="Titre1"/>
        <w:spacing w:before="120"/>
        <w:ind w:left="164"/>
        <w:rPr>
          <w:rFonts w:eastAsia="Calibri"/>
          <w:b w:val="0"/>
        </w:rPr>
      </w:pPr>
      <w:bookmarkStart w:id="314" w:name="_Toc219272590"/>
      <w:r w:rsidRPr="002410D0">
        <w:rPr>
          <w:rFonts w:eastAsia="Calibri"/>
          <w:lang w:val="fr-CM"/>
        </w:rPr>
        <w:t>Mireille Michée</w:t>
      </w:r>
      <w:r w:rsidR="002410D0" w:rsidRPr="002410D0">
        <w:rPr>
          <w:rFonts w:eastAsia="Calibri"/>
          <w:lang w:val="fr-CM"/>
        </w:rPr>
        <w:t xml:space="preserve"> </w:t>
      </w:r>
      <w:r w:rsidR="002410D0" w:rsidRPr="002410D0">
        <w:rPr>
          <w:rFonts w:eastAsia="Calibri"/>
          <w:lang w:val="fr-CM"/>
        </w:rPr>
        <w:t>MVEME OLOUGOU</w:t>
      </w:r>
      <w:bookmarkEnd w:id="314"/>
    </w:p>
    <w:p w14:paraId="0EBB84AD" w14:textId="77777777" w:rsidR="00D80693" w:rsidRPr="00074036" w:rsidRDefault="00D80693" w:rsidP="00D80693">
      <w:pPr>
        <w:suppressAutoHyphens/>
        <w:spacing w:after="200"/>
        <w:jc w:val="both"/>
        <w:textAlignment w:val="baseline"/>
        <w:rPr>
          <w:rFonts w:eastAsia="Calibri"/>
          <w:b/>
          <w:sz w:val="24"/>
          <w:szCs w:val="24"/>
        </w:rPr>
      </w:pPr>
      <w:r w:rsidRPr="00074036">
        <w:rPr>
          <w:rFonts w:eastAsia="Calibri"/>
          <w:b/>
          <w:sz w:val="24"/>
          <w:szCs w:val="24"/>
        </w:rPr>
        <w:t xml:space="preserve">Résumé </w:t>
      </w:r>
    </w:p>
    <w:p w14:paraId="4ADDAC86" w14:textId="77777777" w:rsidR="00D80693" w:rsidRDefault="00D80693" w:rsidP="002410D0">
      <w:pPr>
        <w:suppressAutoHyphens/>
        <w:jc w:val="both"/>
        <w:textAlignment w:val="baseline"/>
        <w:rPr>
          <w:rFonts w:eastAsia="Calibri"/>
          <w:sz w:val="24"/>
          <w:szCs w:val="24"/>
        </w:rPr>
      </w:pPr>
      <w:r w:rsidRPr="006F3013">
        <w:rPr>
          <w:rFonts w:eastAsia="Calibri"/>
          <w:sz w:val="24"/>
          <w:szCs w:val="24"/>
        </w:rPr>
        <w:t xml:space="preserve">Dans </w:t>
      </w:r>
      <w:r>
        <w:rPr>
          <w:rFonts w:eastAsia="Calibri"/>
          <w:sz w:val="24"/>
          <w:szCs w:val="24"/>
        </w:rPr>
        <w:t xml:space="preserve">plusieurs organisations publiques </w:t>
      </w:r>
      <w:r w:rsidRPr="006F3013">
        <w:rPr>
          <w:rFonts w:eastAsia="Calibri"/>
          <w:sz w:val="24"/>
          <w:szCs w:val="24"/>
        </w:rPr>
        <w:t xml:space="preserve">africaines, les mouvements revendicatifs </w:t>
      </w:r>
      <w:r>
        <w:rPr>
          <w:rFonts w:eastAsia="Calibri"/>
          <w:sz w:val="24"/>
          <w:szCs w:val="24"/>
        </w:rPr>
        <w:t xml:space="preserve">des </w:t>
      </w:r>
      <w:r w:rsidRPr="006F3013">
        <w:rPr>
          <w:rFonts w:eastAsia="Calibri"/>
          <w:sz w:val="24"/>
          <w:szCs w:val="24"/>
        </w:rPr>
        <w:t xml:space="preserve">enseignants </w:t>
      </w:r>
      <w:r>
        <w:rPr>
          <w:rFonts w:eastAsia="Calibri"/>
          <w:sz w:val="24"/>
          <w:szCs w:val="24"/>
        </w:rPr>
        <w:t xml:space="preserve">traduisent </w:t>
      </w:r>
      <w:r w:rsidRPr="006F3013">
        <w:rPr>
          <w:rFonts w:eastAsia="Calibri"/>
          <w:sz w:val="24"/>
          <w:szCs w:val="24"/>
        </w:rPr>
        <w:t xml:space="preserve">à la fois un malaise institutionnel et un </w:t>
      </w:r>
      <w:r>
        <w:rPr>
          <w:rFonts w:eastAsia="Calibri"/>
          <w:sz w:val="24"/>
          <w:szCs w:val="24"/>
        </w:rPr>
        <w:t>catalyseur potentiel de</w:t>
      </w:r>
      <w:r w:rsidRPr="008B3675">
        <w:rPr>
          <w:rFonts w:eastAsia="Calibri"/>
          <w:sz w:val="24"/>
          <w:szCs w:val="24"/>
        </w:rPr>
        <w:t xml:space="preserve"> </w:t>
      </w:r>
      <w:r w:rsidRPr="00C175DB">
        <w:rPr>
          <w:rFonts w:eastAsia="Calibri"/>
          <w:sz w:val="24"/>
          <w:szCs w:val="24"/>
        </w:rPr>
        <w:t>transformation</w:t>
      </w:r>
      <w:r w:rsidRPr="006F3013">
        <w:rPr>
          <w:rFonts w:eastAsia="Calibri"/>
          <w:sz w:val="24"/>
          <w:szCs w:val="24"/>
        </w:rPr>
        <w:t xml:space="preserve">. </w:t>
      </w:r>
      <w:r>
        <w:rPr>
          <w:rFonts w:eastAsia="Calibri"/>
          <w:sz w:val="24"/>
          <w:szCs w:val="24"/>
        </w:rPr>
        <w:t>Cette étude analyse comment la justice procédurale, la déviance constructive et le</w:t>
      </w:r>
      <w:r w:rsidRPr="00C175DB">
        <w:rPr>
          <w:rFonts w:eastAsia="Calibri"/>
          <w:sz w:val="24"/>
          <w:szCs w:val="24"/>
        </w:rPr>
        <w:t xml:space="preserve"> leadership éthique </w:t>
      </w:r>
      <w:r>
        <w:rPr>
          <w:rFonts w:eastAsia="Calibri"/>
          <w:sz w:val="24"/>
          <w:szCs w:val="24"/>
        </w:rPr>
        <w:t>interagissent, afin d’influencer la dynamique de changement du système éducatif camerounais</w:t>
      </w:r>
      <w:r w:rsidRPr="00C24DA5">
        <w:rPr>
          <w:rFonts w:eastAsia="Calibri"/>
          <w:sz w:val="24"/>
          <w:szCs w:val="24"/>
        </w:rPr>
        <w:t>.</w:t>
      </w:r>
      <w:r w:rsidRPr="006F3013">
        <w:rPr>
          <w:rFonts w:eastAsia="Calibri"/>
          <w:sz w:val="24"/>
          <w:szCs w:val="24"/>
        </w:rPr>
        <w:t xml:space="preserve"> </w:t>
      </w:r>
      <w:r>
        <w:rPr>
          <w:rFonts w:eastAsia="Calibri"/>
          <w:sz w:val="24"/>
          <w:szCs w:val="24"/>
        </w:rPr>
        <w:t xml:space="preserve">S’appuyant sur </w:t>
      </w:r>
      <w:r w:rsidRPr="006F3013">
        <w:rPr>
          <w:rFonts w:eastAsia="Calibri"/>
          <w:sz w:val="24"/>
          <w:szCs w:val="24"/>
        </w:rPr>
        <w:t xml:space="preserve">une analyse critique de données secondaires </w:t>
      </w:r>
      <w:r>
        <w:rPr>
          <w:rFonts w:eastAsia="Calibri"/>
          <w:sz w:val="24"/>
          <w:szCs w:val="24"/>
        </w:rPr>
        <w:t>(t</w:t>
      </w:r>
      <w:r w:rsidRPr="006F3013">
        <w:rPr>
          <w:rFonts w:eastAsia="Calibri"/>
          <w:sz w:val="24"/>
          <w:szCs w:val="24"/>
        </w:rPr>
        <w:t xml:space="preserve">extes juridiques, </w:t>
      </w:r>
      <w:r>
        <w:rPr>
          <w:rFonts w:eastAsia="Calibri"/>
          <w:sz w:val="24"/>
          <w:szCs w:val="24"/>
        </w:rPr>
        <w:t>déclarations syndicales</w:t>
      </w:r>
      <w:r w:rsidRPr="006F3013">
        <w:rPr>
          <w:rFonts w:eastAsia="Calibri"/>
          <w:sz w:val="24"/>
          <w:szCs w:val="24"/>
        </w:rPr>
        <w:t xml:space="preserve">, discours politiques et </w:t>
      </w:r>
      <w:r>
        <w:rPr>
          <w:rFonts w:eastAsia="Calibri"/>
          <w:sz w:val="24"/>
          <w:szCs w:val="24"/>
        </w:rPr>
        <w:t xml:space="preserve">travaux </w:t>
      </w:r>
      <w:r w:rsidRPr="006F3013">
        <w:rPr>
          <w:rFonts w:eastAsia="Calibri"/>
          <w:sz w:val="24"/>
          <w:szCs w:val="24"/>
        </w:rPr>
        <w:t>scientifiques</w:t>
      </w:r>
      <w:r>
        <w:rPr>
          <w:rFonts w:eastAsia="Calibri"/>
          <w:sz w:val="24"/>
          <w:szCs w:val="24"/>
        </w:rPr>
        <w:t xml:space="preserve">), elle met en évidence la tension </w:t>
      </w:r>
      <w:r w:rsidRPr="00C175DB">
        <w:rPr>
          <w:rFonts w:eastAsia="Calibri"/>
          <w:sz w:val="24"/>
          <w:szCs w:val="24"/>
        </w:rPr>
        <w:t>persistante</w:t>
      </w:r>
      <w:r>
        <w:rPr>
          <w:rFonts w:eastAsia="Calibri"/>
          <w:sz w:val="24"/>
          <w:szCs w:val="24"/>
        </w:rPr>
        <w:t xml:space="preserve"> entre rigueur disciplinaire et exigence d’innovation, malgré les réformes engagées</w:t>
      </w:r>
      <w:r w:rsidRPr="00095165">
        <w:rPr>
          <w:rFonts w:eastAsia="Calibri"/>
          <w:sz w:val="24"/>
          <w:szCs w:val="24"/>
        </w:rPr>
        <w:t xml:space="preserve"> </w:t>
      </w:r>
      <w:r>
        <w:rPr>
          <w:rFonts w:eastAsia="Calibri"/>
          <w:sz w:val="24"/>
          <w:szCs w:val="24"/>
        </w:rPr>
        <w:t>jusqu’ici</w:t>
      </w:r>
      <w:r w:rsidRPr="00C24DA5">
        <w:rPr>
          <w:rFonts w:eastAsia="Calibri"/>
          <w:sz w:val="24"/>
          <w:szCs w:val="24"/>
        </w:rPr>
        <w:t>.</w:t>
      </w:r>
      <w:r>
        <w:rPr>
          <w:rFonts w:eastAsia="Calibri"/>
          <w:sz w:val="24"/>
          <w:szCs w:val="24"/>
        </w:rPr>
        <w:t xml:space="preserve"> Inscrite dans la continuité des </w:t>
      </w:r>
      <w:r w:rsidRPr="00C175DB">
        <w:rPr>
          <w:rFonts w:eastAsia="Calibri"/>
          <w:sz w:val="24"/>
          <w:szCs w:val="24"/>
        </w:rPr>
        <w:t xml:space="preserve">travaux de </w:t>
      </w:r>
      <w:proofErr w:type="spellStart"/>
      <w:r w:rsidRPr="00C24DA5">
        <w:rPr>
          <w:rFonts w:eastAsia="Calibri"/>
          <w:sz w:val="24"/>
          <w:szCs w:val="24"/>
        </w:rPr>
        <w:t>Mveme</w:t>
      </w:r>
      <w:proofErr w:type="spellEnd"/>
      <w:r w:rsidRPr="00C24DA5">
        <w:rPr>
          <w:rFonts w:eastAsia="Calibri"/>
          <w:sz w:val="24"/>
          <w:szCs w:val="24"/>
        </w:rPr>
        <w:t xml:space="preserve"> </w:t>
      </w:r>
      <w:proofErr w:type="spellStart"/>
      <w:r w:rsidRPr="00C24DA5">
        <w:rPr>
          <w:rFonts w:eastAsia="Calibri"/>
          <w:sz w:val="24"/>
          <w:szCs w:val="24"/>
        </w:rPr>
        <w:t>Olougou</w:t>
      </w:r>
      <w:proofErr w:type="spellEnd"/>
      <w:r w:rsidRPr="00C24DA5">
        <w:rPr>
          <w:rFonts w:eastAsia="Calibri"/>
          <w:sz w:val="24"/>
          <w:szCs w:val="24"/>
        </w:rPr>
        <w:t xml:space="preserve"> (2024, 2025a, 2025b)</w:t>
      </w:r>
      <w:r>
        <w:rPr>
          <w:rFonts w:eastAsia="Calibri"/>
          <w:sz w:val="24"/>
          <w:szCs w:val="24"/>
        </w:rPr>
        <w:t xml:space="preserve">, l’étude adopte </w:t>
      </w:r>
      <w:r w:rsidRPr="00C175DB">
        <w:rPr>
          <w:rFonts w:eastAsia="Calibri"/>
          <w:sz w:val="24"/>
          <w:szCs w:val="24"/>
        </w:rPr>
        <w:t>une approche intégrative</w:t>
      </w:r>
      <w:r>
        <w:rPr>
          <w:rFonts w:eastAsia="Calibri"/>
          <w:sz w:val="24"/>
          <w:szCs w:val="24"/>
        </w:rPr>
        <w:t>, pour réinterpréter la déviance au Cameroun comme une force transformatrice plutôt qu’une menace pour la stabilité organisationnelle. Les résultats participent ainsi à une nouvelle lecture du changement et de l’innovation dans les systèmes éducatifs africains.</w:t>
      </w:r>
    </w:p>
    <w:p w14:paraId="0C69D2D6" w14:textId="77777777" w:rsidR="002410D0" w:rsidRDefault="002410D0" w:rsidP="002410D0">
      <w:pPr>
        <w:suppressAutoHyphens/>
        <w:jc w:val="both"/>
        <w:textAlignment w:val="baseline"/>
        <w:rPr>
          <w:rFonts w:eastAsia="Calibri"/>
          <w:sz w:val="24"/>
          <w:szCs w:val="24"/>
        </w:rPr>
      </w:pPr>
    </w:p>
    <w:p w14:paraId="35307C0E" w14:textId="77777777" w:rsidR="00D80693" w:rsidRPr="000241DD" w:rsidRDefault="00D80693" w:rsidP="00D80693">
      <w:pPr>
        <w:suppressAutoHyphens/>
        <w:spacing w:after="200"/>
        <w:jc w:val="both"/>
        <w:textAlignment w:val="baseline"/>
        <w:rPr>
          <w:rFonts w:eastAsia="Calibri"/>
          <w:sz w:val="24"/>
          <w:szCs w:val="24"/>
        </w:rPr>
      </w:pPr>
      <w:r w:rsidRPr="004A769D">
        <w:rPr>
          <w:rFonts w:eastAsia="Calibri"/>
          <w:b/>
          <w:sz w:val="24"/>
          <w:szCs w:val="24"/>
        </w:rPr>
        <w:t>Mots-clés</w:t>
      </w:r>
      <w:r w:rsidRPr="00C24DA5">
        <w:rPr>
          <w:rFonts w:eastAsia="Calibri"/>
          <w:sz w:val="24"/>
          <w:szCs w:val="24"/>
        </w:rPr>
        <w:t xml:space="preserve"> : justice procédurale</w:t>
      </w:r>
      <w:r>
        <w:rPr>
          <w:rFonts w:eastAsia="Calibri"/>
          <w:sz w:val="24"/>
          <w:szCs w:val="24"/>
        </w:rPr>
        <w:t> ;</w:t>
      </w:r>
      <w:r w:rsidRPr="00C24DA5">
        <w:rPr>
          <w:rFonts w:eastAsia="Calibri"/>
          <w:sz w:val="24"/>
          <w:szCs w:val="24"/>
        </w:rPr>
        <w:t xml:space="preserve"> déviance constructive</w:t>
      </w:r>
      <w:r>
        <w:rPr>
          <w:rFonts w:eastAsia="Calibri"/>
          <w:sz w:val="24"/>
          <w:szCs w:val="24"/>
        </w:rPr>
        <w:t> ;</w:t>
      </w:r>
      <w:r w:rsidRPr="00C24DA5">
        <w:rPr>
          <w:rFonts w:eastAsia="Calibri"/>
          <w:sz w:val="24"/>
          <w:szCs w:val="24"/>
        </w:rPr>
        <w:t xml:space="preserve"> leadership éthique</w:t>
      </w:r>
      <w:r>
        <w:rPr>
          <w:rFonts w:eastAsia="Calibri"/>
          <w:sz w:val="24"/>
          <w:szCs w:val="24"/>
        </w:rPr>
        <w:t> ; gouvernance éducative ; transformation organisationnelle.</w:t>
      </w:r>
      <w:r w:rsidRPr="00C24DA5">
        <w:rPr>
          <w:rFonts w:eastAsia="Calibri"/>
          <w:sz w:val="24"/>
          <w:szCs w:val="24"/>
        </w:rPr>
        <w:t xml:space="preserve"> </w:t>
      </w:r>
    </w:p>
    <w:p w14:paraId="2013E3BA" w14:textId="77777777" w:rsidR="00D80693" w:rsidRPr="007E639B" w:rsidRDefault="00D80693" w:rsidP="00D80693">
      <w:pPr>
        <w:suppressAutoHyphens/>
        <w:spacing w:after="200"/>
        <w:jc w:val="both"/>
        <w:textAlignment w:val="baseline"/>
        <w:rPr>
          <w:rFonts w:eastAsia="Calibri"/>
          <w:b/>
          <w:sz w:val="24"/>
          <w:szCs w:val="24"/>
          <w:lang w:val="en-GB"/>
        </w:rPr>
      </w:pPr>
      <w:r w:rsidRPr="007E639B">
        <w:rPr>
          <w:rFonts w:eastAsia="Calibri"/>
          <w:b/>
          <w:sz w:val="24"/>
          <w:szCs w:val="24"/>
          <w:lang w:val="en-GB"/>
        </w:rPr>
        <w:t>Abstract</w:t>
      </w:r>
    </w:p>
    <w:p w14:paraId="36142AB7" w14:textId="487F8E4C" w:rsidR="00D80693" w:rsidRDefault="00D80693" w:rsidP="002410D0">
      <w:pPr>
        <w:suppressAutoHyphens/>
        <w:spacing w:after="200"/>
        <w:jc w:val="both"/>
        <w:textAlignment w:val="baseline"/>
        <w:rPr>
          <w:rFonts w:eastAsia="Calibri"/>
          <w:sz w:val="24"/>
          <w:szCs w:val="24"/>
          <w:lang w:val="en-US"/>
        </w:rPr>
      </w:pPr>
      <w:r w:rsidRPr="000627B4">
        <w:rPr>
          <w:rFonts w:eastAsia="Calibri"/>
          <w:sz w:val="24"/>
          <w:szCs w:val="24"/>
          <w:lang w:val="en-US"/>
        </w:rPr>
        <w:t xml:space="preserve">In </w:t>
      </w:r>
      <w:r>
        <w:rPr>
          <w:rFonts w:eastAsia="Calibri"/>
          <w:sz w:val="24"/>
          <w:szCs w:val="24"/>
          <w:lang w:val="en-US"/>
        </w:rPr>
        <w:t>many African public organizations</w:t>
      </w:r>
      <w:r w:rsidRPr="00EB3315">
        <w:rPr>
          <w:rFonts w:eastAsia="Calibri"/>
          <w:sz w:val="24"/>
          <w:szCs w:val="24"/>
          <w:lang w:val="en-US"/>
        </w:rPr>
        <w:t xml:space="preserve">, teachers’ protest movements </w:t>
      </w:r>
      <w:r w:rsidR="00102D91" w:rsidRPr="00102D91">
        <w:rPr>
          <w:rFonts w:eastAsia="Calibri"/>
          <w:i/>
          <w:iCs/>
          <w:sz w:val="24"/>
          <w:szCs w:val="24"/>
          <w:lang w:val="en-US"/>
        </w:rPr>
        <w:t>Reflect</w:t>
      </w:r>
      <w:r w:rsidRPr="00EB3315">
        <w:rPr>
          <w:rFonts w:eastAsia="Calibri"/>
          <w:sz w:val="24"/>
          <w:szCs w:val="24"/>
          <w:lang w:val="en-US"/>
        </w:rPr>
        <w:t xml:space="preserve"> both institutional malaise and a potential lever for transformation. This study examines how procedural justice, constructive deviance, and ethical leadership interact to shape the dynamics of change within Cameroon’s educational system. Based on a critical analysis of secondary data-including legal texts, union statements, political speeches, and academic works-it highlights the persistent tension between disciplinary rigor and the need for innovation, despite </w:t>
      </w:r>
      <w:r>
        <w:rPr>
          <w:rFonts w:eastAsia="Calibri"/>
          <w:sz w:val="24"/>
          <w:szCs w:val="24"/>
          <w:lang w:val="en-US"/>
        </w:rPr>
        <w:t xml:space="preserve">the </w:t>
      </w:r>
      <w:r w:rsidRPr="00EB3315">
        <w:rPr>
          <w:rFonts w:eastAsia="Calibri"/>
          <w:sz w:val="24"/>
          <w:szCs w:val="24"/>
          <w:lang w:val="en-US"/>
        </w:rPr>
        <w:t>reforms</w:t>
      </w:r>
      <w:r>
        <w:rPr>
          <w:rFonts w:eastAsia="Calibri"/>
          <w:sz w:val="24"/>
          <w:szCs w:val="24"/>
          <w:lang w:val="en-US"/>
        </w:rPr>
        <w:t xml:space="preserve"> undertaken so far</w:t>
      </w:r>
      <w:r w:rsidRPr="00EB3315">
        <w:rPr>
          <w:rFonts w:eastAsia="Calibri"/>
          <w:sz w:val="24"/>
          <w:szCs w:val="24"/>
          <w:lang w:val="en-US"/>
        </w:rPr>
        <w:t xml:space="preserve">. Building on the works of </w:t>
      </w:r>
      <w:proofErr w:type="spellStart"/>
      <w:r w:rsidRPr="00EB3315">
        <w:rPr>
          <w:rFonts w:eastAsia="Calibri"/>
          <w:sz w:val="24"/>
          <w:szCs w:val="24"/>
          <w:lang w:val="en-US"/>
        </w:rPr>
        <w:t>Mveme</w:t>
      </w:r>
      <w:proofErr w:type="spellEnd"/>
      <w:r w:rsidRPr="00EB3315">
        <w:rPr>
          <w:rFonts w:eastAsia="Calibri"/>
          <w:sz w:val="24"/>
          <w:szCs w:val="24"/>
          <w:lang w:val="en-US"/>
        </w:rPr>
        <w:t xml:space="preserve"> </w:t>
      </w:r>
      <w:proofErr w:type="spellStart"/>
      <w:r w:rsidRPr="00EB3315">
        <w:rPr>
          <w:rFonts w:eastAsia="Calibri"/>
          <w:sz w:val="24"/>
          <w:szCs w:val="24"/>
          <w:lang w:val="en-US"/>
        </w:rPr>
        <w:t>Olougou</w:t>
      </w:r>
      <w:proofErr w:type="spellEnd"/>
      <w:r w:rsidRPr="00EB3315">
        <w:rPr>
          <w:rFonts w:eastAsia="Calibri"/>
          <w:sz w:val="24"/>
          <w:szCs w:val="24"/>
          <w:lang w:val="en-US"/>
        </w:rPr>
        <w:t xml:space="preserve"> (2024, 2025a, 2025b), the study adopts an integrative approach that reinterprets deviance in Cameroun as a transformative force rather than a threat to institutional stability. The findings thus contribute to a renewed understanding of change and innovation processes within African educational systems.</w:t>
      </w:r>
    </w:p>
    <w:p w14:paraId="3EB787A5" w14:textId="77777777" w:rsidR="00D80693" w:rsidRPr="005D509A" w:rsidRDefault="00D80693" w:rsidP="00D80693">
      <w:pPr>
        <w:suppressAutoHyphens/>
        <w:spacing w:after="200"/>
        <w:jc w:val="both"/>
        <w:textAlignment w:val="baseline"/>
        <w:rPr>
          <w:rFonts w:eastAsia="Calibri"/>
          <w:sz w:val="24"/>
          <w:szCs w:val="24"/>
          <w:lang w:val="en-GB"/>
        </w:rPr>
      </w:pPr>
      <w:r w:rsidRPr="007E639B">
        <w:rPr>
          <w:rFonts w:eastAsia="Calibri"/>
          <w:b/>
          <w:sz w:val="24"/>
          <w:szCs w:val="24"/>
          <w:lang w:val="en-GB"/>
        </w:rPr>
        <w:t>Keywords</w:t>
      </w:r>
      <w:r w:rsidRPr="007E639B">
        <w:rPr>
          <w:rFonts w:eastAsia="Calibri"/>
          <w:sz w:val="24"/>
          <w:szCs w:val="24"/>
          <w:lang w:val="en-GB"/>
        </w:rPr>
        <w:t xml:space="preserve">: procedural justice; constructive deviance; ethical leadership; </w:t>
      </w:r>
      <w:r w:rsidRPr="00180945">
        <w:rPr>
          <w:rFonts w:eastAsia="Calibri"/>
          <w:sz w:val="24"/>
          <w:szCs w:val="24"/>
          <w:lang w:val="en-GB"/>
        </w:rPr>
        <w:t>educational governance</w:t>
      </w:r>
      <w:r>
        <w:rPr>
          <w:rFonts w:eastAsia="Calibri"/>
          <w:sz w:val="24"/>
          <w:szCs w:val="24"/>
          <w:lang w:val="en-GB"/>
        </w:rPr>
        <w:t>; organizational transformation</w:t>
      </w:r>
      <w:r w:rsidRPr="007E639B">
        <w:rPr>
          <w:rFonts w:eastAsia="Calibri"/>
          <w:sz w:val="24"/>
          <w:szCs w:val="24"/>
          <w:lang w:val="en-GB"/>
        </w:rPr>
        <w:t>.</w:t>
      </w:r>
    </w:p>
    <w:p w14:paraId="2C7D2B9B" w14:textId="77777777" w:rsidR="002410D0" w:rsidRPr="001928FA" w:rsidRDefault="002410D0">
      <w:pPr>
        <w:rPr>
          <w:rFonts w:eastAsia="Calibri"/>
          <w:b/>
          <w:sz w:val="28"/>
          <w:szCs w:val="28"/>
          <w:lang w:val="en-US"/>
        </w:rPr>
      </w:pPr>
      <w:r w:rsidRPr="001928FA">
        <w:rPr>
          <w:rFonts w:eastAsia="Calibri"/>
          <w:b/>
          <w:sz w:val="28"/>
          <w:szCs w:val="28"/>
          <w:lang w:val="en-US"/>
        </w:rPr>
        <w:br w:type="page"/>
      </w:r>
    </w:p>
    <w:p w14:paraId="21DBA4A1" w14:textId="52CA0DB8" w:rsidR="00D80693" w:rsidRPr="00A86FD5" w:rsidRDefault="00D80693" w:rsidP="002410D0">
      <w:pPr>
        <w:suppressAutoHyphens/>
        <w:spacing w:before="120" w:after="200"/>
        <w:jc w:val="both"/>
        <w:textAlignment w:val="baseline"/>
        <w:rPr>
          <w:rFonts w:eastAsia="Calibri"/>
          <w:sz w:val="28"/>
          <w:szCs w:val="28"/>
        </w:rPr>
      </w:pPr>
      <w:r w:rsidRPr="00A86FD5">
        <w:rPr>
          <w:rFonts w:eastAsia="Calibri"/>
          <w:b/>
          <w:sz w:val="28"/>
          <w:szCs w:val="28"/>
        </w:rPr>
        <w:t>Introduction</w:t>
      </w:r>
      <w:r w:rsidRPr="00A86FD5">
        <w:rPr>
          <w:rFonts w:eastAsia="Calibri"/>
          <w:sz w:val="28"/>
          <w:szCs w:val="28"/>
        </w:rPr>
        <w:t xml:space="preserve"> </w:t>
      </w:r>
    </w:p>
    <w:p w14:paraId="0247663F" w14:textId="77777777" w:rsidR="00D80693" w:rsidRPr="00051BC0" w:rsidRDefault="00D80693" w:rsidP="002410D0">
      <w:pPr>
        <w:suppressAutoHyphens/>
        <w:spacing w:before="120"/>
        <w:jc w:val="both"/>
        <w:textAlignment w:val="baseline"/>
        <w:rPr>
          <w:rFonts w:eastAsia="Calibri"/>
          <w:sz w:val="24"/>
          <w:szCs w:val="24"/>
        </w:rPr>
      </w:pPr>
      <w:r w:rsidRPr="00051BC0">
        <w:rPr>
          <w:rFonts w:eastAsia="Calibri"/>
          <w:sz w:val="24"/>
          <w:szCs w:val="24"/>
        </w:rPr>
        <w:t xml:space="preserve">Les organisations publiques africaines sont confrontées à un paradoxe récurrent : comment concilier discipline institutionnelle et innovation sociale dans des contextes marqués par la centralisation du pouvoir et la lenteur des réformes ? Dans le secteur éducatif camerounais, ce dilemme prend la forme d’un conflit latent entre autorité bureaucratique et quête de justice professionnelle. Les mouvements revendicatifs des enseignants, le plus souvent perçus comme des actes de désobéissance, traduisent pourtant un besoin d’équité et de reconnaissance. En effet, derrière la façade d’une discipline bureaucratique, se cache une mosaïque de frustrations liées à la reconnaissance, à la légitimité et à la justice perçue. La théorie de la justice procédurale (Greenberg, 1990 ; Tyler, 2023) montre que la perception d’équité dans les décisions accroît la légitimité des institutions et renforce la loyauté organisationnelle. Autrement, lorsque les procédures décisionnelles sont perçues comme équitables, les individus acceptent plus volontiers les décisions, même défavorables. À l’inverse, l’opacité et l’arbitraire nourrissent la défiance, la contestation et la démotivation. Dans le contexte camerounais, où coexistent divers statuts d’enseignants (fonctionnaires, contractuels, vacataires), ces perceptions d’injustice produisent une tension constante entre obéissance administrative et résistance morale. Dans ce contexte, les grèves fonctionnent comme des signaux de souffrance organisationnelle, exigeant une posture analytique à la croisée de la justice procédurale (Tyler, 2024), de la déviance constructive (Jordan et al., 2023) et du leadership ambidextre (Rosing et al., 2011). </w:t>
      </w:r>
    </w:p>
    <w:p w14:paraId="082A2361" w14:textId="77777777" w:rsidR="00D80693" w:rsidRPr="00051BC0" w:rsidRDefault="00D80693" w:rsidP="002410D0">
      <w:pPr>
        <w:suppressAutoHyphens/>
        <w:spacing w:before="120"/>
        <w:jc w:val="both"/>
        <w:textAlignment w:val="baseline"/>
        <w:rPr>
          <w:rFonts w:eastAsia="Calibri"/>
          <w:sz w:val="24"/>
          <w:szCs w:val="24"/>
        </w:rPr>
      </w:pPr>
      <w:r w:rsidRPr="00051BC0">
        <w:rPr>
          <w:rFonts w:eastAsia="Calibri"/>
          <w:sz w:val="24"/>
          <w:szCs w:val="24"/>
        </w:rPr>
        <w:t>En fait, au Cameroun, les contestations récurrentes menées par divers collectifs d’enseignants, portées par les réseaux sociaux et les médias classiques interrogent à la fois la légitimité des revendications, les formes de gouvernance éducative et les capacités d’ajustement de l’État (</w:t>
      </w:r>
      <w:proofErr w:type="spellStart"/>
      <w:r w:rsidRPr="00051BC0">
        <w:rPr>
          <w:rFonts w:eastAsia="Calibri"/>
          <w:sz w:val="24"/>
          <w:szCs w:val="24"/>
        </w:rPr>
        <w:t>Mveme</w:t>
      </w:r>
      <w:proofErr w:type="spellEnd"/>
      <w:r w:rsidRPr="00051BC0">
        <w:rPr>
          <w:rFonts w:eastAsia="Calibri"/>
          <w:sz w:val="24"/>
          <w:szCs w:val="24"/>
        </w:rPr>
        <w:t xml:space="preserve"> </w:t>
      </w:r>
      <w:proofErr w:type="spellStart"/>
      <w:r w:rsidRPr="00051BC0">
        <w:rPr>
          <w:rFonts w:eastAsia="Calibri"/>
          <w:sz w:val="24"/>
          <w:szCs w:val="24"/>
        </w:rPr>
        <w:t>Olougou</w:t>
      </w:r>
      <w:proofErr w:type="spellEnd"/>
      <w:r w:rsidRPr="00051BC0">
        <w:rPr>
          <w:rFonts w:eastAsia="Calibri"/>
          <w:sz w:val="24"/>
          <w:szCs w:val="24"/>
        </w:rPr>
        <w:t xml:space="preserve">, 2025a). Dans une logique de réforme structurelle et durable, ce travail éclaire les perceptions de la déviance revendicative et analyse les réponses organisationnelles y afférentes. Il s’agit de proposer une synthèse critique des mécanismes par lesquels les inégalités internes, les formes de déviance professionnelle (individuelle ou collective) et les logiques de revendication participent à </w:t>
      </w:r>
      <w:proofErr w:type="gramStart"/>
      <w:r w:rsidRPr="00051BC0">
        <w:rPr>
          <w:rFonts w:eastAsia="Calibri"/>
          <w:sz w:val="24"/>
          <w:szCs w:val="24"/>
        </w:rPr>
        <w:t>la  transformations</w:t>
      </w:r>
      <w:proofErr w:type="gramEnd"/>
      <w:r w:rsidRPr="00051BC0">
        <w:rPr>
          <w:rFonts w:eastAsia="Calibri"/>
          <w:sz w:val="24"/>
          <w:szCs w:val="24"/>
        </w:rPr>
        <w:t xml:space="preserve"> du système éducatif, parfois à la marge, parfois en profondeur. Le problème qu</w:t>
      </w:r>
      <w:r>
        <w:rPr>
          <w:rFonts w:eastAsia="Calibri"/>
          <w:sz w:val="24"/>
          <w:szCs w:val="24"/>
        </w:rPr>
        <w:t>i</w:t>
      </w:r>
      <w:r w:rsidRPr="00051BC0">
        <w:rPr>
          <w:rFonts w:eastAsia="Calibri"/>
          <w:sz w:val="24"/>
          <w:szCs w:val="24"/>
        </w:rPr>
        <w:t xml:space="preserve"> pose </w:t>
      </w:r>
      <w:r>
        <w:rPr>
          <w:rFonts w:eastAsia="Calibri"/>
          <w:sz w:val="24"/>
          <w:szCs w:val="24"/>
        </w:rPr>
        <w:t xml:space="preserve">ici </w:t>
      </w:r>
      <w:r w:rsidRPr="00051BC0">
        <w:rPr>
          <w:rFonts w:eastAsia="Calibri"/>
          <w:sz w:val="24"/>
          <w:szCs w:val="24"/>
        </w:rPr>
        <w:t xml:space="preserve">est celui de la persistance des tensions entre rigueur disciplinaire et exigence d’innovation dans le système éducatif camerounais, en dépit des réformes jusqu’ici engagées. Malgré la multiplication des plans de redressement, des mesures d’intégration et des discours sur la modernisation, le climat de méfiance entre l’État et les enseignants perdure. Cela se traduit par : une gestion ambiguë des revendications, oscillant entre sanction et dialogue ; un sentiment d’injustice statutaire durable ; et une faible appropriation des réformes par les acteurs du terrain. Ce paradoxe interroge la capacité du système éducatif à se transformer sans reproduire les schémas hiérarchiques et punitifs du passé. L’objectif principal est de saisir comment la justice procédurale, la déviance constructive et le leadership éthique interagissent pour impulser la transformation du système éducatif camerounais. </w:t>
      </w:r>
    </w:p>
    <w:p w14:paraId="539C0553" w14:textId="77777777" w:rsidR="00D80693" w:rsidRPr="00051BC0" w:rsidRDefault="00D80693" w:rsidP="002410D0">
      <w:pPr>
        <w:suppressAutoHyphens/>
        <w:spacing w:before="120"/>
        <w:jc w:val="both"/>
        <w:textAlignment w:val="baseline"/>
        <w:rPr>
          <w:rFonts w:eastAsia="Calibri"/>
          <w:sz w:val="24"/>
          <w:szCs w:val="24"/>
        </w:rPr>
      </w:pPr>
      <w:r w:rsidRPr="00051BC0">
        <w:rPr>
          <w:rFonts w:eastAsia="Calibri"/>
          <w:sz w:val="24"/>
          <w:szCs w:val="24"/>
        </w:rPr>
        <w:t xml:space="preserve">Cela revient à examiner comment la perception de justice dans les processus décisionnels, combinée à une gouvernance éthique et participative, transforme les comportements de contestation en leviers d’apprentissage organisationnel et d’innovation. En mobilisant des approches issues de la psychologie du travail, de la sociologie des organisations et de l’éthique managériale, il s’agit de dépasser une lecture purement disciplinaire de la déviance pour la reconsidérer comme un levier de changement institutionnel. Pour ce faire, l’étude articule trois dimensions conceptuelles : la justice procédurale, comme base de la légitimité et de la confiance organisationnelle ; la déviance constructive, comme modalité positive de contestation et d’innovation sociale ; et le leadership éthique, comme condition de traduction managériale et morale du changement. Elle repose sur l’hypothèse que la déviance n’est pas toujours destructrice ; dans certains contextes de gouvernance éthique et juste, elle devient créatrice d’apprentissage organisationnel et de transformation institutionnelle. </w:t>
      </w:r>
    </w:p>
    <w:p w14:paraId="23851DC2" w14:textId="77777777" w:rsidR="00D80693" w:rsidRPr="00051BC0" w:rsidRDefault="00D80693" w:rsidP="002410D0">
      <w:pPr>
        <w:suppressAutoHyphens/>
        <w:spacing w:before="120"/>
        <w:jc w:val="both"/>
        <w:textAlignment w:val="baseline"/>
        <w:rPr>
          <w:rFonts w:eastAsia="Calibri"/>
          <w:sz w:val="24"/>
          <w:szCs w:val="24"/>
        </w:rPr>
      </w:pPr>
      <w:r>
        <w:rPr>
          <w:rFonts w:eastAsia="Calibri"/>
          <w:sz w:val="24"/>
          <w:szCs w:val="24"/>
        </w:rPr>
        <w:t>Ce travail</w:t>
      </w:r>
      <w:r w:rsidRPr="00051BC0">
        <w:rPr>
          <w:rFonts w:eastAsia="Calibri"/>
          <w:sz w:val="24"/>
          <w:szCs w:val="24"/>
        </w:rPr>
        <w:t xml:space="preserve"> s’inscrit dans la continuité des travaux de </w:t>
      </w:r>
      <w:proofErr w:type="spellStart"/>
      <w:r w:rsidRPr="00051BC0">
        <w:rPr>
          <w:rFonts w:eastAsia="Calibri"/>
          <w:sz w:val="24"/>
          <w:szCs w:val="24"/>
        </w:rPr>
        <w:t>Mveme</w:t>
      </w:r>
      <w:proofErr w:type="spellEnd"/>
      <w:r w:rsidRPr="00051BC0">
        <w:rPr>
          <w:rFonts w:eastAsia="Calibri"/>
          <w:sz w:val="24"/>
          <w:szCs w:val="24"/>
        </w:rPr>
        <w:t xml:space="preserve"> </w:t>
      </w:r>
      <w:proofErr w:type="spellStart"/>
      <w:r w:rsidRPr="00051BC0">
        <w:rPr>
          <w:rFonts w:eastAsia="Calibri"/>
          <w:sz w:val="24"/>
          <w:szCs w:val="24"/>
        </w:rPr>
        <w:t>Olougou</w:t>
      </w:r>
      <w:proofErr w:type="spellEnd"/>
      <w:r w:rsidRPr="00051BC0">
        <w:rPr>
          <w:rFonts w:eastAsia="Calibri"/>
          <w:sz w:val="24"/>
          <w:szCs w:val="24"/>
        </w:rPr>
        <w:t xml:space="preserve"> (2024, 2025a, 2025b), qui ont respectivement exploré les disparités statutaires et juridiques des enseignants, les mouvements de grève comme comportements déviants constructifs et la déviance entre innovation et rigueur disciplinaire. Elle s’en démarque toutefois par une approche intégrative et théorique, croisant trois cadres conceptuels récents et complémentaires : la justice procédurale comme socle de la légitimité (Tyler, 2023 ; Popescu et al., 2024) ; la déviance constructive comme moteur d’innovation (Baur, 2022 ; Jordan et al., 2023) ; et le leadership éthique comme médiateur du changement (</w:t>
      </w:r>
      <w:r w:rsidRPr="0060122C">
        <w:rPr>
          <w:rFonts w:eastAsia="Calibri"/>
          <w:sz w:val="24"/>
          <w:szCs w:val="24"/>
        </w:rPr>
        <w:t>Brown &amp; Treviño</w:t>
      </w:r>
      <w:r>
        <w:rPr>
          <w:rFonts w:eastAsia="Calibri"/>
          <w:sz w:val="24"/>
          <w:szCs w:val="24"/>
        </w:rPr>
        <w:t xml:space="preserve">, </w:t>
      </w:r>
      <w:r w:rsidRPr="00A02F64">
        <w:rPr>
          <w:rFonts w:eastAsia="Calibri"/>
          <w:sz w:val="24"/>
          <w:szCs w:val="24"/>
        </w:rPr>
        <w:t>2006</w:t>
      </w:r>
      <w:r>
        <w:rPr>
          <w:rFonts w:eastAsia="Calibri"/>
          <w:sz w:val="24"/>
          <w:szCs w:val="24"/>
        </w:rPr>
        <w:t> ;</w:t>
      </w:r>
      <w:r w:rsidRPr="0060122C">
        <w:rPr>
          <w:rFonts w:eastAsia="Calibri"/>
        </w:rPr>
        <w:t xml:space="preserve"> </w:t>
      </w:r>
      <w:r w:rsidRPr="00051BC0">
        <w:rPr>
          <w:rFonts w:eastAsia="Calibri"/>
          <w:sz w:val="24"/>
          <w:szCs w:val="24"/>
        </w:rPr>
        <w:t>Etomes et al., 202</w:t>
      </w:r>
      <w:r>
        <w:rPr>
          <w:rFonts w:eastAsia="Calibri"/>
          <w:sz w:val="24"/>
          <w:szCs w:val="24"/>
        </w:rPr>
        <w:t>4</w:t>
      </w:r>
      <w:r w:rsidRPr="00051BC0">
        <w:rPr>
          <w:rFonts w:eastAsia="Calibri"/>
          <w:sz w:val="24"/>
          <w:szCs w:val="24"/>
        </w:rPr>
        <w:t xml:space="preserve"> ; Grobler &amp; Grobler, 2024). L’étude éclaire aussi la nature ambivalente de la déviance revendicative, au croisement des théories de la justice organisationnelle, de l’innovation sociale et de la gouvernance publique. Cela permet de dépasser l’analyse descriptive des tensions professionnelles, pour proposer un cadre explicatif de la transformation institutionnelle. Donc, elle passe d’une approche descriptive des dysfonctionnements à une analyse conceptuelle du changement organisationnel. Cette insistance n’est donc pas une redondance, mais le signe d’une maturation scientifique : elle consolide les recherches antérieures de l’auteure, en les articulant à la littérature internationale récente, tout en construisant un modèle explicatif propre au contexte africain. Parallèlement, ce travail revêt un intérêt scientifique et pratique majeur pour l’Afrique, à trois niveaux :</w:t>
      </w:r>
    </w:p>
    <w:p w14:paraId="44D35326" w14:textId="77777777" w:rsidR="00D80693" w:rsidRPr="00051BC0" w:rsidRDefault="00D80693" w:rsidP="002410D0">
      <w:pPr>
        <w:widowControl/>
        <w:numPr>
          <w:ilvl w:val="0"/>
          <w:numId w:val="190"/>
        </w:numPr>
        <w:suppressAutoHyphens/>
        <w:autoSpaceDE/>
        <w:spacing w:before="120"/>
        <w:ind w:left="0" w:firstLine="360"/>
        <w:contextualSpacing/>
        <w:jc w:val="both"/>
        <w:textAlignment w:val="baseline"/>
        <w:rPr>
          <w:rFonts w:eastAsia="Calibri"/>
          <w:sz w:val="24"/>
          <w:szCs w:val="24"/>
        </w:rPr>
      </w:pPr>
      <w:r w:rsidRPr="00051BC0">
        <w:rPr>
          <w:rFonts w:eastAsia="Calibri"/>
          <w:sz w:val="24"/>
          <w:szCs w:val="24"/>
        </w:rPr>
        <w:t>Sur le plan théorique : il contribue à africaniser les concepts de justice organisationnelle et de déviance constructive, encore largement étudiés dans des contextes occidentaux. En les appliquant au système éducatif africain, il montre comment des réalités locales (pluralité statutaire, bureaucratie, autorité hiérarchique) reconfigurent ces notions.</w:t>
      </w:r>
    </w:p>
    <w:p w14:paraId="7A29B111" w14:textId="77777777" w:rsidR="00D80693" w:rsidRPr="00051BC0" w:rsidRDefault="00D80693" w:rsidP="002410D0">
      <w:pPr>
        <w:widowControl/>
        <w:numPr>
          <w:ilvl w:val="0"/>
          <w:numId w:val="190"/>
        </w:numPr>
        <w:suppressAutoHyphens/>
        <w:autoSpaceDE/>
        <w:spacing w:before="120"/>
        <w:ind w:left="0" w:firstLine="360"/>
        <w:contextualSpacing/>
        <w:jc w:val="both"/>
        <w:textAlignment w:val="baseline"/>
        <w:rPr>
          <w:rFonts w:eastAsia="Calibri"/>
          <w:sz w:val="24"/>
          <w:szCs w:val="24"/>
        </w:rPr>
      </w:pPr>
      <w:r w:rsidRPr="00051BC0">
        <w:rPr>
          <w:rFonts w:eastAsia="Calibri"/>
          <w:sz w:val="24"/>
          <w:szCs w:val="24"/>
        </w:rPr>
        <w:t>Sur le plan managérial et politique : il guide les décideurs vers une gouvernance participative et réflexive (Rosing et al., 2011), en leur offrant des leviers concrets pour repenser la gouvernance publique dans un contexte de tensions croissantes. Cela revient à : instaurer des mécanismes de médiation ; former des leaders éthiques ; et instaurer des cadres de dialogue institutionnalisé entre l’État et les enseignants. Ces enseignements sont transférables à d’autres pays africains confrontés à des tensions similaires (Bénin, Sénégal, Côte d’Ivoire, RDC…).</w:t>
      </w:r>
    </w:p>
    <w:p w14:paraId="2C7AD855" w14:textId="77777777" w:rsidR="00D80693" w:rsidRDefault="00D80693" w:rsidP="002410D0">
      <w:pPr>
        <w:widowControl/>
        <w:numPr>
          <w:ilvl w:val="0"/>
          <w:numId w:val="190"/>
        </w:numPr>
        <w:suppressAutoHyphens/>
        <w:autoSpaceDE/>
        <w:spacing w:before="120"/>
        <w:ind w:left="0" w:firstLine="360"/>
        <w:contextualSpacing/>
        <w:jc w:val="both"/>
        <w:textAlignment w:val="baseline"/>
        <w:rPr>
          <w:rFonts w:eastAsia="Calibri"/>
          <w:sz w:val="24"/>
          <w:szCs w:val="24"/>
        </w:rPr>
      </w:pPr>
      <w:r w:rsidRPr="00051BC0">
        <w:rPr>
          <w:rFonts w:eastAsia="Calibri"/>
          <w:sz w:val="24"/>
          <w:szCs w:val="24"/>
        </w:rPr>
        <w:t>Sur le plan sociétal : il met en exergue la valeur civique de la déviance constructive ; les mobilisations, loin de menacer l’ordre, traduisent une volonté d’équité et d’efficacité publique. En ce sens, l’article participe à la revalorisation du rôle social de l’enseignant africain, comme acteur de transformation et non simple exécutant de politiques imposées.</w:t>
      </w:r>
    </w:p>
    <w:p w14:paraId="7FC9F1CB" w14:textId="77777777" w:rsidR="00D80693" w:rsidRPr="00051BC0" w:rsidRDefault="00D80693" w:rsidP="002410D0">
      <w:pPr>
        <w:suppressAutoHyphens/>
        <w:spacing w:before="120"/>
        <w:ind w:left="360"/>
        <w:contextualSpacing/>
        <w:jc w:val="both"/>
        <w:textAlignment w:val="baseline"/>
        <w:rPr>
          <w:rFonts w:eastAsia="Calibri"/>
          <w:sz w:val="24"/>
          <w:szCs w:val="24"/>
        </w:rPr>
      </w:pPr>
    </w:p>
    <w:p w14:paraId="014DEC71" w14:textId="77777777" w:rsidR="00D80693" w:rsidRPr="005B33A3" w:rsidRDefault="00D80693" w:rsidP="002410D0">
      <w:pPr>
        <w:pStyle w:val="Paragraphedeliste"/>
        <w:widowControl/>
        <w:numPr>
          <w:ilvl w:val="0"/>
          <w:numId w:val="191"/>
        </w:numPr>
        <w:suppressAutoHyphens/>
        <w:autoSpaceDE/>
        <w:spacing w:after="100" w:afterAutospacing="1"/>
        <w:contextualSpacing/>
        <w:textAlignment w:val="baseline"/>
        <w:rPr>
          <w:rFonts w:eastAsia="Calibri"/>
          <w:b/>
          <w:sz w:val="28"/>
          <w:szCs w:val="28"/>
        </w:rPr>
      </w:pPr>
      <w:r w:rsidRPr="005B33A3">
        <w:rPr>
          <w:rFonts w:eastAsia="Calibri"/>
          <w:b/>
          <w:sz w:val="28"/>
          <w:szCs w:val="28"/>
        </w:rPr>
        <w:t>Cadre théorique et revue de la littérature</w:t>
      </w:r>
    </w:p>
    <w:p w14:paraId="2574498C" w14:textId="77777777" w:rsidR="00D80693" w:rsidRDefault="00D80693" w:rsidP="002410D0">
      <w:pPr>
        <w:pStyle w:val="Paragraphedeliste"/>
        <w:widowControl/>
        <w:numPr>
          <w:ilvl w:val="1"/>
          <w:numId w:val="191"/>
        </w:numPr>
        <w:suppressAutoHyphens/>
        <w:autoSpaceDE/>
        <w:spacing w:after="100" w:afterAutospacing="1"/>
        <w:contextualSpacing/>
        <w:textAlignment w:val="baseline"/>
        <w:rPr>
          <w:rFonts w:eastAsia="Calibri"/>
          <w:sz w:val="24"/>
          <w:szCs w:val="24"/>
        </w:rPr>
      </w:pPr>
      <w:r>
        <w:rPr>
          <w:rFonts w:eastAsia="Calibri"/>
          <w:b/>
          <w:sz w:val="24"/>
          <w:szCs w:val="24"/>
        </w:rPr>
        <w:t xml:space="preserve"> </w:t>
      </w:r>
      <w:r w:rsidRPr="00EB2BFA">
        <w:rPr>
          <w:rFonts w:eastAsia="Calibri"/>
          <w:b/>
          <w:sz w:val="24"/>
          <w:szCs w:val="24"/>
        </w:rPr>
        <w:t>Justice procédurale et légitimité organisationnelle</w:t>
      </w:r>
    </w:p>
    <w:p w14:paraId="793656ED" w14:textId="77777777" w:rsidR="00D80693" w:rsidRPr="00EB2BFA" w:rsidRDefault="00D80693" w:rsidP="002410D0">
      <w:pPr>
        <w:suppressAutoHyphens/>
        <w:spacing w:before="120" w:after="100" w:afterAutospacing="1"/>
        <w:ind w:firstLine="567"/>
        <w:jc w:val="both"/>
        <w:textAlignment w:val="baseline"/>
        <w:rPr>
          <w:rFonts w:eastAsia="Calibri"/>
          <w:sz w:val="24"/>
          <w:szCs w:val="24"/>
        </w:rPr>
      </w:pPr>
      <w:r w:rsidRPr="00256EED">
        <w:rPr>
          <w:rFonts w:eastAsia="Calibri"/>
          <w:sz w:val="24"/>
          <w:szCs w:val="24"/>
        </w:rPr>
        <w:t>La justice procédurale renvoie à la perception de l’équité des processus décisionnels (Greenberg, 1990 ; Tyler, 2023). Dans les organisations éducatives, elle détermine la légitimité de l’autorité et le degré d’adhésion des agents aux règles. Selon Tyler (2023), la reconnaissance du droit à la parole accroît la légitimité perçue, même lorsque les décisions sont défavorables. La justice procédurale dans ce cas soutient la motivation morale, réduit la résistance aux réformes et renforce la cohésion organisationnelle (Popescu et al., 2024). Or, dans le système éducatif camerounais, la gestion différenciée des statuts (fonctionnaires, contractuels, vacataires) et des carrières crée une fracture symbolique entre les enseignants. Ceci enfante un sentiment d’injustice qui mine la confiance institutionnelle</w:t>
      </w:r>
      <w:r w:rsidRPr="00EB2BFA">
        <w:rPr>
          <w:rFonts w:eastAsia="Calibri"/>
          <w:sz w:val="24"/>
          <w:szCs w:val="24"/>
        </w:rPr>
        <w:t xml:space="preserve">. </w:t>
      </w:r>
    </w:p>
    <w:p w14:paraId="34B1A9FD" w14:textId="77777777" w:rsidR="00D80693"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D37640">
        <w:rPr>
          <w:rFonts w:eastAsia="Calibri"/>
          <w:b/>
          <w:sz w:val="24"/>
          <w:szCs w:val="24"/>
        </w:rPr>
        <w:t xml:space="preserve">Déviance </w:t>
      </w:r>
      <w:r>
        <w:rPr>
          <w:rFonts w:eastAsia="Calibri"/>
          <w:b/>
          <w:sz w:val="24"/>
          <w:szCs w:val="24"/>
        </w:rPr>
        <w:t>constructive,</w:t>
      </w:r>
      <w:r w:rsidRPr="00D37640">
        <w:rPr>
          <w:rFonts w:eastAsia="Calibri"/>
          <w:b/>
          <w:sz w:val="24"/>
          <w:szCs w:val="24"/>
        </w:rPr>
        <w:t xml:space="preserve"> innovation sociale</w:t>
      </w:r>
      <w:r w:rsidRPr="00D37640">
        <w:rPr>
          <w:rFonts w:eastAsia="Calibri"/>
          <w:sz w:val="24"/>
          <w:szCs w:val="24"/>
        </w:rPr>
        <w:t> </w:t>
      </w:r>
      <w:r w:rsidRPr="00D37640">
        <w:rPr>
          <w:rFonts w:eastAsia="Calibri"/>
          <w:b/>
          <w:sz w:val="24"/>
          <w:szCs w:val="24"/>
        </w:rPr>
        <w:t>et comportements proactifs</w:t>
      </w:r>
    </w:p>
    <w:p w14:paraId="1ED30FBA"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La déviance constructive (Spreitzer &amp; </w:t>
      </w:r>
      <w:proofErr w:type="spellStart"/>
      <w:r w:rsidRPr="00256EED">
        <w:rPr>
          <w:rFonts w:eastAsia="Calibri"/>
          <w:sz w:val="24"/>
          <w:szCs w:val="24"/>
        </w:rPr>
        <w:t>Sonenshein</w:t>
      </w:r>
      <w:proofErr w:type="spellEnd"/>
      <w:r w:rsidRPr="00256EED">
        <w:rPr>
          <w:rFonts w:eastAsia="Calibri"/>
          <w:sz w:val="24"/>
          <w:szCs w:val="24"/>
        </w:rPr>
        <w:t xml:space="preserve">, 2004 ; Baur, 2022) renvoie à la transgression positive des normes dans le but d’améliorer l’organisation. Galperin (2003) fut parmi les premiers à souligner que certaines formes de déviance au travail peuvent être fonctionnelles, lorsqu’elles cherchent à corriger les incohérences institutionnelles. </w:t>
      </w:r>
      <w:proofErr w:type="spellStart"/>
      <w:r w:rsidRPr="00256EED">
        <w:rPr>
          <w:rFonts w:eastAsia="Calibri"/>
          <w:sz w:val="24"/>
          <w:szCs w:val="24"/>
        </w:rPr>
        <w:t>Déprez</w:t>
      </w:r>
      <w:proofErr w:type="spellEnd"/>
      <w:r w:rsidRPr="00256EED">
        <w:rPr>
          <w:rFonts w:eastAsia="Calibri"/>
          <w:sz w:val="24"/>
          <w:szCs w:val="24"/>
        </w:rPr>
        <w:t xml:space="preserve"> et ses collaborateurs (2020), dans ce sens, soulignent que la déviance constructive partage des finalités communes avec les comportements proactifs (le changement et l’innovation), mais s’en distingue par sa relation critique aux normes. Ainsi, loin d’être marginale, elle favorise la créativité et l’efficacité collective (Jordan et al., 2023). Dans le système éducatif camerounais, les mouvements revendicatifs des enseignants reflètent cette controverse : dénoncer des dysfonctionnements tout en cherchant à réformer le système de l’intérieur. Ces formes d’action collective apparaissent ainsi comme des laboratoires d’innovation sociale, porteurs d’alternatives organisationnelles. </w:t>
      </w:r>
      <w:proofErr w:type="gramStart"/>
      <w:r w:rsidRPr="00256EED">
        <w:rPr>
          <w:rFonts w:eastAsia="Calibri"/>
          <w:sz w:val="24"/>
          <w:szCs w:val="24"/>
        </w:rPr>
        <w:t>Concrètement,  les</w:t>
      </w:r>
      <w:proofErr w:type="gramEnd"/>
      <w:r w:rsidRPr="00256EED">
        <w:rPr>
          <w:rFonts w:eastAsia="Calibri"/>
          <w:sz w:val="24"/>
          <w:szCs w:val="24"/>
        </w:rPr>
        <w:t xml:space="preserve"> enseignants camerounais, confrontés notamment à des disparités de statut et à un déficit de communication institutionnelle, développent des formes de résistance qui, loin d’être purement négatives, traduisent une quête de justice et de reconnaissance professionnelle. En d’autres termes, cette déviance, qui se traduit par des grèves, des lettres ouvertes ou des mobilisations sur les réseaux sociaux (</w:t>
      </w:r>
      <w:proofErr w:type="spellStart"/>
      <w:r w:rsidRPr="00256EED">
        <w:rPr>
          <w:rFonts w:eastAsia="Calibri"/>
          <w:sz w:val="24"/>
          <w:szCs w:val="24"/>
        </w:rPr>
        <w:t>Mveme</w:t>
      </w:r>
      <w:proofErr w:type="spellEnd"/>
      <w:r w:rsidRPr="00256EED">
        <w:rPr>
          <w:rFonts w:eastAsia="Calibri"/>
          <w:sz w:val="24"/>
          <w:szCs w:val="24"/>
        </w:rPr>
        <w:t xml:space="preserve"> </w:t>
      </w:r>
      <w:proofErr w:type="spellStart"/>
      <w:r w:rsidRPr="00256EED">
        <w:rPr>
          <w:rFonts w:eastAsia="Calibri"/>
          <w:sz w:val="24"/>
          <w:szCs w:val="24"/>
        </w:rPr>
        <w:t>Olougou</w:t>
      </w:r>
      <w:proofErr w:type="spellEnd"/>
      <w:r w:rsidRPr="00256EED">
        <w:rPr>
          <w:rFonts w:eastAsia="Calibri"/>
          <w:sz w:val="24"/>
          <w:szCs w:val="24"/>
        </w:rPr>
        <w:t>, 2015a), ne vise pas la destruction, mais la transformation. Ici, la déviance n’est plus synonyme d’insubordination, mais devient un langage d’innovation morale et sociale. Les enseignants qui dénoncent des injustices ou proposent des réformes participent d’une dynamique d’innovation sociale. Ces formes de transgression positive ou « </w:t>
      </w:r>
      <w:proofErr w:type="spellStart"/>
      <w:r w:rsidRPr="00256EED">
        <w:rPr>
          <w:rFonts w:eastAsia="Calibri"/>
          <w:sz w:val="24"/>
          <w:szCs w:val="24"/>
        </w:rPr>
        <w:t>maverickism</w:t>
      </w:r>
      <w:proofErr w:type="spellEnd"/>
      <w:r w:rsidRPr="00256EED">
        <w:rPr>
          <w:rFonts w:eastAsia="Calibri"/>
          <w:sz w:val="24"/>
          <w:szCs w:val="24"/>
        </w:rPr>
        <w:t> » (Jordan et al., 2023), renforcent la créativité collective et l’efficacité organisationnelle</w:t>
      </w:r>
      <w:r w:rsidRPr="00D37640">
        <w:rPr>
          <w:rFonts w:eastAsia="Calibri"/>
          <w:sz w:val="24"/>
          <w:szCs w:val="24"/>
        </w:rPr>
        <w:t>.</w:t>
      </w:r>
    </w:p>
    <w:p w14:paraId="220F0A9E" w14:textId="77777777" w:rsidR="00D80693"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E130A0">
        <w:rPr>
          <w:rFonts w:eastAsia="Calibri"/>
          <w:b/>
          <w:sz w:val="24"/>
          <w:szCs w:val="24"/>
        </w:rPr>
        <w:t>Leadership éthique</w:t>
      </w:r>
      <w:r>
        <w:rPr>
          <w:rFonts w:eastAsia="Calibri"/>
          <w:b/>
          <w:sz w:val="24"/>
          <w:szCs w:val="24"/>
        </w:rPr>
        <w:t>,</w:t>
      </w:r>
      <w:r w:rsidRPr="00147C47">
        <w:rPr>
          <w:rFonts w:eastAsia="Calibri"/>
          <w:b/>
          <w:sz w:val="24"/>
          <w:szCs w:val="24"/>
        </w:rPr>
        <w:t xml:space="preserve"> ambidextrie </w:t>
      </w:r>
      <w:r w:rsidRPr="00E130A0">
        <w:rPr>
          <w:rFonts w:eastAsia="Calibri"/>
          <w:b/>
          <w:sz w:val="24"/>
          <w:szCs w:val="24"/>
        </w:rPr>
        <w:t>et transformation organisationnelle</w:t>
      </w:r>
    </w:p>
    <w:p w14:paraId="36172425" w14:textId="77777777" w:rsidR="00D80693" w:rsidRPr="00315393" w:rsidRDefault="00D80693" w:rsidP="002410D0">
      <w:pPr>
        <w:suppressAutoHyphens/>
        <w:spacing w:before="120" w:after="200"/>
        <w:ind w:firstLine="567"/>
        <w:jc w:val="both"/>
        <w:textAlignment w:val="baseline"/>
        <w:rPr>
          <w:rFonts w:eastAsia="Calibri"/>
          <w:sz w:val="24"/>
          <w:szCs w:val="24"/>
        </w:rPr>
      </w:pPr>
      <w:r w:rsidRPr="00315393">
        <w:rPr>
          <w:rFonts w:eastAsia="Calibri"/>
          <w:sz w:val="24"/>
          <w:szCs w:val="24"/>
        </w:rPr>
        <w:t>Dans la littérature contemporaine, le leadership éthique transformationnel constitue un levier central pour le changement durable. Il allie intégrité morale, transparence, écoute et participation, favorise la justice perçue et stimule les comportement</w:t>
      </w:r>
      <w:r>
        <w:rPr>
          <w:rFonts w:eastAsia="Calibri"/>
          <w:sz w:val="24"/>
          <w:szCs w:val="24"/>
        </w:rPr>
        <w:t>s proactifs (Etomes et al., 2024</w:t>
      </w:r>
      <w:r w:rsidRPr="00315393">
        <w:rPr>
          <w:rFonts w:eastAsia="Calibri"/>
          <w:sz w:val="24"/>
          <w:szCs w:val="24"/>
        </w:rPr>
        <w:t xml:space="preserve"> ; Grobler &amp; Grobler, 2024). Dans un environnement, marqué par la verticalité administrative, cette approche offre une voie pour concilier discipline et innovation. Selon Et</w:t>
      </w:r>
      <w:r>
        <w:rPr>
          <w:rFonts w:eastAsia="Calibri"/>
          <w:sz w:val="24"/>
          <w:szCs w:val="24"/>
        </w:rPr>
        <w:t>omes et ses collaborateurs (2024</w:t>
      </w:r>
      <w:r w:rsidRPr="00315393">
        <w:rPr>
          <w:rFonts w:eastAsia="Calibri"/>
          <w:sz w:val="24"/>
          <w:szCs w:val="24"/>
        </w:rPr>
        <w:t>), seuls les dirigeants capables d’inspirer confiance, communiquer une vision et traiter les collaborateurs avec équité parviennent à stabiliser le climat organisationnel et stimuler la performance durable. Le leadership éthique agit ainsi comme un médiateur entre les pratiques de gestion des ressources humaines et la perception de justice organisationnelle (Grobler et Grobler, 2024). Aucune transformation institutionnelle n’est par conséquent possible, sans une refondation morale du leadership. Transposée au management éducatif, cette approche suppose qu’un changement durable requiert plus qu’une réforme statutaire ; il nécessite un leadership incarnant la justice, la transparence et la reconnaissance. Un tel leadership ne s’impose pas seulement par l’autorité hiérarchique, mais aussi dans la capacité à écouter, à expliquer et à intégrer les préoccupations du terrain. Le chef d’établissement, l’inspecteur pédagogique ou le décideur ministériel devient alors un médiateur de sens, capable de transformer la déviance revendicative en opportunité d’innovation.</w:t>
      </w:r>
    </w:p>
    <w:p w14:paraId="30D263A1" w14:textId="77777777" w:rsidR="00D80693" w:rsidRPr="00F3155E" w:rsidRDefault="00D80693" w:rsidP="002410D0">
      <w:pPr>
        <w:suppressAutoHyphens/>
        <w:spacing w:before="120" w:after="200"/>
        <w:ind w:firstLine="567"/>
        <w:jc w:val="both"/>
        <w:textAlignment w:val="baseline"/>
        <w:rPr>
          <w:rFonts w:eastAsia="Calibri"/>
          <w:sz w:val="24"/>
          <w:szCs w:val="24"/>
        </w:rPr>
      </w:pPr>
      <w:r w:rsidRPr="00315393">
        <w:rPr>
          <w:rFonts w:eastAsia="Calibri"/>
          <w:sz w:val="24"/>
          <w:szCs w:val="24"/>
        </w:rPr>
        <w:t>Par ailleurs, la théorie de l’ambidextrie organisationnelle (Raisch &amp; Birkinshaw, 2008) montre que les organisations performantes savent combiner l’exploitation (stabilité, rigueur) et l’exploration (innovation, flexibilité). Appliquée au management éducatif, cette approche réitère que la gouvernance doit articuler discipline et créativité, contrôle et autonomie. Le leadership ambidextre (Rosing et al., 2011) devient de ce fait un catalyseur essentiel de la transformation éducative. Dans ce sens, Baur (2022) souligne que les comportements déviants positifs émergent lorsque l’environnement permet la sécurité psychologique, c’est-à-dire lorsque les acteurs peuvent contester sans crainte de sanction injuste. Dans le même sens Tyler (2023) conclut que les institutions qui garantissent la transparence, la cohérence et la possibilité d’être entendu obtiennent davantage de loyauté et de légitimité</w:t>
      </w:r>
      <w:r w:rsidRPr="00F3155E">
        <w:rPr>
          <w:rFonts w:eastAsia="Calibri"/>
          <w:sz w:val="24"/>
          <w:szCs w:val="24"/>
        </w:rPr>
        <w:t xml:space="preserve">. </w:t>
      </w:r>
    </w:p>
    <w:p w14:paraId="1244D635" w14:textId="77777777" w:rsidR="00D80693" w:rsidRPr="005B33A3" w:rsidRDefault="00D80693" w:rsidP="002410D0">
      <w:pPr>
        <w:pStyle w:val="Paragraphedeliste"/>
        <w:widowControl/>
        <w:numPr>
          <w:ilvl w:val="0"/>
          <w:numId w:val="191"/>
        </w:numPr>
        <w:suppressAutoHyphens/>
        <w:autoSpaceDE/>
        <w:spacing w:after="200"/>
        <w:contextualSpacing/>
        <w:textAlignment w:val="baseline"/>
        <w:rPr>
          <w:rFonts w:eastAsia="Calibri"/>
          <w:b/>
          <w:sz w:val="28"/>
          <w:szCs w:val="28"/>
        </w:rPr>
      </w:pPr>
      <w:r w:rsidRPr="005B33A3">
        <w:rPr>
          <w:rFonts w:eastAsia="Calibri"/>
          <w:b/>
          <w:sz w:val="28"/>
          <w:szCs w:val="28"/>
        </w:rPr>
        <w:t>Méthodologie</w:t>
      </w:r>
    </w:p>
    <w:p w14:paraId="75DA6400" w14:textId="77777777" w:rsidR="00D80693" w:rsidRPr="00E31B93" w:rsidRDefault="00D80693" w:rsidP="002410D0">
      <w:pPr>
        <w:suppressAutoHyphens/>
        <w:spacing w:before="120"/>
        <w:ind w:firstLine="567"/>
        <w:jc w:val="both"/>
        <w:textAlignment w:val="baseline"/>
        <w:rPr>
          <w:rFonts w:eastAsia="Calibri"/>
          <w:sz w:val="24"/>
          <w:szCs w:val="24"/>
        </w:rPr>
      </w:pPr>
      <w:r>
        <w:rPr>
          <w:rFonts w:eastAsia="Calibri"/>
          <w:sz w:val="24"/>
          <w:szCs w:val="24"/>
        </w:rPr>
        <w:t xml:space="preserve">La présente </w:t>
      </w:r>
      <w:r w:rsidRPr="00256EED">
        <w:rPr>
          <w:rFonts w:eastAsia="Calibri"/>
          <w:sz w:val="24"/>
          <w:szCs w:val="24"/>
        </w:rPr>
        <w:t xml:space="preserve">étude repose </w:t>
      </w:r>
      <w:r>
        <w:rPr>
          <w:rFonts w:eastAsia="Calibri"/>
          <w:sz w:val="24"/>
          <w:szCs w:val="24"/>
        </w:rPr>
        <w:t xml:space="preserve">sur </w:t>
      </w:r>
      <w:r w:rsidRPr="00256EED">
        <w:rPr>
          <w:rFonts w:eastAsia="Calibri"/>
          <w:sz w:val="24"/>
          <w:szCs w:val="24"/>
        </w:rPr>
        <w:t>une approche qualitative et analytique, fondée sur l’exploitation de données secondaires. Celle-ci a été retenue pour trois raisons principales : la richesse des sources déjà disponibles sur le système éducatif camerounais ; la nécessité d’une lecture critique transversale des discours institutionnels et revendicatifs ; la pertinence d’un cadre interprétatif pour saisir les dimensions subjectives et symboliques de la déviance constructive. Les données proviennent de</w:t>
      </w:r>
      <w:r>
        <w:rPr>
          <w:rFonts w:eastAsia="Calibri"/>
          <w:sz w:val="24"/>
          <w:szCs w:val="24"/>
        </w:rPr>
        <w:t>s</w:t>
      </w:r>
      <w:r w:rsidRPr="00256EED">
        <w:rPr>
          <w:rFonts w:eastAsia="Calibri"/>
          <w:sz w:val="24"/>
          <w:szCs w:val="24"/>
        </w:rPr>
        <w:t> : textes juridiques et administratifs</w:t>
      </w:r>
      <w:r>
        <w:rPr>
          <w:rFonts w:eastAsia="Calibri"/>
          <w:sz w:val="24"/>
          <w:szCs w:val="24"/>
        </w:rPr>
        <w:t> ;</w:t>
      </w:r>
      <w:r w:rsidRPr="00256EED">
        <w:rPr>
          <w:rFonts w:eastAsia="Calibri"/>
          <w:sz w:val="24"/>
          <w:szCs w:val="24"/>
        </w:rPr>
        <w:t xml:space="preserve"> rapports institutionnels</w:t>
      </w:r>
      <w:r>
        <w:rPr>
          <w:rFonts w:eastAsia="Calibri"/>
          <w:sz w:val="24"/>
          <w:szCs w:val="24"/>
        </w:rPr>
        <w:t> ;</w:t>
      </w:r>
      <w:r w:rsidRPr="00256EED">
        <w:rPr>
          <w:rFonts w:eastAsia="Calibri"/>
          <w:sz w:val="24"/>
          <w:szCs w:val="24"/>
        </w:rPr>
        <w:t xml:space="preserve"> déclarations syndicales</w:t>
      </w:r>
      <w:r>
        <w:rPr>
          <w:rFonts w:eastAsia="Calibri"/>
          <w:sz w:val="24"/>
          <w:szCs w:val="24"/>
        </w:rPr>
        <w:t> ;</w:t>
      </w:r>
      <w:r w:rsidRPr="00256EED">
        <w:rPr>
          <w:rFonts w:eastAsia="Calibri"/>
          <w:sz w:val="24"/>
          <w:szCs w:val="24"/>
        </w:rPr>
        <w:t xml:space="preserve"> discours politiques</w:t>
      </w:r>
      <w:r>
        <w:rPr>
          <w:rFonts w:eastAsia="Calibri"/>
          <w:sz w:val="24"/>
          <w:szCs w:val="24"/>
        </w:rPr>
        <w:t> ;</w:t>
      </w:r>
      <w:r w:rsidRPr="00256EED">
        <w:rPr>
          <w:rFonts w:eastAsia="Calibri"/>
          <w:sz w:val="24"/>
          <w:szCs w:val="24"/>
        </w:rPr>
        <w:t xml:space="preserve"> articles scientifiques publiés ent</w:t>
      </w:r>
      <w:r>
        <w:rPr>
          <w:rFonts w:eastAsia="Calibri"/>
          <w:sz w:val="24"/>
          <w:szCs w:val="24"/>
        </w:rPr>
        <w:t xml:space="preserve">re 2015 et 2025. Les documents </w:t>
      </w:r>
      <w:r w:rsidRPr="00256EED">
        <w:rPr>
          <w:rFonts w:eastAsia="Calibri"/>
          <w:sz w:val="24"/>
          <w:szCs w:val="24"/>
        </w:rPr>
        <w:t>ont été sélectionnés suivant trois critères : l</w:t>
      </w:r>
      <w:r>
        <w:rPr>
          <w:rFonts w:eastAsia="Calibri"/>
          <w:sz w:val="24"/>
          <w:szCs w:val="24"/>
        </w:rPr>
        <w:t>eur</w:t>
      </w:r>
      <w:r w:rsidRPr="00256EED">
        <w:rPr>
          <w:rFonts w:eastAsia="Calibri"/>
          <w:sz w:val="24"/>
          <w:szCs w:val="24"/>
        </w:rPr>
        <w:t xml:space="preserve"> pertinence thématique (référence à la justice, à la gouvernance éducative ou aux mouvements revendicatifs)</w:t>
      </w:r>
      <w:r>
        <w:rPr>
          <w:rFonts w:eastAsia="Calibri"/>
          <w:sz w:val="24"/>
          <w:szCs w:val="24"/>
        </w:rPr>
        <w:t> ;</w:t>
      </w:r>
      <w:r w:rsidRPr="00256EED">
        <w:rPr>
          <w:rFonts w:eastAsia="Calibri"/>
          <w:sz w:val="24"/>
          <w:szCs w:val="24"/>
        </w:rPr>
        <w:t xml:space="preserve"> leur crédibilité (institutions publiques, universités, journaux reconnus, auteurs scientifiques) ; et </w:t>
      </w:r>
      <w:r>
        <w:rPr>
          <w:rFonts w:eastAsia="Calibri"/>
          <w:sz w:val="24"/>
          <w:szCs w:val="24"/>
        </w:rPr>
        <w:t>la</w:t>
      </w:r>
      <w:r w:rsidRPr="00256EED">
        <w:rPr>
          <w:rFonts w:eastAsia="Calibri"/>
          <w:sz w:val="24"/>
          <w:szCs w:val="24"/>
        </w:rPr>
        <w:t xml:space="preserve"> complémentarité de</w:t>
      </w:r>
      <w:r>
        <w:rPr>
          <w:rFonts w:eastAsia="Calibri"/>
          <w:sz w:val="24"/>
          <w:szCs w:val="24"/>
        </w:rPr>
        <w:t xml:space="preserve"> leurs</w:t>
      </w:r>
      <w:r w:rsidRPr="00256EED">
        <w:rPr>
          <w:rFonts w:eastAsia="Calibri"/>
          <w:sz w:val="24"/>
          <w:szCs w:val="24"/>
        </w:rPr>
        <w:t xml:space="preserve"> points de vue (officiel, syndical, académique</w:t>
      </w:r>
      <w:proofErr w:type="gramStart"/>
      <w:r w:rsidRPr="00256EED">
        <w:rPr>
          <w:rFonts w:eastAsia="Calibri"/>
          <w:sz w:val="24"/>
          <w:szCs w:val="24"/>
        </w:rPr>
        <w:t>).</w:t>
      </w:r>
      <w:r w:rsidRPr="00E31B93">
        <w:rPr>
          <w:rFonts w:eastAsia="Calibri"/>
          <w:sz w:val="24"/>
          <w:szCs w:val="24"/>
        </w:rPr>
        <w:t>.</w:t>
      </w:r>
      <w:proofErr w:type="gramEnd"/>
      <w:r>
        <w:rPr>
          <w:rFonts w:eastAsia="Calibri"/>
          <w:sz w:val="24"/>
          <w:szCs w:val="24"/>
        </w:rPr>
        <w:t xml:space="preserve"> </w:t>
      </w:r>
      <w:r w:rsidRPr="00256EED">
        <w:rPr>
          <w:rFonts w:eastAsia="Calibri"/>
          <w:sz w:val="24"/>
          <w:szCs w:val="24"/>
        </w:rPr>
        <w:t xml:space="preserve">L’analyse s’appuie sur la méthode d’analyse de contenu thématique </w:t>
      </w:r>
      <w:r>
        <w:rPr>
          <w:rFonts w:eastAsia="Calibri"/>
          <w:sz w:val="24"/>
          <w:szCs w:val="24"/>
        </w:rPr>
        <w:t xml:space="preserve">(Bardin, </w:t>
      </w:r>
      <w:r w:rsidRPr="00256EED">
        <w:rPr>
          <w:rFonts w:eastAsia="Calibri"/>
          <w:sz w:val="24"/>
          <w:szCs w:val="24"/>
        </w:rPr>
        <w:t xml:space="preserve">2013), enrichie par une lecture interprétative </w:t>
      </w:r>
      <w:r>
        <w:rPr>
          <w:rFonts w:eastAsia="Calibri"/>
          <w:sz w:val="24"/>
          <w:szCs w:val="24"/>
        </w:rPr>
        <w:t>(Argyris &amp;</w:t>
      </w:r>
      <w:r w:rsidRPr="00256EED">
        <w:rPr>
          <w:rFonts w:eastAsia="Calibri"/>
          <w:sz w:val="24"/>
          <w:szCs w:val="24"/>
        </w:rPr>
        <w:t xml:space="preserve"> Schön</w:t>
      </w:r>
      <w:r>
        <w:rPr>
          <w:rFonts w:eastAsia="Calibri"/>
          <w:sz w:val="24"/>
          <w:szCs w:val="24"/>
        </w:rPr>
        <w:t>, 1978 ; Crozier, 1979)</w:t>
      </w:r>
      <w:r w:rsidRPr="00256EED">
        <w:rPr>
          <w:rFonts w:eastAsia="Calibri"/>
          <w:sz w:val="24"/>
          <w:szCs w:val="24"/>
        </w:rPr>
        <w:t xml:space="preserve">. </w:t>
      </w:r>
      <w:r>
        <w:rPr>
          <w:rFonts w:eastAsia="Calibri"/>
          <w:sz w:val="24"/>
          <w:szCs w:val="24"/>
        </w:rPr>
        <w:t xml:space="preserve">Elle </w:t>
      </w:r>
      <w:r w:rsidRPr="00E31B93">
        <w:rPr>
          <w:rFonts w:eastAsia="Calibri"/>
          <w:sz w:val="24"/>
          <w:szCs w:val="24"/>
        </w:rPr>
        <w:t xml:space="preserve">s’est déroulée en trois stades </w:t>
      </w:r>
      <w:r>
        <w:rPr>
          <w:rFonts w:eastAsia="Calibri"/>
          <w:sz w:val="24"/>
          <w:szCs w:val="24"/>
        </w:rPr>
        <w:t xml:space="preserve">(Bardin, 2013 ; Paillé &amp; Mucchielli, 2021 ; Strauss &amp; </w:t>
      </w:r>
      <w:r w:rsidRPr="00E31B93">
        <w:rPr>
          <w:rFonts w:eastAsia="Calibri"/>
          <w:sz w:val="24"/>
          <w:szCs w:val="24"/>
        </w:rPr>
        <w:t>Corbin</w:t>
      </w:r>
      <w:r>
        <w:rPr>
          <w:rFonts w:eastAsia="Calibri"/>
          <w:sz w:val="24"/>
          <w:szCs w:val="24"/>
        </w:rPr>
        <w:t xml:space="preserve">, </w:t>
      </w:r>
      <w:r w:rsidRPr="00E31B93">
        <w:rPr>
          <w:rFonts w:eastAsia="Calibri"/>
          <w:sz w:val="24"/>
          <w:szCs w:val="24"/>
        </w:rPr>
        <w:t>1998</w:t>
      </w:r>
      <w:r>
        <w:rPr>
          <w:rFonts w:eastAsia="Calibri"/>
          <w:sz w:val="24"/>
          <w:szCs w:val="24"/>
        </w:rPr>
        <w:t>) :</w:t>
      </w:r>
      <w:r w:rsidRPr="00A13327">
        <w:rPr>
          <w:rFonts w:eastAsia="Calibri"/>
          <w:sz w:val="24"/>
          <w:szCs w:val="24"/>
        </w:rPr>
        <w:t xml:space="preserve"> </w:t>
      </w:r>
    </w:p>
    <w:p w14:paraId="563B4F68" w14:textId="77777777" w:rsidR="00D80693" w:rsidRDefault="00D80693" w:rsidP="002410D0">
      <w:pPr>
        <w:pStyle w:val="Paragraphedeliste"/>
        <w:widowControl/>
        <w:numPr>
          <w:ilvl w:val="0"/>
          <w:numId w:val="192"/>
        </w:numPr>
        <w:autoSpaceDE/>
        <w:autoSpaceDN/>
        <w:spacing w:after="160"/>
        <w:ind w:left="0" w:firstLine="360"/>
        <w:contextualSpacing/>
        <w:rPr>
          <w:rFonts w:eastAsia="Calibri"/>
          <w:sz w:val="24"/>
          <w:szCs w:val="24"/>
        </w:rPr>
      </w:pPr>
      <w:proofErr w:type="spellStart"/>
      <w:r w:rsidRPr="00E31B93">
        <w:rPr>
          <w:rFonts w:eastAsia="Calibri"/>
          <w:sz w:val="24"/>
          <w:szCs w:val="24"/>
        </w:rPr>
        <w:t>Pré-analyse</w:t>
      </w:r>
      <w:proofErr w:type="spellEnd"/>
      <w:r w:rsidRPr="00E31B93">
        <w:rPr>
          <w:rFonts w:eastAsia="Calibri"/>
          <w:sz w:val="24"/>
          <w:szCs w:val="24"/>
        </w:rPr>
        <w:t xml:space="preserve"> : </w:t>
      </w:r>
      <w:r>
        <w:rPr>
          <w:rFonts w:eastAsia="Calibri"/>
          <w:sz w:val="24"/>
          <w:szCs w:val="24"/>
        </w:rPr>
        <w:t>l</w:t>
      </w:r>
      <w:r w:rsidRPr="00E31B93">
        <w:rPr>
          <w:rFonts w:eastAsia="Calibri"/>
          <w:sz w:val="24"/>
          <w:szCs w:val="24"/>
        </w:rPr>
        <w:t>ecture flottante, stabilisation des thèmes préliminaires (justice, dysfonctionnements, contestation, leadership), repérage des régularités discursives et extraction des premières unités de signification.</w:t>
      </w:r>
    </w:p>
    <w:p w14:paraId="3C6228EA" w14:textId="77777777" w:rsidR="00D80693" w:rsidRDefault="00D80693" w:rsidP="002410D0">
      <w:pPr>
        <w:pStyle w:val="Paragraphedeliste"/>
        <w:widowControl/>
        <w:numPr>
          <w:ilvl w:val="0"/>
          <w:numId w:val="192"/>
        </w:numPr>
        <w:autoSpaceDE/>
        <w:autoSpaceDN/>
        <w:spacing w:after="160"/>
        <w:ind w:left="0" w:firstLine="360"/>
        <w:contextualSpacing/>
        <w:rPr>
          <w:rFonts w:eastAsia="Calibri"/>
          <w:sz w:val="24"/>
          <w:szCs w:val="24"/>
        </w:rPr>
      </w:pPr>
      <w:r w:rsidRPr="00E31B93">
        <w:rPr>
          <w:rFonts w:eastAsia="Calibri"/>
          <w:sz w:val="24"/>
          <w:szCs w:val="24"/>
        </w:rPr>
        <w:t xml:space="preserve">Codage ouvert : fragmentation du corpus en segments porteurs de sens et attribution de codes initiaux. Exemples d’unités de signification codées : « absence de transparence dans le traitement des dossiers </w:t>
      </w:r>
      <w:proofErr w:type="gramStart"/>
      <w:r w:rsidRPr="00E31B93">
        <w:rPr>
          <w:rFonts w:eastAsia="Calibri"/>
          <w:sz w:val="24"/>
          <w:szCs w:val="24"/>
        </w:rPr>
        <w:t xml:space="preserve">» </w:t>
      </w:r>
      <w:r>
        <w:rPr>
          <w:rFonts w:eastAsia="Calibri"/>
          <w:sz w:val="24"/>
          <w:szCs w:val="24"/>
        </w:rPr>
        <w:t xml:space="preserve"> (</w:t>
      </w:r>
      <w:proofErr w:type="gramEnd"/>
      <w:r w:rsidRPr="00E31B93">
        <w:rPr>
          <w:rFonts w:eastAsia="Calibri"/>
          <w:sz w:val="24"/>
          <w:szCs w:val="24"/>
        </w:rPr>
        <w:t>injustice procédurale</w:t>
      </w:r>
      <w:r>
        <w:rPr>
          <w:rFonts w:eastAsia="Calibri"/>
          <w:sz w:val="24"/>
          <w:szCs w:val="24"/>
        </w:rPr>
        <w:t>)</w:t>
      </w:r>
      <w:r w:rsidRPr="00E31B93">
        <w:rPr>
          <w:rFonts w:eastAsia="Calibri"/>
          <w:sz w:val="24"/>
          <w:szCs w:val="24"/>
        </w:rPr>
        <w:t> ; « mobilisation pour obtenir la correction des avancements »</w:t>
      </w:r>
      <w:r>
        <w:rPr>
          <w:rFonts w:eastAsia="Calibri"/>
          <w:sz w:val="24"/>
          <w:szCs w:val="24"/>
        </w:rPr>
        <w:t xml:space="preserve"> (</w:t>
      </w:r>
      <w:r w:rsidRPr="00E31B93">
        <w:rPr>
          <w:rFonts w:eastAsia="Calibri"/>
          <w:sz w:val="24"/>
          <w:szCs w:val="24"/>
        </w:rPr>
        <w:t>déviance constructive collective</w:t>
      </w:r>
      <w:r>
        <w:rPr>
          <w:rFonts w:eastAsia="Calibri"/>
          <w:sz w:val="24"/>
          <w:szCs w:val="24"/>
        </w:rPr>
        <w:t>)</w:t>
      </w:r>
      <w:r w:rsidRPr="00E31B93">
        <w:rPr>
          <w:rFonts w:eastAsia="Calibri"/>
          <w:sz w:val="24"/>
          <w:szCs w:val="24"/>
        </w:rPr>
        <w:t xml:space="preserve"> ; « perception de minimisation institutionnelle » </w:t>
      </w:r>
      <w:r>
        <w:rPr>
          <w:rFonts w:eastAsia="Calibri"/>
          <w:sz w:val="24"/>
          <w:szCs w:val="24"/>
        </w:rPr>
        <w:t>(</w:t>
      </w:r>
      <w:r w:rsidRPr="00E31B93">
        <w:rPr>
          <w:rFonts w:eastAsia="Calibri"/>
          <w:sz w:val="24"/>
          <w:szCs w:val="24"/>
        </w:rPr>
        <w:t>leadership non-éthique</w:t>
      </w:r>
      <w:r>
        <w:rPr>
          <w:rFonts w:eastAsia="Calibri"/>
          <w:sz w:val="24"/>
          <w:szCs w:val="24"/>
        </w:rPr>
        <w:t>)</w:t>
      </w:r>
      <w:r w:rsidRPr="00E31B93">
        <w:rPr>
          <w:rFonts w:eastAsia="Calibri"/>
          <w:sz w:val="24"/>
          <w:szCs w:val="24"/>
        </w:rPr>
        <w:t>.</w:t>
      </w:r>
      <w:r>
        <w:rPr>
          <w:rFonts w:eastAsia="Calibri"/>
          <w:sz w:val="24"/>
          <w:szCs w:val="24"/>
        </w:rPr>
        <w:t xml:space="preserve"> </w:t>
      </w:r>
      <w:r w:rsidRPr="00E31B93">
        <w:rPr>
          <w:rFonts w:eastAsia="Calibri"/>
          <w:sz w:val="24"/>
          <w:szCs w:val="24"/>
        </w:rPr>
        <w:t>Ce stade visait à faire émerger sans restriction l’ensemble des significations possibles.</w:t>
      </w:r>
    </w:p>
    <w:p w14:paraId="1CC87493" w14:textId="77777777" w:rsidR="00D80693" w:rsidRDefault="00D80693" w:rsidP="002410D0">
      <w:pPr>
        <w:pStyle w:val="Paragraphedeliste"/>
        <w:widowControl/>
        <w:numPr>
          <w:ilvl w:val="0"/>
          <w:numId w:val="192"/>
        </w:numPr>
        <w:autoSpaceDE/>
        <w:autoSpaceDN/>
        <w:spacing w:after="160"/>
        <w:ind w:left="0" w:firstLine="360"/>
        <w:contextualSpacing/>
        <w:rPr>
          <w:rFonts w:eastAsia="Calibri"/>
          <w:sz w:val="24"/>
          <w:szCs w:val="24"/>
        </w:rPr>
      </w:pPr>
      <w:r w:rsidRPr="00E31B93">
        <w:rPr>
          <w:rFonts w:eastAsia="Calibri"/>
          <w:sz w:val="24"/>
          <w:szCs w:val="24"/>
        </w:rPr>
        <w:t>Codage axial</w:t>
      </w:r>
      <w:r>
        <w:rPr>
          <w:rFonts w:eastAsia="Calibri"/>
          <w:sz w:val="24"/>
          <w:szCs w:val="24"/>
        </w:rPr>
        <w:t> : r</w:t>
      </w:r>
      <w:r w:rsidRPr="00E31B93">
        <w:rPr>
          <w:rFonts w:eastAsia="Calibri"/>
          <w:sz w:val="24"/>
          <w:szCs w:val="24"/>
        </w:rPr>
        <w:t>egroupement des codes ouverts en catégories thématiques plus larges : justice procédurale, déviance constructive, leadership éthique, leadership non-éthique, ambidextrie organisationnelle et ajustements structurels. Ce stade a permis d’identifier les liens logiques entre contestation, innovation et gouvernance.</w:t>
      </w:r>
    </w:p>
    <w:p w14:paraId="512CDD87" w14:textId="77777777" w:rsidR="00D80693" w:rsidRPr="00F77AD0" w:rsidRDefault="00D80693" w:rsidP="002410D0">
      <w:pPr>
        <w:pStyle w:val="Paragraphedeliste"/>
        <w:widowControl/>
        <w:numPr>
          <w:ilvl w:val="0"/>
          <w:numId w:val="192"/>
        </w:numPr>
        <w:autoSpaceDE/>
        <w:autoSpaceDN/>
        <w:spacing w:after="160"/>
        <w:ind w:left="0" w:firstLine="360"/>
        <w:contextualSpacing/>
        <w:rPr>
          <w:rFonts w:eastAsia="Calibri"/>
          <w:sz w:val="24"/>
          <w:szCs w:val="24"/>
        </w:rPr>
      </w:pPr>
      <w:r w:rsidRPr="00E31B93">
        <w:rPr>
          <w:rFonts w:eastAsia="Calibri"/>
          <w:sz w:val="24"/>
          <w:szCs w:val="24"/>
        </w:rPr>
        <w:t>Codage sélectif</w:t>
      </w:r>
      <w:r>
        <w:rPr>
          <w:rFonts w:eastAsia="Calibri"/>
          <w:sz w:val="24"/>
          <w:szCs w:val="24"/>
        </w:rPr>
        <w:t> : i</w:t>
      </w:r>
      <w:r w:rsidRPr="00E31B93">
        <w:rPr>
          <w:rFonts w:eastAsia="Calibri"/>
          <w:sz w:val="24"/>
          <w:szCs w:val="24"/>
        </w:rPr>
        <w:t>ntégration des catégories autour de trois dimensions centrales formant le modèle triangulaire proposé :</w:t>
      </w:r>
      <w:r>
        <w:rPr>
          <w:rFonts w:eastAsia="Calibri"/>
          <w:sz w:val="24"/>
          <w:szCs w:val="24"/>
        </w:rPr>
        <w:t xml:space="preserve"> </w:t>
      </w:r>
      <w:r w:rsidRPr="00E31B93">
        <w:rPr>
          <w:rFonts w:eastAsia="Calibri"/>
          <w:sz w:val="24"/>
          <w:szCs w:val="24"/>
        </w:rPr>
        <w:t>justice procédurale ;</w:t>
      </w:r>
      <w:r>
        <w:rPr>
          <w:rFonts w:eastAsia="Calibri"/>
          <w:sz w:val="24"/>
          <w:szCs w:val="24"/>
        </w:rPr>
        <w:t xml:space="preserve"> </w:t>
      </w:r>
      <w:r w:rsidRPr="00E31B93">
        <w:rPr>
          <w:rFonts w:eastAsia="Calibri"/>
          <w:sz w:val="24"/>
          <w:szCs w:val="24"/>
        </w:rPr>
        <w:t>déviance constructive ; leadership éthique/ambidextre.</w:t>
      </w:r>
      <w:r>
        <w:rPr>
          <w:rFonts w:eastAsia="Calibri"/>
          <w:sz w:val="24"/>
          <w:szCs w:val="24"/>
        </w:rPr>
        <w:t xml:space="preserve"> </w:t>
      </w:r>
      <w:r w:rsidRPr="00E31B93">
        <w:rPr>
          <w:rFonts w:eastAsia="Calibri"/>
          <w:sz w:val="24"/>
          <w:szCs w:val="24"/>
        </w:rPr>
        <w:t xml:space="preserve">Ce stade final a permis l’élaboration du modèle conceptuel intégratif présenté dans la discussion, mobilisant notamment Galperin (2003), </w:t>
      </w:r>
      <w:proofErr w:type="spellStart"/>
      <w:r w:rsidRPr="00E31B93">
        <w:rPr>
          <w:rFonts w:eastAsia="Calibri"/>
          <w:sz w:val="24"/>
          <w:szCs w:val="24"/>
        </w:rPr>
        <w:t>Déprez</w:t>
      </w:r>
      <w:proofErr w:type="spellEnd"/>
      <w:r w:rsidRPr="00E31B93">
        <w:rPr>
          <w:rFonts w:eastAsia="Calibri"/>
          <w:sz w:val="24"/>
          <w:szCs w:val="24"/>
        </w:rPr>
        <w:t xml:space="preserve"> et </w:t>
      </w:r>
      <w:r>
        <w:rPr>
          <w:rFonts w:eastAsia="Calibri"/>
          <w:sz w:val="24"/>
          <w:szCs w:val="24"/>
        </w:rPr>
        <w:t xml:space="preserve">ses collaborateurs </w:t>
      </w:r>
      <w:r w:rsidRPr="00E31B93">
        <w:rPr>
          <w:rFonts w:eastAsia="Calibri"/>
          <w:sz w:val="24"/>
          <w:szCs w:val="24"/>
        </w:rPr>
        <w:t>(2020), et Raisch &amp; Birkinshaw (2008).</w:t>
      </w:r>
    </w:p>
    <w:p w14:paraId="413B71BD" w14:textId="77777777" w:rsidR="00D80693" w:rsidRDefault="00D80693" w:rsidP="002410D0">
      <w:pPr>
        <w:suppressAutoHyphens/>
        <w:spacing w:before="120"/>
        <w:ind w:firstLine="567"/>
        <w:jc w:val="both"/>
        <w:textAlignment w:val="baseline"/>
        <w:rPr>
          <w:rFonts w:eastAsia="Calibri"/>
          <w:sz w:val="24"/>
          <w:szCs w:val="24"/>
        </w:rPr>
      </w:pPr>
      <w:r w:rsidRPr="00F77AD0">
        <w:rPr>
          <w:rFonts w:eastAsia="Calibri"/>
          <w:sz w:val="24"/>
          <w:szCs w:val="24"/>
        </w:rPr>
        <w:t>La rigueur a été assurée par : des retours itératifs au corpus (validation interne des catégories), une triangulation documentaire, une cohérence constante entre les données, les codes et le cadre théorique, l’atteinte de la saturation thématique (par répétition des motifs discursifs).</w:t>
      </w:r>
      <w:r>
        <w:rPr>
          <w:rFonts w:eastAsia="Calibri"/>
          <w:sz w:val="24"/>
          <w:szCs w:val="24"/>
        </w:rPr>
        <w:t xml:space="preserve"> Au fil du codage</w:t>
      </w:r>
      <w:r w:rsidRPr="009840CF">
        <w:rPr>
          <w:rFonts w:eastAsia="Calibri"/>
          <w:sz w:val="24"/>
          <w:szCs w:val="24"/>
        </w:rPr>
        <w:t xml:space="preserve"> </w:t>
      </w:r>
      <w:r w:rsidRPr="00256EED">
        <w:rPr>
          <w:rFonts w:eastAsia="Calibri"/>
          <w:sz w:val="24"/>
          <w:szCs w:val="24"/>
        </w:rPr>
        <w:t>et de la mise en relation des matériaux</w:t>
      </w:r>
      <w:r>
        <w:rPr>
          <w:rFonts w:eastAsia="Calibri"/>
          <w:sz w:val="24"/>
          <w:szCs w:val="24"/>
        </w:rPr>
        <w:t>, t</w:t>
      </w:r>
      <w:r w:rsidRPr="00256EED">
        <w:rPr>
          <w:rFonts w:eastAsia="Calibri"/>
          <w:sz w:val="24"/>
          <w:szCs w:val="24"/>
        </w:rPr>
        <w:t>rois catégories principales ont émergé</w:t>
      </w:r>
      <w:r>
        <w:rPr>
          <w:rFonts w:eastAsia="Calibri"/>
          <w:sz w:val="24"/>
          <w:szCs w:val="24"/>
        </w:rPr>
        <w:t xml:space="preserve">, à savoir : </w:t>
      </w:r>
      <w:r w:rsidRPr="00256EED">
        <w:rPr>
          <w:rFonts w:eastAsia="Calibri"/>
          <w:sz w:val="24"/>
          <w:szCs w:val="24"/>
        </w:rPr>
        <w:t xml:space="preserve"> </w:t>
      </w:r>
      <w:r>
        <w:rPr>
          <w:rFonts w:eastAsia="Calibri"/>
          <w:sz w:val="24"/>
          <w:szCs w:val="24"/>
        </w:rPr>
        <w:t>la</w:t>
      </w:r>
      <w:r w:rsidRPr="00E961A4">
        <w:rPr>
          <w:rFonts w:eastAsia="Calibri"/>
          <w:sz w:val="24"/>
          <w:szCs w:val="24"/>
        </w:rPr>
        <w:t xml:space="preserve"> perception de la justice et de la reconnaissance institutionnelle ;</w:t>
      </w:r>
      <w:r>
        <w:rPr>
          <w:rFonts w:eastAsia="Calibri"/>
          <w:sz w:val="24"/>
          <w:szCs w:val="24"/>
        </w:rPr>
        <w:t xml:space="preserve"> l</w:t>
      </w:r>
      <w:r w:rsidRPr="00452A6D">
        <w:rPr>
          <w:rFonts w:eastAsia="Calibri"/>
          <w:sz w:val="24"/>
          <w:szCs w:val="24"/>
        </w:rPr>
        <w:t xml:space="preserve">es formes de déviance constructive et </w:t>
      </w:r>
      <w:r>
        <w:rPr>
          <w:rFonts w:eastAsia="Calibri"/>
          <w:sz w:val="24"/>
          <w:szCs w:val="24"/>
        </w:rPr>
        <w:t xml:space="preserve">les </w:t>
      </w:r>
      <w:r w:rsidRPr="00452A6D">
        <w:rPr>
          <w:rFonts w:eastAsia="Calibri"/>
          <w:sz w:val="24"/>
          <w:szCs w:val="24"/>
        </w:rPr>
        <w:t>mobilisation</w:t>
      </w:r>
      <w:r>
        <w:rPr>
          <w:rFonts w:eastAsia="Calibri"/>
          <w:sz w:val="24"/>
          <w:szCs w:val="24"/>
        </w:rPr>
        <w:t>s</w:t>
      </w:r>
      <w:r w:rsidRPr="00452A6D">
        <w:rPr>
          <w:rFonts w:eastAsia="Calibri"/>
          <w:sz w:val="24"/>
          <w:szCs w:val="24"/>
        </w:rPr>
        <w:t xml:space="preserve"> collective</w:t>
      </w:r>
      <w:r>
        <w:rPr>
          <w:rFonts w:eastAsia="Calibri"/>
          <w:sz w:val="24"/>
          <w:szCs w:val="24"/>
        </w:rPr>
        <w:t>s</w:t>
      </w:r>
      <w:r w:rsidRPr="00452A6D">
        <w:rPr>
          <w:rFonts w:eastAsia="Calibri"/>
          <w:sz w:val="24"/>
          <w:szCs w:val="24"/>
        </w:rPr>
        <w:t xml:space="preserve"> ;</w:t>
      </w:r>
      <w:r>
        <w:rPr>
          <w:rFonts w:eastAsia="Calibri"/>
          <w:sz w:val="24"/>
          <w:szCs w:val="24"/>
        </w:rPr>
        <w:t xml:space="preserve"> l</w:t>
      </w:r>
      <w:r w:rsidRPr="00452A6D">
        <w:rPr>
          <w:rFonts w:eastAsia="Calibri"/>
          <w:sz w:val="24"/>
          <w:szCs w:val="24"/>
        </w:rPr>
        <w:t>es réponses institutionnelles et les ajustements managériaux.</w:t>
      </w:r>
      <w:r>
        <w:rPr>
          <w:rFonts w:eastAsia="Calibri"/>
          <w:sz w:val="24"/>
          <w:szCs w:val="24"/>
        </w:rPr>
        <w:t xml:space="preserve"> </w:t>
      </w:r>
      <w:r w:rsidRPr="00256EED">
        <w:rPr>
          <w:rFonts w:eastAsia="Calibri"/>
          <w:sz w:val="24"/>
          <w:szCs w:val="24"/>
        </w:rPr>
        <w:t>L</w:t>
      </w:r>
      <w:r>
        <w:rPr>
          <w:rFonts w:eastAsia="Calibri"/>
          <w:sz w:val="24"/>
          <w:szCs w:val="24"/>
        </w:rPr>
        <w:t xml:space="preserve">a confrontation de ces </w:t>
      </w:r>
      <w:r w:rsidRPr="00256EED">
        <w:rPr>
          <w:rFonts w:eastAsia="Calibri"/>
          <w:sz w:val="24"/>
          <w:szCs w:val="24"/>
        </w:rPr>
        <w:t xml:space="preserve">catégories aux </w:t>
      </w:r>
      <w:r>
        <w:rPr>
          <w:rFonts w:eastAsia="Calibri"/>
          <w:sz w:val="24"/>
          <w:szCs w:val="24"/>
        </w:rPr>
        <w:t xml:space="preserve">théories </w:t>
      </w:r>
      <w:r w:rsidRPr="00256EED">
        <w:rPr>
          <w:rFonts w:eastAsia="Calibri"/>
          <w:sz w:val="24"/>
          <w:szCs w:val="24"/>
        </w:rPr>
        <w:t>récent</w:t>
      </w:r>
      <w:r>
        <w:rPr>
          <w:rFonts w:eastAsia="Calibri"/>
          <w:sz w:val="24"/>
          <w:szCs w:val="24"/>
        </w:rPr>
        <w:t>e</w:t>
      </w:r>
      <w:r w:rsidRPr="00256EED">
        <w:rPr>
          <w:rFonts w:eastAsia="Calibri"/>
          <w:sz w:val="24"/>
          <w:szCs w:val="24"/>
        </w:rPr>
        <w:t>s </w:t>
      </w:r>
      <w:r>
        <w:rPr>
          <w:rFonts w:eastAsia="Calibri"/>
          <w:sz w:val="24"/>
          <w:szCs w:val="24"/>
        </w:rPr>
        <w:t>de la</w:t>
      </w:r>
      <w:r w:rsidRPr="00256EED">
        <w:rPr>
          <w:rFonts w:eastAsia="Calibri"/>
          <w:sz w:val="24"/>
          <w:szCs w:val="24"/>
        </w:rPr>
        <w:t xml:space="preserve"> justice procédurale (Tyle</w:t>
      </w:r>
      <w:r>
        <w:rPr>
          <w:rFonts w:eastAsia="Calibri"/>
          <w:sz w:val="24"/>
          <w:szCs w:val="24"/>
        </w:rPr>
        <w:t>r, 2023 ; Popescu et al., 2024), la</w:t>
      </w:r>
      <w:r w:rsidRPr="00256EED">
        <w:rPr>
          <w:rFonts w:eastAsia="Calibri"/>
          <w:sz w:val="24"/>
          <w:szCs w:val="24"/>
        </w:rPr>
        <w:t xml:space="preserve"> déviance constructive (Baur, 2022 ; Jordan et al., 2023) et </w:t>
      </w:r>
      <w:r>
        <w:rPr>
          <w:rFonts w:eastAsia="Calibri"/>
          <w:sz w:val="24"/>
          <w:szCs w:val="24"/>
        </w:rPr>
        <w:t xml:space="preserve">du </w:t>
      </w:r>
      <w:r w:rsidRPr="00256EED">
        <w:rPr>
          <w:rFonts w:eastAsia="Calibri"/>
          <w:sz w:val="24"/>
          <w:szCs w:val="24"/>
        </w:rPr>
        <w:t xml:space="preserve">leadership éthique transformationnel </w:t>
      </w:r>
      <w:r w:rsidRPr="00AB2144">
        <w:rPr>
          <w:rFonts w:eastAsia="Calibri"/>
          <w:sz w:val="24"/>
          <w:szCs w:val="24"/>
        </w:rPr>
        <w:t>(</w:t>
      </w:r>
      <w:r w:rsidRPr="0060122C">
        <w:rPr>
          <w:rFonts w:eastAsia="Calibri"/>
          <w:sz w:val="24"/>
          <w:szCs w:val="24"/>
        </w:rPr>
        <w:t>Brown &amp; Treviño</w:t>
      </w:r>
      <w:r>
        <w:rPr>
          <w:rFonts w:eastAsia="Calibri"/>
          <w:sz w:val="24"/>
          <w:szCs w:val="24"/>
        </w:rPr>
        <w:t xml:space="preserve">, </w:t>
      </w:r>
      <w:r w:rsidRPr="00AB2144">
        <w:rPr>
          <w:rFonts w:eastAsia="Calibri"/>
          <w:sz w:val="24"/>
          <w:szCs w:val="24"/>
        </w:rPr>
        <w:t>2</w:t>
      </w:r>
      <w:r>
        <w:rPr>
          <w:rFonts w:eastAsia="Calibri"/>
          <w:sz w:val="24"/>
          <w:szCs w:val="24"/>
        </w:rPr>
        <w:t>006 ;</w:t>
      </w:r>
      <w:r w:rsidRPr="0060122C">
        <w:rPr>
          <w:rFonts w:eastAsia="Calibri"/>
        </w:rPr>
        <w:t xml:space="preserve"> </w:t>
      </w:r>
      <w:r w:rsidRPr="00256EED">
        <w:rPr>
          <w:rFonts w:eastAsia="Calibri"/>
          <w:sz w:val="24"/>
          <w:szCs w:val="24"/>
        </w:rPr>
        <w:t>Etomes et al., 2</w:t>
      </w:r>
      <w:r>
        <w:rPr>
          <w:rFonts w:eastAsia="Calibri"/>
          <w:sz w:val="24"/>
          <w:szCs w:val="24"/>
        </w:rPr>
        <w:t>024</w:t>
      </w:r>
      <w:r w:rsidRPr="00256EED">
        <w:rPr>
          <w:rFonts w:eastAsia="Calibri"/>
          <w:sz w:val="24"/>
          <w:szCs w:val="24"/>
        </w:rPr>
        <w:t xml:space="preserve"> ;</w:t>
      </w:r>
      <w:r>
        <w:rPr>
          <w:rFonts w:eastAsia="Calibri"/>
          <w:sz w:val="24"/>
          <w:szCs w:val="24"/>
        </w:rPr>
        <w:t xml:space="preserve"> Grobler &amp; Grobler, 2024) a enfanté </w:t>
      </w:r>
      <w:r w:rsidRPr="00256EED">
        <w:rPr>
          <w:rFonts w:eastAsia="Calibri"/>
          <w:sz w:val="24"/>
          <w:szCs w:val="24"/>
        </w:rPr>
        <w:t xml:space="preserve">un modèle d’interaction entre ces </w:t>
      </w:r>
      <w:r>
        <w:rPr>
          <w:rFonts w:eastAsia="Calibri"/>
          <w:sz w:val="24"/>
          <w:szCs w:val="24"/>
        </w:rPr>
        <w:t>dimensions. Dans l’optique de c</w:t>
      </w:r>
      <w:r w:rsidRPr="00256EED">
        <w:rPr>
          <w:rFonts w:eastAsia="Calibri"/>
          <w:sz w:val="24"/>
          <w:szCs w:val="24"/>
        </w:rPr>
        <w:t>ompléter l’analyse documentaire, plusieurs entretiens informels exploratoires ont été menés auprès d’enseignants de différents statuts (fonctionnaires, contractuels, vacataires). Ces témoignages, bien qu</w:t>
      </w:r>
      <w:r>
        <w:rPr>
          <w:rFonts w:eastAsia="Calibri"/>
          <w:sz w:val="24"/>
          <w:szCs w:val="24"/>
        </w:rPr>
        <w:t xml:space="preserve">’ils ne fassent pas l’objet d’un traitement </w:t>
      </w:r>
      <w:r w:rsidRPr="00256EED">
        <w:rPr>
          <w:rFonts w:eastAsia="Calibri"/>
          <w:sz w:val="24"/>
          <w:szCs w:val="24"/>
        </w:rPr>
        <w:t>quantitati</w:t>
      </w:r>
      <w:r>
        <w:rPr>
          <w:rFonts w:eastAsia="Calibri"/>
          <w:sz w:val="24"/>
          <w:szCs w:val="24"/>
        </w:rPr>
        <w:t>f</w:t>
      </w:r>
      <w:r w:rsidRPr="00256EED">
        <w:rPr>
          <w:rFonts w:eastAsia="Calibri"/>
          <w:sz w:val="24"/>
          <w:szCs w:val="24"/>
        </w:rPr>
        <w:t>, ont enrichi la compréhension des vécus et renforcé la validité écologique des résultats</w:t>
      </w:r>
      <w:r>
        <w:rPr>
          <w:rFonts w:eastAsia="Calibri"/>
          <w:sz w:val="24"/>
          <w:szCs w:val="24"/>
        </w:rPr>
        <w:t>.</w:t>
      </w:r>
    </w:p>
    <w:p w14:paraId="20873681" w14:textId="77777777" w:rsidR="00D80693" w:rsidRPr="005B33A3" w:rsidRDefault="00D80693" w:rsidP="002410D0">
      <w:pPr>
        <w:pStyle w:val="Paragraphedeliste"/>
        <w:widowControl/>
        <w:numPr>
          <w:ilvl w:val="0"/>
          <w:numId w:val="191"/>
        </w:numPr>
        <w:suppressAutoHyphens/>
        <w:autoSpaceDE/>
        <w:spacing w:after="200"/>
        <w:contextualSpacing/>
        <w:textAlignment w:val="baseline"/>
        <w:rPr>
          <w:rFonts w:eastAsia="Calibri"/>
          <w:b/>
          <w:sz w:val="28"/>
          <w:szCs w:val="28"/>
        </w:rPr>
      </w:pPr>
      <w:r w:rsidRPr="005B33A3">
        <w:rPr>
          <w:rFonts w:eastAsia="Calibri"/>
          <w:b/>
          <w:sz w:val="28"/>
          <w:szCs w:val="28"/>
        </w:rPr>
        <w:t>Résultats</w:t>
      </w:r>
    </w:p>
    <w:p w14:paraId="7E42BA57" w14:textId="77777777" w:rsidR="00D80693" w:rsidRDefault="00D80693" w:rsidP="002410D0">
      <w:pPr>
        <w:suppressAutoHyphens/>
        <w:spacing w:before="120" w:after="200"/>
        <w:ind w:firstLine="567"/>
        <w:jc w:val="both"/>
        <w:textAlignment w:val="baseline"/>
        <w:rPr>
          <w:rFonts w:eastAsia="Calibri"/>
          <w:sz w:val="24"/>
          <w:szCs w:val="24"/>
        </w:rPr>
      </w:pPr>
      <w:r>
        <w:rPr>
          <w:rFonts w:eastAsia="Calibri"/>
          <w:sz w:val="24"/>
          <w:szCs w:val="24"/>
        </w:rPr>
        <w:t>L’analyse des données a permis de dégager trois constats majeurs qui éclairent les dynamiques de gouvernance et de déviance constructive dans le système éducatif camerounais.</w:t>
      </w:r>
    </w:p>
    <w:p w14:paraId="60F3A6BF" w14:textId="77777777" w:rsidR="00D80693"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915A49">
        <w:rPr>
          <w:rFonts w:eastAsia="Calibri"/>
          <w:b/>
          <w:sz w:val="24"/>
          <w:szCs w:val="24"/>
        </w:rPr>
        <w:t>Une gestion ambiguë persistance dans le traitement institutionnel de la déviance revendicative</w:t>
      </w:r>
    </w:p>
    <w:p w14:paraId="7E50D310"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La déviance, au sens organisationnel, désigne un écart par rapport aux normes attendues dans un système donné (Robinson &amp; Bennett, 1995). Celle-ci peut être positive lorsqu’elle est motivée par des préoccupations d’amélioration ou de justice (Spreitzer &amp; </w:t>
      </w:r>
      <w:proofErr w:type="spellStart"/>
      <w:r w:rsidRPr="00256EED">
        <w:rPr>
          <w:rFonts w:eastAsia="Calibri"/>
          <w:sz w:val="24"/>
          <w:szCs w:val="24"/>
        </w:rPr>
        <w:t>Sonenshein</w:t>
      </w:r>
      <w:proofErr w:type="spellEnd"/>
      <w:r w:rsidRPr="00256EED">
        <w:rPr>
          <w:rFonts w:eastAsia="Calibri"/>
          <w:sz w:val="24"/>
          <w:szCs w:val="24"/>
        </w:rPr>
        <w:t>, 2004). Dans le cas des enseignants camerounais, les grèves oscillent entre contestation du statu quo et quête d’une réforme structurelle. D’une part, l’État, fidèle à une logique wébérienne de hiérarchie (Weber, 1922), tend à percevoir toute contestation comme une menace à l’ordre établi. Il adopte donc le plus souvent une posture normative et rigide. D’autre part, certains responsables reconnaissent implicitement que ces revendications expriment des carences systémiques. Cette ambiguïté génère un flou managérial où la sanction et le dialogue coexistent sans cohérence stratégique. En effet, l’administration oscille entre sanction et tolérance, sans stratégie cohérente. Les mobilisations enseignantes sont tantôt réprimées, tantôt tolérées, mais rarement intégrées comme ressources d’amélioration. Ceci entretient un climat de méfiance et renforce la perception d’une autorité arbitraire (se traduisant par des réactions contrastées : répression</w:t>
      </w:r>
      <w:r>
        <w:rPr>
          <w:rFonts w:eastAsia="Calibri"/>
          <w:sz w:val="24"/>
          <w:szCs w:val="24"/>
        </w:rPr>
        <w:t> ; silence ;</w:t>
      </w:r>
      <w:r w:rsidRPr="00256EED">
        <w:rPr>
          <w:rFonts w:eastAsia="Calibri"/>
          <w:sz w:val="24"/>
          <w:szCs w:val="24"/>
        </w:rPr>
        <w:t xml:space="preserve"> ouverture au dialogue). Cette absence d’une posture claire alimente l’instabilité du climat professionnel et empêche la conversion des tensions en apprentissage collectif. Cela </w:t>
      </w:r>
      <w:r>
        <w:rPr>
          <w:rFonts w:eastAsia="Calibri"/>
          <w:sz w:val="24"/>
          <w:szCs w:val="24"/>
        </w:rPr>
        <w:t>empêche</w:t>
      </w:r>
      <w:r w:rsidRPr="00256EED">
        <w:rPr>
          <w:rFonts w:eastAsia="Calibri"/>
          <w:sz w:val="24"/>
          <w:szCs w:val="24"/>
        </w:rPr>
        <w:t xml:space="preserve"> de </w:t>
      </w:r>
      <w:r>
        <w:rPr>
          <w:rFonts w:eastAsia="Calibri"/>
          <w:sz w:val="24"/>
          <w:szCs w:val="24"/>
        </w:rPr>
        <w:t>saisir</w:t>
      </w:r>
      <w:r w:rsidRPr="00256EED">
        <w:rPr>
          <w:rFonts w:eastAsia="Calibri"/>
          <w:sz w:val="24"/>
          <w:szCs w:val="24"/>
        </w:rPr>
        <w:t xml:space="preserve"> la dimension innovante de certaines revendications (Morrison, 2006)</w:t>
      </w:r>
      <w:r w:rsidRPr="00915A49">
        <w:rPr>
          <w:rFonts w:eastAsia="Calibri"/>
          <w:sz w:val="24"/>
          <w:szCs w:val="24"/>
        </w:rPr>
        <w:t xml:space="preserve">. </w:t>
      </w:r>
    </w:p>
    <w:p w14:paraId="7DBDF94E" w14:textId="77777777" w:rsidR="00D80693" w:rsidRPr="00FA6286"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FA6286">
        <w:rPr>
          <w:rFonts w:eastAsia="Calibri"/>
          <w:b/>
          <w:sz w:val="24"/>
          <w:szCs w:val="24"/>
        </w:rPr>
        <w:t>Une perception d’injustice organisationnelle persistante</w:t>
      </w:r>
    </w:p>
    <w:p w14:paraId="7C122622" w14:textId="77777777" w:rsidR="00D80693" w:rsidRPr="00FA6286"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Selon Adams (1965), les individus évaluent la justesse de leur situation, en comparant leurs contributions et récompenses à celles de leurs pairs. Lorsqu’ils perçoivent un déséquilibre, un sentiment de frustration ou de trahison s’installe. Ces comparaisons statutaires accentuent </w:t>
      </w:r>
      <w:r>
        <w:rPr>
          <w:rFonts w:eastAsia="Calibri"/>
          <w:sz w:val="24"/>
          <w:szCs w:val="24"/>
        </w:rPr>
        <w:t>l</w:t>
      </w:r>
      <w:r w:rsidRPr="00256EED">
        <w:rPr>
          <w:rFonts w:eastAsia="Calibri"/>
          <w:sz w:val="24"/>
          <w:szCs w:val="24"/>
        </w:rPr>
        <w:t>e sentiment de recevoir moins que ses pairs, à contribution égale, voire supérieure, engendre un déséquilibre cognitif, prédisposant aux comportements déviants et à une désaffection vis-à-vis du travail (Greenberg, 1990). Dans le contexte camerounais, la coexistence de divers profils d’enseignants (fonctionnaires, contractuels, vacataires…), accentue ces comparaisons (</w:t>
      </w:r>
      <w:proofErr w:type="spellStart"/>
      <w:r w:rsidRPr="00256EED">
        <w:rPr>
          <w:rFonts w:eastAsia="Calibri"/>
          <w:sz w:val="24"/>
          <w:szCs w:val="24"/>
        </w:rPr>
        <w:t>Mveme</w:t>
      </w:r>
      <w:proofErr w:type="spellEnd"/>
      <w:r w:rsidRPr="00256EED">
        <w:rPr>
          <w:rFonts w:eastAsia="Calibri"/>
          <w:sz w:val="24"/>
          <w:szCs w:val="24"/>
        </w:rPr>
        <w:t xml:space="preserve"> </w:t>
      </w:r>
      <w:proofErr w:type="spellStart"/>
      <w:r w:rsidRPr="00256EED">
        <w:rPr>
          <w:rFonts w:eastAsia="Calibri"/>
          <w:sz w:val="24"/>
          <w:szCs w:val="24"/>
        </w:rPr>
        <w:t>Olougou</w:t>
      </w:r>
      <w:proofErr w:type="spellEnd"/>
      <w:r w:rsidRPr="00256EED">
        <w:rPr>
          <w:rFonts w:eastAsia="Calibri"/>
          <w:sz w:val="24"/>
          <w:szCs w:val="24"/>
        </w:rPr>
        <w:t>, 2024). Ceux qui se sentent défavorisés, malgré des efforts équivalents ou supérieurs, développent un sentiment d’iniquité, qui affecte leur motivation et leur attachement institutionnel. La dissonance cognitive (Festinger, 1957), qui en découle, alimente un processus de retrait</w:t>
      </w:r>
      <w:r>
        <w:rPr>
          <w:rFonts w:eastAsia="Calibri"/>
          <w:sz w:val="24"/>
          <w:szCs w:val="24"/>
        </w:rPr>
        <w:t>, démobilisation, résignation et</w:t>
      </w:r>
      <w:r w:rsidRPr="00256EED">
        <w:rPr>
          <w:rFonts w:eastAsia="Calibri"/>
          <w:sz w:val="24"/>
          <w:szCs w:val="24"/>
        </w:rPr>
        <w:t xml:space="preserve"> contestation ouverte. Cette tension cognitive et affective affecte la satisfaction au travail, la santé psychologique et la performance (</w:t>
      </w:r>
      <w:proofErr w:type="spellStart"/>
      <w:r w:rsidRPr="00256EED">
        <w:rPr>
          <w:rFonts w:eastAsia="Calibri"/>
          <w:sz w:val="24"/>
          <w:szCs w:val="24"/>
        </w:rPr>
        <w:t>Cropanzano</w:t>
      </w:r>
      <w:proofErr w:type="spellEnd"/>
      <w:r w:rsidRPr="00256EED">
        <w:rPr>
          <w:rFonts w:eastAsia="Calibri"/>
          <w:sz w:val="24"/>
          <w:szCs w:val="24"/>
        </w:rPr>
        <w:t xml:space="preserve"> &amp; Wright, 2001). Dans ce contexte, l’injustice n’est pas qu’un enjeu administratif</w:t>
      </w:r>
      <w:r>
        <w:rPr>
          <w:rFonts w:eastAsia="Calibri"/>
          <w:sz w:val="24"/>
          <w:szCs w:val="24"/>
        </w:rPr>
        <w:t> ;</w:t>
      </w:r>
      <w:r w:rsidRPr="00256EED">
        <w:rPr>
          <w:rFonts w:eastAsia="Calibri"/>
          <w:sz w:val="24"/>
          <w:szCs w:val="24"/>
        </w:rPr>
        <w:t xml:space="preserve"> elle devient facteur de risque psychosocial</w:t>
      </w:r>
      <w:r w:rsidRPr="00FA6286">
        <w:rPr>
          <w:rFonts w:eastAsia="Calibri"/>
          <w:sz w:val="24"/>
          <w:szCs w:val="24"/>
        </w:rPr>
        <w:t xml:space="preserve">. </w:t>
      </w:r>
    </w:p>
    <w:p w14:paraId="5F4DEFD8" w14:textId="77777777" w:rsidR="00D80693" w:rsidRPr="00380CFE"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sidRPr="00380CFE">
        <w:rPr>
          <w:rFonts w:eastAsia="Calibri"/>
          <w:b/>
          <w:sz w:val="24"/>
          <w:szCs w:val="24"/>
        </w:rPr>
        <w:t xml:space="preserve"> Une volonté d’ajustement freinée par des contraintes systémiques</w:t>
      </w:r>
      <w:r w:rsidRPr="00380CFE">
        <w:rPr>
          <w:rFonts w:eastAsia="Calibri"/>
          <w:sz w:val="24"/>
          <w:szCs w:val="24"/>
        </w:rPr>
        <w:t> </w:t>
      </w:r>
    </w:p>
    <w:p w14:paraId="4BF7174C" w14:textId="77777777" w:rsidR="00D80693" w:rsidRPr="0036681C"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Toute tentative de réforme dans un système complexe doit composer avec les « zones d’incertitude » (Crozier, 1979), c’est-à-dire les marges d’autonomie et de résistance que détiennent les acteurs face aux règles formelles. Au Cameroun, les réformes récentes témoignent d’une volonté politique d’ajustement et de modernisation, mais restent limitées par la bureaucratie et l’absence de leadership participatif. Le système demeure davantage réactif que stratégique (Luhmann, 1988). Les ajustements institutionnels relèvent plus d’une logique de gestion de crise que d’un processus de transformation structurelle planifié (</w:t>
      </w:r>
      <w:proofErr w:type="spellStart"/>
      <w:r w:rsidRPr="00256EED">
        <w:rPr>
          <w:rFonts w:eastAsia="Calibri"/>
          <w:sz w:val="24"/>
          <w:szCs w:val="24"/>
        </w:rPr>
        <w:t>Mveme</w:t>
      </w:r>
      <w:proofErr w:type="spellEnd"/>
      <w:r w:rsidRPr="00256EED">
        <w:rPr>
          <w:rFonts w:eastAsia="Calibri"/>
          <w:sz w:val="24"/>
          <w:szCs w:val="24"/>
        </w:rPr>
        <w:t xml:space="preserve"> </w:t>
      </w:r>
      <w:proofErr w:type="spellStart"/>
      <w:r w:rsidRPr="00256EED">
        <w:rPr>
          <w:rFonts w:eastAsia="Calibri"/>
          <w:sz w:val="24"/>
          <w:szCs w:val="24"/>
        </w:rPr>
        <w:t>Olougou</w:t>
      </w:r>
      <w:proofErr w:type="spellEnd"/>
      <w:r w:rsidRPr="00256EED">
        <w:rPr>
          <w:rFonts w:eastAsia="Calibri"/>
          <w:sz w:val="24"/>
          <w:szCs w:val="24"/>
        </w:rPr>
        <w:t xml:space="preserve">, 2025a). Le plus souvent, l’administration adopte une posture réactive, cherchant à apaiser les crises plutôt qu’à transformer les causes structurelles du malaise. Cela crée une impression d’inefficacité, renforcée par un manque de confiance dans les promesses politiques. À ces contraintes, s’ajoutent la lenteur des procédures et le déficit de leadership éthique. Ainsi, malgré une volonté manifeste de réforme, les ajustements se heurtent à l’inertie institutionnelle, aux échecs passés et à la complexité du changement requis. </w:t>
      </w:r>
      <w:r>
        <w:rPr>
          <w:rFonts w:eastAsia="Calibri"/>
          <w:sz w:val="24"/>
          <w:szCs w:val="24"/>
        </w:rPr>
        <w:t>L</w:t>
      </w:r>
      <w:r w:rsidRPr="00256EED">
        <w:rPr>
          <w:rFonts w:eastAsia="Calibri"/>
          <w:sz w:val="24"/>
          <w:szCs w:val="24"/>
        </w:rPr>
        <w:t>’ampleur des réformes utiles exige une refonte en profondeur des structures, des mentalités et des pratiques, dans un contexte de ressources limitées (</w:t>
      </w:r>
      <w:proofErr w:type="spellStart"/>
      <w:r w:rsidRPr="00256EED">
        <w:rPr>
          <w:rFonts w:eastAsia="Calibri"/>
          <w:sz w:val="24"/>
          <w:szCs w:val="24"/>
        </w:rPr>
        <w:t>Mveme</w:t>
      </w:r>
      <w:proofErr w:type="spellEnd"/>
      <w:r w:rsidRPr="00256EED">
        <w:rPr>
          <w:rFonts w:eastAsia="Calibri"/>
          <w:sz w:val="24"/>
          <w:szCs w:val="24"/>
        </w:rPr>
        <w:t xml:space="preserve"> </w:t>
      </w:r>
      <w:proofErr w:type="spellStart"/>
      <w:r w:rsidRPr="00256EED">
        <w:rPr>
          <w:rFonts w:eastAsia="Calibri"/>
          <w:sz w:val="24"/>
          <w:szCs w:val="24"/>
        </w:rPr>
        <w:t>Olougou</w:t>
      </w:r>
      <w:proofErr w:type="spellEnd"/>
      <w:r w:rsidRPr="00256EED">
        <w:rPr>
          <w:rFonts w:eastAsia="Calibri"/>
          <w:sz w:val="24"/>
          <w:szCs w:val="24"/>
        </w:rPr>
        <w:t>, 2025a)</w:t>
      </w:r>
      <w:r w:rsidRPr="0036681C">
        <w:rPr>
          <w:rFonts w:eastAsia="Calibri"/>
          <w:sz w:val="24"/>
          <w:szCs w:val="24"/>
        </w:rPr>
        <w:t>.</w:t>
      </w:r>
    </w:p>
    <w:p w14:paraId="614592AD" w14:textId="77777777" w:rsidR="00D80693" w:rsidRPr="00CB39C6"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Ces résultats confirment que la déviance constructive ne peut émerger que dans un environnement garantissant la justice procédurale et un leadership éthique et ambidextre. À défaut, elle se transforme en opposition stérile, révélant un système incapable </w:t>
      </w:r>
      <w:r>
        <w:rPr>
          <w:rFonts w:eastAsia="Calibri"/>
          <w:sz w:val="24"/>
          <w:szCs w:val="24"/>
        </w:rPr>
        <w:t>d’intégrer ses tensions dans un processus d’apprentissage collectif.</w:t>
      </w:r>
    </w:p>
    <w:p w14:paraId="4518EF68" w14:textId="77777777" w:rsidR="00D80693" w:rsidRPr="000C792D" w:rsidRDefault="00D80693" w:rsidP="002410D0">
      <w:pPr>
        <w:pStyle w:val="Paragraphedeliste"/>
        <w:widowControl/>
        <w:numPr>
          <w:ilvl w:val="0"/>
          <w:numId w:val="191"/>
        </w:numPr>
        <w:suppressAutoHyphens/>
        <w:autoSpaceDE/>
        <w:spacing w:after="200"/>
        <w:contextualSpacing/>
        <w:textAlignment w:val="baseline"/>
        <w:rPr>
          <w:rFonts w:eastAsia="Calibri"/>
          <w:b/>
          <w:sz w:val="28"/>
          <w:szCs w:val="28"/>
        </w:rPr>
      </w:pPr>
      <w:r w:rsidRPr="000C792D">
        <w:rPr>
          <w:rFonts w:eastAsia="Calibri"/>
          <w:b/>
          <w:sz w:val="28"/>
          <w:szCs w:val="28"/>
        </w:rPr>
        <w:t>Discussion</w:t>
      </w:r>
    </w:p>
    <w:p w14:paraId="68A54C95"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L’analyse des résultats révèle que les mouvements revendicatifs ne sont pas que des actes de transgression ; ils peuvent aussi être des formes de déviance constructive susceptibles de catalyser le changement. Loin de se réduire à un désordre à sanctionner, ils peuvent aussi être un révélateur organisationnel, un indicateur des dysfonctionnements internes ou des aspirations des agents. À condition de les reconnaître comme tels, les décideurs peuvent s’en saisir comme des leviers d’innovation, en intégrant leur portée symbolique et sociale dans une stratégie de gouvernance plus inclusive. La gestion managériale ne saurait donc se limiter à la discipline stricte</w:t>
      </w:r>
      <w:r>
        <w:rPr>
          <w:rFonts w:eastAsia="Calibri"/>
          <w:sz w:val="24"/>
          <w:szCs w:val="24"/>
        </w:rPr>
        <w:t> ;</w:t>
      </w:r>
      <w:r w:rsidRPr="00256EED">
        <w:rPr>
          <w:rFonts w:eastAsia="Calibri"/>
          <w:sz w:val="24"/>
          <w:szCs w:val="24"/>
        </w:rPr>
        <w:t xml:space="preserve"> elle doit composer avec les signaux d’alerte, les transformer en opportunités d’apprentissage et promouvoir un leadership transformationnel</w:t>
      </w:r>
      <w:r>
        <w:rPr>
          <w:rFonts w:eastAsia="Calibri"/>
          <w:sz w:val="24"/>
          <w:szCs w:val="24"/>
        </w:rPr>
        <w:t>.</w:t>
      </w:r>
    </w:p>
    <w:p w14:paraId="2877EE3C" w14:textId="77777777" w:rsidR="00D80693"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631304">
        <w:rPr>
          <w:rFonts w:eastAsia="Calibri"/>
          <w:b/>
          <w:sz w:val="24"/>
          <w:szCs w:val="24"/>
        </w:rPr>
        <w:t xml:space="preserve">La déviance revendicative comme </w:t>
      </w:r>
      <w:r>
        <w:rPr>
          <w:rFonts w:eastAsia="Calibri"/>
          <w:b/>
          <w:sz w:val="24"/>
          <w:szCs w:val="24"/>
        </w:rPr>
        <w:t xml:space="preserve">langage de la </w:t>
      </w:r>
      <w:r w:rsidRPr="00631304">
        <w:rPr>
          <w:rFonts w:eastAsia="Calibri"/>
          <w:b/>
          <w:sz w:val="24"/>
          <w:szCs w:val="24"/>
        </w:rPr>
        <w:t>souffrance institutionnelle</w:t>
      </w:r>
    </w:p>
    <w:p w14:paraId="1BFB422D"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Au Cameroun, du fait que les enseignants perçoivent les décisions administratives comme opaques et inéquitables, la légitimité institutionnelle demeure fragile (Popescu et al., 2024). La déviance (sous forme de grève, de désengagement silencieux ou de protestation symbolique) y constitue une réponse à une souffrance institutionnelle. Elle révèle la rupture du contrat psychologique entre l’État-employeur et les enseignants. Dans ce cas, selon Hirschman (1970), ces derniers disposent de trois </w:t>
      </w:r>
      <w:r>
        <w:rPr>
          <w:rFonts w:eastAsia="Calibri"/>
          <w:sz w:val="24"/>
          <w:szCs w:val="24"/>
        </w:rPr>
        <w:t>options : exit ;</w:t>
      </w:r>
      <w:r w:rsidRPr="00256EED">
        <w:rPr>
          <w:rFonts w:eastAsia="Calibri"/>
          <w:sz w:val="24"/>
          <w:szCs w:val="24"/>
        </w:rPr>
        <w:t xml:space="preserve"> </w:t>
      </w:r>
      <w:proofErr w:type="spellStart"/>
      <w:r w:rsidRPr="00256EED">
        <w:rPr>
          <w:rFonts w:eastAsia="Calibri"/>
          <w:sz w:val="24"/>
          <w:szCs w:val="24"/>
        </w:rPr>
        <w:t>voice</w:t>
      </w:r>
      <w:proofErr w:type="spellEnd"/>
      <w:r>
        <w:rPr>
          <w:rFonts w:eastAsia="Calibri"/>
          <w:sz w:val="24"/>
          <w:szCs w:val="24"/>
        </w:rPr>
        <w:t> ;</w:t>
      </w:r>
      <w:r w:rsidRPr="00256EED">
        <w:rPr>
          <w:rFonts w:eastAsia="Calibri"/>
          <w:sz w:val="24"/>
          <w:szCs w:val="24"/>
        </w:rPr>
        <w:t xml:space="preserve"> ou </w:t>
      </w:r>
      <w:proofErr w:type="spellStart"/>
      <w:r w:rsidRPr="00256EED">
        <w:rPr>
          <w:rFonts w:eastAsia="Calibri"/>
          <w:sz w:val="24"/>
          <w:szCs w:val="24"/>
        </w:rPr>
        <w:t>loyalty</w:t>
      </w:r>
      <w:proofErr w:type="spellEnd"/>
      <w:r w:rsidRPr="00256EED">
        <w:rPr>
          <w:rFonts w:eastAsia="Calibri"/>
          <w:sz w:val="24"/>
          <w:szCs w:val="24"/>
        </w:rPr>
        <w:t>. Quand la « sortie » n’est pas possible, la « voix » devient une forme d’expression politique et professionnelle. Ne pouvant « quitter » leur emploi, les enseignants optent donc pour la « </w:t>
      </w:r>
      <w:proofErr w:type="spellStart"/>
      <w:r w:rsidRPr="00256EED">
        <w:rPr>
          <w:rFonts w:eastAsia="Calibri"/>
          <w:sz w:val="24"/>
          <w:szCs w:val="24"/>
        </w:rPr>
        <w:t>voice</w:t>
      </w:r>
      <w:proofErr w:type="spellEnd"/>
      <w:r w:rsidRPr="00256EED">
        <w:rPr>
          <w:rFonts w:eastAsia="Calibri"/>
          <w:sz w:val="24"/>
          <w:szCs w:val="24"/>
        </w:rPr>
        <w:t> » (expression collective du mécontentement). Ce recours, symptomatique d’un besoin de reconnaissance identitaire et statutaire, dans un environnement perçu comme arbitraire</w:t>
      </w:r>
      <w:r>
        <w:rPr>
          <w:rFonts w:eastAsia="Calibri"/>
          <w:sz w:val="24"/>
          <w:szCs w:val="24"/>
        </w:rPr>
        <w:t xml:space="preserve"> (Sainsaulieu, 1977),</w:t>
      </w:r>
      <w:r w:rsidRPr="00256EED">
        <w:rPr>
          <w:rFonts w:eastAsia="Calibri"/>
          <w:sz w:val="24"/>
          <w:szCs w:val="24"/>
        </w:rPr>
        <w:t xml:space="preserve"> constitue pour </w:t>
      </w:r>
      <w:r>
        <w:rPr>
          <w:rFonts w:eastAsia="Calibri"/>
          <w:sz w:val="24"/>
          <w:szCs w:val="24"/>
        </w:rPr>
        <w:t>ces derniers</w:t>
      </w:r>
      <w:r w:rsidRPr="00256EED">
        <w:rPr>
          <w:rFonts w:eastAsia="Calibri"/>
          <w:sz w:val="24"/>
          <w:szCs w:val="24"/>
        </w:rPr>
        <w:t xml:space="preserve"> une tentative de rééquilibrage au sein d’un contrat implicite rompu. Autrement, ces </w:t>
      </w:r>
      <w:r>
        <w:rPr>
          <w:rFonts w:eastAsia="Calibri"/>
          <w:sz w:val="24"/>
          <w:szCs w:val="24"/>
        </w:rPr>
        <w:t>« </w:t>
      </w:r>
      <w:r w:rsidRPr="00256EED">
        <w:rPr>
          <w:rFonts w:eastAsia="Calibri"/>
          <w:sz w:val="24"/>
          <w:szCs w:val="24"/>
        </w:rPr>
        <w:t>voix</w:t>
      </w:r>
      <w:r>
        <w:rPr>
          <w:rFonts w:eastAsia="Calibri"/>
          <w:sz w:val="24"/>
          <w:szCs w:val="24"/>
        </w:rPr>
        <w:t> »</w:t>
      </w:r>
      <w:r w:rsidRPr="00256EED">
        <w:rPr>
          <w:rFonts w:eastAsia="Calibri"/>
          <w:sz w:val="24"/>
          <w:szCs w:val="24"/>
        </w:rPr>
        <w:t>, parfois discordantes, traduisent une volonté de participer à la refonte du système éducatif. Elles fonctionnent comme des signaux d’alerte, révélateurs d’un mal</w:t>
      </w:r>
      <w:r w:rsidRPr="00256EED">
        <w:rPr>
          <w:rFonts w:eastAsia="Calibri" w:cs="Cambria Math"/>
          <w:sz w:val="24"/>
          <w:szCs w:val="24"/>
        </w:rPr>
        <w:t>‑</w:t>
      </w:r>
      <w:r w:rsidRPr="00256EED">
        <w:rPr>
          <w:rFonts w:eastAsia="Calibri" w:cs="Calibri"/>
          <w:sz w:val="24"/>
          <w:szCs w:val="24"/>
        </w:rPr>
        <w:t>ê</w:t>
      </w:r>
      <w:r w:rsidRPr="00256EED">
        <w:rPr>
          <w:rFonts w:eastAsia="Calibri"/>
          <w:sz w:val="24"/>
          <w:szCs w:val="24"/>
        </w:rPr>
        <w:t>tre professionnel non exprim</w:t>
      </w:r>
      <w:r w:rsidRPr="00256EED">
        <w:rPr>
          <w:rFonts w:eastAsia="Calibri" w:cs="Calibri"/>
          <w:sz w:val="24"/>
          <w:szCs w:val="24"/>
        </w:rPr>
        <w:t>é</w:t>
      </w:r>
      <w:r w:rsidRPr="00256EED">
        <w:rPr>
          <w:rFonts w:eastAsia="Calibri"/>
          <w:sz w:val="24"/>
          <w:szCs w:val="24"/>
        </w:rPr>
        <w:t>. Ce sont donc des symptômes d’une souffrance institutionnelle silencieuse, qui peine à se dire autrement. Ainsi, la déviance revendicative devient un langage politique de la reconnaissance, un appel à la justice procédurale</w:t>
      </w:r>
      <w:r w:rsidRPr="00631304">
        <w:rPr>
          <w:rFonts w:eastAsia="Calibri"/>
          <w:sz w:val="24"/>
          <w:szCs w:val="24"/>
        </w:rPr>
        <w:t>.</w:t>
      </w:r>
    </w:p>
    <w:p w14:paraId="11266BAD" w14:textId="77777777" w:rsidR="00D80693"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670E2D">
        <w:rPr>
          <w:rFonts w:eastAsia="Calibri"/>
          <w:b/>
          <w:sz w:val="24"/>
          <w:szCs w:val="24"/>
        </w:rPr>
        <w:t>Le dilemme managérial : ordre reconnaissance et équité</w:t>
      </w:r>
      <w:r>
        <w:rPr>
          <w:rFonts w:eastAsia="Calibri"/>
          <w:sz w:val="24"/>
          <w:szCs w:val="24"/>
        </w:rPr>
        <w:t xml:space="preserve"> </w:t>
      </w:r>
    </w:p>
    <w:p w14:paraId="09FD8F96"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Au Cameroun, les réponses structurelles aux revendications des enseignants restent fragmentaires. Certaines aboutissent </w:t>
      </w:r>
      <w:r>
        <w:rPr>
          <w:rFonts w:eastAsia="Calibri"/>
          <w:sz w:val="24"/>
          <w:szCs w:val="24"/>
        </w:rPr>
        <w:t xml:space="preserve">à des </w:t>
      </w:r>
      <w:r w:rsidRPr="00256EED">
        <w:rPr>
          <w:rFonts w:eastAsia="Calibri"/>
          <w:sz w:val="24"/>
          <w:szCs w:val="24"/>
        </w:rPr>
        <w:t xml:space="preserve">promesses ou </w:t>
      </w:r>
      <w:r>
        <w:rPr>
          <w:rFonts w:eastAsia="Calibri"/>
          <w:sz w:val="24"/>
          <w:szCs w:val="24"/>
        </w:rPr>
        <w:t>à des</w:t>
      </w:r>
      <w:r w:rsidRPr="00256EED">
        <w:rPr>
          <w:rFonts w:eastAsia="Calibri"/>
          <w:sz w:val="24"/>
          <w:szCs w:val="24"/>
        </w:rPr>
        <w:t xml:space="preserve"> mesures partielles. D’autres rencontrent le silence, voire la répression. L’État oscille ainsi entre défense de la discipline et recherche d’apaisement social, sans inscrire ses réponses dans une vision de transformation durable. Ce dilemme, que Follett (1926) qualifie de « conflit non géré » (tension latente non résolue, qui se répète de manière cyclique), traduit l’incapacité de l’Etat à intégrer le désaccord comme moteur d’apprentissage organisationnel (Argyris &amp; Schön, 1978). Autrement, l’absence de mécanismes stables de médiation et de dialogue organisationnel empêche la conversion du conflit en opportunité d’apprentissage. Ceci tient en partie à la nature bureaucratique de l’État camerounais. Or, en l’absence de canaux formels de dialogue, les frustrations s’accumulent et se transforment en cycles récurrents de crise. </w:t>
      </w:r>
      <w:r>
        <w:rPr>
          <w:rFonts w:eastAsia="Calibri"/>
          <w:sz w:val="24"/>
          <w:szCs w:val="24"/>
        </w:rPr>
        <w:t>S</w:t>
      </w:r>
      <w:r w:rsidRPr="00256EED">
        <w:rPr>
          <w:rFonts w:eastAsia="Calibri"/>
          <w:sz w:val="24"/>
          <w:szCs w:val="24"/>
        </w:rPr>
        <w:t xml:space="preserve">elon Crozier (1979), les acteurs utilisent leurs marges d’incertitude pour influencer les règles ; reconnaître ces marges permettrait d’en faire des espaces d’innovation. Dans le cas camerounais, ces marges se traduisent par des arrangements locaux, des interventions politiques ponctuelles ou des circulaires temporisatrices, sans réforme structurelle </w:t>
      </w:r>
      <w:r>
        <w:rPr>
          <w:rFonts w:eastAsia="Calibri"/>
          <w:sz w:val="24"/>
          <w:szCs w:val="24"/>
        </w:rPr>
        <w:t>adaptée</w:t>
      </w:r>
      <w:r w:rsidRPr="00256EED">
        <w:rPr>
          <w:rFonts w:eastAsia="Calibri"/>
          <w:sz w:val="24"/>
          <w:szCs w:val="24"/>
        </w:rPr>
        <w:t>. Par conséquent, les ajustements sont réactifs plutôt que stratégiques</w:t>
      </w:r>
      <w:r w:rsidRPr="00670E2D">
        <w:rPr>
          <w:rFonts w:eastAsia="Calibri"/>
          <w:sz w:val="24"/>
          <w:szCs w:val="24"/>
        </w:rPr>
        <w:t>.</w:t>
      </w:r>
    </w:p>
    <w:p w14:paraId="5F7A28C2" w14:textId="77777777" w:rsidR="00D80693" w:rsidRPr="00AF5D66"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CC0B74">
        <w:rPr>
          <w:rFonts w:eastAsia="Calibri"/>
          <w:b/>
          <w:sz w:val="24"/>
          <w:szCs w:val="24"/>
        </w:rPr>
        <w:t>Déviance constructive</w:t>
      </w:r>
      <w:r>
        <w:rPr>
          <w:rFonts w:eastAsia="Calibri"/>
          <w:b/>
          <w:sz w:val="24"/>
          <w:szCs w:val="24"/>
        </w:rPr>
        <w:t xml:space="preserve"> et </w:t>
      </w:r>
      <w:r w:rsidRPr="00CC0B74">
        <w:rPr>
          <w:rFonts w:eastAsia="Calibri"/>
          <w:b/>
          <w:sz w:val="24"/>
          <w:szCs w:val="24"/>
        </w:rPr>
        <w:t>innovation sociale</w:t>
      </w:r>
      <w:r w:rsidRPr="00CC0B74">
        <w:rPr>
          <w:rFonts w:eastAsia="Calibri"/>
          <w:sz w:val="24"/>
          <w:szCs w:val="24"/>
        </w:rPr>
        <w:t> </w:t>
      </w:r>
    </w:p>
    <w:p w14:paraId="6C7A8E50"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 xml:space="preserve">Selon Spreitzer et </w:t>
      </w:r>
      <w:proofErr w:type="spellStart"/>
      <w:r w:rsidRPr="00256EED">
        <w:rPr>
          <w:rFonts w:eastAsia="Calibri"/>
          <w:sz w:val="24"/>
          <w:szCs w:val="24"/>
        </w:rPr>
        <w:t>Sonenshein</w:t>
      </w:r>
      <w:proofErr w:type="spellEnd"/>
      <w:r w:rsidRPr="00256EED">
        <w:rPr>
          <w:rFonts w:eastAsia="Calibri"/>
          <w:sz w:val="24"/>
          <w:szCs w:val="24"/>
        </w:rPr>
        <w:t xml:space="preserve"> (2004), la “constructive </w:t>
      </w:r>
      <w:proofErr w:type="spellStart"/>
      <w:r w:rsidRPr="00256EED">
        <w:rPr>
          <w:rFonts w:eastAsia="Calibri"/>
          <w:sz w:val="24"/>
          <w:szCs w:val="24"/>
        </w:rPr>
        <w:t>deviance</w:t>
      </w:r>
      <w:proofErr w:type="spellEnd"/>
      <w:r w:rsidRPr="00256EED">
        <w:rPr>
          <w:rFonts w:eastAsia="Calibri"/>
          <w:sz w:val="24"/>
          <w:szCs w:val="24"/>
        </w:rPr>
        <w:t>” renvoie à la transgression positive des normes pour améliorer l’organisation, lorsque celle-ci n’écoute plus. Elle stimule l’innovation et la performance (Jordan et al., 2023). En formulant des revendications structur</w:t>
      </w:r>
      <w:r>
        <w:rPr>
          <w:rFonts w:eastAsia="Calibri"/>
          <w:sz w:val="24"/>
          <w:szCs w:val="24"/>
        </w:rPr>
        <w:t xml:space="preserve">ées et fondées, les enseignants </w:t>
      </w:r>
      <w:r w:rsidRPr="00256EED">
        <w:rPr>
          <w:rFonts w:eastAsia="Calibri"/>
          <w:sz w:val="24"/>
          <w:szCs w:val="24"/>
        </w:rPr>
        <w:t>grévistes camerounais, en dépit des étiquettes de perturbateurs ou d’agitateurs, incarnent cette posture. Contrairement à une lecture strictement disciplinaire, ils apparaissent comme des entrepreneurs moraux (Becker, 1963)</w:t>
      </w:r>
      <w:r>
        <w:rPr>
          <w:rFonts w:eastAsia="Calibri"/>
          <w:sz w:val="24"/>
          <w:szCs w:val="24"/>
        </w:rPr>
        <w:t xml:space="preserve">, en ce sens qu’ils </w:t>
      </w:r>
      <w:r w:rsidRPr="00256EED">
        <w:rPr>
          <w:rFonts w:eastAsia="Calibri"/>
          <w:sz w:val="24"/>
          <w:szCs w:val="24"/>
        </w:rPr>
        <w:t xml:space="preserve">remettent en question les normes existantes (au nom d’une éthique professionnelle), posent des diagnostics précis sur les défaillances du système et formulent des propositions concrètes de réforme (réformes de carrière, meilleures affectations, transparence dans les concours…). La déviance constructive rejoint ainsi les comportements proactifs identifiés par </w:t>
      </w:r>
      <w:proofErr w:type="spellStart"/>
      <w:r w:rsidRPr="00256EED">
        <w:rPr>
          <w:rFonts w:eastAsia="Calibri"/>
          <w:sz w:val="24"/>
          <w:szCs w:val="24"/>
        </w:rPr>
        <w:t>Déprez</w:t>
      </w:r>
      <w:proofErr w:type="spellEnd"/>
      <w:r w:rsidRPr="00256EED">
        <w:rPr>
          <w:rFonts w:eastAsia="Calibri"/>
          <w:sz w:val="24"/>
          <w:szCs w:val="24"/>
        </w:rPr>
        <w:t xml:space="preserve"> et ses collaborateurs (2020) : les deux favorisent le changement, mais la première s’appuie sur la transgression raisonnée des normes injustes.  Ces actions traduisent un potentiel d’innovation institutionnelle (Galperin, 2003), transformant les protestations en réservoirs d’apprentissage collectif</w:t>
      </w:r>
      <w:r w:rsidRPr="00AF5D66">
        <w:rPr>
          <w:rFonts w:eastAsia="Calibri"/>
          <w:sz w:val="24"/>
          <w:szCs w:val="24"/>
        </w:rPr>
        <w:t>.</w:t>
      </w:r>
    </w:p>
    <w:p w14:paraId="34B28C39" w14:textId="77777777" w:rsidR="00D80693" w:rsidRDefault="00D80693" w:rsidP="002410D0">
      <w:pPr>
        <w:pStyle w:val="Paragraphedeliste"/>
        <w:widowControl/>
        <w:numPr>
          <w:ilvl w:val="1"/>
          <w:numId w:val="191"/>
        </w:numPr>
        <w:suppressAutoHyphens/>
        <w:autoSpaceDE/>
        <w:spacing w:after="200"/>
        <w:contextualSpacing/>
        <w:textAlignment w:val="baseline"/>
        <w:rPr>
          <w:rFonts w:eastAsia="Calibri"/>
          <w:sz w:val="24"/>
          <w:szCs w:val="24"/>
        </w:rPr>
      </w:pPr>
      <w:r>
        <w:rPr>
          <w:rFonts w:eastAsia="Calibri"/>
          <w:b/>
          <w:sz w:val="24"/>
          <w:szCs w:val="24"/>
        </w:rPr>
        <w:t xml:space="preserve"> </w:t>
      </w:r>
      <w:r w:rsidRPr="00C44322">
        <w:rPr>
          <w:rFonts w:eastAsia="Calibri"/>
          <w:b/>
          <w:sz w:val="24"/>
          <w:szCs w:val="24"/>
        </w:rPr>
        <w:t>Vers une gouvernance participative et ambidextre</w:t>
      </w:r>
    </w:p>
    <w:p w14:paraId="40BA359B" w14:textId="77777777" w:rsidR="00D80693" w:rsidRDefault="00D80693" w:rsidP="002410D0">
      <w:pPr>
        <w:suppressAutoHyphens/>
        <w:spacing w:before="120" w:after="200"/>
        <w:ind w:firstLine="567"/>
        <w:jc w:val="both"/>
        <w:textAlignment w:val="baseline"/>
        <w:rPr>
          <w:rFonts w:eastAsia="Calibri"/>
          <w:sz w:val="24"/>
          <w:szCs w:val="24"/>
        </w:rPr>
      </w:pPr>
      <w:r w:rsidRPr="00256EED">
        <w:rPr>
          <w:rFonts w:eastAsia="Calibri"/>
          <w:sz w:val="24"/>
          <w:szCs w:val="24"/>
        </w:rPr>
        <w:t>La gouvernance ambidextre renvoie à la capacité d’une organisation à combiner deux logiques : la discipline exploratoire (maintien de la cohérence, respect des règles) et la flexibilité adaptative (capacité d’innovation et d’apprentissage) (Rosing et al., 2011</w:t>
      </w:r>
      <w:r>
        <w:rPr>
          <w:rFonts w:eastAsia="Calibri"/>
          <w:sz w:val="24"/>
          <w:szCs w:val="24"/>
        </w:rPr>
        <w:t xml:space="preserve"> </w:t>
      </w:r>
      <w:r w:rsidRPr="00256EED">
        <w:rPr>
          <w:rFonts w:eastAsia="Calibri"/>
          <w:sz w:val="24"/>
          <w:szCs w:val="24"/>
        </w:rPr>
        <w:t xml:space="preserve">; Raisch &amp; Birkinshaw, 2008). Elle s’oriente vers des modèles plus participatifs (Mintzberg, 2009), où les acteurs de terrain sont des </w:t>
      </w:r>
      <w:proofErr w:type="spellStart"/>
      <w:r w:rsidRPr="00256EED">
        <w:rPr>
          <w:rFonts w:eastAsia="Calibri"/>
          <w:sz w:val="24"/>
          <w:szCs w:val="24"/>
        </w:rPr>
        <w:t>co-producteurs</w:t>
      </w:r>
      <w:proofErr w:type="spellEnd"/>
      <w:r w:rsidRPr="00256EED">
        <w:rPr>
          <w:rFonts w:eastAsia="Calibri"/>
          <w:sz w:val="24"/>
          <w:szCs w:val="24"/>
        </w:rPr>
        <w:t xml:space="preserve"> des politiques publiques. Transposée au système éducatif camerounais, cela supposerait d’institutionnaliser la participation des enseignants aux processus de décision et de réforme. Il s’agit de sortir d’une logique strictement verticale et autoritaire pour les intégrer dans la co-construction des réformes éducatives (Freire, 1974). Cette gestion durable des revendications requiert une approche participative qui valorise l’expression collective et s’appuie sur des mécanismes de médiation légitimes et d’écoute active. Elle renforcerait la légitimité des décisions, ainsi que leur acceptabilité et efficacité. Ceci concourrait à restaurer la confiance et canaliser la créativité professionnelle, vers l’amélioration du service public. La théorie de l’ambidextrie suggère que la performance durable résulte de l’équilibre entre discipline et exploration (Raisch &amp; Birkinshaw, 2008). Freire (1974) ajoute que l’éducation est un acte de libération</w:t>
      </w:r>
      <w:r>
        <w:rPr>
          <w:rFonts w:eastAsia="Calibri"/>
          <w:sz w:val="24"/>
          <w:szCs w:val="24"/>
        </w:rPr>
        <w:t> ;</w:t>
      </w:r>
      <w:r w:rsidRPr="00256EED">
        <w:rPr>
          <w:rFonts w:eastAsia="Calibri"/>
          <w:sz w:val="24"/>
          <w:szCs w:val="24"/>
        </w:rPr>
        <w:t xml:space="preserve"> permettre aux enseignants de </w:t>
      </w:r>
      <w:proofErr w:type="spellStart"/>
      <w:r w:rsidRPr="00256EED">
        <w:rPr>
          <w:rFonts w:eastAsia="Calibri"/>
          <w:sz w:val="24"/>
          <w:szCs w:val="24"/>
        </w:rPr>
        <w:t>co-construire</w:t>
      </w:r>
      <w:proofErr w:type="spellEnd"/>
      <w:r w:rsidRPr="00256EED">
        <w:rPr>
          <w:rFonts w:eastAsia="Calibri"/>
          <w:sz w:val="24"/>
          <w:szCs w:val="24"/>
        </w:rPr>
        <w:t xml:space="preserve"> les politiques, c’est donc reconnaître leur capacité d’innovation. À l’inverse, l’exclusion ou la répression reproduisent le cercle vicieux du ressentiment et de la démotivation</w:t>
      </w:r>
      <w:r w:rsidRPr="00C44322">
        <w:rPr>
          <w:rFonts w:eastAsia="Calibri"/>
          <w:sz w:val="24"/>
          <w:szCs w:val="24"/>
        </w:rPr>
        <w:t>.</w:t>
      </w:r>
    </w:p>
    <w:p w14:paraId="42A75F6A" w14:textId="77777777" w:rsidR="00D80693" w:rsidRPr="006A6A73" w:rsidRDefault="00D80693" w:rsidP="002410D0">
      <w:pPr>
        <w:pStyle w:val="Paragraphedeliste"/>
        <w:widowControl/>
        <w:numPr>
          <w:ilvl w:val="1"/>
          <w:numId w:val="191"/>
        </w:numPr>
        <w:suppressAutoHyphens/>
        <w:autoSpaceDE/>
        <w:spacing w:after="200"/>
        <w:contextualSpacing/>
        <w:textAlignment w:val="baseline"/>
        <w:rPr>
          <w:rFonts w:eastAsia="Calibri"/>
          <w:b/>
          <w:sz w:val="24"/>
          <w:szCs w:val="24"/>
        </w:rPr>
      </w:pPr>
      <w:r>
        <w:rPr>
          <w:rFonts w:eastAsia="Calibri"/>
          <w:sz w:val="24"/>
          <w:szCs w:val="24"/>
        </w:rPr>
        <w:t xml:space="preserve"> </w:t>
      </w:r>
      <w:r w:rsidRPr="006A6A73">
        <w:rPr>
          <w:rFonts w:eastAsia="Calibri"/>
          <w:b/>
          <w:sz w:val="24"/>
          <w:szCs w:val="24"/>
        </w:rPr>
        <w:t>Un modèle intégratif de transformation</w:t>
      </w:r>
    </w:p>
    <w:p w14:paraId="2A0432C3" w14:textId="77777777" w:rsidR="00D80693" w:rsidRDefault="00D80693" w:rsidP="002410D0">
      <w:pPr>
        <w:suppressAutoHyphens/>
        <w:spacing w:before="120" w:after="200"/>
        <w:ind w:firstLine="567"/>
        <w:jc w:val="both"/>
        <w:textAlignment w:val="baseline"/>
        <w:rPr>
          <w:rFonts w:eastAsia="Calibri"/>
          <w:iCs/>
          <w:sz w:val="24"/>
          <w:szCs w:val="24"/>
        </w:rPr>
      </w:pPr>
      <w:r>
        <w:rPr>
          <w:rFonts w:eastAsia="Calibri"/>
          <w:iCs/>
          <w:sz w:val="24"/>
          <w:szCs w:val="24"/>
        </w:rPr>
        <w:t xml:space="preserve"> L'</w:t>
      </w:r>
      <w:r w:rsidRPr="007F4CA4">
        <w:rPr>
          <w:rFonts w:eastAsia="Calibri"/>
          <w:iCs/>
          <w:sz w:val="24"/>
          <w:szCs w:val="24"/>
        </w:rPr>
        <w:t>étude propose un modèle triangulaire articul</w:t>
      </w:r>
      <w:r>
        <w:rPr>
          <w:rFonts w:eastAsia="Calibri"/>
          <w:iCs/>
          <w:sz w:val="24"/>
          <w:szCs w:val="24"/>
        </w:rPr>
        <w:t>ant justice procédurale</w:t>
      </w:r>
      <w:r w:rsidRPr="007F4CA4">
        <w:rPr>
          <w:rFonts w:eastAsia="Calibri"/>
          <w:iCs/>
          <w:sz w:val="24"/>
          <w:szCs w:val="24"/>
        </w:rPr>
        <w:t xml:space="preserve"> (qui fonde la légitimité et la confiance), déviance constructive (qui catalyse l’innovation) et leadership éthique et ambidextre (qui stabilise la transformation). </w:t>
      </w:r>
      <w:r>
        <w:rPr>
          <w:rFonts w:eastAsia="Calibri"/>
          <w:iCs/>
          <w:sz w:val="24"/>
          <w:szCs w:val="24"/>
        </w:rPr>
        <w:t>Selon c</w:t>
      </w:r>
      <w:r w:rsidRPr="007F4CA4">
        <w:rPr>
          <w:rFonts w:eastAsia="Calibri"/>
          <w:iCs/>
          <w:sz w:val="24"/>
          <w:szCs w:val="24"/>
        </w:rPr>
        <w:t>e modèle</w:t>
      </w:r>
      <w:r>
        <w:rPr>
          <w:rFonts w:eastAsia="Calibri"/>
          <w:iCs/>
          <w:sz w:val="24"/>
          <w:szCs w:val="24"/>
        </w:rPr>
        <w:t xml:space="preserve">, </w:t>
      </w:r>
      <w:r w:rsidRPr="007F4CA4">
        <w:rPr>
          <w:rFonts w:eastAsia="Calibri"/>
          <w:iCs/>
          <w:sz w:val="24"/>
          <w:szCs w:val="24"/>
        </w:rPr>
        <w:t xml:space="preserve">justice, éthique et créativité organisationnelle interagissent pour produire un apprentissage durable. </w:t>
      </w:r>
      <w:r>
        <w:rPr>
          <w:rFonts w:eastAsia="Calibri"/>
          <w:iCs/>
          <w:sz w:val="24"/>
          <w:szCs w:val="24"/>
        </w:rPr>
        <w:t xml:space="preserve">Pratiquement, </w:t>
      </w:r>
      <w:r w:rsidRPr="007F4CA4">
        <w:rPr>
          <w:rFonts w:eastAsia="Calibri"/>
          <w:iCs/>
          <w:sz w:val="24"/>
          <w:szCs w:val="24"/>
        </w:rPr>
        <w:t xml:space="preserve">la réparation des relations entre l’État et les enseignants exige un changement de paradigme managérial. Le leadership éthique et transformationnel y fournit un cadre d’action. Il s’agit de promouvoir une autorité inspirante, ancrée dans la justice et la transparence, capable d’articuler rigueur disciplinaire et reconnaissance humaine. Cette posture, en intégrant la déviance constructive comme ressource plutôt que menace, </w:t>
      </w:r>
      <w:r>
        <w:rPr>
          <w:rFonts w:eastAsia="Calibri"/>
          <w:iCs/>
          <w:sz w:val="24"/>
          <w:szCs w:val="24"/>
        </w:rPr>
        <w:t xml:space="preserve">devient </w:t>
      </w:r>
      <w:r w:rsidRPr="007F4CA4">
        <w:rPr>
          <w:rFonts w:eastAsia="Calibri"/>
          <w:iCs/>
          <w:sz w:val="24"/>
          <w:szCs w:val="24"/>
        </w:rPr>
        <w:t>un catalyseur de cohésion et d’innovation. Les ajustements structurels requis doivent donc s’appuyer sur une gouvernance éducative participative et ambidextre, une éthique de la reconnaissance et une vision stratégique du changement (axée sur la justice organisationnelle, la motivation et la transparence). Ceci renforcerait la légitimité et la cohésion.</w:t>
      </w:r>
      <w:r>
        <w:rPr>
          <w:rFonts w:eastAsia="Calibri"/>
          <w:iCs/>
          <w:sz w:val="24"/>
          <w:szCs w:val="24"/>
        </w:rPr>
        <w:t xml:space="preserve"> Afin de présenter de manière concise la logique du modèle intégratif proposé, la Figure 1 et le Tableau 1 ci-après en offrent une synthèse structurée et explicite. </w:t>
      </w:r>
    </w:p>
    <w:p w14:paraId="7E1C20BA" w14:textId="77777777" w:rsidR="00D80693" w:rsidRPr="00370540" w:rsidRDefault="00D80693" w:rsidP="002410D0">
      <w:pPr>
        <w:suppressAutoHyphens/>
        <w:spacing w:before="120" w:after="200"/>
        <w:jc w:val="center"/>
        <w:textAlignment w:val="baseline"/>
        <w:rPr>
          <w:rFonts w:eastAsia="Calibri"/>
          <w:iCs/>
          <w:sz w:val="24"/>
          <w:szCs w:val="24"/>
        </w:rPr>
      </w:pPr>
      <w:r w:rsidRPr="00370540">
        <w:rPr>
          <w:rFonts w:eastAsia="Calibri"/>
          <w:b/>
          <w:iCs/>
          <w:sz w:val="24"/>
          <w:szCs w:val="24"/>
        </w:rPr>
        <w:t xml:space="preserve">Figure </w:t>
      </w:r>
      <w:r w:rsidRPr="00370540">
        <w:rPr>
          <w:rFonts w:eastAsia="Calibri"/>
          <w:b/>
          <w:iCs/>
          <w:sz w:val="24"/>
          <w:szCs w:val="24"/>
        </w:rPr>
        <w:fldChar w:fldCharType="begin"/>
      </w:r>
      <w:r w:rsidRPr="00370540">
        <w:rPr>
          <w:rFonts w:eastAsia="Calibri"/>
          <w:b/>
          <w:iCs/>
          <w:sz w:val="24"/>
          <w:szCs w:val="24"/>
        </w:rPr>
        <w:instrText xml:space="preserve"> SEQ Figure \* ARABIC </w:instrText>
      </w:r>
      <w:r w:rsidRPr="00370540">
        <w:rPr>
          <w:rFonts w:eastAsia="Calibri"/>
          <w:b/>
          <w:iCs/>
          <w:sz w:val="24"/>
          <w:szCs w:val="24"/>
        </w:rPr>
        <w:fldChar w:fldCharType="separate"/>
      </w:r>
      <w:r>
        <w:rPr>
          <w:rFonts w:eastAsia="Calibri"/>
          <w:b/>
          <w:iCs/>
          <w:noProof/>
          <w:sz w:val="24"/>
          <w:szCs w:val="24"/>
        </w:rPr>
        <w:t>1</w:t>
      </w:r>
      <w:r w:rsidRPr="00370540">
        <w:rPr>
          <w:rFonts w:eastAsia="Calibri"/>
          <w:b/>
          <w:iCs/>
          <w:sz w:val="24"/>
          <w:szCs w:val="24"/>
        </w:rPr>
        <w:fldChar w:fldCharType="end"/>
      </w:r>
      <w:r w:rsidRPr="00370540">
        <w:rPr>
          <w:rFonts w:eastAsia="Calibri"/>
          <w:b/>
          <w:iCs/>
          <w:sz w:val="24"/>
          <w:szCs w:val="24"/>
        </w:rPr>
        <w:t> </w:t>
      </w:r>
      <w:r w:rsidRPr="00370540">
        <w:rPr>
          <w:rFonts w:eastAsia="Calibri"/>
          <w:iCs/>
          <w:sz w:val="24"/>
          <w:szCs w:val="24"/>
        </w:rPr>
        <w:t xml:space="preserve">: </w:t>
      </w:r>
      <w:r w:rsidRPr="00370540">
        <w:rPr>
          <w:rFonts w:eastAsia="Calibri"/>
          <w:i/>
          <w:iCs/>
        </w:rPr>
        <w:t xml:space="preserve">Schéma conceptuel synthétique </w:t>
      </w:r>
      <w:r w:rsidRPr="009F1081">
        <w:rPr>
          <w:rFonts w:eastAsia="Calibri"/>
          <w:i/>
          <w:iCs/>
        </w:rPr>
        <w:t>de l’étud</w:t>
      </w:r>
      <w:r>
        <w:rPr>
          <w:noProof/>
          <w:sz w:val="14"/>
          <w:szCs w:val="14"/>
          <w:lang w:eastAsia="fr-FR"/>
        </w:rPr>
        <mc:AlternateContent>
          <mc:Choice Requires="wps">
            <w:drawing>
              <wp:anchor distT="0" distB="0" distL="114300" distR="114300" simplePos="0" relativeHeight="487592448" behindDoc="0" locked="0" layoutInCell="1" allowOverlap="1" wp14:anchorId="59B5CFAE" wp14:editId="2EED3EB2">
                <wp:simplePos x="0" y="0"/>
                <wp:positionH relativeFrom="column">
                  <wp:posOffset>1205230</wp:posOffset>
                </wp:positionH>
                <wp:positionV relativeFrom="paragraph">
                  <wp:posOffset>5080</wp:posOffset>
                </wp:positionV>
                <wp:extent cx="3552825" cy="5229225"/>
                <wp:effectExtent l="0" t="0" r="9525" b="9525"/>
                <wp:wrapTopAndBottom/>
                <wp:docPr id="686899771" name="Zone de texte 686899771"/>
                <wp:cNvGraphicFramePr/>
                <a:graphic xmlns:a="http://schemas.openxmlformats.org/drawingml/2006/main">
                  <a:graphicData uri="http://schemas.microsoft.com/office/word/2010/wordprocessingShape">
                    <wps:wsp>
                      <wps:cNvSpPr txBox="1"/>
                      <wps:spPr>
                        <a:xfrm>
                          <a:off x="0" y="0"/>
                          <a:ext cx="3552825" cy="52292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22A98" w14:textId="77777777" w:rsidR="00D80693" w:rsidRPr="00370540" w:rsidRDefault="00D80693" w:rsidP="00D80693">
                            <w:pPr>
                              <w:rPr>
                                <w:rFonts w:eastAsia="Calibri"/>
                                <w:sz w:val="14"/>
                                <w:szCs w:val="14"/>
                              </w:rPr>
                            </w:pPr>
                            <w:r w:rsidRPr="00370540">
                              <w:rPr>
                                <w:rFonts w:eastAsia="Calibri"/>
                                <w:sz w:val="14"/>
                                <w:szCs w:val="14"/>
                              </w:rPr>
                              <w:t>┌──────────────────────────────┐</w:t>
                            </w:r>
                          </w:p>
                          <w:p w14:paraId="7A38FF4D" w14:textId="77777777" w:rsidR="00D80693" w:rsidRPr="00370540" w:rsidRDefault="00D80693" w:rsidP="00D80693">
                            <w:pPr>
                              <w:rPr>
                                <w:rFonts w:eastAsia="Calibri"/>
                                <w:sz w:val="14"/>
                                <w:szCs w:val="14"/>
                              </w:rPr>
                            </w:pPr>
                            <w:r w:rsidRPr="00370540">
                              <w:rPr>
                                <w:rFonts w:eastAsia="Calibri"/>
                                <w:sz w:val="14"/>
                                <w:szCs w:val="14"/>
                              </w:rPr>
                              <w:t xml:space="preserve">                                                                                    │</w:t>
                            </w:r>
                          </w:p>
                          <w:p w14:paraId="77A7375D" w14:textId="77777777" w:rsidR="00D80693" w:rsidRPr="00370540" w:rsidRDefault="00D80693" w:rsidP="00D80693">
                            <w:pPr>
                              <w:rPr>
                                <w:rFonts w:eastAsia="Calibri"/>
                                <w:sz w:val="14"/>
                                <w:szCs w:val="14"/>
                              </w:rPr>
                            </w:pPr>
                            <w:r w:rsidRPr="00370540">
                              <w:rPr>
                                <w:rFonts w:eastAsia="Calibri"/>
                                <w:sz w:val="20"/>
                                <w:szCs w:val="20"/>
                              </w:rPr>
                              <w:t xml:space="preserve"> JUSTICE PROCÉDURALE</w:t>
                            </w:r>
                            <w:r w:rsidRPr="00370540">
                              <w:rPr>
                                <w:rFonts w:eastAsia="Calibri"/>
                                <w:sz w:val="14"/>
                                <w:szCs w:val="14"/>
                              </w:rPr>
                              <w:t xml:space="preserve">       │     </w:t>
                            </w:r>
                          </w:p>
                          <w:p w14:paraId="6503D781" w14:textId="77777777" w:rsidR="00D80693" w:rsidRPr="00370540" w:rsidRDefault="00D80693" w:rsidP="00D80693">
                            <w:pPr>
                              <w:rPr>
                                <w:rFonts w:eastAsia="Calibri"/>
                                <w:sz w:val="14"/>
                                <w:szCs w:val="14"/>
                              </w:rPr>
                            </w:pPr>
                            <w:r w:rsidRPr="00370540">
                              <w:rPr>
                                <w:rFonts w:eastAsia="Calibri"/>
                                <w:sz w:val="14"/>
                                <w:szCs w:val="14"/>
                              </w:rPr>
                              <w:t xml:space="preserve">                                                                                    │                                 </w:t>
                            </w:r>
                          </w:p>
                          <w:p w14:paraId="5F6F5F48" w14:textId="77777777" w:rsidR="00D80693" w:rsidRPr="00370540" w:rsidRDefault="00D80693" w:rsidP="00D80693">
                            <w:pPr>
                              <w:rPr>
                                <w:rFonts w:eastAsia="Calibri"/>
                                <w:sz w:val="14"/>
                                <w:szCs w:val="14"/>
                              </w:rPr>
                            </w:pPr>
                            <w:r w:rsidRPr="00370540">
                              <w:rPr>
                                <w:rFonts w:eastAsia="Calibri"/>
                                <w:sz w:val="14"/>
                                <w:szCs w:val="14"/>
                              </w:rPr>
                              <w:t xml:space="preserve"> </w:t>
                            </w:r>
                            <w:r w:rsidRPr="00370540">
                              <w:rPr>
                                <w:rFonts w:eastAsia="Calibri"/>
                                <w:sz w:val="20"/>
                                <w:szCs w:val="20"/>
                              </w:rPr>
                              <w:t xml:space="preserve">(Légitimité – </w:t>
                            </w:r>
                            <w:proofErr w:type="gramStart"/>
                            <w:r w:rsidRPr="00370540">
                              <w:rPr>
                                <w:rFonts w:eastAsia="Calibri"/>
                                <w:sz w:val="20"/>
                                <w:szCs w:val="20"/>
                              </w:rPr>
                              <w:t>Confiance)</w:t>
                            </w:r>
                            <w:r w:rsidRPr="00370540">
                              <w:rPr>
                                <w:rFonts w:eastAsia="Calibri"/>
                                <w:sz w:val="14"/>
                                <w:szCs w:val="14"/>
                              </w:rPr>
                              <w:t xml:space="preserve">   </w:t>
                            </w:r>
                            <w:proofErr w:type="gramEnd"/>
                            <w:r w:rsidRPr="00370540">
                              <w:rPr>
                                <w:rFonts w:eastAsia="Calibri"/>
                                <w:sz w:val="14"/>
                                <w:szCs w:val="14"/>
                              </w:rPr>
                              <w:t xml:space="preserve">                │</w:t>
                            </w:r>
                          </w:p>
                          <w:p w14:paraId="4EA72AD1" w14:textId="77777777" w:rsidR="00D80693" w:rsidRPr="00370540" w:rsidRDefault="00D80693" w:rsidP="00D80693">
                            <w:pPr>
                              <w:rPr>
                                <w:rFonts w:eastAsia="Calibri"/>
                                <w:sz w:val="14"/>
                                <w:szCs w:val="14"/>
                              </w:rPr>
                            </w:pPr>
                            <w:r w:rsidRPr="00370540">
                              <w:rPr>
                                <w:rFonts w:eastAsia="Calibri"/>
                                <w:sz w:val="14"/>
                                <w:szCs w:val="14"/>
                              </w:rPr>
                              <w:t xml:space="preserve">                                 </w:t>
                            </w:r>
                          </w:p>
                          <w:p w14:paraId="7E226FB6" w14:textId="77777777" w:rsidR="00D80693" w:rsidRPr="00370540" w:rsidRDefault="00D80693" w:rsidP="00D80693">
                            <w:pPr>
                              <w:rPr>
                                <w:rFonts w:eastAsia="Calibri"/>
                                <w:sz w:val="14"/>
                                <w:szCs w:val="14"/>
                              </w:rPr>
                            </w:pPr>
                            <w:r w:rsidRPr="00370540">
                              <w:rPr>
                                <w:rFonts w:eastAsia="Calibri"/>
                                <w:sz w:val="14"/>
                                <w:szCs w:val="14"/>
                              </w:rPr>
                              <w:t xml:space="preserve">└──────────────┬───────────────┘                                              </w:t>
                            </w:r>
                          </w:p>
                          <w:p w14:paraId="0A248684" w14:textId="77777777" w:rsidR="00D80693" w:rsidRPr="00370540" w:rsidRDefault="00D80693" w:rsidP="00D80693">
                            <w:pPr>
                              <w:rPr>
                                <w:rFonts w:eastAsia="Calibri"/>
                                <w:sz w:val="14"/>
                                <w:szCs w:val="14"/>
                              </w:rPr>
                            </w:pPr>
                            <w:r w:rsidRPr="00370540">
                              <w:rPr>
                                <w:rFonts w:eastAsia="Calibri"/>
                                <w:sz w:val="14"/>
                                <w:szCs w:val="14"/>
                              </w:rPr>
                              <w:t xml:space="preserve">│ </w:t>
                            </w:r>
                          </w:p>
                          <w:p w14:paraId="364930EC" w14:textId="77777777" w:rsidR="00D80693" w:rsidRPr="00370540" w:rsidRDefault="00D80693" w:rsidP="00D80693">
                            <w:pPr>
                              <w:rPr>
                                <w:rFonts w:eastAsia="Calibri"/>
                                <w:sz w:val="14"/>
                                <w:szCs w:val="14"/>
                              </w:rPr>
                            </w:pPr>
                            <w:proofErr w:type="gramStart"/>
                            <w:r w:rsidRPr="00370540">
                              <w:rPr>
                                <w:rFonts w:eastAsia="Calibri"/>
                                <w:sz w:val="14"/>
                                <w:szCs w:val="14"/>
                              </w:rPr>
                              <w:t xml:space="preserve">│ </w:t>
                            </w:r>
                            <w:r w:rsidRPr="00370540">
                              <w:rPr>
                                <w:rFonts w:eastAsia="Calibri"/>
                                <w:sz w:val="20"/>
                                <w:szCs w:val="20"/>
                              </w:rPr>
                              <w:t xml:space="preserve"> Renforce</w:t>
                            </w:r>
                            <w:proofErr w:type="gramEnd"/>
                            <w:r w:rsidRPr="00370540">
                              <w:rPr>
                                <w:rFonts w:eastAsia="Calibri"/>
                                <w:sz w:val="14"/>
                                <w:szCs w:val="14"/>
                              </w:rPr>
                              <w:t xml:space="preserve">                                                </w:t>
                            </w:r>
                          </w:p>
                          <w:p w14:paraId="30E6A5B4" w14:textId="77777777" w:rsidR="00D80693" w:rsidRPr="00370540" w:rsidRDefault="00D80693" w:rsidP="00D80693">
                            <w:pPr>
                              <w:rPr>
                                <w:rFonts w:eastAsia="Calibri"/>
                                <w:sz w:val="14"/>
                                <w:szCs w:val="14"/>
                              </w:rPr>
                            </w:pPr>
                            <w:r w:rsidRPr="00370540">
                              <w:rPr>
                                <w:rFonts w:eastAsia="Calibri"/>
                                <w:sz w:val="14"/>
                                <w:szCs w:val="14"/>
                              </w:rPr>
                              <w:t xml:space="preserve">▼        </w:t>
                            </w:r>
                          </w:p>
                          <w:p w14:paraId="1B6FA74F" w14:textId="77777777" w:rsidR="00D80693" w:rsidRPr="00370540" w:rsidRDefault="00D80693" w:rsidP="00D80693">
                            <w:pPr>
                              <w:rPr>
                                <w:rFonts w:eastAsia="Calibri"/>
                                <w:sz w:val="14"/>
                                <w:szCs w:val="14"/>
                              </w:rPr>
                            </w:pPr>
                            <w:r w:rsidRPr="00370540">
                              <w:rPr>
                                <w:rFonts w:eastAsia="Calibri"/>
                                <w:sz w:val="14"/>
                                <w:szCs w:val="14"/>
                              </w:rPr>
                              <w:t xml:space="preserve">┌──────────────────────────────┐              </w:t>
                            </w:r>
                          </w:p>
                          <w:p w14:paraId="25724F07" w14:textId="77777777" w:rsidR="00D80693" w:rsidRPr="00370540" w:rsidRDefault="00D80693" w:rsidP="00D80693">
                            <w:pPr>
                              <w:rPr>
                                <w:rFonts w:eastAsia="Calibri"/>
                                <w:sz w:val="14"/>
                                <w:szCs w:val="14"/>
                              </w:rPr>
                            </w:pPr>
                            <w:r w:rsidRPr="00370540">
                              <w:rPr>
                                <w:rFonts w:eastAsia="Calibri"/>
                                <w:sz w:val="14"/>
                                <w:szCs w:val="14"/>
                              </w:rPr>
                              <w:t xml:space="preserve">▲        </w:t>
                            </w:r>
                          </w:p>
                          <w:p w14:paraId="2D4E8467" w14:textId="77777777" w:rsidR="00D80693" w:rsidRPr="00370540" w:rsidRDefault="00D80693" w:rsidP="00D80693">
                            <w:pPr>
                              <w:rPr>
                                <w:rFonts w:eastAsia="Calibri"/>
                                <w:sz w:val="14"/>
                                <w:szCs w:val="14"/>
                              </w:rPr>
                            </w:pPr>
                            <w:r w:rsidRPr="00370540">
                              <w:rPr>
                                <w:rFonts w:eastAsia="Calibri"/>
                                <w:sz w:val="14"/>
                                <w:szCs w:val="14"/>
                              </w:rPr>
                              <w:t>┌──────────────────────────────┐</w:t>
                            </w:r>
                          </w:p>
                          <w:p w14:paraId="383A3A7C" w14:textId="77777777" w:rsidR="00D80693" w:rsidRPr="00370540" w:rsidRDefault="00D80693" w:rsidP="00D80693">
                            <w:pPr>
                              <w:rPr>
                                <w:rFonts w:eastAsia="Calibri"/>
                                <w:sz w:val="14"/>
                                <w:szCs w:val="14"/>
                              </w:rPr>
                            </w:pPr>
                            <w:r w:rsidRPr="00370540">
                              <w:rPr>
                                <w:rFonts w:eastAsia="Calibri"/>
                                <w:sz w:val="14"/>
                                <w:szCs w:val="14"/>
                              </w:rPr>
                              <w:t xml:space="preserve">                     </w:t>
                            </w:r>
                            <w:proofErr w:type="gramStart"/>
                            <w:r w:rsidRPr="00370540">
                              <w:rPr>
                                <w:rFonts w:eastAsia="Calibri"/>
                                <w:sz w:val="14"/>
                                <w:szCs w:val="14"/>
                              </w:rPr>
                              <w:t xml:space="preserve">│  </w:t>
                            </w:r>
                            <w:r w:rsidRPr="00370540">
                              <w:rPr>
                                <w:rFonts w:eastAsia="Calibri"/>
                                <w:sz w:val="20"/>
                                <w:szCs w:val="20"/>
                              </w:rPr>
                              <w:t>DÉVIANCE</w:t>
                            </w:r>
                            <w:proofErr w:type="gramEnd"/>
                            <w:r w:rsidRPr="00370540">
                              <w:rPr>
                                <w:rFonts w:eastAsia="Calibri"/>
                                <w:sz w:val="20"/>
                                <w:szCs w:val="20"/>
                              </w:rPr>
                              <w:t xml:space="preserve"> CONSTRUCTIVE</w:t>
                            </w:r>
                            <w:r w:rsidRPr="00370540">
                              <w:rPr>
                                <w:rFonts w:eastAsia="Calibri"/>
                                <w:sz w:val="14"/>
                                <w:szCs w:val="14"/>
                              </w:rPr>
                              <w:t xml:space="preserve">    </w:t>
                            </w:r>
                          </w:p>
                          <w:p w14:paraId="2CE2836F" w14:textId="77777777" w:rsidR="00D80693" w:rsidRPr="00370540" w:rsidRDefault="00D80693" w:rsidP="00D80693">
                            <w:pPr>
                              <w:rPr>
                                <w:rFonts w:eastAsia="Calibri"/>
                                <w:sz w:val="14"/>
                                <w:szCs w:val="14"/>
                              </w:rPr>
                            </w:pPr>
                            <w:r w:rsidRPr="00370540">
                              <w:rPr>
                                <w:rFonts w:eastAsia="Calibri"/>
                                <w:sz w:val="14"/>
                                <w:szCs w:val="14"/>
                              </w:rPr>
                              <w:t xml:space="preserve">│───────┼────────│ </w:t>
                            </w:r>
                            <w:r w:rsidRPr="00370540">
                              <w:rPr>
                                <w:rFonts w:eastAsia="Calibri"/>
                                <w:sz w:val="20"/>
                                <w:szCs w:val="20"/>
                              </w:rPr>
                              <w:t>LEADERSHIP</w:t>
                            </w:r>
                            <w:r w:rsidRPr="00370540">
                              <w:rPr>
                                <w:rFonts w:eastAsia="Calibri"/>
                                <w:sz w:val="14"/>
                                <w:szCs w:val="14"/>
                              </w:rPr>
                              <w:t xml:space="preserve"> </w:t>
                            </w:r>
                          </w:p>
                          <w:p w14:paraId="08D911BE" w14:textId="77777777" w:rsidR="00D80693" w:rsidRPr="00370540" w:rsidRDefault="00D80693" w:rsidP="00D80693">
                            <w:pPr>
                              <w:rPr>
                                <w:rFonts w:eastAsia="Calibri"/>
                                <w:sz w:val="14"/>
                                <w:szCs w:val="14"/>
                              </w:rPr>
                            </w:pPr>
                            <w:r w:rsidRPr="00370540">
                              <w:rPr>
                                <w:rFonts w:eastAsia="Calibri"/>
                                <w:sz w:val="20"/>
                                <w:szCs w:val="20"/>
                              </w:rPr>
                              <w:t>ÉTHIQUE &amp;</w:t>
                            </w:r>
                            <w:r w:rsidRPr="00370540">
                              <w:rPr>
                                <w:rFonts w:eastAsia="Calibri"/>
                                <w:sz w:val="14"/>
                                <w:szCs w:val="14"/>
                              </w:rPr>
                              <w:t xml:space="preserve">               │</w:t>
                            </w:r>
                          </w:p>
                          <w:p w14:paraId="0A8A6664" w14:textId="77777777" w:rsidR="00D80693" w:rsidRPr="00370540" w:rsidRDefault="00D80693" w:rsidP="00D80693">
                            <w:pPr>
                              <w:rPr>
                                <w:rFonts w:eastAsia="Calibri"/>
                                <w:sz w:val="14"/>
                                <w:szCs w:val="14"/>
                              </w:rPr>
                            </w:pPr>
                            <w:r w:rsidRPr="00370540">
                              <w:rPr>
                                <w:rFonts w:eastAsia="Calibri"/>
                                <w:sz w:val="14"/>
                                <w:szCs w:val="14"/>
                              </w:rPr>
                              <w:t xml:space="preserve">                     │ </w:t>
                            </w:r>
                            <w:r w:rsidRPr="00370540">
                              <w:rPr>
                                <w:rFonts w:eastAsia="Calibri"/>
                                <w:sz w:val="20"/>
                                <w:szCs w:val="20"/>
                              </w:rPr>
                              <w:t>(Innovation – Créativité</w:t>
                            </w:r>
                            <w:r w:rsidRPr="00370540">
                              <w:rPr>
                                <w:rFonts w:eastAsia="Calibri"/>
                                <w:sz w:val="14"/>
                                <w:szCs w:val="14"/>
                              </w:rPr>
                              <w:t xml:space="preserve">)   </w:t>
                            </w:r>
                          </w:p>
                          <w:p w14:paraId="7A86BEED" w14:textId="77777777" w:rsidR="00D80693" w:rsidRPr="00370540" w:rsidRDefault="00D80693" w:rsidP="00D80693">
                            <w:pPr>
                              <w:rPr>
                                <w:rFonts w:eastAsia="Calibri"/>
                                <w:sz w:val="14"/>
                                <w:szCs w:val="14"/>
                              </w:rPr>
                            </w:pPr>
                            <w:r w:rsidRPr="00370540">
                              <w:rPr>
                                <w:rFonts w:eastAsia="Calibri"/>
                                <w:sz w:val="14"/>
                                <w:szCs w:val="14"/>
                              </w:rPr>
                              <w:t xml:space="preserve">│                 │                     │   </w:t>
                            </w:r>
                            <w:r w:rsidRPr="00370540">
                              <w:rPr>
                                <w:rFonts w:eastAsia="Calibri"/>
                                <w:sz w:val="20"/>
                                <w:szCs w:val="20"/>
                              </w:rPr>
                              <w:t xml:space="preserve">AMBIDEXTRE  </w:t>
                            </w:r>
                            <w:r w:rsidRPr="00370540">
                              <w:rPr>
                                <w:rFonts w:eastAsia="Calibri"/>
                                <w:sz w:val="14"/>
                                <w:szCs w:val="14"/>
                              </w:rPr>
                              <w:t xml:space="preserve">                </w:t>
                            </w:r>
                          </w:p>
                          <w:p w14:paraId="1E577792" w14:textId="77777777" w:rsidR="00D80693" w:rsidRPr="00370540" w:rsidRDefault="00D80693" w:rsidP="00D80693">
                            <w:pPr>
                              <w:rPr>
                                <w:rFonts w:eastAsia="Calibri"/>
                                <w:sz w:val="4"/>
                                <w:szCs w:val="4"/>
                              </w:rPr>
                            </w:pPr>
                          </w:p>
                          <w:p w14:paraId="1C92DE0E" w14:textId="77777777" w:rsidR="00D80693" w:rsidRPr="00370540" w:rsidRDefault="00D80693" w:rsidP="00D80693">
                            <w:pPr>
                              <w:rPr>
                                <w:rFonts w:eastAsia="Calibri"/>
                                <w:sz w:val="14"/>
                                <w:szCs w:val="14"/>
                              </w:rPr>
                            </w:pPr>
                            <w:r w:rsidRPr="00370540">
                              <w:rPr>
                                <w:rFonts w:eastAsia="Calibri"/>
                                <w:sz w:val="14"/>
                                <w:szCs w:val="14"/>
                              </w:rPr>
                              <w:t>│</w:t>
                            </w:r>
                          </w:p>
                          <w:p w14:paraId="495D7389" w14:textId="77777777" w:rsidR="00D80693" w:rsidRPr="00370540" w:rsidRDefault="00D80693" w:rsidP="00D80693">
                            <w:pPr>
                              <w:rPr>
                                <w:rFonts w:eastAsia="Calibri"/>
                                <w:sz w:val="14"/>
                                <w:szCs w:val="14"/>
                              </w:rPr>
                            </w:pPr>
                            <w:r w:rsidRPr="00370540">
                              <w:rPr>
                                <w:rFonts w:eastAsia="Calibri"/>
                                <w:sz w:val="14"/>
                                <w:szCs w:val="14"/>
                              </w:rPr>
                              <w:t xml:space="preserve">        </w:t>
                            </w:r>
                          </w:p>
                          <w:p w14:paraId="21262E4E" w14:textId="77777777" w:rsidR="00D80693" w:rsidRPr="00370540" w:rsidRDefault="00D80693" w:rsidP="00D80693">
                            <w:pPr>
                              <w:rPr>
                                <w:rFonts w:eastAsia="Calibri"/>
                                <w:sz w:val="14"/>
                                <w:szCs w:val="14"/>
                              </w:rPr>
                            </w:pPr>
                            <w:r w:rsidRPr="00370540">
                              <w:rPr>
                                <w:rFonts w:eastAsia="Calibri"/>
                                <w:sz w:val="14"/>
                                <w:szCs w:val="14"/>
                              </w:rPr>
                              <w:t xml:space="preserve">└──────────────────────────────┘      </w:t>
                            </w:r>
                          </w:p>
                          <w:p w14:paraId="50CB3084" w14:textId="77777777" w:rsidR="00D80693" w:rsidRPr="00370540" w:rsidRDefault="00D80693" w:rsidP="00D80693">
                            <w:pPr>
                              <w:rPr>
                                <w:rFonts w:eastAsia="Calibri"/>
                                <w:sz w:val="14"/>
                                <w:szCs w:val="14"/>
                              </w:rPr>
                            </w:pPr>
                            <w:r w:rsidRPr="00370540">
                              <w:rPr>
                                <w:rFonts w:eastAsia="Calibri"/>
                                <w:sz w:val="14"/>
                                <w:szCs w:val="14"/>
                              </w:rPr>
                              <w:t xml:space="preserve">│                  │ </w:t>
                            </w:r>
                            <w:r w:rsidRPr="00370540">
                              <w:rPr>
                                <w:rFonts w:eastAsia="Calibri"/>
                                <w:sz w:val="20"/>
                                <w:szCs w:val="20"/>
                              </w:rPr>
                              <w:t>(Stabilisation – Guidance)</w:t>
                            </w:r>
                            <w:r w:rsidRPr="00370540">
                              <w:rPr>
                                <w:rFonts w:eastAsia="Calibri"/>
                                <w:sz w:val="14"/>
                                <w:szCs w:val="14"/>
                              </w:rPr>
                              <w:t xml:space="preserve">   </w:t>
                            </w:r>
                          </w:p>
                          <w:p w14:paraId="1E110B0D" w14:textId="77777777" w:rsidR="00D80693" w:rsidRPr="00370540" w:rsidRDefault="00D80693" w:rsidP="00D80693">
                            <w:pPr>
                              <w:rPr>
                                <w:rFonts w:eastAsia="Calibri"/>
                                <w:sz w:val="4"/>
                                <w:szCs w:val="4"/>
                              </w:rPr>
                            </w:pPr>
                          </w:p>
                          <w:p w14:paraId="0EE1B610" w14:textId="77777777" w:rsidR="00D80693" w:rsidRPr="00370540" w:rsidRDefault="00D80693" w:rsidP="00D80693">
                            <w:pPr>
                              <w:rPr>
                                <w:rFonts w:eastAsia="Calibri"/>
                                <w:sz w:val="14"/>
                                <w:szCs w:val="14"/>
                              </w:rPr>
                            </w:pPr>
                            <w:r w:rsidRPr="00370540">
                              <w:rPr>
                                <w:rFonts w:eastAsia="Calibri"/>
                                <w:sz w:val="14"/>
                                <w:szCs w:val="14"/>
                              </w:rPr>
                              <w:t>│</w:t>
                            </w:r>
                          </w:p>
                          <w:p w14:paraId="04122A1B" w14:textId="77777777" w:rsidR="00D80693" w:rsidRPr="00370540" w:rsidRDefault="00D80693" w:rsidP="00D80693">
                            <w:pPr>
                              <w:rPr>
                                <w:rFonts w:eastAsia="Calibri"/>
                                <w:sz w:val="14"/>
                                <w:szCs w:val="14"/>
                              </w:rPr>
                            </w:pPr>
                            <w:r w:rsidRPr="00370540">
                              <w:rPr>
                                <w:rFonts w:eastAsia="Calibri"/>
                                <w:sz w:val="14"/>
                                <w:szCs w:val="14"/>
                              </w:rPr>
                              <w:t xml:space="preserve">                                               </w:t>
                            </w:r>
                          </w:p>
                          <w:p w14:paraId="47E5FA51" w14:textId="77777777" w:rsidR="00D80693" w:rsidRPr="00370540" w:rsidRDefault="00D80693" w:rsidP="00D80693">
                            <w:pPr>
                              <w:rPr>
                                <w:rFonts w:eastAsia="Calibri"/>
                                <w:sz w:val="14"/>
                                <w:szCs w:val="14"/>
                              </w:rPr>
                            </w:pPr>
                            <w:r w:rsidRPr="00370540">
                              <w:rPr>
                                <w:rFonts w:eastAsia="Calibri"/>
                                <w:sz w:val="14"/>
                                <w:szCs w:val="14"/>
                              </w:rPr>
                              <w:t xml:space="preserve">│        </w:t>
                            </w:r>
                          </w:p>
                          <w:p w14:paraId="5CC0CB38" w14:textId="77777777" w:rsidR="00D80693" w:rsidRPr="00370540" w:rsidRDefault="00D80693" w:rsidP="00D80693">
                            <w:pPr>
                              <w:rPr>
                                <w:rFonts w:eastAsia="Calibri"/>
                                <w:sz w:val="4"/>
                                <w:szCs w:val="4"/>
                              </w:rPr>
                            </w:pPr>
                          </w:p>
                          <w:p w14:paraId="6B40FC5B" w14:textId="77777777" w:rsidR="00D80693" w:rsidRPr="00370540" w:rsidRDefault="00D80693" w:rsidP="00D80693">
                            <w:pPr>
                              <w:rPr>
                                <w:rFonts w:eastAsia="Calibri"/>
                                <w:sz w:val="14"/>
                                <w:szCs w:val="14"/>
                              </w:rPr>
                            </w:pPr>
                            <w:r w:rsidRPr="00370540">
                              <w:rPr>
                                <w:rFonts w:eastAsia="Calibri"/>
                                <w:sz w:val="14"/>
                                <w:szCs w:val="14"/>
                              </w:rPr>
                              <w:t>└──────────────────────────────┘</w:t>
                            </w:r>
                          </w:p>
                          <w:p w14:paraId="371E272B" w14:textId="77777777" w:rsidR="00D80693" w:rsidRPr="00370540" w:rsidRDefault="00D80693" w:rsidP="00D80693">
                            <w:pPr>
                              <w:rPr>
                                <w:rFonts w:eastAsia="Calibri"/>
                                <w:sz w:val="14"/>
                                <w:szCs w:val="14"/>
                              </w:rPr>
                            </w:pPr>
                            <w:r w:rsidRPr="00370540">
                              <w:rPr>
                                <w:rFonts w:eastAsia="Calibri"/>
                                <w:sz w:val="14"/>
                                <w:szCs w:val="14"/>
                              </w:rPr>
                              <w:t xml:space="preserve">│                                               </w:t>
                            </w:r>
                          </w:p>
                          <w:p w14:paraId="1AD17D0E" w14:textId="77777777" w:rsidR="00D80693" w:rsidRPr="00370540" w:rsidRDefault="00D80693" w:rsidP="00D80693">
                            <w:pPr>
                              <w:rPr>
                                <w:rFonts w:eastAsia="Calibri"/>
                                <w:sz w:val="14"/>
                                <w:szCs w:val="14"/>
                              </w:rPr>
                            </w:pPr>
                            <w:r w:rsidRPr="00370540">
                              <w:rPr>
                                <w:rFonts w:eastAsia="Calibri"/>
                                <w:sz w:val="14"/>
                                <w:szCs w:val="14"/>
                              </w:rPr>
                              <w:t>▼</w:t>
                            </w:r>
                          </w:p>
                          <w:p w14:paraId="71B75328" w14:textId="77777777" w:rsidR="00D80693" w:rsidRPr="00370540" w:rsidRDefault="00D80693" w:rsidP="00D80693">
                            <w:pPr>
                              <w:rPr>
                                <w:rFonts w:eastAsia="Calibri"/>
                                <w:sz w:val="14"/>
                                <w:szCs w:val="14"/>
                              </w:rPr>
                            </w:pPr>
                            <w:r w:rsidRPr="00370540">
                              <w:rPr>
                                <w:rFonts w:eastAsia="Calibri"/>
                                <w:sz w:val="14"/>
                                <w:szCs w:val="14"/>
                              </w:rPr>
                              <w:t>┌─────────────────────────────────────</w:t>
                            </w:r>
                          </w:p>
                          <w:p w14:paraId="20FE13E7" w14:textId="77777777" w:rsidR="00D80693" w:rsidRPr="00370540" w:rsidRDefault="00D80693" w:rsidP="00D80693">
                            <w:pPr>
                              <w:rPr>
                                <w:rFonts w:eastAsia="Calibri"/>
                                <w:sz w:val="14"/>
                                <w:szCs w:val="14"/>
                              </w:rPr>
                            </w:pPr>
                            <w:r w:rsidRPr="00370540">
                              <w:rPr>
                                <w:rFonts w:eastAsia="Calibri"/>
                                <w:sz w:val="14"/>
                                <w:szCs w:val="14"/>
                              </w:rPr>
                              <w:t xml:space="preserve"> ────┐                                                                                      │   </w:t>
                            </w:r>
                          </w:p>
                          <w:p w14:paraId="4E4E4DD3" w14:textId="77777777" w:rsidR="00D80693" w:rsidRPr="00370540" w:rsidRDefault="00D80693" w:rsidP="00D80693">
                            <w:pPr>
                              <w:rPr>
                                <w:rFonts w:eastAsia="Calibri"/>
                                <w:sz w:val="14"/>
                                <w:szCs w:val="14"/>
                              </w:rPr>
                            </w:pPr>
                            <w:r w:rsidRPr="00370540">
                              <w:rPr>
                                <w:rFonts w:eastAsia="Calibri"/>
                                <w:sz w:val="20"/>
                                <w:szCs w:val="20"/>
                              </w:rPr>
                              <w:t>APPRENTISSAGE ORGANISATIONNEL</w:t>
                            </w:r>
                            <w:r w:rsidRPr="00370540">
                              <w:rPr>
                                <w:rFonts w:eastAsia="Calibri"/>
                                <w:sz w:val="14"/>
                                <w:szCs w:val="14"/>
                              </w:rPr>
                              <w:t xml:space="preserve">      │</w:t>
                            </w:r>
                          </w:p>
                          <w:p w14:paraId="2D0C6761" w14:textId="77777777" w:rsidR="00D80693" w:rsidRPr="00370540" w:rsidRDefault="00D80693" w:rsidP="00D80693">
                            <w:pPr>
                              <w:rPr>
                                <w:rFonts w:eastAsia="Calibri"/>
                                <w:sz w:val="14"/>
                                <w:szCs w:val="14"/>
                              </w:rPr>
                            </w:pPr>
                            <w:r w:rsidRPr="00370540">
                              <w:rPr>
                                <w:rFonts w:eastAsia="Calibri"/>
                                <w:sz w:val="14"/>
                                <w:szCs w:val="14"/>
                              </w:rPr>
                              <w:t xml:space="preserve">                                                                                                     │                              </w:t>
                            </w:r>
                          </w:p>
                          <w:p w14:paraId="4FE6B1E7" w14:textId="77777777" w:rsidR="00D80693" w:rsidRPr="00370540" w:rsidRDefault="00D80693" w:rsidP="00D80693">
                            <w:pPr>
                              <w:rPr>
                                <w:rFonts w:eastAsia="Calibri"/>
                                <w:sz w:val="20"/>
                                <w:szCs w:val="20"/>
                              </w:rPr>
                            </w:pPr>
                            <w:r w:rsidRPr="00370540">
                              <w:rPr>
                                <w:rFonts w:eastAsia="Calibri"/>
                                <w:sz w:val="20"/>
                                <w:szCs w:val="20"/>
                              </w:rPr>
                              <w:t xml:space="preserve">ET TRANSFORMATION DURABLE           </w:t>
                            </w:r>
                            <w:r w:rsidRPr="00370540">
                              <w:rPr>
                                <w:rFonts w:eastAsia="Calibri"/>
                                <w:sz w:val="14"/>
                                <w:szCs w:val="14"/>
                              </w:rPr>
                              <w:t>│</w:t>
                            </w:r>
                          </w:p>
                          <w:p w14:paraId="6043D790" w14:textId="77777777" w:rsidR="00D80693" w:rsidRPr="00370540" w:rsidRDefault="00D80693" w:rsidP="00D80693">
                            <w:pPr>
                              <w:rPr>
                                <w:rFonts w:eastAsia="Calibri"/>
                                <w:sz w:val="14"/>
                                <w:szCs w:val="14"/>
                              </w:rPr>
                            </w:pPr>
                            <w:r w:rsidRPr="00370540">
                              <w:rPr>
                                <w:rFonts w:eastAsia="Calibri"/>
                                <w:sz w:val="14"/>
                                <w:szCs w:val="14"/>
                              </w:rPr>
                              <w:t xml:space="preserve">                              </w:t>
                            </w:r>
                          </w:p>
                          <w:p w14:paraId="25B197B1" w14:textId="77777777" w:rsidR="00D80693" w:rsidRPr="00370540" w:rsidRDefault="00D80693" w:rsidP="00D80693">
                            <w:pPr>
                              <w:rPr>
                                <w:rFonts w:eastAsia="Calibri"/>
                                <w:sz w:val="14"/>
                                <w:szCs w:val="14"/>
                              </w:rPr>
                            </w:pPr>
                            <w:r w:rsidRPr="00370540">
                              <w:rPr>
                                <w:rFonts w:eastAsia="Calibri"/>
                                <w:sz w:val="14"/>
                                <w:szCs w:val="14"/>
                              </w:rPr>
                              <w:t>└────────────────────────────────────</w:t>
                            </w:r>
                          </w:p>
                          <w:p w14:paraId="291515C1" w14:textId="77777777" w:rsidR="00D80693" w:rsidRPr="00370540" w:rsidRDefault="00D80693" w:rsidP="00D80693">
                            <w:pPr>
                              <w:rPr>
                                <w:rFonts w:eastAsia="Calibri"/>
                                <w:sz w:val="14"/>
                                <w:szCs w:val="14"/>
                              </w:rPr>
                            </w:pPr>
                            <w:r w:rsidRPr="00370540">
                              <w:rPr>
                                <w:rFonts w:eastAsia="Calibri"/>
                                <w:sz w:val="14"/>
                                <w:szCs w:val="14"/>
                              </w:rPr>
                              <w:t>─────┘</w:t>
                            </w:r>
                          </w:p>
                          <w:p w14:paraId="28F04649" w14:textId="77777777" w:rsidR="00D80693" w:rsidRPr="00370540" w:rsidRDefault="00D80693" w:rsidP="00D80693">
                            <w:pPr>
                              <w:rPr>
                                <w:rFonts w:eastAsia="Calibri"/>
                                <w:sz w:val="20"/>
                                <w:szCs w:val="20"/>
                              </w:rPr>
                            </w:pPr>
                            <w:r w:rsidRPr="00370540">
                              <w:rPr>
                                <w:rFonts w:eastAsia="Calibri"/>
                                <w:sz w:val="20"/>
                                <w:szCs w:val="20"/>
                              </w:rPr>
                              <w:t>Cadres opératoires :</w:t>
                            </w:r>
                          </w:p>
                          <w:p w14:paraId="24C528B3" w14:textId="77777777" w:rsidR="00D80693" w:rsidRPr="00370540" w:rsidRDefault="00D80693" w:rsidP="00D80693">
                            <w:pPr>
                              <w:rPr>
                                <w:rFonts w:eastAsia="Calibri"/>
                                <w:sz w:val="20"/>
                                <w:szCs w:val="20"/>
                              </w:rPr>
                            </w:pPr>
                            <w:r w:rsidRPr="00370540">
                              <w:rPr>
                                <w:rFonts w:eastAsia="Calibri"/>
                                <w:sz w:val="20"/>
                                <w:szCs w:val="20"/>
                              </w:rPr>
                              <w:t>- Gouvernance participative</w:t>
                            </w:r>
                          </w:p>
                          <w:p w14:paraId="3AB72E20" w14:textId="77777777" w:rsidR="00D80693" w:rsidRPr="00370540" w:rsidRDefault="00D80693" w:rsidP="00D80693">
                            <w:pPr>
                              <w:rPr>
                                <w:rFonts w:eastAsia="Calibri"/>
                                <w:sz w:val="20"/>
                                <w:szCs w:val="20"/>
                              </w:rPr>
                            </w:pPr>
                            <w:r w:rsidRPr="00370540">
                              <w:rPr>
                                <w:rFonts w:eastAsia="Calibri"/>
                                <w:sz w:val="20"/>
                                <w:szCs w:val="20"/>
                              </w:rPr>
                              <w:t>- Éthique de la reconnaissance</w:t>
                            </w:r>
                          </w:p>
                          <w:p w14:paraId="207145F6" w14:textId="77777777" w:rsidR="00D80693" w:rsidRPr="00370540" w:rsidRDefault="00D80693" w:rsidP="00D80693">
                            <w:pPr>
                              <w:rPr>
                                <w:rFonts w:eastAsia="Calibri"/>
                                <w:sz w:val="20"/>
                                <w:szCs w:val="20"/>
                              </w:rPr>
                            </w:pPr>
                            <w:r w:rsidRPr="00370540">
                              <w:rPr>
                                <w:rFonts w:eastAsia="Calibri"/>
                                <w:sz w:val="20"/>
                                <w:szCs w:val="20"/>
                              </w:rPr>
                              <w:t>- Transparence et communication</w:t>
                            </w:r>
                          </w:p>
                          <w:p w14:paraId="3495BB05" w14:textId="77777777" w:rsidR="00D80693" w:rsidRPr="00370540" w:rsidRDefault="00D80693" w:rsidP="00D80693">
                            <w:pPr>
                              <w:rPr>
                                <w:rFonts w:eastAsia="Calibri"/>
                                <w:sz w:val="20"/>
                                <w:szCs w:val="20"/>
                              </w:rPr>
                            </w:pPr>
                            <w:r w:rsidRPr="00370540">
                              <w:rPr>
                                <w:rFonts w:eastAsia="Calibri"/>
                                <w:sz w:val="20"/>
                                <w:szCs w:val="20"/>
                              </w:rPr>
                              <w:t>- Équilibre discipline / innovation</w:t>
                            </w:r>
                          </w:p>
                          <w:p w14:paraId="6F3481AF" w14:textId="77777777" w:rsidR="00D80693" w:rsidRDefault="00D80693" w:rsidP="00D80693">
                            <w:pPr>
                              <w:suppressAutoHyphens/>
                              <w:spacing w:line="253" w:lineRule="auto"/>
                              <w:textAlignment w:val="baseline"/>
                              <w:rPr>
                                <w:rFonts w:ascii="Calibri" w:eastAsia="Calibri" w:hAnsi="Calibri"/>
                              </w:rPr>
                            </w:pPr>
                            <w:r w:rsidRPr="00370540">
                              <w:rPr>
                                <w:rFonts w:eastAsia="Calibri"/>
                                <w:sz w:val="20"/>
                                <w:szCs w:val="20"/>
                              </w:rPr>
                              <w:t>- Leadership transformationnel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B5CFAE" id="Zone de texte 686899771" o:spid="_x0000_s1029" type="#_x0000_t202" style="position:absolute;left:0;text-align:left;margin-left:94.9pt;margin-top:.4pt;width:279.75pt;height:411.75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" stroked="f" strokeweight=".5pt">
                <v:textbox>
                  <w:txbxContent>
                    <w:p w14:paraId="5B522A98" w14:textId="77777777" w:rsidR="00D80693" w:rsidRPr="00370540" w:rsidRDefault="00D80693" w:rsidP="00D80693">
                      <w:pPr>
                        <w:rPr>
                          <w:rFonts w:eastAsia="Calibri"/>
                          <w:sz w:val="14"/>
                          <w:szCs w:val="14"/>
                        </w:rPr>
                      </w:pPr>
                      <w:r w:rsidRPr="00370540">
                        <w:rPr>
                          <w:rFonts w:eastAsia="Calibri"/>
                          <w:sz w:val="14"/>
                          <w:szCs w:val="14"/>
                        </w:rPr>
                        <w:t>┌──────────────────────────────┐</w:t>
                      </w:r>
                    </w:p>
                    <w:p w14:paraId="7A38FF4D" w14:textId="77777777" w:rsidR="00D80693" w:rsidRPr="00370540" w:rsidRDefault="00D80693" w:rsidP="00D80693">
                      <w:pPr>
                        <w:rPr>
                          <w:rFonts w:eastAsia="Calibri"/>
                          <w:sz w:val="14"/>
                          <w:szCs w:val="14"/>
                        </w:rPr>
                      </w:pPr>
                      <w:r w:rsidRPr="00370540">
                        <w:rPr>
                          <w:rFonts w:eastAsia="Calibri"/>
                          <w:sz w:val="14"/>
                          <w:szCs w:val="14"/>
                        </w:rPr>
                        <w:t xml:space="preserve">                                                                                    │</w:t>
                      </w:r>
                    </w:p>
                    <w:p w14:paraId="77A7375D" w14:textId="77777777" w:rsidR="00D80693" w:rsidRPr="00370540" w:rsidRDefault="00D80693" w:rsidP="00D80693">
                      <w:pPr>
                        <w:rPr>
                          <w:rFonts w:eastAsia="Calibri"/>
                          <w:sz w:val="14"/>
                          <w:szCs w:val="14"/>
                        </w:rPr>
                      </w:pPr>
                      <w:r w:rsidRPr="00370540">
                        <w:rPr>
                          <w:rFonts w:eastAsia="Calibri"/>
                          <w:sz w:val="20"/>
                          <w:szCs w:val="20"/>
                        </w:rPr>
                        <w:t xml:space="preserve"> JUSTICE PROCÉDURALE</w:t>
                      </w:r>
                      <w:r w:rsidRPr="00370540">
                        <w:rPr>
                          <w:rFonts w:eastAsia="Calibri"/>
                          <w:sz w:val="14"/>
                          <w:szCs w:val="14"/>
                        </w:rPr>
                        <w:t xml:space="preserve">       │     </w:t>
                      </w:r>
                    </w:p>
                    <w:p w14:paraId="6503D781" w14:textId="77777777" w:rsidR="00D80693" w:rsidRPr="00370540" w:rsidRDefault="00D80693" w:rsidP="00D80693">
                      <w:pPr>
                        <w:rPr>
                          <w:rFonts w:eastAsia="Calibri"/>
                          <w:sz w:val="14"/>
                          <w:szCs w:val="14"/>
                        </w:rPr>
                      </w:pPr>
                      <w:r w:rsidRPr="00370540">
                        <w:rPr>
                          <w:rFonts w:eastAsia="Calibri"/>
                          <w:sz w:val="14"/>
                          <w:szCs w:val="14"/>
                        </w:rPr>
                        <w:t xml:space="preserve">                                                                                    │                                 </w:t>
                      </w:r>
                    </w:p>
                    <w:p w14:paraId="5F6F5F48" w14:textId="77777777" w:rsidR="00D80693" w:rsidRPr="00370540" w:rsidRDefault="00D80693" w:rsidP="00D80693">
                      <w:pPr>
                        <w:rPr>
                          <w:rFonts w:eastAsia="Calibri"/>
                          <w:sz w:val="14"/>
                          <w:szCs w:val="14"/>
                        </w:rPr>
                      </w:pPr>
                      <w:r w:rsidRPr="00370540">
                        <w:rPr>
                          <w:rFonts w:eastAsia="Calibri"/>
                          <w:sz w:val="14"/>
                          <w:szCs w:val="14"/>
                        </w:rPr>
                        <w:t xml:space="preserve"> </w:t>
                      </w:r>
                      <w:r w:rsidRPr="00370540">
                        <w:rPr>
                          <w:rFonts w:eastAsia="Calibri"/>
                          <w:sz w:val="20"/>
                          <w:szCs w:val="20"/>
                        </w:rPr>
                        <w:t xml:space="preserve">(Légitimité – </w:t>
                      </w:r>
                      <w:proofErr w:type="gramStart"/>
                      <w:r w:rsidRPr="00370540">
                        <w:rPr>
                          <w:rFonts w:eastAsia="Calibri"/>
                          <w:sz w:val="20"/>
                          <w:szCs w:val="20"/>
                        </w:rPr>
                        <w:t>Confiance)</w:t>
                      </w:r>
                      <w:r w:rsidRPr="00370540">
                        <w:rPr>
                          <w:rFonts w:eastAsia="Calibri"/>
                          <w:sz w:val="14"/>
                          <w:szCs w:val="14"/>
                        </w:rPr>
                        <w:t xml:space="preserve">   </w:t>
                      </w:r>
                      <w:proofErr w:type="gramEnd"/>
                      <w:r w:rsidRPr="00370540">
                        <w:rPr>
                          <w:rFonts w:eastAsia="Calibri"/>
                          <w:sz w:val="14"/>
                          <w:szCs w:val="14"/>
                        </w:rPr>
                        <w:t xml:space="preserve">                │</w:t>
                      </w:r>
                    </w:p>
                    <w:p w14:paraId="4EA72AD1" w14:textId="77777777" w:rsidR="00D80693" w:rsidRPr="00370540" w:rsidRDefault="00D80693" w:rsidP="00D80693">
                      <w:pPr>
                        <w:rPr>
                          <w:rFonts w:eastAsia="Calibri"/>
                          <w:sz w:val="14"/>
                          <w:szCs w:val="14"/>
                        </w:rPr>
                      </w:pPr>
                      <w:r w:rsidRPr="00370540">
                        <w:rPr>
                          <w:rFonts w:eastAsia="Calibri"/>
                          <w:sz w:val="14"/>
                          <w:szCs w:val="14"/>
                        </w:rPr>
                        <w:t xml:space="preserve">                                 </w:t>
                      </w:r>
                    </w:p>
                    <w:p w14:paraId="7E226FB6" w14:textId="77777777" w:rsidR="00D80693" w:rsidRPr="00370540" w:rsidRDefault="00D80693" w:rsidP="00D80693">
                      <w:pPr>
                        <w:rPr>
                          <w:rFonts w:eastAsia="Calibri"/>
                          <w:sz w:val="14"/>
                          <w:szCs w:val="14"/>
                        </w:rPr>
                      </w:pPr>
                      <w:r w:rsidRPr="00370540">
                        <w:rPr>
                          <w:rFonts w:eastAsia="Calibri"/>
                          <w:sz w:val="14"/>
                          <w:szCs w:val="14"/>
                        </w:rPr>
                        <w:t xml:space="preserve">└──────────────┬───────────────┘                                              </w:t>
                      </w:r>
                    </w:p>
                    <w:p w14:paraId="0A248684" w14:textId="77777777" w:rsidR="00D80693" w:rsidRPr="00370540" w:rsidRDefault="00D80693" w:rsidP="00D80693">
                      <w:pPr>
                        <w:rPr>
                          <w:rFonts w:eastAsia="Calibri"/>
                          <w:sz w:val="14"/>
                          <w:szCs w:val="14"/>
                        </w:rPr>
                      </w:pPr>
                      <w:r w:rsidRPr="00370540">
                        <w:rPr>
                          <w:rFonts w:eastAsia="Calibri"/>
                          <w:sz w:val="14"/>
                          <w:szCs w:val="14"/>
                        </w:rPr>
                        <w:t xml:space="preserve">│ </w:t>
                      </w:r>
                    </w:p>
                    <w:p w14:paraId="364930EC" w14:textId="77777777" w:rsidR="00D80693" w:rsidRPr="00370540" w:rsidRDefault="00D80693" w:rsidP="00D80693">
                      <w:pPr>
                        <w:rPr>
                          <w:rFonts w:eastAsia="Calibri"/>
                          <w:sz w:val="14"/>
                          <w:szCs w:val="14"/>
                        </w:rPr>
                      </w:pPr>
                      <w:proofErr w:type="gramStart"/>
                      <w:r w:rsidRPr="00370540">
                        <w:rPr>
                          <w:rFonts w:eastAsia="Calibri"/>
                          <w:sz w:val="14"/>
                          <w:szCs w:val="14"/>
                        </w:rPr>
                        <w:t xml:space="preserve">│ </w:t>
                      </w:r>
                      <w:r w:rsidRPr="00370540">
                        <w:rPr>
                          <w:rFonts w:eastAsia="Calibri"/>
                          <w:sz w:val="20"/>
                          <w:szCs w:val="20"/>
                        </w:rPr>
                        <w:t xml:space="preserve"> Renforce</w:t>
                      </w:r>
                      <w:proofErr w:type="gramEnd"/>
                      <w:r w:rsidRPr="00370540">
                        <w:rPr>
                          <w:rFonts w:eastAsia="Calibri"/>
                          <w:sz w:val="14"/>
                          <w:szCs w:val="14"/>
                        </w:rPr>
                        <w:t xml:space="preserve">                                                </w:t>
                      </w:r>
                    </w:p>
                    <w:p w14:paraId="30E6A5B4" w14:textId="77777777" w:rsidR="00D80693" w:rsidRPr="00370540" w:rsidRDefault="00D80693" w:rsidP="00D80693">
                      <w:pPr>
                        <w:rPr>
                          <w:rFonts w:eastAsia="Calibri"/>
                          <w:sz w:val="14"/>
                          <w:szCs w:val="14"/>
                        </w:rPr>
                      </w:pPr>
                      <w:r w:rsidRPr="00370540">
                        <w:rPr>
                          <w:rFonts w:eastAsia="Calibri"/>
                          <w:sz w:val="14"/>
                          <w:szCs w:val="14"/>
                        </w:rPr>
                        <w:t xml:space="preserve">▼        </w:t>
                      </w:r>
                    </w:p>
                    <w:p w14:paraId="1B6FA74F" w14:textId="77777777" w:rsidR="00D80693" w:rsidRPr="00370540" w:rsidRDefault="00D80693" w:rsidP="00D80693">
                      <w:pPr>
                        <w:rPr>
                          <w:rFonts w:eastAsia="Calibri"/>
                          <w:sz w:val="14"/>
                          <w:szCs w:val="14"/>
                        </w:rPr>
                      </w:pPr>
                      <w:r w:rsidRPr="00370540">
                        <w:rPr>
                          <w:rFonts w:eastAsia="Calibri"/>
                          <w:sz w:val="14"/>
                          <w:szCs w:val="14"/>
                        </w:rPr>
                        <w:t xml:space="preserve">┌──────────────────────────────┐              </w:t>
                      </w:r>
                    </w:p>
                    <w:p w14:paraId="25724F07" w14:textId="77777777" w:rsidR="00D80693" w:rsidRPr="00370540" w:rsidRDefault="00D80693" w:rsidP="00D80693">
                      <w:pPr>
                        <w:rPr>
                          <w:rFonts w:eastAsia="Calibri"/>
                          <w:sz w:val="14"/>
                          <w:szCs w:val="14"/>
                        </w:rPr>
                      </w:pPr>
                      <w:r w:rsidRPr="00370540">
                        <w:rPr>
                          <w:rFonts w:eastAsia="Calibri"/>
                          <w:sz w:val="14"/>
                          <w:szCs w:val="14"/>
                        </w:rPr>
                        <w:t xml:space="preserve">▲        </w:t>
                      </w:r>
                    </w:p>
                    <w:p w14:paraId="2D4E8467" w14:textId="77777777" w:rsidR="00D80693" w:rsidRPr="00370540" w:rsidRDefault="00D80693" w:rsidP="00D80693">
                      <w:pPr>
                        <w:rPr>
                          <w:rFonts w:eastAsia="Calibri"/>
                          <w:sz w:val="14"/>
                          <w:szCs w:val="14"/>
                        </w:rPr>
                      </w:pPr>
                      <w:r w:rsidRPr="00370540">
                        <w:rPr>
                          <w:rFonts w:eastAsia="Calibri"/>
                          <w:sz w:val="14"/>
                          <w:szCs w:val="14"/>
                        </w:rPr>
                        <w:t>┌──────────────────────────────┐</w:t>
                      </w:r>
                    </w:p>
                    <w:p w14:paraId="383A3A7C" w14:textId="77777777" w:rsidR="00D80693" w:rsidRPr="00370540" w:rsidRDefault="00D80693" w:rsidP="00D80693">
                      <w:pPr>
                        <w:rPr>
                          <w:rFonts w:eastAsia="Calibri"/>
                          <w:sz w:val="14"/>
                          <w:szCs w:val="14"/>
                        </w:rPr>
                      </w:pPr>
                      <w:r w:rsidRPr="00370540">
                        <w:rPr>
                          <w:rFonts w:eastAsia="Calibri"/>
                          <w:sz w:val="14"/>
                          <w:szCs w:val="14"/>
                        </w:rPr>
                        <w:t xml:space="preserve">                     </w:t>
                      </w:r>
                      <w:proofErr w:type="gramStart"/>
                      <w:r w:rsidRPr="00370540">
                        <w:rPr>
                          <w:rFonts w:eastAsia="Calibri"/>
                          <w:sz w:val="14"/>
                          <w:szCs w:val="14"/>
                        </w:rPr>
                        <w:t xml:space="preserve">│  </w:t>
                      </w:r>
                      <w:r w:rsidRPr="00370540">
                        <w:rPr>
                          <w:rFonts w:eastAsia="Calibri"/>
                          <w:sz w:val="20"/>
                          <w:szCs w:val="20"/>
                        </w:rPr>
                        <w:t>DÉVIANCE</w:t>
                      </w:r>
                      <w:proofErr w:type="gramEnd"/>
                      <w:r w:rsidRPr="00370540">
                        <w:rPr>
                          <w:rFonts w:eastAsia="Calibri"/>
                          <w:sz w:val="20"/>
                          <w:szCs w:val="20"/>
                        </w:rPr>
                        <w:t xml:space="preserve"> CONSTRUCTIVE</w:t>
                      </w:r>
                      <w:r w:rsidRPr="00370540">
                        <w:rPr>
                          <w:rFonts w:eastAsia="Calibri"/>
                          <w:sz w:val="14"/>
                          <w:szCs w:val="14"/>
                        </w:rPr>
                        <w:t xml:space="preserve">    </w:t>
                      </w:r>
                    </w:p>
                    <w:p w14:paraId="2CE2836F" w14:textId="77777777" w:rsidR="00D80693" w:rsidRPr="00370540" w:rsidRDefault="00D80693" w:rsidP="00D80693">
                      <w:pPr>
                        <w:rPr>
                          <w:rFonts w:eastAsia="Calibri"/>
                          <w:sz w:val="14"/>
                          <w:szCs w:val="14"/>
                        </w:rPr>
                      </w:pPr>
                      <w:r w:rsidRPr="00370540">
                        <w:rPr>
                          <w:rFonts w:eastAsia="Calibri"/>
                          <w:sz w:val="14"/>
                          <w:szCs w:val="14"/>
                        </w:rPr>
                        <w:t xml:space="preserve">│───────┼────────│ </w:t>
                      </w:r>
                      <w:r w:rsidRPr="00370540">
                        <w:rPr>
                          <w:rFonts w:eastAsia="Calibri"/>
                          <w:sz w:val="20"/>
                          <w:szCs w:val="20"/>
                        </w:rPr>
                        <w:t>LEADERSHIP</w:t>
                      </w:r>
                      <w:r w:rsidRPr="00370540">
                        <w:rPr>
                          <w:rFonts w:eastAsia="Calibri"/>
                          <w:sz w:val="14"/>
                          <w:szCs w:val="14"/>
                        </w:rPr>
                        <w:t xml:space="preserve"> </w:t>
                      </w:r>
                    </w:p>
                    <w:p w14:paraId="08D911BE" w14:textId="77777777" w:rsidR="00D80693" w:rsidRPr="00370540" w:rsidRDefault="00D80693" w:rsidP="00D80693">
                      <w:pPr>
                        <w:rPr>
                          <w:rFonts w:eastAsia="Calibri"/>
                          <w:sz w:val="14"/>
                          <w:szCs w:val="14"/>
                        </w:rPr>
                      </w:pPr>
                      <w:r w:rsidRPr="00370540">
                        <w:rPr>
                          <w:rFonts w:eastAsia="Calibri"/>
                          <w:sz w:val="20"/>
                          <w:szCs w:val="20"/>
                        </w:rPr>
                        <w:t>ÉTHIQUE &amp;</w:t>
                      </w:r>
                      <w:r w:rsidRPr="00370540">
                        <w:rPr>
                          <w:rFonts w:eastAsia="Calibri"/>
                          <w:sz w:val="14"/>
                          <w:szCs w:val="14"/>
                        </w:rPr>
                        <w:t xml:space="preserve">               │</w:t>
                      </w:r>
                    </w:p>
                    <w:p w14:paraId="0A8A6664" w14:textId="77777777" w:rsidR="00D80693" w:rsidRPr="00370540" w:rsidRDefault="00D80693" w:rsidP="00D80693">
                      <w:pPr>
                        <w:rPr>
                          <w:rFonts w:eastAsia="Calibri"/>
                          <w:sz w:val="14"/>
                          <w:szCs w:val="14"/>
                        </w:rPr>
                      </w:pPr>
                      <w:r w:rsidRPr="00370540">
                        <w:rPr>
                          <w:rFonts w:eastAsia="Calibri"/>
                          <w:sz w:val="14"/>
                          <w:szCs w:val="14"/>
                        </w:rPr>
                        <w:t xml:space="preserve">                     │ </w:t>
                      </w:r>
                      <w:r w:rsidRPr="00370540">
                        <w:rPr>
                          <w:rFonts w:eastAsia="Calibri"/>
                          <w:sz w:val="20"/>
                          <w:szCs w:val="20"/>
                        </w:rPr>
                        <w:t>(Innovation – Créativité</w:t>
                      </w:r>
                      <w:r w:rsidRPr="00370540">
                        <w:rPr>
                          <w:rFonts w:eastAsia="Calibri"/>
                          <w:sz w:val="14"/>
                          <w:szCs w:val="14"/>
                        </w:rPr>
                        <w:t xml:space="preserve">)   </w:t>
                      </w:r>
                    </w:p>
                    <w:p w14:paraId="7A86BEED" w14:textId="77777777" w:rsidR="00D80693" w:rsidRPr="00370540" w:rsidRDefault="00D80693" w:rsidP="00D80693">
                      <w:pPr>
                        <w:rPr>
                          <w:rFonts w:eastAsia="Calibri"/>
                          <w:sz w:val="14"/>
                          <w:szCs w:val="14"/>
                        </w:rPr>
                      </w:pPr>
                      <w:r w:rsidRPr="00370540">
                        <w:rPr>
                          <w:rFonts w:eastAsia="Calibri"/>
                          <w:sz w:val="14"/>
                          <w:szCs w:val="14"/>
                        </w:rPr>
                        <w:t xml:space="preserve">│                 │                     │   </w:t>
                      </w:r>
                      <w:r w:rsidRPr="00370540">
                        <w:rPr>
                          <w:rFonts w:eastAsia="Calibri"/>
                          <w:sz w:val="20"/>
                          <w:szCs w:val="20"/>
                        </w:rPr>
                        <w:t xml:space="preserve">AMBIDEXTRE  </w:t>
                      </w:r>
                      <w:r w:rsidRPr="00370540">
                        <w:rPr>
                          <w:rFonts w:eastAsia="Calibri"/>
                          <w:sz w:val="14"/>
                          <w:szCs w:val="14"/>
                        </w:rPr>
                        <w:t xml:space="preserve">                </w:t>
                      </w:r>
                    </w:p>
                    <w:p w14:paraId="1E577792" w14:textId="77777777" w:rsidR="00D80693" w:rsidRPr="00370540" w:rsidRDefault="00D80693" w:rsidP="00D80693">
                      <w:pPr>
                        <w:rPr>
                          <w:rFonts w:eastAsia="Calibri"/>
                          <w:sz w:val="4"/>
                          <w:szCs w:val="4"/>
                        </w:rPr>
                      </w:pPr>
                    </w:p>
                    <w:p w14:paraId="1C92DE0E" w14:textId="77777777" w:rsidR="00D80693" w:rsidRPr="00370540" w:rsidRDefault="00D80693" w:rsidP="00D80693">
                      <w:pPr>
                        <w:rPr>
                          <w:rFonts w:eastAsia="Calibri"/>
                          <w:sz w:val="14"/>
                          <w:szCs w:val="14"/>
                        </w:rPr>
                      </w:pPr>
                      <w:r w:rsidRPr="00370540">
                        <w:rPr>
                          <w:rFonts w:eastAsia="Calibri"/>
                          <w:sz w:val="14"/>
                          <w:szCs w:val="14"/>
                        </w:rPr>
                        <w:t>│</w:t>
                      </w:r>
                    </w:p>
                    <w:p w14:paraId="495D7389" w14:textId="77777777" w:rsidR="00D80693" w:rsidRPr="00370540" w:rsidRDefault="00D80693" w:rsidP="00D80693">
                      <w:pPr>
                        <w:rPr>
                          <w:rFonts w:eastAsia="Calibri"/>
                          <w:sz w:val="14"/>
                          <w:szCs w:val="14"/>
                        </w:rPr>
                      </w:pPr>
                      <w:r w:rsidRPr="00370540">
                        <w:rPr>
                          <w:rFonts w:eastAsia="Calibri"/>
                          <w:sz w:val="14"/>
                          <w:szCs w:val="14"/>
                        </w:rPr>
                        <w:t xml:space="preserve">        </w:t>
                      </w:r>
                    </w:p>
                    <w:p w14:paraId="21262E4E" w14:textId="77777777" w:rsidR="00D80693" w:rsidRPr="00370540" w:rsidRDefault="00D80693" w:rsidP="00D80693">
                      <w:pPr>
                        <w:rPr>
                          <w:rFonts w:eastAsia="Calibri"/>
                          <w:sz w:val="14"/>
                          <w:szCs w:val="14"/>
                        </w:rPr>
                      </w:pPr>
                      <w:r w:rsidRPr="00370540">
                        <w:rPr>
                          <w:rFonts w:eastAsia="Calibri"/>
                          <w:sz w:val="14"/>
                          <w:szCs w:val="14"/>
                        </w:rPr>
                        <w:t xml:space="preserve">└──────────────────────────────┘      </w:t>
                      </w:r>
                    </w:p>
                    <w:p w14:paraId="50CB3084" w14:textId="77777777" w:rsidR="00D80693" w:rsidRPr="00370540" w:rsidRDefault="00D80693" w:rsidP="00D80693">
                      <w:pPr>
                        <w:rPr>
                          <w:rFonts w:eastAsia="Calibri"/>
                          <w:sz w:val="14"/>
                          <w:szCs w:val="14"/>
                        </w:rPr>
                      </w:pPr>
                      <w:r w:rsidRPr="00370540">
                        <w:rPr>
                          <w:rFonts w:eastAsia="Calibri"/>
                          <w:sz w:val="14"/>
                          <w:szCs w:val="14"/>
                        </w:rPr>
                        <w:t xml:space="preserve">│                  │ </w:t>
                      </w:r>
                      <w:r w:rsidRPr="00370540">
                        <w:rPr>
                          <w:rFonts w:eastAsia="Calibri"/>
                          <w:sz w:val="20"/>
                          <w:szCs w:val="20"/>
                        </w:rPr>
                        <w:t>(Stabilisation – Guidance)</w:t>
                      </w:r>
                      <w:r w:rsidRPr="00370540">
                        <w:rPr>
                          <w:rFonts w:eastAsia="Calibri"/>
                          <w:sz w:val="14"/>
                          <w:szCs w:val="14"/>
                        </w:rPr>
                        <w:t xml:space="preserve">   </w:t>
                      </w:r>
                    </w:p>
                    <w:p w14:paraId="1E110B0D" w14:textId="77777777" w:rsidR="00D80693" w:rsidRPr="00370540" w:rsidRDefault="00D80693" w:rsidP="00D80693">
                      <w:pPr>
                        <w:rPr>
                          <w:rFonts w:eastAsia="Calibri"/>
                          <w:sz w:val="4"/>
                          <w:szCs w:val="4"/>
                        </w:rPr>
                      </w:pPr>
                    </w:p>
                    <w:p w14:paraId="0EE1B610" w14:textId="77777777" w:rsidR="00D80693" w:rsidRPr="00370540" w:rsidRDefault="00D80693" w:rsidP="00D80693">
                      <w:pPr>
                        <w:rPr>
                          <w:rFonts w:eastAsia="Calibri"/>
                          <w:sz w:val="14"/>
                          <w:szCs w:val="14"/>
                        </w:rPr>
                      </w:pPr>
                      <w:r w:rsidRPr="00370540">
                        <w:rPr>
                          <w:rFonts w:eastAsia="Calibri"/>
                          <w:sz w:val="14"/>
                          <w:szCs w:val="14"/>
                        </w:rPr>
                        <w:t>│</w:t>
                      </w:r>
                    </w:p>
                    <w:p w14:paraId="04122A1B" w14:textId="77777777" w:rsidR="00D80693" w:rsidRPr="00370540" w:rsidRDefault="00D80693" w:rsidP="00D80693">
                      <w:pPr>
                        <w:rPr>
                          <w:rFonts w:eastAsia="Calibri"/>
                          <w:sz w:val="14"/>
                          <w:szCs w:val="14"/>
                        </w:rPr>
                      </w:pPr>
                      <w:r w:rsidRPr="00370540">
                        <w:rPr>
                          <w:rFonts w:eastAsia="Calibri"/>
                          <w:sz w:val="14"/>
                          <w:szCs w:val="14"/>
                        </w:rPr>
                        <w:t xml:space="preserve">                                               </w:t>
                      </w:r>
                    </w:p>
                    <w:p w14:paraId="47E5FA51" w14:textId="77777777" w:rsidR="00D80693" w:rsidRPr="00370540" w:rsidRDefault="00D80693" w:rsidP="00D80693">
                      <w:pPr>
                        <w:rPr>
                          <w:rFonts w:eastAsia="Calibri"/>
                          <w:sz w:val="14"/>
                          <w:szCs w:val="14"/>
                        </w:rPr>
                      </w:pPr>
                      <w:r w:rsidRPr="00370540">
                        <w:rPr>
                          <w:rFonts w:eastAsia="Calibri"/>
                          <w:sz w:val="14"/>
                          <w:szCs w:val="14"/>
                        </w:rPr>
                        <w:t xml:space="preserve">│        </w:t>
                      </w:r>
                    </w:p>
                    <w:p w14:paraId="5CC0CB38" w14:textId="77777777" w:rsidR="00D80693" w:rsidRPr="00370540" w:rsidRDefault="00D80693" w:rsidP="00D80693">
                      <w:pPr>
                        <w:rPr>
                          <w:rFonts w:eastAsia="Calibri"/>
                          <w:sz w:val="4"/>
                          <w:szCs w:val="4"/>
                        </w:rPr>
                      </w:pPr>
                    </w:p>
                    <w:p w14:paraId="6B40FC5B" w14:textId="77777777" w:rsidR="00D80693" w:rsidRPr="00370540" w:rsidRDefault="00D80693" w:rsidP="00D80693">
                      <w:pPr>
                        <w:rPr>
                          <w:rFonts w:eastAsia="Calibri"/>
                          <w:sz w:val="14"/>
                          <w:szCs w:val="14"/>
                        </w:rPr>
                      </w:pPr>
                      <w:r w:rsidRPr="00370540">
                        <w:rPr>
                          <w:rFonts w:eastAsia="Calibri"/>
                          <w:sz w:val="14"/>
                          <w:szCs w:val="14"/>
                        </w:rPr>
                        <w:t>└──────────────────────────────┘</w:t>
                      </w:r>
                    </w:p>
                    <w:p w14:paraId="371E272B" w14:textId="77777777" w:rsidR="00D80693" w:rsidRPr="00370540" w:rsidRDefault="00D80693" w:rsidP="00D80693">
                      <w:pPr>
                        <w:rPr>
                          <w:rFonts w:eastAsia="Calibri"/>
                          <w:sz w:val="14"/>
                          <w:szCs w:val="14"/>
                        </w:rPr>
                      </w:pPr>
                      <w:r w:rsidRPr="00370540">
                        <w:rPr>
                          <w:rFonts w:eastAsia="Calibri"/>
                          <w:sz w:val="14"/>
                          <w:szCs w:val="14"/>
                        </w:rPr>
                        <w:t xml:space="preserve">│                                               </w:t>
                      </w:r>
                    </w:p>
                    <w:p w14:paraId="1AD17D0E" w14:textId="77777777" w:rsidR="00D80693" w:rsidRPr="00370540" w:rsidRDefault="00D80693" w:rsidP="00D80693">
                      <w:pPr>
                        <w:rPr>
                          <w:rFonts w:eastAsia="Calibri"/>
                          <w:sz w:val="14"/>
                          <w:szCs w:val="14"/>
                        </w:rPr>
                      </w:pPr>
                      <w:r w:rsidRPr="00370540">
                        <w:rPr>
                          <w:rFonts w:eastAsia="Calibri"/>
                          <w:sz w:val="14"/>
                          <w:szCs w:val="14"/>
                        </w:rPr>
                        <w:t>▼</w:t>
                      </w:r>
                    </w:p>
                    <w:p w14:paraId="71B75328" w14:textId="77777777" w:rsidR="00D80693" w:rsidRPr="00370540" w:rsidRDefault="00D80693" w:rsidP="00D80693">
                      <w:pPr>
                        <w:rPr>
                          <w:rFonts w:eastAsia="Calibri"/>
                          <w:sz w:val="14"/>
                          <w:szCs w:val="14"/>
                        </w:rPr>
                      </w:pPr>
                      <w:r w:rsidRPr="00370540">
                        <w:rPr>
                          <w:rFonts w:eastAsia="Calibri"/>
                          <w:sz w:val="14"/>
                          <w:szCs w:val="14"/>
                        </w:rPr>
                        <w:t>┌─────────────────────────────────────</w:t>
                      </w:r>
                    </w:p>
                    <w:p w14:paraId="20FE13E7" w14:textId="77777777" w:rsidR="00D80693" w:rsidRPr="00370540" w:rsidRDefault="00D80693" w:rsidP="00D80693">
                      <w:pPr>
                        <w:rPr>
                          <w:rFonts w:eastAsia="Calibri"/>
                          <w:sz w:val="14"/>
                          <w:szCs w:val="14"/>
                        </w:rPr>
                      </w:pPr>
                      <w:r w:rsidRPr="00370540">
                        <w:rPr>
                          <w:rFonts w:eastAsia="Calibri"/>
                          <w:sz w:val="14"/>
                          <w:szCs w:val="14"/>
                        </w:rPr>
                        <w:t xml:space="preserve"> ────┐                                                                                      │   </w:t>
                      </w:r>
                    </w:p>
                    <w:p w14:paraId="4E4E4DD3" w14:textId="77777777" w:rsidR="00D80693" w:rsidRPr="00370540" w:rsidRDefault="00D80693" w:rsidP="00D80693">
                      <w:pPr>
                        <w:rPr>
                          <w:rFonts w:eastAsia="Calibri"/>
                          <w:sz w:val="14"/>
                          <w:szCs w:val="14"/>
                        </w:rPr>
                      </w:pPr>
                      <w:r w:rsidRPr="00370540">
                        <w:rPr>
                          <w:rFonts w:eastAsia="Calibri"/>
                          <w:sz w:val="20"/>
                          <w:szCs w:val="20"/>
                        </w:rPr>
                        <w:t>APPRENTISSAGE ORGANISATIONNEL</w:t>
                      </w:r>
                      <w:r w:rsidRPr="00370540">
                        <w:rPr>
                          <w:rFonts w:eastAsia="Calibri"/>
                          <w:sz w:val="14"/>
                          <w:szCs w:val="14"/>
                        </w:rPr>
                        <w:t xml:space="preserve">      │</w:t>
                      </w:r>
                    </w:p>
                    <w:p w14:paraId="2D0C6761" w14:textId="77777777" w:rsidR="00D80693" w:rsidRPr="00370540" w:rsidRDefault="00D80693" w:rsidP="00D80693">
                      <w:pPr>
                        <w:rPr>
                          <w:rFonts w:eastAsia="Calibri"/>
                          <w:sz w:val="14"/>
                          <w:szCs w:val="14"/>
                        </w:rPr>
                      </w:pPr>
                      <w:r w:rsidRPr="00370540">
                        <w:rPr>
                          <w:rFonts w:eastAsia="Calibri"/>
                          <w:sz w:val="14"/>
                          <w:szCs w:val="14"/>
                        </w:rPr>
                        <w:t xml:space="preserve">                                                                                                     │                              </w:t>
                      </w:r>
                    </w:p>
                    <w:p w14:paraId="4FE6B1E7" w14:textId="77777777" w:rsidR="00D80693" w:rsidRPr="00370540" w:rsidRDefault="00D80693" w:rsidP="00D80693">
                      <w:pPr>
                        <w:rPr>
                          <w:rFonts w:eastAsia="Calibri"/>
                          <w:sz w:val="20"/>
                          <w:szCs w:val="20"/>
                        </w:rPr>
                      </w:pPr>
                      <w:r w:rsidRPr="00370540">
                        <w:rPr>
                          <w:rFonts w:eastAsia="Calibri"/>
                          <w:sz w:val="20"/>
                          <w:szCs w:val="20"/>
                        </w:rPr>
                        <w:t xml:space="preserve">ET TRANSFORMATION DURABLE           </w:t>
                      </w:r>
                      <w:r w:rsidRPr="00370540">
                        <w:rPr>
                          <w:rFonts w:eastAsia="Calibri"/>
                          <w:sz w:val="14"/>
                          <w:szCs w:val="14"/>
                        </w:rPr>
                        <w:t>│</w:t>
                      </w:r>
                    </w:p>
                    <w:p w14:paraId="6043D790" w14:textId="77777777" w:rsidR="00D80693" w:rsidRPr="00370540" w:rsidRDefault="00D80693" w:rsidP="00D80693">
                      <w:pPr>
                        <w:rPr>
                          <w:rFonts w:eastAsia="Calibri"/>
                          <w:sz w:val="14"/>
                          <w:szCs w:val="14"/>
                        </w:rPr>
                      </w:pPr>
                      <w:r w:rsidRPr="00370540">
                        <w:rPr>
                          <w:rFonts w:eastAsia="Calibri"/>
                          <w:sz w:val="14"/>
                          <w:szCs w:val="14"/>
                        </w:rPr>
                        <w:t xml:space="preserve">                              </w:t>
                      </w:r>
                    </w:p>
                    <w:p w14:paraId="25B197B1" w14:textId="77777777" w:rsidR="00D80693" w:rsidRPr="00370540" w:rsidRDefault="00D80693" w:rsidP="00D80693">
                      <w:pPr>
                        <w:rPr>
                          <w:rFonts w:eastAsia="Calibri"/>
                          <w:sz w:val="14"/>
                          <w:szCs w:val="14"/>
                        </w:rPr>
                      </w:pPr>
                      <w:r w:rsidRPr="00370540">
                        <w:rPr>
                          <w:rFonts w:eastAsia="Calibri"/>
                          <w:sz w:val="14"/>
                          <w:szCs w:val="14"/>
                        </w:rPr>
                        <w:t>└────────────────────────────────────</w:t>
                      </w:r>
                    </w:p>
                    <w:p w14:paraId="291515C1" w14:textId="77777777" w:rsidR="00D80693" w:rsidRPr="00370540" w:rsidRDefault="00D80693" w:rsidP="00D80693">
                      <w:pPr>
                        <w:rPr>
                          <w:rFonts w:eastAsia="Calibri"/>
                          <w:sz w:val="14"/>
                          <w:szCs w:val="14"/>
                        </w:rPr>
                      </w:pPr>
                      <w:r w:rsidRPr="00370540">
                        <w:rPr>
                          <w:rFonts w:eastAsia="Calibri"/>
                          <w:sz w:val="14"/>
                          <w:szCs w:val="14"/>
                        </w:rPr>
                        <w:t>─────┘</w:t>
                      </w:r>
                    </w:p>
                    <w:p w14:paraId="28F04649" w14:textId="77777777" w:rsidR="00D80693" w:rsidRPr="00370540" w:rsidRDefault="00D80693" w:rsidP="00D80693">
                      <w:pPr>
                        <w:rPr>
                          <w:rFonts w:eastAsia="Calibri"/>
                          <w:sz w:val="20"/>
                          <w:szCs w:val="20"/>
                        </w:rPr>
                      </w:pPr>
                      <w:r w:rsidRPr="00370540">
                        <w:rPr>
                          <w:rFonts w:eastAsia="Calibri"/>
                          <w:sz w:val="20"/>
                          <w:szCs w:val="20"/>
                        </w:rPr>
                        <w:t>Cadres opératoires :</w:t>
                      </w:r>
                    </w:p>
                    <w:p w14:paraId="24C528B3" w14:textId="77777777" w:rsidR="00D80693" w:rsidRPr="00370540" w:rsidRDefault="00D80693" w:rsidP="00D80693">
                      <w:pPr>
                        <w:rPr>
                          <w:rFonts w:eastAsia="Calibri"/>
                          <w:sz w:val="20"/>
                          <w:szCs w:val="20"/>
                        </w:rPr>
                      </w:pPr>
                      <w:r w:rsidRPr="00370540">
                        <w:rPr>
                          <w:rFonts w:eastAsia="Calibri"/>
                          <w:sz w:val="20"/>
                          <w:szCs w:val="20"/>
                        </w:rPr>
                        <w:t>- Gouvernance participative</w:t>
                      </w:r>
                    </w:p>
                    <w:p w14:paraId="3AB72E20" w14:textId="77777777" w:rsidR="00D80693" w:rsidRPr="00370540" w:rsidRDefault="00D80693" w:rsidP="00D80693">
                      <w:pPr>
                        <w:rPr>
                          <w:rFonts w:eastAsia="Calibri"/>
                          <w:sz w:val="20"/>
                          <w:szCs w:val="20"/>
                        </w:rPr>
                      </w:pPr>
                      <w:r w:rsidRPr="00370540">
                        <w:rPr>
                          <w:rFonts w:eastAsia="Calibri"/>
                          <w:sz w:val="20"/>
                          <w:szCs w:val="20"/>
                        </w:rPr>
                        <w:t>- Éthique de la reconnaissance</w:t>
                      </w:r>
                    </w:p>
                    <w:p w14:paraId="207145F6" w14:textId="77777777" w:rsidR="00D80693" w:rsidRPr="00370540" w:rsidRDefault="00D80693" w:rsidP="00D80693">
                      <w:pPr>
                        <w:rPr>
                          <w:rFonts w:eastAsia="Calibri"/>
                          <w:sz w:val="20"/>
                          <w:szCs w:val="20"/>
                        </w:rPr>
                      </w:pPr>
                      <w:r w:rsidRPr="00370540">
                        <w:rPr>
                          <w:rFonts w:eastAsia="Calibri"/>
                          <w:sz w:val="20"/>
                          <w:szCs w:val="20"/>
                        </w:rPr>
                        <w:t>- Transparence et communication</w:t>
                      </w:r>
                    </w:p>
                    <w:p w14:paraId="3495BB05" w14:textId="77777777" w:rsidR="00D80693" w:rsidRPr="00370540" w:rsidRDefault="00D80693" w:rsidP="00D80693">
                      <w:pPr>
                        <w:rPr>
                          <w:rFonts w:eastAsia="Calibri"/>
                          <w:sz w:val="20"/>
                          <w:szCs w:val="20"/>
                        </w:rPr>
                      </w:pPr>
                      <w:r w:rsidRPr="00370540">
                        <w:rPr>
                          <w:rFonts w:eastAsia="Calibri"/>
                          <w:sz w:val="20"/>
                          <w:szCs w:val="20"/>
                        </w:rPr>
                        <w:t>- Équilibre discipline / innovation</w:t>
                      </w:r>
                    </w:p>
                    <w:p w14:paraId="6F3481AF" w14:textId="77777777" w:rsidR="00D80693" w:rsidRDefault="00D80693" w:rsidP="00D80693">
                      <w:pPr>
                        <w:suppressAutoHyphens/>
                        <w:spacing w:line="253" w:lineRule="auto"/>
                        <w:textAlignment w:val="baseline"/>
                        <w:rPr>
                          <w:rFonts w:ascii="Calibri" w:eastAsia="Calibri" w:hAnsi="Calibri"/>
                        </w:rPr>
                      </w:pPr>
                      <w:r w:rsidRPr="00370540">
                        <w:rPr>
                          <w:rFonts w:eastAsia="Calibri"/>
                          <w:sz w:val="20"/>
                          <w:szCs w:val="20"/>
                        </w:rPr>
                        <w:t>- Leadership transformationnel</w:t>
                      </w:r>
                    </w:p>
                  </w:txbxContent>
                </v:textbox>
                <w10:wrap type="topAndBottom"/>
              </v:shape>
            </w:pict>
          </mc:Fallback>
        </mc:AlternateContent>
      </w:r>
      <w:r>
        <w:rPr>
          <w:rFonts w:eastAsia="Calibri"/>
          <w:i/>
          <w:iCs/>
        </w:rPr>
        <w:t>e</w:t>
      </w:r>
    </w:p>
    <w:p w14:paraId="18208120" w14:textId="77777777" w:rsidR="00D80693" w:rsidRPr="00667746" w:rsidRDefault="00D80693" w:rsidP="002410D0">
      <w:pPr>
        <w:spacing w:before="120"/>
        <w:rPr>
          <w:rFonts w:eastAsia="Calibri"/>
          <w:sz w:val="24"/>
          <w:szCs w:val="24"/>
        </w:rPr>
      </w:pPr>
      <w:r w:rsidRPr="00667746">
        <w:rPr>
          <w:rFonts w:eastAsia="Calibri"/>
          <w:sz w:val="24"/>
          <w:szCs w:val="24"/>
        </w:rPr>
        <w:t>L</w:t>
      </w:r>
      <w:r>
        <w:rPr>
          <w:rFonts w:eastAsia="Calibri"/>
          <w:sz w:val="24"/>
          <w:szCs w:val="24"/>
        </w:rPr>
        <w:t xml:space="preserve">a figure 1 </w:t>
      </w:r>
      <w:r w:rsidRPr="00667746">
        <w:rPr>
          <w:rFonts w:eastAsia="Calibri"/>
          <w:sz w:val="24"/>
          <w:szCs w:val="24"/>
        </w:rPr>
        <w:t>représente un modèle triangulaire intégré visant à expliquer les dynamiques de transformation du système éducatif camerounais. Chaque sommet du triangle renvoie à une dimension essentielle et interdépendante, dont l’interaction produit un apprentissage organisationnel durable.</w:t>
      </w:r>
    </w:p>
    <w:p w14:paraId="32065E5A" w14:textId="77777777" w:rsidR="00D80693" w:rsidRDefault="00D80693" w:rsidP="002410D0">
      <w:pPr>
        <w:pStyle w:val="Paragraphedeliste"/>
        <w:widowControl/>
        <w:numPr>
          <w:ilvl w:val="0"/>
          <w:numId w:val="193"/>
        </w:numPr>
        <w:autoSpaceDE/>
        <w:autoSpaceDN/>
        <w:spacing w:after="160"/>
        <w:ind w:left="0" w:firstLine="360"/>
        <w:contextualSpacing/>
        <w:rPr>
          <w:rFonts w:eastAsia="Calibri"/>
          <w:sz w:val="24"/>
          <w:szCs w:val="24"/>
        </w:rPr>
      </w:pPr>
      <w:r w:rsidRPr="00667746">
        <w:rPr>
          <w:rFonts w:eastAsia="Calibri"/>
          <w:b/>
          <w:sz w:val="24"/>
          <w:szCs w:val="24"/>
        </w:rPr>
        <w:t>Justice procéd</w:t>
      </w:r>
      <w:r>
        <w:rPr>
          <w:rFonts w:eastAsia="Calibri"/>
          <w:b/>
          <w:sz w:val="24"/>
          <w:szCs w:val="24"/>
        </w:rPr>
        <w:t xml:space="preserve">urale </w:t>
      </w:r>
      <w:r w:rsidRPr="00CA3C5F">
        <w:rPr>
          <w:rFonts w:eastAsia="Calibri"/>
          <w:sz w:val="24"/>
          <w:szCs w:val="24"/>
        </w:rPr>
        <w:t>(fondement de la légitimité et de la confiance)</w:t>
      </w:r>
      <w:r w:rsidRPr="00667746">
        <w:rPr>
          <w:rFonts w:eastAsia="Calibri"/>
          <w:b/>
          <w:sz w:val="24"/>
          <w:szCs w:val="24"/>
        </w:rPr>
        <w:t> </w:t>
      </w:r>
      <w:r>
        <w:rPr>
          <w:rFonts w:eastAsia="Calibri"/>
          <w:sz w:val="24"/>
          <w:szCs w:val="24"/>
        </w:rPr>
        <w:t>: p</w:t>
      </w:r>
      <w:r w:rsidRPr="00667746">
        <w:rPr>
          <w:rFonts w:eastAsia="Calibri"/>
          <w:sz w:val="24"/>
          <w:szCs w:val="24"/>
        </w:rPr>
        <w:t xml:space="preserve">lacée au sommet du triangle, </w:t>
      </w:r>
      <w:r>
        <w:rPr>
          <w:rFonts w:eastAsia="Calibri"/>
          <w:sz w:val="24"/>
          <w:szCs w:val="24"/>
        </w:rPr>
        <w:t>elle</w:t>
      </w:r>
      <w:r w:rsidRPr="00667746">
        <w:rPr>
          <w:rFonts w:eastAsia="Calibri"/>
          <w:sz w:val="24"/>
          <w:szCs w:val="24"/>
        </w:rPr>
        <w:t xml:space="preserve"> constitue la base normative qui conditionne la relation entre l’État, les enseignants et les institutions éducatives. Lorsqu’elle est respectée, elle renforce la confiance, l’adhésion et la stabilité. Sa position stratégique dans le schéma montre qu’elle alimente et structure les deux autres dimensions, car aucune transformation durable n’est possible sans équité perçue, transparence décisionnelle et cohérence administrative.</w:t>
      </w:r>
    </w:p>
    <w:p w14:paraId="395E5F3D" w14:textId="77777777" w:rsidR="00D80693" w:rsidRDefault="00D80693" w:rsidP="002410D0">
      <w:pPr>
        <w:pStyle w:val="Paragraphedeliste"/>
        <w:widowControl/>
        <w:numPr>
          <w:ilvl w:val="0"/>
          <w:numId w:val="193"/>
        </w:numPr>
        <w:autoSpaceDE/>
        <w:autoSpaceDN/>
        <w:spacing w:after="160"/>
        <w:ind w:left="0" w:firstLine="360"/>
        <w:contextualSpacing/>
        <w:rPr>
          <w:rFonts w:eastAsia="Calibri"/>
          <w:sz w:val="24"/>
          <w:szCs w:val="24"/>
        </w:rPr>
      </w:pPr>
      <w:r>
        <w:rPr>
          <w:rFonts w:eastAsia="Calibri"/>
          <w:b/>
          <w:sz w:val="24"/>
          <w:szCs w:val="24"/>
        </w:rPr>
        <w:t xml:space="preserve">Déviance constructive </w:t>
      </w:r>
      <w:r w:rsidRPr="00CA3C5F">
        <w:rPr>
          <w:rFonts w:eastAsia="Calibri"/>
          <w:sz w:val="24"/>
          <w:szCs w:val="24"/>
        </w:rPr>
        <w:t>(source d’innovation et de changement)</w:t>
      </w:r>
      <w:r w:rsidRPr="00B439D0">
        <w:rPr>
          <w:rFonts w:eastAsia="Calibri"/>
          <w:b/>
          <w:sz w:val="24"/>
          <w:szCs w:val="24"/>
        </w:rPr>
        <w:t> </w:t>
      </w:r>
      <w:r w:rsidRPr="00B439D0">
        <w:rPr>
          <w:rFonts w:eastAsia="Calibri"/>
          <w:sz w:val="24"/>
          <w:szCs w:val="24"/>
        </w:rPr>
        <w:t xml:space="preserve">: située sur un autre sommet, </w:t>
      </w:r>
      <w:r>
        <w:rPr>
          <w:rFonts w:eastAsia="Calibri"/>
          <w:sz w:val="24"/>
          <w:szCs w:val="24"/>
        </w:rPr>
        <w:t>elle</w:t>
      </w:r>
      <w:r w:rsidRPr="00B439D0">
        <w:rPr>
          <w:rFonts w:eastAsia="Calibri"/>
          <w:sz w:val="24"/>
          <w:szCs w:val="24"/>
        </w:rPr>
        <w:t xml:space="preserve"> représente une forme productive de contestation orientée vers la correction des injustices et l’amélioration du fonctionnement organisationnel. L</w:t>
      </w:r>
      <w:r>
        <w:rPr>
          <w:rFonts w:eastAsia="Calibri"/>
          <w:sz w:val="24"/>
          <w:szCs w:val="24"/>
        </w:rPr>
        <w:t>a figure</w:t>
      </w:r>
      <w:r w:rsidRPr="00B439D0">
        <w:rPr>
          <w:rFonts w:eastAsia="Calibri"/>
          <w:sz w:val="24"/>
          <w:szCs w:val="24"/>
        </w:rPr>
        <w:t xml:space="preserve"> indique des flèches bidirectionnelles entre </w:t>
      </w:r>
      <w:r>
        <w:rPr>
          <w:rFonts w:eastAsia="Calibri"/>
          <w:sz w:val="24"/>
          <w:szCs w:val="24"/>
        </w:rPr>
        <w:t>justice procédurale et</w:t>
      </w:r>
      <w:r w:rsidRPr="00B439D0">
        <w:rPr>
          <w:rFonts w:eastAsia="Calibri"/>
          <w:sz w:val="24"/>
          <w:szCs w:val="24"/>
        </w:rPr>
        <w:t xml:space="preserve"> déviance constructive</w:t>
      </w:r>
      <w:r>
        <w:rPr>
          <w:rFonts w:eastAsia="Calibri"/>
          <w:sz w:val="24"/>
          <w:szCs w:val="24"/>
        </w:rPr>
        <w:t>, montrant que : u</w:t>
      </w:r>
      <w:r w:rsidRPr="00B439D0">
        <w:rPr>
          <w:rFonts w:eastAsia="Calibri"/>
          <w:sz w:val="24"/>
          <w:szCs w:val="24"/>
        </w:rPr>
        <w:t>ne justice solide canalise la contestation vers des voies constructives ; la contestation constructive permet d’identifier les dysfonctionnements, stimulant l’amélioration continue.</w:t>
      </w:r>
      <w:r>
        <w:rPr>
          <w:rFonts w:eastAsia="Calibri"/>
          <w:sz w:val="24"/>
          <w:szCs w:val="24"/>
        </w:rPr>
        <w:t xml:space="preserve"> </w:t>
      </w:r>
      <w:r w:rsidRPr="00B439D0">
        <w:rPr>
          <w:rFonts w:eastAsia="Calibri"/>
          <w:sz w:val="24"/>
          <w:szCs w:val="24"/>
        </w:rPr>
        <w:t>Ainsi, la déviance constructive n’est pas une rupture destructrice, mais bien un levier d’innovation et de transformation.</w:t>
      </w:r>
    </w:p>
    <w:p w14:paraId="74787801" w14:textId="77777777" w:rsidR="00D80693" w:rsidRDefault="00D80693" w:rsidP="002410D0">
      <w:pPr>
        <w:pStyle w:val="Paragraphedeliste"/>
        <w:widowControl/>
        <w:numPr>
          <w:ilvl w:val="0"/>
          <w:numId w:val="193"/>
        </w:numPr>
        <w:autoSpaceDE/>
        <w:autoSpaceDN/>
        <w:spacing w:after="160"/>
        <w:ind w:left="0" w:firstLine="360"/>
        <w:contextualSpacing/>
        <w:rPr>
          <w:rFonts w:eastAsia="Calibri"/>
          <w:sz w:val="24"/>
          <w:szCs w:val="24"/>
        </w:rPr>
      </w:pPr>
      <w:r w:rsidRPr="00B439D0">
        <w:rPr>
          <w:rFonts w:eastAsia="Calibri"/>
          <w:b/>
          <w:sz w:val="24"/>
          <w:szCs w:val="24"/>
        </w:rPr>
        <w:t>Leadership éthique et ambidextre </w:t>
      </w:r>
      <w:r w:rsidRPr="005A6A9F">
        <w:rPr>
          <w:rFonts w:eastAsia="Calibri"/>
          <w:sz w:val="24"/>
          <w:szCs w:val="24"/>
        </w:rPr>
        <w:t>(stabilisateur de la transformation)</w:t>
      </w:r>
      <w:r w:rsidRPr="00B439D0">
        <w:rPr>
          <w:rFonts w:eastAsia="Calibri"/>
          <w:b/>
          <w:sz w:val="24"/>
          <w:szCs w:val="24"/>
        </w:rPr>
        <w:t> </w:t>
      </w:r>
      <w:r w:rsidRPr="00B439D0">
        <w:rPr>
          <w:rFonts w:eastAsia="Calibri"/>
          <w:sz w:val="24"/>
          <w:szCs w:val="24"/>
        </w:rPr>
        <w:t>: le troisième sommet du triangle, celui du leadership éthique et ambidextre, symbolise la capacité de l’autorité éducative à concilier discipline et innovation, contrôle et flexibilité, régulation et reconnaissance. La position du leadership dans le schéma montre qu’il agit comme médiateur entre la justice et la déviance constructive. Il transforme la contestation en apprentissage collectif, garantit la cohérence, la transparence et la régulation et oriente les tensions vers des solutions créatives et structurantes.</w:t>
      </w:r>
    </w:p>
    <w:p w14:paraId="4CA0BE31" w14:textId="77777777" w:rsidR="00D80693" w:rsidRDefault="00D80693" w:rsidP="002410D0">
      <w:pPr>
        <w:pStyle w:val="Paragraphedeliste"/>
        <w:widowControl/>
        <w:numPr>
          <w:ilvl w:val="0"/>
          <w:numId w:val="193"/>
        </w:numPr>
        <w:autoSpaceDE/>
        <w:autoSpaceDN/>
        <w:spacing w:after="160"/>
        <w:ind w:left="0" w:firstLine="360"/>
        <w:contextualSpacing/>
        <w:rPr>
          <w:rFonts w:eastAsia="Calibri"/>
          <w:sz w:val="24"/>
          <w:szCs w:val="24"/>
        </w:rPr>
      </w:pPr>
      <w:r>
        <w:rPr>
          <w:rFonts w:eastAsia="Calibri"/>
          <w:b/>
          <w:sz w:val="24"/>
          <w:szCs w:val="24"/>
        </w:rPr>
        <w:t xml:space="preserve">Interaction triangulaire </w:t>
      </w:r>
      <w:r w:rsidRPr="002B1541">
        <w:rPr>
          <w:rFonts w:eastAsia="Calibri"/>
          <w:sz w:val="24"/>
          <w:szCs w:val="24"/>
        </w:rPr>
        <w:t>(processus circulaire et dynamique)</w:t>
      </w:r>
      <w:r w:rsidRPr="00B439D0">
        <w:rPr>
          <w:rFonts w:eastAsia="Calibri"/>
          <w:b/>
          <w:sz w:val="24"/>
          <w:szCs w:val="24"/>
        </w:rPr>
        <w:t> </w:t>
      </w:r>
      <w:r w:rsidRPr="00B439D0">
        <w:rPr>
          <w:rFonts w:eastAsia="Calibri"/>
          <w:sz w:val="24"/>
          <w:szCs w:val="24"/>
        </w:rPr>
        <w:t>:</w:t>
      </w:r>
      <w:r>
        <w:rPr>
          <w:rFonts w:eastAsia="Calibri"/>
          <w:sz w:val="24"/>
          <w:szCs w:val="24"/>
        </w:rPr>
        <w:t xml:space="preserve"> l</w:t>
      </w:r>
      <w:r w:rsidRPr="00B439D0">
        <w:rPr>
          <w:rFonts w:eastAsia="Calibri"/>
          <w:sz w:val="24"/>
          <w:szCs w:val="24"/>
        </w:rPr>
        <w:t>es flèches reliant les trois composantes montrent qu’elles ne fonctionnent pas de manière isolée, mais dans une interaction constante et rétroactive.</w:t>
      </w:r>
      <w:r>
        <w:rPr>
          <w:rFonts w:eastAsia="Calibri"/>
          <w:sz w:val="24"/>
          <w:szCs w:val="24"/>
        </w:rPr>
        <w:t xml:space="preserve"> </w:t>
      </w:r>
      <w:r w:rsidRPr="00B439D0">
        <w:rPr>
          <w:rFonts w:eastAsia="Calibri"/>
          <w:sz w:val="24"/>
          <w:szCs w:val="24"/>
        </w:rPr>
        <w:t>Ainsi :</w:t>
      </w:r>
      <w:r>
        <w:rPr>
          <w:rFonts w:eastAsia="Calibri"/>
          <w:sz w:val="24"/>
          <w:szCs w:val="24"/>
        </w:rPr>
        <w:t xml:space="preserve"> </w:t>
      </w:r>
      <w:r w:rsidRPr="00B439D0">
        <w:rPr>
          <w:rFonts w:eastAsia="Calibri"/>
          <w:sz w:val="24"/>
          <w:szCs w:val="24"/>
        </w:rPr>
        <w:t>la justice renforce le leadership et stabilise la contestation ;</w:t>
      </w:r>
      <w:r>
        <w:rPr>
          <w:rFonts w:eastAsia="Calibri"/>
          <w:sz w:val="24"/>
          <w:szCs w:val="24"/>
        </w:rPr>
        <w:t xml:space="preserve"> </w:t>
      </w:r>
      <w:r w:rsidRPr="00B439D0">
        <w:rPr>
          <w:rFonts w:eastAsia="Calibri"/>
          <w:sz w:val="24"/>
          <w:szCs w:val="24"/>
        </w:rPr>
        <w:t>le leadership renforce la justice et valorise l’innovation contestataire ;</w:t>
      </w:r>
      <w:r>
        <w:rPr>
          <w:rFonts w:eastAsia="Calibri"/>
          <w:sz w:val="24"/>
          <w:szCs w:val="24"/>
        </w:rPr>
        <w:t xml:space="preserve"> </w:t>
      </w:r>
      <w:r w:rsidRPr="00B439D0">
        <w:rPr>
          <w:rFonts w:eastAsia="Calibri"/>
          <w:sz w:val="24"/>
          <w:szCs w:val="24"/>
        </w:rPr>
        <w:t>la déviance constructive signale les injustices et nourrit le leadership de nouvelles perspectives.</w:t>
      </w:r>
      <w:r>
        <w:rPr>
          <w:rFonts w:eastAsia="Calibri"/>
          <w:sz w:val="24"/>
          <w:szCs w:val="24"/>
        </w:rPr>
        <w:t xml:space="preserve"> </w:t>
      </w:r>
      <w:r w:rsidRPr="00B439D0">
        <w:rPr>
          <w:rFonts w:eastAsia="Calibri"/>
          <w:sz w:val="24"/>
          <w:szCs w:val="24"/>
        </w:rPr>
        <w:t>Cette dynamique triangulaire produit ce que le schéma place au centre :</w:t>
      </w:r>
      <w:r>
        <w:rPr>
          <w:rFonts w:eastAsia="Calibri"/>
          <w:sz w:val="24"/>
          <w:szCs w:val="24"/>
        </w:rPr>
        <w:t xml:space="preserve"> </w:t>
      </w:r>
      <w:r w:rsidRPr="00B439D0">
        <w:rPr>
          <w:rFonts w:eastAsia="Calibri"/>
          <w:sz w:val="24"/>
          <w:szCs w:val="24"/>
        </w:rPr>
        <w:t>l’apprentissage organisationnel et la transformation durable.</w:t>
      </w:r>
    </w:p>
    <w:p w14:paraId="4DAD3325" w14:textId="77777777" w:rsidR="00D80693" w:rsidRPr="00B439D0" w:rsidRDefault="00D80693" w:rsidP="002410D0">
      <w:pPr>
        <w:pStyle w:val="Paragraphedeliste"/>
        <w:widowControl/>
        <w:numPr>
          <w:ilvl w:val="0"/>
          <w:numId w:val="193"/>
        </w:numPr>
        <w:autoSpaceDE/>
        <w:autoSpaceDN/>
        <w:spacing w:after="160"/>
        <w:ind w:left="0" w:firstLine="360"/>
        <w:contextualSpacing/>
        <w:rPr>
          <w:rFonts w:eastAsia="Calibri"/>
          <w:sz w:val="24"/>
          <w:szCs w:val="24"/>
        </w:rPr>
      </w:pPr>
      <w:r w:rsidRPr="00B439D0">
        <w:rPr>
          <w:rFonts w:eastAsia="Calibri"/>
          <w:b/>
          <w:sz w:val="24"/>
          <w:szCs w:val="24"/>
        </w:rPr>
        <w:t>Cadres opératoires (base du schéma) </w:t>
      </w:r>
      <w:r w:rsidRPr="00B439D0">
        <w:rPr>
          <w:rFonts w:eastAsia="Calibri"/>
          <w:sz w:val="24"/>
          <w:szCs w:val="24"/>
        </w:rPr>
        <w:t xml:space="preserve">: </w:t>
      </w:r>
      <w:r>
        <w:rPr>
          <w:rFonts w:eastAsia="Calibri"/>
          <w:sz w:val="24"/>
          <w:szCs w:val="24"/>
        </w:rPr>
        <w:t>l</w:t>
      </w:r>
      <w:r w:rsidRPr="00B439D0">
        <w:rPr>
          <w:rFonts w:eastAsia="Calibri"/>
          <w:sz w:val="24"/>
          <w:szCs w:val="24"/>
        </w:rPr>
        <w:t xml:space="preserve">es éléments inscrits à la base du schéma </w:t>
      </w:r>
      <w:r>
        <w:rPr>
          <w:rFonts w:eastAsia="Calibri"/>
          <w:sz w:val="24"/>
          <w:szCs w:val="24"/>
        </w:rPr>
        <w:t>(</w:t>
      </w:r>
      <w:r w:rsidRPr="00B439D0">
        <w:rPr>
          <w:rFonts w:eastAsia="Calibri"/>
          <w:sz w:val="24"/>
          <w:szCs w:val="24"/>
        </w:rPr>
        <w:t xml:space="preserve">gouvernance participative, éthique de la reconnaissance, transparence, équilibre </w:t>
      </w:r>
      <w:r>
        <w:rPr>
          <w:rFonts w:eastAsia="Calibri"/>
          <w:sz w:val="24"/>
          <w:szCs w:val="24"/>
        </w:rPr>
        <w:t xml:space="preserve">discipline/innovation) </w:t>
      </w:r>
      <w:r w:rsidRPr="00B439D0">
        <w:rPr>
          <w:rFonts w:eastAsia="Calibri"/>
          <w:sz w:val="24"/>
          <w:szCs w:val="24"/>
        </w:rPr>
        <w:t xml:space="preserve">représentent les conditions systémiques sans lesquelles le triangle ne peut fonctionner. Ils </w:t>
      </w:r>
      <w:proofErr w:type="gramStart"/>
      <w:r w:rsidRPr="00B439D0">
        <w:rPr>
          <w:rFonts w:eastAsia="Calibri"/>
          <w:sz w:val="24"/>
          <w:szCs w:val="24"/>
        </w:rPr>
        <w:t>permettent  de</w:t>
      </w:r>
      <w:proofErr w:type="gramEnd"/>
      <w:r w:rsidRPr="00B439D0">
        <w:rPr>
          <w:rFonts w:eastAsia="Calibri"/>
          <w:sz w:val="24"/>
          <w:szCs w:val="24"/>
        </w:rPr>
        <w:t xml:space="preserve"> : enraciner la justice procédurale ; sécuriser la déviance constructive ; soutenir le leadership éthique.</w:t>
      </w:r>
    </w:p>
    <w:p w14:paraId="088FE803" w14:textId="77777777" w:rsidR="00D80693" w:rsidRDefault="00D80693" w:rsidP="002410D0">
      <w:pPr>
        <w:suppressAutoHyphens/>
        <w:spacing w:before="120"/>
        <w:ind w:firstLine="567"/>
        <w:jc w:val="both"/>
        <w:textAlignment w:val="baseline"/>
        <w:rPr>
          <w:rFonts w:eastAsia="Calibri"/>
          <w:sz w:val="24"/>
          <w:szCs w:val="24"/>
        </w:rPr>
      </w:pPr>
      <w:r>
        <w:rPr>
          <w:rFonts w:eastAsia="Calibri"/>
          <w:sz w:val="24"/>
          <w:szCs w:val="24"/>
        </w:rPr>
        <w:t xml:space="preserve">Brièvement, la figure 1 </w:t>
      </w:r>
      <w:r w:rsidRPr="00667746">
        <w:rPr>
          <w:rFonts w:eastAsia="Calibri"/>
          <w:sz w:val="24"/>
          <w:szCs w:val="24"/>
        </w:rPr>
        <w:t xml:space="preserve">illustre un modèle triangulaire où la justice procédurale, la déviance constructive et le leadership éthique et ambidextre interagissent pour produire une transformation durable du système éducatif. La </w:t>
      </w:r>
      <w:r>
        <w:rPr>
          <w:rFonts w:eastAsia="Calibri"/>
          <w:sz w:val="24"/>
          <w:szCs w:val="24"/>
        </w:rPr>
        <w:t xml:space="preserve">première </w:t>
      </w:r>
      <w:r w:rsidRPr="00667746">
        <w:rPr>
          <w:rFonts w:eastAsia="Calibri"/>
          <w:sz w:val="24"/>
          <w:szCs w:val="24"/>
        </w:rPr>
        <w:t xml:space="preserve">fournit la légitimité nécessaire au changement, tandis que la </w:t>
      </w:r>
      <w:r>
        <w:rPr>
          <w:rFonts w:eastAsia="Calibri"/>
          <w:sz w:val="24"/>
          <w:szCs w:val="24"/>
        </w:rPr>
        <w:t xml:space="preserve">seconde </w:t>
      </w:r>
      <w:r w:rsidRPr="00667746">
        <w:rPr>
          <w:rFonts w:eastAsia="Calibri"/>
          <w:sz w:val="24"/>
          <w:szCs w:val="24"/>
        </w:rPr>
        <w:t xml:space="preserve">alimente l’innovation et signale les dysfonctionnements. Le </w:t>
      </w:r>
      <w:r>
        <w:rPr>
          <w:rFonts w:eastAsia="Calibri"/>
          <w:sz w:val="24"/>
          <w:szCs w:val="24"/>
        </w:rPr>
        <w:t xml:space="preserve">troisième </w:t>
      </w:r>
      <w:r w:rsidRPr="00667746">
        <w:rPr>
          <w:rFonts w:eastAsia="Calibri"/>
          <w:sz w:val="24"/>
          <w:szCs w:val="24"/>
        </w:rPr>
        <w:t>joue un rôle de médiation en transformant la contestation en apprentissage collectif et en équilibrant rigueur disciplinaire et créativité. L’ensemble de ces interactions génère un apprentissage organisationnel soutenu par une gouvernance participative et une éthique de la reconnaissance.</w:t>
      </w:r>
    </w:p>
    <w:p w14:paraId="13C47F34" w14:textId="77777777" w:rsidR="00D80693" w:rsidRPr="00FB64FE" w:rsidRDefault="00D80693" w:rsidP="002410D0">
      <w:pPr>
        <w:suppressAutoHyphens/>
        <w:spacing w:before="120"/>
        <w:jc w:val="center"/>
        <w:textAlignment w:val="baseline"/>
        <w:rPr>
          <w:rFonts w:eastAsia="Calibri"/>
          <w:i/>
        </w:rPr>
      </w:pPr>
      <w:r w:rsidRPr="0060122C">
        <w:rPr>
          <w:rFonts w:eastAsia="Calibri"/>
          <w:b/>
          <w:sz w:val="24"/>
          <w:szCs w:val="24"/>
        </w:rPr>
        <w:t xml:space="preserve">Tableau </w:t>
      </w:r>
      <w:r w:rsidRPr="0060122C">
        <w:rPr>
          <w:rFonts w:eastAsia="Calibri"/>
          <w:b/>
          <w:sz w:val="24"/>
          <w:szCs w:val="24"/>
        </w:rPr>
        <w:fldChar w:fldCharType="begin"/>
      </w:r>
      <w:r w:rsidRPr="0060122C">
        <w:rPr>
          <w:rFonts w:eastAsia="Calibri"/>
          <w:b/>
          <w:sz w:val="24"/>
          <w:szCs w:val="24"/>
        </w:rPr>
        <w:instrText xml:space="preserve"> SEQ Tableau \* ARABIC </w:instrText>
      </w:r>
      <w:r w:rsidRPr="0060122C">
        <w:rPr>
          <w:rFonts w:eastAsia="Calibri"/>
          <w:b/>
          <w:sz w:val="24"/>
          <w:szCs w:val="24"/>
        </w:rPr>
        <w:fldChar w:fldCharType="separate"/>
      </w:r>
      <w:r>
        <w:rPr>
          <w:rFonts w:eastAsia="Calibri"/>
          <w:b/>
          <w:noProof/>
          <w:sz w:val="24"/>
          <w:szCs w:val="24"/>
        </w:rPr>
        <w:t>1</w:t>
      </w:r>
      <w:r w:rsidRPr="0060122C">
        <w:rPr>
          <w:rFonts w:eastAsia="Calibri"/>
          <w:b/>
          <w:sz w:val="24"/>
          <w:szCs w:val="24"/>
        </w:rPr>
        <w:fldChar w:fldCharType="end"/>
      </w:r>
      <w:r w:rsidRPr="0060122C">
        <w:rPr>
          <w:rFonts w:eastAsia="Calibri"/>
          <w:b/>
          <w:sz w:val="24"/>
          <w:szCs w:val="24"/>
        </w:rPr>
        <w:t xml:space="preserve"> : </w:t>
      </w:r>
      <w:r w:rsidRPr="00FB64FE">
        <w:rPr>
          <w:rFonts w:eastAsia="Calibri"/>
          <w:i/>
        </w:rPr>
        <w:t>Tableau récapitulatif du modèle intégratif de transformation du système éducatif</w:t>
      </w:r>
    </w:p>
    <w:tbl>
      <w:tblPr>
        <w:tblStyle w:val="TableGrid2"/>
        <w:tblW w:w="9072" w:type="dxa"/>
        <w:tblInd w:w="-5" w:type="dxa"/>
        <w:tblLayout w:type="fixed"/>
        <w:tblLook w:val="04A0" w:firstRow="1" w:lastRow="0" w:firstColumn="1" w:lastColumn="0" w:noHBand="0" w:noVBand="1"/>
      </w:tblPr>
      <w:tblGrid>
        <w:gridCol w:w="1418"/>
        <w:gridCol w:w="1559"/>
        <w:gridCol w:w="1985"/>
        <w:gridCol w:w="1984"/>
        <w:gridCol w:w="2126"/>
      </w:tblGrid>
      <w:tr w:rsidR="00D80693" w:rsidRPr="002410D0" w14:paraId="707D56A3" w14:textId="77777777" w:rsidTr="00735D3E">
        <w:tc>
          <w:tcPr>
            <w:tcW w:w="1418" w:type="dxa"/>
            <w:vAlign w:val="center"/>
          </w:tcPr>
          <w:p w14:paraId="7450A5A2" w14:textId="77777777" w:rsidR="00D80693" w:rsidRPr="002410D0" w:rsidRDefault="00D80693" w:rsidP="002410D0">
            <w:pPr>
              <w:spacing w:before="120" w:after="100" w:afterAutospacing="1"/>
              <w:jc w:val="center"/>
              <w:rPr>
                <w:b/>
                <w:sz w:val="20"/>
                <w:szCs w:val="20"/>
              </w:rPr>
            </w:pPr>
            <w:r w:rsidRPr="002410D0">
              <w:rPr>
                <w:b/>
                <w:sz w:val="20"/>
                <w:szCs w:val="20"/>
              </w:rPr>
              <w:t>Composantes du modèle</w:t>
            </w:r>
          </w:p>
        </w:tc>
        <w:tc>
          <w:tcPr>
            <w:tcW w:w="1559" w:type="dxa"/>
            <w:vAlign w:val="center"/>
          </w:tcPr>
          <w:p w14:paraId="54EF3D73" w14:textId="77777777" w:rsidR="00D80693" w:rsidRPr="002410D0" w:rsidRDefault="00D80693" w:rsidP="002410D0">
            <w:pPr>
              <w:spacing w:before="120" w:after="100" w:afterAutospacing="1"/>
              <w:jc w:val="center"/>
              <w:rPr>
                <w:b/>
                <w:sz w:val="20"/>
                <w:szCs w:val="20"/>
              </w:rPr>
            </w:pPr>
            <w:r w:rsidRPr="002410D0">
              <w:rPr>
                <w:b/>
                <w:sz w:val="20"/>
                <w:szCs w:val="20"/>
              </w:rPr>
              <w:t>Fonction principale</w:t>
            </w:r>
          </w:p>
        </w:tc>
        <w:tc>
          <w:tcPr>
            <w:tcW w:w="1985" w:type="dxa"/>
            <w:vAlign w:val="center"/>
          </w:tcPr>
          <w:p w14:paraId="79153985" w14:textId="77777777" w:rsidR="00D80693" w:rsidRPr="002410D0" w:rsidRDefault="00D80693" w:rsidP="002410D0">
            <w:pPr>
              <w:spacing w:before="120" w:after="100" w:afterAutospacing="1"/>
              <w:jc w:val="center"/>
              <w:rPr>
                <w:b/>
                <w:sz w:val="20"/>
                <w:szCs w:val="20"/>
              </w:rPr>
            </w:pPr>
            <w:r w:rsidRPr="002410D0">
              <w:rPr>
                <w:b/>
                <w:sz w:val="20"/>
                <w:szCs w:val="20"/>
              </w:rPr>
              <w:t>Rôle dans la transformation</w:t>
            </w:r>
          </w:p>
        </w:tc>
        <w:tc>
          <w:tcPr>
            <w:tcW w:w="1984" w:type="dxa"/>
            <w:vAlign w:val="center"/>
          </w:tcPr>
          <w:p w14:paraId="3E4C8DDD" w14:textId="77777777" w:rsidR="00D80693" w:rsidRPr="002410D0" w:rsidRDefault="00D80693" w:rsidP="002410D0">
            <w:pPr>
              <w:spacing w:before="120" w:after="100" w:afterAutospacing="1"/>
              <w:jc w:val="center"/>
              <w:rPr>
                <w:b/>
                <w:sz w:val="20"/>
                <w:szCs w:val="20"/>
              </w:rPr>
            </w:pPr>
            <w:r w:rsidRPr="002410D0">
              <w:rPr>
                <w:b/>
                <w:sz w:val="20"/>
                <w:szCs w:val="20"/>
              </w:rPr>
              <w:t>Interactions clés</w:t>
            </w:r>
          </w:p>
        </w:tc>
        <w:tc>
          <w:tcPr>
            <w:tcW w:w="2126" w:type="dxa"/>
            <w:vAlign w:val="center"/>
          </w:tcPr>
          <w:p w14:paraId="19EB3C84" w14:textId="77777777" w:rsidR="00D80693" w:rsidRPr="002410D0" w:rsidRDefault="00D80693" w:rsidP="002410D0">
            <w:pPr>
              <w:spacing w:before="120" w:after="100" w:afterAutospacing="1"/>
              <w:jc w:val="center"/>
              <w:rPr>
                <w:b/>
                <w:sz w:val="20"/>
                <w:szCs w:val="20"/>
              </w:rPr>
            </w:pPr>
            <w:r w:rsidRPr="002410D0">
              <w:rPr>
                <w:b/>
                <w:sz w:val="20"/>
                <w:szCs w:val="20"/>
              </w:rPr>
              <w:t>Références théoriques mobilisées</w:t>
            </w:r>
          </w:p>
        </w:tc>
      </w:tr>
      <w:tr w:rsidR="00D80693" w:rsidRPr="002410D0" w14:paraId="565398B6" w14:textId="77777777" w:rsidTr="00735D3E">
        <w:tc>
          <w:tcPr>
            <w:tcW w:w="1418" w:type="dxa"/>
            <w:vAlign w:val="center"/>
          </w:tcPr>
          <w:p w14:paraId="13719E62" w14:textId="77777777" w:rsidR="00D80693" w:rsidRPr="002410D0" w:rsidRDefault="00D80693" w:rsidP="002410D0">
            <w:pPr>
              <w:spacing w:before="120" w:after="100" w:afterAutospacing="1"/>
              <w:jc w:val="center"/>
              <w:rPr>
                <w:b/>
                <w:sz w:val="20"/>
                <w:szCs w:val="20"/>
              </w:rPr>
            </w:pPr>
            <w:r w:rsidRPr="002410D0">
              <w:rPr>
                <w:b/>
                <w:sz w:val="20"/>
                <w:szCs w:val="20"/>
              </w:rPr>
              <w:t>Justice procédurale</w:t>
            </w:r>
          </w:p>
        </w:tc>
        <w:tc>
          <w:tcPr>
            <w:tcW w:w="1559" w:type="dxa"/>
          </w:tcPr>
          <w:p w14:paraId="08D5D020" w14:textId="77777777" w:rsidR="00D80693" w:rsidRPr="002410D0" w:rsidRDefault="00D80693" w:rsidP="002410D0">
            <w:pPr>
              <w:spacing w:before="120" w:after="100" w:afterAutospacing="1"/>
              <w:rPr>
                <w:sz w:val="20"/>
                <w:szCs w:val="20"/>
              </w:rPr>
            </w:pPr>
            <w:r w:rsidRPr="002410D0">
              <w:rPr>
                <w:sz w:val="20"/>
                <w:szCs w:val="20"/>
              </w:rPr>
              <w:t>Fonder l’équité, la légitimité et la confiance</w:t>
            </w:r>
          </w:p>
        </w:tc>
        <w:tc>
          <w:tcPr>
            <w:tcW w:w="1985" w:type="dxa"/>
          </w:tcPr>
          <w:p w14:paraId="0D9E09C9" w14:textId="77777777" w:rsidR="00D80693" w:rsidRPr="002410D0" w:rsidRDefault="00D80693" w:rsidP="002410D0">
            <w:pPr>
              <w:spacing w:before="120" w:after="100" w:afterAutospacing="1"/>
              <w:rPr>
                <w:sz w:val="20"/>
                <w:szCs w:val="20"/>
              </w:rPr>
            </w:pPr>
            <w:r w:rsidRPr="002410D0">
              <w:rPr>
                <w:sz w:val="20"/>
                <w:szCs w:val="20"/>
              </w:rPr>
              <w:t>Stabilise la relation État–enseignants ; légitime les réformes ; améliore l’adhésion au changement</w:t>
            </w:r>
          </w:p>
        </w:tc>
        <w:tc>
          <w:tcPr>
            <w:tcW w:w="1984" w:type="dxa"/>
          </w:tcPr>
          <w:p w14:paraId="02EA134E" w14:textId="77777777" w:rsidR="00D80693" w:rsidRPr="002410D0" w:rsidRDefault="00D80693" w:rsidP="002410D0">
            <w:pPr>
              <w:spacing w:before="120" w:after="100" w:afterAutospacing="1"/>
              <w:rPr>
                <w:sz w:val="20"/>
                <w:szCs w:val="20"/>
              </w:rPr>
            </w:pPr>
            <w:r w:rsidRPr="002410D0">
              <w:rPr>
                <w:sz w:val="20"/>
                <w:szCs w:val="20"/>
              </w:rPr>
              <w:t>Renforce la crédibilité du leadership ; rend la déviance constructive plus acceptable ; réduit les tensions sociales</w:t>
            </w:r>
          </w:p>
        </w:tc>
        <w:tc>
          <w:tcPr>
            <w:tcW w:w="2126" w:type="dxa"/>
          </w:tcPr>
          <w:p w14:paraId="68F33C0C" w14:textId="77777777" w:rsidR="00D80693" w:rsidRPr="002410D0" w:rsidRDefault="00D80693" w:rsidP="002410D0">
            <w:pPr>
              <w:spacing w:before="120" w:after="100" w:afterAutospacing="1"/>
              <w:rPr>
                <w:sz w:val="20"/>
                <w:szCs w:val="20"/>
              </w:rPr>
            </w:pPr>
            <w:r w:rsidRPr="002410D0">
              <w:rPr>
                <w:sz w:val="20"/>
                <w:szCs w:val="20"/>
              </w:rPr>
              <w:t>Thibaut &amp; Walker (1975) ; Greenberg (1990) ; Tyler (2023) ; Popescu et son équipe (2024)</w:t>
            </w:r>
          </w:p>
        </w:tc>
      </w:tr>
      <w:tr w:rsidR="00D80693" w:rsidRPr="002410D0" w14:paraId="518DAAE5" w14:textId="77777777" w:rsidTr="00735D3E">
        <w:tc>
          <w:tcPr>
            <w:tcW w:w="1418" w:type="dxa"/>
            <w:vAlign w:val="center"/>
          </w:tcPr>
          <w:p w14:paraId="601674BA" w14:textId="77777777" w:rsidR="00D80693" w:rsidRPr="002410D0" w:rsidRDefault="00D80693" w:rsidP="002410D0">
            <w:pPr>
              <w:spacing w:before="120" w:after="100" w:afterAutospacing="1"/>
              <w:jc w:val="center"/>
              <w:rPr>
                <w:b/>
                <w:sz w:val="20"/>
                <w:szCs w:val="20"/>
              </w:rPr>
            </w:pPr>
            <w:r w:rsidRPr="002410D0">
              <w:rPr>
                <w:b/>
                <w:sz w:val="20"/>
                <w:szCs w:val="20"/>
              </w:rPr>
              <w:t>Déviance constructive</w:t>
            </w:r>
          </w:p>
        </w:tc>
        <w:tc>
          <w:tcPr>
            <w:tcW w:w="1559" w:type="dxa"/>
          </w:tcPr>
          <w:p w14:paraId="5888F203" w14:textId="77777777" w:rsidR="00D80693" w:rsidRPr="002410D0" w:rsidRDefault="00D80693" w:rsidP="002410D0">
            <w:pPr>
              <w:spacing w:before="120" w:after="100" w:afterAutospacing="1"/>
              <w:rPr>
                <w:sz w:val="20"/>
                <w:szCs w:val="20"/>
              </w:rPr>
            </w:pPr>
            <w:r w:rsidRPr="002410D0">
              <w:rPr>
                <w:sz w:val="20"/>
                <w:szCs w:val="20"/>
              </w:rPr>
              <w:t>Catalyser l’innovation et corriger les dysfonctionnements</w:t>
            </w:r>
          </w:p>
        </w:tc>
        <w:tc>
          <w:tcPr>
            <w:tcW w:w="1985" w:type="dxa"/>
          </w:tcPr>
          <w:p w14:paraId="18B95341" w14:textId="77777777" w:rsidR="00D80693" w:rsidRPr="002410D0" w:rsidRDefault="00D80693" w:rsidP="002410D0">
            <w:pPr>
              <w:spacing w:before="120" w:after="100" w:afterAutospacing="1"/>
              <w:rPr>
                <w:sz w:val="20"/>
                <w:szCs w:val="20"/>
              </w:rPr>
            </w:pPr>
            <w:r w:rsidRPr="002410D0">
              <w:rPr>
                <w:sz w:val="20"/>
                <w:szCs w:val="20"/>
              </w:rPr>
              <w:t xml:space="preserve">Convertit les frustrations en créativité ; apporte de nouvelles solutions ; soutient le changement </w:t>
            </w:r>
            <w:proofErr w:type="spellStart"/>
            <w:r w:rsidRPr="002410D0">
              <w:rPr>
                <w:sz w:val="20"/>
                <w:szCs w:val="20"/>
              </w:rPr>
              <w:t>bottom</w:t>
            </w:r>
            <w:proofErr w:type="spellEnd"/>
            <w:r w:rsidRPr="002410D0">
              <w:rPr>
                <w:sz w:val="20"/>
                <w:szCs w:val="20"/>
              </w:rPr>
              <w:t>-up</w:t>
            </w:r>
            <w:r w:rsidRPr="002410D0">
              <w:rPr>
                <w:sz w:val="20"/>
                <w:szCs w:val="20"/>
              </w:rPr>
              <w:tab/>
            </w:r>
          </w:p>
        </w:tc>
        <w:tc>
          <w:tcPr>
            <w:tcW w:w="1984" w:type="dxa"/>
          </w:tcPr>
          <w:p w14:paraId="18BBA940" w14:textId="77777777" w:rsidR="00D80693" w:rsidRPr="002410D0" w:rsidRDefault="00D80693" w:rsidP="002410D0">
            <w:pPr>
              <w:spacing w:before="120" w:after="100" w:afterAutospacing="1"/>
              <w:rPr>
                <w:sz w:val="20"/>
                <w:szCs w:val="20"/>
              </w:rPr>
            </w:pPr>
            <w:r w:rsidRPr="002410D0">
              <w:rPr>
                <w:sz w:val="20"/>
                <w:szCs w:val="20"/>
              </w:rPr>
              <w:t>Stimule le leadership transformationnel ; nécessite justice et sécurité psychologique pour émerger</w:t>
            </w:r>
          </w:p>
        </w:tc>
        <w:tc>
          <w:tcPr>
            <w:tcW w:w="2126" w:type="dxa"/>
          </w:tcPr>
          <w:p w14:paraId="7258BE69" w14:textId="77777777" w:rsidR="00D80693" w:rsidRPr="002410D0" w:rsidRDefault="00D80693" w:rsidP="002410D0">
            <w:pPr>
              <w:spacing w:before="120" w:after="100" w:afterAutospacing="1"/>
              <w:rPr>
                <w:sz w:val="20"/>
                <w:szCs w:val="20"/>
              </w:rPr>
            </w:pPr>
            <w:r w:rsidRPr="002410D0">
              <w:rPr>
                <w:sz w:val="20"/>
                <w:szCs w:val="20"/>
              </w:rPr>
              <w:t xml:space="preserve">Galperin (2003) ; Spreitzer &amp; </w:t>
            </w:r>
            <w:proofErr w:type="spellStart"/>
            <w:r w:rsidRPr="002410D0">
              <w:rPr>
                <w:sz w:val="20"/>
                <w:szCs w:val="20"/>
              </w:rPr>
              <w:t>Sonenshein</w:t>
            </w:r>
            <w:proofErr w:type="spellEnd"/>
            <w:r w:rsidRPr="002410D0">
              <w:rPr>
                <w:sz w:val="20"/>
                <w:szCs w:val="20"/>
              </w:rPr>
              <w:t xml:space="preserve"> (2004) </w:t>
            </w:r>
            <w:proofErr w:type="spellStart"/>
            <w:r w:rsidRPr="002410D0">
              <w:rPr>
                <w:sz w:val="20"/>
                <w:szCs w:val="20"/>
              </w:rPr>
              <w:t>Déprez</w:t>
            </w:r>
            <w:proofErr w:type="spellEnd"/>
            <w:r w:rsidRPr="002410D0">
              <w:rPr>
                <w:sz w:val="20"/>
                <w:szCs w:val="20"/>
              </w:rPr>
              <w:t xml:space="preserve"> et son équipe (2020) ; Baur (2022)</w:t>
            </w:r>
          </w:p>
        </w:tc>
      </w:tr>
      <w:tr w:rsidR="00D80693" w:rsidRPr="002410D0" w14:paraId="3784524C" w14:textId="77777777" w:rsidTr="00735D3E">
        <w:tc>
          <w:tcPr>
            <w:tcW w:w="1418" w:type="dxa"/>
            <w:vAlign w:val="center"/>
          </w:tcPr>
          <w:p w14:paraId="42E1EAA2" w14:textId="77777777" w:rsidR="00D80693" w:rsidRPr="002410D0" w:rsidRDefault="00D80693" w:rsidP="002410D0">
            <w:pPr>
              <w:spacing w:before="120" w:after="100" w:afterAutospacing="1"/>
              <w:jc w:val="center"/>
              <w:rPr>
                <w:b/>
                <w:sz w:val="20"/>
                <w:szCs w:val="20"/>
              </w:rPr>
            </w:pPr>
            <w:r w:rsidRPr="002410D0">
              <w:rPr>
                <w:b/>
                <w:sz w:val="20"/>
                <w:szCs w:val="20"/>
              </w:rPr>
              <w:t>Leadership éthique et ambidextre</w:t>
            </w:r>
          </w:p>
        </w:tc>
        <w:tc>
          <w:tcPr>
            <w:tcW w:w="1559" w:type="dxa"/>
          </w:tcPr>
          <w:p w14:paraId="6FF321B7" w14:textId="77777777" w:rsidR="00D80693" w:rsidRPr="002410D0" w:rsidRDefault="00D80693" w:rsidP="002410D0">
            <w:pPr>
              <w:spacing w:before="120" w:after="100" w:afterAutospacing="1"/>
              <w:rPr>
                <w:sz w:val="20"/>
                <w:szCs w:val="20"/>
              </w:rPr>
            </w:pPr>
            <w:r w:rsidRPr="002410D0">
              <w:rPr>
                <w:sz w:val="20"/>
                <w:szCs w:val="20"/>
              </w:rPr>
              <w:t>Stabiliser la transformation et articuler discipline/innovation</w:t>
            </w:r>
          </w:p>
        </w:tc>
        <w:tc>
          <w:tcPr>
            <w:tcW w:w="1985" w:type="dxa"/>
          </w:tcPr>
          <w:p w14:paraId="5D6153A7" w14:textId="77777777" w:rsidR="00D80693" w:rsidRPr="002410D0" w:rsidRDefault="00D80693" w:rsidP="002410D0">
            <w:pPr>
              <w:spacing w:before="120" w:after="100" w:afterAutospacing="1"/>
              <w:rPr>
                <w:sz w:val="20"/>
                <w:szCs w:val="20"/>
              </w:rPr>
            </w:pPr>
            <w:r w:rsidRPr="002410D0">
              <w:rPr>
                <w:sz w:val="20"/>
                <w:szCs w:val="20"/>
              </w:rPr>
              <w:t>Inspire, régule et oriente ; transforme la contestation en apprentissage collectif ; garantit transparence et exemplarité</w:t>
            </w:r>
          </w:p>
        </w:tc>
        <w:tc>
          <w:tcPr>
            <w:tcW w:w="1984" w:type="dxa"/>
          </w:tcPr>
          <w:p w14:paraId="79D31657" w14:textId="77777777" w:rsidR="00D80693" w:rsidRPr="002410D0" w:rsidRDefault="00D80693" w:rsidP="002410D0">
            <w:pPr>
              <w:spacing w:before="120" w:after="100" w:afterAutospacing="1"/>
              <w:rPr>
                <w:sz w:val="20"/>
                <w:szCs w:val="20"/>
              </w:rPr>
            </w:pPr>
            <w:r w:rsidRPr="002410D0">
              <w:rPr>
                <w:sz w:val="20"/>
                <w:szCs w:val="20"/>
              </w:rPr>
              <w:t>S’appuie sur la justice ; valorise la déviance constructive ; équilibre rigueur et innovation</w:t>
            </w:r>
          </w:p>
        </w:tc>
        <w:tc>
          <w:tcPr>
            <w:tcW w:w="2126" w:type="dxa"/>
          </w:tcPr>
          <w:p w14:paraId="320CFE4B" w14:textId="77777777" w:rsidR="00D80693" w:rsidRPr="002410D0" w:rsidRDefault="00D80693" w:rsidP="002410D0">
            <w:pPr>
              <w:spacing w:before="120" w:after="100" w:afterAutospacing="1"/>
              <w:rPr>
                <w:sz w:val="20"/>
                <w:szCs w:val="20"/>
              </w:rPr>
            </w:pPr>
            <w:r w:rsidRPr="002410D0">
              <w:rPr>
                <w:sz w:val="20"/>
                <w:szCs w:val="20"/>
              </w:rPr>
              <w:t xml:space="preserve">Brown &amp; Treviño (2006) ; Raisch &amp; Birkinshaw (2008) ; Rosing et son équipe (2011) ; Etomes et son équipe (2024) ; Grobler &amp; Grobler (2024) ; </w:t>
            </w:r>
          </w:p>
        </w:tc>
      </w:tr>
      <w:tr w:rsidR="00D80693" w:rsidRPr="002410D0" w14:paraId="4C23E927" w14:textId="77777777" w:rsidTr="00735D3E">
        <w:tc>
          <w:tcPr>
            <w:tcW w:w="1418" w:type="dxa"/>
            <w:vAlign w:val="center"/>
          </w:tcPr>
          <w:p w14:paraId="6A55F949" w14:textId="77777777" w:rsidR="00D80693" w:rsidRPr="002410D0" w:rsidRDefault="00D80693" w:rsidP="002410D0">
            <w:pPr>
              <w:spacing w:before="120" w:after="100" w:afterAutospacing="1"/>
              <w:jc w:val="center"/>
              <w:rPr>
                <w:b/>
                <w:sz w:val="20"/>
                <w:szCs w:val="20"/>
              </w:rPr>
            </w:pPr>
            <w:r w:rsidRPr="002410D0">
              <w:rPr>
                <w:b/>
                <w:sz w:val="20"/>
                <w:szCs w:val="20"/>
              </w:rPr>
              <w:t>Gouvernance éducative participative (condition structurante)</w:t>
            </w:r>
          </w:p>
        </w:tc>
        <w:tc>
          <w:tcPr>
            <w:tcW w:w="1559" w:type="dxa"/>
          </w:tcPr>
          <w:p w14:paraId="7F4950E3" w14:textId="77777777" w:rsidR="00D80693" w:rsidRPr="002410D0" w:rsidRDefault="00D80693" w:rsidP="002410D0">
            <w:pPr>
              <w:spacing w:before="120" w:after="100" w:afterAutospacing="1"/>
              <w:rPr>
                <w:sz w:val="20"/>
                <w:szCs w:val="20"/>
              </w:rPr>
            </w:pPr>
            <w:r w:rsidRPr="002410D0">
              <w:rPr>
                <w:sz w:val="20"/>
                <w:szCs w:val="20"/>
              </w:rPr>
              <w:t>Inclure les enseignants dans les décisions</w:t>
            </w:r>
          </w:p>
        </w:tc>
        <w:tc>
          <w:tcPr>
            <w:tcW w:w="1985" w:type="dxa"/>
          </w:tcPr>
          <w:p w14:paraId="3AB11FD5" w14:textId="77777777" w:rsidR="00D80693" w:rsidRPr="002410D0" w:rsidRDefault="00D80693" w:rsidP="002410D0">
            <w:pPr>
              <w:spacing w:before="120" w:after="100" w:afterAutospacing="1"/>
              <w:rPr>
                <w:sz w:val="20"/>
                <w:szCs w:val="20"/>
              </w:rPr>
            </w:pPr>
            <w:r w:rsidRPr="002410D0">
              <w:rPr>
                <w:sz w:val="20"/>
                <w:szCs w:val="20"/>
              </w:rPr>
              <w:t>Renforce la cohésion ; diminue les conflits organisationnels</w:t>
            </w:r>
          </w:p>
        </w:tc>
        <w:tc>
          <w:tcPr>
            <w:tcW w:w="1984" w:type="dxa"/>
          </w:tcPr>
          <w:p w14:paraId="381F0286" w14:textId="77777777" w:rsidR="00D80693" w:rsidRPr="002410D0" w:rsidRDefault="00D80693" w:rsidP="002410D0">
            <w:pPr>
              <w:spacing w:before="120" w:after="100" w:afterAutospacing="1"/>
              <w:rPr>
                <w:sz w:val="20"/>
                <w:szCs w:val="20"/>
              </w:rPr>
            </w:pPr>
            <w:r w:rsidRPr="002410D0">
              <w:rPr>
                <w:sz w:val="20"/>
                <w:szCs w:val="20"/>
              </w:rPr>
              <w:t>Soutient le leadership éthique et la justice</w:t>
            </w:r>
          </w:p>
        </w:tc>
        <w:tc>
          <w:tcPr>
            <w:tcW w:w="2126" w:type="dxa"/>
          </w:tcPr>
          <w:p w14:paraId="18B0A7D9" w14:textId="77777777" w:rsidR="00D80693" w:rsidRPr="002410D0" w:rsidRDefault="00D80693" w:rsidP="002410D0">
            <w:pPr>
              <w:spacing w:before="120" w:after="100" w:afterAutospacing="1"/>
              <w:rPr>
                <w:sz w:val="20"/>
                <w:szCs w:val="20"/>
              </w:rPr>
            </w:pPr>
            <w:r w:rsidRPr="002410D0">
              <w:rPr>
                <w:sz w:val="20"/>
                <w:szCs w:val="20"/>
              </w:rPr>
              <w:t>Approches participatives du management public</w:t>
            </w:r>
          </w:p>
        </w:tc>
      </w:tr>
      <w:tr w:rsidR="00D80693" w:rsidRPr="002410D0" w14:paraId="5064D6E1" w14:textId="77777777" w:rsidTr="00735D3E">
        <w:tc>
          <w:tcPr>
            <w:tcW w:w="1418" w:type="dxa"/>
            <w:vAlign w:val="center"/>
          </w:tcPr>
          <w:p w14:paraId="18B45549" w14:textId="77777777" w:rsidR="00D80693" w:rsidRPr="002410D0" w:rsidRDefault="00D80693" w:rsidP="002410D0">
            <w:pPr>
              <w:spacing w:before="120" w:after="100" w:afterAutospacing="1"/>
              <w:jc w:val="center"/>
              <w:rPr>
                <w:b/>
                <w:sz w:val="20"/>
                <w:szCs w:val="20"/>
              </w:rPr>
            </w:pPr>
            <w:r w:rsidRPr="002410D0">
              <w:rPr>
                <w:b/>
                <w:sz w:val="20"/>
                <w:szCs w:val="20"/>
              </w:rPr>
              <w:t>Éthique de la reconnaissance (condition relationnelle)</w:t>
            </w:r>
          </w:p>
        </w:tc>
        <w:tc>
          <w:tcPr>
            <w:tcW w:w="1559" w:type="dxa"/>
          </w:tcPr>
          <w:p w14:paraId="59389C5F" w14:textId="77777777" w:rsidR="00D80693" w:rsidRPr="002410D0" w:rsidRDefault="00D80693" w:rsidP="002410D0">
            <w:pPr>
              <w:spacing w:before="120" w:after="100" w:afterAutospacing="1"/>
              <w:rPr>
                <w:sz w:val="20"/>
                <w:szCs w:val="20"/>
              </w:rPr>
            </w:pPr>
            <w:r w:rsidRPr="002410D0">
              <w:rPr>
                <w:sz w:val="20"/>
                <w:szCs w:val="20"/>
              </w:rPr>
              <w:t>Assurer respect, équité statutaire, valorisation</w:t>
            </w:r>
          </w:p>
        </w:tc>
        <w:tc>
          <w:tcPr>
            <w:tcW w:w="1985" w:type="dxa"/>
          </w:tcPr>
          <w:p w14:paraId="6BD3D3F5" w14:textId="77777777" w:rsidR="00D80693" w:rsidRPr="002410D0" w:rsidRDefault="00D80693" w:rsidP="002410D0">
            <w:pPr>
              <w:spacing w:before="120" w:after="100" w:afterAutospacing="1"/>
              <w:rPr>
                <w:sz w:val="20"/>
                <w:szCs w:val="20"/>
              </w:rPr>
            </w:pPr>
            <w:r w:rsidRPr="002410D0">
              <w:rPr>
                <w:sz w:val="20"/>
                <w:szCs w:val="20"/>
              </w:rPr>
              <w:t>Réduit les injustices perçues ; soutient la motivation ; répare les relations sociales</w:t>
            </w:r>
          </w:p>
        </w:tc>
        <w:tc>
          <w:tcPr>
            <w:tcW w:w="1984" w:type="dxa"/>
          </w:tcPr>
          <w:p w14:paraId="387749FA" w14:textId="77777777" w:rsidR="00D80693" w:rsidRPr="002410D0" w:rsidRDefault="00D80693" w:rsidP="002410D0">
            <w:pPr>
              <w:spacing w:before="120" w:after="100" w:afterAutospacing="1"/>
              <w:rPr>
                <w:sz w:val="20"/>
                <w:szCs w:val="20"/>
              </w:rPr>
            </w:pPr>
            <w:r w:rsidRPr="002410D0">
              <w:rPr>
                <w:sz w:val="20"/>
                <w:szCs w:val="20"/>
              </w:rPr>
              <w:t>Renforce justice procédurale et engagement au changement</w:t>
            </w:r>
          </w:p>
        </w:tc>
        <w:tc>
          <w:tcPr>
            <w:tcW w:w="2126" w:type="dxa"/>
          </w:tcPr>
          <w:p w14:paraId="535DCBEB" w14:textId="77777777" w:rsidR="00D80693" w:rsidRPr="002410D0" w:rsidRDefault="00D80693" w:rsidP="002410D0">
            <w:pPr>
              <w:spacing w:before="120" w:after="100" w:afterAutospacing="1"/>
              <w:rPr>
                <w:sz w:val="20"/>
                <w:szCs w:val="20"/>
              </w:rPr>
            </w:pPr>
            <w:r w:rsidRPr="002410D0">
              <w:rPr>
                <w:sz w:val="20"/>
                <w:szCs w:val="20"/>
              </w:rPr>
              <w:t xml:space="preserve">Honneth (théorie de la reconnaissance) ; </w:t>
            </w:r>
            <w:proofErr w:type="spellStart"/>
            <w:r w:rsidRPr="002410D0">
              <w:rPr>
                <w:sz w:val="20"/>
                <w:szCs w:val="20"/>
              </w:rPr>
              <w:t>Boudrias</w:t>
            </w:r>
            <w:proofErr w:type="spellEnd"/>
            <w:r w:rsidRPr="002410D0">
              <w:rPr>
                <w:sz w:val="20"/>
                <w:szCs w:val="20"/>
              </w:rPr>
              <w:t xml:space="preserve"> et ses collaborateurs (habilitation psychologique et comportementale)</w:t>
            </w:r>
          </w:p>
        </w:tc>
      </w:tr>
      <w:tr w:rsidR="00D80693" w:rsidRPr="002410D0" w14:paraId="6D1C0B43" w14:textId="77777777" w:rsidTr="00735D3E">
        <w:tc>
          <w:tcPr>
            <w:tcW w:w="1418" w:type="dxa"/>
            <w:vAlign w:val="center"/>
          </w:tcPr>
          <w:p w14:paraId="47944DC7" w14:textId="77777777" w:rsidR="00D80693" w:rsidRPr="002410D0" w:rsidRDefault="00D80693" w:rsidP="002410D0">
            <w:pPr>
              <w:spacing w:before="120" w:after="100" w:afterAutospacing="1"/>
              <w:jc w:val="center"/>
              <w:rPr>
                <w:b/>
                <w:sz w:val="20"/>
                <w:szCs w:val="20"/>
              </w:rPr>
            </w:pPr>
            <w:r w:rsidRPr="002410D0">
              <w:rPr>
                <w:b/>
                <w:sz w:val="20"/>
                <w:szCs w:val="20"/>
              </w:rPr>
              <w:t>Vision stratégique du changement (condition prospective)</w:t>
            </w:r>
          </w:p>
        </w:tc>
        <w:tc>
          <w:tcPr>
            <w:tcW w:w="1559" w:type="dxa"/>
          </w:tcPr>
          <w:p w14:paraId="1F78B58B" w14:textId="77777777" w:rsidR="00D80693" w:rsidRPr="002410D0" w:rsidRDefault="00D80693" w:rsidP="002410D0">
            <w:pPr>
              <w:spacing w:before="120" w:after="100" w:afterAutospacing="1"/>
              <w:rPr>
                <w:sz w:val="20"/>
                <w:szCs w:val="20"/>
              </w:rPr>
            </w:pPr>
            <w:r w:rsidRPr="002410D0">
              <w:rPr>
                <w:sz w:val="20"/>
                <w:szCs w:val="20"/>
              </w:rPr>
              <w:t>Guider la réforme vers la durabilité</w:t>
            </w:r>
          </w:p>
        </w:tc>
        <w:tc>
          <w:tcPr>
            <w:tcW w:w="1985" w:type="dxa"/>
          </w:tcPr>
          <w:p w14:paraId="74D95EB3" w14:textId="77777777" w:rsidR="00D80693" w:rsidRPr="002410D0" w:rsidRDefault="00D80693" w:rsidP="002410D0">
            <w:pPr>
              <w:spacing w:before="120" w:after="100" w:afterAutospacing="1"/>
              <w:rPr>
                <w:sz w:val="20"/>
                <w:szCs w:val="20"/>
              </w:rPr>
            </w:pPr>
            <w:r w:rsidRPr="002410D0">
              <w:rPr>
                <w:sz w:val="20"/>
                <w:szCs w:val="20"/>
              </w:rPr>
              <w:t>Augmente la clarté, transparence et prévisibilité des décisions</w:t>
            </w:r>
          </w:p>
        </w:tc>
        <w:tc>
          <w:tcPr>
            <w:tcW w:w="1984" w:type="dxa"/>
          </w:tcPr>
          <w:p w14:paraId="5212E4A0" w14:textId="77777777" w:rsidR="00D80693" w:rsidRPr="002410D0" w:rsidRDefault="00D80693" w:rsidP="002410D0">
            <w:pPr>
              <w:spacing w:before="120" w:after="100" w:afterAutospacing="1"/>
              <w:rPr>
                <w:sz w:val="20"/>
                <w:szCs w:val="20"/>
              </w:rPr>
            </w:pPr>
            <w:r w:rsidRPr="002410D0">
              <w:rPr>
                <w:sz w:val="20"/>
                <w:szCs w:val="20"/>
              </w:rPr>
              <w:t>Consolide tous les autres piliers ; améliore l’innovation systémique</w:t>
            </w:r>
          </w:p>
        </w:tc>
        <w:tc>
          <w:tcPr>
            <w:tcW w:w="2126" w:type="dxa"/>
          </w:tcPr>
          <w:p w14:paraId="39D9A1AC" w14:textId="77777777" w:rsidR="00D80693" w:rsidRPr="002410D0" w:rsidRDefault="00D80693" w:rsidP="002410D0">
            <w:pPr>
              <w:spacing w:before="120" w:after="100" w:afterAutospacing="1"/>
              <w:rPr>
                <w:sz w:val="20"/>
                <w:szCs w:val="20"/>
              </w:rPr>
            </w:pPr>
            <w:r w:rsidRPr="002410D0">
              <w:rPr>
                <w:sz w:val="20"/>
                <w:szCs w:val="20"/>
              </w:rPr>
              <w:t>Théories du changement organisationnel</w:t>
            </w:r>
          </w:p>
        </w:tc>
      </w:tr>
    </w:tbl>
    <w:p w14:paraId="67E909FD" w14:textId="77777777" w:rsidR="00D80693" w:rsidRPr="00C91BA7" w:rsidRDefault="00D80693" w:rsidP="002410D0">
      <w:pPr>
        <w:spacing w:before="120"/>
        <w:ind w:firstLine="567"/>
        <w:jc w:val="both"/>
        <w:rPr>
          <w:rFonts w:eastAsia="Calibri"/>
          <w:sz w:val="10"/>
          <w:szCs w:val="10"/>
        </w:rPr>
      </w:pPr>
      <w:r>
        <w:rPr>
          <w:rFonts w:eastAsia="Calibri"/>
          <w:sz w:val="10"/>
          <w:szCs w:val="10"/>
        </w:rPr>
        <w:t xml:space="preserve"> </w:t>
      </w:r>
    </w:p>
    <w:p w14:paraId="72312A77" w14:textId="77777777" w:rsidR="00D80693" w:rsidRDefault="00D80693" w:rsidP="00735D3E">
      <w:pPr>
        <w:spacing w:before="120"/>
        <w:jc w:val="both"/>
        <w:rPr>
          <w:rFonts w:eastAsia="Calibri"/>
          <w:sz w:val="24"/>
          <w:szCs w:val="24"/>
        </w:rPr>
      </w:pPr>
      <w:r>
        <w:rPr>
          <w:rFonts w:eastAsia="Calibri"/>
          <w:sz w:val="24"/>
          <w:szCs w:val="24"/>
        </w:rPr>
        <w:t>Succinctement, l</w:t>
      </w:r>
      <w:r w:rsidRPr="004E5F11">
        <w:rPr>
          <w:rFonts w:eastAsia="Calibri"/>
          <w:sz w:val="24"/>
          <w:szCs w:val="24"/>
        </w:rPr>
        <w:t>a justice procédurale fournit la légitimité, la déviance constructive apporte l’innovation, et le leadership éthique/ambidextre assure la cohérence et la stabilisation du changement. La combinaison de ces trois piliers, soutenue par une gouvernance participative, une éthique de la reconnaissance et une vision stratégique, produit une transformation éducative durable.</w:t>
      </w:r>
    </w:p>
    <w:p w14:paraId="63370539" w14:textId="77777777" w:rsidR="00D80693" w:rsidRPr="004355F1" w:rsidRDefault="00D80693" w:rsidP="002410D0">
      <w:pPr>
        <w:suppressAutoHyphens/>
        <w:spacing w:before="120" w:after="200"/>
        <w:jc w:val="both"/>
        <w:textAlignment w:val="baseline"/>
        <w:rPr>
          <w:rFonts w:eastAsia="Calibri"/>
          <w:b/>
          <w:sz w:val="28"/>
          <w:szCs w:val="28"/>
        </w:rPr>
      </w:pPr>
      <w:r w:rsidRPr="002C4782">
        <w:rPr>
          <w:rFonts w:eastAsia="Calibri"/>
          <w:b/>
          <w:sz w:val="28"/>
          <w:szCs w:val="28"/>
        </w:rPr>
        <w:t>Conclusion</w:t>
      </w:r>
      <w:r>
        <w:rPr>
          <w:rFonts w:eastAsia="Calibri"/>
          <w:b/>
          <w:sz w:val="28"/>
          <w:szCs w:val="28"/>
        </w:rPr>
        <w:t xml:space="preserve"> et perspectives</w:t>
      </w:r>
    </w:p>
    <w:p w14:paraId="50D04E6C" w14:textId="77777777" w:rsidR="00D80693" w:rsidRDefault="00D80693" w:rsidP="00735D3E">
      <w:pPr>
        <w:suppressAutoHyphens/>
        <w:spacing w:before="120" w:after="200"/>
        <w:jc w:val="both"/>
        <w:textAlignment w:val="baseline"/>
        <w:rPr>
          <w:rFonts w:eastAsia="Calibri"/>
          <w:sz w:val="24"/>
          <w:szCs w:val="24"/>
        </w:rPr>
      </w:pPr>
      <w:r w:rsidRPr="00256EED">
        <w:rPr>
          <w:rFonts w:eastAsia="Calibri"/>
          <w:sz w:val="24"/>
          <w:szCs w:val="24"/>
        </w:rPr>
        <w:t>En mobilisant les cadres théoriques de la justice procédurale, de la déviance constructive et du leadership éthique, la présente étude met en évidence un processus d’apprentissage organisationnel par la contestation. Elle montre que les mobilisations enseignantes au Cameroun ne relèvent pas uniquement d’une logique de résistance, mais d’une volonté d’être entendus et inclus dans la construction du système éducatif. Ces mobilisations traduisent en fait une quête de justice et de reconnaissance. La déviance appara</w:t>
      </w:r>
      <w:r>
        <w:rPr>
          <w:rFonts w:eastAsia="Calibri"/>
          <w:sz w:val="24"/>
          <w:szCs w:val="24"/>
        </w:rPr>
        <w:t>î</w:t>
      </w:r>
      <w:r w:rsidRPr="00256EED">
        <w:rPr>
          <w:rFonts w:eastAsia="Calibri"/>
          <w:sz w:val="24"/>
          <w:szCs w:val="24"/>
        </w:rPr>
        <w:t>t ici comme un moyen de corriger les injustices perçues et d’appeler à une gouvernance plus participative. Le reconnaître</w:t>
      </w:r>
      <w:r>
        <w:rPr>
          <w:rFonts w:eastAsia="Calibri"/>
          <w:sz w:val="24"/>
          <w:szCs w:val="24"/>
        </w:rPr>
        <w:t>,</w:t>
      </w:r>
      <w:r w:rsidRPr="00256EED">
        <w:rPr>
          <w:rFonts w:eastAsia="Calibri"/>
          <w:sz w:val="24"/>
          <w:szCs w:val="24"/>
        </w:rPr>
        <w:t xml:space="preserve"> c’est admettre qu’elle peut être créatrice : elle déstabilise pour mieux reconstruire. Cette posture rejoint les théories contemporaines de la « positive </w:t>
      </w:r>
      <w:proofErr w:type="spellStart"/>
      <w:r w:rsidRPr="00256EED">
        <w:rPr>
          <w:rFonts w:eastAsia="Calibri"/>
          <w:sz w:val="24"/>
          <w:szCs w:val="24"/>
        </w:rPr>
        <w:t>deviance</w:t>
      </w:r>
      <w:proofErr w:type="spellEnd"/>
      <w:r w:rsidRPr="00256EED">
        <w:rPr>
          <w:rFonts w:eastAsia="Calibri"/>
          <w:sz w:val="24"/>
          <w:szCs w:val="24"/>
        </w:rPr>
        <w:t xml:space="preserve"> » (Spreitzer &amp; </w:t>
      </w:r>
      <w:proofErr w:type="spellStart"/>
      <w:r w:rsidRPr="00256EED">
        <w:rPr>
          <w:rFonts w:eastAsia="Calibri"/>
          <w:sz w:val="24"/>
          <w:szCs w:val="24"/>
        </w:rPr>
        <w:t>Sonenshein</w:t>
      </w:r>
      <w:proofErr w:type="spellEnd"/>
      <w:r w:rsidRPr="00256EED">
        <w:rPr>
          <w:rFonts w:eastAsia="Calibri"/>
          <w:sz w:val="24"/>
          <w:szCs w:val="24"/>
        </w:rPr>
        <w:t>, 2004 ; Baur, 2022) et de la « </w:t>
      </w:r>
      <w:proofErr w:type="spellStart"/>
      <w:r w:rsidRPr="00256EED">
        <w:rPr>
          <w:rFonts w:eastAsia="Calibri"/>
          <w:sz w:val="24"/>
          <w:szCs w:val="24"/>
        </w:rPr>
        <w:t>voice</w:t>
      </w:r>
      <w:proofErr w:type="spellEnd"/>
      <w:r w:rsidRPr="00256EED">
        <w:rPr>
          <w:rFonts w:eastAsia="Calibri"/>
          <w:sz w:val="24"/>
          <w:szCs w:val="24"/>
        </w:rPr>
        <w:t xml:space="preserve"> </w:t>
      </w:r>
      <w:proofErr w:type="spellStart"/>
      <w:r w:rsidRPr="00256EED">
        <w:rPr>
          <w:rFonts w:eastAsia="Calibri"/>
          <w:sz w:val="24"/>
          <w:szCs w:val="24"/>
        </w:rPr>
        <w:t>theory</w:t>
      </w:r>
      <w:proofErr w:type="spellEnd"/>
      <w:r w:rsidRPr="00256EED">
        <w:rPr>
          <w:rFonts w:eastAsia="Calibri"/>
          <w:sz w:val="24"/>
          <w:szCs w:val="24"/>
        </w:rPr>
        <w:t> » (Hirschman, 1970), selon lesquelles la déviance constructive, lorsqu’elle est encadrée par la justice procédurale et un leadership éthique, devient un vecteur d’innovation et de cohésion organisationnelles. L’État, en repensant ses modes de gouvernance, gagnerait donc à : instaurer des mécanismes de médiation permanents ; former les responsables scolaires au leadership éthique</w:t>
      </w:r>
      <w:r>
        <w:rPr>
          <w:rFonts w:eastAsia="Calibri"/>
          <w:sz w:val="24"/>
          <w:szCs w:val="24"/>
        </w:rPr>
        <w:t> ;</w:t>
      </w:r>
      <w:r w:rsidRPr="00256EED">
        <w:rPr>
          <w:rFonts w:eastAsia="Calibri"/>
          <w:sz w:val="24"/>
          <w:szCs w:val="24"/>
        </w:rPr>
        <w:t xml:space="preserve"> </w:t>
      </w:r>
      <w:r>
        <w:rPr>
          <w:rFonts w:eastAsia="Calibri"/>
          <w:sz w:val="24"/>
          <w:szCs w:val="24"/>
        </w:rPr>
        <w:t>adopter</w:t>
      </w:r>
      <w:r w:rsidRPr="00256EED">
        <w:rPr>
          <w:rFonts w:eastAsia="Calibri"/>
          <w:sz w:val="24"/>
          <w:szCs w:val="24"/>
        </w:rPr>
        <w:t xml:space="preserve"> des pratiques de gestion transparentes et inclusives</w:t>
      </w:r>
      <w:r>
        <w:rPr>
          <w:rFonts w:eastAsia="Calibri"/>
          <w:sz w:val="24"/>
          <w:szCs w:val="24"/>
        </w:rPr>
        <w:t> ;</w:t>
      </w:r>
      <w:r w:rsidRPr="00256EED">
        <w:rPr>
          <w:rFonts w:eastAsia="Calibri"/>
          <w:sz w:val="24"/>
          <w:szCs w:val="24"/>
        </w:rPr>
        <w:t xml:space="preserve"> et reconnaître la valeur civique des revendications professionnelles. C</w:t>
      </w:r>
      <w:r>
        <w:rPr>
          <w:rFonts w:eastAsia="Calibri"/>
          <w:sz w:val="24"/>
          <w:szCs w:val="24"/>
        </w:rPr>
        <w:t>ela permettrait d’assurer une plus grande sta</w:t>
      </w:r>
      <w:r w:rsidRPr="00256EED">
        <w:rPr>
          <w:rFonts w:eastAsia="Calibri"/>
          <w:sz w:val="24"/>
          <w:szCs w:val="24"/>
        </w:rPr>
        <w:t xml:space="preserve">bilité sociale et un modèle durable de gouvernance éducative, fondée sur la confiance, la justice et l’innovation collective. La compréhension renouvelée de la déviance revendicative proposée ici s’inscrit dans une perspective de psychologie organisationnelle et de gouvernance publique. Elle suggère que le changement durable ne peut être imposé verticalement : il se </w:t>
      </w:r>
      <w:proofErr w:type="spellStart"/>
      <w:r w:rsidRPr="00256EED">
        <w:rPr>
          <w:rFonts w:eastAsia="Calibri"/>
          <w:sz w:val="24"/>
          <w:szCs w:val="24"/>
        </w:rPr>
        <w:t>co-construit</w:t>
      </w:r>
      <w:proofErr w:type="spellEnd"/>
      <w:r w:rsidRPr="00256EED">
        <w:rPr>
          <w:rFonts w:eastAsia="Calibri"/>
          <w:sz w:val="24"/>
          <w:szCs w:val="24"/>
        </w:rPr>
        <w:t>, dans un espace de dialogue où la déviance cesse d’être un écart pour devenir une énergie transformatrice</w:t>
      </w:r>
      <w:r w:rsidRPr="00332F2E">
        <w:rPr>
          <w:rFonts w:eastAsia="Calibri"/>
          <w:sz w:val="24"/>
          <w:szCs w:val="24"/>
        </w:rPr>
        <w:t>.</w:t>
      </w:r>
      <w:r w:rsidRPr="005F6BFF">
        <w:rPr>
          <w:rFonts w:eastAsia="Calibri"/>
          <w:sz w:val="24"/>
          <w:szCs w:val="24"/>
        </w:rPr>
        <w:t xml:space="preserve"> </w:t>
      </w:r>
    </w:p>
    <w:p w14:paraId="625D6298" w14:textId="77777777" w:rsidR="00D80693" w:rsidRDefault="00D80693" w:rsidP="00735D3E">
      <w:pPr>
        <w:suppressAutoHyphens/>
        <w:spacing w:before="120" w:after="200"/>
        <w:jc w:val="both"/>
        <w:textAlignment w:val="baseline"/>
        <w:rPr>
          <w:rFonts w:eastAsia="Calibri"/>
          <w:sz w:val="24"/>
          <w:szCs w:val="24"/>
        </w:rPr>
      </w:pPr>
      <w:r>
        <w:rPr>
          <w:rFonts w:eastAsia="Calibri"/>
          <w:sz w:val="24"/>
          <w:szCs w:val="24"/>
        </w:rPr>
        <w:t>Somme toute</w:t>
      </w:r>
      <w:r w:rsidRPr="00256EED">
        <w:rPr>
          <w:rFonts w:eastAsia="Calibri"/>
          <w:sz w:val="24"/>
          <w:szCs w:val="24"/>
        </w:rPr>
        <w:t>, loin de n’être que de simples ruptures, les mouvements revend</w:t>
      </w:r>
      <w:r>
        <w:rPr>
          <w:rFonts w:eastAsia="Calibri"/>
          <w:sz w:val="24"/>
          <w:szCs w:val="24"/>
        </w:rPr>
        <w:t>icatifs enseignants au Cameroun</w:t>
      </w:r>
      <w:r w:rsidRPr="00256EED">
        <w:rPr>
          <w:rFonts w:eastAsia="Calibri"/>
          <w:sz w:val="24"/>
          <w:szCs w:val="24"/>
        </w:rPr>
        <w:t xml:space="preserve"> sont des signaux révélateurs d’une souffrance professionnelle, d’un besoin de justice et d’un désir latent de transformation. Leur gestion soulève une tension féconde entre discipline et innovation, justice et ordre, autorité et participation. L’analyse des discours, des postures institutionnelles et des perceptions professionnelles montre qu’il est possible de sortir du cycle de réponses fragmentaires, en adoptant une approche systémique fondée sur</w:t>
      </w:r>
      <w:r>
        <w:rPr>
          <w:rFonts w:eastAsia="Calibri"/>
          <w:sz w:val="24"/>
          <w:szCs w:val="24"/>
        </w:rPr>
        <w:t xml:space="preserve"> :</w:t>
      </w:r>
    </w:p>
    <w:p w14:paraId="339C477F" w14:textId="77777777" w:rsidR="00D80693" w:rsidRDefault="00D80693" w:rsidP="002410D0">
      <w:pPr>
        <w:pStyle w:val="Paragraphedeliste"/>
        <w:widowControl/>
        <w:numPr>
          <w:ilvl w:val="0"/>
          <w:numId w:val="194"/>
        </w:numPr>
        <w:suppressAutoHyphens/>
        <w:autoSpaceDE/>
        <w:spacing w:after="200"/>
        <w:ind w:left="0" w:firstLine="360"/>
        <w:contextualSpacing/>
        <w:textAlignment w:val="baseline"/>
        <w:rPr>
          <w:rFonts w:eastAsia="Calibri"/>
          <w:sz w:val="24"/>
          <w:szCs w:val="24"/>
        </w:rPr>
      </w:pPr>
      <w:proofErr w:type="gramStart"/>
      <w:r w:rsidRPr="000C6504">
        <w:rPr>
          <w:rFonts w:eastAsia="Calibri"/>
          <w:sz w:val="24"/>
          <w:szCs w:val="24"/>
        </w:rPr>
        <w:t>une</w:t>
      </w:r>
      <w:proofErr w:type="gramEnd"/>
      <w:r w:rsidRPr="000C6504">
        <w:rPr>
          <w:rFonts w:eastAsia="Calibri"/>
          <w:sz w:val="24"/>
          <w:szCs w:val="24"/>
        </w:rPr>
        <w:t xml:space="preserve"> reconnaissance explicite du rôle constructif de certaines formes de contestation ;</w:t>
      </w:r>
    </w:p>
    <w:p w14:paraId="0D6FAAA8" w14:textId="77777777" w:rsidR="00D80693" w:rsidRDefault="00D80693" w:rsidP="002410D0">
      <w:pPr>
        <w:pStyle w:val="Paragraphedeliste"/>
        <w:widowControl/>
        <w:numPr>
          <w:ilvl w:val="0"/>
          <w:numId w:val="194"/>
        </w:numPr>
        <w:suppressAutoHyphens/>
        <w:autoSpaceDE/>
        <w:spacing w:after="200"/>
        <w:ind w:left="0" w:firstLine="360"/>
        <w:contextualSpacing/>
        <w:textAlignment w:val="baseline"/>
        <w:rPr>
          <w:rFonts w:eastAsia="Calibri"/>
          <w:sz w:val="24"/>
          <w:szCs w:val="24"/>
        </w:rPr>
      </w:pPr>
      <w:proofErr w:type="gramStart"/>
      <w:r w:rsidRPr="000C6504">
        <w:rPr>
          <w:rFonts w:eastAsia="Calibri"/>
          <w:sz w:val="24"/>
          <w:szCs w:val="24"/>
        </w:rPr>
        <w:t>une</w:t>
      </w:r>
      <w:proofErr w:type="gramEnd"/>
      <w:r w:rsidRPr="000C6504">
        <w:rPr>
          <w:rFonts w:eastAsia="Calibri"/>
          <w:sz w:val="24"/>
          <w:szCs w:val="24"/>
        </w:rPr>
        <w:t xml:space="preserve"> communication institutionnelle renforcée et proactive ;</w:t>
      </w:r>
    </w:p>
    <w:p w14:paraId="0FF2A881" w14:textId="77777777" w:rsidR="00D80693" w:rsidRDefault="00D80693" w:rsidP="002410D0">
      <w:pPr>
        <w:pStyle w:val="Paragraphedeliste"/>
        <w:widowControl/>
        <w:numPr>
          <w:ilvl w:val="0"/>
          <w:numId w:val="194"/>
        </w:numPr>
        <w:suppressAutoHyphens/>
        <w:autoSpaceDE/>
        <w:spacing w:after="200"/>
        <w:ind w:left="0" w:firstLine="360"/>
        <w:contextualSpacing/>
        <w:textAlignment w:val="baseline"/>
        <w:rPr>
          <w:rFonts w:eastAsia="Calibri"/>
          <w:sz w:val="24"/>
          <w:szCs w:val="24"/>
        </w:rPr>
      </w:pPr>
      <w:proofErr w:type="gramStart"/>
      <w:r w:rsidRPr="000C6504">
        <w:rPr>
          <w:rFonts w:eastAsia="Calibri"/>
          <w:sz w:val="24"/>
          <w:szCs w:val="24"/>
        </w:rPr>
        <w:t>une</w:t>
      </w:r>
      <w:proofErr w:type="gramEnd"/>
      <w:r w:rsidRPr="000C6504">
        <w:rPr>
          <w:rFonts w:eastAsia="Calibri"/>
          <w:sz w:val="24"/>
          <w:szCs w:val="24"/>
        </w:rPr>
        <w:t xml:space="preserve"> gouvernance participative, soucieuse de transparence et d’équité ;</w:t>
      </w:r>
    </w:p>
    <w:p w14:paraId="6B371C8D" w14:textId="77777777" w:rsidR="00D80693" w:rsidRPr="00FD0159" w:rsidRDefault="00D80693" w:rsidP="002410D0">
      <w:pPr>
        <w:pStyle w:val="Paragraphedeliste"/>
        <w:widowControl/>
        <w:numPr>
          <w:ilvl w:val="0"/>
          <w:numId w:val="194"/>
        </w:numPr>
        <w:suppressAutoHyphens/>
        <w:autoSpaceDE/>
        <w:spacing w:after="200"/>
        <w:ind w:left="0" w:firstLine="360"/>
        <w:contextualSpacing/>
        <w:textAlignment w:val="baseline"/>
        <w:rPr>
          <w:rFonts w:eastAsia="Calibri"/>
          <w:sz w:val="24"/>
          <w:szCs w:val="24"/>
        </w:rPr>
      </w:pPr>
      <w:proofErr w:type="gramStart"/>
      <w:r w:rsidRPr="000C6504">
        <w:rPr>
          <w:rFonts w:eastAsia="Calibri"/>
          <w:sz w:val="24"/>
          <w:szCs w:val="24"/>
        </w:rPr>
        <w:t>une</w:t>
      </w:r>
      <w:proofErr w:type="gramEnd"/>
      <w:r w:rsidRPr="000C6504">
        <w:rPr>
          <w:rFonts w:eastAsia="Calibri"/>
          <w:sz w:val="24"/>
          <w:szCs w:val="24"/>
        </w:rPr>
        <w:t xml:space="preserve"> stratégie de transformation organisationnelle durable, capable de dépasser la logique de crise.</w:t>
      </w:r>
    </w:p>
    <w:p w14:paraId="3C4F3633" w14:textId="77777777" w:rsidR="00D80693" w:rsidRPr="00A21EED" w:rsidRDefault="00D80693" w:rsidP="00735D3E">
      <w:pPr>
        <w:suppressAutoHyphens/>
        <w:spacing w:before="120" w:after="200"/>
        <w:jc w:val="both"/>
        <w:textAlignment w:val="baseline"/>
        <w:rPr>
          <w:rFonts w:eastAsia="Calibri"/>
          <w:sz w:val="24"/>
          <w:szCs w:val="24"/>
        </w:rPr>
      </w:pPr>
      <w:r w:rsidRPr="00256EED">
        <w:rPr>
          <w:rFonts w:eastAsia="Calibri"/>
          <w:sz w:val="24"/>
          <w:szCs w:val="24"/>
        </w:rPr>
        <w:t>Pour opérer cette transition, une étude de terrain approfondie, donnant la parole aux enseignants sur leurs vécus, attentes et stratégies d’adaptation, s’avère essentielle. Elle permettrait de mieux cerner les ressorts subjectifs de l’engagement ou du retrait professionnel et d’a</w:t>
      </w:r>
      <w:r>
        <w:rPr>
          <w:rFonts w:eastAsia="Calibri"/>
          <w:sz w:val="24"/>
          <w:szCs w:val="24"/>
        </w:rPr>
        <w:t>ncrer les politiques éducatives</w:t>
      </w:r>
      <w:r w:rsidRPr="00256EED">
        <w:rPr>
          <w:rFonts w:eastAsia="Calibri"/>
          <w:sz w:val="24"/>
          <w:szCs w:val="24"/>
        </w:rPr>
        <w:t xml:space="preserve"> dans une compréhension fine des dynamiques humaines, qui les traversent. Ceci permettrait de valider scientifiquement ces pistes et d’</w:t>
      </w:r>
      <w:r>
        <w:rPr>
          <w:rFonts w:eastAsia="Calibri"/>
          <w:sz w:val="24"/>
          <w:szCs w:val="24"/>
        </w:rPr>
        <w:t xml:space="preserve">intégrer </w:t>
      </w:r>
      <w:r w:rsidRPr="00256EED">
        <w:rPr>
          <w:rFonts w:eastAsia="Calibri"/>
          <w:sz w:val="24"/>
          <w:szCs w:val="24"/>
        </w:rPr>
        <w:t>durablement les politiques éducatives dans les réalités vécues des acteurs. La présente étude s’appuie sur des données secondaires ; des enquêtes empiriques permettraient donc de valider le modèle proposé et d’examiner les liens entre justice perçue, engagement et innovation. Les comparaisons interafricaines pourraient révéler des dynamiques similaires ou contrastées. En définitive, la justice procédurale, la déviance constructive et le leadership éthique forment un triptyque stratégique pour repenser la g</w:t>
      </w:r>
      <w:r>
        <w:rPr>
          <w:rFonts w:eastAsia="Calibri"/>
          <w:sz w:val="24"/>
          <w:szCs w:val="24"/>
        </w:rPr>
        <w:t>ouvernance éducative africaine ;</w:t>
      </w:r>
      <w:r w:rsidRPr="00256EED">
        <w:rPr>
          <w:rFonts w:eastAsia="Calibri"/>
          <w:sz w:val="24"/>
          <w:szCs w:val="24"/>
        </w:rPr>
        <w:t xml:space="preserve"> une gouvernance où la contestation devient </w:t>
      </w:r>
      <w:r>
        <w:rPr>
          <w:rFonts w:eastAsia="Calibri"/>
          <w:sz w:val="24"/>
          <w:szCs w:val="24"/>
        </w:rPr>
        <w:t>apprentissage, et la déviance</w:t>
      </w:r>
      <w:r w:rsidRPr="00256EED">
        <w:rPr>
          <w:rFonts w:eastAsia="Calibri"/>
          <w:sz w:val="24"/>
          <w:szCs w:val="24"/>
        </w:rPr>
        <w:t xml:space="preserve"> innovation</w:t>
      </w:r>
      <w:r>
        <w:rPr>
          <w:rFonts w:eastAsia="Calibri"/>
          <w:sz w:val="24"/>
          <w:szCs w:val="24"/>
        </w:rPr>
        <w:t>.</w:t>
      </w:r>
    </w:p>
    <w:p w14:paraId="45DF086F" w14:textId="77777777" w:rsidR="00D80693" w:rsidRPr="003203CF" w:rsidRDefault="00D80693" w:rsidP="002410D0">
      <w:pPr>
        <w:suppressAutoHyphens/>
        <w:spacing w:before="120" w:after="200"/>
        <w:jc w:val="both"/>
        <w:textAlignment w:val="baseline"/>
        <w:rPr>
          <w:rFonts w:eastAsia="Calibri"/>
          <w:sz w:val="28"/>
          <w:szCs w:val="28"/>
        </w:rPr>
      </w:pPr>
      <w:r w:rsidRPr="003203CF">
        <w:rPr>
          <w:rFonts w:eastAsia="Calibri"/>
          <w:b/>
          <w:sz w:val="28"/>
          <w:szCs w:val="28"/>
        </w:rPr>
        <w:t>Références bibliographiques</w:t>
      </w:r>
      <w:r w:rsidRPr="003203CF">
        <w:rPr>
          <w:rFonts w:eastAsia="Calibri"/>
          <w:sz w:val="28"/>
          <w:szCs w:val="28"/>
        </w:rPr>
        <w:t xml:space="preserve">  </w:t>
      </w:r>
    </w:p>
    <w:p w14:paraId="18537639"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370540">
        <w:rPr>
          <w:rFonts w:eastAsia="Calibri"/>
          <w:sz w:val="24"/>
          <w:szCs w:val="24"/>
        </w:rPr>
        <w:t xml:space="preserve">Adams, J. S. (1965). </w:t>
      </w:r>
      <w:r w:rsidRPr="00811634">
        <w:rPr>
          <w:rFonts w:eastAsia="Calibri"/>
          <w:sz w:val="24"/>
          <w:szCs w:val="24"/>
          <w:lang w:val="en-US"/>
        </w:rPr>
        <w:t xml:space="preserve">Inequity in social exchange. </w:t>
      </w:r>
      <w:r w:rsidRPr="00811634">
        <w:rPr>
          <w:rFonts w:eastAsia="Calibri"/>
          <w:i/>
          <w:sz w:val="24"/>
          <w:szCs w:val="24"/>
          <w:lang w:val="en-US"/>
        </w:rPr>
        <w:t>Advances in Experimental Social Psychology, 2</w:t>
      </w:r>
      <w:r w:rsidRPr="00811634">
        <w:rPr>
          <w:rFonts w:eastAsia="Calibri"/>
          <w:sz w:val="24"/>
          <w:szCs w:val="24"/>
          <w:lang w:val="en-US"/>
        </w:rPr>
        <w:t>, 267-299.</w:t>
      </w:r>
      <w:r w:rsidRPr="00811634">
        <w:rPr>
          <w:rFonts w:ascii="Calibri" w:eastAsia="Calibri" w:hAnsi="Calibri"/>
          <w:sz w:val="24"/>
          <w:szCs w:val="24"/>
          <w:lang w:val="en-GB"/>
        </w:rPr>
        <w:t xml:space="preserve"> </w:t>
      </w:r>
      <w:hyperlink r:id="rId144" w:history="1">
        <w:r w:rsidRPr="00811634">
          <w:rPr>
            <w:rFonts w:eastAsia="Calibri"/>
            <w:color w:val="0563C1"/>
            <w:sz w:val="24"/>
            <w:szCs w:val="24"/>
            <w:u w:val="single"/>
            <w:lang w:val="en-US"/>
          </w:rPr>
          <w:t>https://doi.org/10.1016/S0065-2601(8)60108-2</w:t>
        </w:r>
      </w:hyperlink>
      <w:r w:rsidRPr="00811634">
        <w:rPr>
          <w:rFonts w:eastAsia="Calibri"/>
          <w:sz w:val="24"/>
          <w:szCs w:val="24"/>
          <w:lang w:val="en-US"/>
        </w:rPr>
        <w:t xml:space="preserve"> </w:t>
      </w:r>
    </w:p>
    <w:p w14:paraId="54EB31C3"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 xml:space="preserve">Argyris, C., &amp; Schön, D.A. (1978). </w:t>
      </w:r>
      <w:r w:rsidRPr="00811634">
        <w:rPr>
          <w:rFonts w:eastAsia="Calibri"/>
          <w:i/>
          <w:sz w:val="24"/>
          <w:szCs w:val="24"/>
          <w:lang w:val="en-US"/>
        </w:rPr>
        <w:t xml:space="preserve">Organizational Learning: A Theory of Action Perspective </w:t>
      </w:r>
      <w:r w:rsidRPr="00811634">
        <w:rPr>
          <w:rFonts w:eastAsia="Calibri"/>
          <w:sz w:val="24"/>
          <w:szCs w:val="24"/>
          <w:lang w:val="en-US"/>
        </w:rPr>
        <w:t xml:space="preserve">(2). Reading, </w:t>
      </w:r>
      <w:proofErr w:type="gramStart"/>
      <w:r w:rsidRPr="00811634">
        <w:rPr>
          <w:rFonts w:eastAsia="Calibri"/>
          <w:sz w:val="24"/>
          <w:szCs w:val="24"/>
          <w:lang w:val="en-US"/>
        </w:rPr>
        <w:t>Mass :</w:t>
      </w:r>
      <w:proofErr w:type="gramEnd"/>
      <w:r w:rsidRPr="00811634">
        <w:rPr>
          <w:rFonts w:eastAsia="Calibri"/>
          <w:sz w:val="24"/>
          <w:szCs w:val="24"/>
          <w:lang w:val="en-US"/>
        </w:rPr>
        <w:t xml:space="preserve"> </w:t>
      </w:r>
      <w:r w:rsidRPr="00811634">
        <w:rPr>
          <w:rFonts w:eastAsia="Calibri"/>
          <w:sz w:val="24"/>
          <w:szCs w:val="24"/>
          <w:lang w:val="en-GB"/>
        </w:rPr>
        <w:t>Addison</w:t>
      </w:r>
      <w:r>
        <w:rPr>
          <w:rFonts w:eastAsia="Calibri"/>
          <w:sz w:val="24"/>
          <w:szCs w:val="24"/>
          <w:lang w:val="en-GB"/>
        </w:rPr>
        <w:t>-Wesley Publishing Company.</w:t>
      </w:r>
    </w:p>
    <w:p w14:paraId="5DE0E380"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 xml:space="preserve">Bardin, L. (2013). </w:t>
      </w:r>
      <w:proofErr w:type="spellStart"/>
      <w:r w:rsidRPr="00811634">
        <w:rPr>
          <w:rFonts w:eastAsia="Calibri"/>
          <w:i/>
          <w:sz w:val="24"/>
          <w:szCs w:val="24"/>
          <w:lang w:val="en-US"/>
        </w:rPr>
        <w:t>L’analyse</w:t>
      </w:r>
      <w:proofErr w:type="spellEnd"/>
      <w:r w:rsidRPr="00811634">
        <w:rPr>
          <w:rFonts w:eastAsia="Calibri"/>
          <w:i/>
          <w:sz w:val="24"/>
          <w:szCs w:val="24"/>
          <w:lang w:val="en-US"/>
        </w:rPr>
        <w:t xml:space="preserve"> de </w:t>
      </w:r>
      <w:proofErr w:type="spellStart"/>
      <w:r w:rsidRPr="00811634">
        <w:rPr>
          <w:rFonts w:eastAsia="Calibri"/>
          <w:i/>
          <w:sz w:val="24"/>
          <w:szCs w:val="24"/>
          <w:lang w:val="en-US"/>
        </w:rPr>
        <w:t>contenu</w:t>
      </w:r>
      <w:proofErr w:type="spellEnd"/>
      <w:r w:rsidRPr="00811634">
        <w:rPr>
          <w:rFonts w:eastAsia="Calibri"/>
          <w:sz w:val="24"/>
          <w:szCs w:val="24"/>
          <w:lang w:val="en-US"/>
        </w:rPr>
        <w:t xml:space="preserve">. </w:t>
      </w:r>
      <w:proofErr w:type="spellStart"/>
      <w:r w:rsidRPr="0065773E">
        <w:rPr>
          <w:rFonts w:eastAsia="Calibri"/>
          <w:sz w:val="24"/>
          <w:szCs w:val="24"/>
          <w:lang w:val="en-US"/>
        </w:rPr>
        <w:t>Quadrige</w:t>
      </w:r>
      <w:proofErr w:type="spellEnd"/>
      <w:r w:rsidRPr="0065773E">
        <w:rPr>
          <w:rFonts w:eastAsia="Calibri"/>
          <w:sz w:val="24"/>
          <w:szCs w:val="24"/>
          <w:lang w:val="en-US"/>
        </w:rPr>
        <w:t xml:space="preserve">, Press </w:t>
      </w:r>
      <w:proofErr w:type="spellStart"/>
      <w:r w:rsidRPr="0065773E">
        <w:rPr>
          <w:rFonts w:eastAsia="Calibri"/>
          <w:sz w:val="24"/>
          <w:szCs w:val="24"/>
          <w:lang w:val="en-US"/>
        </w:rPr>
        <w:t>Universitaires</w:t>
      </w:r>
      <w:proofErr w:type="spellEnd"/>
      <w:r w:rsidRPr="0065773E">
        <w:rPr>
          <w:rFonts w:eastAsia="Calibri"/>
          <w:sz w:val="24"/>
          <w:szCs w:val="24"/>
          <w:lang w:val="en-US"/>
        </w:rPr>
        <w:t xml:space="preserve"> de France. </w:t>
      </w:r>
      <w:r w:rsidRPr="00811634">
        <w:rPr>
          <w:rFonts w:eastAsia="Calibri"/>
          <w:sz w:val="24"/>
          <w:szCs w:val="24"/>
          <w:lang w:val="en-GB"/>
        </w:rPr>
        <w:t>304p</w:t>
      </w:r>
    </w:p>
    <w:p w14:paraId="1784814A" w14:textId="77777777" w:rsidR="00D80693" w:rsidRDefault="00D80693" w:rsidP="002410D0">
      <w:pPr>
        <w:suppressAutoHyphens/>
        <w:spacing w:before="120"/>
        <w:ind w:left="567" w:hanging="567"/>
        <w:jc w:val="both"/>
        <w:textAlignment w:val="baseline"/>
        <w:rPr>
          <w:rFonts w:eastAsia="Calibri"/>
          <w:sz w:val="24"/>
          <w:szCs w:val="24"/>
          <w:lang w:val="en-US"/>
        </w:rPr>
      </w:pPr>
      <w:r w:rsidRPr="00811634">
        <w:rPr>
          <w:rFonts w:eastAsia="Calibri"/>
          <w:sz w:val="24"/>
          <w:szCs w:val="24"/>
          <w:lang w:val="en-GB"/>
        </w:rPr>
        <w:t xml:space="preserve">Baur, J. E. (2022). </w:t>
      </w:r>
      <w:r w:rsidRPr="00811634">
        <w:rPr>
          <w:rFonts w:eastAsia="Calibri"/>
          <w:sz w:val="24"/>
          <w:szCs w:val="24"/>
          <w:lang w:val="en-US"/>
        </w:rPr>
        <w:t xml:space="preserve">Reconstructing Constructive </w:t>
      </w:r>
      <w:proofErr w:type="gramStart"/>
      <w:r w:rsidRPr="00811634">
        <w:rPr>
          <w:rFonts w:eastAsia="Calibri"/>
          <w:sz w:val="24"/>
          <w:szCs w:val="24"/>
          <w:lang w:val="en-US"/>
        </w:rPr>
        <w:t>Deviance :</w:t>
      </w:r>
      <w:proofErr w:type="gramEnd"/>
      <w:r w:rsidRPr="00811634">
        <w:rPr>
          <w:rFonts w:eastAsia="Calibri"/>
          <w:sz w:val="24"/>
          <w:szCs w:val="24"/>
          <w:lang w:val="en-US"/>
        </w:rPr>
        <w:t xml:space="preserve"> The Development of a Positive Employee Model for Human Resource Management. </w:t>
      </w:r>
      <w:r w:rsidRPr="00811634">
        <w:rPr>
          <w:rFonts w:eastAsia="Calibri"/>
          <w:i/>
          <w:sz w:val="24"/>
          <w:szCs w:val="24"/>
          <w:lang w:val="en-US"/>
        </w:rPr>
        <w:t>Research in Personnel and Human Resources Management, 40</w:t>
      </w:r>
      <w:r w:rsidRPr="00811634">
        <w:rPr>
          <w:rFonts w:eastAsia="Calibri"/>
          <w:sz w:val="24"/>
          <w:szCs w:val="24"/>
          <w:lang w:val="en-US"/>
        </w:rPr>
        <w:t xml:space="preserve">, 61-97. </w:t>
      </w:r>
      <w:hyperlink r:id="rId145" w:history="1">
        <w:r w:rsidRPr="00811634">
          <w:rPr>
            <w:rFonts w:eastAsia="Calibri"/>
            <w:color w:val="0563C1"/>
            <w:sz w:val="24"/>
            <w:szCs w:val="24"/>
            <w:u w:val="single"/>
            <w:lang w:val="en-GB"/>
          </w:rPr>
          <w:t>https://doi.org/10.1108/S0742-730120220000040003</w:t>
        </w:r>
      </w:hyperlink>
      <w:r w:rsidRPr="00811634">
        <w:rPr>
          <w:rFonts w:eastAsia="Calibri"/>
          <w:sz w:val="24"/>
          <w:szCs w:val="24"/>
          <w:lang w:val="en-US"/>
        </w:rPr>
        <w:t xml:space="preserve"> </w:t>
      </w:r>
    </w:p>
    <w:p w14:paraId="5160BAEA" w14:textId="77777777" w:rsidR="00D80693" w:rsidRPr="00811634" w:rsidRDefault="00D80693" w:rsidP="002410D0">
      <w:pPr>
        <w:suppressAutoHyphens/>
        <w:spacing w:before="120"/>
        <w:ind w:left="567" w:hanging="567"/>
        <w:jc w:val="both"/>
        <w:textAlignment w:val="baseline"/>
        <w:rPr>
          <w:rFonts w:eastAsia="Calibri"/>
          <w:sz w:val="24"/>
          <w:szCs w:val="24"/>
          <w:lang w:val="en-US"/>
        </w:rPr>
      </w:pPr>
      <w:r>
        <w:rPr>
          <w:rFonts w:eastAsia="Calibri"/>
          <w:sz w:val="24"/>
          <w:szCs w:val="24"/>
          <w:lang w:val="en-US"/>
        </w:rPr>
        <w:t>Brown, M.E. &amp; Treviño, L.K. (2006). Ethical leadership: A review and future directions. The Leadership Quarterly, 17(6), 595-616.</w:t>
      </w:r>
      <w:r w:rsidRPr="0065773E">
        <w:rPr>
          <w:rFonts w:ascii="Calibri" w:eastAsia="Calibri" w:hAnsi="Calibri"/>
          <w:lang w:val="en-US"/>
        </w:rPr>
        <w:t xml:space="preserve"> </w:t>
      </w:r>
      <w:hyperlink r:id="rId146" w:history="1">
        <w:r w:rsidRPr="00093058">
          <w:rPr>
            <w:rFonts w:eastAsia="Calibri"/>
            <w:color w:val="0563C1"/>
            <w:sz w:val="24"/>
            <w:szCs w:val="24"/>
            <w:u w:val="single"/>
            <w:lang w:val="en-US"/>
          </w:rPr>
          <w:t>https://doi.org/10.1016/j.leaqua.2006.10.004</w:t>
        </w:r>
      </w:hyperlink>
      <w:r>
        <w:rPr>
          <w:rFonts w:eastAsia="Calibri"/>
          <w:sz w:val="24"/>
          <w:szCs w:val="24"/>
          <w:lang w:val="en-US"/>
        </w:rPr>
        <w:t xml:space="preserve"> </w:t>
      </w:r>
    </w:p>
    <w:p w14:paraId="06EF8458" w14:textId="77777777" w:rsidR="00D80693" w:rsidRPr="00811634" w:rsidRDefault="00D80693" w:rsidP="002410D0">
      <w:pPr>
        <w:suppressAutoHyphens/>
        <w:spacing w:before="120"/>
        <w:ind w:left="567" w:hanging="567"/>
        <w:jc w:val="both"/>
        <w:textAlignment w:val="baseline"/>
        <w:rPr>
          <w:rFonts w:eastAsia="Calibri"/>
          <w:sz w:val="24"/>
          <w:szCs w:val="24"/>
          <w:lang w:val="en-US"/>
        </w:rPr>
      </w:pPr>
      <w:proofErr w:type="spellStart"/>
      <w:r w:rsidRPr="00811634">
        <w:rPr>
          <w:rFonts w:eastAsia="Calibri"/>
          <w:sz w:val="24"/>
          <w:szCs w:val="24"/>
          <w:lang w:val="en-US"/>
        </w:rPr>
        <w:t>Cropanzano</w:t>
      </w:r>
      <w:proofErr w:type="spellEnd"/>
      <w:r w:rsidRPr="00811634">
        <w:rPr>
          <w:rFonts w:eastAsia="Calibri"/>
          <w:sz w:val="24"/>
          <w:szCs w:val="24"/>
          <w:lang w:val="en-US"/>
        </w:rPr>
        <w:t xml:space="preserve">, R., &amp; Wright, T. A. (2001). When a “Happy” Worker is Really a “Productive” </w:t>
      </w:r>
      <w:proofErr w:type="gramStart"/>
      <w:r w:rsidRPr="00811634">
        <w:rPr>
          <w:rFonts w:eastAsia="Calibri"/>
          <w:sz w:val="24"/>
          <w:szCs w:val="24"/>
          <w:lang w:val="en-US"/>
        </w:rPr>
        <w:t>Worker :</w:t>
      </w:r>
      <w:proofErr w:type="gramEnd"/>
      <w:r w:rsidRPr="00811634">
        <w:rPr>
          <w:rFonts w:eastAsia="Calibri"/>
          <w:sz w:val="24"/>
          <w:szCs w:val="24"/>
          <w:lang w:val="en-US"/>
        </w:rPr>
        <w:t xml:space="preserve"> A Review and Further Refinement of the Happy-Productive Worker Thesis. </w:t>
      </w:r>
      <w:r w:rsidRPr="00811634">
        <w:rPr>
          <w:rFonts w:eastAsia="Calibri"/>
          <w:i/>
          <w:sz w:val="24"/>
          <w:szCs w:val="24"/>
          <w:lang w:val="en-US"/>
        </w:rPr>
        <w:t xml:space="preserve">Consulting Psychology </w:t>
      </w:r>
      <w:proofErr w:type="gramStart"/>
      <w:r w:rsidRPr="00811634">
        <w:rPr>
          <w:rFonts w:eastAsia="Calibri"/>
          <w:i/>
          <w:sz w:val="24"/>
          <w:szCs w:val="24"/>
          <w:lang w:val="en-US"/>
        </w:rPr>
        <w:t>Journal :</w:t>
      </w:r>
      <w:proofErr w:type="gramEnd"/>
      <w:r w:rsidRPr="00811634">
        <w:rPr>
          <w:rFonts w:eastAsia="Calibri"/>
          <w:i/>
          <w:sz w:val="24"/>
          <w:szCs w:val="24"/>
          <w:lang w:val="en-US"/>
        </w:rPr>
        <w:t xml:space="preserve"> Practice and Research</w:t>
      </w:r>
      <w:r w:rsidRPr="00811634">
        <w:rPr>
          <w:rFonts w:eastAsia="Calibri"/>
          <w:sz w:val="24"/>
          <w:szCs w:val="24"/>
          <w:lang w:val="en-US"/>
        </w:rPr>
        <w:t xml:space="preserve">, </w:t>
      </w:r>
      <w:r w:rsidRPr="00811634">
        <w:rPr>
          <w:rFonts w:eastAsia="Calibri"/>
          <w:i/>
          <w:sz w:val="24"/>
          <w:szCs w:val="24"/>
          <w:lang w:val="en-US"/>
        </w:rPr>
        <w:t>53</w:t>
      </w:r>
      <w:r w:rsidRPr="00811634">
        <w:rPr>
          <w:rFonts w:eastAsia="Calibri"/>
          <w:sz w:val="24"/>
          <w:szCs w:val="24"/>
          <w:lang w:val="en-US"/>
        </w:rPr>
        <w:t>(3), 182-199.</w:t>
      </w:r>
      <w:r w:rsidRPr="00811634">
        <w:rPr>
          <w:rFonts w:ascii="Calibri" w:eastAsia="Calibri" w:hAnsi="Calibri"/>
          <w:sz w:val="24"/>
          <w:szCs w:val="24"/>
          <w:lang w:val="en-US"/>
        </w:rPr>
        <w:t xml:space="preserve"> </w:t>
      </w:r>
      <w:hyperlink r:id="rId147" w:history="1">
        <w:r w:rsidRPr="00811634">
          <w:rPr>
            <w:rFonts w:eastAsia="Calibri"/>
            <w:color w:val="0563C1"/>
            <w:sz w:val="24"/>
            <w:szCs w:val="24"/>
            <w:u w:val="single"/>
            <w:lang w:val="en-US"/>
          </w:rPr>
          <w:t>https://doi.org/10.1037/1061-4087.53.3.182</w:t>
        </w:r>
      </w:hyperlink>
      <w:r w:rsidRPr="00811634">
        <w:rPr>
          <w:rFonts w:eastAsia="Calibri"/>
          <w:sz w:val="24"/>
          <w:szCs w:val="24"/>
          <w:lang w:val="en-US"/>
        </w:rPr>
        <w:t xml:space="preserve"> </w:t>
      </w:r>
    </w:p>
    <w:p w14:paraId="2DB4D593" w14:textId="77777777" w:rsidR="00D80693" w:rsidRPr="00811634" w:rsidRDefault="00D80693" w:rsidP="002410D0">
      <w:pPr>
        <w:suppressAutoHyphens/>
        <w:spacing w:before="120"/>
        <w:ind w:left="567" w:hanging="567"/>
        <w:jc w:val="both"/>
        <w:textAlignment w:val="baseline"/>
        <w:rPr>
          <w:rFonts w:eastAsia="Calibri"/>
          <w:sz w:val="24"/>
          <w:szCs w:val="24"/>
        </w:rPr>
      </w:pPr>
      <w:proofErr w:type="spellStart"/>
      <w:r w:rsidRPr="00811634">
        <w:rPr>
          <w:rFonts w:eastAsia="Calibri"/>
          <w:sz w:val="24"/>
          <w:szCs w:val="24"/>
          <w:lang w:val="en-US"/>
        </w:rPr>
        <w:t>Déprez</w:t>
      </w:r>
      <w:proofErr w:type="spellEnd"/>
      <w:r w:rsidRPr="00811634">
        <w:rPr>
          <w:rFonts w:eastAsia="Calibri"/>
          <w:sz w:val="24"/>
          <w:szCs w:val="24"/>
          <w:lang w:val="en-US"/>
        </w:rPr>
        <w:t xml:space="preserve">, G.R.M., Battistelli, A., </w:t>
      </w:r>
      <w:proofErr w:type="spellStart"/>
      <w:r w:rsidRPr="00811634">
        <w:rPr>
          <w:rFonts w:eastAsia="Calibri"/>
          <w:sz w:val="24"/>
          <w:szCs w:val="24"/>
          <w:lang w:val="en-US"/>
        </w:rPr>
        <w:t>Boudrias</w:t>
      </w:r>
      <w:proofErr w:type="spellEnd"/>
      <w:r w:rsidRPr="00811634">
        <w:rPr>
          <w:rFonts w:eastAsia="Calibri"/>
          <w:sz w:val="24"/>
          <w:szCs w:val="24"/>
          <w:lang w:val="en-US"/>
        </w:rPr>
        <w:t xml:space="preserve">, J.-S., &amp; Cangialosi, N. (2020). </w:t>
      </w:r>
      <w:r w:rsidRPr="00811634">
        <w:rPr>
          <w:rFonts w:eastAsia="Calibri"/>
          <w:sz w:val="24"/>
          <w:szCs w:val="24"/>
          <w:lang w:val="en-GB"/>
        </w:rPr>
        <w:t xml:space="preserve">Deviance and proactive </w:t>
      </w:r>
      <w:proofErr w:type="spellStart"/>
      <w:proofErr w:type="gramStart"/>
      <w:r w:rsidRPr="00811634">
        <w:rPr>
          <w:rFonts w:eastAsia="Calibri"/>
          <w:sz w:val="24"/>
          <w:szCs w:val="24"/>
          <w:lang w:val="en-GB"/>
        </w:rPr>
        <w:t>behaviors</w:t>
      </w:r>
      <w:proofErr w:type="spellEnd"/>
      <w:r w:rsidRPr="00811634">
        <w:rPr>
          <w:rFonts w:eastAsia="Calibri"/>
          <w:sz w:val="24"/>
          <w:szCs w:val="24"/>
          <w:lang w:val="en-GB"/>
        </w:rPr>
        <w:t xml:space="preserve"> :</w:t>
      </w:r>
      <w:proofErr w:type="gramEnd"/>
      <w:r w:rsidRPr="00811634">
        <w:rPr>
          <w:rFonts w:eastAsia="Calibri"/>
          <w:sz w:val="24"/>
          <w:szCs w:val="24"/>
          <w:lang w:val="en-GB"/>
        </w:rPr>
        <w:t xml:space="preserve"> Two distinct approaches to change and innovation in the </w:t>
      </w:r>
      <w:proofErr w:type="gramStart"/>
      <w:r w:rsidRPr="00811634">
        <w:rPr>
          <w:rFonts w:eastAsia="Calibri"/>
          <w:sz w:val="24"/>
          <w:szCs w:val="24"/>
          <w:lang w:val="en-GB"/>
        </w:rPr>
        <w:t>workplace ?</w:t>
      </w:r>
      <w:proofErr w:type="gramEnd"/>
      <w:r w:rsidRPr="00811634">
        <w:rPr>
          <w:rFonts w:eastAsia="Calibri"/>
          <w:sz w:val="24"/>
          <w:szCs w:val="24"/>
          <w:lang w:val="en-GB"/>
        </w:rPr>
        <w:t xml:space="preserve"> </w:t>
      </w:r>
      <w:r w:rsidRPr="00811634">
        <w:rPr>
          <w:rFonts w:eastAsia="Calibri"/>
          <w:i/>
          <w:sz w:val="24"/>
          <w:szCs w:val="24"/>
        </w:rPr>
        <w:t>Le Travail Humain, 83</w:t>
      </w:r>
      <w:r w:rsidRPr="00811634">
        <w:rPr>
          <w:rFonts w:eastAsia="Calibri"/>
          <w:sz w:val="24"/>
          <w:szCs w:val="24"/>
        </w:rPr>
        <w:t xml:space="preserve">(3), 235-267. </w:t>
      </w:r>
      <w:hyperlink r:id="rId148" w:history="1">
        <w:r w:rsidRPr="00811634">
          <w:rPr>
            <w:rFonts w:eastAsia="Calibri"/>
            <w:color w:val="0563C1"/>
            <w:sz w:val="24"/>
            <w:szCs w:val="24"/>
            <w:u w:val="single"/>
          </w:rPr>
          <w:t>https://doi.org/10.3917/th.833.0235</w:t>
        </w:r>
      </w:hyperlink>
    </w:p>
    <w:p w14:paraId="0D722553" w14:textId="77777777" w:rsidR="00D80693" w:rsidRPr="00811634" w:rsidRDefault="00D80693" w:rsidP="002410D0">
      <w:pPr>
        <w:suppressAutoHyphens/>
        <w:spacing w:before="120"/>
        <w:ind w:left="567" w:hanging="567"/>
        <w:jc w:val="both"/>
        <w:textAlignment w:val="baseline"/>
        <w:rPr>
          <w:rFonts w:eastAsia="Calibri"/>
          <w:sz w:val="24"/>
          <w:szCs w:val="24"/>
        </w:rPr>
      </w:pPr>
      <w:r w:rsidRPr="00811634">
        <w:rPr>
          <w:rFonts w:eastAsia="Calibri"/>
          <w:sz w:val="24"/>
          <w:szCs w:val="24"/>
        </w:rPr>
        <w:t xml:space="preserve">Etomes, S.E., </w:t>
      </w:r>
      <w:proofErr w:type="spellStart"/>
      <w:r w:rsidRPr="00811634">
        <w:rPr>
          <w:rFonts w:eastAsia="Calibri"/>
          <w:sz w:val="24"/>
          <w:szCs w:val="24"/>
        </w:rPr>
        <w:t>Endeley</w:t>
      </w:r>
      <w:proofErr w:type="spellEnd"/>
      <w:r w:rsidRPr="00811634">
        <w:rPr>
          <w:rFonts w:eastAsia="Calibri"/>
          <w:sz w:val="24"/>
          <w:szCs w:val="24"/>
        </w:rPr>
        <w:t xml:space="preserve">, M.N., Aluko, F.R., &amp; </w:t>
      </w:r>
      <w:proofErr w:type="spellStart"/>
      <w:r w:rsidRPr="00811634">
        <w:rPr>
          <w:rFonts w:eastAsia="Calibri"/>
          <w:sz w:val="24"/>
          <w:szCs w:val="24"/>
        </w:rPr>
        <w:t>Molua</w:t>
      </w:r>
      <w:proofErr w:type="spellEnd"/>
      <w:r w:rsidRPr="00811634">
        <w:rPr>
          <w:rFonts w:eastAsia="Calibri"/>
          <w:sz w:val="24"/>
          <w:szCs w:val="24"/>
        </w:rPr>
        <w:t xml:space="preserve">, E. L. (2024). </w:t>
      </w:r>
      <w:r w:rsidRPr="00811634">
        <w:rPr>
          <w:rFonts w:eastAsia="Calibri"/>
          <w:sz w:val="24"/>
          <w:szCs w:val="24"/>
          <w:lang w:val="en-US"/>
        </w:rPr>
        <w:t xml:space="preserve">Transformational leadership for sustainable productivity in higher education institutions of Cameroon. </w:t>
      </w:r>
      <w:proofErr w:type="spellStart"/>
      <w:r w:rsidRPr="00811634">
        <w:rPr>
          <w:rFonts w:eastAsia="Calibri"/>
          <w:i/>
          <w:sz w:val="24"/>
          <w:szCs w:val="24"/>
        </w:rPr>
        <w:t>Higher</w:t>
      </w:r>
      <w:proofErr w:type="spellEnd"/>
      <w:r w:rsidRPr="00811634">
        <w:rPr>
          <w:rFonts w:eastAsia="Calibri"/>
          <w:i/>
          <w:sz w:val="24"/>
          <w:szCs w:val="24"/>
        </w:rPr>
        <w:t xml:space="preserve"> Education, 90</w:t>
      </w:r>
      <w:r w:rsidRPr="00811634">
        <w:rPr>
          <w:rFonts w:eastAsia="Calibri"/>
          <w:sz w:val="24"/>
          <w:szCs w:val="24"/>
        </w:rPr>
        <w:t xml:space="preserve">(2), 521-543. </w:t>
      </w:r>
      <w:hyperlink r:id="rId149" w:history="1">
        <w:r w:rsidRPr="00811634">
          <w:rPr>
            <w:rFonts w:eastAsia="Calibri"/>
            <w:color w:val="0563C1"/>
            <w:sz w:val="24"/>
            <w:szCs w:val="24"/>
            <w:u w:val="single"/>
          </w:rPr>
          <w:t>https://doi.org/10.1007/s10734-024-01334-7</w:t>
        </w:r>
      </w:hyperlink>
    </w:p>
    <w:p w14:paraId="6F0E881D"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rPr>
        <w:t xml:space="preserve">Freire, Paulo. (1974). </w:t>
      </w:r>
      <w:r w:rsidRPr="00811634">
        <w:rPr>
          <w:rFonts w:eastAsia="Calibri"/>
          <w:i/>
          <w:sz w:val="24"/>
          <w:szCs w:val="24"/>
        </w:rPr>
        <w:t>Pédagogie des opprimés</w:t>
      </w:r>
      <w:r w:rsidRPr="00811634">
        <w:rPr>
          <w:rFonts w:eastAsia="Calibri"/>
          <w:sz w:val="24"/>
          <w:szCs w:val="24"/>
        </w:rPr>
        <w:t xml:space="preserve">. </w:t>
      </w:r>
      <w:r w:rsidRPr="00811634">
        <w:rPr>
          <w:rFonts w:eastAsia="Calibri"/>
          <w:sz w:val="24"/>
          <w:szCs w:val="24"/>
          <w:lang w:val="en-GB"/>
        </w:rPr>
        <w:t>Petite Collection Maspero, (130), 205p</w:t>
      </w:r>
    </w:p>
    <w:p w14:paraId="1B88ABC3"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 xml:space="preserve">Galperin, B. (2003). Can Workplace Deviance Be </w:t>
      </w:r>
      <w:proofErr w:type="gramStart"/>
      <w:r w:rsidRPr="00811634">
        <w:rPr>
          <w:rFonts w:eastAsia="Calibri"/>
          <w:sz w:val="24"/>
          <w:szCs w:val="24"/>
          <w:lang w:val="en-US"/>
        </w:rPr>
        <w:t>Constructive ?</w:t>
      </w:r>
      <w:proofErr w:type="gramEnd"/>
      <w:r w:rsidRPr="00811634">
        <w:rPr>
          <w:rFonts w:eastAsia="Calibri"/>
          <w:sz w:val="24"/>
          <w:szCs w:val="24"/>
          <w:lang w:val="en-US"/>
        </w:rPr>
        <w:t xml:space="preserve"> </w:t>
      </w:r>
      <w:r w:rsidRPr="00811634">
        <w:rPr>
          <w:rFonts w:eastAsia="Calibri"/>
          <w:i/>
          <w:sz w:val="24"/>
          <w:szCs w:val="24"/>
          <w:lang w:val="en-US"/>
        </w:rPr>
        <w:t>Misbehavior and Dysfunctional Attitudes in Organizations</w:t>
      </w:r>
      <w:r w:rsidRPr="00811634">
        <w:rPr>
          <w:rFonts w:eastAsia="Calibri"/>
          <w:sz w:val="24"/>
          <w:szCs w:val="24"/>
          <w:lang w:val="en-US"/>
        </w:rPr>
        <w:t xml:space="preserve">, pp154-170. </w:t>
      </w:r>
      <w:hyperlink r:id="rId150" w:history="1">
        <w:r w:rsidRPr="00811634">
          <w:rPr>
            <w:rFonts w:eastAsia="Calibri"/>
            <w:color w:val="0563C1"/>
            <w:sz w:val="24"/>
            <w:szCs w:val="24"/>
            <w:u w:val="single"/>
            <w:lang w:val="en-US"/>
          </w:rPr>
          <w:t>https://doi.org/10.1057/9780230288829_9</w:t>
        </w:r>
      </w:hyperlink>
    </w:p>
    <w:p w14:paraId="6532089E"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 xml:space="preserve">Greenberg, J. (1990). Organizational </w:t>
      </w:r>
      <w:proofErr w:type="gramStart"/>
      <w:r w:rsidRPr="00811634">
        <w:rPr>
          <w:rFonts w:eastAsia="Calibri"/>
          <w:sz w:val="24"/>
          <w:szCs w:val="24"/>
          <w:lang w:val="en-US"/>
        </w:rPr>
        <w:t>justice :</w:t>
      </w:r>
      <w:proofErr w:type="gramEnd"/>
      <w:r w:rsidRPr="00811634">
        <w:rPr>
          <w:rFonts w:eastAsia="Calibri"/>
          <w:sz w:val="24"/>
          <w:szCs w:val="24"/>
          <w:lang w:val="en-US"/>
        </w:rPr>
        <w:t xml:space="preserve"> Yesterday, today, and tomorrow. </w:t>
      </w:r>
      <w:r w:rsidRPr="00811634">
        <w:rPr>
          <w:rFonts w:eastAsia="Calibri"/>
          <w:i/>
          <w:sz w:val="24"/>
          <w:szCs w:val="24"/>
          <w:lang w:val="en-US"/>
        </w:rPr>
        <w:t>Journal of Management, 16</w:t>
      </w:r>
      <w:r w:rsidRPr="00811634">
        <w:rPr>
          <w:rFonts w:eastAsia="Calibri"/>
          <w:sz w:val="24"/>
          <w:szCs w:val="24"/>
          <w:lang w:val="en-US"/>
        </w:rPr>
        <w:t xml:space="preserve">(2), 399-432. </w:t>
      </w:r>
      <w:hyperlink r:id="rId151" w:history="1">
        <w:r w:rsidRPr="00811634">
          <w:rPr>
            <w:rFonts w:eastAsia="Calibri"/>
            <w:color w:val="0563C1"/>
            <w:sz w:val="24"/>
            <w:szCs w:val="24"/>
            <w:u w:val="single"/>
            <w:lang w:val="en-US"/>
          </w:rPr>
          <w:t>https://doi.org/10.1177/014920639001600208</w:t>
        </w:r>
      </w:hyperlink>
    </w:p>
    <w:p w14:paraId="4B8178C1"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 xml:space="preserve">Grobler, Anton, &amp; Grobler, Sonja (2024). Bridging the </w:t>
      </w:r>
      <w:proofErr w:type="gramStart"/>
      <w:r w:rsidRPr="00811634">
        <w:rPr>
          <w:rFonts w:eastAsia="Calibri"/>
          <w:sz w:val="24"/>
          <w:szCs w:val="24"/>
          <w:lang w:val="en-US"/>
        </w:rPr>
        <w:t>gap :</w:t>
      </w:r>
      <w:proofErr w:type="gramEnd"/>
      <w:r w:rsidRPr="00811634">
        <w:rPr>
          <w:rFonts w:eastAsia="Calibri"/>
          <w:sz w:val="24"/>
          <w:szCs w:val="24"/>
          <w:lang w:val="en-US"/>
        </w:rPr>
        <w:t xml:space="preserve"> Ethical leadership, human resource practices and </w:t>
      </w:r>
      <w:proofErr w:type="spellStart"/>
      <w:r w:rsidRPr="00811634">
        <w:rPr>
          <w:rFonts w:eastAsia="Calibri"/>
          <w:sz w:val="24"/>
          <w:szCs w:val="24"/>
          <w:lang w:val="en-US"/>
        </w:rPr>
        <w:t>organisational</w:t>
      </w:r>
      <w:proofErr w:type="spellEnd"/>
      <w:r w:rsidRPr="00811634">
        <w:rPr>
          <w:rFonts w:eastAsia="Calibri"/>
          <w:sz w:val="24"/>
          <w:szCs w:val="24"/>
          <w:lang w:val="en-US"/>
        </w:rPr>
        <w:t xml:space="preserve"> justice. SA Journal of Human Resource Management, 22(1). </w:t>
      </w:r>
      <w:hyperlink r:id="rId152" w:history="1">
        <w:r w:rsidRPr="00811634">
          <w:rPr>
            <w:rFonts w:eastAsia="Calibri"/>
            <w:color w:val="0563C1"/>
            <w:sz w:val="24"/>
            <w:szCs w:val="24"/>
            <w:u w:val="single"/>
            <w:lang w:val="en-US"/>
          </w:rPr>
          <w:t>https://doi.org/10.4102/sajhrm.v22i0.2697</w:t>
        </w:r>
      </w:hyperlink>
    </w:p>
    <w:p w14:paraId="41025868"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 xml:space="preserve">Hirschman, A.O. (1970). </w:t>
      </w:r>
      <w:r w:rsidRPr="00811634">
        <w:rPr>
          <w:rFonts w:eastAsia="Calibri"/>
          <w:i/>
          <w:sz w:val="24"/>
          <w:szCs w:val="24"/>
          <w:lang w:val="en-US"/>
        </w:rPr>
        <w:t xml:space="preserve">Exit, Voice and </w:t>
      </w:r>
      <w:proofErr w:type="gramStart"/>
      <w:r w:rsidRPr="00811634">
        <w:rPr>
          <w:rFonts w:eastAsia="Calibri"/>
          <w:i/>
          <w:sz w:val="24"/>
          <w:szCs w:val="24"/>
          <w:lang w:val="en-US"/>
        </w:rPr>
        <w:t>Loyalty :</w:t>
      </w:r>
      <w:proofErr w:type="gramEnd"/>
      <w:r w:rsidRPr="00811634">
        <w:rPr>
          <w:rFonts w:eastAsia="Calibri"/>
          <w:i/>
          <w:sz w:val="24"/>
          <w:szCs w:val="24"/>
          <w:lang w:val="en-US"/>
        </w:rPr>
        <w:t xml:space="preserve"> Responses to Decline in Firms, Organizations and States</w:t>
      </w:r>
      <w:r>
        <w:rPr>
          <w:rFonts w:eastAsia="Calibri"/>
          <w:sz w:val="24"/>
          <w:szCs w:val="24"/>
          <w:lang w:val="en-US"/>
        </w:rPr>
        <w:t>. Harvard University Press</w:t>
      </w:r>
      <w:r w:rsidRPr="00811634">
        <w:rPr>
          <w:rFonts w:eastAsia="Calibri"/>
          <w:sz w:val="24"/>
          <w:szCs w:val="24"/>
          <w:lang w:val="en-US"/>
        </w:rPr>
        <w:t>.</w:t>
      </w:r>
    </w:p>
    <w:p w14:paraId="120674E3"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GB"/>
        </w:rPr>
        <w:t xml:space="preserve">Jordan, R., Fitzsimmons, </w:t>
      </w:r>
      <w:proofErr w:type="gramStart"/>
      <w:r w:rsidRPr="00811634">
        <w:rPr>
          <w:rFonts w:eastAsia="Calibri"/>
          <w:sz w:val="24"/>
          <w:szCs w:val="24"/>
          <w:lang w:val="en-GB"/>
        </w:rPr>
        <w:t>T..W</w:t>
      </w:r>
      <w:proofErr w:type="gramEnd"/>
      <w:r w:rsidRPr="00811634">
        <w:rPr>
          <w:rFonts w:eastAsia="Calibri"/>
          <w:sz w:val="24"/>
          <w:szCs w:val="24"/>
          <w:lang w:val="en-GB"/>
        </w:rPr>
        <w:t xml:space="preserve">, &amp; Callan, V.J. (2023). Positively Deviant: New Evidence for the Beneficial Capital of </w:t>
      </w:r>
      <w:proofErr w:type="spellStart"/>
      <w:r w:rsidRPr="00811634">
        <w:rPr>
          <w:rFonts w:eastAsia="Calibri"/>
          <w:sz w:val="24"/>
          <w:szCs w:val="24"/>
          <w:lang w:val="en-GB"/>
        </w:rPr>
        <w:t>Maverickism</w:t>
      </w:r>
      <w:proofErr w:type="spellEnd"/>
      <w:r w:rsidRPr="00811634">
        <w:rPr>
          <w:rFonts w:eastAsia="Calibri"/>
          <w:sz w:val="24"/>
          <w:szCs w:val="24"/>
          <w:lang w:val="en-GB"/>
        </w:rPr>
        <w:t xml:space="preserve"> to Organizations. Group &amp; Organization Management, </w:t>
      </w:r>
      <w:r w:rsidRPr="00811634">
        <w:rPr>
          <w:rFonts w:eastAsia="Calibri"/>
          <w:i/>
          <w:sz w:val="24"/>
          <w:szCs w:val="24"/>
          <w:lang w:val="en-GB"/>
        </w:rPr>
        <w:t>48</w:t>
      </w:r>
      <w:r w:rsidRPr="00811634">
        <w:rPr>
          <w:rFonts w:eastAsia="Calibri"/>
          <w:sz w:val="24"/>
          <w:szCs w:val="24"/>
          <w:lang w:val="en-GB"/>
        </w:rPr>
        <w:t xml:space="preserve">(5), 1254-1305. </w:t>
      </w:r>
      <w:hyperlink r:id="rId153" w:history="1">
        <w:r w:rsidRPr="00811634">
          <w:rPr>
            <w:rFonts w:eastAsia="Calibri"/>
            <w:color w:val="0563C1"/>
            <w:sz w:val="24"/>
            <w:szCs w:val="24"/>
            <w:u w:val="single"/>
            <w:lang w:val="en-GB"/>
          </w:rPr>
          <w:t>https://doi.org/10.1177/10596011221102297</w:t>
        </w:r>
      </w:hyperlink>
    </w:p>
    <w:p w14:paraId="1CBED98C" w14:textId="77777777" w:rsidR="00D80693" w:rsidRPr="00811634" w:rsidRDefault="00D80693" w:rsidP="002410D0">
      <w:pPr>
        <w:suppressAutoHyphens/>
        <w:spacing w:before="120"/>
        <w:ind w:left="567" w:hanging="567"/>
        <w:jc w:val="both"/>
        <w:textAlignment w:val="baseline"/>
        <w:rPr>
          <w:rFonts w:eastAsia="Calibri"/>
          <w:sz w:val="24"/>
          <w:szCs w:val="24"/>
        </w:rPr>
      </w:pPr>
      <w:proofErr w:type="spellStart"/>
      <w:r w:rsidRPr="00811634">
        <w:rPr>
          <w:rFonts w:eastAsia="Calibri"/>
          <w:sz w:val="24"/>
          <w:szCs w:val="24"/>
          <w:lang w:val="en-GB"/>
        </w:rPr>
        <w:t>Mveme</w:t>
      </w:r>
      <w:proofErr w:type="spellEnd"/>
      <w:r w:rsidRPr="00811634">
        <w:rPr>
          <w:rFonts w:eastAsia="Calibri"/>
          <w:sz w:val="24"/>
          <w:szCs w:val="24"/>
          <w:lang w:val="en-GB"/>
        </w:rPr>
        <w:t xml:space="preserve"> </w:t>
      </w:r>
      <w:proofErr w:type="spellStart"/>
      <w:r w:rsidRPr="00811634">
        <w:rPr>
          <w:rFonts w:eastAsia="Calibri"/>
          <w:sz w:val="24"/>
          <w:szCs w:val="24"/>
          <w:lang w:val="en-GB"/>
        </w:rPr>
        <w:t>Olougou</w:t>
      </w:r>
      <w:proofErr w:type="spellEnd"/>
      <w:r w:rsidRPr="00811634">
        <w:rPr>
          <w:rFonts w:eastAsia="Calibri"/>
          <w:sz w:val="24"/>
          <w:szCs w:val="24"/>
          <w:lang w:val="en-GB"/>
        </w:rPr>
        <w:t xml:space="preserve">, M.M. (2024). </w:t>
      </w:r>
      <w:r w:rsidRPr="00811634">
        <w:rPr>
          <w:rFonts w:eastAsia="Calibri"/>
          <w:sz w:val="24"/>
          <w:szCs w:val="24"/>
        </w:rPr>
        <w:t>Perception des disparités juridico-administratives des profils des enseignants du primaire et dérives de la fonction enseignante au Cameroun. Dans P. Nguemeta (</w:t>
      </w:r>
      <w:proofErr w:type="spellStart"/>
      <w:r w:rsidRPr="00811634">
        <w:rPr>
          <w:rFonts w:eastAsia="Calibri"/>
          <w:sz w:val="24"/>
          <w:szCs w:val="24"/>
        </w:rPr>
        <w:t>dir</w:t>
      </w:r>
      <w:proofErr w:type="spellEnd"/>
      <w:r w:rsidRPr="00811634">
        <w:rPr>
          <w:rFonts w:eastAsia="Calibri"/>
          <w:sz w:val="24"/>
          <w:szCs w:val="24"/>
        </w:rPr>
        <w:t xml:space="preserve">.) </w:t>
      </w:r>
      <w:r w:rsidRPr="00811634">
        <w:rPr>
          <w:rFonts w:eastAsia="Calibri"/>
          <w:i/>
          <w:sz w:val="24"/>
          <w:szCs w:val="24"/>
        </w:rPr>
        <w:t xml:space="preserve">Autour de Popper : Art, science, politique et pédagogie </w:t>
      </w:r>
      <w:r>
        <w:rPr>
          <w:rFonts w:eastAsia="Calibri"/>
          <w:sz w:val="24"/>
          <w:szCs w:val="24"/>
        </w:rPr>
        <w:t xml:space="preserve">(pp. 263-284), </w:t>
      </w:r>
      <w:proofErr w:type="spellStart"/>
      <w:r>
        <w:rPr>
          <w:rFonts w:eastAsia="Calibri"/>
          <w:sz w:val="24"/>
          <w:szCs w:val="24"/>
        </w:rPr>
        <w:t>L’Harmattan</w:t>
      </w:r>
      <w:proofErr w:type="spellEnd"/>
      <w:r w:rsidRPr="00811634">
        <w:rPr>
          <w:rFonts w:eastAsia="Calibri"/>
          <w:sz w:val="24"/>
          <w:szCs w:val="24"/>
        </w:rPr>
        <w:t>.</w:t>
      </w:r>
    </w:p>
    <w:p w14:paraId="60AC825C" w14:textId="77777777" w:rsidR="00D80693" w:rsidRPr="00811634" w:rsidRDefault="00D80693" w:rsidP="002410D0">
      <w:pPr>
        <w:suppressAutoHyphens/>
        <w:spacing w:before="120"/>
        <w:ind w:left="567" w:hanging="567"/>
        <w:jc w:val="both"/>
        <w:textAlignment w:val="baseline"/>
        <w:rPr>
          <w:rFonts w:eastAsia="Calibri"/>
          <w:sz w:val="24"/>
          <w:szCs w:val="24"/>
        </w:rPr>
      </w:pPr>
      <w:proofErr w:type="spellStart"/>
      <w:r w:rsidRPr="0065773E">
        <w:rPr>
          <w:rFonts w:eastAsia="Calibri"/>
          <w:sz w:val="24"/>
          <w:szCs w:val="24"/>
        </w:rPr>
        <w:t>Mveme</w:t>
      </w:r>
      <w:proofErr w:type="spellEnd"/>
      <w:r w:rsidRPr="0065773E">
        <w:rPr>
          <w:rFonts w:eastAsia="Calibri"/>
          <w:sz w:val="24"/>
          <w:szCs w:val="24"/>
        </w:rPr>
        <w:t xml:space="preserve"> </w:t>
      </w:r>
      <w:proofErr w:type="spellStart"/>
      <w:r w:rsidRPr="0065773E">
        <w:rPr>
          <w:rFonts w:eastAsia="Calibri"/>
          <w:sz w:val="24"/>
          <w:szCs w:val="24"/>
        </w:rPr>
        <w:t>Olougou</w:t>
      </w:r>
      <w:proofErr w:type="spellEnd"/>
      <w:r w:rsidRPr="0065773E">
        <w:rPr>
          <w:rFonts w:eastAsia="Calibri"/>
          <w:sz w:val="24"/>
          <w:szCs w:val="24"/>
        </w:rPr>
        <w:t xml:space="preserve">, M.M. (2025a). </w:t>
      </w:r>
      <w:r w:rsidRPr="00811634">
        <w:rPr>
          <w:rFonts w:eastAsia="Calibri"/>
          <w:sz w:val="24"/>
          <w:szCs w:val="24"/>
        </w:rPr>
        <w:t xml:space="preserve">Perception de la déviance et ajustement organisationnel : Cas des mouvements revendicatifs des enseignants camerounais. </w:t>
      </w:r>
      <w:r w:rsidRPr="00811634">
        <w:rPr>
          <w:rFonts w:eastAsia="Calibri"/>
          <w:i/>
          <w:sz w:val="24"/>
          <w:szCs w:val="24"/>
        </w:rPr>
        <w:t>REBUSS/HL</w:t>
      </w:r>
      <w:r w:rsidRPr="00811634">
        <w:rPr>
          <w:rFonts w:eastAsia="Calibri"/>
          <w:sz w:val="24"/>
          <w:szCs w:val="24"/>
        </w:rPr>
        <w:t xml:space="preserve">, </w:t>
      </w:r>
      <w:r w:rsidRPr="00811634">
        <w:rPr>
          <w:rFonts w:eastAsia="Calibri"/>
          <w:i/>
          <w:sz w:val="24"/>
          <w:szCs w:val="24"/>
        </w:rPr>
        <w:t>4</w:t>
      </w:r>
      <w:r w:rsidRPr="00811634">
        <w:rPr>
          <w:rFonts w:eastAsia="Calibri"/>
          <w:sz w:val="24"/>
          <w:szCs w:val="24"/>
        </w:rPr>
        <w:t>, 293-320.</w:t>
      </w:r>
    </w:p>
    <w:p w14:paraId="5511ED98" w14:textId="77777777" w:rsidR="00D80693" w:rsidRDefault="00D80693" w:rsidP="002410D0">
      <w:pPr>
        <w:suppressAutoHyphens/>
        <w:spacing w:before="120"/>
        <w:ind w:left="567" w:hanging="567"/>
        <w:jc w:val="both"/>
        <w:textAlignment w:val="baseline"/>
        <w:rPr>
          <w:rFonts w:eastAsia="Calibri"/>
          <w:sz w:val="24"/>
          <w:szCs w:val="24"/>
        </w:rPr>
      </w:pPr>
      <w:r w:rsidRPr="00811634">
        <w:rPr>
          <w:rFonts w:eastAsia="Calibri"/>
          <w:sz w:val="24"/>
          <w:szCs w:val="24"/>
        </w:rPr>
        <w:t xml:space="preserve"> </w:t>
      </w:r>
      <w:proofErr w:type="spellStart"/>
      <w:r w:rsidRPr="00811634">
        <w:rPr>
          <w:rFonts w:eastAsia="Calibri"/>
          <w:sz w:val="24"/>
          <w:szCs w:val="24"/>
        </w:rPr>
        <w:t>Mveme</w:t>
      </w:r>
      <w:proofErr w:type="spellEnd"/>
      <w:r w:rsidRPr="00811634">
        <w:rPr>
          <w:rFonts w:eastAsia="Calibri"/>
          <w:sz w:val="24"/>
          <w:szCs w:val="24"/>
        </w:rPr>
        <w:t xml:space="preserve"> </w:t>
      </w:r>
      <w:proofErr w:type="spellStart"/>
      <w:r w:rsidRPr="00811634">
        <w:rPr>
          <w:rFonts w:eastAsia="Calibri"/>
          <w:sz w:val="24"/>
          <w:szCs w:val="24"/>
        </w:rPr>
        <w:t>Olougou</w:t>
      </w:r>
      <w:proofErr w:type="spellEnd"/>
      <w:r w:rsidRPr="00811634">
        <w:rPr>
          <w:rFonts w:eastAsia="Calibri"/>
          <w:sz w:val="24"/>
          <w:szCs w:val="24"/>
        </w:rPr>
        <w:t xml:space="preserve">, M.M. (2025b). La déviance au travail : entre innovation et rigueur disciplinaire, quelle approche pour une organisation durable ? </w:t>
      </w:r>
      <w:r w:rsidRPr="00811634">
        <w:rPr>
          <w:rFonts w:eastAsia="Calibri"/>
          <w:i/>
          <w:sz w:val="24"/>
          <w:szCs w:val="24"/>
        </w:rPr>
        <w:t>Cahier Ivoirien de Psychologie</w:t>
      </w:r>
      <w:r w:rsidRPr="00811634">
        <w:rPr>
          <w:rFonts w:eastAsia="Calibri"/>
          <w:sz w:val="24"/>
          <w:szCs w:val="24"/>
        </w:rPr>
        <w:t xml:space="preserve">, </w:t>
      </w:r>
      <w:r w:rsidRPr="00811634">
        <w:rPr>
          <w:rFonts w:eastAsia="Calibri"/>
          <w:i/>
          <w:sz w:val="24"/>
          <w:szCs w:val="24"/>
        </w:rPr>
        <w:t>22</w:t>
      </w:r>
      <w:r w:rsidRPr="00811634">
        <w:rPr>
          <w:rFonts w:eastAsia="Calibri"/>
          <w:sz w:val="24"/>
          <w:szCs w:val="24"/>
        </w:rPr>
        <w:t>, 54-72.</w:t>
      </w:r>
    </w:p>
    <w:p w14:paraId="2BD4C8D2" w14:textId="77777777" w:rsidR="00D80693" w:rsidRPr="0065773E" w:rsidRDefault="00D80693" w:rsidP="002410D0">
      <w:pPr>
        <w:suppressAutoHyphens/>
        <w:spacing w:before="120"/>
        <w:ind w:left="567" w:hanging="567"/>
        <w:jc w:val="both"/>
        <w:textAlignment w:val="baseline"/>
        <w:rPr>
          <w:rFonts w:eastAsia="Calibri"/>
          <w:sz w:val="24"/>
          <w:szCs w:val="24"/>
          <w:lang w:val="pt-PT"/>
        </w:rPr>
      </w:pPr>
      <w:r w:rsidRPr="009B2680">
        <w:rPr>
          <w:rFonts w:eastAsia="Calibri"/>
          <w:sz w:val="24"/>
          <w:szCs w:val="24"/>
        </w:rPr>
        <w:t>Paillé, P., &amp; Mucchielli, A. (</w:t>
      </w:r>
      <w:r>
        <w:rPr>
          <w:rFonts w:eastAsia="Calibri"/>
          <w:sz w:val="24"/>
          <w:szCs w:val="24"/>
        </w:rPr>
        <w:t>2021</w:t>
      </w:r>
      <w:r w:rsidRPr="009B2680">
        <w:rPr>
          <w:rFonts w:eastAsia="Calibri"/>
          <w:sz w:val="24"/>
          <w:szCs w:val="24"/>
        </w:rPr>
        <w:t xml:space="preserve">). </w:t>
      </w:r>
      <w:r w:rsidRPr="006819C8">
        <w:rPr>
          <w:rFonts w:eastAsia="Calibri"/>
          <w:i/>
          <w:sz w:val="24"/>
          <w:szCs w:val="24"/>
        </w:rPr>
        <w:t>L’analyse qualitative en sciences humaines et sociales</w:t>
      </w:r>
      <w:r>
        <w:rPr>
          <w:rFonts w:eastAsia="Calibri"/>
          <w:sz w:val="24"/>
          <w:szCs w:val="24"/>
        </w:rPr>
        <w:t xml:space="preserve"> (</w:t>
      </w:r>
      <w:r w:rsidRPr="009B2680">
        <w:rPr>
          <w:rFonts w:eastAsia="Calibri"/>
          <w:sz w:val="24"/>
          <w:szCs w:val="24"/>
        </w:rPr>
        <w:t>5</w:t>
      </w:r>
      <w:r>
        <w:rPr>
          <w:rFonts w:eastAsia="Calibri"/>
          <w:sz w:val="24"/>
          <w:szCs w:val="24"/>
        </w:rPr>
        <w:t>e é</w:t>
      </w:r>
      <w:r w:rsidRPr="009B2680">
        <w:rPr>
          <w:rFonts w:eastAsia="Calibri"/>
          <w:sz w:val="24"/>
          <w:szCs w:val="24"/>
        </w:rPr>
        <w:t>d</w:t>
      </w:r>
      <w:r>
        <w:rPr>
          <w:rFonts w:eastAsia="Calibri"/>
          <w:sz w:val="24"/>
          <w:szCs w:val="24"/>
        </w:rPr>
        <w:t xml:space="preserve">.). </w:t>
      </w:r>
      <w:r w:rsidRPr="0065773E">
        <w:rPr>
          <w:rFonts w:eastAsia="Calibri"/>
          <w:sz w:val="24"/>
          <w:szCs w:val="24"/>
          <w:lang w:val="pt-PT"/>
        </w:rPr>
        <w:t xml:space="preserve">Armand Colin. </w:t>
      </w:r>
    </w:p>
    <w:p w14:paraId="1D28E9A5" w14:textId="77777777" w:rsidR="00D80693" w:rsidRPr="00811634" w:rsidRDefault="00D80693" w:rsidP="002410D0">
      <w:pPr>
        <w:suppressAutoHyphens/>
        <w:spacing w:before="120"/>
        <w:ind w:left="567" w:hanging="567"/>
        <w:jc w:val="both"/>
        <w:textAlignment w:val="baseline"/>
        <w:rPr>
          <w:rFonts w:eastAsia="Calibri"/>
          <w:sz w:val="24"/>
          <w:szCs w:val="24"/>
          <w:lang w:val="en-US"/>
        </w:rPr>
      </w:pPr>
      <w:r w:rsidRPr="0065773E">
        <w:rPr>
          <w:rFonts w:eastAsia="Calibri"/>
          <w:sz w:val="24"/>
          <w:szCs w:val="24"/>
          <w:lang w:val="pt-PT"/>
        </w:rPr>
        <w:t xml:space="preserve">Popescu, I.-A., Cimino, A., &amp; Coniglio, I.M. (2024). </w:t>
      </w:r>
      <w:r w:rsidRPr="00811634">
        <w:rPr>
          <w:rFonts w:eastAsia="Calibri"/>
          <w:sz w:val="24"/>
          <w:szCs w:val="24"/>
          <w:lang w:val="en-GB"/>
        </w:rPr>
        <w:t xml:space="preserve">A business ethics perspective on constructive deviant </w:t>
      </w:r>
      <w:proofErr w:type="spellStart"/>
      <w:r w:rsidRPr="00811634">
        <w:rPr>
          <w:rFonts w:eastAsia="Calibri"/>
          <w:sz w:val="24"/>
          <w:szCs w:val="24"/>
          <w:lang w:val="en-GB"/>
        </w:rPr>
        <w:t>behavior</w:t>
      </w:r>
      <w:proofErr w:type="spellEnd"/>
      <w:r w:rsidRPr="00811634">
        <w:rPr>
          <w:rFonts w:eastAsia="Calibri"/>
          <w:sz w:val="24"/>
          <w:szCs w:val="24"/>
          <w:lang w:val="en-GB"/>
        </w:rPr>
        <w:t xml:space="preserve"> in </w:t>
      </w:r>
      <w:proofErr w:type="gramStart"/>
      <w:r w:rsidRPr="00811634">
        <w:rPr>
          <w:rFonts w:eastAsia="Calibri"/>
          <w:sz w:val="24"/>
          <w:szCs w:val="24"/>
          <w:lang w:val="en-GB"/>
        </w:rPr>
        <w:t>organizations :</w:t>
      </w:r>
      <w:proofErr w:type="gramEnd"/>
      <w:r w:rsidRPr="00811634">
        <w:rPr>
          <w:rFonts w:eastAsia="Calibri"/>
          <w:sz w:val="24"/>
          <w:szCs w:val="24"/>
          <w:lang w:val="en-GB"/>
        </w:rPr>
        <w:t xml:space="preserve"> A literature review and an integrated </w:t>
      </w:r>
      <w:proofErr w:type="spellStart"/>
      <w:r w:rsidRPr="00811634">
        <w:rPr>
          <w:rFonts w:eastAsia="Calibri"/>
          <w:sz w:val="24"/>
          <w:szCs w:val="24"/>
          <w:lang w:val="en-GB"/>
        </w:rPr>
        <w:t>framewo</w:t>
      </w:r>
      <w:r w:rsidRPr="00811634">
        <w:rPr>
          <w:rFonts w:eastAsia="Calibri"/>
          <w:sz w:val="24"/>
          <w:szCs w:val="24"/>
          <w:lang w:val="en-US"/>
        </w:rPr>
        <w:t>rk</w:t>
      </w:r>
      <w:proofErr w:type="spellEnd"/>
      <w:r w:rsidRPr="00811634">
        <w:rPr>
          <w:rFonts w:eastAsia="Calibri"/>
          <w:sz w:val="24"/>
          <w:szCs w:val="24"/>
          <w:lang w:val="en-US"/>
        </w:rPr>
        <w:t xml:space="preserve"> proposal. </w:t>
      </w:r>
      <w:r w:rsidRPr="00811634">
        <w:rPr>
          <w:rFonts w:eastAsia="Calibri"/>
          <w:i/>
          <w:sz w:val="24"/>
          <w:szCs w:val="24"/>
          <w:lang w:val="en-US"/>
        </w:rPr>
        <w:t>Business Ethics, the Environment &amp; Responsibility, 34</w:t>
      </w:r>
      <w:r w:rsidRPr="00811634">
        <w:rPr>
          <w:rFonts w:eastAsia="Calibri"/>
          <w:sz w:val="24"/>
          <w:szCs w:val="24"/>
          <w:lang w:val="en-US"/>
        </w:rPr>
        <w:t xml:space="preserve">(4), 1412-1431. </w:t>
      </w:r>
      <w:hyperlink r:id="rId154" w:history="1">
        <w:r w:rsidRPr="00811634">
          <w:rPr>
            <w:rFonts w:eastAsia="Calibri"/>
            <w:color w:val="0563C1"/>
            <w:sz w:val="24"/>
            <w:szCs w:val="24"/>
            <w:u w:val="single"/>
            <w:lang w:val="en-US"/>
          </w:rPr>
          <w:t>https://doi.org/10.1111/beer.12718</w:t>
        </w:r>
      </w:hyperlink>
    </w:p>
    <w:p w14:paraId="4598321D" w14:textId="77777777" w:rsidR="00D80693" w:rsidRPr="00811634" w:rsidRDefault="00D80693" w:rsidP="002410D0">
      <w:pPr>
        <w:suppressAutoHyphens/>
        <w:spacing w:before="120"/>
        <w:ind w:left="567" w:hanging="567"/>
        <w:jc w:val="both"/>
        <w:textAlignment w:val="baseline"/>
        <w:rPr>
          <w:rFonts w:eastAsia="Calibri"/>
          <w:sz w:val="24"/>
          <w:szCs w:val="24"/>
          <w:lang w:val="en-US"/>
        </w:rPr>
      </w:pPr>
      <w:r w:rsidRPr="00811634">
        <w:rPr>
          <w:rFonts w:eastAsia="Calibri"/>
          <w:sz w:val="24"/>
          <w:szCs w:val="24"/>
          <w:lang w:val="en-US"/>
        </w:rPr>
        <w:t xml:space="preserve">Raisch, S., &amp; Birkinshaw, J. (2008). Organizational </w:t>
      </w:r>
      <w:proofErr w:type="gramStart"/>
      <w:r w:rsidRPr="00811634">
        <w:rPr>
          <w:rFonts w:eastAsia="Calibri"/>
          <w:sz w:val="24"/>
          <w:szCs w:val="24"/>
          <w:lang w:val="en-US"/>
        </w:rPr>
        <w:t>Ambidexterity :</w:t>
      </w:r>
      <w:proofErr w:type="gramEnd"/>
      <w:r w:rsidRPr="00811634">
        <w:rPr>
          <w:rFonts w:eastAsia="Calibri"/>
          <w:sz w:val="24"/>
          <w:szCs w:val="24"/>
          <w:lang w:val="en-US"/>
        </w:rPr>
        <w:t xml:space="preserve"> Antecedents, Outcomes, And Moderators. </w:t>
      </w:r>
      <w:r w:rsidRPr="00811634">
        <w:rPr>
          <w:rFonts w:eastAsia="Calibri"/>
          <w:i/>
          <w:sz w:val="24"/>
          <w:szCs w:val="24"/>
          <w:lang w:val="en-US"/>
        </w:rPr>
        <w:t>Journal of Management, 34</w:t>
      </w:r>
      <w:r w:rsidRPr="00811634">
        <w:rPr>
          <w:rFonts w:eastAsia="Calibri"/>
          <w:sz w:val="24"/>
          <w:szCs w:val="24"/>
          <w:lang w:val="en-US"/>
        </w:rPr>
        <w:t xml:space="preserve">(3), 375-409. </w:t>
      </w:r>
      <w:hyperlink r:id="rId155" w:history="1">
        <w:r w:rsidRPr="00811634">
          <w:rPr>
            <w:rFonts w:eastAsia="Calibri"/>
            <w:color w:val="0563C1"/>
            <w:sz w:val="24"/>
            <w:szCs w:val="24"/>
            <w:u w:val="single"/>
            <w:lang w:val="en-US"/>
          </w:rPr>
          <w:t>https://doi.org/10.1177/0149206308316058</w:t>
        </w:r>
      </w:hyperlink>
      <w:r w:rsidRPr="00811634">
        <w:rPr>
          <w:rFonts w:eastAsia="Calibri"/>
          <w:sz w:val="24"/>
          <w:szCs w:val="24"/>
          <w:lang w:val="en-US"/>
        </w:rPr>
        <w:t xml:space="preserve"> </w:t>
      </w:r>
    </w:p>
    <w:p w14:paraId="7AC74DD6" w14:textId="77777777" w:rsidR="00D80693" w:rsidRPr="00811634" w:rsidRDefault="00D80693" w:rsidP="002410D0">
      <w:pPr>
        <w:suppressAutoHyphens/>
        <w:spacing w:before="120"/>
        <w:ind w:left="567" w:hanging="567"/>
        <w:jc w:val="both"/>
        <w:textAlignment w:val="baseline"/>
        <w:rPr>
          <w:rFonts w:eastAsia="Calibri"/>
          <w:sz w:val="24"/>
          <w:szCs w:val="24"/>
          <w:lang w:val="en-GB"/>
        </w:rPr>
      </w:pPr>
      <w:r w:rsidRPr="00811634">
        <w:rPr>
          <w:rFonts w:eastAsia="Calibri"/>
          <w:sz w:val="24"/>
          <w:szCs w:val="24"/>
          <w:lang w:val="en-US"/>
        </w:rPr>
        <w:t>Rosing, K., Frese, M., &amp; Bausch, A. (2011). Explaining the Heterogeneity of the Leadership-</w:t>
      </w:r>
      <w:proofErr w:type="gramStart"/>
      <w:r w:rsidRPr="00811634">
        <w:rPr>
          <w:rFonts w:eastAsia="Calibri"/>
          <w:sz w:val="24"/>
          <w:szCs w:val="24"/>
          <w:lang w:val="en-US"/>
        </w:rPr>
        <w:t>Innovation :</w:t>
      </w:r>
      <w:proofErr w:type="gramEnd"/>
      <w:r w:rsidRPr="00811634">
        <w:rPr>
          <w:rFonts w:eastAsia="Calibri"/>
          <w:sz w:val="24"/>
          <w:szCs w:val="24"/>
          <w:lang w:val="en-US"/>
        </w:rPr>
        <w:t xml:space="preserve"> Ambidextrous leadership. The Leadership Quarterly, 22(5), 956–974. </w:t>
      </w:r>
      <w:hyperlink r:id="rId156" w:history="1">
        <w:r w:rsidRPr="00811634">
          <w:rPr>
            <w:rFonts w:eastAsia="Calibri"/>
            <w:color w:val="0563C1"/>
            <w:sz w:val="24"/>
            <w:szCs w:val="24"/>
            <w:u w:val="single"/>
            <w:lang w:val="en-US"/>
          </w:rPr>
          <w:t>https://doi.org/10.1016/j.leagua.2011.07.014</w:t>
        </w:r>
      </w:hyperlink>
    </w:p>
    <w:p w14:paraId="4B01F9A3" w14:textId="77777777" w:rsidR="00D80693" w:rsidRDefault="00D80693" w:rsidP="002410D0">
      <w:pPr>
        <w:suppressAutoHyphens/>
        <w:spacing w:before="120"/>
        <w:ind w:left="567" w:hanging="567"/>
        <w:jc w:val="both"/>
        <w:textAlignment w:val="baseline"/>
        <w:rPr>
          <w:rFonts w:eastAsia="Calibri"/>
          <w:sz w:val="24"/>
          <w:szCs w:val="24"/>
          <w:lang w:val="en-US"/>
        </w:rPr>
      </w:pPr>
      <w:r w:rsidRPr="00811634">
        <w:rPr>
          <w:rFonts w:eastAsia="Calibri"/>
          <w:sz w:val="24"/>
          <w:szCs w:val="24"/>
          <w:lang w:val="en-US"/>
        </w:rPr>
        <w:t xml:space="preserve">Spreitzer, G. M., &amp; Sonenshein, S. (2004). Toward the Construct Definition of Positive deviance. </w:t>
      </w:r>
      <w:r w:rsidRPr="00811634">
        <w:rPr>
          <w:rFonts w:eastAsia="Calibri"/>
          <w:i/>
          <w:sz w:val="24"/>
          <w:szCs w:val="24"/>
          <w:lang w:val="en-US"/>
        </w:rPr>
        <w:t>American Behavioral Scientist, 47</w:t>
      </w:r>
      <w:r w:rsidRPr="00811634">
        <w:rPr>
          <w:rFonts w:eastAsia="Calibri"/>
          <w:sz w:val="24"/>
          <w:szCs w:val="24"/>
          <w:lang w:val="en-US"/>
        </w:rPr>
        <w:t>(6), 828-847.</w:t>
      </w:r>
      <w:r w:rsidRPr="00811634">
        <w:rPr>
          <w:rFonts w:ascii="Calibri" w:eastAsia="Calibri" w:hAnsi="Calibri"/>
          <w:sz w:val="24"/>
          <w:szCs w:val="24"/>
          <w:lang w:val="en-GB"/>
        </w:rPr>
        <w:t xml:space="preserve"> </w:t>
      </w:r>
      <w:hyperlink r:id="rId157" w:history="1">
        <w:r w:rsidRPr="00811634">
          <w:rPr>
            <w:rFonts w:eastAsia="Calibri"/>
            <w:color w:val="0563C1"/>
            <w:sz w:val="24"/>
            <w:szCs w:val="24"/>
            <w:u w:val="single"/>
            <w:lang w:val="en-US"/>
          </w:rPr>
          <w:t>https://doi.org/10.1177/0002764203260212</w:t>
        </w:r>
      </w:hyperlink>
      <w:r w:rsidRPr="00811634">
        <w:rPr>
          <w:rFonts w:eastAsia="Calibri"/>
          <w:sz w:val="24"/>
          <w:szCs w:val="24"/>
          <w:lang w:val="en-US"/>
        </w:rPr>
        <w:t xml:space="preserve"> </w:t>
      </w:r>
    </w:p>
    <w:p w14:paraId="25D2B576" w14:textId="77777777" w:rsidR="00D80693" w:rsidRDefault="00D80693" w:rsidP="002410D0">
      <w:pPr>
        <w:suppressAutoHyphens/>
        <w:spacing w:before="120"/>
        <w:ind w:left="567" w:hanging="567"/>
        <w:jc w:val="both"/>
        <w:textAlignment w:val="baseline"/>
        <w:rPr>
          <w:rFonts w:eastAsia="Calibri"/>
          <w:sz w:val="24"/>
          <w:szCs w:val="24"/>
          <w:lang w:val="en-US"/>
        </w:rPr>
      </w:pPr>
      <w:r>
        <w:rPr>
          <w:rFonts w:eastAsia="Calibri"/>
          <w:sz w:val="24"/>
          <w:szCs w:val="24"/>
          <w:lang w:val="en-US"/>
        </w:rPr>
        <w:t xml:space="preserve">Strauss, A., &amp; Corbin, J. (1998). </w:t>
      </w:r>
      <w:r w:rsidRPr="006819C8">
        <w:rPr>
          <w:rFonts w:eastAsia="Calibri"/>
          <w:i/>
          <w:sz w:val="24"/>
          <w:szCs w:val="24"/>
          <w:lang w:val="en-US"/>
        </w:rPr>
        <w:t>Basics of qualitative research: Techniques and procedures for developing grounded theory</w:t>
      </w:r>
      <w:r>
        <w:rPr>
          <w:rFonts w:eastAsia="Calibri"/>
          <w:sz w:val="24"/>
          <w:szCs w:val="24"/>
          <w:lang w:val="en-US"/>
        </w:rPr>
        <w:t xml:space="preserve"> (2nd ed.). Sage Publications, Inc.</w:t>
      </w:r>
    </w:p>
    <w:p w14:paraId="1F884224" w14:textId="77777777" w:rsidR="00D80693" w:rsidRPr="00BC4016" w:rsidRDefault="00D80693" w:rsidP="002410D0">
      <w:pPr>
        <w:suppressAutoHyphens/>
        <w:spacing w:before="120"/>
        <w:ind w:left="567" w:hanging="567"/>
        <w:jc w:val="both"/>
        <w:textAlignment w:val="baseline"/>
        <w:rPr>
          <w:rFonts w:eastAsia="Calibri"/>
          <w:sz w:val="24"/>
          <w:szCs w:val="24"/>
          <w:lang w:val="en-GB"/>
        </w:rPr>
      </w:pPr>
      <w:r w:rsidRPr="0060122C">
        <w:rPr>
          <w:rFonts w:eastAsia="Calibri"/>
          <w:sz w:val="24"/>
          <w:szCs w:val="24"/>
          <w:lang w:val="en-GB"/>
        </w:rPr>
        <w:t>Thibaut</w:t>
      </w:r>
      <w:r w:rsidRPr="00BC4016">
        <w:rPr>
          <w:rFonts w:eastAsia="Calibri"/>
          <w:sz w:val="24"/>
          <w:szCs w:val="24"/>
          <w:lang w:val="en-GB"/>
        </w:rPr>
        <w:t>, J.W.</w:t>
      </w:r>
      <w:r w:rsidRPr="0060122C">
        <w:rPr>
          <w:rFonts w:eastAsia="Calibri"/>
          <w:sz w:val="24"/>
          <w:szCs w:val="24"/>
          <w:lang w:val="en-GB"/>
        </w:rPr>
        <w:t xml:space="preserve"> &amp; Walker</w:t>
      </w:r>
      <w:r w:rsidRPr="00BC4016">
        <w:rPr>
          <w:rFonts w:eastAsia="Calibri"/>
          <w:sz w:val="24"/>
          <w:szCs w:val="24"/>
          <w:lang w:val="en-GB"/>
        </w:rPr>
        <w:t>, L.</w:t>
      </w:r>
      <w:r w:rsidRPr="0060122C">
        <w:rPr>
          <w:rFonts w:eastAsia="Calibri"/>
          <w:sz w:val="24"/>
          <w:szCs w:val="24"/>
          <w:lang w:val="en-GB"/>
        </w:rPr>
        <w:t xml:space="preserve"> </w:t>
      </w:r>
      <w:r w:rsidRPr="00BC4016">
        <w:rPr>
          <w:rFonts w:eastAsia="Calibri"/>
          <w:sz w:val="24"/>
          <w:szCs w:val="24"/>
          <w:lang w:val="en-GB"/>
        </w:rPr>
        <w:t xml:space="preserve">(1975). </w:t>
      </w:r>
      <w:r w:rsidRPr="001E5DD6">
        <w:rPr>
          <w:rFonts w:eastAsia="Calibri"/>
          <w:i/>
          <w:sz w:val="24"/>
          <w:szCs w:val="24"/>
          <w:lang w:val="en-GB"/>
        </w:rPr>
        <w:t xml:space="preserve">Procedural </w:t>
      </w:r>
      <w:proofErr w:type="gramStart"/>
      <w:r w:rsidRPr="001E5DD6">
        <w:rPr>
          <w:rFonts w:eastAsia="Calibri"/>
          <w:i/>
          <w:sz w:val="24"/>
          <w:szCs w:val="24"/>
          <w:lang w:val="en-GB"/>
        </w:rPr>
        <w:t>Justice :</w:t>
      </w:r>
      <w:proofErr w:type="gramEnd"/>
      <w:r w:rsidRPr="001E5DD6">
        <w:rPr>
          <w:rFonts w:eastAsia="Calibri"/>
          <w:i/>
          <w:sz w:val="24"/>
          <w:szCs w:val="24"/>
          <w:lang w:val="en-GB"/>
        </w:rPr>
        <w:t xml:space="preserve"> A Psychological Analysis</w:t>
      </w:r>
      <w:r w:rsidRPr="00BC4016">
        <w:rPr>
          <w:rFonts w:eastAsia="Calibri"/>
          <w:sz w:val="24"/>
          <w:szCs w:val="24"/>
          <w:lang w:val="en-GB"/>
        </w:rPr>
        <w:t>.</w:t>
      </w:r>
      <w:r>
        <w:rPr>
          <w:rFonts w:eastAsia="Calibri"/>
          <w:sz w:val="24"/>
          <w:szCs w:val="24"/>
          <w:lang w:val="en-GB"/>
        </w:rPr>
        <w:t xml:space="preserve"> L. Erlbaum Associates, Hillsdal</w:t>
      </w:r>
      <w:r w:rsidRPr="00BC4016">
        <w:rPr>
          <w:rFonts w:eastAsia="Calibri"/>
          <w:sz w:val="24"/>
          <w:szCs w:val="24"/>
          <w:lang w:val="en-GB"/>
        </w:rPr>
        <w:t xml:space="preserve">e. </w:t>
      </w:r>
    </w:p>
    <w:p w14:paraId="495E237D" w14:textId="77777777" w:rsidR="00D80693" w:rsidRPr="00324C09" w:rsidRDefault="00D80693" w:rsidP="002410D0">
      <w:pPr>
        <w:suppressAutoHyphens/>
        <w:spacing w:before="120" w:after="200"/>
        <w:ind w:left="567" w:hanging="567"/>
        <w:jc w:val="both"/>
        <w:textAlignment w:val="baseline"/>
        <w:rPr>
          <w:rFonts w:eastAsia="Calibri"/>
          <w:sz w:val="24"/>
          <w:szCs w:val="24"/>
          <w:lang w:val="en-GB"/>
        </w:rPr>
      </w:pPr>
      <w:r w:rsidRPr="00811634">
        <w:rPr>
          <w:rFonts w:eastAsia="Calibri"/>
          <w:sz w:val="24"/>
          <w:szCs w:val="24"/>
          <w:lang w:val="en-US"/>
        </w:rPr>
        <w:t xml:space="preserve">Tyler, T. R. (2023). Whither </w:t>
      </w:r>
      <w:proofErr w:type="gramStart"/>
      <w:r w:rsidRPr="00811634">
        <w:rPr>
          <w:rFonts w:eastAsia="Calibri"/>
          <w:sz w:val="24"/>
          <w:szCs w:val="24"/>
          <w:lang w:val="en-US"/>
        </w:rPr>
        <w:t>legitimacy ?</w:t>
      </w:r>
      <w:proofErr w:type="gramEnd"/>
      <w:r w:rsidRPr="00811634">
        <w:rPr>
          <w:rFonts w:eastAsia="Calibri"/>
          <w:sz w:val="24"/>
          <w:szCs w:val="24"/>
          <w:lang w:val="en-US"/>
        </w:rPr>
        <w:t xml:space="preserve"> Legal authority in the twenty-first century. </w:t>
      </w:r>
      <w:r w:rsidRPr="00811634">
        <w:rPr>
          <w:rFonts w:eastAsia="Calibri"/>
          <w:i/>
          <w:sz w:val="24"/>
          <w:szCs w:val="24"/>
          <w:lang w:val="en-US"/>
        </w:rPr>
        <w:t>Annual Review of Law and Social Science, 19</w:t>
      </w:r>
      <w:r w:rsidRPr="00811634">
        <w:rPr>
          <w:rFonts w:eastAsia="Calibri"/>
          <w:sz w:val="24"/>
          <w:szCs w:val="24"/>
          <w:lang w:val="en-US"/>
        </w:rPr>
        <w:t xml:space="preserve">, 1-17. </w:t>
      </w:r>
      <w:hyperlink r:id="rId158" w:history="1">
        <w:r w:rsidRPr="00811634">
          <w:rPr>
            <w:rFonts w:eastAsia="Calibri"/>
            <w:color w:val="0563C1"/>
            <w:sz w:val="24"/>
            <w:szCs w:val="24"/>
            <w:u w:val="single"/>
            <w:lang w:val="en-US"/>
          </w:rPr>
          <w:t>https://doi.org/10.1146/annurev-lawsocsci-110722-074236</w:t>
        </w:r>
      </w:hyperlink>
    </w:p>
    <w:p w14:paraId="3B844608" w14:textId="77777777" w:rsidR="00D80693" w:rsidRPr="0065773E" w:rsidRDefault="00D80693" w:rsidP="002410D0">
      <w:pPr>
        <w:suppressAutoHyphens/>
        <w:spacing w:before="120"/>
        <w:textAlignment w:val="baseline"/>
        <w:rPr>
          <w:rFonts w:ascii="Calibri" w:eastAsia="Calibri" w:hAnsi="Calibri"/>
          <w:sz w:val="0"/>
          <w:szCs w:val="0"/>
          <w:lang w:val="en-US"/>
        </w:rPr>
        <w:sectPr w:rsidR="00D80693" w:rsidRPr="0065773E" w:rsidSect="002410D0">
          <w:headerReference w:type="even" r:id="rId159"/>
          <w:headerReference w:type="default" r:id="rId160"/>
          <w:footerReference w:type="even" r:id="rId161"/>
          <w:headerReference w:type="first" r:id="rId162"/>
          <w:footerReference w:type="first" r:id="rId163"/>
          <w:pgSz w:w="11906" w:h="16838"/>
          <w:pgMar w:top="1417" w:right="1417" w:bottom="1417" w:left="1417" w:header="568" w:footer="566" w:gutter="0"/>
          <w:cols w:space="708"/>
          <w:docGrid w:linePitch="360"/>
        </w:sectPr>
      </w:pPr>
    </w:p>
    <w:p w14:paraId="5C7F6FA8" w14:textId="6834F0B5" w:rsidR="00D80693" w:rsidRPr="00735D3E" w:rsidRDefault="00735D3E" w:rsidP="00735D3E">
      <w:pPr>
        <w:pStyle w:val="Titre1"/>
        <w:spacing w:before="120"/>
        <w:ind w:left="164"/>
        <w:rPr>
          <w:rFonts w:eastAsia="Calibri"/>
          <w:bCs w:val="0"/>
          <w:i/>
          <w:iCs/>
        </w:rPr>
      </w:pPr>
      <w:bookmarkStart w:id="315" w:name="_Toc219272591"/>
      <w:r w:rsidRPr="00735D3E">
        <w:rPr>
          <w:rFonts w:eastAsiaTheme="minorHAnsi"/>
          <w:bCs w:val="0"/>
          <w:i/>
          <w:iCs/>
        </w:rPr>
        <w:t>Initiation</w:t>
      </w:r>
      <w:r w:rsidR="00D80693" w:rsidRPr="00735D3E">
        <w:rPr>
          <w:rFonts w:eastAsiaTheme="minorHAnsi"/>
          <w:bCs w:val="0"/>
          <w:i/>
          <w:iCs/>
        </w:rPr>
        <w:t xml:space="preserve"> </w:t>
      </w:r>
      <w:r w:rsidRPr="00735D3E">
        <w:rPr>
          <w:rFonts w:eastAsiaTheme="minorHAnsi"/>
          <w:bCs w:val="0"/>
          <w:i/>
          <w:iCs/>
        </w:rPr>
        <w:t>à la philosophie dès l’enfance par l’image : un dispositif didactique pour le développement de la pensée réflexive au service d’une citoyenneté active au Cameroun</w:t>
      </w:r>
      <w:bookmarkEnd w:id="315"/>
    </w:p>
    <w:p w14:paraId="1FEB5633" w14:textId="5D857560" w:rsidR="00D80693" w:rsidRPr="00735D3E" w:rsidRDefault="00D80693" w:rsidP="00735D3E">
      <w:pPr>
        <w:pStyle w:val="Titre1"/>
        <w:spacing w:before="120"/>
        <w:ind w:left="164"/>
        <w:rPr>
          <w:rFonts w:eastAsia="Calibri"/>
          <w:bCs w:val="0"/>
        </w:rPr>
      </w:pPr>
      <w:bookmarkStart w:id="316" w:name="_Toc219272592"/>
      <w:r w:rsidRPr="00735D3E">
        <w:rPr>
          <w:rFonts w:eastAsiaTheme="minorHAnsi"/>
          <w:bCs w:val="0"/>
        </w:rPr>
        <w:t xml:space="preserve">Pierre Bény </w:t>
      </w:r>
      <w:r w:rsidR="00735D3E" w:rsidRPr="00735D3E">
        <w:rPr>
          <w:rFonts w:eastAsiaTheme="minorHAnsi"/>
          <w:bCs w:val="0"/>
        </w:rPr>
        <w:t>WAGNI</w:t>
      </w:r>
      <w:r w:rsidRPr="00735D3E">
        <w:rPr>
          <w:rFonts w:eastAsiaTheme="minorHAnsi"/>
          <w:bCs w:val="0"/>
        </w:rPr>
        <w:t xml:space="preserve">, </w:t>
      </w:r>
      <w:r w:rsidR="00735D3E" w:rsidRPr="00735D3E">
        <w:rPr>
          <w:rFonts w:eastAsiaTheme="minorHAnsi"/>
          <w:bCs w:val="0"/>
        </w:rPr>
        <w:t xml:space="preserve">Edwige </w:t>
      </w:r>
      <w:proofErr w:type="gramStart"/>
      <w:r w:rsidR="00735D3E" w:rsidRPr="00735D3E">
        <w:rPr>
          <w:rFonts w:eastAsiaTheme="minorHAnsi"/>
          <w:bCs w:val="0"/>
        </w:rPr>
        <w:t>CHIROUTER</w:t>
      </w:r>
      <w:r w:rsidR="00735D3E" w:rsidRPr="00735D3E">
        <w:rPr>
          <w:rFonts w:eastAsiaTheme="minorHAnsi"/>
          <w:bCs w:val="0"/>
        </w:rPr>
        <w:t xml:space="preserve"> </w:t>
      </w:r>
      <w:r w:rsidR="00735D3E" w:rsidRPr="00735D3E">
        <w:rPr>
          <w:rFonts w:eastAsiaTheme="minorHAnsi"/>
          <w:bCs w:val="0"/>
        </w:rPr>
        <w:t>,</w:t>
      </w:r>
      <w:proofErr w:type="gramEnd"/>
      <w:r w:rsidR="00735D3E" w:rsidRPr="00735D3E">
        <w:rPr>
          <w:rFonts w:eastAsiaTheme="minorHAnsi"/>
          <w:bCs w:val="0"/>
        </w:rPr>
        <w:t xml:space="preserve"> </w:t>
      </w:r>
      <w:r w:rsidRPr="00735D3E">
        <w:rPr>
          <w:rFonts w:eastAsiaTheme="minorHAnsi"/>
          <w:bCs w:val="0"/>
        </w:rPr>
        <w:t>Renée Solange</w:t>
      </w:r>
      <w:r w:rsidR="00735D3E" w:rsidRPr="00735D3E">
        <w:rPr>
          <w:rFonts w:eastAsiaTheme="minorHAnsi"/>
          <w:bCs w:val="0"/>
        </w:rPr>
        <w:t xml:space="preserve"> </w:t>
      </w:r>
      <w:r w:rsidR="00735D3E" w:rsidRPr="00735D3E">
        <w:rPr>
          <w:rFonts w:eastAsiaTheme="minorHAnsi"/>
          <w:bCs w:val="0"/>
        </w:rPr>
        <w:t>NKECK BIDIAS</w:t>
      </w:r>
      <w:bookmarkEnd w:id="316"/>
    </w:p>
    <w:p w14:paraId="1989DE67" w14:textId="77777777" w:rsidR="00735D3E" w:rsidRDefault="00735D3E" w:rsidP="00D80693">
      <w:pPr>
        <w:jc w:val="both"/>
        <w:rPr>
          <w:rFonts w:eastAsiaTheme="minorHAnsi"/>
          <w:b/>
          <w:sz w:val="24"/>
          <w:szCs w:val="24"/>
        </w:rPr>
      </w:pPr>
    </w:p>
    <w:p w14:paraId="2256B806" w14:textId="27D10A6E" w:rsidR="00D80693" w:rsidRPr="004F1CD5" w:rsidRDefault="00D80693" w:rsidP="00D80693">
      <w:pPr>
        <w:jc w:val="both"/>
        <w:rPr>
          <w:rFonts w:eastAsia="Calibri"/>
          <w:b/>
          <w:sz w:val="24"/>
          <w:szCs w:val="24"/>
        </w:rPr>
      </w:pPr>
      <w:r w:rsidRPr="004F1CD5">
        <w:rPr>
          <w:rFonts w:eastAsiaTheme="minorHAnsi"/>
          <w:b/>
          <w:sz w:val="24"/>
          <w:szCs w:val="24"/>
        </w:rPr>
        <w:t xml:space="preserve">Résumé </w:t>
      </w:r>
    </w:p>
    <w:p w14:paraId="73DE7B51" w14:textId="77777777" w:rsidR="00D80693" w:rsidRDefault="00D80693" w:rsidP="00D80693">
      <w:pPr>
        <w:jc w:val="both"/>
        <w:rPr>
          <w:rFonts w:eastAsiaTheme="minorHAnsi"/>
          <w:sz w:val="24"/>
          <w:szCs w:val="24"/>
        </w:rPr>
      </w:pPr>
      <w:r w:rsidRPr="004F1CD5">
        <w:rPr>
          <w:rFonts w:eastAsiaTheme="minorHAnsi"/>
          <w:sz w:val="24"/>
          <w:szCs w:val="24"/>
        </w:rPr>
        <w:t xml:space="preserve">Sous l’emprise de dynamiques mimétiques et autoritaristes, la société camerounaise reflète les dérives des sociétés tardives : immoralité, incivisme et dépravation des mœurs fragilisent la jeunesse et affaiblissent sa capacité à penser de manière autonome. Ce constat interroge le rôle de l’école dans la formation d’une citoyenneté réflexive, face à une tendance mondiale qui valorise </w:t>
      </w:r>
      <w:proofErr w:type="gramStart"/>
      <w:r w:rsidRPr="004F1CD5">
        <w:rPr>
          <w:rFonts w:eastAsiaTheme="minorHAnsi"/>
          <w:sz w:val="24"/>
          <w:szCs w:val="24"/>
        </w:rPr>
        <w:t>l’ «</w:t>
      </w:r>
      <w:proofErr w:type="gramEnd"/>
      <w:r w:rsidRPr="004F1CD5">
        <w:rPr>
          <w:rFonts w:eastAsiaTheme="minorHAnsi"/>
          <w:sz w:val="24"/>
          <w:szCs w:val="24"/>
        </w:rPr>
        <w:t xml:space="preserve"> homme-machine » plus que l’esprit-critique. Pour y répondre, cet article analyse la problématique de l’initiation philosophique dès l’enfance par l’image à travers un dispositif didactique innovant : le </w:t>
      </w:r>
      <w:proofErr w:type="spellStart"/>
      <w:r w:rsidRPr="004F1CD5">
        <w:rPr>
          <w:rFonts w:eastAsiaTheme="minorHAnsi"/>
          <w:i/>
          <w:sz w:val="24"/>
          <w:szCs w:val="24"/>
        </w:rPr>
        <w:t>ludophilosophoser</w:t>
      </w:r>
      <w:proofErr w:type="spellEnd"/>
      <w:r w:rsidRPr="004F1CD5">
        <w:rPr>
          <w:rFonts w:eastAsiaTheme="minorHAnsi"/>
          <w:sz w:val="24"/>
          <w:szCs w:val="24"/>
        </w:rPr>
        <w:t xml:space="preserve">, un jeu de cartes conçu pour stimuler la pensée critique. L’expérimentation, menée dans une classe de CP à Yaoundé, s’appuie sur une ingénierie didactique et l’analyse qualitative de verbatims </w:t>
      </w:r>
      <w:proofErr w:type="spellStart"/>
      <w:r w:rsidRPr="004F1CD5">
        <w:rPr>
          <w:rFonts w:eastAsiaTheme="minorHAnsi"/>
          <w:sz w:val="24"/>
          <w:szCs w:val="24"/>
        </w:rPr>
        <w:t>vidéoscopés</w:t>
      </w:r>
      <w:proofErr w:type="spellEnd"/>
      <w:r w:rsidRPr="004F1CD5">
        <w:rPr>
          <w:rFonts w:eastAsiaTheme="minorHAnsi"/>
          <w:sz w:val="24"/>
          <w:szCs w:val="24"/>
        </w:rPr>
        <w:t>. Les résultats révèlent le développement précoce d’habiletés réflexives (problématiser, conceptualiser et argumenter) constituant le socle d’une citoyenneté active. L’article conclut sur les perspectives d’intégration de ce dispositif dans l’éducation civique et morale au Cameroun.</w:t>
      </w:r>
    </w:p>
    <w:p w14:paraId="36E58A3A" w14:textId="77777777" w:rsidR="00735D3E" w:rsidRPr="004F1CD5" w:rsidRDefault="00735D3E" w:rsidP="00D80693">
      <w:pPr>
        <w:jc w:val="both"/>
        <w:rPr>
          <w:rFonts w:eastAsia="Calibri"/>
          <w:sz w:val="24"/>
          <w:szCs w:val="24"/>
        </w:rPr>
      </w:pPr>
    </w:p>
    <w:p w14:paraId="392DDB05" w14:textId="77777777" w:rsidR="00D80693" w:rsidRDefault="00D80693" w:rsidP="00D80693">
      <w:pPr>
        <w:jc w:val="both"/>
        <w:rPr>
          <w:rFonts w:eastAsiaTheme="minorHAnsi"/>
          <w:sz w:val="24"/>
          <w:szCs w:val="24"/>
        </w:rPr>
      </w:pPr>
      <w:r w:rsidRPr="004F1CD5">
        <w:rPr>
          <w:rFonts w:eastAsiaTheme="minorHAnsi"/>
          <w:b/>
          <w:sz w:val="24"/>
          <w:szCs w:val="24"/>
        </w:rPr>
        <w:t xml:space="preserve">Mots-clés : </w:t>
      </w:r>
      <w:r w:rsidRPr="004F1CD5">
        <w:rPr>
          <w:rFonts w:eastAsiaTheme="minorHAnsi"/>
          <w:sz w:val="24"/>
          <w:szCs w:val="24"/>
        </w:rPr>
        <w:t xml:space="preserve">Philosophie avec les enfants, ingénierie didactique, </w:t>
      </w:r>
      <w:proofErr w:type="spellStart"/>
      <w:r>
        <w:rPr>
          <w:rFonts w:eastAsiaTheme="minorHAnsi"/>
          <w:sz w:val="24"/>
          <w:szCs w:val="24"/>
        </w:rPr>
        <w:t>ludo</w:t>
      </w:r>
      <w:proofErr w:type="spellEnd"/>
      <w:r>
        <w:rPr>
          <w:rFonts w:eastAsiaTheme="minorHAnsi"/>
          <w:sz w:val="24"/>
          <w:szCs w:val="24"/>
        </w:rPr>
        <w:t>-philosopher</w:t>
      </w:r>
      <w:r w:rsidRPr="004F1CD5">
        <w:rPr>
          <w:rFonts w:eastAsiaTheme="minorHAnsi"/>
          <w:sz w:val="24"/>
          <w:szCs w:val="24"/>
        </w:rPr>
        <w:t>, pensée réflexive, citoyenneté.</w:t>
      </w:r>
    </w:p>
    <w:p w14:paraId="27BD64CE" w14:textId="77777777" w:rsidR="00735D3E" w:rsidRPr="004F1CD5" w:rsidRDefault="00735D3E" w:rsidP="00D80693">
      <w:pPr>
        <w:jc w:val="both"/>
        <w:rPr>
          <w:rFonts w:eastAsia="Calibri"/>
          <w:b/>
          <w:sz w:val="24"/>
          <w:szCs w:val="24"/>
        </w:rPr>
      </w:pPr>
    </w:p>
    <w:p w14:paraId="2F382DC0" w14:textId="77777777" w:rsidR="00D80693" w:rsidRPr="00155566" w:rsidRDefault="00D80693" w:rsidP="00D80693">
      <w:pPr>
        <w:jc w:val="both"/>
        <w:rPr>
          <w:rFonts w:eastAsia="Calibri"/>
          <w:b/>
          <w:sz w:val="24"/>
          <w:szCs w:val="24"/>
          <w:lang w:val="en-GB"/>
        </w:rPr>
      </w:pPr>
      <w:r w:rsidRPr="00155566">
        <w:rPr>
          <w:rFonts w:eastAsiaTheme="minorHAnsi"/>
          <w:b/>
          <w:sz w:val="24"/>
          <w:szCs w:val="24"/>
          <w:lang w:val="en-GB"/>
        </w:rPr>
        <w:t xml:space="preserve">Abstract </w:t>
      </w:r>
    </w:p>
    <w:p w14:paraId="193FFDE9" w14:textId="60ED8D7A" w:rsidR="00D80693" w:rsidRDefault="00D80693" w:rsidP="00D80693">
      <w:pPr>
        <w:jc w:val="both"/>
        <w:rPr>
          <w:rFonts w:eastAsiaTheme="minorHAnsi"/>
          <w:sz w:val="24"/>
          <w:szCs w:val="24"/>
          <w:lang w:val="en-GB"/>
        </w:rPr>
      </w:pPr>
      <w:r w:rsidRPr="004F1CD5">
        <w:rPr>
          <w:rFonts w:eastAsiaTheme="minorHAnsi"/>
          <w:sz w:val="24"/>
          <w:szCs w:val="24"/>
          <w:lang w:val="en-GB"/>
        </w:rPr>
        <w:t xml:space="preserve">Under the influence of mimetic and authoritarian dynamics, </w:t>
      </w:r>
      <w:proofErr w:type="spellStart"/>
      <w:r w:rsidRPr="004F1CD5">
        <w:rPr>
          <w:rFonts w:eastAsiaTheme="minorHAnsi"/>
          <w:sz w:val="24"/>
          <w:szCs w:val="24"/>
          <w:lang w:val="en-GB"/>
        </w:rPr>
        <w:t>cameroonian</w:t>
      </w:r>
      <w:proofErr w:type="spellEnd"/>
      <w:r w:rsidRPr="004F1CD5">
        <w:rPr>
          <w:rFonts w:eastAsiaTheme="minorHAnsi"/>
          <w:sz w:val="24"/>
          <w:szCs w:val="24"/>
          <w:lang w:val="en-GB"/>
        </w:rPr>
        <w:t xml:space="preserve"> society </w:t>
      </w:r>
      <w:r w:rsidR="00102D91" w:rsidRPr="00102D91">
        <w:rPr>
          <w:rFonts w:eastAsiaTheme="minorHAnsi"/>
          <w:i/>
          <w:iCs/>
          <w:sz w:val="24"/>
          <w:szCs w:val="24"/>
          <w:lang w:val="en-GB"/>
        </w:rPr>
        <w:t>Reflect</w:t>
      </w:r>
      <w:r w:rsidRPr="004F1CD5">
        <w:rPr>
          <w:rFonts w:eastAsiaTheme="minorHAnsi"/>
          <w:sz w:val="24"/>
          <w:szCs w:val="24"/>
          <w:lang w:val="en-GB"/>
        </w:rPr>
        <w:t>s the excesses of late modern societies: immorality, incivility and moral decline weaken the youth and und</w:t>
      </w:r>
      <w:r>
        <w:rPr>
          <w:rFonts w:eastAsiaTheme="minorHAnsi"/>
          <w:sz w:val="24"/>
          <w:szCs w:val="24"/>
          <w:lang w:val="en-GB"/>
        </w:rPr>
        <w:t xml:space="preserve">ermine their ability to think by </w:t>
      </w:r>
      <w:r w:rsidRPr="004F1CD5">
        <w:rPr>
          <w:rFonts w:eastAsiaTheme="minorHAnsi"/>
          <w:sz w:val="24"/>
          <w:szCs w:val="24"/>
          <w:lang w:val="en-GB"/>
        </w:rPr>
        <w:t xml:space="preserve">themselves. This situation questions the role of school in shaping a </w:t>
      </w:r>
      <w:r w:rsidR="00102D91" w:rsidRPr="00102D91">
        <w:rPr>
          <w:rFonts w:eastAsiaTheme="minorHAnsi"/>
          <w:i/>
          <w:iCs/>
          <w:sz w:val="24"/>
          <w:szCs w:val="24"/>
          <w:lang w:val="en-GB"/>
        </w:rPr>
        <w:t>Reflect</w:t>
      </w:r>
      <w:r w:rsidRPr="004F1CD5">
        <w:rPr>
          <w:rFonts w:eastAsiaTheme="minorHAnsi"/>
          <w:sz w:val="24"/>
          <w:szCs w:val="24"/>
          <w:lang w:val="en-GB"/>
        </w:rPr>
        <w:t xml:space="preserve">ive and autonomous citizenship, in a global context that tends to privilege the “human-machine” rather than the critical-mind. To address this issue, this article examines the problem of introducing philosophy from early childhood through images by means of an innovative didactic device: the </w:t>
      </w:r>
      <w:r>
        <w:rPr>
          <w:rFonts w:eastAsiaTheme="minorHAnsi"/>
          <w:i/>
          <w:sz w:val="24"/>
          <w:szCs w:val="24"/>
          <w:lang w:val="en-GB"/>
        </w:rPr>
        <w:t>ludo-philosopher</w:t>
      </w:r>
      <w:r w:rsidRPr="004F1CD5">
        <w:rPr>
          <w:rFonts w:eastAsiaTheme="minorHAnsi"/>
          <w:sz w:val="24"/>
          <w:szCs w:val="24"/>
          <w:lang w:val="en-GB"/>
        </w:rPr>
        <w:t xml:space="preserve">, a card game designed to foster critical thinking. The experiment, conducted in a CP class in Yaoundé, relied on didactic engineering and qualitative analysis of video-recorded verbatims. The findings highlight the early development of </w:t>
      </w:r>
      <w:r w:rsidR="00102D91" w:rsidRPr="00102D91">
        <w:rPr>
          <w:rFonts w:eastAsiaTheme="minorHAnsi"/>
          <w:i/>
          <w:iCs/>
          <w:sz w:val="24"/>
          <w:szCs w:val="24"/>
          <w:lang w:val="en-GB"/>
        </w:rPr>
        <w:t>Reflect</w:t>
      </w:r>
      <w:r w:rsidRPr="004F1CD5">
        <w:rPr>
          <w:rFonts w:eastAsiaTheme="minorHAnsi"/>
          <w:sz w:val="24"/>
          <w:szCs w:val="24"/>
          <w:lang w:val="en-GB"/>
        </w:rPr>
        <w:t xml:space="preserve">ive skills (problematize, conceptualize and argue) that constitute the foundation of active citizenship. The article concludes with perspectives for integrating this device into civic and moral education in Cameroun.  </w:t>
      </w:r>
    </w:p>
    <w:p w14:paraId="3A3B473F" w14:textId="77777777" w:rsidR="00735D3E" w:rsidRPr="004F1CD5" w:rsidRDefault="00735D3E" w:rsidP="00D80693">
      <w:pPr>
        <w:jc w:val="both"/>
        <w:rPr>
          <w:rFonts w:eastAsia="Calibri"/>
          <w:sz w:val="24"/>
          <w:szCs w:val="24"/>
          <w:lang w:val="en-GB"/>
        </w:rPr>
      </w:pPr>
    </w:p>
    <w:p w14:paraId="46FCA158" w14:textId="4815AB80" w:rsidR="00D80693" w:rsidRPr="004F1CD5" w:rsidRDefault="00D80693" w:rsidP="00D80693">
      <w:pPr>
        <w:jc w:val="both"/>
        <w:rPr>
          <w:rFonts w:eastAsia="Calibri"/>
          <w:sz w:val="24"/>
          <w:szCs w:val="24"/>
          <w:lang w:val="en-GB"/>
        </w:rPr>
      </w:pPr>
      <w:r w:rsidRPr="004F1CD5">
        <w:rPr>
          <w:rFonts w:eastAsiaTheme="minorHAnsi"/>
          <w:b/>
          <w:sz w:val="24"/>
          <w:szCs w:val="24"/>
          <w:lang w:val="en-GB"/>
        </w:rPr>
        <w:t xml:space="preserve">Keywords: </w:t>
      </w:r>
      <w:r w:rsidRPr="004F1CD5">
        <w:rPr>
          <w:rFonts w:eastAsiaTheme="minorHAnsi"/>
          <w:sz w:val="24"/>
          <w:szCs w:val="24"/>
          <w:lang w:val="en-GB"/>
        </w:rPr>
        <w:t xml:space="preserve">Philosophy with children, didactic device, </w:t>
      </w:r>
      <w:proofErr w:type="spellStart"/>
      <w:r w:rsidRPr="004F1CD5">
        <w:rPr>
          <w:rFonts w:eastAsiaTheme="minorHAnsi"/>
          <w:sz w:val="24"/>
          <w:szCs w:val="24"/>
          <w:lang w:val="en-GB"/>
        </w:rPr>
        <w:t>luduphilosopher</w:t>
      </w:r>
      <w:proofErr w:type="spellEnd"/>
      <w:r w:rsidRPr="004F1CD5">
        <w:rPr>
          <w:rFonts w:eastAsiaTheme="minorHAnsi"/>
          <w:sz w:val="24"/>
          <w:szCs w:val="24"/>
          <w:lang w:val="en-GB"/>
        </w:rPr>
        <w:t xml:space="preserve">, </w:t>
      </w:r>
      <w:r w:rsidR="00102D91" w:rsidRPr="00102D91">
        <w:rPr>
          <w:rFonts w:eastAsiaTheme="minorHAnsi"/>
          <w:i/>
          <w:iCs/>
          <w:sz w:val="24"/>
          <w:szCs w:val="24"/>
          <w:lang w:val="en-GB"/>
        </w:rPr>
        <w:t>Reflect</w:t>
      </w:r>
      <w:r w:rsidRPr="004F1CD5">
        <w:rPr>
          <w:rFonts w:eastAsiaTheme="minorHAnsi"/>
          <w:sz w:val="24"/>
          <w:szCs w:val="24"/>
          <w:lang w:val="en-GB"/>
        </w:rPr>
        <w:t>ive thinking, citizenship.</w:t>
      </w:r>
    </w:p>
    <w:p w14:paraId="64C694AB" w14:textId="77777777" w:rsidR="00D80693" w:rsidRPr="004F1CD5" w:rsidRDefault="00D80693" w:rsidP="00D80693">
      <w:pPr>
        <w:jc w:val="both"/>
        <w:rPr>
          <w:rFonts w:eastAsia="Calibri"/>
          <w:sz w:val="24"/>
          <w:szCs w:val="24"/>
          <w:lang w:val="en-GB"/>
        </w:rPr>
      </w:pPr>
    </w:p>
    <w:p w14:paraId="31424CF2" w14:textId="77777777" w:rsidR="00D80693" w:rsidRPr="004F1CD5" w:rsidRDefault="00D80693" w:rsidP="00D80693">
      <w:pPr>
        <w:jc w:val="both"/>
        <w:rPr>
          <w:rFonts w:eastAsia="Calibri"/>
          <w:sz w:val="24"/>
          <w:szCs w:val="24"/>
          <w:lang w:val="en-GB"/>
        </w:rPr>
      </w:pPr>
    </w:p>
    <w:p w14:paraId="578EBE2C" w14:textId="77777777" w:rsidR="00D80693" w:rsidRPr="004F1CD5" w:rsidRDefault="00D80693" w:rsidP="00D80693">
      <w:pPr>
        <w:jc w:val="both"/>
        <w:rPr>
          <w:rFonts w:eastAsia="Calibri"/>
          <w:sz w:val="24"/>
          <w:szCs w:val="24"/>
          <w:lang w:val="en-GB"/>
        </w:rPr>
      </w:pPr>
    </w:p>
    <w:p w14:paraId="1A228B28" w14:textId="77777777" w:rsidR="00D80693" w:rsidRPr="0065773E" w:rsidRDefault="00D80693" w:rsidP="00D80693">
      <w:pPr>
        <w:jc w:val="both"/>
        <w:rPr>
          <w:rFonts w:ascii="Calibri" w:eastAsia="Calibri" w:hAnsi="Calibri"/>
          <w:highlight w:val="green"/>
          <w:lang w:val="en-US"/>
        </w:rPr>
      </w:pPr>
    </w:p>
    <w:p w14:paraId="3A4149F5" w14:textId="77777777" w:rsidR="00D80693" w:rsidRPr="0065773E" w:rsidRDefault="00D80693" w:rsidP="00D80693">
      <w:pPr>
        <w:jc w:val="both"/>
        <w:rPr>
          <w:rFonts w:ascii="Calibri" w:eastAsia="Calibri" w:hAnsi="Calibri"/>
          <w:highlight w:val="green"/>
          <w:lang w:val="en-US"/>
        </w:rPr>
      </w:pPr>
    </w:p>
    <w:p w14:paraId="75BF2054" w14:textId="77777777" w:rsidR="00D80693" w:rsidRPr="0065773E" w:rsidRDefault="00D80693" w:rsidP="00D80693">
      <w:pPr>
        <w:jc w:val="both"/>
        <w:rPr>
          <w:rFonts w:eastAsia="Calibri"/>
          <w:b/>
          <w:sz w:val="24"/>
          <w:szCs w:val="24"/>
          <w:lang w:val="en-US"/>
        </w:rPr>
      </w:pPr>
      <w:r w:rsidRPr="0065773E">
        <w:rPr>
          <w:rFonts w:asciiTheme="minorHAnsi" w:eastAsiaTheme="minorHAnsi" w:hAnsiTheme="minorHAnsi" w:cstheme="minorBidi"/>
          <w:highlight w:val="green"/>
          <w:lang w:val="en-US"/>
        </w:rPr>
        <w:br/>
      </w:r>
    </w:p>
    <w:p w14:paraId="66B97CAF" w14:textId="77777777" w:rsidR="00735D3E" w:rsidRPr="001928FA" w:rsidRDefault="00735D3E">
      <w:pPr>
        <w:rPr>
          <w:rFonts w:eastAsiaTheme="minorHAnsi"/>
          <w:b/>
          <w:sz w:val="28"/>
          <w:szCs w:val="24"/>
          <w:lang w:val="en-US"/>
        </w:rPr>
      </w:pPr>
      <w:r w:rsidRPr="001928FA">
        <w:rPr>
          <w:rFonts w:eastAsiaTheme="minorHAnsi"/>
          <w:b/>
          <w:sz w:val="28"/>
          <w:szCs w:val="24"/>
          <w:lang w:val="en-US"/>
        </w:rPr>
        <w:br w:type="page"/>
      </w:r>
    </w:p>
    <w:p w14:paraId="40483F09" w14:textId="777BE2D2" w:rsidR="00D80693" w:rsidRPr="00852A0D" w:rsidRDefault="00D80693" w:rsidP="00735D3E">
      <w:pPr>
        <w:spacing w:before="120"/>
        <w:jc w:val="both"/>
        <w:rPr>
          <w:rFonts w:eastAsia="Calibri"/>
          <w:b/>
          <w:sz w:val="24"/>
          <w:szCs w:val="24"/>
        </w:rPr>
      </w:pPr>
      <w:r w:rsidRPr="00155566">
        <w:rPr>
          <w:rFonts w:eastAsiaTheme="minorHAnsi"/>
          <w:b/>
          <w:sz w:val="28"/>
          <w:szCs w:val="24"/>
        </w:rPr>
        <w:t>Introduction</w:t>
      </w:r>
      <w:r w:rsidRPr="004F1CD5">
        <w:rPr>
          <w:rFonts w:eastAsiaTheme="minorHAnsi"/>
          <w:b/>
          <w:sz w:val="24"/>
          <w:szCs w:val="24"/>
        </w:rPr>
        <w:t xml:space="preserve"> </w:t>
      </w:r>
    </w:p>
    <w:p w14:paraId="2EA71450" w14:textId="77777777" w:rsidR="00D80693" w:rsidRPr="004F1CD5" w:rsidRDefault="00D80693" w:rsidP="00735D3E">
      <w:pPr>
        <w:spacing w:before="120"/>
        <w:jc w:val="both"/>
        <w:rPr>
          <w:rFonts w:eastAsia="Calibri"/>
          <w:color w:val="000000"/>
          <w:sz w:val="24"/>
          <w:szCs w:val="24"/>
        </w:rPr>
      </w:pPr>
      <w:r w:rsidRPr="004F1CD5">
        <w:rPr>
          <w:rFonts w:eastAsia="Calibri"/>
          <w:sz w:val="24"/>
          <w:szCs w:val="24"/>
        </w:rPr>
        <w:t xml:space="preserve">Aujourd’hui seulement 6,09 % de pays en Afrique </w:t>
      </w:r>
      <w:r w:rsidRPr="00AC6096">
        <w:rPr>
          <w:rFonts w:eastAsia="Calibri"/>
          <w:sz w:val="24"/>
          <w:szCs w:val="24"/>
        </w:rPr>
        <w:t xml:space="preserve">ont intégré la pratique de la philosophie avec enfants dans les pratiques éducatives et citoyennes </w:t>
      </w:r>
      <w:r>
        <w:rPr>
          <w:rFonts w:eastAsiaTheme="minorHAnsi"/>
          <w:sz w:val="24"/>
          <w:szCs w:val="24"/>
        </w:rPr>
        <w:t>(</w:t>
      </w:r>
      <w:r w:rsidRPr="00AC6096">
        <w:rPr>
          <w:rFonts w:eastAsiaTheme="minorHAnsi"/>
          <w:sz w:val="24"/>
          <w:szCs w:val="24"/>
        </w:rPr>
        <w:t>IAPC, 2015)</w:t>
      </w:r>
      <w:r w:rsidRPr="00AC6096">
        <w:rPr>
          <w:rFonts w:eastAsia="Calibri"/>
          <w:sz w:val="24"/>
          <w:szCs w:val="24"/>
        </w:rPr>
        <w:t xml:space="preserve">. Le Cameroun comme beaucoup d’autres pays manquent encore à l’appel de cette Nouvelle Pratique Philosophique (NPP) à l’école et dans la cité. Or, </w:t>
      </w:r>
      <w:r w:rsidRPr="00AC6096">
        <w:rPr>
          <w:rFonts w:eastAsiaTheme="minorHAnsi"/>
          <w:color w:val="000000"/>
          <w:sz w:val="24"/>
          <w:szCs w:val="24"/>
        </w:rPr>
        <w:t>au niveau du Cameroun, les curricula du préscolaire et primaire mettent un accent aigu sur développement</w:t>
      </w:r>
      <w:r>
        <w:rPr>
          <w:color w:val="000000"/>
          <w:sz w:val="24"/>
          <w:szCs w:val="24"/>
        </w:rPr>
        <w:fldChar w:fldCharType="begin"/>
      </w:r>
      <w:r w:rsidRPr="00AC6096">
        <w:rPr>
          <w:rFonts w:eastAsiaTheme="minorHAnsi"/>
          <w:sz w:val="24"/>
          <w:szCs w:val="24"/>
        </w:rPr>
        <w:instrText xml:space="preserve"> XE "</w:instrText>
      </w:r>
      <w:r w:rsidRPr="00AC6096">
        <w:rPr>
          <w:rFonts w:eastAsiaTheme="minorHAnsi"/>
          <w:color w:val="000000"/>
          <w:sz w:val="24"/>
          <w:szCs w:val="24"/>
        </w:rPr>
        <w:instrText>développement</w:instrText>
      </w:r>
      <w:r w:rsidRPr="00AC6096">
        <w:rPr>
          <w:rFonts w:eastAsiaTheme="minorHAnsi"/>
          <w:sz w:val="24"/>
          <w:szCs w:val="24"/>
        </w:rPr>
        <w:instrText xml:space="preserve">" </w:instrText>
      </w:r>
      <w:r>
        <w:rPr>
          <w:color w:val="000000"/>
          <w:sz w:val="24"/>
          <w:szCs w:val="24"/>
        </w:rPr>
        <w:fldChar w:fldCharType="end"/>
      </w:r>
      <w:r w:rsidRPr="00AC6096">
        <w:rPr>
          <w:rFonts w:eastAsiaTheme="minorHAnsi"/>
          <w:color w:val="000000"/>
          <w:sz w:val="24"/>
          <w:szCs w:val="24"/>
        </w:rPr>
        <w:t xml:space="preserve"> de l’éveil scientifique</w:t>
      </w:r>
      <w:r>
        <w:rPr>
          <w:color w:val="000000"/>
          <w:sz w:val="24"/>
          <w:szCs w:val="24"/>
        </w:rPr>
        <w:fldChar w:fldCharType="begin"/>
      </w:r>
      <w:r w:rsidRPr="00AC6096">
        <w:rPr>
          <w:rFonts w:eastAsiaTheme="minorHAnsi"/>
          <w:sz w:val="24"/>
          <w:szCs w:val="24"/>
        </w:rPr>
        <w:instrText xml:space="preserve"> XE "scientifique" </w:instrText>
      </w:r>
      <w:r>
        <w:rPr>
          <w:color w:val="000000"/>
          <w:sz w:val="24"/>
          <w:szCs w:val="24"/>
        </w:rPr>
        <w:fldChar w:fldCharType="end"/>
      </w:r>
      <w:r w:rsidRPr="004F1CD5">
        <w:rPr>
          <w:rFonts w:eastAsiaTheme="minorHAnsi"/>
          <w:color w:val="000000"/>
          <w:sz w:val="24"/>
          <w:szCs w:val="24"/>
        </w:rPr>
        <w:t xml:space="preserve"> chez les enfants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comme compétence</w:t>
      </w:r>
      <w:r>
        <w:rPr>
          <w:color w:val="000000"/>
          <w:sz w:val="24"/>
          <w:szCs w:val="24"/>
        </w:rPr>
        <w:fldChar w:fldCharType="begin"/>
      </w:r>
      <w:r w:rsidRPr="004F1CD5">
        <w:rPr>
          <w:rFonts w:eastAsiaTheme="minorHAnsi"/>
          <w:sz w:val="24"/>
          <w:szCs w:val="24"/>
        </w:rPr>
        <w:instrText xml:space="preserve"> XE "compétence" </w:instrText>
      </w:r>
      <w:r>
        <w:rPr>
          <w:color w:val="000000"/>
          <w:sz w:val="24"/>
          <w:szCs w:val="24"/>
        </w:rPr>
        <w:fldChar w:fldCharType="end"/>
      </w:r>
      <w:r w:rsidRPr="004F1CD5">
        <w:rPr>
          <w:rFonts w:eastAsiaTheme="minorHAnsi"/>
          <w:color w:val="000000"/>
          <w:sz w:val="24"/>
          <w:szCs w:val="24"/>
        </w:rPr>
        <w:t xml:space="preserve"> importante pour une citoyenneté réflexive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réflexive</w:instrText>
      </w:r>
      <w:r w:rsidRPr="004F1CD5">
        <w:rPr>
          <w:rFonts w:eastAsiaTheme="minorHAnsi"/>
          <w:sz w:val="24"/>
          <w:szCs w:val="24"/>
        </w:rPr>
        <w:instrText xml:space="preserve">" </w:instrText>
      </w:r>
      <w:r>
        <w:rPr>
          <w:color w:val="000000"/>
          <w:sz w:val="24"/>
          <w:szCs w:val="24"/>
        </w:rPr>
        <w:fldChar w:fldCharType="end"/>
      </w:r>
      <w:r>
        <w:rPr>
          <w:rFonts w:eastAsiaTheme="minorHAnsi"/>
          <w:color w:val="000000"/>
          <w:sz w:val="24"/>
          <w:szCs w:val="24"/>
        </w:rPr>
        <w:t xml:space="preserve"> (MINEDUB, 2018, p. 4). </w:t>
      </w:r>
      <w:r w:rsidRPr="004F1CD5">
        <w:rPr>
          <w:rFonts w:eastAsiaTheme="minorHAnsi"/>
          <w:color w:val="000000"/>
          <w:sz w:val="24"/>
          <w:szCs w:val="24"/>
        </w:rPr>
        <w:t>Pour le développement de la citoyenneté réflexive, il revient donc à l’EM « </w:t>
      </w:r>
      <w:r w:rsidRPr="004F1CD5">
        <w:rPr>
          <w:rFonts w:eastAsiaTheme="minorHAnsi"/>
          <w:i/>
          <w:color w:val="000000"/>
          <w:sz w:val="24"/>
          <w:szCs w:val="24"/>
        </w:rPr>
        <w:t>d’éveiller et nourrir chez l’enfant la conscience des liens qui l’attachent à l’État et de lui faire pratiquer les devoirs que l’existence</w:t>
      </w:r>
      <w:r>
        <w:rPr>
          <w:i/>
          <w:color w:val="000000"/>
          <w:sz w:val="24"/>
          <w:szCs w:val="24"/>
        </w:rPr>
        <w:fldChar w:fldCharType="begin"/>
      </w:r>
      <w:r w:rsidRPr="004F1CD5">
        <w:rPr>
          <w:rFonts w:eastAsiaTheme="minorHAnsi"/>
          <w:sz w:val="24"/>
          <w:szCs w:val="24"/>
        </w:rPr>
        <w:instrText xml:space="preserve"> XE "existence" </w:instrText>
      </w:r>
      <w:r>
        <w:rPr>
          <w:i/>
          <w:color w:val="000000"/>
          <w:sz w:val="24"/>
          <w:szCs w:val="24"/>
        </w:rPr>
        <w:fldChar w:fldCharType="end"/>
      </w:r>
      <w:r w:rsidRPr="004F1CD5">
        <w:rPr>
          <w:rFonts w:eastAsiaTheme="minorHAnsi"/>
          <w:i/>
          <w:color w:val="000000"/>
          <w:sz w:val="24"/>
          <w:szCs w:val="24"/>
        </w:rPr>
        <w:t xml:space="preserve"> de ces liens lui imposent </w:t>
      </w:r>
      <w:r w:rsidRPr="004F1CD5">
        <w:rPr>
          <w:rFonts w:eastAsiaTheme="minorHAnsi"/>
          <w:color w:val="000000"/>
          <w:sz w:val="24"/>
          <w:szCs w:val="24"/>
        </w:rPr>
        <w:t xml:space="preserve">» (MINEDUB, 2018, p. 102). </w:t>
      </w:r>
      <w:r>
        <w:rPr>
          <w:rFonts w:eastAsiaTheme="minorHAnsi"/>
          <w:color w:val="000000"/>
          <w:sz w:val="24"/>
          <w:szCs w:val="24"/>
        </w:rPr>
        <w:t>La philosophie avec les enfants comme activité d’éveil réflexif et critique entre dans les perspectives éducatives camerounais dès</w:t>
      </w:r>
      <w:r w:rsidRPr="004F1CD5">
        <w:rPr>
          <w:rFonts w:eastAsiaTheme="minorHAnsi"/>
          <w:color w:val="000000"/>
          <w:sz w:val="24"/>
          <w:szCs w:val="24"/>
        </w:rPr>
        <w:t xml:space="preserve"> les années 1988-1989 </w:t>
      </w:r>
      <w:r>
        <w:rPr>
          <w:rFonts w:eastAsiaTheme="minorHAnsi"/>
          <w:color w:val="000000"/>
          <w:sz w:val="24"/>
          <w:szCs w:val="24"/>
        </w:rPr>
        <w:t xml:space="preserve">avec </w:t>
      </w:r>
      <w:r w:rsidRPr="004F1CD5">
        <w:rPr>
          <w:rFonts w:eastAsiaTheme="minorHAnsi"/>
          <w:color w:val="000000"/>
          <w:sz w:val="24"/>
          <w:szCs w:val="24"/>
        </w:rPr>
        <w:t>les 11 disciplines (et par la suite la 12</w:t>
      </w:r>
      <w:r w:rsidRPr="004F1CD5">
        <w:rPr>
          <w:rFonts w:eastAsiaTheme="minorHAnsi"/>
          <w:color w:val="000000"/>
          <w:sz w:val="24"/>
          <w:szCs w:val="24"/>
          <w:vertAlign w:val="superscript"/>
        </w:rPr>
        <w:t>ème</w:t>
      </w:r>
      <w:r w:rsidRPr="004F1CD5">
        <w:rPr>
          <w:rFonts w:eastAsiaTheme="minorHAnsi"/>
          <w:color w:val="000000"/>
          <w:sz w:val="24"/>
          <w:szCs w:val="24"/>
        </w:rPr>
        <w:t xml:space="preserve"> en 2000) d’un enseignement</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enseignement</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-apprentissage au préscolaire </w:t>
      </w:r>
      <w:r>
        <w:rPr>
          <w:rFonts w:eastAsiaTheme="minorHAnsi"/>
          <w:color w:val="000000"/>
          <w:sz w:val="24"/>
          <w:szCs w:val="24"/>
        </w:rPr>
        <w:t xml:space="preserve">qui </w:t>
      </w:r>
      <w:r w:rsidRPr="004F1CD5">
        <w:rPr>
          <w:rFonts w:eastAsiaTheme="minorHAnsi"/>
          <w:color w:val="000000"/>
          <w:sz w:val="24"/>
          <w:szCs w:val="24"/>
        </w:rPr>
        <w:t>font appel aux activités d’éveil scientifique et technologique (</w:t>
      </w:r>
      <w:proofErr w:type="spellStart"/>
      <w:r w:rsidRPr="004F1CD5">
        <w:rPr>
          <w:rFonts w:eastAsiaTheme="minorHAnsi"/>
          <w:color w:val="000000"/>
          <w:sz w:val="24"/>
          <w:szCs w:val="24"/>
        </w:rPr>
        <w:t>Nkeck</w:t>
      </w:r>
      <w:proofErr w:type="spellEnd"/>
      <w:r w:rsidRPr="004F1CD5">
        <w:rPr>
          <w:rFonts w:eastAsiaTheme="minorHAnsi"/>
          <w:color w:val="000000"/>
          <w:sz w:val="24"/>
          <w:szCs w:val="24"/>
        </w:rPr>
        <w:t xml:space="preserve"> Bidias, 2013, p. 83).</w:t>
      </w:r>
    </w:p>
    <w:p w14:paraId="5AC304F2" w14:textId="77777777" w:rsidR="00D80693" w:rsidRPr="004F1CD5" w:rsidRDefault="00D80693" w:rsidP="00735D3E">
      <w:pPr>
        <w:spacing w:before="120"/>
        <w:jc w:val="both"/>
        <w:rPr>
          <w:rFonts w:eastAsia="Calibri"/>
          <w:sz w:val="24"/>
          <w:szCs w:val="24"/>
        </w:rPr>
      </w:pPr>
      <w:r w:rsidRPr="004F1CD5">
        <w:rPr>
          <w:rFonts w:eastAsia="Calibri"/>
          <w:sz w:val="24"/>
          <w:szCs w:val="24"/>
        </w:rPr>
        <w:t xml:space="preserve">Nonobstant la volonté de démocratisation de la philosophie à l’école au Cameroun et dans d’autre pays d’Afrique, l’élitisme platonicien reste toujours la doctrine scolaire des savoirs philosophiques. Un fait marquant de l’éducation au Cameroun est la démocratisation de la philosophie au secondaire : en tant que discipline d’enseignement-apprentissage, la philosophie est </w:t>
      </w:r>
      <w:r w:rsidRPr="004F1CD5">
        <w:rPr>
          <w:rFonts w:eastAsia="Calibri"/>
          <w:color w:val="000000"/>
          <w:sz w:val="24"/>
          <w:szCs w:val="24"/>
        </w:rPr>
        <w:t>accessible aux élèves des classes de secondes littéraires</w:t>
      </w:r>
      <w:r w:rsidRPr="004F1CD5">
        <w:rPr>
          <w:rFonts w:eastAsia="Calibri"/>
          <w:sz w:val="24"/>
          <w:szCs w:val="24"/>
        </w:rPr>
        <w:t xml:space="preserve"> depuis </w:t>
      </w:r>
      <w:r w:rsidRPr="004F1CD5">
        <w:rPr>
          <w:rFonts w:eastAsia="Calibri"/>
          <w:color w:val="000000"/>
          <w:sz w:val="24"/>
          <w:szCs w:val="24"/>
        </w:rPr>
        <w:t>septembre 2018. Ce changement de paradigme d’enseignement de la philosophe au collège est un pas vers la véritable démocratisation de la philosophie : celle-ci est la forme dans laquelle l’accès aux savoirs et méthodes philosophiques est ouvert à « </w:t>
      </w:r>
      <w:r w:rsidRPr="004F1CD5">
        <w:rPr>
          <w:rFonts w:eastAsia="Calibri"/>
          <w:i/>
          <w:color w:val="000000"/>
          <w:sz w:val="24"/>
          <w:szCs w:val="24"/>
        </w:rPr>
        <w:t>des peuples exclus de la philosophie :</w:t>
      </w:r>
      <w:r w:rsidRPr="004F1CD5">
        <w:rPr>
          <w:rFonts w:eastAsia="Calibri"/>
          <w:color w:val="000000"/>
          <w:sz w:val="24"/>
          <w:szCs w:val="24"/>
        </w:rPr>
        <w:t xml:space="preserve"> </w:t>
      </w:r>
      <w:r w:rsidRPr="004F1CD5">
        <w:rPr>
          <w:rFonts w:eastAsia="Calibri"/>
          <w:i/>
          <w:color w:val="000000"/>
          <w:sz w:val="24"/>
          <w:szCs w:val="24"/>
        </w:rPr>
        <w:t>enfants, femmes, classes populaires, non géomètres</w:t>
      </w:r>
      <w:r w:rsidRPr="004F1CD5">
        <w:rPr>
          <w:rFonts w:eastAsia="Calibri"/>
          <w:color w:val="000000"/>
          <w:sz w:val="24"/>
          <w:szCs w:val="24"/>
        </w:rPr>
        <w:t> » (CMP, 2024).</w:t>
      </w:r>
    </w:p>
    <w:p w14:paraId="06A1A77C" w14:textId="77777777" w:rsidR="00D80693" w:rsidRPr="004F1CD5" w:rsidRDefault="00D80693" w:rsidP="00735D3E">
      <w:pPr>
        <w:spacing w:before="120"/>
        <w:jc w:val="both"/>
        <w:rPr>
          <w:rFonts w:eastAsia="Calibri"/>
          <w:sz w:val="24"/>
          <w:szCs w:val="24"/>
        </w:rPr>
      </w:pPr>
      <w:r w:rsidRPr="004F1CD5">
        <w:rPr>
          <w:rFonts w:eastAsiaTheme="minorHAnsi"/>
          <w:sz w:val="24"/>
          <w:szCs w:val="24"/>
        </w:rPr>
        <w:t xml:space="preserve">Sur le terrain, les pratiques pédagogiques dominantes au Cameroun restent fortement marquées par l’enseignement transmissif, centré sur la mémorisation et la restitution. Si ce modèle permet d’assurer des acquis scolaires de base, d’une part, il s’écarte des normes pédagogiques et didactiques qui préconisent l’approche par les compétences (APC) qui cadre bien avec l’approche du philosopher à l’école et d’autre part, il limite cependant la capacité des apprenants à développer une pensée critique et autonome. C’est ce contexte que la philosophie avec les enfants, déjà expérimentée dans plusieurs pays à la suite des travaux de Lipman </w:t>
      </w:r>
      <w:r>
        <w:rPr>
          <w:rFonts w:eastAsiaTheme="minorHAnsi"/>
          <w:sz w:val="24"/>
          <w:szCs w:val="24"/>
        </w:rPr>
        <w:t xml:space="preserve">(2006) </w:t>
      </w:r>
      <w:r w:rsidRPr="004F1CD5">
        <w:rPr>
          <w:rFonts w:eastAsiaTheme="minorHAnsi"/>
          <w:sz w:val="24"/>
          <w:szCs w:val="24"/>
        </w:rPr>
        <w:t xml:space="preserve">et </w:t>
      </w:r>
      <w:proofErr w:type="spellStart"/>
      <w:r w:rsidRPr="004F1CD5">
        <w:rPr>
          <w:rFonts w:eastAsiaTheme="minorHAnsi"/>
          <w:sz w:val="24"/>
          <w:szCs w:val="24"/>
        </w:rPr>
        <w:t>Chirouter</w:t>
      </w:r>
      <w:proofErr w:type="spellEnd"/>
      <w:r>
        <w:rPr>
          <w:rFonts w:eastAsiaTheme="minorHAnsi"/>
          <w:sz w:val="24"/>
          <w:szCs w:val="24"/>
        </w:rPr>
        <w:t xml:space="preserve"> (2022)</w:t>
      </w:r>
      <w:r w:rsidRPr="004F1CD5">
        <w:rPr>
          <w:rFonts w:eastAsiaTheme="minorHAnsi"/>
          <w:sz w:val="24"/>
          <w:szCs w:val="24"/>
        </w:rPr>
        <w:t xml:space="preserve">, ouvre de nouvelles perspectives pour l’éducation à la citoyenneté. </w:t>
      </w:r>
    </w:p>
    <w:p w14:paraId="02A30549" w14:textId="77777777" w:rsidR="00D80693" w:rsidRPr="004F1CD5" w:rsidRDefault="00D80693" w:rsidP="00735D3E">
      <w:pPr>
        <w:spacing w:before="120"/>
        <w:jc w:val="both"/>
        <w:rPr>
          <w:rFonts w:eastAsia="Calibri"/>
          <w:sz w:val="24"/>
          <w:szCs w:val="24"/>
        </w:rPr>
      </w:pPr>
      <w:r w:rsidRPr="004F1CD5">
        <w:rPr>
          <w:rFonts w:eastAsiaTheme="minorHAnsi"/>
          <w:sz w:val="24"/>
          <w:szCs w:val="24"/>
        </w:rPr>
        <w:t xml:space="preserve">L’originalité de la recherche présentée dans cet article réside dans l’usage de l’image comme support didactique privilégié pour introduire la réflexion philosophique dès la jeune enfance. L’image, par sa force évocatrice, favorise l’émergence de questions, de définitions collectives et d’arguments partagés. Combinée à un dispositif ludique—le </w:t>
      </w:r>
      <w:proofErr w:type="spellStart"/>
      <w:r>
        <w:rPr>
          <w:rFonts w:eastAsiaTheme="minorHAnsi"/>
          <w:i/>
          <w:sz w:val="24"/>
          <w:szCs w:val="24"/>
        </w:rPr>
        <w:t>ludo</w:t>
      </w:r>
      <w:proofErr w:type="spellEnd"/>
      <w:r>
        <w:rPr>
          <w:rFonts w:eastAsiaTheme="minorHAnsi"/>
          <w:i/>
          <w:sz w:val="24"/>
          <w:szCs w:val="24"/>
        </w:rPr>
        <w:t>-philosopher</w:t>
      </w:r>
      <w:r w:rsidRPr="004F1CD5">
        <w:rPr>
          <w:rFonts w:eastAsiaTheme="minorHAnsi"/>
          <w:sz w:val="24"/>
          <w:szCs w:val="24"/>
        </w:rPr>
        <w:t>, un jeu de cartes conçu pour stimuler la discussion à visée philosophique et démocratique, elle devient un levier d’apprentissage à</w:t>
      </w:r>
      <w:r>
        <w:rPr>
          <w:rFonts w:eastAsiaTheme="minorHAnsi"/>
          <w:sz w:val="24"/>
          <w:szCs w:val="24"/>
        </w:rPr>
        <w:t xml:space="preserve"> la fois attractif et formateur pour l’esprit réflexif chez les enfants. </w:t>
      </w:r>
    </w:p>
    <w:p w14:paraId="430E6EB4" w14:textId="77777777" w:rsidR="00D80693" w:rsidRPr="00D52F0E" w:rsidRDefault="00D80693" w:rsidP="00735D3E">
      <w:pPr>
        <w:spacing w:before="120"/>
        <w:jc w:val="both"/>
        <w:rPr>
          <w:rFonts w:eastAsia="Calibri"/>
          <w:color w:val="000000"/>
          <w:sz w:val="24"/>
          <w:szCs w:val="24"/>
        </w:rPr>
      </w:pPr>
      <w:r w:rsidRPr="004F1CD5">
        <w:rPr>
          <w:rFonts w:eastAsiaTheme="minorHAnsi"/>
          <w:sz w:val="24"/>
          <w:szCs w:val="24"/>
        </w:rPr>
        <w:t>La société camerounaise, à l’instar de nombreuses sociétés contemporaines, est confrontée à une crise de valeurs qui fragilise la jeunesse : immoralité, incivisme et dépravation des mœurs semblent mettre hors-sol la capacité des jeunes à se construire comme des citoyens réflexifs et autonomes dans une réflexivité critique. Il nous apparaît alors que la société</w:t>
      </w:r>
      <w:r>
        <w:rPr>
          <w:rFonts w:eastAsiaTheme="minorHAnsi"/>
          <w:sz w:val="24"/>
          <w:szCs w:val="24"/>
        </w:rPr>
        <w:t xml:space="preserve"> actuelle illustre bien « la société tardive » (</w:t>
      </w:r>
      <w:proofErr w:type="spellStart"/>
      <w:r>
        <w:rPr>
          <w:rFonts w:eastAsiaTheme="minorHAnsi"/>
          <w:sz w:val="24"/>
          <w:szCs w:val="24"/>
        </w:rPr>
        <w:t>Hartmurt</w:t>
      </w:r>
      <w:proofErr w:type="spellEnd"/>
      <w:r>
        <w:rPr>
          <w:rFonts w:eastAsiaTheme="minorHAnsi"/>
          <w:sz w:val="24"/>
          <w:szCs w:val="24"/>
        </w:rPr>
        <w:t>, 2010) dont la particularité est d’être</w:t>
      </w:r>
      <w:r w:rsidRPr="004F1CD5">
        <w:rPr>
          <w:rFonts w:eastAsiaTheme="minorHAnsi"/>
          <w:sz w:val="24"/>
          <w:szCs w:val="24"/>
        </w:rPr>
        <w:t xml:space="preserve"> une vieille dame qui se rajeunit dans le vice</w:t>
      </w:r>
      <w:r>
        <w:rPr>
          <w:rFonts w:eastAsiaTheme="minorHAnsi"/>
          <w:sz w:val="24"/>
          <w:szCs w:val="24"/>
        </w:rPr>
        <w:t xml:space="preserve"> ou d’être en accélération vers </w:t>
      </w:r>
      <w:r w:rsidRPr="00D52F0E">
        <w:rPr>
          <w:rFonts w:eastAsiaTheme="minorHAnsi"/>
          <w:sz w:val="24"/>
          <w:szCs w:val="24"/>
        </w:rPr>
        <w:t xml:space="preserve">des divagations folles de la pensée acritique. L’école de cette modernité tardive produit plus </w:t>
      </w:r>
      <w:r w:rsidRPr="00D52F0E">
        <w:rPr>
          <w:rFonts w:eastAsiaTheme="minorHAnsi" w:cstheme="minorBidi"/>
          <w:color w:val="000000"/>
          <w:sz w:val="24"/>
          <w:szCs w:val="24"/>
        </w:rPr>
        <w:t xml:space="preserve">des générations de machines efficaces plutôt que des citoyens complets capables de penser par eux-mêmes, de critiquer la tradition </w:t>
      </w:r>
      <w:r w:rsidRPr="00D52F0E">
        <w:rPr>
          <w:rFonts w:eastAsiaTheme="minorHAnsi" w:cstheme="minorBidi"/>
          <w:sz w:val="24"/>
          <w:szCs w:val="24"/>
        </w:rPr>
        <w:t>(Nussbaum, 2011, p. 10).</w:t>
      </w:r>
      <w:r>
        <w:rPr>
          <w:rFonts w:eastAsiaTheme="minorHAnsi" w:cstheme="minorBidi"/>
          <w:color w:val="000000"/>
          <w:sz w:val="24"/>
          <w:szCs w:val="24"/>
        </w:rPr>
        <w:t xml:space="preserve"> </w:t>
      </w:r>
      <w:r w:rsidRPr="004F1CD5">
        <w:rPr>
          <w:rFonts w:eastAsiaTheme="minorHAnsi"/>
          <w:sz w:val="24"/>
          <w:szCs w:val="24"/>
        </w:rPr>
        <w:t xml:space="preserve">Pour répondre à ce problème de perte de pensée réflexive qui est à la base des dynamiques dogmatiques (suivisme, autoritarisme, mimétisme) chez les jeunes, nous avons pensé à mettre sur pied un jeu de cartes : </w:t>
      </w:r>
      <w:proofErr w:type="spellStart"/>
      <w:r>
        <w:rPr>
          <w:rFonts w:eastAsiaTheme="minorHAnsi"/>
          <w:i/>
          <w:sz w:val="24"/>
          <w:szCs w:val="24"/>
        </w:rPr>
        <w:t>ludo</w:t>
      </w:r>
      <w:proofErr w:type="spellEnd"/>
      <w:r>
        <w:rPr>
          <w:rFonts w:eastAsiaTheme="minorHAnsi"/>
          <w:i/>
          <w:sz w:val="24"/>
          <w:szCs w:val="24"/>
        </w:rPr>
        <w:t>-philosopher</w:t>
      </w:r>
      <w:r w:rsidRPr="004F1CD5">
        <w:rPr>
          <w:rFonts w:eastAsiaTheme="minorHAnsi"/>
          <w:sz w:val="24"/>
          <w:szCs w:val="24"/>
        </w:rPr>
        <w:t>. Il s’agit d’une technique ludique de la pratique philosophique pouvant se pratiquer dès la jeune enfance car lorsqu’un arbre est malade, il faut le soigner à la base en inoculant des habiletés structurelles de la pensée très tôt leur donnant la capacité à construire par eux-mêmes leur propre système de valeurs. L’école, cen</w:t>
      </w:r>
      <w:r>
        <w:rPr>
          <w:rFonts w:eastAsiaTheme="minorHAnsi"/>
          <w:sz w:val="24"/>
          <w:szCs w:val="24"/>
        </w:rPr>
        <w:t>sée être un lieu de construction</w:t>
      </w:r>
      <w:r w:rsidRPr="004F1CD5">
        <w:rPr>
          <w:rFonts w:eastAsiaTheme="minorHAnsi"/>
          <w:sz w:val="24"/>
          <w:szCs w:val="24"/>
        </w:rPr>
        <w:t xml:space="preserve"> de savoirs et de socialisation, se trouve ainsi interpellée : </w:t>
      </w:r>
      <w:r w:rsidRPr="004F1CD5">
        <w:rPr>
          <w:rFonts w:eastAsia="Calibri"/>
          <w:color w:val="000000"/>
          <w:sz w:val="24"/>
          <w:szCs w:val="24"/>
        </w:rPr>
        <w:t>e</w:t>
      </w:r>
      <w:r w:rsidRPr="004F1CD5">
        <w:rPr>
          <w:rFonts w:eastAsia="Calibri"/>
          <w:i/>
          <w:color w:val="000000"/>
          <w:sz w:val="24"/>
          <w:szCs w:val="24"/>
        </w:rPr>
        <w:t xml:space="preserve">n quoi le </w:t>
      </w:r>
      <w:proofErr w:type="spellStart"/>
      <w:r>
        <w:rPr>
          <w:rFonts w:eastAsia="Calibri"/>
          <w:i/>
          <w:color w:val="000000"/>
          <w:sz w:val="24"/>
          <w:szCs w:val="24"/>
        </w:rPr>
        <w:t>ludo</w:t>
      </w:r>
      <w:proofErr w:type="spellEnd"/>
      <w:r>
        <w:rPr>
          <w:rFonts w:eastAsia="Calibri"/>
          <w:i/>
          <w:color w:val="000000"/>
          <w:sz w:val="24"/>
          <w:szCs w:val="24"/>
        </w:rPr>
        <w:t>-philosopher</w:t>
      </w:r>
      <w:r w:rsidRPr="004F1CD5">
        <w:rPr>
          <w:rFonts w:eastAsia="Calibri"/>
          <w:i/>
          <w:color w:val="000000"/>
          <w:sz w:val="24"/>
          <w:szCs w:val="24"/>
        </w:rPr>
        <w:t xml:space="preserve"> tenant à cœur l’image comme support à la réflexion philosophique permet de développer la pensée réflexive en classe de CP afin de </w:t>
      </w:r>
      <w:r w:rsidRPr="004F1CD5">
        <w:rPr>
          <w:rFonts w:eastAsiaTheme="minorHAnsi"/>
          <w:i/>
          <w:sz w:val="24"/>
          <w:szCs w:val="24"/>
        </w:rPr>
        <w:t xml:space="preserve">préparer les élèves du primaire à une citoyenneté réflexive </w:t>
      </w:r>
      <w:r w:rsidRPr="004F1CD5">
        <w:rPr>
          <w:rFonts w:eastAsiaTheme="minorHAnsi"/>
          <w:sz w:val="24"/>
          <w:szCs w:val="24"/>
        </w:rPr>
        <w:t>?</w:t>
      </w:r>
    </w:p>
    <w:p w14:paraId="1BB9B72D" w14:textId="77777777" w:rsidR="00D80693" w:rsidRPr="004F1CD5" w:rsidRDefault="00D80693" w:rsidP="00735D3E">
      <w:pPr>
        <w:spacing w:before="120"/>
        <w:jc w:val="both"/>
        <w:rPr>
          <w:rFonts w:eastAsia="Calibri"/>
          <w:sz w:val="24"/>
          <w:szCs w:val="24"/>
        </w:rPr>
      </w:pPr>
      <w:r w:rsidRPr="004F1CD5">
        <w:rPr>
          <w:rFonts w:eastAsiaTheme="minorHAnsi"/>
          <w:sz w:val="24"/>
          <w:szCs w:val="24"/>
        </w:rPr>
        <w:t>En pensant que l’ECM peut servir de passerelle à l’apprentissage de la philosophie à l’école, la présente étude, menée dans une classe de CP à Yaoundé, s’appuie sur une démarche de l’ingénierie didactique</w:t>
      </w:r>
      <w:r w:rsidRPr="004F1CD5">
        <w:rPr>
          <w:rFonts w:eastAsiaTheme="minorHAnsi"/>
          <w:color w:val="000000"/>
          <w:sz w:val="24"/>
          <w:szCs w:val="24"/>
        </w:rPr>
        <w:t xml:space="preserve"> d’Artigue (1988)</w:t>
      </w:r>
      <w:r w:rsidRPr="004F1CD5">
        <w:rPr>
          <w:rFonts w:eastAsiaTheme="minorHAnsi"/>
          <w:sz w:val="24"/>
          <w:szCs w:val="24"/>
        </w:rPr>
        <w:t xml:space="preserve"> et l’analyse qualitative de verbatims </w:t>
      </w:r>
      <w:proofErr w:type="spellStart"/>
      <w:r w:rsidRPr="004F1CD5">
        <w:rPr>
          <w:rFonts w:eastAsiaTheme="minorHAnsi"/>
          <w:sz w:val="24"/>
          <w:szCs w:val="24"/>
        </w:rPr>
        <w:t>vidéoscopés</w:t>
      </w:r>
      <w:proofErr w:type="spellEnd"/>
      <w:r w:rsidRPr="004F1CD5">
        <w:rPr>
          <w:rFonts w:eastAsiaTheme="minorHAnsi"/>
          <w:sz w:val="24"/>
          <w:szCs w:val="24"/>
        </w:rPr>
        <w:t xml:space="preserve"> afin d’évaluer l’impact de ce dispositif sur le développement précoce des habiletés réflexives. Plus précisément, il s’agit d’observer comment </w:t>
      </w:r>
      <w:r w:rsidRPr="00F6179D">
        <w:rPr>
          <w:rFonts w:eastAsiaTheme="minorHAnsi"/>
          <w:i/>
          <w:sz w:val="24"/>
          <w:szCs w:val="24"/>
        </w:rPr>
        <w:t xml:space="preserve">la problématisation, la conceptualisation, l’argumentation et l’interprétation </w:t>
      </w:r>
      <w:r w:rsidRPr="004F1CD5">
        <w:rPr>
          <w:rFonts w:eastAsiaTheme="minorHAnsi"/>
          <w:sz w:val="24"/>
          <w:szCs w:val="24"/>
        </w:rPr>
        <w:t xml:space="preserve">peuvent être travaillées dès l’enfance, et en quoi elles constituent le socle d’une citoyenneté active et critique. </w:t>
      </w:r>
    </w:p>
    <w:p w14:paraId="3EB50447" w14:textId="77777777" w:rsidR="00D80693" w:rsidRPr="004F1CD5" w:rsidRDefault="00D80693" w:rsidP="00735D3E">
      <w:pPr>
        <w:spacing w:before="120"/>
        <w:jc w:val="both"/>
        <w:rPr>
          <w:rFonts w:eastAsia="Calibri"/>
          <w:sz w:val="24"/>
          <w:szCs w:val="24"/>
        </w:rPr>
      </w:pPr>
      <w:r w:rsidRPr="004F1CD5">
        <w:rPr>
          <w:rFonts w:eastAsiaTheme="minorHAnsi"/>
          <w:sz w:val="24"/>
          <w:szCs w:val="24"/>
        </w:rPr>
        <w:t xml:space="preserve">L’article s’organise en quatre temps : d’abord un cadrage théorique qui situe la philosophie avec les enfants selon la pratique </w:t>
      </w:r>
      <w:proofErr w:type="spellStart"/>
      <w:r w:rsidRPr="004F1CD5">
        <w:rPr>
          <w:rFonts w:eastAsiaTheme="minorHAnsi"/>
          <w:sz w:val="24"/>
          <w:szCs w:val="24"/>
        </w:rPr>
        <w:t>chiroutérienne</w:t>
      </w:r>
      <w:proofErr w:type="spellEnd"/>
      <w:r w:rsidRPr="004F1CD5">
        <w:rPr>
          <w:rFonts w:eastAsiaTheme="minorHAnsi"/>
          <w:sz w:val="24"/>
          <w:szCs w:val="24"/>
        </w:rPr>
        <w:t xml:space="preserve"> de l’atelier philo, mais faisant appel à l’image et au </w:t>
      </w:r>
      <w:proofErr w:type="spellStart"/>
      <w:r>
        <w:rPr>
          <w:rFonts w:eastAsiaTheme="minorHAnsi"/>
          <w:i/>
          <w:sz w:val="24"/>
          <w:szCs w:val="24"/>
        </w:rPr>
        <w:t>ludo</w:t>
      </w:r>
      <w:proofErr w:type="spellEnd"/>
      <w:r>
        <w:rPr>
          <w:rFonts w:eastAsiaTheme="minorHAnsi"/>
          <w:i/>
          <w:sz w:val="24"/>
          <w:szCs w:val="24"/>
        </w:rPr>
        <w:t>-philosopher</w:t>
      </w:r>
      <w:r w:rsidRPr="004F1CD5">
        <w:rPr>
          <w:rFonts w:eastAsiaTheme="minorHAnsi"/>
          <w:i/>
          <w:sz w:val="24"/>
          <w:szCs w:val="24"/>
        </w:rPr>
        <w:t> </w:t>
      </w:r>
      <w:r w:rsidRPr="004F1CD5">
        <w:rPr>
          <w:rFonts w:eastAsiaTheme="minorHAnsi"/>
          <w:sz w:val="24"/>
          <w:szCs w:val="24"/>
        </w:rPr>
        <w:t xml:space="preserve">; ensuite la présentation de la méthodologie adoptée ; puis l’analyse des résultats issus de l’expérimentation ; enfin une discussion portant sur le développement des habiletés structurelles de la pensée induisant des implications curriculaires et la formation des enseignants du primaire à cette nouvelle pratique éducative. </w:t>
      </w:r>
    </w:p>
    <w:p w14:paraId="4171E3D8" w14:textId="77777777" w:rsidR="00D80693" w:rsidRPr="00155566" w:rsidRDefault="00D80693" w:rsidP="00735D3E">
      <w:pPr>
        <w:pStyle w:val="Paragraphedeliste"/>
        <w:widowControl/>
        <w:numPr>
          <w:ilvl w:val="0"/>
          <w:numId w:val="195"/>
        </w:numPr>
        <w:autoSpaceDE/>
        <w:autoSpaceDN/>
        <w:spacing w:after="160"/>
        <w:rPr>
          <w:rFonts w:eastAsia="Calibri"/>
          <w:sz w:val="28"/>
          <w:szCs w:val="24"/>
        </w:rPr>
      </w:pPr>
      <w:r w:rsidRPr="00155566">
        <w:rPr>
          <w:rFonts w:eastAsiaTheme="minorHAnsi"/>
          <w:b/>
          <w:sz w:val="28"/>
          <w:szCs w:val="24"/>
        </w:rPr>
        <w:t xml:space="preserve">Cadre théorique </w:t>
      </w:r>
      <w:r w:rsidRPr="00155566">
        <w:rPr>
          <w:rFonts w:eastAsiaTheme="minorHAnsi"/>
          <w:sz w:val="28"/>
          <w:szCs w:val="24"/>
        </w:rPr>
        <w:t xml:space="preserve"> </w:t>
      </w:r>
    </w:p>
    <w:p w14:paraId="493EBD52" w14:textId="77777777" w:rsidR="00D80693" w:rsidRPr="004F1CD5" w:rsidRDefault="00D80693" w:rsidP="00735D3E">
      <w:pPr>
        <w:spacing w:before="120"/>
        <w:jc w:val="both"/>
        <w:rPr>
          <w:rFonts w:eastAsia="Calibri"/>
          <w:sz w:val="24"/>
          <w:szCs w:val="24"/>
        </w:rPr>
      </w:pPr>
      <w:r w:rsidRPr="004F1CD5">
        <w:rPr>
          <w:rFonts w:eastAsiaTheme="minorHAnsi"/>
          <w:sz w:val="24"/>
          <w:szCs w:val="24"/>
        </w:rPr>
        <w:t>Trois élém</w:t>
      </w:r>
      <w:r>
        <w:rPr>
          <w:rFonts w:eastAsiaTheme="minorHAnsi"/>
          <w:sz w:val="24"/>
          <w:szCs w:val="24"/>
        </w:rPr>
        <w:t>ents théoriques sont essentiel</w:t>
      </w:r>
      <w:r w:rsidRPr="004F1CD5">
        <w:rPr>
          <w:rFonts w:eastAsiaTheme="minorHAnsi"/>
          <w:sz w:val="24"/>
          <w:szCs w:val="24"/>
        </w:rPr>
        <w:t xml:space="preserve">s pour comprendre la pratique philosophique avec les enfants expérimentée dans le cadre de cette étude, ceux-ci sont : la conception de la pratique </w:t>
      </w:r>
      <w:proofErr w:type="spellStart"/>
      <w:r w:rsidRPr="004F1CD5">
        <w:rPr>
          <w:rFonts w:eastAsiaTheme="minorHAnsi"/>
          <w:sz w:val="24"/>
          <w:szCs w:val="24"/>
        </w:rPr>
        <w:t>chiroutérienne</w:t>
      </w:r>
      <w:proofErr w:type="spellEnd"/>
      <w:r w:rsidRPr="004F1CD5">
        <w:rPr>
          <w:rFonts w:eastAsiaTheme="minorHAnsi"/>
          <w:sz w:val="24"/>
          <w:szCs w:val="24"/>
        </w:rPr>
        <w:t xml:space="preserve"> de la philosophie avec les enfants, l’image comme support à la réflexion philosophique avec les enfants et le </w:t>
      </w:r>
      <w:proofErr w:type="spellStart"/>
      <w:r>
        <w:rPr>
          <w:rFonts w:eastAsiaTheme="minorHAnsi"/>
          <w:i/>
          <w:sz w:val="24"/>
          <w:szCs w:val="24"/>
        </w:rPr>
        <w:t>ludo</w:t>
      </w:r>
      <w:proofErr w:type="spellEnd"/>
      <w:r>
        <w:rPr>
          <w:rFonts w:eastAsiaTheme="minorHAnsi"/>
          <w:i/>
          <w:sz w:val="24"/>
          <w:szCs w:val="24"/>
        </w:rPr>
        <w:t>-philosopher</w:t>
      </w:r>
      <w:r w:rsidRPr="004F1CD5">
        <w:rPr>
          <w:rFonts w:eastAsiaTheme="minorHAnsi"/>
          <w:sz w:val="24"/>
          <w:szCs w:val="24"/>
        </w:rPr>
        <w:t xml:space="preserve"> comme technique </w:t>
      </w:r>
      <w:r>
        <w:rPr>
          <w:rFonts w:eastAsiaTheme="minorHAnsi"/>
          <w:sz w:val="24"/>
          <w:szCs w:val="24"/>
        </w:rPr>
        <w:t>de cette pratique</w:t>
      </w:r>
      <w:r w:rsidRPr="004F1CD5">
        <w:rPr>
          <w:rFonts w:eastAsiaTheme="minorHAnsi"/>
          <w:sz w:val="24"/>
          <w:szCs w:val="24"/>
        </w:rPr>
        <w:t xml:space="preserve">. </w:t>
      </w:r>
    </w:p>
    <w:p w14:paraId="06F1C331" w14:textId="77777777" w:rsidR="00D80693" w:rsidRPr="004F1CD5" w:rsidRDefault="00D80693" w:rsidP="00735D3E">
      <w:pPr>
        <w:pStyle w:val="Paragraphedeliste"/>
        <w:widowControl/>
        <w:numPr>
          <w:ilvl w:val="1"/>
          <w:numId w:val="195"/>
        </w:numPr>
        <w:autoSpaceDE/>
        <w:autoSpaceDN/>
        <w:spacing w:after="160"/>
        <w:rPr>
          <w:rFonts w:eastAsia="Calibri"/>
          <w:sz w:val="24"/>
          <w:szCs w:val="24"/>
        </w:rPr>
      </w:pPr>
      <w:r w:rsidRPr="004F1CD5">
        <w:rPr>
          <w:rFonts w:eastAsiaTheme="minorHAnsi"/>
          <w:sz w:val="24"/>
          <w:szCs w:val="24"/>
        </w:rPr>
        <w:t xml:space="preserve"> </w:t>
      </w:r>
      <w:r w:rsidRPr="004F1CD5">
        <w:rPr>
          <w:rFonts w:eastAsiaTheme="minorHAnsi"/>
          <w:b/>
          <w:sz w:val="24"/>
          <w:szCs w:val="24"/>
        </w:rPr>
        <w:t xml:space="preserve">Dispositif didactique des ateliers philo avec les enfants chez </w:t>
      </w:r>
      <w:proofErr w:type="spellStart"/>
      <w:r w:rsidRPr="004F1CD5">
        <w:rPr>
          <w:rFonts w:eastAsiaTheme="minorHAnsi"/>
          <w:b/>
          <w:sz w:val="24"/>
          <w:szCs w:val="24"/>
        </w:rPr>
        <w:t>Chirouter</w:t>
      </w:r>
      <w:proofErr w:type="spellEnd"/>
      <w:r w:rsidRPr="004F1CD5">
        <w:rPr>
          <w:rFonts w:eastAsiaTheme="minorHAnsi"/>
          <w:b/>
          <w:sz w:val="24"/>
          <w:szCs w:val="24"/>
        </w:rPr>
        <w:t xml:space="preserve"> </w:t>
      </w:r>
      <w:r w:rsidRPr="004F1CD5">
        <w:rPr>
          <w:rFonts w:eastAsiaTheme="minorHAnsi"/>
          <w:sz w:val="24"/>
          <w:szCs w:val="24"/>
        </w:rPr>
        <w:t xml:space="preserve"> </w:t>
      </w:r>
    </w:p>
    <w:p w14:paraId="03D9DE76" w14:textId="77777777" w:rsidR="00D80693" w:rsidRPr="004F1CD5" w:rsidRDefault="00D80693" w:rsidP="00735D3E">
      <w:pPr>
        <w:spacing w:before="120"/>
        <w:jc w:val="both"/>
        <w:rPr>
          <w:rFonts w:eastAsia="Calibri"/>
          <w:sz w:val="24"/>
          <w:szCs w:val="24"/>
        </w:rPr>
      </w:pPr>
      <w:proofErr w:type="spellStart"/>
      <w:r w:rsidRPr="004F1CD5">
        <w:rPr>
          <w:rFonts w:eastAsiaTheme="minorHAnsi"/>
          <w:sz w:val="24"/>
          <w:szCs w:val="24"/>
        </w:rPr>
        <w:t>Chirouter</w:t>
      </w:r>
      <w:proofErr w:type="spellEnd"/>
      <w:r w:rsidRPr="004F1CD5">
        <w:rPr>
          <w:rFonts w:eastAsiaTheme="minorHAnsi"/>
          <w:sz w:val="24"/>
          <w:szCs w:val="24"/>
        </w:rPr>
        <w:t xml:space="preserve"> (2022) a entrepris des recherches sur la pratique de la philosophie</w:t>
      </w:r>
      <w:r>
        <w:rPr>
          <w:sz w:val="24"/>
          <w:szCs w:val="24"/>
        </w:rPr>
        <w:fldChar w:fldCharType="begin"/>
      </w:r>
      <w:r w:rsidRPr="004F1CD5">
        <w:rPr>
          <w:rFonts w:eastAsiaTheme="minorHAnsi"/>
          <w:sz w:val="24"/>
          <w:szCs w:val="24"/>
        </w:rPr>
        <w:instrText xml:space="preserve"> XE "pratique de la philosophie" </w:instrText>
      </w:r>
      <w:r>
        <w:rPr>
          <w:sz w:val="24"/>
          <w:szCs w:val="24"/>
        </w:rPr>
        <w:fldChar w:fldCharType="end"/>
      </w:r>
      <w:r w:rsidRPr="004F1CD5">
        <w:rPr>
          <w:rFonts w:eastAsiaTheme="minorHAnsi"/>
          <w:sz w:val="24"/>
          <w:szCs w:val="24"/>
        </w:rPr>
        <w:t xml:space="preserve"> avec les enfants du primaire depuis plus d’une vingtaine d’années maintenant : c’est au fil de ces nombreuses années de recherches pratiques que </w:t>
      </w:r>
      <w:proofErr w:type="spellStart"/>
      <w:r w:rsidRPr="004F1CD5">
        <w:rPr>
          <w:rFonts w:eastAsiaTheme="minorHAnsi"/>
          <w:sz w:val="24"/>
          <w:szCs w:val="24"/>
        </w:rPr>
        <w:t>Chirouter</w:t>
      </w:r>
      <w:proofErr w:type="spellEnd"/>
      <w:r w:rsidRPr="004F1CD5">
        <w:rPr>
          <w:rFonts w:eastAsiaTheme="minorHAnsi"/>
          <w:sz w:val="24"/>
          <w:szCs w:val="24"/>
        </w:rPr>
        <w:t xml:space="preserve"> (2022) a cristallisé sa pratique de la philosophie auprès des enfants. La faisabilité de cette pratique éducative telle que présentée par </w:t>
      </w:r>
      <w:proofErr w:type="spellStart"/>
      <w:r w:rsidRPr="004F1CD5">
        <w:rPr>
          <w:rFonts w:eastAsiaTheme="minorHAnsi"/>
          <w:sz w:val="24"/>
          <w:szCs w:val="24"/>
        </w:rPr>
        <w:t>Chirouter</w:t>
      </w:r>
      <w:proofErr w:type="spellEnd"/>
      <w:r w:rsidRPr="004F1CD5">
        <w:rPr>
          <w:rFonts w:eastAsiaTheme="minorHAnsi"/>
          <w:sz w:val="24"/>
          <w:szCs w:val="24"/>
        </w:rPr>
        <w:t xml:space="preserve"> (2022) éloigne l’idée</w:t>
      </w:r>
      <w:r>
        <w:rPr>
          <w:sz w:val="24"/>
          <w:szCs w:val="24"/>
        </w:rPr>
        <w:fldChar w:fldCharType="begin"/>
      </w:r>
      <w:r w:rsidRPr="004F1CD5">
        <w:rPr>
          <w:rFonts w:eastAsiaTheme="minorHAnsi"/>
          <w:sz w:val="24"/>
          <w:szCs w:val="24"/>
        </w:rPr>
        <w:instrText xml:space="preserve"> XE "idée" </w:instrText>
      </w:r>
      <w:r>
        <w:rPr>
          <w:sz w:val="24"/>
          <w:szCs w:val="24"/>
        </w:rPr>
        <w:fldChar w:fldCharType="end"/>
      </w:r>
      <w:r w:rsidRPr="004F1CD5">
        <w:rPr>
          <w:rFonts w:eastAsiaTheme="minorHAnsi"/>
          <w:sz w:val="24"/>
          <w:szCs w:val="24"/>
        </w:rPr>
        <w:t xml:space="preserve"> du mythe de l’exercice philosophique avec les tout-petits.</w:t>
      </w:r>
    </w:p>
    <w:p w14:paraId="5837F60F" w14:textId="77777777" w:rsidR="00D80693" w:rsidRPr="00155566" w:rsidRDefault="00D80693" w:rsidP="00735D3E">
      <w:pPr>
        <w:pStyle w:val="Paragraphedeliste"/>
        <w:widowControl/>
        <w:numPr>
          <w:ilvl w:val="2"/>
          <w:numId w:val="195"/>
        </w:numPr>
        <w:autoSpaceDE/>
        <w:autoSpaceDN/>
        <w:spacing w:after="160"/>
        <w:rPr>
          <w:rFonts w:eastAsia="Calibri"/>
          <w:b/>
          <w:i/>
          <w:sz w:val="24"/>
          <w:szCs w:val="24"/>
        </w:rPr>
      </w:pPr>
      <w:r w:rsidRPr="00155566">
        <w:rPr>
          <w:rFonts w:eastAsiaTheme="minorHAnsi"/>
          <w:b/>
          <w:i/>
          <w:sz w:val="24"/>
          <w:szCs w:val="24"/>
        </w:rPr>
        <w:t>Définition de la pratique philosophique avec les enfants selon Chirouter</w:t>
      </w:r>
    </w:p>
    <w:p w14:paraId="75E78931" w14:textId="77777777" w:rsidR="00D80693" w:rsidRPr="008F6E42" w:rsidRDefault="00D80693" w:rsidP="00735D3E">
      <w:pPr>
        <w:spacing w:before="120"/>
        <w:jc w:val="both"/>
        <w:rPr>
          <w:rFonts w:eastAsia="Calibri"/>
          <w:color w:val="000000"/>
          <w:sz w:val="24"/>
          <w:szCs w:val="24"/>
        </w:rPr>
      </w:pPr>
      <w:r w:rsidRPr="004F1CD5">
        <w:rPr>
          <w:rFonts w:eastAsiaTheme="minorHAnsi"/>
          <w:color w:val="000000"/>
          <w:sz w:val="24"/>
          <w:szCs w:val="24"/>
        </w:rPr>
        <w:t>Tenant en considération le matérialisme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matérialisme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neuroscientifique,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(2022) définit le philosopher</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philosopher</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b/>
          <w:color w:val="000000"/>
          <w:sz w:val="24"/>
          <w:szCs w:val="24"/>
        </w:rPr>
        <w:t> </w:t>
      </w:r>
      <w:r w:rsidRPr="004F1CD5">
        <w:rPr>
          <w:rFonts w:eastAsiaTheme="minorHAnsi"/>
          <w:color w:val="000000"/>
          <w:sz w:val="24"/>
          <w:szCs w:val="24"/>
        </w:rPr>
        <w:t>avec/pour enfant comme : la mise en exercice du cerveau selon les exigences intellectuelles pour développer chez les tout-petits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tout-petits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une capacité à réfléchir par eux-mêmes sur des problèmes de notre vécu quotidien. On peut définir la pratique de la philosophie avec les enfants sous trois</w:t>
      </w:r>
      <w:r>
        <w:rPr>
          <w:rFonts w:eastAsiaTheme="minorHAnsi"/>
          <w:color w:val="000000"/>
          <w:sz w:val="24"/>
          <w:szCs w:val="24"/>
        </w:rPr>
        <w:t xml:space="preserve"> acceptations complémentaires : </w:t>
      </w:r>
      <w:r w:rsidRPr="008F6E42">
        <w:rPr>
          <w:rFonts w:eastAsiaTheme="minorHAnsi"/>
          <w:color w:val="000000"/>
          <w:sz w:val="24"/>
          <w:szCs w:val="24"/>
        </w:rPr>
        <w:t>Elle est d’abord un exercice de la raison</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raison</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ou du cerveau visant à initier les enfants à la pensée</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pensée</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réflexive</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pensée réflexive</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ou critique</w:t>
      </w:r>
      <w:r>
        <w:rPr>
          <w:rFonts w:eastAsiaTheme="minorHAnsi"/>
          <w:color w:val="000000"/>
          <w:sz w:val="24"/>
          <w:szCs w:val="24"/>
        </w:rPr>
        <w:t xml:space="preserve"> (a)</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critique</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Ensuite, c’est un exercice philosophique de discussion</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discussion</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ou de l’échange à visé démocratique</w:t>
      </w:r>
      <w:r>
        <w:rPr>
          <w:color w:val="000000"/>
          <w:sz w:val="24"/>
          <w:szCs w:val="24"/>
        </w:rPr>
        <w:fldChar w:fldCharType="begin"/>
      </w:r>
      <w:r w:rsidRPr="008F6E42">
        <w:rPr>
          <w:rFonts w:eastAsiaTheme="minorHAnsi"/>
          <w:sz w:val="24"/>
          <w:szCs w:val="24"/>
        </w:rPr>
        <w:instrText xml:space="preserve"> XE "démocratique" </w:instrText>
      </w:r>
      <w:r>
        <w:rPr>
          <w:color w:val="000000"/>
          <w:sz w:val="24"/>
          <w:szCs w:val="24"/>
        </w:rPr>
        <w:fldChar w:fldCharType="end"/>
      </w:r>
      <w:r w:rsidRPr="008F6E42">
        <w:rPr>
          <w:rFonts w:eastAsiaTheme="minorHAnsi"/>
          <w:color w:val="000000"/>
          <w:sz w:val="24"/>
          <w:szCs w:val="24"/>
        </w:rPr>
        <w:t xml:space="preserve"> et philosophique sur des problématiques de notre quotidien dans le cadre d’une communauté de recherche</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recherche</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où des idiots recherchent la vérité</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vérité</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(connaissance</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connaissance</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authentique) sur les questions</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questions</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du pourquoi et comment des choses, de leur essence</w:t>
      </w:r>
      <w:r>
        <w:rPr>
          <w:color w:val="000000"/>
          <w:sz w:val="24"/>
          <w:szCs w:val="24"/>
        </w:rPr>
        <w:fldChar w:fldCharType="begin"/>
      </w:r>
      <w:r w:rsidRPr="008F6E42">
        <w:rPr>
          <w:rFonts w:eastAsiaTheme="minorHAnsi"/>
          <w:sz w:val="24"/>
          <w:szCs w:val="24"/>
        </w:rPr>
        <w:instrText xml:space="preserve"> XE "</w:instrText>
      </w:r>
      <w:r w:rsidRPr="008F6E42">
        <w:rPr>
          <w:rFonts w:eastAsiaTheme="minorHAnsi"/>
          <w:color w:val="000000"/>
          <w:sz w:val="24"/>
          <w:szCs w:val="24"/>
        </w:rPr>
        <w:instrText>essence</w:instrText>
      </w:r>
      <w:r w:rsidRPr="008F6E42">
        <w:rPr>
          <w:rFonts w:eastAsiaTheme="minorHAnsi"/>
          <w:sz w:val="24"/>
          <w:szCs w:val="24"/>
        </w:rPr>
        <w:instrText xml:space="preserve">" </w:instrText>
      </w:r>
      <w:r>
        <w:rPr>
          <w:color w:val="000000"/>
          <w:sz w:val="24"/>
          <w:szCs w:val="24"/>
        </w:rPr>
        <w:fldChar w:fldCharType="end"/>
      </w:r>
      <w:r w:rsidRPr="008F6E42">
        <w:rPr>
          <w:rFonts w:eastAsiaTheme="minorHAnsi"/>
          <w:color w:val="000000"/>
          <w:sz w:val="24"/>
          <w:szCs w:val="24"/>
        </w:rPr>
        <w:t xml:space="preserve"> et nature</w:t>
      </w:r>
      <w:r>
        <w:rPr>
          <w:rFonts w:eastAsiaTheme="minorHAnsi"/>
          <w:color w:val="000000"/>
          <w:sz w:val="24"/>
          <w:szCs w:val="24"/>
        </w:rPr>
        <w:t xml:space="preserve"> (b). </w:t>
      </w:r>
      <w:r w:rsidRPr="008F6E42">
        <w:rPr>
          <w:rFonts w:eastAsiaTheme="minorHAnsi"/>
          <w:color w:val="000000"/>
          <w:sz w:val="24"/>
          <w:szCs w:val="24"/>
        </w:rPr>
        <w:t>Et enfin, c’est un exercice du travail de la raison où les enfants sont initiés aux actes de pensées aidant à forger un ensemble de systèmes de valeurs relatifs aux pratiques citoyennes, morales et civiques</w:t>
      </w:r>
      <w:r>
        <w:rPr>
          <w:rFonts w:eastAsiaTheme="minorHAnsi"/>
          <w:color w:val="000000"/>
          <w:sz w:val="24"/>
          <w:szCs w:val="24"/>
        </w:rPr>
        <w:t xml:space="preserve"> (c)</w:t>
      </w:r>
      <w:r w:rsidRPr="008F6E42">
        <w:rPr>
          <w:rFonts w:eastAsiaTheme="minorHAnsi"/>
          <w:color w:val="000000"/>
          <w:sz w:val="24"/>
          <w:szCs w:val="24"/>
        </w:rPr>
        <w:t>.</w:t>
      </w:r>
    </w:p>
    <w:p w14:paraId="4E8724A5" w14:textId="77777777" w:rsidR="00D80693" w:rsidRPr="004F1CD5" w:rsidRDefault="00D80693" w:rsidP="00735D3E">
      <w:pPr>
        <w:spacing w:before="120"/>
        <w:jc w:val="both"/>
        <w:rPr>
          <w:rFonts w:eastAsia="Calibri"/>
          <w:sz w:val="24"/>
          <w:szCs w:val="24"/>
        </w:rPr>
      </w:pPr>
      <w:r w:rsidRPr="004F1CD5">
        <w:rPr>
          <w:rFonts w:eastAsiaTheme="minorHAnsi"/>
          <w:sz w:val="24"/>
          <w:szCs w:val="24"/>
        </w:rPr>
        <w:t xml:space="preserve">La pratique </w:t>
      </w:r>
      <w:proofErr w:type="spellStart"/>
      <w:r w:rsidRPr="004F1CD5">
        <w:rPr>
          <w:rFonts w:eastAsiaTheme="minorHAnsi"/>
          <w:sz w:val="24"/>
          <w:szCs w:val="24"/>
        </w:rPr>
        <w:t>chiroutérienne</w:t>
      </w:r>
      <w:proofErr w:type="spellEnd"/>
      <w:r w:rsidRPr="004F1CD5">
        <w:rPr>
          <w:rFonts w:eastAsiaTheme="minorHAnsi"/>
          <w:sz w:val="24"/>
          <w:szCs w:val="24"/>
        </w:rPr>
        <w:t xml:space="preserve"> de la philosophie avec les enfants n’est pas aléatoire car elle est encadrée par un dispositif didactique précis que nous appelons l’</w:t>
      </w:r>
      <w:r w:rsidRPr="004F1CD5">
        <w:rPr>
          <w:rFonts w:eastAsiaTheme="minorHAnsi"/>
          <w:i/>
          <w:sz w:val="24"/>
          <w:szCs w:val="24"/>
        </w:rPr>
        <w:t>ARP</w:t>
      </w:r>
      <w:r w:rsidRPr="004F1CD5">
        <w:rPr>
          <w:rFonts w:eastAsiaTheme="minorHAnsi"/>
          <w:sz w:val="24"/>
          <w:szCs w:val="24"/>
        </w:rPr>
        <w:t xml:space="preserve"> (atelier de réflexion philosophique).</w:t>
      </w:r>
    </w:p>
    <w:p w14:paraId="3195B3EC" w14:textId="77777777" w:rsidR="00D80693" w:rsidRPr="004F1CD5" w:rsidRDefault="00D80693" w:rsidP="00735D3E">
      <w:pPr>
        <w:pStyle w:val="Heading40"/>
        <w:spacing w:before="120"/>
        <w:outlineLvl w:val="9"/>
        <w:rPr>
          <w:bCs/>
        </w:rPr>
      </w:pPr>
      <w:bookmarkStart w:id="317" w:name="_Toc200296109"/>
      <w:bookmarkStart w:id="318" w:name="_Toc200318801"/>
      <w:bookmarkStart w:id="319" w:name="_Toc201661714"/>
      <w:bookmarkStart w:id="320" w:name="_Toc201697026"/>
      <w:bookmarkStart w:id="321" w:name="_Toc201697760"/>
      <w:r w:rsidRPr="004F1CD5">
        <w:t>Atelier de Réflexion Philosophique</w:t>
      </w:r>
      <w:r>
        <w:rPr>
          <w:bCs/>
        </w:rPr>
        <w:fldChar w:fldCharType="begin"/>
      </w:r>
      <w:r w:rsidRPr="004F1CD5">
        <w:instrText xml:space="preserve"> XE "</w:instrText>
      </w:r>
      <w:r w:rsidRPr="004F1CD5">
        <w:rPr>
          <w:color w:val="000000"/>
        </w:rPr>
        <w:instrText>Réflexion Philosophique</w:instrText>
      </w:r>
      <w:r w:rsidRPr="004F1CD5">
        <w:instrText xml:space="preserve">" </w:instrText>
      </w:r>
      <w:r>
        <w:rPr>
          <w:bCs/>
        </w:rPr>
        <w:fldChar w:fldCharType="end"/>
      </w:r>
      <w:r w:rsidRPr="004F1CD5">
        <w:t xml:space="preserve"> (ARP</w:t>
      </w:r>
      <w:r>
        <w:rPr>
          <w:bCs/>
        </w:rPr>
        <w:fldChar w:fldCharType="begin"/>
      </w:r>
      <w:r w:rsidRPr="004F1CD5">
        <w:instrText xml:space="preserve"> XE "</w:instrText>
      </w:r>
      <w:r w:rsidRPr="004F1CD5">
        <w:rPr>
          <w:rFonts w:eastAsia="Calibri"/>
        </w:rPr>
        <w:instrText>ARP</w:instrText>
      </w:r>
      <w:r w:rsidRPr="004F1CD5">
        <w:instrText xml:space="preserve">" </w:instrText>
      </w:r>
      <w:r>
        <w:rPr>
          <w:bCs/>
        </w:rPr>
        <w:fldChar w:fldCharType="end"/>
      </w:r>
      <w:r w:rsidRPr="004F1CD5">
        <w:t xml:space="preserve">) de </w:t>
      </w:r>
      <w:proofErr w:type="spellStart"/>
      <w:r w:rsidRPr="004F1CD5">
        <w:t>Chirouter</w:t>
      </w:r>
      <w:bookmarkEnd w:id="317"/>
      <w:bookmarkEnd w:id="318"/>
      <w:bookmarkEnd w:id="319"/>
      <w:bookmarkEnd w:id="320"/>
      <w:bookmarkEnd w:id="321"/>
      <w:proofErr w:type="spellEnd"/>
      <w:r w:rsidRPr="004F1CD5">
        <w:t xml:space="preserve"> </w:t>
      </w:r>
    </w:p>
    <w:p w14:paraId="57242060" w14:textId="77777777" w:rsidR="00D80693" w:rsidRPr="004F1CD5" w:rsidRDefault="00D80693" w:rsidP="00735D3E">
      <w:pPr>
        <w:spacing w:before="120"/>
        <w:jc w:val="both"/>
        <w:rPr>
          <w:rFonts w:eastAsia="Calibri"/>
          <w:sz w:val="24"/>
          <w:szCs w:val="24"/>
        </w:rPr>
      </w:pPr>
      <w:r>
        <w:rPr>
          <w:rFonts w:eastAsiaTheme="minorHAnsi"/>
          <w:sz w:val="24"/>
          <w:szCs w:val="24"/>
        </w:rPr>
        <w:t>Cinq (05</w:t>
      </w:r>
      <w:r w:rsidRPr="004F1CD5">
        <w:rPr>
          <w:rFonts w:eastAsiaTheme="minorHAnsi"/>
          <w:sz w:val="24"/>
          <w:szCs w:val="24"/>
        </w:rPr>
        <w:t xml:space="preserve">) éléments intelligents constituent et donnent de comprendre le dispositif didactique de </w:t>
      </w:r>
      <w:proofErr w:type="spellStart"/>
      <w:r w:rsidRPr="004F1CD5">
        <w:rPr>
          <w:rFonts w:eastAsiaTheme="minorHAnsi"/>
          <w:sz w:val="24"/>
          <w:szCs w:val="24"/>
        </w:rPr>
        <w:t>Chirouter</w:t>
      </w:r>
      <w:proofErr w:type="spellEnd"/>
      <w:r w:rsidRPr="004F1CD5">
        <w:rPr>
          <w:rFonts w:eastAsiaTheme="minorHAnsi"/>
          <w:sz w:val="24"/>
          <w:szCs w:val="24"/>
        </w:rPr>
        <w:t xml:space="preserve"> (2022), il s’agit : des savoirs de la pratique, des supports de la réflexion philosophique, des rôles des acteurs du cercle philo, des compétences philosophiques, les méthodes et techniques du philosopher avec les enfants. </w:t>
      </w:r>
    </w:p>
    <w:p w14:paraId="1FFAF332" w14:textId="77777777" w:rsidR="00D80693" w:rsidRPr="004F1CD5" w:rsidRDefault="00D80693" w:rsidP="00735D3E">
      <w:pPr>
        <w:pStyle w:val="Paragraphedeliste"/>
        <w:widowControl/>
        <w:numPr>
          <w:ilvl w:val="3"/>
          <w:numId w:val="195"/>
        </w:numPr>
        <w:autoSpaceDE/>
        <w:autoSpaceDN/>
        <w:spacing w:after="160"/>
        <w:rPr>
          <w:rFonts w:eastAsia="Calibri"/>
          <w:b/>
          <w:i/>
          <w:sz w:val="24"/>
          <w:szCs w:val="24"/>
        </w:rPr>
      </w:pPr>
      <w:r w:rsidRPr="004F1CD5">
        <w:rPr>
          <w:rFonts w:eastAsiaTheme="minorHAnsi"/>
          <w:b/>
          <w:i/>
          <w:sz w:val="24"/>
          <w:szCs w:val="24"/>
        </w:rPr>
        <w:t xml:space="preserve"> Les savoirs de la pratique dans l’ARP</w:t>
      </w:r>
    </w:p>
    <w:p w14:paraId="7950835A" w14:textId="77777777" w:rsidR="00D80693" w:rsidRPr="004F1CD5" w:rsidRDefault="00D80693" w:rsidP="00735D3E">
      <w:pPr>
        <w:shd w:val="clear" w:color="auto" w:fill="FFFFFF"/>
        <w:spacing w:before="120"/>
        <w:jc w:val="both"/>
        <w:rPr>
          <w:rFonts w:eastAsia="Calibri"/>
          <w:color w:val="000000"/>
          <w:sz w:val="24"/>
          <w:szCs w:val="24"/>
        </w:rPr>
      </w:pPr>
      <w:r w:rsidRPr="004F1CD5">
        <w:rPr>
          <w:rFonts w:eastAsiaTheme="minorHAnsi"/>
          <w:color w:val="000000"/>
          <w:sz w:val="24"/>
          <w:szCs w:val="24"/>
        </w:rPr>
        <w:t>Les savoirs ou les concepts constituant le contenu d’apprentissage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apprentissage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au philosopher</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philosopher</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lors des ateliers de réflexion</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réflexion</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philosophique sont pris dans le programme d’EMC (</w:t>
      </w:r>
      <w:proofErr w:type="spellStart"/>
      <w:r>
        <w:rPr>
          <w:rFonts w:eastAsiaTheme="minorHAnsi"/>
          <w:color w:val="000000"/>
          <w:sz w:val="24"/>
          <w:szCs w:val="24"/>
        </w:rPr>
        <w:t>Chirouter</w:t>
      </w:r>
      <w:proofErr w:type="spellEnd"/>
      <w:r>
        <w:rPr>
          <w:rFonts w:eastAsiaTheme="minorHAnsi"/>
          <w:color w:val="000000"/>
          <w:sz w:val="24"/>
          <w:szCs w:val="24"/>
        </w:rPr>
        <w:t xml:space="preserve">, </w:t>
      </w:r>
      <w:r w:rsidRPr="004F1CD5">
        <w:rPr>
          <w:rFonts w:eastAsiaTheme="minorHAnsi"/>
          <w:color w:val="000000"/>
          <w:sz w:val="24"/>
          <w:szCs w:val="24"/>
        </w:rPr>
        <w:t>20</w:t>
      </w:r>
      <w:r>
        <w:rPr>
          <w:rFonts w:eastAsiaTheme="minorHAnsi"/>
          <w:color w:val="000000"/>
          <w:sz w:val="24"/>
          <w:szCs w:val="24"/>
        </w:rPr>
        <w:t xml:space="preserve">22, p. 46). De manière générale, </w:t>
      </w:r>
      <w:proofErr w:type="spellStart"/>
      <w:r w:rsidRPr="004F1CD5">
        <w:rPr>
          <w:rFonts w:eastAsiaTheme="minorHAnsi"/>
          <w:sz w:val="24"/>
          <w:szCs w:val="24"/>
        </w:rPr>
        <w:t>Chirouter</w:t>
      </w:r>
      <w:proofErr w:type="spellEnd"/>
      <w:r w:rsidRPr="004F1CD5">
        <w:rPr>
          <w:rFonts w:eastAsiaTheme="minorHAnsi"/>
          <w:sz w:val="24"/>
          <w:szCs w:val="24"/>
        </w:rPr>
        <w:t xml:space="preserve"> (2022) aborde avec les apprenants</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apprenants</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en élémentaire (cycles 2 et 3) neuf (09) concepts philosophiques : </w:t>
      </w:r>
      <w:r w:rsidRPr="004F1CD5">
        <w:rPr>
          <w:rFonts w:eastAsiaTheme="minorHAnsi"/>
          <w:i/>
          <w:sz w:val="24"/>
          <w:szCs w:val="24"/>
        </w:rPr>
        <w:t>la liberté, la croissance, autrui, la vie et la mort, l’amour</w:t>
      </w:r>
      <w:r>
        <w:rPr>
          <w:i/>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amour</w:instrText>
      </w:r>
      <w:r w:rsidRPr="004F1CD5">
        <w:rPr>
          <w:rFonts w:eastAsiaTheme="minorHAnsi"/>
          <w:sz w:val="24"/>
          <w:szCs w:val="24"/>
        </w:rPr>
        <w:instrText xml:space="preserve">" </w:instrText>
      </w:r>
      <w:r>
        <w:rPr>
          <w:i/>
          <w:sz w:val="24"/>
          <w:szCs w:val="24"/>
        </w:rPr>
        <w:fldChar w:fldCharType="end"/>
      </w:r>
      <w:r w:rsidRPr="004F1CD5">
        <w:rPr>
          <w:rFonts w:eastAsiaTheme="minorHAnsi"/>
          <w:i/>
          <w:sz w:val="24"/>
          <w:szCs w:val="24"/>
        </w:rPr>
        <w:t>, le bonheur, l’art et le beau</w:t>
      </w:r>
      <w:r>
        <w:rPr>
          <w:i/>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beau</w:instrText>
      </w:r>
      <w:r w:rsidRPr="004F1CD5">
        <w:rPr>
          <w:rFonts w:eastAsiaTheme="minorHAnsi"/>
          <w:sz w:val="24"/>
          <w:szCs w:val="24"/>
        </w:rPr>
        <w:instrText xml:space="preserve">" </w:instrText>
      </w:r>
      <w:r>
        <w:rPr>
          <w:i/>
          <w:sz w:val="24"/>
          <w:szCs w:val="24"/>
        </w:rPr>
        <w:fldChar w:fldCharType="end"/>
      </w:r>
      <w:r w:rsidRPr="004F1CD5">
        <w:rPr>
          <w:rFonts w:eastAsiaTheme="minorHAnsi"/>
          <w:i/>
          <w:sz w:val="24"/>
          <w:szCs w:val="24"/>
        </w:rPr>
        <w:t>, la richesse, le savoir et la croyance</w:t>
      </w:r>
      <w:r w:rsidRPr="004F1CD5">
        <w:rPr>
          <w:rFonts w:eastAsiaTheme="minorHAnsi"/>
          <w:sz w:val="24"/>
          <w:szCs w:val="24"/>
        </w:rPr>
        <w:t xml:space="preserve">. </w:t>
      </w:r>
      <w:r w:rsidRPr="004F1CD5">
        <w:rPr>
          <w:rFonts w:eastAsiaTheme="minorHAnsi"/>
          <w:color w:val="000000"/>
          <w:sz w:val="24"/>
          <w:szCs w:val="24"/>
        </w:rPr>
        <w:t>De manière spécifique, on peut faire référence à d’autres concepts ou savoirs de l’ARP</w:t>
      </w:r>
      <w:r>
        <w:rPr>
          <w:color w:val="000000"/>
          <w:sz w:val="24"/>
          <w:szCs w:val="24"/>
        </w:rPr>
        <w:fldChar w:fldCharType="begin"/>
      </w:r>
      <w:r w:rsidRPr="004F1CD5">
        <w:rPr>
          <w:rFonts w:eastAsiaTheme="minorHAnsi"/>
          <w:sz w:val="24"/>
          <w:szCs w:val="24"/>
        </w:rPr>
        <w:instrText xml:space="preserve"> XE "ARP" </w:instrText>
      </w:r>
      <w:r>
        <w:rPr>
          <w:color w:val="000000"/>
          <w:sz w:val="24"/>
          <w:szCs w:val="24"/>
        </w:rPr>
        <w:fldChar w:fldCharType="end"/>
      </w:r>
      <w:r w:rsidRPr="004F1CD5">
        <w:rPr>
          <w:rFonts w:eastAsiaTheme="minorHAnsi"/>
          <w:color w:val="000000"/>
          <w:sz w:val="24"/>
          <w:szCs w:val="24"/>
        </w:rPr>
        <w:t xml:space="preserve">, dont notamment : </w:t>
      </w:r>
      <w:r w:rsidRPr="004F1CD5">
        <w:rPr>
          <w:rFonts w:eastAsiaTheme="minorHAnsi"/>
          <w:i/>
          <w:color w:val="000000"/>
          <w:sz w:val="24"/>
          <w:szCs w:val="24"/>
        </w:rPr>
        <w:t>le bonheur, la liberté, l’Amour et l’Amitié</w:t>
      </w:r>
      <w:r w:rsidRPr="004F1CD5">
        <w:rPr>
          <w:rFonts w:eastAsiaTheme="minorHAnsi"/>
          <w:color w:val="000000"/>
          <w:sz w:val="24"/>
          <w:szCs w:val="24"/>
        </w:rPr>
        <w:t>. Nous pouvons aussi faire référence aux savoirs de l’ARP manipulés en grande section avec les tout-petits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tout-petits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de l’école Albert Camus de Sarcelles où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(2024) travailles tout au long de l’année en communauté de recherc</w:t>
      </w:r>
      <w:r>
        <w:rPr>
          <w:rFonts w:eastAsiaTheme="minorHAnsi"/>
          <w:color w:val="000000"/>
          <w:sz w:val="24"/>
          <w:szCs w:val="24"/>
        </w:rPr>
        <w:t xml:space="preserve">he sur les contenus </w:t>
      </w:r>
      <w:r w:rsidRPr="004F1CD5">
        <w:rPr>
          <w:rFonts w:eastAsiaTheme="minorHAnsi"/>
          <w:color w:val="000000"/>
          <w:sz w:val="24"/>
          <w:szCs w:val="24"/>
        </w:rPr>
        <w:t xml:space="preserve">tels que : </w:t>
      </w:r>
      <w:r w:rsidRPr="004F1CD5">
        <w:rPr>
          <w:rFonts w:eastAsiaTheme="minorHAnsi"/>
          <w:i/>
          <w:color w:val="000000"/>
          <w:sz w:val="24"/>
          <w:szCs w:val="24"/>
        </w:rPr>
        <w:t>la colère, la peur, la liberté, le bonheur, la nature, le rire et l’art.</w:t>
      </w:r>
      <w:r w:rsidRPr="004F1CD5">
        <w:rPr>
          <w:rFonts w:eastAsiaTheme="minorHAnsi"/>
          <w:color w:val="000000"/>
          <w:sz w:val="24"/>
          <w:szCs w:val="24"/>
        </w:rPr>
        <w:t xml:space="preserve"> </w:t>
      </w:r>
      <w:bookmarkStart w:id="322" w:name="_Toc200296112"/>
      <w:bookmarkStart w:id="323" w:name="_Toc200318804"/>
      <w:bookmarkStart w:id="324" w:name="_Toc201661717"/>
      <w:bookmarkStart w:id="325" w:name="_Toc201691719"/>
      <w:bookmarkStart w:id="326" w:name="_Toc201697029"/>
      <w:bookmarkStart w:id="327" w:name="_Toc201697763"/>
    </w:p>
    <w:p w14:paraId="20CC0AC2" w14:textId="77777777" w:rsidR="00D80693" w:rsidRPr="00A03913" w:rsidRDefault="00D80693" w:rsidP="00735D3E">
      <w:pPr>
        <w:pStyle w:val="Paragraphedeliste"/>
        <w:widowControl/>
        <w:numPr>
          <w:ilvl w:val="3"/>
          <w:numId w:val="195"/>
        </w:numPr>
        <w:shd w:val="clear" w:color="auto" w:fill="FFFFFF"/>
        <w:autoSpaceDE/>
        <w:autoSpaceDN/>
        <w:spacing w:after="160"/>
        <w:rPr>
          <w:rFonts w:eastAsia="Calibri"/>
          <w:b/>
          <w:i/>
          <w:sz w:val="24"/>
          <w:szCs w:val="24"/>
        </w:rPr>
      </w:pPr>
      <w:r w:rsidRPr="00A03913">
        <w:rPr>
          <w:rFonts w:eastAsiaTheme="minorHAnsi"/>
          <w:b/>
          <w:i/>
          <w:sz w:val="24"/>
          <w:szCs w:val="24"/>
        </w:rPr>
        <w:t xml:space="preserve"> Les outils</w:t>
      </w:r>
      <w:r>
        <w:rPr>
          <w:b/>
          <w:i/>
          <w:sz w:val="24"/>
          <w:szCs w:val="24"/>
        </w:rPr>
        <w:fldChar w:fldCharType="begin"/>
      </w:r>
      <w:r w:rsidRPr="00A03913">
        <w:rPr>
          <w:rFonts w:eastAsiaTheme="minorHAnsi"/>
          <w:b/>
          <w:i/>
          <w:sz w:val="24"/>
          <w:szCs w:val="24"/>
        </w:rPr>
        <w:instrText xml:space="preserve"> XE "outils" </w:instrText>
      </w:r>
      <w:r>
        <w:rPr>
          <w:b/>
          <w:i/>
          <w:sz w:val="24"/>
          <w:szCs w:val="24"/>
        </w:rPr>
        <w:fldChar w:fldCharType="end"/>
      </w:r>
      <w:r w:rsidRPr="00A03913">
        <w:rPr>
          <w:rFonts w:eastAsiaTheme="minorHAnsi"/>
          <w:b/>
          <w:i/>
          <w:sz w:val="24"/>
          <w:szCs w:val="24"/>
        </w:rPr>
        <w:t xml:space="preserve"> de la pratique</w:t>
      </w:r>
      <w:r>
        <w:rPr>
          <w:b/>
          <w:i/>
          <w:sz w:val="24"/>
          <w:szCs w:val="24"/>
        </w:rPr>
        <w:fldChar w:fldCharType="begin"/>
      </w:r>
      <w:r w:rsidRPr="00A03913">
        <w:rPr>
          <w:rFonts w:eastAsiaTheme="minorHAnsi"/>
          <w:b/>
          <w:i/>
          <w:sz w:val="24"/>
          <w:szCs w:val="24"/>
        </w:rPr>
        <w:instrText xml:space="preserve"> XE "pratique" </w:instrText>
      </w:r>
      <w:r>
        <w:rPr>
          <w:b/>
          <w:i/>
          <w:sz w:val="24"/>
          <w:szCs w:val="24"/>
        </w:rPr>
        <w:fldChar w:fldCharType="end"/>
      </w:r>
      <w:r w:rsidRPr="00A03913">
        <w:rPr>
          <w:rFonts w:eastAsiaTheme="minorHAnsi"/>
          <w:b/>
          <w:i/>
          <w:sz w:val="24"/>
          <w:szCs w:val="24"/>
        </w:rPr>
        <w:t xml:space="preserve"> dans l’ARP</w:t>
      </w:r>
      <w:bookmarkEnd w:id="322"/>
      <w:bookmarkEnd w:id="323"/>
      <w:bookmarkEnd w:id="324"/>
      <w:bookmarkEnd w:id="325"/>
      <w:bookmarkEnd w:id="326"/>
      <w:bookmarkEnd w:id="327"/>
    </w:p>
    <w:p w14:paraId="4EC58014" w14:textId="77777777" w:rsidR="00D80693" w:rsidRPr="004F1CD5" w:rsidRDefault="00D80693" w:rsidP="00735D3E">
      <w:pPr>
        <w:shd w:val="clear" w:color="auto" w:fill="FFFFFF"/>
        <w:spacing w:before="120"/>
        <w:jc w:val="both"/>
        <w:rPr>
          <w:rFonts w:eastAsia="Calibri"/>
          <w:b/>
          <w:color w:val="000000"/>
          <w:sz w:val="24"/>
          <w:szCs w:val="24"/>
        </w:rPr>
      </w:pPr>
      <w:r w:rsidRPr="004F1CD5">
        <w:rPr>
          <w:rFonts w:eastAsiaTheme="minorHAnsi"/>
          <w:color w:val="000000"/>
          <w:sz w:val="24"/>
          <w:szCs w:val="24"/>
        </w:rPr>
        <w:t>L’atelier</w:t>
      </w:r>
      <w:r>
        <w:rPr>
          <w:color w:val="000000"/>
          <w:sz w:val="24"/>
          <w:szCs w:val="24"/>
        </w:rPr>
        <w:fldChar w:fldCharType="begin"/>
      </w:r>
      <w:r w:rsidRPr="004F1CD5">
        <w:rPr>
          <w:rFonts w:eastAsiaTheme="minorHAnsi"/>
          <w:sz w:val="24"/>
          <w:szCs w:val="24"/>
        </w:rPr>
        <w:instrText xml:space="preserve"> XE "atelier" </w:instrText>
      </w:r>
      <w:r>
        <w:rPr>
          <w:color w:val="000000"/>
          <w:sz w:val="24"/>
          <w:szCs w:val="24"/>
        </w:rPr>
        <w:fldChar w:fldCharType="end"/>
      </w:r>
      <w:r w:rsidRPr="004F1CD5">
        <w:rPr>
          <w:rFonts w:eastAsiaTheme="minorHAnsi"/>
          <w:color w:val="000000"/>
          <w:sz w:val="24"/>
          <w:szCs w:val="24"/>
        </w:rPr>
        <w:t xml:space="preserve"> de réflexion</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réflexion</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philosophique avec les enfants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fait appel à la littérature contemporaine dite « de jeunesse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jeunesse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 comme principal support</w:t>
      </w:r>
      <w:r>
        <w:rPr>
          <w:color w:val="000000"/>
          <w:sz w:val="24"/>
          <w:szCs w:val="24"/>
        </w:rPr>
        <w:fldChar w:fldCharType="begin"/>
      </w:r>
      <w:r w:rsidRPr="004F1CD5">
        <w:rPr>
          <w:rFonts w:eastAsiaTheme="minorHAnsi"/>
          <w:sz w:val="24"/>
          <w:szCs w:val="24"/>
        </w:rPr>
        <w:instrText xml:space="preserve"> XE "support" </w:instrText>
      </w:r>
      <w:r>
        <w:rPr>
          <w:color w:val="000000"/>
          <w:sz w:val="24"/>
          <w:szCs w:val="24"/>
        </w:rPr>
        <w:fldChar w:fldCharType="end"/>
      </w:r>
      <w:r w:rsidRPr="004F1CD5">
        <w:rPr>
          <w:rFonts w:eastAsiaTheme="minorHAnsi"/>
          <w:color w:val="000000"/>
          <w:sz w:val="24"/>
          <w:szCs w:val="24"/>
        </w:rPr>
        <w:t xml:space="preserve"> au philosopher</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philosopher</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avec les tout-petits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tout-petits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Lors de la conférence-échange de Yaoundé,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(2024) cite en référence quelques titres d’ouvrages de littérature de jeunesse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littérature de jeunesse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qui ont servi de support à l’ARP</w:t>
      </w:r>
      <w:r>
        <w:rPr>
          <w:color w:val="000000"/>
          <w:sz w:val="24"/>
          <w:szCs w:val="24"/>
        </w:rPr>
        <w:fldChar w:fldCharType="begin"/>
      </w:r>
      <w:r w:rsidRPr="004F1CD5">
        <w:rPr>
          <w:rFonts w:eastAsiaTheme="minorHAnsi"/>
          <w:sz w:val="24"/>
          <w:szCs w:val="24"/>
        </w:rPr>
        <w:instrText xml:space="preserve"> XE "ARP" </w:instrText>
      </w:r>
      <w:r>
        <w:rPr>
          <w:color w:val="000000"/>
          <w:sz w:val="24"/>
          <w:szCs w:val="24"/>
        </w:rPr>
        <w:fldChar w:fldCharType="end"/>
      </w:r>
      <w:r w:rsidRPr="004F1CD5">
        <w:rPr>
          <w:rFonts w:eastAsiaTheme="minorHAnsi"/>
          <w:color w:val="000000"/>
          <w:sz w:val="24"/>
          <w:szCs w:val="24"/>
        </w:rPr>
        <w:t xml:space="preserve">, ceux-ci sont : </w:t>
      </w:r>
      <w:r w:rsidRPr="004F1CD5">
        <w:rPr>
          <w:rFonts w:eastAsiaTheme="minorHAnsi"/>
          <w:i/>
          <w:color w:val="000000"/>
          <w:sz w:val="24"/>
          <w:szCs w:val="24"/>
        </w:rPr>
        <w:t xml:space="preserve">Max et les </w:t>
      </w:r>
      <w:proofErr w:type="spellStart"/>
      <w:r w:rsidRPr="004F1CD5">
        <w:rPr>
          <w:rFonts w:eastAsiaTheme="minorHAnsi"/>
          <w:i/>
          <w:color w:val="000000"/>
          <w:sz w:val="24"/>
          <w:szCs w:val="24"/>
        </w:rPr>
        <w:t>maximonstres</w:t>
      </w:r>
      <w:proofErr w:type="spellEnd"/>
      <w:r w:rsidRPr="004F1CD5">
        <w:rPr>
          <w:rFonts w:eastAsiaTheme="minorHAnsi"/>
          <w:i/>
          <w:color w:val="000000"/>
          <w:sz w:val="24"/>
          <w:szCs w:val="24"/>
        </w:rPr>
        <w:t xml:space="preserve"> </w:t>
      </w:r>
      <w:r w:rsidRPr="004F1CD5">
        <w:rPr>
          <w:rFonts w:eastAsiaTheme="minorHAnsi"/>
          <w:color w:val="000000"/>
          <w:sz w:val="24"/>
          <w:szCs w:val="24"/>
        </w:rPr>
        <w:t xml:space="preserve">de </w:t>
      </w:r>
      <w:proofErr w:type="spellStart"/>
      <w:r w:rsidRPr="004F1CD5">
        <w:rPr>
          <w:rFonts w:eastAsiaTheme="minorHAnsi"/>
          <w:color w:val="000000"/>
          <w:sz w:val="24"/>
          <w:szCs w:val="24"/>
        </w:rPr>
        <w:t>Sendak</w:t>
      </w:r>
      <w:proofErr w:type="spellEnd"/>
      <w:r w:rsidRPr="004F1CD5">
        <w:rPr>
          <w:rFonts w:eastAsiaTheme="minorHAnsi"/>
          <w:color w:val="000000"/>
          <w:sz w:val="24"/>
          <w:szCs w:val="24"/>
        </w:rPr>
        <w:t xml:space="preserve">, </w:t>
      </w:r>
      <w:r w:rsidRPr="004F1CD5">
        <w:rPr>
          <w:rFonts w:eastAsiaTheme="minorHAnsi"/>
          <w:i/>
          <w:color w:val="000000"/>
          <w:sz w:val="24"/>
          <w:szCs w:val="24"/>
        </w:rPr>
        <w:t xml:space="preserve">Jean de la lune </w:t>
      </w:r>
      <w:r w:rsidRPr="004F1CD5">
        <w:rPr>
          <w:rFonts w:eastAsiaTheme="minorHAnsi"/>
          <w:color w:val="000000"/>
          <w:sz w:val="24"/>
          <w:szCs w:val="24"/>
        </w:rPr>
        <w:t xml:space="preserve">et </w:t>
      </w:r>
      <w:r w:rsidRPr="004F1CD5">
        <w:rPr>
          <w:rFonts w:eastAsiaTheme="minorHAnsi"/>
          <w:i/>
          <w:color w:val="000000"/>
          <w:sz w:val="24"/>
          <w:szCs w:val="24"/>
        </w:rPr>
        <w:t>Otto</w:t>
      </w:r>
      <w:r w:rsidRPr="004F1CD5">
        <w:rPr>
          <w:rFonts w:eastAsiaTheme="minorHAnsi"/>
          <w:color w:val="000000"/>
          <w:sz w:val="24"/>
          <w:szCs w:val="24"/>
        </w:rPr>
        <w:t xml:space="preserve"> de Ungerer, etc. La préférence de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(2024) est portée sur </w:t>
      </w:r>
      <w:r w:rsidRPr="004F1CD5">
        <w:rPr>
          <w:rFonts w:eastAsiaTheme="minorHAnsi"/>
          <w:i/>
          <w:color w:val="000000"/>
          <w:sz w:val="24"/>
          <w:szCs w:val="24"/>
        </w:rPr>
        <w:t>les albums de jeunesse</w:t>
      </w:r>
      <w:r w:rsidRPr="004F1CD5">
        <w:rPr>
          <w:rFonts w:eastAsiaTheme="minorHAnsi"/>
          <w:color w:val="000000"/>
          <w:sz w:val="24"/>
          <w:szCs w:val="24"/>
        </w:rPr>
        <w:t xml:space="preserve"> comme genre de littérature de jeunesse, dont elle présente quelques titres : </w:t>
      </w:r>
      <w:proofErr w:type="spellStart"/>
      <w:r w:rsidRPr="004F1CD5">
        <w:rPr>
          <w:rFonts w:eastAsiaTheme="minorHAnsi"/>
          <w:i/>
          <w:color w:val="000000"/>
          <w:sz w:val="24"/>
          <w:szCs w:val="24"/>
        </w:rPr>
        <w:t>Yakouba</w:t>
      </w:r>
      <w:proofErr w:type="spellEnd"/>
      <w:r w:rsidRPr="004F1CD5">
        <w:rPr>
          <w:rFonts w:eastAsiaTheme="minorHAnsi"/>
          <w:i/>
          <w:color w:val="000000"/>
          <w:sz w:val="24"/>
          <w:szCs w:val="24"/>
        </w:rPr>
        <w:t xml:space="preserve"> </w:t>
      </w:r>
      <w:r w:rsidRPr="004F1CD5">
        <w:rPr>
          <w:rFonts w:eastAsiaTheme="minorHAnsi"/>
          <w:color w:val="000000"/>
          <w:sz w:val="24"/>
          <w:szCs w:val="24"/>
        </w:rPr>
        <w:t>de Dedieu</w:t>
      </w:r>
      <w:r w:rsidRPr="004F1CD5">
        <w:rPr>
          <w:rFonts w:eastAsiaTheme="minorHAnsi"/>
          <w:i/>
          <w:color w:val="000000"/>
          <w:sz w:val="24"/>
          <w:szCs w:val="24"/>
        </w:rPr>
        <w:t xml:space="preserve">, Le voyage d’Oregon </w:t>
      </w:r>
      <w:r w:rsidRPr="004F1CD5">
        <w:rPr>
          <w:rFonts w:eastAsiaTheme="minorHAnsi"/>
          <w:color w:val="000000"/>
          <w:sz w:val="24"/>
          <w:szCs w:val="24"/>
        </w:rPr>
        <w:t xml:space="preserve">de Joos et </w:t>
      </w:r>
      <w:proofErr w:type="spellStart"/>
      <w:r w:rsidRPr="004F1CD5">
        <w:rPr>
          <w:rFonts w:eastAsiaTheme="minorHAnsi"/>
          <w:color w:val="000000"/>
          <w:sz w:val="24"/>
          <w:szCs w:val="24"/>
        </w:rPr>
        <w:t>Rascal</w:t>
      </w:r>
      <w:proofErr w:type="spellEnd"/>
      <w:r w:rsidRPr="004F1CD5">
        <w:rPr>
          <w:rFonts w:eastAsiaTheme="minorHAnsi"/>
          <w:i/>
          <w:color w:val="000000"/>
          <w:sz w:val="24"/>
          <w:szCs w:val="24"/>
        </w:rPr>
        <w:t xml:space="preserve">, Loulou </w:t>
      </w:r>
      <w:r w:rsidRPr="004F1CD5">
        <w:rPr>
          <w:rFonts w:eastAsiaTheme="minorHAnsi"/>
          <w:color w:val="000000"/>
          <w:sz w:val="24"/>
          <w:szCs w:val="24"/>
        </w:rPr>
        <w:t xml:space="preserve">de </w:t>
      </w:r>
      <w:proofErr w:type="spellStart"/>
      <w:r w:rsidRPr="004F1CD5">
        <w:rPr>
          <w:rFonts w:eastAsiaTheme="minorHAnsi"/>
          <w:color w:val="000000"/>
          <w:sz w:val="24"/>
          <w:szCs w:val="24"/>
        </w:rPr>
        <w:t>Solotareff</w:t>
      </w:r>
      <w:proofErr w:type="spellEnd"/>
      <w:r w:rsidRPr="004F1CD5">
        <w:rPr>
          <w:rFonts w:eastAsiaTheme="minorHAnsi"/>
          <w:i/>
          <w:color w:val="000000"/>
          <w:sz w:val="24"/>
          <w:szCs w:val="24"/>
        </w:rPr>
        <w:t>, Une histoire</w:t>
      </w:r>
      <w:r>
        <w:rPr>
          <w:i/>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histoire</w:instrText>
      </w:r>
      <w:r w:rsidRPr="004F1CD5">
        <w:rPr>
          <w:rFonts w:eastAsiaTheme="minorHAnsi"/>
          <w:sz w:val="24"/>
          <w:szCs w:val="24"/>
        </w:rPr>
        <w:instrText xml:space="preserve">" </w:instrText>
      </w:r>
      <w:r>
        <w:rPr>
          <w:i/>
          <w:color w:val="000000"/>
          <w:sz w:val="24"/>
          <w:szCs w:val="24"/>
        </w:rPr>
        <w:fldChar w:fldCharType="end"/>
      </w:r>
      <w:r w:rsidRPr="004F1CD5">
        <w:rPr>
          <w:rFonts w:eastAsiaTheme="minorHAnsi"/>
          <w:i/>
          <w:color w:val="000000"/>
          <w:sz w:val="24"/>
          <w:szCs w:val="24"/>
        </w:rPr>
        <w:t xml:space="preserve"> à quatre voix </w:t>
      </w:r>
      <w:r w:rsidRPr="004F1CD5">
        <w:rPr>
          <w:rFonts w:eastAsiaTheme="minorHAnsi"/>
          <w:color w:val="000000"/>
          <w:sz w:val="24"/>
          <w:szCs w:val="24"/>
        </w:rPr>
        <w:t>de de Duval</w:t>
      </w:r>
      <w:r w:rsidRPr="004F1CD5">
        <w:rPr>
          <w:rFonts w:eastAsiaTheme="minorHAnsi"/>
          <w:i/>
          <w:color w:val="000000"/>
          <w:sz w:val="24"/>
          <w:szCs w:val="24"/>
        </w:rPr>
        <w:t>, L’arbre</w:t>
      </w:r>
      <w:r>
        <w:rPr>
          <w:i/>
          <w:color w:val="000000"/>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arbre</w:instrText>
      </w:r>
      <w:r w:rsidRPr="004F1CD5">
        <w:rPr>
          <w:rFonts w:eastAsiaTheme="minorHAnsi"/>
          <w:sz w:val="24"/>
          <w:szCs w:val="24"/>
        </w:rPr>
        <w:instrText xml:space="preserve">" </w:instrText>
      </w:r>
      <w:r>
        <w:rPr>
          <w:i/>
          <w:color w:val="000000"/>
          <w:sz w:val="24"/>
          <w:szCs w:val="24"/>
        </w:rPr>
        <w:fldChar w:fldCharType="end"/>
      </w:r>
      <w:r w:rsidRPr="004F1CD5">
        <w:rPr>
          <w:rFonts w:eastAsiaTheme="minorHAnsi"/>
          <w:i/>
          <w:color w:val="000000"/>
          <w:sz w:val="24"/>
          <w:szCs w:val="24"/>
        </w:rPr>
        <w:t xml:space="preserve"> sans fin </w:t>
      </w:r>
      <w:r w:rsidRPr="004F1CD5">
        <w:rPr>
          <w:rFonts w:eastAsiaTheme="minorHAnsi"/>
          <w:color w:val="000000"/>
          <w:sz w:val="24"/>
          <w:szCs w:val="24"/>
        </w:rPr>
        <w:t>de Ponti</w:t>
      </w:r>
      <w:r w:rsidRPr="004F1CD5">
        <w:rPr>
          <w:rFonts w:eastAsiaTheme="minorHAnsi"/>
          <w:i/>
          <w:color w:val="000000"/>
          <w:sz w:val="24"/>
          <w:szCs w:val="24"/>
        </w:rPr>
        <w:t xml:space="preserve">. La fiction </w:t>
      </w:r>
      <w:r w:rsidRPr="004F1CD5">
        <w:rPr>
          <w:rFonts w:eastAsiaTheme="minorHAnsi"/>
          <w:color w:val="000000"/>
          <w:sz w:val="24"/>
          <w:szCs w:val="24"/>
        </w:rPr>
        <w:t xml:space="preserve">est aussi un autre genre de littérature de jeunesse qui intéresse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(2015) pour permettre la réflexion philosophique en atelier. Sur les œuvres de fictions littéraires, elle pense qu’elles ont permis de mieux faire saisir à un large public les vérités sur la temporalité que le langage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langage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métaphysique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métaphysique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des philosophes, jugé trop rigide n’arrivait pas à le faire. </w:t>
      </w:r>
    </w:p>
    <w:p w14:paraId="09CF63AC" w14:textId="77777777" w:rsidR="00D80693" w:rsidRPr="006C0EF8" w:rsidRDefault="00D80693" w:rsidP="00735D3E">
      <w:pPr>
        <w:pStyle w:val="Heading40"/>
        <w:spacing w:before="120"/>
        <w:outlineLvl w:val="9"/>
      </w:pPr>
      <w:bookmarkStart w:id="328" w:name="_Toc200296113"/>
      <w:bookmarkStart w:id="329" w:name="_Toc200318805"/>
      <w:r w:rsidRPr="004F1CD5">
        <w:t xml:space="preserve"> </w:t>
      </w:r>
      <w:bookmarkStart w:id="330" w:name="_Toc201661718"/>
      <w:bookmarkStart w:id="331" w:name="_Toc201691720"/>
      <w:bookmarkStart w:id="332" w:name="_Toc201697030"/>
      <w:bookmarkStart w:id="333" w:name="_Toc201697764"/>
      <w:r w:rsidRPr="004F1CD5">
        <w:t>Les rôles</w:t>
      </w:r>
      <w:r w:rsidRPr="006C0EF8">
        <w:fldChar w:fldCharType="begin"/>
      </w:r>
      <w:r w:rsidRPr="004F1CD5">
        <w:instrText xml:space="preserve"> XE "</w:instrText>
      </w:r>
      <w:r w:rsidRPr="006C0EF8">
        <w:instrText>rôles</w:instrText>
      </w:r>
      <w:r w:rsidRPr="004F1CD5">
        <w:instrText xml:space="preserve">" </w:instrText>
      </w:r>
      <w:r w:rsidRPr="006C0EF8">
        <w:fldChar w:fldCharType="end"/>
      </w:r>
      <w:r w:rsidRPr="004F1CD5">
        <w:t xml:space="preserve"> des acteurs</w:t>
      </w:r>
      <w:r w:rsidRPr="006C0EF8">
        <w:fldChar w:fldCharType="begin"/>
      </w:r>
      <w:r w:rsidRPr="004F1CD5">
        <w:instrText xml:space="preserve"> XE "</w:instrText>
      </w:r>
      <w:r w:rsidRPr="006C0EF8">
        <w:instrText>acteurs</w:instrText>
      </w:r>
      <w:r w:rsidRPr="004F1CD5">
        <w:instrText xml:space="preserve">" </w:instrText>
      </w:r>
      <w:r w:rsidRPr="006C0EF8">
        <w:fldChar w:fldCharType="end"/>
      </w:r>
      <w:r w:rsidRPr="004F1CD5">
        <w:t xml:space="preserve"> pour la pratique</w:t>
      </w:r>
      <w:r w:rsidRPr="006C0EF8">
        <w:fldChar w:fldCharType="begin"/>
      </w:r>
      <w:r w:rsidRPr="004F1CD5">
        <w:instrText xml:space="preserve"> XE "pratique" </w:instrText>
      </w:r>
      <w:r w:rsidRPr="006C0EF8">
        <w:fldChar w:fldCharType="end"/>
      </w:r>
      <w:r w:rsidRPr="004F1CD5">
        <w:t xml:space="preserve"> dans l’ARP</w:t>
      </w:r>
      <w:bookmarkEnd w:id="328"/>
      <w:bookmarkEnd w:id="329"/>
      <w:bookmarkEnd w:id="330"/>
      <w:bookmarkEnd w:id="331"/>
      <w:bookmarkEnd w:id="332"/>
      <w:bookmarkEnd w:id="333"/>
      <w:r w:rsidRPr="006C0EF8">
        <w:fldChar w:fldCharType="begin"/>
      </w:r>
      <w:r w:rsidRPr="004F1CD5">
        <w:instrText xml:space="preserve"> XE "</w:instrText>
      </w:r>
      <w:r w:rsidRPr="006C0EF8">
        <w:instrText>ARP</w:instrText>
      </w:r>
      <w:r w:rsidRPr="004F1CD5">
        <w:instrText xml:space="preserve">" </w:instrText>
      </w:r>
      <w:r w:rsidRPr="006C0EF8">
        <w:fldChar w:fldCharType="end"/>
      </w:r>
    </w:p>
    <w:p w14:paraId="742F803E" w14:textId="77777777" w:rsidR="00D80693" w:rsidRPr="004F1CD5" w:rsidRDefault="00D80693" w:rsidP="00735D3E">
      <w:pPr>
        <w:spacing w:before="120"/>
        <w:rPr>
          <w:rFonts w:eastAsia="Calibri"/>
          <w:color w:val="000000"/>
          <w:sz w:val="24"/>
          <w:szCs w:val="24"/>
        </w:rPr>
      </w:pPr>
      <w:bookmarkStart w:id="334" w:name="_Toc200296114"/>
      <w:r w:rsidRPr="004F1CD5">
        <w:rPr>
          <w:rFonts w:eastAsiaTheme="minorHAnsi"/>
          <w:color w:val="000000"/>
          <w:sz w:val="24"/>
          <w:szCs w:val="24"/>
        </w:rPr>
        <w:t>Le dispositif scénaristique de l’ARP</w:t>
      </w:r>
      <w:r>
        <w:rPr>
          <w:color w:val="000000"/>
          <w:sz w:val="24"/>
          <w:szCs w:val="24"/>
        </w:rPr>
        <w:fldChar w:fldCharType="begin"/>
      </w:r>
      <w:r w:rsidRPr="004F1CD5">
        <w:rPr>
          <w:rFonts w:eastAsiaTheme="minorHAnsi"/>
          <w:sz w:val="24"/>
          <w:szCs w:val="24"/>
        </w:rPr>
        <w:instrText xml:space="preserve"> XE "ARP" </w:instrText>
      </w:r>
      <w:r>
        <w:rPr>
          <w:color w:val="000000"/>
          <w:sz w:val="24"/>
          <w:szCs w:val="24"/>
        </w:rPr>
        <w:fldChar w:fldCharType="end"/>
      </w:r>
      <w:r w:rsidRPr="004F1CD5">
        <w:rPr>
          <w:rFonts w:eastAsiaTheme="minorHAnsi"/>
          <w:color w:val="000000"/>
          <w:sz w:val="24"/>
          <w:szCs w:val="24"/>
        </w:rPr>
        <w:t xml:space="preserve"> de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(2008) est calqué sur certains aspects de</w:t>
      </w:r>
      <w:r>
        <w:rPr>
          <w:rFonts w:eastAsiaTheme="minorHAnsi"/>
          <w:color w:val="000000"/>
          <w:sz w:val="24"/>
          <w:szCs w:val="24"/>
        </w:rPr>
        <w:t xml:space="preserve"> la DVDP de Tozzi (2006</w:t>
      </w:r>
      <w:r w:rsidRPr="004F1CD5">
        <w:rPr>
          <w:rFonts w:eastAsiaTheme="minorHAnsi"/>
          <w:color w:val="000000"/>
          <w:sz w:val="24"/>
          <w:szCs w:val="24"/>
        </w:rPr>
        <w:t>) :</w:t>
      </w:r>
      <w:bookmarkEnd w:id="334"/>
      <w:r w:rsidRPr="004F1CD5">
        <w:rPr>
          <w:rFonts w:eastAsiaTheme="minorHAnsi"/>
          <w:color w:val="000000"/>
          <w:sz w:val="24"/>
          <w:szCs w:val="24"/>
        </w:rPr>
        <w:t xml:space="preserve"> </w:t>
      </w:r>
    </w:p>
    <w:p w14:paraId="5D57C4A8" w14:textId="77777777" w:rsidR="00D80693" w:rsidRPr="00867F5B" w:rsidRDefault="00D80693" w:rsidP="00735D3E">
      <w:pPr>
        <w:spacing w:before="120"/>
        <w:jc w:val="both"/>
        <w:rPr>
          <w:rFonts w:eastAsia="Calibri"/>
          <w:b/>
          <w:color w:val="000000"/>
          <w:sz w:val="24"/>
          <w:szCs w:val="24"/>
        </w:rPr>
      </w:pPr>
      <w:bookmarkStart w:id="335" w:name="_Toc200296115"/>
      <w:r w:rsidRPr="004F1CD5">
        <w:rPr>
          <w:rFonts w:eastAsiaTheme="minorHAnsi"/>
          <w:b/>
          <w:i/>
          <w:color w:val="000000"/>
          <w:sz w:val="24"/>
          <w:szCs w:val="24"/>
        </w:rPr>
        <w:t>Les rôles</w:t>
      </w:r>
      <w:r>
        <w:rPr>
          <w:b/>
          <w:i/>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rôles</w:instrText>
      </w:r>
      <w:r w:rsidRPr="004F1CD5">
        <w:rPr>
          <w:rFonts w:eastAsiaTheme="minorHAnsi"/>
          <w:sz w:val="24"/>
          <w:szCs w:val="24"/>
        </w:rPr>
        <w:instrText xml:space="preserve">" </w:instrText>
      </w:r>
      <w:r>
        <w:rPr>
          <w:b/>
          <w:i/>
          <w:color w:val="000000"/>
          <w:sz w:val="24"/>
          <w:szCs w:val="24"/>
        </w:rPr>
        <w:fldChar w:fldCharType="end"/>
      </w:r>
      <w:r w:rsidRPr="004F1CD5">
        <w:rPr>
          <w:rFonts w:eastAsiaTheme="minorHAnsi"/>
          <w:b/>
          <w:color w:val="000000"/>
          <w:sz w:val="24"/>
          <w:szCs w:val="24"/>
        </w:rPr>
        <w:t xml:space="preserve"> </w:t>
      </w:r>
      <w:r w:rsidRPr="004F1CD5">
        <w:rPr>
          <w:rFonts w:eastAsiaTheme="minorHAnsi"/>
          <w:b/>
          <w:i/>
          <w:color w:val="000000"/>
          <w:sz w:val="24"/>
          <w:szCs w:val="24"/>
        </w:rPr>
        <w:t>des acteurs</w:t>
      </w:r>
      <w:r>
        <w:rPr>
          <w:b/>
          <w:i/>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acteurs</w:instrText>
      </w:r>
      <w:r w:rsidRPr="004F1CD5">
        <w:rPr>
          <w:rFonts w:eastAsiaTheme="minorHAnsi"/>
          <w:sz w:val="24"/>
          <w:szCs w:val="24"/>
        </w:rPr>
        <w:instrText xml:space="preserve">" </w:instrText>
      </w:r>
      <w:r>
        <w:rPr>
          <w:b/>
          <w:i/>
          <w:color w:val="000000"/>
          <w:sz w:val="24"/>
          <w:szCs w:val="24"/>
        </w:rPr>
        <w:fldChar w:fldCharType="end"/>
      </w:r>
      <w:r w:rsidRPr="004F1CD5">
        <w:rPr>
          <w:rFonts w:eastAsiaTheme="minorHAnsi"/>
          <w:b/>
          <w:i/>
          <w:color w:val="000000"/>
          <w:sz w:val="24"/>
          <w:szCs w:val="24"/>
        </w:rPr>
        <w:t xml:space="preserve"> : </w:t>
      </w:r>
      <w:r w:rsidRPr="004F1CD5">
        <w:rPr>
          <w:rFonts w:eastAsiaTheme="minorHAnsi"/>
          <w:color w:val="000000"/>
          <w:sz w:val="24"/>
          <w:szCs w:val="24"/>
        </w:rPr>
        <w:t>dans l’ARP</w:t>
      </w:r>
      <w:r>
        <w:rPr>
          <w:color w:val="000000"/>
          <w:sz w:val="24"/>
          <w:szCs w:val="24"/>
        </w:rPr>
        <w:fldChar w:fldCharType="begin"/>
      </w:r>
      <w:r w:rsidRPr="004F1CD5">
        <w:rPr>
          <w:rFonts w:eastAsiaTheme="minorHAnsi"/>
          <w:sz w:val="24"/>
          <w:szCs w:val="24"/>
        </w:rPr>
        <w:instrText xml:space="preserve"> XE "ARP" </w:instrText>
      </w:r>
      <w:r>
        <w:rPr>
          <w:color w:val="000000"/>
          <w:sz w:val="24"/>
          <w:szCs w:val="24"/>
        </w:rPr>
        <w:fldChar w:fldCharType="end"/>
      </w:r>
      <w:r w:rsidRPr="004F1CD5">
        <w:rPr>
          <w:rFonts w:eastAsiaTheme="minorHAnsi"/>
          <w:color w:val="000000"/>
          <w:sz w:val="24"/>
          <w:szCs w:val="24"/>
        </w:rPr>
        <w:t xml:space="preserve"> l’enseignant joue le rôle de d’animateur-facilitateur et les apprenants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apprenants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jouent le rôle de discuteurs. En tant qu’animateur-facilitateur l’enseignant doit savoir saisir le </w:t>
      </w:r>
      <w:r w:rsidRPr="004F1CD5">
        <w:rPr>
          <w:rFonts w:eastAsiaTheme="minorHAnsi"/>
          <w:sz w:val="24"/>
          <w:szCs w:val="24"/>
        </w:rPr>
        <w:t xml:space="preserve">“kairos ” pour conduire un certain nombre d’actions liées à sa fonction, lesquelles sont par exemples : </w:t>
      </w:r>
      <w:r w:rsidRPr="004F1CD5">
        <w:rPr>
          <w:rFonts w:eastAsiaTheme="minorHAnsi"/>
          <w:i/>
          <w:sz w:val="24"/>
          <w:szCs w:val="24"/>
        </w:rPr>
        <w:t>lancer le débat</w:t>
      </w:r>
      <w:r>
        <w:rPr>
          <w:i/>
          <w:sz w:val="24"/>
          <w:szCs w:val="24"/>
        </w:rPr>
        <w:fldChar w:fldCharType="begin"/>
      </w:r>
      <w:r w:rsidRPr="004F1CD5">
        <w:rPr>
          <w:rFonts w:eastAsiaTheme="minorHAnsi"/>
          <w:sz w:val="24"/>
          <w:szCs w:val="24"/>
        </w:rPr>
        <w:instrText xml:space="preserve"> XE "débat" </w:instrText>
      </w:r>
      <w:r>
        <w:rPr>
          <w:i/>
          <w:sz w:val="24"/>
          <w:szCs w:val="24"/>
        </w:rPr>
        <w:fldChar w:fldCharType="end"/>
      </w:r>
      <w:r w:rsidRPr="004F1CD5">
        <w:rPr>
          <w:rFonts w:eastAsiaTheme="minorHAnsi"/>
          <w:i/>
          <w:sz w:val="24"/>
          <w:szCs w:val="24"/>
        </w:rPr>
        <w:t xml:space="preserve">, le recadrer, l’encadrer, relancer les idées, interroger les apprenants sur leurs idées, reformuler ou demander aux apprenants de le faire, et surtout ne pas influencer le débat. </w:t>
      </w:r>
      <w:r w:rsidRPr="004F1CD5">
        <w:rPr>
          <w:rFonts w:eastAsiaTheme="minorHAnsi"/>
          <w:sz w:val="24"/>
          <w:szCs w:val="24"/>
        </w:rPr>
        <w:t>Quant aux apprenants, ils participent au débat comme « </w:t>
      </w:r>
      <w:proofErr w:type="spellStart"/>
      <w:r w:rsidRPr="004F1CD5">
        <w:rPr>
          <w:rFonts w:eastAsiaTheme="minorHAnsi"/>
          <w:i/>
          <w:sz w:val="24"/>
          <w:szCs w:val="24"/>
        </w:rPr>
        <w:t>discutants</w:t>
      </w:r>
      <w:proofErr w:type="spellEnd"/>
      <w:r>
        <w:rPr>
          <w:i/>
          <w:sz w:val="24"/>
          <w:szCs w:val="24"/>
        </w:rPr>
        <w:fldChar w:fldCharType="begin"/>
      </w:r>
      <w:r w:rsidRPr="004F1CD5">
        <w:rPr>
          <w:rFonts w:eastAsiaTheme="minorHAnsi"/>
          <w:sz w:val="24"/>
          <w:szCs w:val="24"/>
        </w:rPr>
        <w:instrText xml:space="preserve"> XE "</w:instrText>
      </w:r>
      <w:r w:rsidRPr="004F1CD5">
        <w:rPr>
          <w:i/>
          <w:sz w:val="24"/>
          <w:szCs w:val="24"/>
          <w:lang w:eastAsia="fr-FR"/>
        </w:rPr>
        <w:instrText>discutants</w:instrText>
      </w:r>
      <w:r w:rsidRPr="004F1CD5">
        <w:rPr>
          <w:rFonts w:eastAsiaTheme="minorHAnsi"/>
          <w:sz w:val="24"/>
          <w:szCs w:val="24"/>
        </w:rPr>
        <w:instrText xml:space="preserve">" </w:instrText>
      </w:r>
      <w:r>
        <w:rPr>
          <w:i/>
          <w:sz w:val="24"/>
          <w:szCs w:val="24"/>
        </w:rPr>
        <w:fldChar w:fldCharType="end"/>
      </w:r>
      <w:r w:rsidRPr="004F1CD5">
        <w:rPr>
          <w:rFonts w:eastAsiaTheme="minorHAnsi"/>
          <w:sz w:val="24"/>
          <w:szCs w:val="24"/>
        </w:rPr>
        <w:t xml:space="preserve"> » : les autres rôles de </w:t>
      </w:r>
      <w:r w:rsidRPr="004F1CD5">
        <w:rPr>
          <w:rFonts w:eastAsiaTheme="minorHAnsi"/>
          <w:i/>
          <w:sz w:val="24"/>
          <w:szCs w:val="24"/>
        </w:rPr>
        <w:t>président</w:t>
      </w:r>
      <w:r>
        <w:rPr>
          <w:i/>
          <w:sz w:val="24"/>
          <w:szCs w:val="24"/>
        </w:rPr>
        <w:fldChar w:fldCharType="begin"/>
      </w:r>
      <w:r w:rsidRPr="004F1CD5">
        <w:rPr>
          <w:rFonts w:eastAsiaTheme="minorHAnsi"/>
          <w:sz w:val="24"/>
          <w:szCs w:val="24"/>
        </w:rPr>
        <w:instrText xml:space="preserve"> XE "</w:instrText>
      </w:r>
      <w:r w:rsidRPr="004F1CD5">
        <w:rPr>
          <w:rFonts w:eastAsiaTheme="minorHAnsi"/>
          <w:i/>
          <w:sz w:val="24"/>
          <w:szCs w:val="24"/>
        </w:rPr>
        <w:instrText>président</w:instrText>
      </w:r>
      <w:r w:rsidRPr="004F1CD5">
        <w:rPr>
          <w:rFonts w:eastAsiaTheme="minorHAnsi"/>
          <w:sz w:val="24"/>
          <w:szCs w:val="24"/>
        </w:rPr>
        <w:instrText xml:space="preserve">" </w:instrText>
      </w:r>
      <w:r>
        <w:rPr>
          <w:i/>
          <w:sz w:val="24"/>
          <w:szCs w:val="24"/>
        </w:rPr>
        <w:fldChar w:fldCharType="end"/>
      </w:r>
      <w:r w:rsidRPr="004F1CD5">
        <w:rPr>
          <w:rFonts w:eastAsiaTheme="minorHAnsi"/>
          <w:i/>
          <w:sz w:val="24"/>
          <w:szCs w:val="24"/>
        </w:rPr>
        <w:t xml:space="preserve"> de séance</w:t>
      </w:r>
      <w:r>
        <w:rPr>
          <w:i/>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séance</w:instrText>
      </w:r>
      <w:r w:rsidRPr="004F1CD5">
        <w:rPr>
          <w:rFonts w:eastAsiaTheme="minorHAnsi"/>
          <w:sz w:val="24"/>
          <w:szCs w:val="24"/>
        </w:rPr>
        <w:instrText xml:space="preserve">" </w:instrText>
      </w:r>
      <w:r>
        <w:rPr>
          <w:i/>
          <w:sz w:val="24"/>
          <w:szCs w:val="24"/>
        </w:rPr>
        <w:fldChar w:fldCharType="end"/>
      </w:r>
      <w:r w:rsidRPr="004F1CD5">
        <w:rPr>
          <w:rFonts w:eastAsiaTheme="minorHAnsi"/>
          <w:i/>
          <w:sz w:val="24"/>
          <w:szCs w:val="24"/>
        </w:rPr>
        <w:t xml:space="preserve">, discutant, </w:t>
      </w:r>
      <w:proofErr w:type="spellStart"/>
      <w:r w:rsidRPr="004F1CD5">
        <w:rPr>
          <w:rFonts w:eastAsiaTheme="minorHAnsi"/>
          <w:i/>
          <w:sz w:val="24"/>
          <w:szCs w:val="24"/>
        </w:rPr>
        <w:t>r</w:t>
      </w:r>
      <w:r w:rsidRPr="00E06D10">
        <w:rPr>
          <w:rFonts w:eastAsiaTheme="minorHAnsi"/>
          <w:i/>
          <w:sz w:val="24"/>
          <w:szCs w:val="24"/>
        </w:rPr>
        <w:t>e</w:t>
      </w:r>
      <w:r w:rsidRPr="004F1CD5">
        <w:rPr>
          <w:rFonts w:eastAsiaTheme="minorHAnsi"/>
          <w:i/>
          <w:sz w:val="24"/>
          <w:szCs w:val="24"/>
        </w:rPr>
        <w:t>formulateur</w:t>
      </w:r>
      <w:proofErr w:type="spellEnd"/>
      <w:r w:rsidRPr="004F1CD5">
        <w:rPr>
          <w:rFonts w:eastAsiaTheme="minorHAnsi"/>
          <w:i/>
          <w:sz w:val="24"/>
          <w:szCs w:val="24"/>
        </w:rPr>
        <w:t xml:space="preserve">, </w:t>
      </w:r>
      <w:r>
        <w:rPr>
          <w:rFonts w:eastAsiaTheme="minorHAnsi"/>
          <w:i/>
          <w:sz w:val="24"/>
          <w:szCs w:val="24"/>
        </w:rPr>
        <w:t>se</w:t>
      </w:r>
      <w:r w:rsidRPr="004F1CD5">
        <w:rPr>
          <w:rFonts w:eastAsiaTheme="minorHAnsi"/>
          <w:i/>
          <w:sz w:val="24"/>
          <w:szCs w:val="24"/>
        </w:rPr>
        <w:t xml:space="preserve">crétaire, </w:t>
      </w:r>
      <w:proofErr w:type="spellStart"/>
      <w:r w:rsidRPr="004F1CD5">
        <w:rPr>
          <w:rFonts w:eastAsiaTheme="minorHAnsi"/>
          <w:i/>
          <w:sz w:val="24"/>
          <w:szCs w:val="24"/>
        </w:rPr>
        <w:t>co</w:t>
      </w:r>
      <w:proofErr w:type="spellEnd"/>
      <w:r w:rsidRPr="004F1CD5">
        <w:rPr>
          <w:rFonts w:eastAsiaTheme="minorHAnsi"/>
          <w:i/>
          <w:sz w:val="24"/>
          <w:szCs w:val="24"/>
        </w:rPr>
        <w:t>-animateur</w:t>
      </w:r>
      <w:r>
        <w:rPr>
          <w:i/>
          <w:sz w:val="24"/>
          <w:szCs w:val="24"/>
        </w:rPr>
        <w:fldChar w:fldCharType="begin"/>
      </w:r>
      <w:r w:rsidRPr="004F1CD5">
        <w:rPr>
          <w:rFonts w:eastAsiaTheme="minorHAnsi"/>
          <w:sz w:val="24"/>
          <w:szCs w:val="24"/>
        </w:rPr>
        <w:instrText xml:space="preserve"> XE "</w:instrText>
      </w:r>
      <w:r w:rsidRPr="004F1CD5">
        <w:rPr>
          <w:rFonts w:eastAsiaTheme="minorHAnsi"/>
          <w:b/>
          <w:color w:val="000000"/>
          <w:sz w:val="24"/>
          <w:szCs w:val="24"/>
        </w:rPr>
        <w:instrText>co-animateur</w:instrText>
      </w:r>
      <w:r w:rsidRPr="004F1CD5">
        <w:rPr>
          <w:rFonts w:eastAsiaTheme="minorHAnsi"/>
          <w:sz w:val="24"/>
          <w:szCs w:val="24"/>
        </w:rPr>
        <w:instrText xml:space="preserve">" </w:instrText>
      </w:r>
      <w:r>
        <w:rPr>
          <w:i/>
          <w:sz w:val="24"/>
          <w:szCs w:val="24"/>
        </w:rPr>
        <w:fldChar w:fldCharType="end"/>
      </w:r>
      <w:r w:rsidRPr="004F1CD5">
        <w:rPr>
          <w:rFonts w:eastAsiaTheme="minorHAnsi"/>
          <w:i/>
          <w:sz w:val="24"/>
          <w:szCs w:val="24"/>
        </w:rPr>
        <w:t xml:space="preserve"> ou observateur </w:t>
      </w:r>
      <w:r w:rsidRPr="004F1CD5">
        <w:rPr>
          <w:rFonts w:eastAsiaTheme="minorHAnsi"/>
          <w:sz w:val="24"/>
          <w:szCs w:val="24"/>
        </w:rPr>
        <w:t>n’existent pas vraiment (</w:t>
      </w:r>
      <w:proofErr w:type="spellStart"/>
      <w:r w:rsidRPr="004F1CD5">
        <w:rPr>
          <w:rFonts w:eastAsiaTheme="minorHAnsi"/>
          <w:sz w:val="24"/>
          <w:szCs w:val="24"/>
        </w:rPr>
        <w:t>Chirouter</w:t>
      </w:r>
      <w:proofErr w:type="spellEnd"/>
      <w:r w:rsidRPr="004F1CD5">
        <w:rPr>
          <w:rFonts w:eastAsiaTheme="minorHAnsi"/>
          <w:sz w:val="24"/>
          <w:szCs w:val="24"/>
        </w:rPr>
        <w:t>, 2015, p. 172).</w:t>
      </w:r>
      <w:bookmarkEnd w:id="335"/>
      <w:r w:rsidRPr="004F1CD5">
        <w:rPr>
          <w:rFonts w:eastAsiaTheme="minorHAnsi"/>
          <w:sz w:val="24"/>
          <w:szCs w:val="24"/>
        </w:rPr>
        <w:t xml:space="preserve"> </w:t>
      </w:r>
      <w:r w:rsidRPr="00867F5B">
        <w:rPr>
          <w:rFonts w:eastAsiaTheme="minorHAnsi"/>
          <w:color w:val="000000"/>
          <w:sz w:val="24"/>
          <w:szCs w:val="24"/>
        </w:rPr>
        <w:t xml:space="preserve">  </w:t>
      </w:r>
    </w:p>
    <w:p w14:paraId="0B203DDF" w14:textId="77777777" w:rsidR="00D80693" w:rsidRPr="004F1CD5" w:rsidRDefault="00D80693" w:rsidP="00735D3E">
      <w:pPr>
        <w:pStyle w:val="Heading40"/>
        <w:spacing w:before="120"/>
        <w:outlineLvl w:val="9"/>
      </w:pPr>
      <w:bookmarkStart w:id="336" w:name="_Toc200296118"/>
      <w:bookmarkStart w:id="337" w:name="_Toc200318806"/>
      <w:bookmarkStart w:id="338" w:name="_Toc201661719"/>
      <w:bookmarkStart w:id="339" w:name="_Toc201691721"/>
      <w:bookmarkStart w:id="340" w:name="_Toc201697031"/>
      <w:bookmarkStart w:id="341" w:name="_Toc201697765"/>
      <w:r w:rsidRPr="004F1CD5">
        <w:t>Les compétences</w:t>
      </w:r>
      <w:r>
        <w:fldChar w:fldCharType="begin"/>
      </w:r>
      <w:r w:rsidRPr="004F1CD5">
        <w:instrText xml:space="preserve"> XE "</w:instrText>
      </w:r>
      <w:r w:rsidRPr="004F1CD5">
        <w:rPr>
          <w:rFonts w:eastAsia="Calibri"/>
          <w:color w:val="000000"/>
        </w:rPr>
        <w:instrText>compétences</w:instrText>
      </w:r>
      <w:r w:rsidRPr="004F1CD5">
        <w:instrText xml:space="preserve">" </w:instrText>
      </w:r>
      <w:r>
        <w:fldChar w:fldCharType="end"/>
      </w:r>
      <w:r w:rsidRPr="004F1CD5">
        <w:t xml:space="preserve"> de la pratique</w:t>
      </w:r>
      <w:r>
        <w:fldChar w:fldCharType="begin"/>
      </w:r>
      <w:r w:rsidRPr="004F1CD5">
        <w:instrText xml:space="preserve"> XE "pratique" </w:instrText>
      </w:r>
      <w:r>
        <w:fldChar w:fldCharType="end"/>
      </w:r>
      <w:r w:rsidRPr="004F1CD5">
        <w:t xml:space="preserve"> dans l’ARP</w:t>
      </w:r>
      <w:bookmarkEnd w:id="336"/>
      <w:bookmarkEnd w:id="337"/>
      <w:bookmarkEnd w:id="338"/>
      <w:bookmarkEnd w:id="339"/>
      <w:bookmarkEnd w:id="340"/>
      <w:bookmarkEnd w:id="341"/>
      <w:r>
        <w:fldChar w:fldCharType="begin"/>
      </w:r>
      <w:r w:rsidRPr="004F1CD5">
        <w:instrText xml:space="preserve"> XE "</w:instrText>
      </w:r>
      <w:r w:rsidRPr="004F1CD5">
        <w:rPr>
          <w:rFonts w:eastAsia="Calibri"/>
        </w:rPr>
        <w:instrText>ARP</w:instrText>
      </w:r>
      <w:r w:rsidRPr="004F1CD5">
        <w:instrText xml:space="preserve">" </w:instrText>
      </w:r>
      <w:r>
        <w:fldChar w:fldCharType="end"/>
      </w:r>
    </w:p>
    <w:p w14:paraId="6EF24982" w14:textId="77777777" w:rsidR="00D80693" w:rsidRPr="004F1CD5" w:rsidRDefault="00D80693" w:rsidP="00735D3E">
      <w:pPr>
        <w:spacing w:before="120"/>
        <w:jc w:val="both"/>
        <w:rPr>
          <w:rFonts w:eastAsia="Calibri"/>
          <w:color w:val="000000"/>
          <w:sz w:val="24"/>
          <w:szCs w:val="24"/>
        </w:rPr>
      </w:pPr>
      <w:bookmarkStart w:id="342" w:name="_Toc200296119"/>
      <w:r w:rsidRPr="004F1CD5">
        <w:rPr>
          <w:rFonts w:eastAsiaTheme="minorHAnsi"/>
          <w:color w:val="000000"/>
          <w:sz w:val="24"/>
          <w:szCs w:val="24"/>
        </w:rPr>
        <w:t>Parmi les compétences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compétences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du philosopher</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philosopher</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avec les enfants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l’ARP</w:t>
      </w:r>
      <w:r>
        <w:rPr>
          <w:color w:val="000000"/>
          <w:sz w:val="24"/>
          <w:szCs w:val="24"/>
        </w:rPr>
        <w:fldChar w:fldCharType="begin"/>
      </w:r>
      <w:r w:rsidRPr="004F1CD5">
        <w:rPr>
          <w:rFonts w:eastAsiaTheme="minorHAnsi"/>
          <w:sz w:val="24"/>
          <w:szCs w:val="24"/>
        </w:rPr>
        <w:instrText xml:space="preserve"> XE "ARP" </w:instrText>
      </w:r>
      <w:r>
        <w:rPr>
          <w:color w:val="000000"/>
          <w:sz w:val="24"/>
          <w:szCs w:val="24"/>
        </w:rPr>
        <w:fldChar w:fldCharType="end"/>
      </w:r>
      <w:r w:rsidRPr="004F1CD5">
        <w:rPr>
          <w:rFonts w:eastAsiaTheme="minorHAnsi"/>
          <w:color w:val="000000"/>
          <w:sz w:val="24"/>
          <w:szCs w:val="24"/>
        </w:rPr>
        <w:t xml:space="preserve"> de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(2008) vise plus le développement</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développement</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de la pensée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pensée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réflexive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pensée réflexive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ou critique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critique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chez les tout-petits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tout-petits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Former les enfants à la pensée réflexive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réflexive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ou à l’esprit</w:t>
      </w:r>
      <w:r>
        <w:rPr>
          <w:color w:val="000000"/>
          <w:sz w:val="24"/>
          <w:szCs w:val="24"/>
        </w:rPr>
        <w:fldChar w:fldCharType="begin"/>
      </w:r>
      <w:r w:rsidRPr="004F1CD5">
        <w:rPr>
          <w:rFonts w:eastAsiaTheme="minorHAnsi"/>
          <w:sz w:val="24"/>
          <w:szCs w:val="24"/>
        </w:rPr>
        <w:instrText xml:space="preserve"> XE "esprit" </w:instrText>
      </w:r>
      <w:r>
        <w:rPr>
          <w:color w:val="000000"/>
          <w:sz w:val="24"/>
          <w:szCs w:val="24"/>
        </w:rPr>
        <w:fldChar w:fldCharType="end"/>
      </w:r>
      <w:r w:rsidRPr="004F1CD5">
        <w:rPr>
          <w:rFonts w:eastAsiaTheme="minorHAnsi"/>
          <w:color w:val="000000"/>
          <w:sz w:val="24"/>
          <w:szCs w:val="24"/>
        </w:rPr>
        <w:t xml:space="preserve"> réflexif nécessite de les initier à certaines habiletés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habiletés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de la réflexivité philosophique qu’avaient déjà définit Lipm</w:t>
      </w:r>
      <w:r>
        <w:rPr>
          <w:rFonts w:eastAsiaTheme="minorHAnsi"/>
          <w:color w:val="000000"/>
          <w:sz w:val="24"/>
          <w:szCs w:val="24"/>
        </w:rPr>
        <w:t>an (2006) repris par Tozzi (2018</w:t>
      </w:r>
      <w:r w:rsidRPr="004F1CD5">
        <w:rPr>
          <w:rFonts w:eastAsiaTheme="minorHAnsi"/>
          <w:color w:val="000000"/>
          <w:sz w:val="24"/>
          <w:szCs w:val="24"/>
        </w:rPr>
        <w:t xml:space="preserve">), celles-ci sont : </w:t>
      </w:r>
      <w:r w:rsidRPr="004F1CD5">
        <w:rPr>
          <w:rFonts w:eastAsiaTheme="minorHAnsi"/>
          <w:i/>
          <w:color w:val="000000"/>
          <w:sz w:val="24"/>
          <w:szCs w:val="24"/>
        </w:rPr>
        <w:t>problématiser</w:t>
      </w:r>
      <w:r>
        <w:rPr>
          <w:i/>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problématiser</w:instrText>
      </w:r>
      <w:r w:rsidRPr="004F1CD5">
        <w:rPr>
          <w:rFonts w:eastAsiaTheme="minorHAnsi"/>
          <w:sz w:val="24"/>
          <w:szCs w:val="24"/>
        </w:rPr>
        <w:instrText xml:space="preserve">" </w:instrText>
      </w:r>
      <w:r>
        <w:rPr>
          <w:i/>
          <w:color w:val="000000"/>
          <w:sz w:val="24"/>
          <w:szCs w:val="24"/>
        </w:rPr>
        <w:fldChar w:fldCharType="end"/>
      </w:r>
      <w:r w:rsidRPr="004F1CD5">
        <w:rPr>
          <w:rFonts w:eastAsiaTheme="minorHAnsi"/>
          <w:i/>
          <w:color w:val="000000"/>
          <w:sz w:val="24"/>
          <w:szCs w:val="24"/>
        </w:rPr>
        <w:t>, argumenter</w:t>
      </w:r>
      <w:r>
        <w:rPr>
          <w:i/>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argumenter</w:instrText>
      </w:r>
      <w:r w:rsidRPr="004F1CD5">
        <w:rPr>
          <w:rFonts w:eastAsiaTheme="minorHAnsi"/>
          <w:sz w:val="24"/>
          <w:szCs w:val="24"/>
        </w:rPr>
        <w:instrText xml:space="preserve">" </w:instrText>
      </w:r>
      <w:r>
        <w:rPr>
          <w:i/>
          <w:color w:val="000000"/>
          <w:sz w:val="24"/>
          <w:szCs w:val="24"/>
        </w:rPr>
        <w:fldChar w:fldCharType="end"/>
      </w:r>
      <w:r w:rsidRPr="004F1CD5">
        <w:rPr>
          <w:rFonts w:eastAsiaTheme="minorHAnsi"/>
          <w:i/>
          <w:color w:val="000000"/>
          <w:sz w:val="24"/>
          <w:szCs w:val="24"/>
        </w:rPr>
        <w:t xml:space="preserve"> et conceptualiser</w:t>
      </w:r>
      <w:r>
        <w:rPr>
          <w:i/>
          <w:color w:val="000000"/>
          <w:sz w:val="24"/>
          <w:szCs w:val="24"/>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conceptualiser</w:instrText>
      </w:r>
      <w:r w:rsidRPr="004F1CD5">
        <w:rPr>
          <w:rFonts w:eastAsiaTheme="minorHAnsi"/>
          <w:sz w:val="24"/>
          <w:szCs w:val="24"/>
        </w:rPr>
        <w:instrText xml:space="preserve">" </w:instrText>
      </w:r>
      <w:r>
        <w:rPr>
          <w:i/>
          <w:color w:val="000000"/>
          <w:sz w:val="24"/>
          <w:szCs w:val="24"/>
        </w:rPr>
        <w:fldChar w:fldCharType="end"/>
      </w:r>
      <w:r>
        <w:rPr>
          <w:rFonts w:eastAsiaTheme="minorHAnsi"/>
          <w:color w:val="000000"/>
          <w:sz w:val="24"/>
          <w:szCs w:val="24"/>
        </w:rPr>
        <w:t xml:space="preserve">. </w:t>
      </w:r>
      <w:r w:rsidRPr="004F1CD5">
        <w:rPr>
          <w:rFonts w:eastAsiaTheme="minorHAnsi"/>
          <w:color w:val="000000"/>
          <w:sz w:val="24"/>
          <w:szCs w:val="24"/>
        </w:rPr>
        <w:t xml:space="preserve">Une autre habileté de la réflexivité philosophique intéresse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(2022), celle-ci est : </w:t>
      </w:r>
      <w:r w:rsidRPr="004F1CD5">
        <w:rPr>
          <w:rFonts w:eastAsiaTheme="minorHAnsi"/>
          <w:i/>
          <w:color w:val="000000"/>
          <w:sz w:val="24"/>
          <w:szCs w:val="24"/>
        </w:rPr>
        <w:t>interpréter</w:t>
      </w:r>
      <w:r w:rsidRPr="004F1CD5">
        <w:rPr>
          <w:rFonts w:eastAsiaTheme="minorHAnsi"/>
          <w:color w:val="000000"/>
          <w:sz w:val="24"/>
          <w:szCs w:val="24"/>
        </w:rPr>
        <w:t>. Sur cette micro-compétence</w:t>
      </w:r>
      <w:r>
        <w:rPr>
          <w:color w:val="000000"/>
          <w:sz w:val="24"/>
          <w:szCs w:val="24"/>
        </w:rPr>
        <w:fldChar w:fldCharType="begin"/>
      </w:r>
      <w:r w:rsidRPr="004F1CD5">
        <w:rPr>
          <w:rFonts w:eastAsiaTheme="minorHAnsi"/>
          <w:sz w:val="24"/>
          <w:szCs w:val="24"/>
        </w:rPr>
        <w:instrText xml:space="preserve"> XE "compétence" </w:instrText>
      </w:r>
      <w:r>
        <w:rPr>
          <w:color w:val="000000"/>
          <w:sz w:val="24"/>
          <w:szCs w:val="24"/>
        </w:rPr>
        <w:fldChar w:fldCharType="end"/>
      </w:r>
      <w:r w:rsidRPr="004F1CD5">
        <w:rPr>
          <w:rFonts w:eastAsiaTheme="minorHAnsi"/>
          <w:color w:val="000000"/>
          <w:sz w:val="24"/>
          <w:szCs w:val="24"/>
        </w:rPr>
        <w:t xml:space="preserve"> qui est un indicateur considérable de la réflexivité philosophique,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(2024, p. 31) insiste sur l’importance d’initier les enfants à l’interprétation</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interprétation</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des textes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textes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ou des récits pour en saisir les enjeux importants du contenu exposé. L’ARP permet plusieurs interprétations subjectives relatives aux </w:t>
      </w:r>
      <w:proofErr w:type="spellStart"/>
      <w:r w:rsidRPr="004F1CD5">
        <w:rPr>
          <w:rFonts w:eastAsiaTheme="minorHAnsi"/>
          <w:color w:val="000000"/>
          <w:sz w:val="24"/>
          <w:szCs w:val="24"/>
        </w:rPr>
        <w:t>discutants</w:t>
      </w:r>
      <w:proofErr w:type="spellEnd"/>
      <w:r>
        <w:rPr>
          <w:color w:val="000000"/>
          <w:sz w:val="24"/>
          <w:szCs w:val="24"/>
        </w:rPr>
        <w:fldChar w:fldCharType="begin"/>
      </w:r>
      <w:r w:rsidRPr="004F1CD5">
        <w:rPr>
          <w:rFonts w:eastAsiaTheme="minorHAnsi"/>
          <w:sz w:val="24"/>
          <w:szCs w:val="24"/>
        </w:rPr>
        <w:instrText xml:space="preserve"> XE "</w:instrText>
      </w:r>
      <w:r w:rsidRPr="004F1CD5">
        <w:rPr>
          <w:i/>
          <w:sz w:val="24"/>
          <w:szCs w:val="24"/>
          <w:lang w:eastAsia="fr-FR"/>
        </w:rPr>
        <w:instrText>discutants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mais la subjectivité des interprétations n’est pas le lieu de la valorisation des pensées anarchiques, c’est-à-dire permettre aux enfants de dire tout ce qu’ils veulent sur le texte</w:t>
      </w:r>
      <w:r>
        <w:rPr>
          <w:rFonts w:eastAsiaTheme="minorHAnsi"/>
          <w:color w:val="000000"/>
          <w:sz w:val="24"/>
          <w:szCs w:val="24"/>
        </w:rPr>
        <w:t xml:space="preserv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2015, p. 120).</w:t>
      </w:r>
      <w:bookmarkEnd w:id="342"/>
    </w:p>
    <w:p w14:paraId="5FFAF497" w14:textId="77777777" w:rsidR="00D80693" w:rsidRPr="006C0EF8" w:rsidRDefault="00D80693" w:rsidP="00735D3E">
      <w:pPr>
        <w:pStyle w:val="Heading40"/>
        <w:spacing w:before="120"/>
        <w:outlineLvl w:val="9"/>
      </w:pPr>
      <w:bookmarkStart w:id="343" w:name="_Toc200296120"/>
      <w:bookmarkStart w:id="344" w:name="_Toc200318807"/>
      <w:r w:rsidRPr="004F1CD5">
        <w:t xml:space="preserve"> </w:t>
      </w:r>
      <w:bookmarkStart w:id="345" w:name="_Toc201661720"/>
      <w:bookmarkStart w:id="346" w:name="_Toc201691722"/>
      <w:bookmarkStart w:id="347" w:name="_Toc201697032"/>
      <w:bookmarkStart w:id="348" w:name="_Toc201697766"/>
      <w:r w:rsidRPr="004F1CD5">
        <w:t>La méthode et technique</w:t>
      </w:r>
      <w:r w:rsidRPr="006C0EF8">
        <w:fldChar w:fldCharType="begin"/>
      </w:r>
      <w:r w:rsidRPr="004F1CD5">
        <w:instrText xml:space="preserve"> XE "</w:instrText>
      </w:r>
      <w:r w:rsidRPr="006C0EF8">
        <w:instrText>technique</w:instrText>
      </w:r>
      <w:r w:rsidRPr="004F1CD5">
        <w:instrText xml:space="preserve">" </w:instrText>
      </w:r>
      <w:r w:rsidRPr="006C0EF8">
        <w:fldChar w:fldCharType="end"/>
      </w:r>
      <w:r w:rsidRPr="004F1CD5">
        <w:t xml:space="preserve"> de la pratique</w:t>
      </w:r>
      <w:r w:rsidRPr="006C0EF8">
        <w:fldChar w:fldCharType="begin"/>
      </w:r>
      <w:r w:rsidRPr="004F1CD5">
        <w:instrText xml:space="preserve"> XE "pratique" </w:instrText>
      </w:r>
      <w:r w:rsidRPr="006C0EF8">
        <w:fldChar w:fldCharType="end"/>
      </w:r>
      <w:r w:rsidRPr="004F1CD5">
        <w:t xml:space="preserve"> dans l’ARP</w:t>
      </w:r>
      <w:bookmarkEnd w:id="343"/>
      <w:bookmarkEnd w:id="344"/>
      <w:bookmarkEnd w:id="345"/>
      <w:bookmarkEnd w:id="346"/>
      <w:bookmarkEnd w:id="347"/>
      <w:bookmarkEnd w:id="348"/>
      <w:r w:rsidRPr="006C0EF8">
        <w:fldChar w:fldCharType="begin"/>
      </w:r>
      <w:r w:rsidRPr="004F1CD5">
        <w:instrText xml:space="preserve"> XE "</w:instrText>
      </w:r>
      <w:r w:rsidRPr="006C0EF8">
        <w:instrText>ARP</w:instrText>
      </w:r>
      <w:r w:rsidRPr="004F1CD5">
        <w:instrText xml:space="preserve">" </w:instrText>
      </w:r>
      <w:r w:rsidRPr="006C0EF8">
        <w:fldChar w:fldCharType="end"/>
      </w:r>
    </w:p>
    <w:p w14:paraId="39862224" w14:textId="77777777" w:rsidR="00D80693" w:rsidRPr="004F1CD5" w:rsidRDefault="00D80693" w:rsidP="00735D3E">
      <w:pPr>
        <w:spacing w:before="120"/>
        <w:jc w:val="both"/>
        <w:rPr>
          <w:rFonts w:eastAsia="Calibri"/>
          <w:color w:val="000000"/>
          <w:sz w:val="24"/>
          <w:szCs w:val="24"/>
        </w:rPr>
      </w:pPr>
      <w:r w:rsidRPr="004F1CD5">
        <w:rPr>
          <w:rFonts w:eastAsiaTheme="minorHAnsi"/>
          <w:color w:val="000000"/>
          <w:sz w:val="24"/>
          <w:szCs w:val="24"/>
        </w:rPr>
        <w:t>S’appuyant sur la CRP</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CRP</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de Lipman (20</w:t>
      </w:r>
      <w:r>
        <w:rPr>
          <w:rFonts w:eastAsiaTheme="minorHAnsi"/>
          <w:color w:val="000000"/>
          <w:sz w:val="24"/>
          <w:szCs w:val="24"/>
        </w:rPr>
        <w:t>06) et de la DVPD de Tozzi (2018</w:t>
      </w:r>
      <w:r w:rsidRPr="004F1CD5">
        <w:rPr>
          <w:rFonts w:eastAsiaTheme="minorHAnsi"/>
          <w:color w:val="000000"/>
          <w:sz w:val="24"/>
          <w:szCs w:val="24"/>
        </w:rPr>
        <w:t>) pour élaborer l’ARP</w:t>
      </w:r>
      <w:r>
        <w:rPr>
          <w:color w:val="000000"/>
          <w:sz w:val="24"/>
          <w:szCs w:val="24"/>
        </w:rPr>
        <w:fldChar w:fldCharType="begin"/>
      </w:r>
      <w:r w:rsidRPr="004F1CD5">
        <w:rPr>
          <w:rFonts w:eastAsiaTheme="minorHAnsi"/>
          <w:sz w:val="24"/>
          <w:szCs w:val="24"/>
        </w:rPr>
        <w:instrText xml:space="preserve"> XE "ARP" </w:instrText>
      </w:r>
      <w:r>
        <w:rPr>
          <w:color w:val="000000"/>
          <w:sz w:val="24"/>
          <w:szCs w:val="24"/>
        </w:rPr>
        <w:fldChar w:fldCharType="end"/>
      </w:r>
      <w:r w:rsidRPr="004F1CD5">
        <w:rPr>
          <w:rFonts w:eastAsiaTheme="minorHAnsi"/>
          <w:color w:val="000000"/>
          <w:sz w:val="24"/>
          <w:szCs w:val="24"/>
        </w:rPr>
        <w:t xml:space="preserve"> comme méthode dans l’apprentissage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apprentissage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du philosopher</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philosopher</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avec les enfants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w:t>
      </w:r>
      <w:proofErr w:type="spellStart"/>
      <w:r w:rsidRPr="004F1CD5">
        <w:rPr>
          <w:rFonts w:eastAsiaTheme="minorHAnsi"/>
          <w:color w:val="000000"/>
          <w:sz w:val="24"/>
          <w:szCs w:val="24"/>
        </w:rPr>
        <w:t>Chirouter</w:t>
      </w:r>
      <w:proofErr w:type="spellEnd"/>
      <w:r w:rsidRPr="004F1CD5">
        <w:rPr>
          <w:rFonts w:eastAsiaTheme="minorHAnsi"/>
          <w:color w:val="000000"/>
          <w:sz w:val="24"/>
          <w:szCs w:val="24"/>
        </w:rPr>
        <w:t xml:space="preserve"> (2008) est ouverte aux méthodes</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i/>
          <w:sz w:val="24"/>
          <w:szCs w:val="24"/>
        </w:rPr>
        <w:instrText>méthodes</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et techniques spécifiques telles que : </w:t>
      </w:r>
      <w:r w:rsidRPr="004F1CD5">
        <w:rPr>
          <w:rFonts w:eastAsiaTheme="minorHAnsi"/>
          <w:sz w:val="24"/>
          <w:szCs w:val="24"/>
        </w:rPr>
        <w:t>la méthode socratique avec sa technique</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technique</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le questionnement</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questionnement</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et la méthode </w:t>
      </w:r>
      <w:r w:rsidRPr="004F1CD5">
        <w:rPr>
          <w:rFonts w:eastAsiaTheme="minorHAnsi"/>
          <w:color w:val="000000"/>
          <w:sz w:val="24"/>
          <w:szCs w:val="24"/>
        </w:rPr>
        <w:t>critique</w:t>
      </w:r>
      <w:r>
        <w:rPr>
          <w:color w:val="000000"/>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critique</w:instrText>
      </w:r>
      <w:r w:rsidRPr="004F1CD5">
        <w:rPr>
          <w:rFonts w:eastAsiaTheme="minorHAnsi"/>
          <w:sz w:val="24"/>
          <w:szCs w:val="24"/>
        </w:rPr>
        <w:instrText xml:space="preserve">" </w:instrText>
      </w:r>
      <w:r>
        <w:rPr>
          <w:color w:val="000000"/>
          <w:sz w:val="24"/>
          <w:szCs w:val="24"/>
        </w:rPr>
        <w:fldChar w:fldCharType="end"/>
      </w:r>
      <w:r w:rsidRPr="004F1CD5">
        <w:rPr>
          <w:rFonts w:eastAsiaTheme="minorHAnsi"/>
          <w:color w:val="000000"/>
          <w:sz w:val="24"/>
          <w:szCs w:val="24"/>
        </w:rPr>
        <w:t xml:space="preserve"> </w:t>
      </w:r>
      <w:r w:rsidRPr="004F1CD5">
        <w:rPr>
          <w:rFonts w:eastAsiaTheme="minorHAnsi"/>
          <w:sz w:val="24"/>
          <w:szCs w:val="24"/>
        </w:rPr>
        <w:t xml:space="preserve">ou </w:t>
      </w:r>
      <w:r w:rsidRPr="004F1CD5">
        <w:rPr>
          <w:rFonts w:eastAsiaTheme="minorHAnsi"/>
          <w:color w:val="000000"/>
          <w:sz w:val="24"/>
          <w:szCs w:val="24"/>
        </w:rPr>
        <w:t xml:space="preserve">méthode d’essai-erreur avec sa technique </w:t>
      </w:r>
      <w:r w:rsidRPr="004F1CD5">
        <w:rPr>
          <w:rFonts w:eastAsiaTheme="minorHAnsi"/>
          <w:sz w:val="24"/>
          <w:szCs w:val="24"/>
        </w:rPr>
        <w:t>le débat</w:t>
      </w:r>
      <w:r>
        <w:rPr>
          <w:sz w:val="24"/>
          <w:szCs w:val="24"/>
        </w:rPr>
        <w:fldChar w:fldCharType="begin"/>
      </w:r>
      <w:r w:rsidRPr="004F1CD5">
        <w:rPr>
          <w:rFonts w:eastAsiaTheme="minorHAnsi"/>
          <w:sz w:val="24"/>
          <w:szCs w:val="24"/>
        </w:rPr>
        <w:instrText xml:space="preserve"> XE "débat" </w:instrText>
      </w:r>
      <w:r>
        <w:rPr>
          <w:sz w:val="24"/>
          <w:szCs w:val="24"/>
        </w:rPr>
        <w:fldChar w:fldCharType="end"/>
      </w:r>
      <w:r w:rsidRPr="004F1CD5">
        <w:rPr>
          <w:rFonts w:eastAsiaTheme="minorHAnsi"/>
          <w:sz w:val="24"/>
          <w:szCs w:val="24"/>
        </w:rPr>
        <w:t xml:space="preserve"> ou la discussion</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discussion</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réflexive</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réflexive</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et critique (</w:t>
      </w:r>
      <w:proofErr w:type="spellStart"/>
      <w:r w:rsidRPr="004F1CD5">
        <w:rPr>
          <w:rFonts w:eastAsiaTheme="minorHAnsi"/>
          <w:sz w:val="24"/>
          <w:szCs w:val="24"/>
        </w:rPr>
        <w:t>Chirouter</w:t>
      </w:r>
      <w:proofErr w:type="spellEnd"/>
      <w:r w:rsidRPr="004F1CD5">
        <w:rPr>
          <w:rFonts w:eastAsiaTheme="minorHAnsi"/>
          <w:sz w:val="24"/>
          <w:szCs w:val="24"/>
        </w:rPr>
        <w:t xml:space="preserve">, 2007). </w:t>
      </w:r>
    </w:p>
    <w:p w14:paraId="69D89E62" w14:textId="77777777" w:rsidR="00D80693" w:rsidRPr="004F1CD5" w:rsidRDefault="00D80693" w:rsidP="00735D3E">
      <w:pPr>
        <w:spacing w:before="120"/>
        <w:jc w:val="both"/>
        <w:rPr>
          <w:rFonts w:eastAsia="Calibri"/>
          <w:color w:val="000000"/>
          <w:sz w:val="24"/>
          <w:szCs w:val="24"/>
        </w:rPr>
      </w:pPr>
      <w:r w:rsidRPr="004F1CD5">
        <w:rPr>
          <w:rFonts w:eastAsiaTheme="minorHAnsi"/>
          <w:sz w:val="24"/>
          <w:szCs w:val="24"/>
        </w:rPr>
        <w:t>La « mise en réseau</w:t>
      </w:r>
      <w:r>
        <w:rPr>
          <w:sz w:val="24"/>
          <w:szCs w:val="24"/>
        </w:rPr>
        <w:fldChar w:fldCharType="begin"/>
      </w:r>
      <w:r w:rsidRPr="004F1CD5">
        <w:rPr>
          <w:rFonts w:eastAsiaTheme="minorHAnsi"/>
          <w:sz w:val="24"/>
          <w:szCs w:val="24"/>
        </w:rPr>
        <w:instrText xml:space="preserve"> XE "mise en réseau" </w:instrText>
      </w:r>
      <w:r>
        <w:rPr>
          <w:sz w:val="24"/>
          <w:szCs w:val="24"/>
        </w:rPr>
        <w:fldChar w:fldCharType="end"/>
      </w:r>
      <w:r w:rsidRPr="004F1CD5">
        <w:rPr>
          <w:rFonts w:eastAsiaTheme="minorHAnsi"/>
          <w:sz w:val="24"/>
          <w:szCs w:val="24"/>
        </w:rPr>
        <w:t> » est une autre méthode spécifique de l’ARP</w:t>
      </w:r>
      <w:r>
        <w:rPr>
          <w:sz w:val="24"/>
          <w:szCs w:val="24"/>
        </w:rPr>
        <w:fldChar w:fldCharType="begin"/>
      </w:r>
      <w:r w:rsidRPr="004F1CD5">
        <w:rPr>
          <w:rFonts w:eastAsiaTheme="minorHAnsi"/>
          <w:sz w:val="24"/>
          <w:szCs w:val="24"/>
        </w:rPr>
        <w:instrText xml:space="preserve"> XE "ARP" </w:instrText>
      </w:r>
      <w:r>
        <w:rPr>
          <w:sz w:val="24"/>
          <w:szCs w:val="24"/>
        </w:rPr>
        <w:fldChar w:fldCharType="end"/>
      </w:r>
      <w:r w:rsidRPr="004F1CD5">
        <w:rPr>
          <w:rFonts w:eastAsiaTheme="minorHAnsi"/>
          <w:sz w:val="24"/>
          <w:szCs w:val="24"/>
        </w:rPr>
        <w:t xml:space="preserve"> que théorise </w:t>
      </w:r>
      <w:proofErr w:type="spellStart"/>
      <w:r w:rsidRPr="004F1CD5">
        <w:rPr>
          <w:rFonts w:eastAsiaTheme="minorHAnsi"/>
          <w:sz w:val="24"/>
          <w:szCs w:val="24"/>
        </w:rPr>
        <w:t>Chirouter</w:t>
      </w:r>
      <w:proofErr w:type="spellEnd"/>
      <w:r w:rsidRPr="004F1CD5">
        <w:rPr>
          <w:rFonts w:eastAsiaTheme="minorHAnsi"/>
          <w:sz w:val="24"/>
          <w:szCs w:val="24"/>
        </w:rPr>
        <w:t xml:space="preserve"> (2007) : elle établit une connexion entre l’album ou la littérature de jeunesse</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jeunesse</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(qui est le poste central), l’environnement</w:t>
      </w:r>
      <w:r>
        <w:rPr>
          <w:sz w:val="24"/>
          <w:szCs w:val="24"/>
        </w:rPr>
        <w:fldChar w:fldCharType="begin"/>
      </w:r>
      <w:r w:rsidRPr="004F1CD5">
        <w:rPr>
          <w:rFonts w:eastAsiaTheme="minorHAnsi"/>
          <w:sz w:val="24"/>
          <w:szCs w:val="24"/>
        </w:rPr>
        <w:instrText xml:space="preserve"> XE "environnement" </w:instrText>
      </w:r>
      <w:r>
        <w:rPr>
          <w:sz w:val="24"/>
          <w:szCs w:val="24"/>
        </w:rPr>
        <w:fldChar w:fldCharType="end"/>
      </w:r>
      <w:r w:rsidRPr="004F1CD5">
        <w:rPr>
          <w:rFonts w:eastAsiaTheme="minorHAnsi"/>
          <w:sz w:val="24"/>
          <w:szCs w:val="24"/>
        </w:rPr>
        <w:t xml:space="preserve"> (la classe), et les acteurs</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acteurs</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en présences (l’enseignant et les apprenants</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apprenants</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xml:space="preserve">). </w:t>
      </w:r>
      <w:r>
        <w:rPr>
          <w:rFonts w:eastAsiaTheme="minorHAnsi"/>
          <w:sz w:val="24"/>
          <w:szCs w:val="24"/>
        </w:rPr>
        <w:t xml:space="preserve">La « mise en réseau » a </w:t>
      </w:r>
      <w:r w:rsidRPr="004F1CD5">
        <w:rPr>
          <w:rFonts w:eastAsiaTheme="minorHAnsi"/>
          <w:sz w:val="24"/>
          <w:szCs w:val="24"/>
        </w:rPr>
        <w:t>pour rôle d’enrichir la classe en outils culturels : avec plusieurs auteurs (et pensées), une pluralité d’illustrations montrant divers rapports au monde ou mode de pensées, parfois contradictoire (</w:t>
      </w:r>
      <w:proofErr w:type="spellStart"/>
      <w:r w:rsidRPr="004F1CD5">
        <w:rPr>
          <w:rFonts w:eastAsiaTheme="minorHAnsi"/>
          <w:sz w:val="24"/>
          <w:szCs w:val="24"/>
        </w:rPr>
        <w:t>Chirouter</w:t>
      </w:r>
      <w:proofErr w:type="spellEnd"/>
      <w:r w:rsidRPr="004F1CD5">
        <w:rPr>
          <w:rFonts w:eastAsiaTheme="minorHAnsi"/>
          <w:sz w:val="24"/>
          <w:szCs w:val="24"/>
        </w:rPr>
        <w:t>, 2015, p. 59).</w:t>
      </w:r>
    </w:p>
    <w:p w14:paraId="3641179A" w14:textId="77777777" w:rsidR="00D80693" w:rsidRPr="004F1CD5" w:rsidRDefault="00D80693" w:rsidP="00735D3E">
      <w:pPr>
        <w:pStyle w:val="Paragraphedeliste"/>
        <w:widowControl/>
        <w:numPr>
          <w:ilvl w:val="1"/>
          <w:numId w:val="195"/>
        </w:numPr>
        <w:autoSpaceDE/>
        <w:autoSpaceDN/>
        <w:spacing w:after="160"/>
        <w:rPr>
          <w:rFonts w:eastAsia="Calibri"/>
          <w:b/>
          <w:sz w:val="24"/>
          <w:szCs w:val="24"/>
        </w:rPr>
      </w:pPr>
      <w:r w:rsidRPr="004F1CD5">
        <w:rPr>
          <w:rFonts w:eastAsiaTheme="minorHAnsi"/>
          <w:b/>
          <w:sz w:val="24"/>
          <w:szCs w:val="24"/>
        </w:rPr>
        <w:t xml:space="preserve"> L’image et le </w:t>
      </w:r>
      <w:proofErr w:type="spellStart"/>
      <w:r>
        <w:rPr>
          <w:rFonts w:eastAsiaTheme="minorHAnsi"/>
          <w:b/>
          <w:sz w:val="24"/>
          <w:szCs w:val="24"/>
        </w:rPr>
        <w:t>ludo</w:t>
      </w:r>
      <w:proofErr w:type="spellEnd"/>
      <w:r>
        <w:rPr>
          <w:rFonts w:eastAsiaTheme="minorHAnsi"/>
          <w:b/>
          <w:sz w:val="24"/>
          <w:szCs w:val="24"/>
        </w:rPr>
        <w:t>-philosopher</w:t>
      </w:r>
      <w:r w:rsidRPr="004F1CD5">
        <w:rPr>
          <w:rFonts w:eastAsiaTheme="minorHAnsi"/>
          <w:b/>
          <w:sz w:val="24"/>
          <w:szCs w:val="24"/>
        </w:rPr>
        <w:t xml:space="preserve"> dans le philosopher avec les enfants</w:t>
      </w:r>
    </w:p>
    <w:p w14:paraId="7A334E67" w14:textId="77777777" w:rsidR="00D80693" w:rsidRDefault="00D80693" w:rsidP="00735D3E">
      <w:pPr>
        <w:spacing w:before="120"/>
        <w:jc w:val="both"/>
        <w:rPr>
          <w:rFonts w:eastAsia="Calibri"/>
          <w:sz w:val="24"/>
          <w:szCs w:val="24"/>
        </w:rPr>
      </w:pPr>
      <w:r w:rsidRPr="004F1CD5">
        <w:rPr>
          <w:rFonts w:eastAsiaTheme="minorHAnsi"/>
          <w:sz w:val="24"/>
          <w:szCs w:val="24"/>
        </w:rPr>
        <w:t xml:space="preserve">L’image est pensée comme support à la réflexion philosophique et le </w:t>
      </w:r>
      <w:proofErr w:type="spellStart"/>
      <w:r>
        <w:rPr>
          <w:rFonts w:eastAsiaTheme="minorHAnsi"/>
          <w:sz w:val="24"/>
          <w:szCs w:val="24"/>
        </w:rPr>
        <w:t>ludo</w:t>
      </w:r>
      <w:proofErr w:type="spellEnd"/>
      <w:r>
        <w:rPr>
          <w:rFonts w:eastAsiaTheme="minorHAnsi"/>
          <w:sz w:val="24"/>
          <w:szCs w:val="24"/>
        </w:rPr>
        <w:t>-philosopher</w:t>
      </w:r>
      <w:r w:rsidRPr="004F1CD5">
        <w:rPr>
          <w:rFonts w:eastAsiaTheme="minorHAnsi"/>
          <w:sz w:val="24"/>
          <w:szCs w:val="24"/>
        </w:rPr>
        <w:t xml:space="preserve"> est utilisé comme moyen pour rendre souple l’exercice de réflexion critique. </w:t>
      </w:r>
    </w:p>
    <w:p w14:paraId="1D53AEFF" w14:textId="77777777" w:rsidR="00D80693" w:rsidRPr="00155566" w:rsidRDefault="00D80693" w:rsidP="00735D3E">
      <w:pPr>
        <w:pStyle w:val="Paragraphedeliste"/>
        <w:widowControl/>
        <w:numPr>
          <w:ilvl w:val="2"/>
          <w:numId w:val="195"/>
        </w:numPr>
        <w:autoSpaceDE/>
        <w:autoSpaceDN/>
        <w:spacing w:after="160"/>
        <w:rPr>
          <w:rFonts w:eastAsia="Calibri"/>
          <w:b/>
          <w:i/>
          <w:sz w:val="24"/>
          <w:szCs w:val="24"/>
        </w:rPr>
      </w:pPr>
      <w:r w:rsidRPr="00155566">
        <w:rPr>
          <w:rFonts w:eastAsiaTheme="minorHAnsi"/>
          <w:b/>
          <w:i/>
          <w:sz w:val="24"/>
          <w:szCs w:val="24"/>
        </w:rPr>
        <w:t>L’image et ses fonctions dans le d</w:t>
      </w:r>
      <w:r>
        <w:rPr>
          <w:rFonts w:eastAsiaTheme="minorHAnsi"/>
          <w:b/>
          <w:i/>
          <w:sz w:val="24"/>
          <w:szCs w:val="24"/>
        </w:rPr>
        <w:t>éveloppement des habiletés de</w:t>
      </w:r>
      <w:r w:rsidRPr="00155566">
        <w:rPr>
          <w:rFonts w:eastAsiaTheme="minorHAnsi"/>
          <w:b/>
          <w:i/>
          <w:sz w:val="24"/>
          <w:szCs w:val="24"/>
        </w:rPr>
        <w:t xml:space="preserve"> pensée</w:t>
      </w:r>
    </w:p>
    <w:p w14:paraId="2E6D1D91" w14:textId="77777777" w:rsidR="00D80693" w:rsidRPr="004F1CD5" w:rsidRDefault="00D80693" w:rsidP="00735D3E">
      <w:pPr>
        <w:spacing w:before="120"/>
        <w:jc w:val="both"/>
        <w:rPr>
          <w:rFonts w:eastAsia="Calibri"/>
          <w:sz w:val="24"/>
          <w:szCs w:val="24"/>
        </w:rPr>
      </w:pPr>
      <w:r w:rsidRPr="004F1CD5">
        <w:rPr>
          <w:rFonts w:eastAsiaTheme="minorHAnsi"/>
          <w:sz w:val="24"/>
          <w:szCs w:val="24"/>
        </w:rPr>
        <w:t>Loin de la thèse platonicienne et même bachelardienne qui considèrent l’image comme un obstacle épistémologique, il est démontré par certaines philosophies de l’image, à l’instar de Ricœur (1975), H</w:t>
      </w:r>
      <w:r>
        <w:rPr>
          <w:rFonts w:eastAsiaTheme="minorHAnsi"/>
          <w:sz w:val="24"/>
          <w:szCs w:val="24"/>
        </w:rPr>
        <w:t>ume (2002</w:t>
      </w:r>
      <w:r w:rsidRPr="004F1CD5">
        <w:rPr>
          <w:rFonts w:eastAsiaTheme="minorHAnsi"/>
          <w:sz w:val="24"/>
          <w:szCs w:val="24"/>
        </w:rPr>
        <w:t xml:space="preserve">), Sartre (1986), etc., que l’usage de l’image facilite l’initiation à la pensé réflexive. Les images en ses différents formats (vidéos animées, dessins, illustrations, etc.) stimulent la curiosité, favorisant la conceptualisation et permettent aux enfants d’entrer dans des discussions philosophiques démocratiques. De manière spécifique, sur la base des philosophies de l’image (Humienne, Hégélienne, </w:t>
      </w:r>
      <w:proofErr w:type="spellStart"/>
      <w:r w:rsidRPr="004F1CD5">
        <w:rPr>
          <w:rFonts w:eastAsiaTheme="minorHAnsi"/>
          <w:sz w:val="24"/>
          <w:szCs w:val="24"/>
        </w:rPr>
        <w:t>Ricœurienne</w:t>
      </w:r>
      <w:proofErr w:type="spellEnd"/>
      <w:r w:rsidRPr="004F1CD5">
        <w:rPr>
          <w:rFonts w:eastAsiaTheme="minorHAnsi"/>
          <w:sz w:val="24"/>
          <w:szCs w:val="24"/>
        </w:rPr>
        <w:t xml:space="preserve">, Sartrienne, etc.), on peut identifier des fonctions propres de l’image qui jouent un rôle déterminant dans le développement des micro-habiletés de la pensée réflexive chez l’enfant : </w:t>
      </w:r>
    </w:p>
    <w:p w14:paraId="2B140E9B" w14:textId="77777777" w:rsidR="00D80693" w:rsidRPr="004F1CD5" w:rsidRDefault="00D80693" w:rsidP="00735D3E">
      <w:pPr>
        <w:pStyle w:val="Paragraphedeliste"/>
        <w:widowControl/>
        <w:numPr>
          <w:ilvl w:val="0"/>
          <w:numId w:val="197"/>
        </w:numPr>
        <w:autoSpaceDE/>
        <w:autoSpaceDN/>
        <w:spacing w:after="160"/>
        <w:rPr>
          <w:rFonts w:eastAsia="Calibri"/>
          <w:sz w:val="24"/>
          <w:szCs w:val="24"/>
        </w:rPr>
      </w:pPr>
      <w:r w:rsidRPr="004F1CD5">
        <w:rPr>
          <w:rFonts w:eastAsiaTheme="minorHAnsi"/>
          <w:b/>
          <w:sz w:val="24"/>
          <w:szCs w:val="24"/>
        </w:rPr>
        <w:t xml:space="preserve">La fonction d’illustration en image : </w:t>
      </w:r>
      <w:r w:rsidRPr="004F1CD5">
        <w:rPr>
          <w:rFonts w:eastAsiaTheme="minorHAnsi"/>
          <w:sz w:val="24"/>
          <w:szCs w:val="24"/>
        </w:rPr>
        <w:t>permet de passer de l’idée à l’image pour donner un exemple, soutenant l’argumentation via exemples ou contre-exemples (Hume, 2002 ; Hegel, 1941).</w:t>
      </w:r>
    </w:p>
    <w:p w14:paraId="3B811C5D" w14:textId="77777777" w:rsidR="00D80693" w:rsidRPr="004F1CD5" w:rsidRDefault="00D80693" w:rsidP="00735D3E">
      <w:pPr>
        <w:pStyle w:val="Paragraphedeliste"/>
        <w:widowControl/>
        <w:numPr>
          <w:ilvl w:val="0"/>
          <w:numId w:val="197"/>
        </w:numPr>
        <w:autoSpaceDE/>
        <w:autoSpaceDN/>
        <w:spacing w:after="160"/>
        <w:rPr>
          <w:rFonts w:eastAsia="Calibri"/>
          <w:sz w:val="24"/>
          <w:szCs w:val="24"/>
        </w:rPr>
      </w:pPr>
      <w:r w:rsidRPr="004F1CD5">
        <w:rPr>
          <w:rFonts w:eastAsiaTheme="minorHAnsi"/>
          <w:b/>
          <w:sz w:val="24"/>
          <w:szCs w:val="24"/>
        </w:rPr>
        <w:t>La fonction de corrélation métaphorique ou allégorique :</w:t>
      </w:r>
      <w:r w:rsidRPr="004F1CD5">
        <w:rPr>
          <w:rFonts w:eastAsiaTheme="minorHAnsi"/>
          <w:sz w:val="24"/>
          <w:szCs w:val="24"/>
        </w:rPr>
        <w:t xml:space="preserve"> favorise le raisonnement analogique, permettant à l’enfant de mettre en image ses idées par métaphores (Ricœur, 1975).  </w:t>
      </w:r>
    </w:p>
    <w:p w14:paraId="6329DD45" w14:textId="77777777" w:rsidR="00D80693" w:rsidRPr="004F1CD5" w:rsidRDefault="00D80693" w:rsidP="00735D3E">
      <w:pPr>
        <w:pStyle w:val="Paragraphedeliste"/>
        <w:widowControl/>
        <w:numPr>
          <w:ilvl w:val="0"/>
          <w:numId w:val="197"/>
        </w:numPr>
        <w:autoSpaceDE/>
        <w:autoSpaceDN/>
        <w:spacing w:after="160"/>
        <w:rPr>
          <w:rFonts w:eastAsia="Calibri"/>
          <w:sz w:val="24"/>
          <w:szCs w:val="24"/>
        </w:rPr>
      </w:pPr>
      <w:r w:rsidRPr="004F1CD5">
        <w:rPr>
          <w:rFonts w:eastAsiaTheme="minorHAnsi"/>
          <w:b/>
          <w:sz w:val="24"/>
          <w:szCs w:val="24"/>
        </w:rPr>
        <w:t>La fonction d’assertion imageante :</w:t>
      </w:r>
      <w:r w:rsidRPr="004F1CD5">
        <w:rPr>
          <w:rFonts w:eastAsiaTheme="minorHAnsi"/>
          <w:sz w:val="24"/>
          <w:szCs w:val="24"/>
        </w:rPr>
        <w:t xml:space="preserve"> affirme les caractéristiques d’un concept via des éléments idéatifs symbolisés, soutenant la conceptualisation (Sartre, 1986).</w:t>
      </w:r>
    </w:p>
    <w:p w14:paraId="581A96D4" w14:textId="77777777" w:rsidR="00D80693" w:rsidRPr="004F1CD5" w:rsidRDefault="00D80693" w:rsidP="00735D3E">
      <w:pPr>
        <w:pStyle w:val="Paragraphedeliste"/>
        <w:widowControl/>
        <w:numPr>
          <w:ilvl w:val="0"/>
          <w:numId w:val="197"/>
        </w:numPr>
        <w:autoSpaceDE/>
        <w:autoSpaceDN/>
        <w:spacing w:after="160"/>
        <w:rPr>
          <w:rFonts w:eastAsia="Calibri"/>
          <w:sz w:val="24"/>
          <w:szCs w:val="24"/>
        </w:rPr>
      </w:pPr>
      <w:r w:rsidRPr="004F1CD5">
        <w:rPr>
          <w:rFonts w:eastAsiaTheme="minorHAnsi"/>
          <w:b/>
          <w:sz w:val="24"/>
          <w:szCs w:val="24"/>
        </w:rPr>
        <w:t xml:space="preserve">La fonction de formalisation de l’objet d’apprentissage : </w:t>
      </w:r>
      <w:r w:rsidRPr="004F1CD5">
        <w:rPr>
          <w:rFonts w:eastAsiaTheme="minorHAnsi"/>
          <w:sz w:val="24"/>
          <w:szCs w:val="24"/>
        </w:rPr>
        <w:t xml:space="preserve">synthétise les idées exposées dans le débat, facilitant la formalisation via des schémas heuristiques ou </w:t>
      </w:r>
      <w:proofErr w:type="spellStart"/>
      <w:r w:rsidRPr="004F1CD5">
        <w:rPr>
          <w:rFonts w:eastAsiaTheme="minorHAnsi"/>
          <w:sz w:val="24"/>
          <w:szCs w:val="24"/>
        </w:rPr>
        <w:t>mind-mappings</w:t>
      </w:r>
      <w:proofErr w:type="spellEnd"/>
      <w:r w:rsidRPr="004F1CD5">
        <w:rPr>
          <w:rFonts w:eastAsiaTheme="minorHAnsi"/>
          <w:sz w:val="24"/>
          <w:szCs w:val="24"/>
        </w:rPr>
        <w:t xml:space="preserve"> (Piaget, 1959 ; Wallon et Lurçat, 1957 ; Pierce, 1978).</w:t>
      </w:r>
    </w:p>
    <w:p w14:paraId="0F191909" w14:textId="77777777" w:rsidR="00D80693" w:rsidRPr="004F1CD5" w:rsidRDefault="00D80693" w:rsidP="00735D3E">
      <w:pPr>
        <w:spacing w:before="120"/>
        <w:jc w:val="both"/>
        <w:rPr>
          <w:rFonts w:eastAsia="Calibri"/>
          <w:sz w:val="24"/>
          <w:szCs w:val="24"/>
        </w:rPr>
      </w:pPr>
      <w:r w:rsidRPr="004F1CD5">
        <w:rPr>
          <w:rFonts w:eastAsiaTheme="minorHAnsi"/>
          <w:sz w:val="24"/>
          <w:szCs w:val="24"/>
        </w:rPr>
        <w:t>Ainsi, les images structurent la réflexion, enrichissent l’argumentation et participent à la conceptualisation et formalisation des idées, rendant l’apprentissage philosophique avec les enfants concret et efficace.</w:t>
      </w:r>
    </w:p>
    <w:p w14:paraId="50E235D3" w14:textId="77777777" w:rsidR="00D80693" w:rsidRPr="00155566" w:rsidRDefault="00D80693" w:rsidP="00735D3E">
      <w:pPr>
        <w:spacing w:before="120"/>
        <w:rPr>
          <w:b/>
          <w:iCs/>
          <w:color w:val="0D0D0D"/>
          <w:sz w:val="24"/>
          <w:szCs w:val="24"/>
          <w:lang w:eastAsia="fr-FR"/>
        </w:rPr>
      </w:pPr>
      <w:r>
        <w:rPr>
          <w:b/>
          <w:iCs/>
          <w:color w:val="0D0D0D"/>
          <w:sz w:val="24"/>
          <w:szCs w:val="24"/>
          <w:lang w:eastAsia="fr-FR"/>
        </w:rPr>
        <w:t xml:space="preserve">1.1.2. </w:t>
      </w:r>
      <w:r w:rsidRPr="00155566">
        <w:rPr>
          <w:b/>
          <w:iCs/>
          <w:color w:val="0D0D0D"/>
          <w:sz w:val="24"/>
          <w:szCs w:val="24"/>
          <w:lang w:eastAsia="fr-FR"/>
        </w:rPr>
        <w:t>L’approche</w:t>
      </w:r>
      <w:r>
        <w:rPr>
          <w:b/>
          <w:iCs/>
          <w:color w:val="0D0D0D"/>
          <w:sz w:val="24"/>
          <w:szCs w:val="24"/>
          <w:lang w:eastAsia="fr-FR"/>
        </w:rPr>
        <w:fldChar w:fldCharType="begin"/>
      </w:r>
      <w:r w:rsidRPr="00155566">
        <w:rPr>
          <w:b/>
          <w:iCs/>
          <w:color w:val="0D0D0D"/>
          <w:sz w:val="24"/>
          <w:szCs w:val="24"/>
          <w:lang w:eastAsia="fr-FR"/>
        </w:rPr>
        <w:instrText xml:space="preserve"> XE "</w:instrText>
      </w:r>
      <w:r w:rsidRPr="00155566">
        <w:rPr>
          <w:rFonts w:eastAsia="Calibri"/>
          <w:b/>
          <w:iCs/>
          <w:color w:val="000000"/>
          <w:sz w:val="24"/>
          <w:szCs w:val="24"/>
          <w:lang w:eastAsia="fr-FR"/>
        </w:rPr>
        <w:instrText>approche</w:instrText>
      </w:r>
      <w:r w:rsidRPr="00155566">
        <w:rPr>
          <w:b/>
          <w:iCs/>
          <w:color w:val="0D0D0D"/>
          <w:sz w:val="24"/>
          <w:szCs w:val="24"/>
          <w:lang w:eastAsia="fr-FR"/>
        </w:rPr>
        <w:instrText xml:space="preserve">" </w:instrText>
      </w:r>
      <w:r>
        <w:rPr>
          <w:b/>
          <w:iCs/>
          <w:color w:val="0D0D0D"/>
          <w:sz w:val="24"/>
          <w:szCs w:val="24"/>
          <w:lang w:eastAsia="fr-FR"/>
        </w:rPr>
        <w:fldChar w:fldCharType="end"/>
      </w:r>
      <w:r w:rsidRPr="00155566">
        <w:rPr>
          <w:b/>
          <w:iCs/>
          <w:color w:val="0D0D0D"/>
          <w:sz w:val="24"/>
          <w:szCs w:val="24"/>
          <w:lang w:eastAsia="fr-FR"/>
        </w:rPr>
        <w:t xml:space="preserve"> du </w:t>
      </w:r>
      <w:proofErr w:type="spellStart"/>
      <w:r w:rsidRPr="00155566">
        <w:rPr>
          <w:b/>
          <w:iCs/>
          <w:color w:val="0D0D0D"/>
          <w:sz w:val="24"/>
          <w:szCs w:val="24"/>
          <w:lang w:eastAsia="fr-FR"/>
        </w:rPr>
        <w:t>ludo</w:t>
      </w:r>
      <w:proofErr w:type="spellEnd"/>
      <w:r w:rsidRPr="00155566">
        <w:rPr>
          <w:b/>
          <w:iCs/>
          <w:color w:val="0D0D0D"/>
          <w:sz w:val="24"/>
          <w:szCs w:val="24"/>
          <w:lang w:eastAsia="fr-FR"/>
        </w:rPr>
        <w:t>-philosopher</w:t>
      </w:r>
      <w:r>
        <w:rPr>
          <w:b/>
          <w:iCs/>
          <w:color w:val="0D0D0D"/>
          <w:sz w:val="24"/>
          <w:szCs w:val="24"/>
          <w:lang w:eastAsia="fr-FR"/>
        </w:rPr>
        <w:fldChar w:fldCharType="begin"/>
      </w:r>
      <w:r w:rsidRPr="00155566">
        <w:rPr>
          <w:b/>
          <w:iCs/>
          <w:color w:val="0D0D0D"/>
          <w:sz w:val="24"/>
          <w:szCs w:val="24"/>
          <w:lang w:eastAsia="fr-FR"/>
        </w:rPr>
        <w:instrText xml:space="preserve"> XE "</w:instrText>
      </w:r>
      <w:r w:rsidRPr="00155566">
        <w:rPr>
          <w:rFonts w:eastAsia="Calibri"/>
          <w:b/>
          <w:iCs/>
          <w:color w:val="0D0D0D"/>
          <w:sz w:val="24"/>
          <w:szCs w:val="24"/>
          <w:lang w:eastAsia="fr-FR"/>
        </w:rPr>
        <w:instrText>ludo-philosopher</w:instrText>
      </w:r>
      <w:r w:rsidRPr="00155566">
        <w:rPr>
          <w:b/>
          <w:iCs/>
          <w:color w:val="0D0D0D"/>
          <w:sz w:val="24"/>
          <w:szCs w:val="24"/>
          <w:lang w:eastAsia="fr-FR"/>
        </w:rPr>
        <w:instrText xml:space="preserve">" </w:instrText>
      </w:r>
      <w:r>
        <w:rPr>
          <w:b/>
          <w:iCs/>
          <w:color w:val="0D0D0D"/>
          <w:sz w:val="24"/>
          <w:szCs w:val="24"/>
          <w:lang w:eastAsia="fr-FR"/>
        </w:rPr>
        <w:fldChar w:fldCharType="end"/>
      </w:r>
      <w:r w:rsidRPr="00155566">
        <w:rPr>
          <w:b/>
          <w:iCs/>
          <w:color w:val="0D0D0D"/>
          <w:sz w:val="24"/>
          <w:szCs w:val="24"/>
          <w:lang w:eastAsia="fr-FR"/>
        </w:rPr>
        <w:t xml:space="preserve"> en atelier philo avec les enfants </w:t>
      </w:r>
    </w:p>
    <w:p w14:paraId="1137CB67" w14:textId="77777777" w:rsidR="00D80693" w:rsidRPr="004F1CD5" w:rsidRDefault="00D80693" w:rsidP="00735D3E">
      <w:pPr>
        <w:spacing w:before="120"/>
        <w:jc w:val="both"/>
        <w:rPr>
          <w:sz w:val="24"/>
          <w:szCs w:val="24"/>
          <w:lang w:eastAsia="fr-FR"/>
        </w:rPr>
      </w:pPr>
      <w:r w:rsidRPr="004F1CD5">
        <w:rPr>
          <w:sz w:val="24"/>
          <w:szCs w:val="24"/>
          <w:lang w:eastAsia="fr-FR"/>
        </w:rPr>
        <w:t>Le jeu</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jeu</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du </w:t>
      </w:r>
      <w:proofErr w:type="spellStart"/>
      <w:r w:rsidRPr="004F1CD5">
        <w:rPr>
          <w:sz w:val="24"/>
          <w:szCs w:val="24"/>
          <w:lang w:eastAsia="fr-FR"/>
        </w:rPr>
        <w:t>ludo</w:t>
      </w:r>
      <w:proofErr w:type="spellEnd"/>
      <w:r w:rsidRPr="004F1CD5">
        <w:rPr>
          <w:sz w:val="24"/>
          <w:szCs w:val="24"/>
          <w:lang w:eastAsia="fr-FR"/>
        </w:rPr>
        <w:t>-philosopher</w:t>
      </w:r>
      <w:r>
        <w:rPr>
          <w:sz w:val="24"/>
          <w:szCs w:val="24"/>
          <w:lang w:eastAsia="fr-FR"/>
        </w:rPr>
        <w:fldChar w:fldCharType="begin"/>
      </w:r>
      <w:r w:rsidRPr="004F1CD5">
        <w:rPr>
          <w:rFonts w:eastAsiaTheme="minorHAnsi"/>
          <w:sz w:val="24"/>
          <w:szCs w:val="24"/>
        </w:rPr>
        <w:instrText xml:space="preserve"> XE "ludo-philosopher" </w:instrText>
      </w:r>
      <w:r>
        <w:rPr>
          <w:sz w:val="24"/>
          <w:szCs w:val="24"/>
          <w:lang w:eastAsia="fr-FR"/>
        </w:rPr>
        <w:fldChar w:fldCharType="end"/>
      </w:r>
      <w:r w:rsidRPr="004F1CD5">
        <w:rPr>
          <w:sz w:val="24"/>
          <w:szCs w:val="24"/>
          <w:lang w:eastAsia="fr-FR"/>
        </w:rPr>
        <w:t xml:space="preserve"> est jeu dont le développement</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développement</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repose essentiellement sur la création des types de cartes à philosopher</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philosopher</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et leur fonctionnement. On en distingue pour ce modèle, trois principales cartes philo correspondant aux trois habiletés structurelles de la pensée </w:t>
      </w:r>
      <w:r w:rsidRPr="004F1CD5">
        <w:rPr>
          <w:i/>
          <w:sz w:val="24"/>
          <w:szCs w:val="24"/>
          <w:lang w:eastAsia="fr-FR"/>
        </w:rPr>
        <w:t>: la carte verte</w:t>
      </w:r>
      <w:r w:rsidRPr="004F1CD5">
        <w:rPr>
          <w:sz w:val="24"/>
          <w:szCs w:val="24"/>
          <w:lang w:eastAsia="fr-FR"/>
        </w:rPr>
        <w:t xml:space="preserve"> pour définir un concept, </w:t>
      </w:r>
      <w:r w:rsidRPr="004F1CD5">
        <w:rPr>
          <w:i/>
          <w:sz w:val="24"/>
          <w:szCs w:val="24"/>
          <w:lang w:eastAsia="fr-FR"/>
        </w:rPr>
        <w:t>la carte rouge</w:t>
      </w:r>
      <w:r w:rsidRPr="004F1CD5">
        <w:rPr>
          <w:sz w:val="24"/>
          <w:szCs w:val="24"/>
          <w:lang w:eastAsia="fr-FR"/>
        </w:rPr>
        <w:t xml:space="preserve"> défendre son idée</w:t>
      </w:r>
      <w:r>
        <w:rPr>
          <w:sz w:val="24"/>
          <w:szCs w:val="24"/>
          <w:lang w:eastAsia="fr-FR"/>
        </w:rPr>
        <w:fldChar w:fldCharType="begin"/>
      </w:r>
      <w:r w:rsidRPr="004F1CD5">
        <w:rPr>
          <w:rFonts w:eastAsiaTheme="minorHAnsi"/>
          <w:sz w:val="24"/>
          <w:szCs w:val="24"/>
        </w:rPr>
        <w:instrText xml:space="preserve"> XE "idée" </w:instrText>
      </w:r>
      <w:r>
        <w:rPr>
          <w:sz w:val="24"/>
          <w:szCs w:val="24"/>
          <w:lang w:eastAsia="fr-FR"/>
        </w:rPr>
        <w:fldChar w:fldCharType="end"/>
      </w:r>
      <w:r w:rsidRPr="004F1CD5">
        <w:rPr>
          <w:sz w:val="24"/>
          <w:szCs w:val="24"/>
          <w:lang w:eastAsia="fr-FR"/>
        </w:rPr>
        <w:t xml:space="preserve"> sans se moquer de l’idée de l’autre et </w:t>
      </w:r>
      <w:r w:rsidRPr="004F1CD5">
        <w:rPr>
          <w:i/>
          <w:sz w:val="24"/>
          <w:szCs w:val="24"/>
          <w:lang w:eastAsia="fr-FR"/>
        </w:rPr>
        <w:t>la carte bleue</w:t>
      </w:r>
      <w:r w:rsidRPr="004F1CD5">
        <w:rPr>
          <w:sz w:val="24"/>
          <w:szCs w:val="24"/>
          <w:lang w:eastAsia="fr-FR"/>
        </w:rPr>
        <w:t xml:space="preserve"> pour poser une question qui n’est pas encore posée. Le jeu peut être personnalisé ou adaptable selon les aires culturelles, les valeurs et savoirs philosophiques des noosphères et le programme des leçons d’ECM de chaque pays</w:t>
      </w:r>
      <w:r>
        <w:rPr>
          <w:sz w:val="24"/>
          <w:szCs w:val="24"/>
          <w:lang w:eastAsia="fr-FR"/>
        </w:rPr>
        <w:fldChar w:fldCharType="begin"/>
      </w:r>
      <w:r w:rsidRPr="004F1CD5">
        <w:rPr>
          <w:rFonts w:eastAsiaTheme="minorHAnsi"/>
          <w:sz w:val="24"/>
          <w:szCs w:val="24"/>
        </w:rPr>
        <w:instrText xml:space="preserve"> XE "pays" </w:instrText>
      </w:r>
      <w:r>
        <w:rPr>
          <w:sz w:val="24"/>
          <w:szCs w:val="24"/>
          <w:lang w:eastAsia="fr-FR"/>
        </w:rPr>
        <w:fldChar w:fldCharType="end"/>
      </w:r>
      <w:r>
        <w:rPr>
          <w:sz w:val="24"/>
          <w:szCs w:val="24"/>
          <w:lang w:eastAsia="fr-FR"/>
        </w:rPr>
        <w:t xml:space="preserve">. </w:t>
      </w:r>
      <w:r w:rsidRPr="004F1CD5">
        <w:rPr>
          <w:sz w:val="24"/>
          <w:szCs w:val="24"/>
          <w:lang w:eastAsia="fr-FR"/>
        </w:rPr>
        <w:t xml:space="preserve">L’intégration du </w:t>
      </w:r>
      <w:proofErr w:type="spellStart"/>
      <w:r w:rsidRPr="004F1CD5">
        <w:rPr>
          <w:sz w:val="24"/>
          <w:szCs w:val="24"/>
          <w:lang w:eastAsia="fr-FR"/>
        </w:rPr>
        <w:t>ludo</w:t>
      </w:r>
      <w:proofErr w:type="spellEnd"/>
      <w:r w:rsidRPr="004F1CD5">
        <w:rPr>
          <w:sz w:val="24"/>
          <w:szCs w:val="24"/>
          <w:lang w:eastAsia="fr-FR"/>
        </w:rPr>
        <w:t>-philosopher</w:t>
      </w:r>
      <w:r>
        <w:rPr>
          <w:sz w:val="24"/>
          <w:szCs w:val="24"/>
          <w:lang w:eastAsia="fr-FR"/>
        </w:rPr>
        <w:fldChar w:fldCharType="begin"/>
      </w:r>
      <w:r w:rsidRPr="004F1CD5">
        <w:rPr>
          <w:rFonts w:eastAsiaTheme="minorHAnsi"/>
          <w:sz w:val="24"/>
          <w:szCs w:val="24"/>
        </w:rPr>
        <w:instrText xml:space="preserve"> XE "ludo-philosopher" </w:instrText>
      </w:r>
      <w:r>
        <w:rPr>
          <w:sz w:val="24"/>
          <w:szCs w:val="24"/>
          <w:lang w:eastAsia="fr-FR"/>
        </w:rPr>
        <w:fldChar w:fldCharType="end"/>
      </w:r>
      <w:r w:rsidRPr="004F1CD5">
        <w:rPr>
          <w:sz w:val="24"/>
          <w:szCs w:val="24"/>
          <w:lang w:eastAsia="fr-FR"/>
        </w:rPr>
        <w:t xml:space="preserve"> dans la démarche pédagogique</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pédagogique</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d’une classe traditionnelle</w:t>
      </w:r>
      <w:r>
        <w:rPr>
          <w:sz w:val="24"/>
          <w:szCs w:val="24"/>
          <w:lang w:eastAsia="fr-FR"/>
        </w:rPr>
        <w:fldChar w:fldCharType="begin"/>
      </w:r>
      <w:r w:rsidRPr="004F1CD5">
        <w:rPr>
          <w:rFonts w:eastAsiaTheme="minorHAnsi"/>
          <w:sz w:val="24"/>
          <w:szCs w:val="24"/>
        </w:rPr>
        <w:instrText xml:space="preserve"> XE "traditionnelle" </w:instrText>
      </w:r>
      <w:r>
        <w:rPr>
          <w:sz w:val="24"/>
          <w:szCs w:val="24"/>
          <w:lang w:eastAsia="fr-FR"/>
        </w:rPr>
        <w:fldChar w:fldCharType="end"/>
      </w:r>
      <w:r w:rsidRPr="004F1CD5">
        <w:rPr>
          <w:sz w:val="24"/>
          <w:szCs w:val="24"/>
          <w:lang w:eastAsia="fr-FR"/>
        </w:rPr>
        <w:t xml:space="preserve"> en ECM au primaire</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primaire</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vient combler certaines insuffisances. Celles-ci sont principalement :  </w:t>
      </w:r>
    </w:p>
    <w:p w14:paraId="2482E98A" w14:textId="77777777" w:rsidR="00D80693" w:rsidRPr="004F1CD5" w:rsidRDefault="00D80693" w:rsidP="00735D3E">
      <w:pPr>
        <w:pStyle w:val="Paragraphedeliste"/>
        <w:widowControl/>
        <w:numPr>
          <w:ilvl w:val="0"/>
          <w:numId w:val="198"/>
        </w:numPr>
        <w:autoSpaceDE/>
        <w:autoSpaceDN/>
        <w:rPr>
          <w:sz w:val="24"/>
          <w:szCs w:val="24"/>
          <w:lang w:eastAsia="fr-FR"/>
        </w:rPr>
      </w:pPr>
      <w:r w:rsidRPr="004F1CD5">
        <w:rPr>
          <w:b/>
          <w:i/>
          <w:sz w:val="24"/>
          <w:szCs w:val="24"/>
          <w:lang w:eastAsia="fr-FR"/>
        </w:rPr>
        <w:t>Le manque de « structuration »</w:t>
      </w:r>
      <w:r w:rsidRPr="004F1CD5">
        <w:rPr>
          <w:sz w:val="24"/>
          <w:szCs w:val="24"/>
          <w:lang w:eastAsia="fr-FR"/>
        </w:rPr>
        <w:t xml:space="preserve"> (Sauvé, Renaud et Gauvin, 2007)</w:t>
      </w:r>
      <w:r w:rsidRPr="004F1CD5">
        <w:rPr>
          <w:sz w:val="24"/>
          <w:szCs w:val="24"/>
          <w:vertAlign w:val="superscript"/>
          <w:lang w:eastAsia="fr-FR"/>
        </w:rPr>
        <w:t>’</w:t>
      </w:r>
      <w:r w:rsidRPr="004F1CD5">
        <w:rPr>
          <w:sz w:val="24"/>
          <w:szCs w:val="24"/>
          <w:lang w:eastAsia="fr-FR"/>
        </w:rPr>
        <w:t> : il est observé qu’avec le modèle de la pratique</w:t>
      </w:r>
      <w:r>
        <w:rPr>
          <w:sz w:val="24"/>
          <w:szCs w:val="24"/>
          <w:lang w:eastAsia="fr-FR"/>
        </w:rPr>
        <w:fldChar w:fldCharType="begin"/>
      </w:r>
      <w:r w:rsidRPr="004F1CD5">
        <w:rPr>
          <w:rFonts w:eastAsiaTheme="minorHAnsi"/>
          <w:sz w:val="24"/>
          <w:szCs w:val="24"/>
        </w:rPr>
        <w:instrText xml:space="preserve"> XE "pratique" </w:instrText>
      </w:r>
      <w:r>
        <w:rPr>
          <w:sz w:val="24"/>
          <w:szCs w:val="24"/>
          <w:lang w:eastAsia="fr-FR"/>
        </w:rPr>
        <w:fldChar w:fldCharType="end"/>
      </w:r>
      <w:r w:rsidRPr="004F1CD5">
        <w:rPr>
          <w:sz w:val="24"/>
          <w:szCs w:val="24"/>
          <w:lang w:eastAsia="fr-FR"/>
        </w:rPr>
        <w:t xml:space="preserve"> traditionnelle</w:t>
      </w:r>
      <w:r>
        <w:rPr>
          <w:sz w:val="24"/>
          <w:szCs w:val="24"/>
          <w:lang w:eastAsia="fr-FR"/>
        </w:rPr>
        <w:fldChar w:fldCharType="begin"/>
      </w:r>
      <w:r w:rsidRPr="004F1CD5">
        <w:rPr>
          <w:rFonts w:eastAsiaTheme="minorHAnsi"/>
          <w:sz w:val="24"/>
          <w:szCs w:val="24"/>
        </w:rPr>
        <w:instrText xml:space="preserve"> XE "traditionnelle" </w:instrText>
      </w:r>
      <w:r>
        <w:rPr>
          <w:sz w:val="24"/>
          <w:szCs w:val="24"/>
          <w:lang w:eastAsia="fr-FR"/>
        </w:rPr>
        <w:fldChar w:fldCharType="end"/>
      </w:r>
      <w:r w:rsidRPr="004F1CD5">
        <w:rPr>
          <w:sz w:val="24"/>
          <w:szCs w:val="24"/>
          <w:lang w:eastAsia="fr-FR"/>
        </w:rPr>
        <w:t xml:space="preserve"> de classe, il y a un manque d’organisation par rapport</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rapport</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à un certain ordre de la pensée réflexive</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réflexive</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en ces habiletés philosophiques. </w:t>
      </w:r>
    </w:p>
    <w:p w14:paraId="4D4612AC" w14:textId="77777777" w:rsidR="00D80693" w:rsidRDefault="00D80693" w:rsidP="00735D3E">
      <w:pPr>
        <w:pStyle w:val="Paragraphedeliste"/>
        <w:widowControl/>
        <w:numPr>
          <w:ilvl w:val="0"/>
          <w:numId w:val="198"/>
        </w:numPr>
        <w:autoSpaceDE/>
        <w:autoSpaceDN/>
        <w:spacing w:after="160"/>
        <w:rPr>
          <w:sz w:val="24"/>
          <w:szCs w:val="24"/>
          <w:lang w:eastAsia="fr-FR"/>
        </w:rPr>
      </w:pPr>
      <w:r w:rsidRPr="004F1CD5">
        <w:rPr>
          <w:b/>
          <w:i/>
          <w:sz w:val="24"/>
          <w:szCs w:val="24"/>
          <w:lang w:eastAsia="fr-FR"/>
        </w:rPr>
        <w:t xml:space="preserve">Le manque de souplesse </w:t>
      </w:r>
      <w:r w:rsidRPr="004F1CD5">
        <w:rPr>
          <w:sz w:val="24"/>
          <w:szCs w:val="24"/>
          <w:lang w:eastAsia="fr-FR"/>
        </w:rPr>
        <w:t>dans un apprentissage</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apprentissage</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difficile pour les enfants</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autant que les adultes (</w:t>
      </w:r>
      <w:proofErr w:type="spellStart"/>
      <w:r w:rsidRPr="004F1CD5">
        <w:rPr>
          <w:sz w:val="24"/>
          <w:szCs w:val="24"/>
          <w:lang w:eastAsia="fr-FR"/>
        </w:rPr>
        <w:t>Chirouter</w:t>
      </w:r>
      <w:proofErr w:type="spellEnd"/>
      <w:r w:rsidRPr="004F1CD5">
        <w:rPr>
          <w:sz w:val="24"/>
          <w:szCs w:val="24"/>
          <w:lang w:eastAsia="fr-FR"/>
        </w:rPr>
        <w:t>, 2022) : penser ou faire l’exercice réflexif n’est pas chose facile, même pour les plus grands ; il est donc nécessaire de rendre souple l’exercice réflexif qui crée certainement un épu</w:t>
      </w:r>
      <w:r>
        <w:rPr>
          <w:sz w:val="24"/>
          <w:szCs w:val="24"/>
          <w:lang w:eastAsia="fr-FR"/>
        </w:rPr>
        <w:t>isement cognitif rapide (Didden</w:t>
      </w:r>
      <w:r w:rsidRPr="004F1CD5">
        <w:rPr>
          <w:sz w:val="24"/>
          <w:szCs w:val="24"/>
          <w:lang w:eastAsia="fr-FR"/>
        </w:rPr>
        <w:t xml:space="preserve"> </w:t>
      </w:r>
      <w:r w:rsidRPr="004F1CD5">
        <w:rPr>
          <w:i/>
          <w:sz w:val="24"/>
          <w:szCs w:val="24"/>
          <w:lang w:eastAsia="fr-FR"/>
        </w:rPr>
        <w:t>et al.</w:t>
      </w:r>
      <w:r w:rsidRPr="004F1CD5">
        <w:rPr>
          <w:sz w:val="24"/>
          <w:szCs w:val="24"/>
          <w:lang w:eastAsia="fr-FR"/>
        </w:rPr>
        <w:t>, 2018). On le remarque très souvent par des comportements</w:t>
      </w:r>
      <w:r>
        <w:rPr>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comportements</w:instrText>
      </w:r>
      <w:r w:rsidRPr="004F1CD5">
        <w:rPr>
          <w:rFonts w:eastAsiaTheme="minorHAnsi"/>
          <w:sz w:val="24"/>
          <w:szCs w:val="24"/>
        </w:rPr>
        <w:instrText xml:space="preserve">" </w:instrText>
      </w:r>
      <w:r>
        <w:rPr>
          <w:sz w:val="24"/>
          <w:szCs w:val="24"/>
          <w:lang w:eastAsia="fr-FR"/>
        </w:rPr>
        <w:fldChar w:fldCharType="end"/>
      </w:r>
      <w:r w:rsidRPr="004F1CD5">
        <w:rPr>
          <w:sz w:val="24"/>
          <w:szCs w:val="24"/>
          <w:lang w:eastAsia="fr-FR"/>
        </w:rPr>
        <w:t xml:space="preserve"> d’ennui ou de fatigue lors de cet exercice.</w:t>
      </w:r>
    </w:p>
    <w:p w14:paraId="14472B86" w14:textId="77777777" w:rsidR="00D80693" w:rsidRDefault="00D80693" w:rsidP="00735D3E">
      <w:pPr>
        <w:pStyle w:val="Paragraphedeliste"/>
        <w:ind w:left="360"/>
        <w:rPr>
          <w:sz w:val="24"/>
          <w:szCs w:val="24"/>
          <w:lang w:eastAsia="fr-FR"/>
        </w:rPr>
      </w:pPr>
    </w:p>
    <w:p w14:paraId="095D81C2" w14:textId="77777777" w:rsidR="00D80693" w:rsidRPr="006E3F04" w:rsidRDefault="00D80693" w:rsidP="00735D3E">
      <w:pPr>
        <w:pStyle w:val="Paragraphedeliste"/>
        <w:widowControl/>
        <w:numPr>
          <w:ilvl w:val="1"/>
          <w:numId w:val="195"/>
        </w:numPr>
        <w:autoSpaceDE/>
        <w:autoSpaceDN/>
        <w:spacing w:after="160"/>
        <w:jc w:val="left"/>
        <w:rPr>
          <w:rFonts w:eastAsia="Calibri"/>
          <w:sz w:val="24"/>
          <w:szCs w:val="24"/>
        </w:rPr>
      </w:pPr>
      <w:r>
        <w:rPr>
          <w:rFonts w:eastAsiaTheme="minorHAnsi"/>
          <w:b/>
          <w:sz w:val="24"/>
          <w:szCs w:val="24"/>
        </w:rPr>
        <w:t xml:space="preserve"> </w:t>
      </w:r>
      <w:r w:rsidRPr="006E3F04">
        <w:rPr>
          <w:rFonts w:eastAsiaTheme="minorHAnsi"/>
          <w:b/>
          <w:sz w:val="24"/>
          <w:szCs w:val="24"/>
        </w:rPr>
        <w:t>L’analyse de la pratique usuelle de la classe et la conception du dispositif d’ARPD</w:t>
      </w:r>
    </w:p>
    <w:p w14:paraId="6347AD4A" w14:textId="77777777" w:rsidR="00D80693" w:rsidRDefault="00D80693" w:rsidP="00735D3E">
      <w:pPr>
        <w:spacing w:before="120"/>
        <w:jc w:val="both"/>
        <w:rPr>
          <w:rFonts w:eastAsia="Calibri"/>
          <w:sz w:val="24"/>
          <w:szCs w:val="24"/>
        </w:rPr>
      </w:pPr>
      <w:r w:rsidRPr="004F1CD5">
        <w:rPr>
          <w:color w:val="000000"/>
          <w:sz w:val="24"/>
          <w:szCs w:val="24"/>
          <w:lang w:eastAsia="fr-FR"/>
        </w:rPr>
        <w:t>Le but de cette démarche d’ingénierie est d’analyser le fonctionnement de la pratique traditionnelle</w:t>
      </w:r>
      <w:r>
        <w:rPr>
          <w:color w:val="000000"/>
          <w:sz w:val="24"/>
          <w:szCs w:val="24"/>
          <w:lang w:eastAsia="fr-FR"/>
        </w:rPr>
        <w:fldChar w:fldCharType="begin"/>
      </w:r>
      <w:r w:rsidRPr="004F1CD5">
        <w:rPr>
          <w:rFonts w:eastAsiaTheme="minorHAnsi"/>
          <w:sz w:val="24"/>
          <w:szCs w:val="24"/>
        </w:rPr>
        <w:instrText xml:space="preserve"> XE "traditionnelle" </w:instrText>
      </w:r>
      <w:r>
        <w:rPr>
          <w:color w:val="000000"/>
          <w:sz w:val="24"/>
          <w:szCs w:val="24"/>
          <w:lang w:eastAsia="fr-FR"/>
        </w:rPr>
        <w:fldChar w:fldCharType="end"/>
      </w:r>
      <w:r w:rsidRPr="004F1CD5">
        <w:rPr>
          <w:color w:val="000000"/>
          <w:sz w:val="24"/>
          <w:szCs w:val="24"/>
          <w:lang w:eastAsia="fr-FR"/>
        </w:rPr>
        <w:t xml:space="preserve"> de classe en ECM et ses contraintes afin de chercher à déterminer les conditions d’existence</w:t>
      </w:r>
      <w:r>
        <w:rPr>
          <w:color w:val="000000"/>
          <w:sz w:val="24"/>
          <w:szCs w:val="24"/>
          <w:lang w:eastAsia="fr-FR"/>
        </w:rPr>
        <w:fldChar w:fldCharType="begin"/>
      </w:r>
      <w:r w:rsidRPr="004F1CD5">
        <w:rPr>
          <w:rFonts w:eastAsiaTheme="minorHAnsi"/>
          <w:sz w:val="24"/>
          <w:szCs w:val="24"/>
        </w:rPr>
        <w:instrText xml:space="preserve"> XE "existence" </w:instrText>
      </w:r>
      <w:r>
        <w:rPr>
          <w:color w:val="000000"/>
          <w:sz w:val="24"/>
          <w:szCs w:val="24"/>
          <w:lang w:eastAsia="fr-FR"/>
        </w:rPr>
        <w:fldChar w:fldCharType="end"/>
      </w:r>
      <w:r w:rsidRPr="004F1CD5">
        <w:rPr>
          <w:color w:val="000000"/>
          <w:sz w:val="24"/>
          <w:szCs w:val="24"/>
          <w:lang w:eastAsia="fr-FR"/>
        </w:rPr>
        <w:t xml:space="preserve"> d’une pratiq</w:t>
      </w:r>
      <w:r>
        <w:rPr>
          <w:color w:val="000000"/>
          <w:sz w:val="24"/>
          <w:szCs w:val="24"/>
          <w:lang w:eastAsia="fr-FR"/>
        </w:rPr>
        <w:t xml:space="preserve">ue de classe plus appropriée et </w:t>
      </w:r>
      <w:r w:rsidRPr="004F1CD5">
        <w:rPr>
          <w:color w:val="000000"/>
          <w:sz w:val="24"/>
          <w:szCs w:val="24"/>
          <w:lang w:eastAsia="fr-FR"/>
        </w:rPr>
        <w:t>donc satisfaisante pour le développement</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développement</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de la pensée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pensée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réflexive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pensée réflexive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w:t>
      </w:r>
      <w:r w:rsidRPr="004F1CD5">
        <w:rPr>
          <w:rFonts w:eastAsiaTheme="minorHAnsi"/>
          <w:sz w:val="24"/>
          <w:szCs w:val="24"/>
        </w:rPr>
        <w:t xml:space="preserve"> </w:t>
      </w:r>
    </w:p>
    <w:p w14:paraId="4FCFEA77" w14:textId="77777777" w:rsidR="00D80693" w:rsidRPr="006E3F04" w:rsidRDefault="00D80693" w:rsidP="00735D3E">
      <w:pPr>
        <w:pStyle w:val="Heading40"/>
        <w:spacing w:before="120"/>
        <w:outlineLvl w:val="9"/>
      </w:pPr>
      <w:r w:rsidRPr="006E3F04">
        <w:t>L’analyse de la pratique traditionnelle de la classe</w:t>
      </w:r>
    </w:p>
    <w:p w14:paraId="7662B75C" w14:textId="77777777" w:rsidR="00D80693" w:rsidRPr="004F1CD5" w:rsidRDefault="00D80693" w:rsidP="00735D3E">
      <w:pPr>
        <w:spacing w:before="120"/>
        <w:jc w:val="both"/>
        <w:rPr>
          <w:rFonts w:eastAsia="Calibri"/>
          <w:sz w:val="24"/>
          <w:szCs w:val="24"/>
        </w:rPr>
      </w:pPr>
      <w:r>
        <w:rPr>
          <w:rFonts w:eastAsiaTheme="minorHAnsi"/>
          <w:sz w:val="24"/>
          <w:szCs w:val="24"/>
        </w:rPr>
        <w:t>T</w:t>
      </w:r>
      <w:r w:rsidRPr="004F1CD5">
        <w:rPr>
          <w:rFonts w:eastAsiaTheme="minorHAnsi"/>
          <w:sz w:val="24"/>
          <w:szCs w:val="24"/>
        </w:rPr>
        <w:t xml:space="preserve">rois analyses préliminaires du contenu de la pratique traditionnelle est à la base de la formulation des hypothèses et de la conception de la conception du modèle ARPD : </w:t>
      </w:r>
    </w:p>
    <w:p w14:paraId="44214659" w14:textId="77777777" w:rsidR="00D80693" w:rsidRPr="00155566" w:rsidRDefault="00D80693" w:rsidP="00735D3E">
      <w:pPr>
        <w:pStyle w:val="Paragraphedeliste"/>
        <w:widowControl/>
        <w:numPr>
          <w:ilvl w:val="3"/>
          <w:numId w:val="195"/>
        </w:numPr>
        <w:autoSpaceDE/>
        <w:autoSpaceDN/>
        <w:spacing w:after="160"/>
        <w:rPr>
          <w:rFonts w:eastAsia="Calibri"/>
          <w:i/>
          <w:sz w:val="24"/>
          <w:szCs w:val="24"/>
        </w:rPr>
      </w:pPr>
      <w:r w:rsidRPr="00155566">
        <w:rPr>
          <w:rFonts w:eastAsiaTheme="minorHAnsi"/>
          <w:b/>
          <w:i/>
          <w:sz w:val="24"/>
          <w:szCs w:val="24"/>
        </w:rPr>
        <w:t xml:space="preserve"> L’</w:t>
      </w:r>
      <w:r w:rsidRPr="00155566">
        <w:rPr>
          <w:b/>
          <w:i/>
          <w:color w:val="000000"/>
          <w:sz w:val="24"/>
          <w:szCs w:val="24"/>
          <w:lang w:eastAsia="fr-FR"/>
        </w:rPr>
        <w:t>analyse épistémologique du contenu de la pratique en ECM</w:t>
      </w:r>
    </w:p>
    <w:p w14:paraId="4B949CF9" w14:textId="77777777" w:rsidR="00D80693" w:rsidRPr="004F1CD5" w:rsidRDefault="00D80693" w:rsidP="00735D3E">
      <w:pPr>
        <w:spacing w:before="120"/>
        <w:jc w:val="both"/>
        <w:rPr>
          <w:color w:val="000000"/>
          <w:sz w:val="24"/>
          <w:szCs w:val="24"/>
          <w:lang w:eastAsia="fr-FR"/>
        </w:rPr>
      </w:pPr>
      <w:r w:rsidRPr="004F1CD5">
        <w:rPr>
          <w:rFonts w:eastAsiaTheme="minorHAnsi"/>
          <w:sz w:val="24"/>
          <w:szCs w:val="24"/>
        </w:rPr>
        <w:t xml:space="preserve">Cette analyse révèle que </w:t>
      </w:r>
      <w:r w:rsidRPr="004F1CD5">
        <w:rPr>
          <w:color w:val="000000"/>
          <w:sz w:val="24"/>
          <w:szCs w:val="24"/>
          <w:lang w:eastAsia="fr-FR"/>
        </w:rPr>
        <w:t>les leçons d’ECM (MINEDUB, 2018) qui sont généralement sensibles au vécu quotidien des enfants ont pour contenu des concepts ou notions ayant trait à la philosophie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philosophie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Car on y </w:t>
      </w:r>
      <w:r>
        <w:rPr>
          <w:color w:val="000000"/>
          <w:sz w:val="24"/>
          <w:szCs w:val="24"/>
          <w:lang w:eastAsia="fr-FR"/>
        </w:rPr>
        <w:t xml:space="preserve">trouve </w:t>
      </w:r>
      <w:r w:rsidRPr="004F1CD5">
        <w:rPr>
          <w:color w:val="000000"/>
          <w:sz w:val="24"/>
          <w:szCs w:val="24"/>
          <w:lang w:eastAsia="fr-FR"/>
        </w:rPr>
        <w:t xml:space="preserve">des concepts tels que : </w:t>
      </w:r>
      <w:r w:rsidRPr="004F1CD5">
        <w:rPr>
          <w:i/>
          <w:color w:val="000000"/>
          <w:sz w:val="24"/>
          <w:szCs w:val="24"/>
          <w:lang w:eastAsia="fr-FR"/>
        </w:rPr>
        <w:t>le respect, la générosité, autrui, la politesse, la paix, la ponctualité, l’assiduité dans le travail, l’obéissance et la liberté, etc</w:t>
      </w:r>
      <w:r w:rsidRPr="004F1CD5">
        <w:rPr>
          <w:color w:val="000000"/>
          <w:sz w:val="24"/>
          <w:szCs w:val="24"/>
          <w:lang w:eastAsia="fr-FR"/>
        </w:rPr>
        <w:t>. Cependant, malgré la nature philo</w:t>
      </w:r>
      <w:r>
        <w:rPr>
          <w:color w:val="000000"/>
          <w:sz w:val="24"/>
          <w:szCs w:val="24"/>
          <w:lang w:eastAsia="fr-FR"/>
        </w:rPr>
        <w:t>sophique de ces concepts</w:t>
      </w:r>
      <w:r w:rsidRPr="004F1CD5">
        <w:rPr>
          <w:color w:val="000000"/>
          <w:sz w:val="24"/>
          <w:szCs w:val="24"/>
          <w:lang w:eastAsia="fr-FR"/>
        </w:rPr>
        <w:t>, ceux-ci sont enseignés dans une dimension</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dimension</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civique ou citoyenne développant les seules compétences</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compétences</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d’un esprit</w:t>
      </w:r>
      <w:r>
        <w:rPr>
          <w:color w:val="000000"/>
          <w:sz w:val="24"/>
          <w:szCs w:val="24"/>
          <w:lang w:eastAsia="fr-FR"/>
        </w:rPr>
        <w:fldChar w:fldCharType="begin"/>
      </w:r>
      <w:r w:rsidRPr="004F1CD5">
        <w:rPr>
          <w:rFonts w:eastAsiaTheme="minorHAnsi"/>
          <w:sz w:val="24"/>
          <w:szCs w:val="24"/>
        </w:rPr>
        <w:instrText xml:space="preserve"> XE "esprit" </w:instrText>
      </w:r>
      <w:r>
        <w:rPr>
          <w:color w:val="000000"/>
          <w:sz w:val="24"/>
          <w:szCs w:val="24"/>
          <w:lang w:eastAsia="fr-FR"/>
        </w:rPr>
        <w:fldChar w:fldCharType="end"/>
      </w:r>
      <w:r w:rsidRPr="004F1CD5">
        <w:rPr>
          <w:color w:val="000000"/>
          <w:sz w:val="24"/>
          <w:szCs w:val="24"/>
          <w:lang w:eastAsia="fr-FR"/>
        </w:rPr>
        <w:t xml:space="preserve"> historien (mémoriser et réciter).</w:t>
      </w:r>
    </w:p>
    <w:p w14:paraId="1F56D1BA" w14:textId="77777777" w:rsidR="00D80693" w:rsidRPr="00155566" w:rsidRDefault="00D80693" w:rsidP="00735D3E">
      <w:pPr>
        <w:pStyle w:val="Paragraphedeliste"/>
        <w:widowControl/>
        <w:numPr>
          <w:ilvl w:val="3"/>
          <w:numId w:val="195"/>
        </w:numPr>
        <w:autoSpaceDE/>
        <w:autoSpaceDN/>
        <w:spacing w:after="160"/>
        <w:rPr>
          <w:b/>
          <w:i/>
          <w:color w:val="000000"/>
          <w:sz w:val="24"/>
          <w:szCs w:val="24"/>
          <w:lang w:eastAsia="fr-FR"/>
        </w:rPr>
      </w:pPr>
      <w:r w:rsidRPr="00155566">
        <w:rPr>
          <w:b/>
          <w:i/>
          <w:color w:val="000000"/>
          <w:sz w:val="24"/>
          <w:szCs w:val="24"/>
          <w:lang w:eastAsia="fr-FR"/>
        </w:rPr>
        <w:t xml:space="preserve"> L’analyse de l’enseignement</w:t>
      </w:r>
      <w:r>
        <w:rPr>
          <w:b/>
          <w:i/>
          <w:color w:val="000000"/>
          <w:sz w:val="24"/>
          <w:szCs w:val="24"/>
          <w:lang w:eastAsia="fr-FR"/>
        </w:rPr>
        <w:fldChar w:fldCharType="begin"/>
      </w:r>
      <w:r w:rsidRPr="00155566">
        <w:rPr>
          <w:b/>
          <w:i/>
          <w:color w:val="000000"/>
          <w:sz w:val="24"/>
          <w:szCs w:val="24"/>
          <w:lang w:eastAsia="fr-FR"/>
        </w:rPr>
        <w:instrText xml:space="preserve"> XE "enseignement" </w:instrText>
      </w:r>
      <w:r>
        <w:rPr>
          <w:b/>
          <w:i/>
          <w:color w:val="000000"/>
          <w:sz w:val="24"/>
          <w:szCs w:val="24"/>
          <w:lang w:eastAsia="fr-FR"/>
        </w:rPr>
        <w:fldChar w:fldCharType="end"/>
      </w:r>
      <w:r w:rsidRPr="00155566">
        <w:rPr>
          <w:b/>
          <w:i/>
          <w:color w:val="000000"/>
          <w:sz w:val="24"/>
          <w:szCs w:val="24"/>
          <w:lang w:eastAsia="fr-FR"/>
        </w:rPr>
        <w:t xml:space="preserve"> usuel de l’ECM et de ses effets</w:t>
      </w:r>
    </w:p>
    <w:p w14:paraId="60B89B2B" w14:textId="77777777" w:rsidR="00D80693" w:rsidRPr="004F1CD5" w:rsidRDefault="00D80693" w:rsidP="00735D3E">
      <w:pPr>
        <w:spacing w:before="120"/>
        <w:jc w:val="both"/>
        <w:rPr>
          <w:rFonts w:eastAsia="Calibri"/>
          <w:sz w:val="24"/>
          <w:szCs w:val="24"/>
        </w:rPr>
      </w:pPr>
      <w:r w:rsidRPr="004F1CD5">
        <w:rPr>
          <w:color w:val="000000"/>
          <w:sz w:val="24"/>
          <w:szCs w:val="24"/>
          <w:lang w:eastAsia="fr-FR"/>
        </w:rPr>
        <w:t>Dans le cadre de l’enseignement de l’ECM</w:t>
      </w:r>
      <w:r>
        <w:rPr>
          <w:color w:val="000000"/>
          <w:sz w:val="24"/>
          <w:szCs w:val="24"/>
          <w:lang w:eastAsia="fr-FR"/>
        </w:rPr>
        <w:t xml:space="preserve"> selon l’APC</w:t>
      </w:r>
      <w:r w:rsidRPr="004F1CD5">
        <w:rPr>
          <w:color w:val="000000"/>
          <w:sz w:val="24"/>
          <w:szCs w:val="24"/>
          <w:lang w:eastAsia="fr-FR"/>
        </w:rPr>
        <w:t>, les enseignants préfère</w:t>
      </w:r>
      <w:r>
        <w:rPr>
          <w:color w:val="000000"/>
          <w:sz w:val="24"/>
          <w:szCs w:val="24"/>
          <w:lang w:eastAsia="fr-FR"/>
        </w:rPr>
        <w:t>nt</w:t>
      </w:r>
      <w:r w:rsidRPr="004F1CD5">
        <w:rPr>
          <w:color w:val="000000"/>
          <w:sz w:val="24"/>
          <w:szCs w:val="24"/>
          <w:lang w:eastAsia="fr-FR"/>
        </w:rPr>
        <w:t xml:space="preserve"> enseigner directement les qualités d’un concept en n’accordant aucune place aux questionnements philosophiques servant d’ouverture aux débats réflexifs, interprétatif ou critique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critique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Lors des enseignements, les enseignants passent plus de temps</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temps</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à questionner les élèves sans les aider à </w:t>
      </w:r>
      <w:r>
        <w:rPr>
          <w:color w:val="000000"/>
          <w:sz w:val="24"/>
          <w:szCs w:val="24"/>
          <w:lang w:eastAsia="fr-FR"/>
        </w:rPr>
        <w:t xml:space="preserve">se poser à </w:t>
      </w:r>
      <w:r w:rsidRPr="004F1CD5">
        <w:rPr>
          <w:color w:val="000000"/>
          <w:sz w:val="24"/>
          <w:szCs w:val="24"/>
          <w:lang w:eastAsia="fr-FR"/>
        </w:rPr>
        <w:t>eux-mêmes des questions</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questions</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et à y réfléchir en communauté de recherche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recherche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w:t>
      </w:r>
    </w:p>
    <w:p w14:paraId="2525AF38" w14:textId="77777777" w:rsidR="00D80693" w:rsidRPr="00155566" w:rsidRDefault="00D80693" w:rsidP="00735D3E">
      <w:pPr>
        <w:pStyle w:val="Paragraphedeliste"/>
        <w:widowControl/>
        <w:numPr>
          <w:ilvl w:val="3"/>
          <w:numId w:val="195"/>
        </w:numPr>
        <w:autoSpaceDE/>
        <w:autoSpaceDN/>
        <w:spacing w:after="160"/>
        <w:rPr>
          <w:rFonts w:eastAsia="Calibri"/>
          <w:i/>
          <w:sz w:val="24"/>
          <w:szCs w:val="24"/>
        </w:rPr>
      </w:pPr>
      <w:r w:rsidRPr="00155566">
        <w:rPr>
          <w:rFonts w:eastAsiaTheme="minorHAnsi"/>
          <w:b/>
          <w:i/>
          <w:sz w:val="24"/>
          <w:szCs w:val="24"/>
        </w:rPr>
        <w:t xml:space="preserve"> L’</w:t>
      </w:r>
      <w:r w:rsidRPr="00155566">
        <w:rPr>
          <w:b/>
          <w:i/>
          <w:color w:val="000000"/>
          <w:sz w:val="24"/>
          <w:szCs w:val="24"/>
          <w:lang w:eastAsia="fr-FR"/>
        </w:rPr>
        <w:t>analyse des conceptions des apprenants</w:t>
      </w:r>
      <w:r>
        <w:rPr>
          <w:b/>
          <w:i/>
          <w:color w:val="000000"/>
          <w:sz w:val="24"/>
          <w:szCs w:val="24"/>
          <w:lang w:eastAsia="fr-FR"/>
        </w:rPr>
        <w:fldChar w:fldCharType="begin"/>
      </w:r>
      <w:r w:rsidRPr="00155566">
        <w:rPr>
          <w:b/>
          <w:i/>
          <w:color w:val="000000"/>
          <w:sz w:val="24"/>
          <w:szCs w:val="24"/>
          <w:lang w:eastAsia="fr-FR"/>
        </w:rPr>
        <w:instrText xml:space="preserve"> XE "apprenants" </w:instrText>
      </w:r>
      <w:r>
        <w:rPr>
          <w:b/>
          <w:i/>
          <w:color w:val="000000"/>
          <w:sz w:val="24"/>
          <w:szCs w:val="24"/>
          <w:lang w:eastAsia="fr-FR"/>
        </w:rPr>
        <w:fldChar w:fldCharType="end"/>
      </w:r>
      <w:r w:rsidRPr="00155566">
        <w:rPr>
          <w:b/>
          <w:i/>
          <w:color w:val="000000"/>
          <w:sz w:val="24"/>
          <w:szCs w:val="24"/>
          <w:lang w:eastAsia="fr-FR"/>
        </w:rPr>
        <w:t>, des difficultés et obstacles</w:t>
      </w:r>
      <w:r>
        <w:rPr>
          <w:b/>
          <w:i/>
          <w:color w:val="000000"/>
          <w:sz w:val="24"/>
          <w:szCs w:val="24"/>
          <w:lang w:eastAsia="fr-FR"/>
        </w:rPr>
        <w:fldChar w:fldCharType="begin"/>
      </w:r>
      <w:r w:rsidRPr="00155566">
        <w:rPr>
          <w:b/>
          <w:i/>
          <w:color w:val="000000"/>
          <w:sz w:val="24"/>
          <w:szCs w:val="24"/>
          <w:lang w:eastAsia="fr-FR"/>
        </w:rPr>
        <w:instrText xml:space="preserve"> XE "obstacles" </w:instrText>
      </w:r>
      <w:r>
        <w:rPr>
          <w:b/>
          <w:i/>
          <w:color w:val="000000"/>
          <w:sz w:val="24"/>
          <w:szCs w:val="24"/>
          <w:lang w:eastAsia="fr-FR"/>
        </w:rPr>
        <w:fldChar w:fldCharType="end"/>
      </w:r>
      <w:r w:rsidRPr="00155566">
        <w:rPr>
          <w:b/>
          <w:i/>
          <w:color w:val="000000"/>
          <w:sz w:val="24"/>
          <w:szCs w:val="24"/>
          <w:lang w:eastAsia="fr-FR"/>
        </w:rPr>
        <w:t xml:space="preserve"> au développement</w:t>
      </w:r>
      <w:r>
        <w:rPr>
          <w:b/>
          <w:i/>
          <w:color w:val="000000"/>
          <w:sz w:val="24"/>
          <w:szCs w:val="24"/>
          <w:lang w:eastAsia="fr-FR"/>
        </w:rPr>
        <w:fldChar w:fldCharType="begin"/>
      </w:r>
      <w:r w:rsidRPr="00155566">
        <w:rPr>
          <w:b/>
          <w:i/>
          <w:color w:val="000000"/>
          <w:sz w:val="24"/>
          <w:szCs w:val="24"/>
          <w:lang w:eastAsia="fr-FR"/>
        </w:rPr>
        <w:instrText xml:space="preserve"> XE "développement" </w:instrText>
      </w:r>
      <w:r>
        <w:rPr>
          <w:b/>
          <w:i/>
          <w:color w:val="000000"/>
          <w:sz w:val="24"/>
          <w:szCs w:val="24"/>
          <w:lang w:eastAsia="fr-FR"/>
        </w:rPr>
        <w:fldChar w:fldCharType="end"/>
      </w:r>
      <w:r w:rsidRPr="00155566">
        <w:rPr>
          <w:b/>
          <w:i/>
          <w:color w:val="000000"/>
          <w:sz w:val="24"/>
          <w:szCs w:val="24"/>
          <w:lang w:eastAsia="fr-FR"/>
        </w:rPr>
        <w:t xml:space="preserve"> de la pensée</w:t>
      </w:r>
      <w:r>
        <w:rPr>
          <w:b/>
          <w:i/>
          <w:color w:val="000000"/>
          <w:sz w:val="24"/>
          <w:szCs w:val="24"/>
          <w:lang w:eastAsia="fr-FR"/>
        </w:rPr>
        <w:fldChar w:fldCharType="begin"/>
      </w:r>
      <w:r w:rsidRPr="00155566">
        <w:rPr>
          <w:b/>
          <w:i/>
          <w:color w:val="000000"/>
          <w:sz w:val="24"/>
          <w:szCs w:val="24"/>
          <w:lang w:eastAsia="fr-FR"/>
        </w:rPr>
        <w:instrText xml:space="preserve"> XE "pensée" </w:instrText>
      </w:r>
      <w:r>
        <w:rPr>
          <w:b/>
          <w:i/>
          <w:color w:val="000000"/>
          <w:sz w:val="24"/>
          <w:szCs w:val="24"/>
          <w:lang w:eastAsia="fr-FR"/>
        </w:rPr>
        <w:fldChar w:fldCharType="end"/>
      </w:r>
      <w:r w:rsidRPr="00155566">
        <w:rPr>
          <w:b/>
          <w:i/>
          <w:color w:val="000000"/>
          <w:sz w:val="24"/>
          <w:szCs w:val="24"/>
          <w:lang w:eastAsia="fr-FR"/>
        </w:rPr>
        <w:t xml:space="preserve"> réflexive</w:t>
      </w:r>
      <w:r>
        <w:rPr>
          <w:b/>
          <w:i/>
          <w:color w:val="000000"/>
          <w:sz w:val="24"/>
          <w:szCs w:val="24"/>
          <w:lang w:eastAsia="fr-FR"/>
        </w:rPr>
        <w:fldChar w:fldCharType="begin"/>
      </w:r>
      <w:r w:rsidRPr="00155566">
        <w:rPr>
          <w:b/>
          <w:i/>
          <w:color w:val="000000"/>
          <w:sz w:val="24"/>
          <w:szCs w:val="24"/>
          <w:lang w:eastAsia="fr-FR"/>
        </w:rPr>
        <w:instrText xml:space="preserve"> XE "pensée réflexive" </w:instrText>
      </w:r>
      <w:r>
        <w:rPr>
          <w:b/>
          <w:i/>
          <w:color w:val="000000"/>
          <w:sz w:val="24"/>
          <w:szCs w:val="24"/>
          <w:lang w:eastAsia="fr-FR"/>
        </w:rPr>
        <w:fldChar w:fldCharType="end"/>
      </w:r>
      <w:r w:rsidRPr="00155566">
        <w:rPr>
          <w:b/>
          <w:i/>
          <w:color w:val="000000"/>
          <w:sz w:val="24"/>
          <w:szCs w:val="24"/>
          <w:lang w:eastAsia="fr-FR"/>
        </w:rPr>
        <w:t> </w:t>
      </w:r>
      <w:r w:rsidRPr="00155566">
        <w:rPr>
          <w:rFonts w:eastAsiaTheme="minorHAnsi"/>
          <w:i/>
          <w:sz w:val="24"/>
          <w:szCs w:val="24"/>
        </w:rPr>
        <w:t xml:space="preserve"> </w:t>
      </w:r>
    </w:p>
    <w:p w14:paraId="31BFAEB8" w14:textId="77777777" w:rsidR="00D80693" w:rsidRPr="004F1CD5" w:rsidRDefault="00D80693" w:rsidP="00735D3E">
      <w:pPr>
        <w:spacing w:before="120"/>
        <w:jc w:val="both"/>
        <w:rPr>
          <w:color w:val="000000"/>
          <w:sz w:val="24"/>
          <w:szCs w:val="24"/>
          <w:lang w:eastAsia="fr-FR"/>
        </w:rPr>
      </w:pPr>
      <w:r w:rsidRPr="004F1CD5">
        <w:rPr>
          <w:color w:val="000000"/>
          <w:sz w:val="24"/>
          <w:szCs w:val="24"/>
          <w:lang w:eastAsia="fr-FR"/>
        </w:rPr>
        <w:t>Chez les enfants</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d’école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école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primaire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primaire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on observe la culture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b/>
          <w:color w:val="000000"/>
          <w:sz w:val="24"/>
          <w:szCs w:val="24"/>
        </w:rPr>
        <w:instrText>culture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de la « bonne réponse » : cette culture traduit l’idée</w:t>
      </w:r>
      <w:r>
        <w:rPr>
          <w:color w:val="000000"/>
          <w:sz w:val="24"/>
          <w:szCs w:val="24"/>
          <w:lang w:eastAsia="fr-FR"/>
        </w:rPr>
        <w:fldChar w:fldCharType="begin"/>
      </w:r>
      <w:r w:rsidRPr="004F1CD5">
        <w:rPr>
          <w:rFonts w:eastAsiaTheme="minorHAnsi"/>
          <w:sz w:val="24"/>
          <w:szCs w:val="24"/>
        </w:rPr>
        <w:instrText xml:space="preserve"> XE "idée" </w:instrText>
      </w:r>
      <w:r>
        <w:rPr>
          <w:color w:val="000000"/>
          <w:sz w:val="24"/>
          <w:szCs w:val="24"/>
          <w:lang w:eastAsia="fr-FR"/>
        </w:rPr>
        <w:fldChar w:fldCharType="end"/>
      </w:r>
      <w:r w:rsidRPr="004F1CD5">
        <w:rPr>
          <w:color w:val="000000"/>
          <w:sz w:val="24"/>
          <w:szCs w:val="24"/>
          <w:lang w:eastAsia="fr-FR"/>
        </w:rPr>
        <w:t xml:space="preserve"> selon laquelle les apprenants</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apprenants</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ont un sens</w:t>
      </w:r>
      <w:r>
        <w:rPr>
          <w:color w:val="000000"/>
          <w:sz w:val="24"/>
          <w:szCs w:val="24"/>
          <w:lang w:eastAsia="fr-FR"/>
        </w:rPr>
        <w:fldChar w:fldCharType="begin"/>
      </w:r>
      <w:r w:rsidRPr="004F1CD5">
        <w:rPr>
          <w:rFonts w:eastAsiaTheme="minorHAnsi"/>
          <w:sz w:val="24"/>
          <w:szCs w:val="24"/>
        </w:rPr>
        <w:instrText xml:space="preserve"> XE "sens" </w:instrText>
      </w:r>
      <w:r>
        <w:rPr>
          <w:color w:val="000000"/>
          <w:sz w:val="24"/>
          <w:szCs w:val="24"/>
          <w:lang w:eastAsia="fr-FR"/>
        </w:rPr>
        <w:fldChar w:fldCharType="end"/>
      </w:r>
      <w:r w:rsidRPr="004F1CD5">
        <w:rPr>
          <w:color w:val="000000"/>
          <w:sz w:val="24"/>
          <w:szCs w:val="24"/>
          <w:lang w:eastAsia="fr-FR"/>
        </w:rPr>
        <w:t xml:space="preserve"> du sacré pour la justesse des réponses. Ils recherchent plus à donner une réponse exacte à la question de l’enseignant plutôt qu’à exposer des idées ouvertes ou à dire ce qu’ils pensent vraiment du sujet </w:t>
      </w:r>
      <w:r>
        <w:rPr>
          <w:sz w:val="24"/>
          <w:szCs w:val="24"/>
          <w:lang w:eastAsia="fr-FR"/>
        </w:rPr>
        <w:t>(Tozzi, 2001</w:t>
      </w:r>
      <w:r w:rsidRPr="004F1CD5">
        <w:rPr>
          <w:sz w:val="24"/>
          <w:szCs w:val="24"/>
          <w:lang w:eastAsia="fr-FR"/>
        </w:rPr>
        <w:t>)</w:t>
      </w:r>
      <w:r w:rsidRPr="004F1CD5">
        <w:rPr>
          <w:color w:val="000000"/>
          <w:sz w:val="24"/>
          <w:szCs w:val="24"/>
          <w:lang w:eastAsia="fr-FR"/>
        </w:rPr>
        <w:t>. Pour les enfants, il faut absolument trouver ce qui est vrai</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vrai</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w:t>
      </w:r>
      <w:r>
        <w:rPr>
          <w:color w:val="000000"/>
          <w:sz w:val="24"/>
          <w:szCs w:val="24"/>
          <w:lang w:eastAsia="fr-FR"/>
        </w:rPr>
        <w:t xml:space="preserve">et ne pas dire ce qui est faux. </w:t>
      </w:r>
      <w:r w:rsidRPr="004F1CD5">
        <w:rPr>
          <w:color w:val="000000"/>
          <w:sz w:val="24"/>
          <w:szCs w:val="24"/>
          <w:lang w:eastAsia="fr-FR"/>
        </w:rPr>
        <w:t>Cette culture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b/>
          <w:color w:val="000000"/>
          <w:sz w:val="24"/>
          <w:szCs w:val="24"/>
        </w:rPr>
        <w:instrText>culture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de la « bonne réponse » met hors-sol la réflexion</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réflexion</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critique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critique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du groupe les enfermant dans les idées stationnaires des curricula. C’est cette culture qui explique les difficultés observées à développer les habiletés</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habiletés</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de la pensée réflexive</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pensée réflexive</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(problématiser</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problématiser</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conceptualiser</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i/>
          <w:color w:val="000000"/>
          <w:sz w:val="24"/>
          <w:szCs w:val="24"/>
        </w:rPr>
        <w:instrText>conceptualiser</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et argumenter</w:t>
      </w:r>
      <w:r>
        <w:rPr>
          <w:color w:val="000000"/>
          <w:sz w:val="24"/>
          <w:szCs w:val="24"/>
          <w:lang w:eastAsia="fr-FR"/>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argumenter</w:instrText>
      </w:r>
      <w:r w:rsidRPr="004F1CD5">
        <w:rPr>
          <w:rFonts w:eastAsiaTheme="minorHAnsi"/>
          <w:sz w:val="24"/>
          <w:szCs w:val="24"/>
        </w:rPr>
        <w:instrText xml:space="preserve">" </w:instrText>
      </w:r>
      <w:r>
        <w:rPr>
          <w:color w:val="000000"/>
          <w:sz w:val="24"/>
          <w:szCs w:val="24"/>
          <w:lang w:eastAsia="fr-FR"/>
        </w:rPr>
        <w:fldChar w:fldCharType="end"/>
      </w:r>
      <w:r w:rsidRPr="004F1CD5">
        <w:rPr>
          <w:color w:val="000000"/>
          <w:sz w:val="24"/>
          <w:szCs w:val="24"/>
          <w:lang w:eastAsia="fr-FR"/>
        </w:rPr>
        <w:t xml:space="preserve">). </w:t>
      </w:r>
    </w:p>
    <w:p w14:paraId="219E853D" w14:textId="77777777" w:rsidR="00D80693" w:rsidRPr="00155566" w:rsidRDefault="00D80693" w:rsidP="00735D3E">
      <w:pPr>
        <w:pStyle w:val="Paragraphedeliste"/>
        <w:widowControl/>
        <w:numPr>
          <w:ilvl w:val="3"/>
          <w:numId w:val="195"/>
        </w:numPr>
        <w:autoSpaceDE/>
        <w:autoSpaceDN/>
        <w:spacing w:after="160"/>
        <w:rPr>
          <w:rFonts w:eastAsia="Calibri"/>
          <w:i/>
          <w:sz w:val="24"/>
          <w:szCs w:val="24"/>
        </w:rPr>
      </w:pPr>
      <w:r w:rsidRPr="00155566">
        <w:rPr>
          <w:rFonts w:eastAsiaTheme="minorHAnsi"/>
          <w:b/>
          <w:i/>
          <w:sz w:val="24"/>
          <w:szCs w:val="24"/>
        </w:rPr>
        <w:t xml:space="preserve"> L’</w:t>
      </w:r>
      <w:r w:rsidRPr="00155566">
        <w:rPr>
          <w:b/>
          <w:i/>
          <w:color w:val="000000"/>
          <w:sz w:val="24"/>
          <w:szCs w:val="24"/>
          <w:lang w:eastAsia="fr-FR"/>
        </w:rPr>
        <w:t>analyse du champ</w:t>
      </w:r>
      <w:r>
        <w:rPr>
          <w:b/>
          <w:i/>
          <w:color w:val="000000"/>
          <w:sz w:val="24"/>
          <w:szCs w:val="24"/>
          <w:lang w:eastAsia="fr-FR"/>
        </w:rPr>
        <w:fldChar w:fldCharType="begin"/>
      </w:r>
      <w:r w:rsidRPr="00155566">
        <w:rPr>
          <w:b/>
          <w:i/>
          <w:color w:val="000000"/>
          <w:sz w:val="24"/>
          <w:szCs w:val="24"/>
          <w:lang w:eastAsia="fr-FR"/>
        </w:rPr>
        <w:instrText xml:space="preserve"> XE "champ" </w:instrText>
      </w:r>
      <w:r>
        <w:rPr>
          <w:b/>
          <w:i/>
          <w:color w:val="000000"/>
          <w:sz w:val="24"/>
          <w:szCs w:val="24"/>
          <w:lang w:eastAsia="fr-FR"/>
        </w:rPr>
        <w:fldChar w:fldCharType="end"/>
      </w:r>
      <w:r w:rsidRPr="00155566">
        <w:rPr>
          <w:b/>
          <w:i/>
          <w:color w:val="000000"/>
          <w:sz w:val="24"/>
          <w:szCs w:val="24"/>
          <w:lang w:eastAsia="fr-FR"/>
        </w:rPr>
        <w:t xml:space="preserve"> de contraintes</w:t>
      </w:r>
    </w:p>
    <w:p w14:paraId="596A3812" w14:textId="77777777" w:rsidR="00D80693" w:rsidRDefault="00D80693" w:rsidP="00735D3E">
      <w:pPr>
        <w:spacing w:before="120"/>
        <w:jc w:val="both"/>
        <w:rPr>
          <w:color w:val="000000"/>
          <w:sz w:val="24"/>
          <w:szCs w:val="24"/>
          <w:lang w:eastAsia="fr-FR"/>
        </w:rPr>
      </w:pPr>
      <w:r>
        <w:rPr>
          <w:color w:val="000000"/>
          <w:sz w:val="24"/>
          <w:szCs w:val="24"/>
          <w:lang w:eastAsia="fr-FR"/>
        </w:rPr>
        <w:t>Dans l’espace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sz w:val="24"/>
          <w:szCs w:val="24"/>
        </w:rPr>
        <w:instrText>espace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épistémologique ou didactique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didactique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on retrouve comme première contrainte </w:t>
      </w:r>
      <w:r>
        <w:rPr>
          <w:i/>
          <w:color w:val="000000"/>
          <w:sz w:val="24"/>
          <w:szCs w:val="24"/>
          <w:lang w:eastAsia="fr-FR"/>
        </w:rPr>
        <w:t xml:space="preserve">la </w:t>
      </w:r>
      <w:proofErr w:type="gramStart"/>
      <w:r>
        <w:rPr>
          <w:i/>
          <w:color w:val="000000"/>
          <w:sz w:val="24"/>
          <w:szCs w:val="24"/>
          <w:lang w:eastAsia="fr-FR"/>
        </w:rPr>
        <w:t>non maîtrise</w:t>
      </w:r>
      <w:proofErr w:type="gramEnd"/>
      <w:r>
        <w:rPr>
          <w:i/>
          <w:color w:val="000000"/>
          <w:sz w:val="24"/>
          <w:szCs w:val="24"/>
          <w:lang w:eastAsia="fr-FR"/>
        </w:rPr>
        <w:t xml:space="preserve"> de l’épistémologie</w:t>
      </w:r>
      <w:r>
        <w:rPr>
          <w:i/>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épistémologie</w:instrText>
      </w:r>
      <w:r>
        <w:rPr>
          <w:rFonts w:asciiTheme="minorHAnsi" w:eastAsiaTheme="minorHAnsi" w:hAnsiTheme="minorHAnsi" w:cstheme="minorBidi"/>
        </w:rPr>
        <w:instrText xml:space="preserve">" </w:instrText>
      </w:r>
      <w:r>
        <w:rPr>
          <w:i/>
          <w:color w:val="000000"/>
          <w:sz w:val="24"/>
          <w:szCs w:val="24"/>
          <w:lang w:eastAsia="fr-FR"/>
        </w:rPr>
        <w:fldChar w:fldCharType="end"/>
      </w:r>
      <w:r>
        <w:rPr>
          <w:i/>
          <w:color w:val="000000"/>
          <w:sz w:val="24"/>
          <w:szCs w:val="24"/>
          <w:lang w:eastAsia="fr-FR"/>
        </w:rPr>
        <w:t xml:space="preserve"> de la discipline</w:t>
      </w:r>
      <w:r>
        <w:rPr>
          <w:i/>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discipline</w:instrText>
      </w:r>
      <w:r>
        <w:rPr>
          <w:rFonts w:asciiTheme="minorHAnsi" w:eastAsiaTheme="minorHAnsi" w:hAnsiTheme="minorHAnsi" w:cstheme="minorBidi"/>
        </w:rPr>
        <w:instrText xml:space="preserve">" </w:instrText>
      </w:r>
      <w:r>
        <w:rPr>
          <w:i/>
          <w:color w:val="000000"/>
          <w:sz w:val="24"/>
          <w:szCs w:val="24"/>
          <w:lang w:eastAsia="fr-FR"/>
        </w:rPr>
        <w:fldChar w:fldCharType="end"/>
      </w:r>
      <w:r>
        <w:rPr>
          <w:i/>
          <w:color w:val="000000"/>
          <w:sz w:val="24"/>
          <w:szCs w:val="24"/>
          <w:lang w:eastAsia="fr-FR"/>
        </w:rPr>
        <w:t xml:space="preserve"> </w:t>
      </w:r>
      <w:r>
        <w:rPr>
          <w:color w:val="000000"/>
          <w:sz w:val="24"/>
          <w:szCs w:val="24"/>
          <w:lang w:eastAsia="fr-FR"/>
        </w:rPr>
        <w:t>par les enseignants d’école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école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primaire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primaire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Les maîtres et maitresses de l’école primaire n’ont pas la maîtrisent de l’historicisme des pensées particulières sur les concepts philosophiques qui font l’objet des leçons d’enseignement</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enseignement</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-apprentissage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apprentissage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en ECM. Ils maîtrisent encore moins les pensées des philosophes qui traitent de ces concepts.</w:t>
      </w:r>
    </w:p>
    <w:p w14:paraId="5AF5EC3F" w14:textId="77777777" w:rsidR="00D80693" w:rsidRDefault="00D80693" w:rsidP="00735D3E">
      <w:pPr>
        <w:spacing w:before="120"/>
        <w:jc w:val="both"/>
        <w:rPr>
          <w:color w:val="000000"/>
          <w:sz w:val="24"/>
          <w:szCs w:val="24"/>
          <w:lang w:eastAsia="fr-FR"/>
        </w:rPr>
      </w:pPr>
      <w:r>
        <w:rPr>
          <w:color w:val="000000"/>
          <w:sz w:val="24"/>
          <w:szCs w:val="24"/>
          <w:lang w:eastAsia="fr-FR"/>
        </w:rPr>
        <w:t>Dans l’espace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sz w:val="24"/>
          <w:szCs w:val="24"/>
        </w:rPr>
        <w:instrText>espace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ergonomique on retrouve comme principale contrainte </w:t>
      </w:r>
      <w:r>
        <w:rPr>
          <w:i/>
          <w:color w:val="000000"/>
          <w:sz w:val="24"/>
          <w:szCs w:val="24"/>
          <w:lang w:eastAsia="fr-FR"/>
        </w:rPr>
        <w:t>la disposition traditionnelle</w:t>
      </w:r>
      <w:r>
        <w:rPr>
          <w:i/>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sz w:val="24"/>
        </w:rPr>
        <w:instrText>traditionnelle</w:instrText>
      </w:r>
      <w:r>
        <w:rPr>
          <w:rFonts w:asciiTheme="minorHAnsi" w:eastAsiaTheme="minorHAnsi" w:hAnsiTheme="minorHAnsi" w:cstheme="minorBidi"/>
        </w:rPr>
        <w:instrText xml:space="preserve">" </w:instrText>
      </w:r>
      <w:r>
        <w:rPr>
          <w:i/>
          <w:color w:val="000000"/>
          <w:sz w:val="24"/>
          <w:szCs w:val="24"/>
          <w:lang w:eastAsia="fr-FR"/>
        </w:rPr>
        <w:fldChar w:fldCharType="end"/>
      </w:r>
      <w:r>
        <w:rPr>
          <w:i/>
          <w:color w:val="000000"/>
          <w:sz w:val="24"/>
          <w:szCs w:val="24"/>
          <w:lang w:eastAsia="fr-FR"/>
        </w:rPr>
        <w:t xml:space="preserve"> de la classe : les tables-bancs disposés en forme</w:t>
      </w:r>
      <w:r>
        <w:rPr>
          <w:i/>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forme</w:instrText>
      </w:r>
      <w:r>
        <w:rPr>
          <w:rFonts w:asciiTheme="minorHAnsi" w:eastAsiaTheme="minorHAnsi" w:hAnsiTheme="minorHAnsi" w:cstheme="minorBidi"/>
        </w:rPr>
        <w:instrText xml:space="preserve">" </w:instrText>
      </w:r>
      <w:r>
        <w:rPr>
          <w:i/>
          <w:color w:val="000000"/>
          <w:sz w:val="24"/>
          <w:szCs w:val="24"/>
          <w:lang w:eastAsia="fr-FR"/>
        </w:rPr>
        <w:fldChar w:fldCharType="end"/>
      </w:r>
      <w:r>
        <w:rPr>
          <w:i/>
          <w:color w:val="000000"/>
          <w:sz w:val="24"/>
          <w:szCs w:val="24"/>
          <w:lang w:eastAsia="fr-FR"/>
        </w:rPr>
        <w:t xml:space="preserve"> linéaire réservant un espace central au bureau de l’enseignant et à son enseignement</w:t>
      </w:r>
      <w:r>
        <w:rPr>
          <w:i/>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enseignement</w:instrText>
      </w:r>
      <w:r>
        <w:rPr>
          <w:rFonts w:asciiTheme="minorHAnsi" w:eastAsiaTheme="minorHAnsi" w:hAnsiTheme="minorHAnsi" w:cstheme="minorBidi"/>
        </w:rPr>
        <w:instrText xml:space="preserve">" </w:instrText>
      </w:r>
      <w:r>
        <w:rPr>
          <w:i/>
          <w:color w:val="000000"/>
          <w:sz w:val="24"/>
          <w:szCs w:val="24"/>
          <w:lang w:eastAsia="fr-FR"/>
        </w:rPr>
        <w:fldChar w:fldCharType="end"/>
      </w:r>
      <w:r>
        <w:rPr>
          <w:color w:val="000000"/>
          <w:sz w:val="24"/>
          <w:szCs w:val="24"/>
          <w:lang w:eastAsia="fr-FR"/>
        </w:rPr>
        <w:t>. Presque toutes les salles de classes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classes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des établissements publics comme privés du pays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sz w:val="24"/>
        </w:rPr>
        <w:instrText>pays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présentent cette mosaïque rectangulaire ou carré à l’extérieur des murs et linéaire des positions assises des apprenants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apprenants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à l’intérieure de la classe. Or le modèle d’ARPD</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ARPD</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avec les enfants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exige une disposition des apprenants en forme de cercle ou de demi-lune ou encore en U.</w:t>
      </w:r>
    </w:p>
    <w:p w14:paraId="27750155" w14:textId="77777777" w:rsidR="00D80693" w:rsidRPr="006C0EF8" w:rsidRDefault="00D80693" w:rsidP="00735D3E">
      <w:pPr>
        <w:pStyle w:val="Heading40"/>
        <w:spacing w:before="120"/>
        <w:outlineLvl w:val="9"/>
      </w:pPr>
      <w:r w:rsidRPr="00155566">
        <w:t>Conception du modèle/dispositif d’ARPD</w:t>
      </w:r>
      <w:r w:rsidRPr="006C0EF8">
        <w:fldChar w:fldCharType="begin"/>
      </w:r>
      <w:r w:rsidRPr="00155566">
        <w:instrText xml:space="preserve"> XE "ARPD" </w:instrText>
      </w:r>
      <w:r w:rsidRPr="006C0EF8">
        <w:fldChar w:fldCharType="end"/>
      </w:r>
    </w:p>
    <w:p w14:paraId="4EC0E88E" w14:textId="77777777" w:rsidR="00D80693" w:rsidRDefault="00D80693" w:rsidP="00735D3E">
      <w:pPr>
        <w:spacing w:before="120"/>
        <w:jc w:val="both"/>
        <w:rPr>
          <w:color w:val="000000"/>
          <w:sz w:val="24"/>
          <w:szCs w:val="24"/>
          <w:lang w:eastAsia="fr-FR"/>
        </w:rPr>
      </w:pPr>
      <w:r>
        <w:rPr>
          <w:color w:val="000000"/>
          <w:sz w:val="24"/>
          <w:szCs w:val="24"/>
          <w:lang w:eastAsia="fr-FR"/>
        </w:rPr>
        <w:t xml:space="preserve">Plusieurs éléments intelligents constituent l’ingénierie didactique que nous voulons mettre sur pieds pour l’atelier philo au primaire, pour ce faire : </w:t>
      </w:r>
    </w:p>
    <w:p w14:paraId="59A65EC9" w14:textId="77777777" w:rsidR="00D80693" w:rsidRPr="00097279" w:rsidRDefault="00D80693" w:rsidP="00735D3E">
      <w:pPr>
        <w:widowControl/>
        <w:numPr>
          <w:ilvl w:val="0"/>
          <w:numId w:val="199"/>
        </w:numPr>
        <w:autoSpaceDE/>
        <w:autoSpaceDN/>
        <w:spacing w:before="120"/>
        <w:jc w:val="both"/>
        <w:rPr>
          <w:color w:val="000000"/>
          <w:sz w:val="24"/>
          <w:szCs w:val="24"/>
          <w:lang w:eastAsia="fr-FR"/>
        </w:rPr>
      </w:pPr>
      <w:r>
        <w:rPr>
          <w:color w:val="000000"/>
          <w:sz w:val="24"/>
          <w:szCs w:val="24"/>
          <w:lang w:eastAsia="fr-FR"/>
        </w:rPr>
        <w:t>Le scénario de l’ARPD qui dure 45min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ARPD</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prévoie plusieurs rôles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rôles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pour l’animateur (président de séance, </w:t>
      </w:r>
      <w:proofErr w:type="spellStart"/>
      <w:r>
        <w:rPr>
          <w:color w:val="000000"/>
          <w:sz w:val="24"/>
          <w:szCs w:val="24"/>
          <w:lang w:eastAsia="fr-FR"/>
        </w:rPr>
        <w:t>reformulateur</w:t>
      </w:r>
      <w:proofErr w:type="spellEnd"/>
      <w:r>
        <w:rPr>
          <w:color w:val="000000"/>
          <w:sz w:val="24"/>
          <w:szCs w:val="24"/>
          <w:lang w:eastAsia="fr-FR"/>
        </w:rPr>
        <w:t xml:space="preserve">, synthétiseur) et réduit les enfants au rôle de </w:t>
      </w:r>
      <w:proofErr w:type="spellStart"/>
      <w:r>
        <w:rPr>
          <w:color w:val="000000"/>
          <w:sz w:val="24"/>
          <w:szCs w:val="24"/>
          <w:lang w:eastAsia="fr-FR"/>
        </w:rPr>
        <w:t>discutants</w:t>
      </w:r>
      <w:proofErr w:type="spellEnd"/>
      <w:r>
        <w:rPr>
          <w:color w:val="000000"/>
          <w:sz w:val="24"/>
          <w:szCs w:val="24"/>
          <w:lang w:eastAsia="fr-FR"/>
        </w:rPr>
        <w:t xml:space="preserve"> </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apprentissage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w:t>
      </w:r>
    </w:p>
    <w:p w14:paraId="5E8F1EA2" w14:textId="77777777" w:rsidR="00D80693" w:rsidRDefault="00D80693" w:rsidP="00735D3E">
      <w:pPr>
        <w:widowControl/>
        <w:numPr>
          <w:ilvl w:val="0"/>
          <w:numId w:val="199"/>
        </w:numPr>
        <w:autoSpaceDE/>
        <w:autoSpaceDN/>
        <w:spacing w:before="120"/>
        <w:jc w:val="both"/>
        <w:rPr>
          <w:color w:val="000000"/>
          <w:sz w:val="24"/>
          <w:szCs w:val="24"/>
          <w:lang w:eastAsia="fr-FR"/>
        </w:rPr>
      </w:pPr>
      <w:r>
        <w:rPr>
          <w:color w:val="000000"/>
          <w:sz w:val="24"/>
          <w:szCs w:val="24"/>
          <w:lang w:eastAsia="fr-FR"/>
        </w:rPr>
        <w:t>L’ARPD</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ARPD</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adopte les méthodes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i/>
          <w:sz w:val="24"/>
          <w:szCs w:val="24"/>
        </w:rPr>
        <w:instrText>méthodes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actives de la pédagogie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pédagogie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en particulier l’APC. De manière spécifique, l’ARPD utilise la méthode de la </w:t>
      </w:r>
      <w:r>
        <w:rPr>
          <w:i/>
          <w:color w:val="000000"/>
          <w:sz w:val="24"/>
          <w:szCs w:val="24"/>
          <w:lang w:eastAsia="fr-FR"/>
        </w:rPr>
        <w:t>maïeutique</w:t>
      </w:r>
      <w:r>
        <w:rPr>
          <w:i/>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stheme="minorBidi"/>
          <w:color w:val="000000"/>
          <w:sz w:val="20"/>
          <w:szCs w:val="24"/>
        </w:rPr>
        <w:instrText>maïeutique</w:instrText>
      </w:r>
      <w:r>
        <w:rPr>
          <w:rFonts w:asciiTheme="minorHAnsi" w:eastAsiaTheme="minorHAnsi" w:hAnsiTheme="minorHAnsi" w:cstheme="minorBidi"/>
        </w:rPr>
        <w:instrText xml:space="preserve">" </w:instrText>
      </w:r>
      <w:r>
        <w:rPr>
          <w:i/>
          <w:color w:val="000000"/>
          <w:sz w:val="24"/>
          <w:szCs w:val="24"/>
          <w:lang w:eastAsia="fr-FR"/>
        </w:rPr>
        <w:fldChar w:fldCharType="end"/>
      </w:r>
      <w:r>
        <w:rPr>
          <w:i/>
          <w:color w:val="000000"/>
          <w:sz w:val="24"/>
          <w:szCs w:val="24"/>
          <w:lang w:eastAsia="fr-FR"/>
        </w:rPr>
        <w:t xml:space="preserve"> socratique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Cette méthode socratique a pour technique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technique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le questionnement</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questionnement</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constant ;</w:t>
      </w:r>
    </w:p>
    <w:p w14:paraId="33970FFC" w14:textId="77777777" w:rsidR="00D80693" w:rsidRDefault="00D80693" w:rsidP="00735D3E">
      <w:pPr>
        <w:widowControl/>
        <w:numPr>
          <w:ilvl w:val="0"/>
          <w:numId w:val="199"/>
        </w:numPr>
        <w:autoSpaceDE/>
        <w:autoSpaceDN/>
        <w:spacing w:before="120"/>
        <w:jc w:val="both"/>
        <w:rPr>
          <w:color w:val="000000"/>
          <w:sz w:val="24"/>
          <w:szCs w:val="24"/>
          <w:lang w:eastAsia="fr-FR"/>
        </w:rPr>
      </w:pPr>
      <w:r>
        <w:rPr>
          <w:sz w:val="24"/>
          <w:szCs w:val="24"/>
          <w:lang w:eastAsia="fr-FR"/>
        </w:rPr>
        <w:t>De manière originale, l’ARPD</w:t>
      </w:r>
      <w:r>
        <w:rPr>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ARPD</w:instrText>
      </w:r>
      <w:r>
        <w:rPr>
          <w:rFonts w:asciiTheme="minorHAnsi" w:eastAsiaTheme="minorHAnsi" w:hAnsiTheme="minorHAnsi" w:cstheme="minorBidi"/>
        </w:rPr>
        <w:instrText xml:space="preserve">" </w:instrText>
      </w:r>
      <w:r>
        <w:rPr>
          <w:sz w:val="24"/>
          <w:szCs w:val="24"/>
          <w:lang w:eastAsia="fr-FR"/>
        </w:rPr>
        <w:fldChar w:fldCharType="end"/>
      </w:r>
      <w:r>
        <w:rPr>
          <w:sz w:val="24"/>
          <w:szCs w:val="24"/>
          <w:lang w:eastAsia="fr-FR"/>
        </w:rPr>
        <w:t xml:space="preserve"> associe à ces deux méthodes</w:t>
      </w:r>
      <w:r>
        <w:rPr>
          <w:sz w:val="24"/>
          <w:szCs w:val="24"/>
          <w:lang w:eastAsia="fr-FR"/>
        </w:rPr>
        <w:fldChar w:fldCharType="begin"/>
      </w:r>
      <w:r>
        <w:rPr>
          <w:rFonts w:asciiTheme="minorHAnsi" w:eastAsiaTheme="minorHAnsi" w:hAnsiTheme="minorHAnsi" w:cstheme="minorBidi"/>
        </w:rPr>
        <w:instrText xml:space="preserve"> XE "</w:instrText>
      </w:r>
      <w:r>
        <w:rPr>
          <w:rFonts w:eastAsiaTheme="minorHAnsi"/>
          <w:i/>
          <w:sz w:val="24"/>
          <w:szCs w:val="24"/>
        </w:rPr>
        <w:instrText>méthodes</w:instrText>
      </w:r>
      <w:r>
        <w:rPr>
          <w:rFonts w:asciiTheme="minorHAnsi" w:eastAsiaTheme="minorHAnsi" w:hAnsiTheme="minorHAnsi" w:cstheme="minorBidi"/>
        </w:rPr>
        <w:instrText xml:space="preserve">" </w:instrText>
      </w:r>
      <w:r>
        <w:rPr>
          <w:sz w:val="24"/>
          <w:szCs w:val="24"/>
          <w:lang w:eastAsia="fr-FR"/>
        </w:rPr>
        <w:fldChar w:fldCharType="end"/>
      </w:r>
      <w:r>
        <w:rPr>
          <w:sz w:val="24"/>
          <w:szCs w:val="24"/>
          <w:lang w:eastAsia="fr-FR"/>
        </w:rPr>
        <w:t xml:space="preserve"> spécifiques </w:t>
      </w:r>
      <w:r>
        <w:rPr>
          <w:i/>
          <w:sz w:val="24"/>
          <w:szCs w:val="24"/>
          <w:lang w:eastAsia="fr-FR"/>
        </w:rPr>
        <w:t>l’</w:t>
      </w:r>
      <w:proofErr w:type="spellStart"/>
      <w:r>
        <w:rPr>
          <w:i/>
          <w:sz w:val="24"/>
          <w:szCs w:val="24"/>
          <w:lang w:eastAsia="fr-FR"/>
        </w:rPr>
        <w:t>édumusement</w:t>
      </w:r>
      <w:proofErr w:type="spellEnd"/>
      <w:r>
        <w:rPr>
          <w:sz w:val="24"/>
          <w:szCs w:val="24"/>
          <w:lang w:eastAsia="fr-FR"/>
        </w:rPr>
        <w:t xml:space="preserve"> comme une autre technique</w:t>
      </w:r>
      <w:r>
        <w:rPr>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technique</w:instrText>
      </w:r>
      <w:r>
        <w:rPr>
          <w:rFonts w:asciiTheme="minorHAnsi" w:eastAsiaTheme="minorHAnsi" w:hAnsiTheme="minorHAnsi" w:cstheme="minorBidi"/>
        </w:rPr>
        <w:instrText xml:space="preserve">" </w:instrText>
      </w:r>
      <w:r>
        <w:rPr>
          <w:sz w:val="24"/>
          <w:szCs w:val="24"/>
          <w:lang w:eastAsia="fr-FR"/>
        </w:rPr>
        <w:fldChar w:fldCharType="end"/>
      </w:r>
      <w:r>
        <w:rPr>
          <w:sz w:val="24"/>
          <w:szCs w:val="24"/>
          <w:lang w:eastAsia="fr-FR"/>
        </w:rPr>
        <w:t xml:space="preserve"> propre à l’exercice de la réflexion</w:t>
      </w:r>
      <w:r>
        <w:rPr>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réflexion</w:instrText>
      </w:r>
      <w:r>
        <w:rPr>
          <w:rFonts w:asciiTheme="minorHAnsi" w:eastAsiaTheme="minorHAnsi" w:hAnsiTheme="minorHAnsi" w:cstheme="minorBidi"/>
        </w:rPr>
        <w:instrText xml:space="preserve">" </w:instrText>
      </w:r>
      <w:r>
        <w:rPr>
          <w:sz w:val="24"/>
          <w:szCs w:val="24"/>
          <w:lang w:eastAsia="fr-FR"/>
        </w:rPr>
        <w:fldChar w:fldCharType="end"/>
      </w:r>
      <w:r>
        <w:rPr>
          <w:sz w:val="24"/>
          <w:szCs w:val="24"/>
          <w:lang w:eastAsia="fr-FR"/>
        </w:rPr>
        <w:t xml:space="preserve"> philosophique ;</w:t>
      </w:r>
    </w:p>
    <w:p w14:paraId="454CF5F0" w14:textId="77777777" w:rsidR="00D80693" w:rsidRPr="00097279" w:rsidRDefault="00D80693" w:rsidP="00735D3E">
      <w:pPr>
        <w:widowControl/>
        <w:numPr>
          <w:ilvl w:val="0"/>
          <w:numId w:val="199"/>
        </w:numPr>
        <w:autoSpaceDE/>
        <w:autoSpaceDN/>
        <w:spacing w:before="120"/>
        <w:jc w:val="both"/>
        <w:rPr>
          <w:sz w:val="24"/>
          <w:szCs w:val="24"/>
          <w:lang w:eastAsia="fr-FR"/>
        </w:rPr>
      </w:pPr>
      <w:r>
        <w:rPr>
          <w:color w:val="000000"/>
          <w:sz w:val="24"/>
          <w:szCs w:val="24"/>
          <w:lang w:eastAsia="fr-FR"/>
        </w:rPr>
        <w:t>L’ARPD</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ARPD</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est un dispositif didactique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didactique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du philosopher</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philosopher</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qui fait usage de l’image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image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(vidéo animés) comme principal support</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sz w:val="24"/>
          <w:szCs w:val="24"/>
        </w:rPr>
        <w:instrText>support</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à la réflexion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réflexion</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philosophique avec les enfants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w:t>
      </w:r>
    </w:p>
    <w:p w14:paraId="3483C54A" w14:textId="77777777" w:rsidR="00D80693" w:rsidRPr="00097279" w:rsidRDefault="00D80693" w:rsidP="00735D3E">
      <w:pPr>
        <w:spacing w:before="120"/>
        <w:ind w:left="360"/>
        <w:jc w:val="both"/>
        <w:rPr>
          <w:sz w:val="24"/>
          <w:szCs w:val="24"/>
          <w:lang w:eastAsia="fr-FR"/>
        </w:rPr>
      </w:pPr>
    </w:p>
    <w:p w14:paraId="3E347E33" w14:textId="77777777" w:rsidR="00D80693" w:rsidRPr="004F1CD5" w:rsidRDefault="00D80693" w:rsidP="00735D3E">
      <w:pPr>
        <w:spacing w:before="120"/>
        <w:jc w:val="both"/>
        <w:rPr>
          <w:sz w:val="24"/>
          <w:szCs w:val="24"/>
          <w:lang w:eastAsia="fr-FR"/>
        </w:rPr>
      </w:pPr>
      <w:r w:rsidRPr="004F1CD5">
        <w:rPr>
          <w:sz w:val="24"/>
          <w:szCs w:val="24"/>
          <w:lang w:eastAsia="fr-FR"/>
        </w:rPr>
        <w:t>L’ensemble des éléments théoriques de ce point de cadrage est au fondement de l’expériment</w:t>
      </w:r>
      <w:r>
        <w:rPr>
          <w:sz w:val="24"/>
          <w:szCs w:val="24"/>
          <w:lang w:eastAsia="fr-FR"/>
        </w:rPr>
        <w:t>ation</w:t>
      </w:r>
      <w:r w:rsidRPr="004F1CD5">
        <w:rPr>
          <w:sz w:val="24"/>
          <w:szCs w:val="24"/>
          <w:lang w:eastAsia="fr-FR"/>
        </w:rPr>
        <w:t xml:space="preserve"> que nous avons effectué sur le terrain. </w:t>
      </w:r>
    </w:p>
    <w:p w14:paraId="7EDA4DF4" w14:textId="77777777" w:rsidR="00D80693" w:rsidRPr="00A31005" w:rsidRDefault="00D80693" w:rsidP="00735D3E">
      <w:pPr>
        <w:pStyle w:val="Paragraphedeliste"/>
        <w:widowControl/>
        <w:numPr>
          <w:ilvl w:val="0"/>
          <w:numId w:val="195"/>
        </w:numPr>
        <w:autoSpaceDE/>
        <w:autoSpaceDN/>
        <w:spacing w:after="160"/>
        <w:rPr>
          <w:b/>
          <w:sz w:val="28"/>
          <w:szCs w:val="24"/>
          <w:lang w:eastAsia="fr-FR"/>
        </w:rPr>
      </w:pPr>
      <w:r w:rsidRPr="00A31005">
        <w:rPr>
          <w:b/>
          <w:sz w:val="28"/>
          <w:szCs w:val="24"/>
          <w:lang w:eastAsia="fr-FR"/>
        </w:rPr>
        <w:t xml:space="preserve">Matériel et méthodes </w:t>
      </w:r>
    </w:p>
    <w:p w14:paraId="17ED8B45" w14:textId="77777777" w:rsidR="00D80693" w:rsidRPr="004F1CD5" w:rsidRDefault="00D80693" w:rsidP="00735D3E">
      <w:pPr>
        <w:spacing w:before="120"/>
        <w:jc w:val="both"/>
        <w:rPr>
          <w:rFonts w:eastAsia="Calibri"/>
          <w:sz w:val="24"/>
          <w:szCs w:val="24"/>
        </w:rPr>
      </w:pPr>
      <w:r w:rsidRPr="004F1CD5">
        <w:rPr>
          <w:sz w:val="24"/>
          <w:szCs w:val="24"/>
          <w:lang w:eastAsia="fr-FR"/>
        </w:rPr>
        <w:t xml:space="preserve">Dans le cadre d’une recherche-action, l’étude menée est de type qualitatif selon une approche </w:t>
      </w:r>
      <w:r w:rsidRPr="004F1CD5">
        <w:rPr>
          <w:rFonts w:eastAsiaTheme="minorHAnsi"/>
          <w:sz w:val="24"/>
          <w:szCs w:val="24"/>
        </w:rPr>
        <w:t>l’ingénierie didactique et</w:t>
      </w:r>
      <w:r>
        <w:rPr>
          <w:rFonts w:eastAsiaTheme="minorHAnsi"/>
          <w:sz w:val="24"/>
          <w:szCs w:val="24"/>
        </w:rPr>
        <w:t xml:space="preserve"> une approche du </w:t>
      </w:r>
      <w:proofErr w:type="spellStart"/>
      <w:r>
        <w:rPr>
          <w:rFonts w:eastAsiaTheme="minorHAnsi"/>
          <w:sz w:val="24"/>
          <w:szCs w:val="24"/>
        </w:rPr>
        <w:t>ludo</w:t>
      </w:r>
      <w:proofErr w:type="spellEnd"/>
      <w:r>
        <w:rPr>
          <w:rFonts w:eastAsiaTheme="minorHAnsi"/>
          <w:sz w:val="24"/>
          <w:szCs w:val="24"/>
        </w:rPr>
        <w:t>-philosopher</w:t>
      </w:r>
      <w:r>
        <w:rPr>
          <w:sz w:val="24"/>
          <w:szCs w:val="24"/>
        </w:rPr>
        <w:fldChar w:fldCharType="begin"/>
      </w:r>
      <w:r w:rsidRPr="004F1CD5">
        <w:rPr>
          <w:rFonts w:eastAsiaTheme="minorHAnsi"/>
          <w:sz w:val="24"/>
          <w:szCs w:val="24"/>
        </w:rPr>
        <w:instrText xml:space="preserve"> XE "</w:instrText>
      </w:r>
      <w:r w:rsidRPr="004F1CD5">
        <w:rPr>
          <w:rFonts w:eastAsiaTheme="minorHAnsi"/>
          <w:color w:val="000000"/>
          <w:sz w:val="24"/>
          <w:szCs w:val="24"/>
        </w:rPr>
        <w:instrText>enfants</w:instrText>
      </w:r>
      <w:r w:rsidRPr="004F1CD5">
        <w:rPr>
          <w:rFonts w:eastAsiaTheme="minorHAnsi"/>
          <w:sz w:val="24"/>
          <w:szCs w:val="24"/>
        </w:rPr>
        <w:instrText xml:space="preserve">" </w:instrText>
      </w:r>
      <w:r>
        <w:rPr>
          <w:sz w:val="24"/>
          <w:szCs w:val="24"/>
        </w:rPr>
        <w:fldChar w:fldCharType="end"/>
      </w:r>
      <w:r w:rsidRPr="004F1CD5">
        <w:rPr>
          <w:rFonts w:eastAsiaTheme="minorHAnsi"/>
          <w:sz w:val="24"/>
          <w:szCs w:val="24"/>
        </w:rPr>
        <w:t>. Cette méthodologie utilisée est subdivisée en trois parties : l’analyse de la pratique traditionnelle de la classe, le recueil des données et l’analyse des données.</w:t>
      </w:r>
    </w:p>
    <w:p w14:paraId="0F0492D6" w14:textId="77777777" w:rsidR="00D80693" w:rsidRPr="004F1CD5" w:rsidRDefault="00D80693" w:rsidP="00735D3E">
      <w:pPr>
        <w:pStyle w:val="Paragraphedeliste"/>
        <w:widowControl/>
        <w:numPr>
          <w:ilvl w:val="1"/>
          <w:numId w:val="195"/>
        </w:numPr>
        <w:autoSpaceDE/>
        <w:autoSpaceDN/>
        <w:spacing w:after="160"/>
        <w:rPr>
          <w:rFonts w:eastAsia="Calibri"/>
          <w:sz w:val="24"/>
          <w:szCs w:val="24"/>
        </w:rPr>
      </w:pPr>
      <w:r>
        <w:rPr>
          <w:rFonts w:eastAsiaTheme="minorHAnsi"/>
          <w:b/>
          <w:sz w:val="24"/>
          <w:szCs w:val="24"/>
        </w:rPr>
        <w:t xml:space="preserve"> Échantillonnage </w:t>
      </w:r>
      <w:r w:rsidRPr="004F1CD5">
        <w:rPr>
          <w:rFonts w:eastAsiaTheme="minorHAnsi"/>
          <w:sz w:val="24"/>
          <w:szCs w:val="24"/>
        </w:rPr>
        <w:t xml:space="preserve"> </w:t>
      </w:r>
    </w:p>
    <w:p w14:paraId="3D81DB22" w14:textId="77777777" w:rsidR="00D80693" w:rsidRPr="00051C72" w:rsidRDefault="00D80693" w:rsidP="00735D3E">
      <w:pPr>
        <w:spacing w:before="120"/>
        <w:jc w:val="both"/>
        <w:rPr>
          <w:rFonts w:eastAsia="Calibri"/>
          <w:sz w:val="24"/>
          <w:szCs w:val="24"/>
        </w:rPr>
      </w:pPr>
      <w:r>
        <w:rPr>
          <w:color w:val="000000"/>
          <w:sz w:val="24"/>
          <w:szCs w:val="24"/>
          <w:lang w:eastAsia="fr-FR"/>
        </w:rPr>
        <w:t>Dans le cadre de cette étude, nous avons utilisé comme technique</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technique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d’échantillonnage</w:t>
      </w:r>
      <w:r>
        <w:rPr>
          <w:color w:val="000000"/>
          <w:sz w:val="24"/>
          <w:szCs w:val="24"/>
          <w:lang w:eastAsia="fr-FR"/>
        </w:rPr>
        <w:fldChar w:fldCharType="begin"/>
      </w:r>
      <w:r>
        <w:rPr>
          <w:rFonts w:asciiTheme="minorHAnsi" w:eastAsiaTheme="minorHAnsi" w:hAnsiTheme="minorHAnsi" w:cstheme="minorBidi"/>
        </w:rPr>
        <w:instrText xml:space="preserve"> XE "</w:instrText>
      </w:r>
      <w:r>
        <w:rPr>
          <w:sz w:val="24"/>
          <w:szCs w:val="24"/>
          <w:lang w:eastAsia="fr-FR"/>
        </w:rPr>
        <w:instrText>échantillonnage</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celle dite probabiliste</w:t>
      </w:r>
      <w:r>
        <w:rPr>
          <w:rFonts w:eastAsiaTheme="minorHAnsi"/>
          <w:sz w:val="24"/>
          <w:szCs w:val="24"/>
        </w:rPr>
        <w:t xml:space="preserve">. </w:t>
      </w:r>
      <w:r>
        <w:rPr>
          <w:color w:val="000000"/>
          <w:sz w:val="24"/>
          <w:szCs w:val="24"/>
          <w:lang w:eastAsia="fr-FR"/>
        </w:rPr>
        <w:t xml:space="preserve">La mise en application de la méthode d’échantillonnage stratifiée </w:t>
      </w:r>
      <w:r>
        <w:rPr>
          <w:i/>
          <w:color w:val="000000"/>
          <w:sz w:val="24"/>
          <w:szCs w:val="24"/>
          <w:lang w:eastAsia="fr-FR"/>
        </w:rPr>
        <w:t xml:space="preserve">a priori </w:t>
      </w:r>
      <w:r>
        <w:rPr>
          <w:color w:val="000000"/>
          <w:sz w:val="24"/>
          <w:szCs w:val="24"/>
          <w:lang w:eastAsia="fr-FR"/>
        </w:rPr>
        <w:t>correspond à la description suivante : au début du processus d’échantillonnage nous avons fixé la taille totale de la population de l’étude à 50 apprenants. Tout d’abord, nous avons divisé notre population d’étude en deux strates que représentent les apprenants de CP</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CP</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-A et les apprenants de CP-B. Ensuite nous avons tiré aléatoirement un échantillon (n) de 25 apprenants dans chacune des strates. Enfin, de l’ensemble des échantillons choisis, nous avons obtenu l’échantillon de notre étude ; et c’est celle-ci qui sera soumise à l’analyse. </w:t>
      </w:r>
    </w:p>
    <w:p w14:paraId="39C07474" w14:textId="77777777" w:rsidR="00D80693" w:rsidRPr="00155566" w:rsidRDefault="00D80693" w:rsidP="00735D3E">
      <w:pPr>
        <w:spacing w:before="120"/>
        <w:rPr>
          <w:i/>
          <w:color w:val="272727"/>
          <w:sz w:val="24"/>
          <w:szCs w:val="24"/>
          <w:lang w:eastAsia="fr-FR"/>
        </w:rPr>
      </w:pPr>
      <w:bookmarkStart w:id="349" w:name="_Toc109210084"/>
      <w:bookmarkStart w:id="350" w:name="_Toc108686984"/>
      <w:bookmarkStart w:id="351" w:name="_Toc200340383"/>
      <w:r w:rsidRPr="00155566">
        <w:rPr>
          <w:i/>
          <w:color w:val="272727"/>
          <w:sz w:val="24"/>
          <w:szCs w:val="24"/>
          <w:lang w:eastAsia="fr-FR"/>
        </w:rPr>
        <w:t>Tableau 1 : Représentation de la méthode d’échantillonnage</w:t>
      </w:r>
      <w:r>
        <w:rPr>
          <w:i/>
          <w:color w:val="272727"/>
          <w:sz w:val="24"/>
          <w:szCs w:val="24"/>
          <w:lang w:eastAsia="fr-FR"/>
        </w:rPr>
        <w:fldChar w:fldCharType="begin"/>
      </w:r>
      <w:r w:rsidRPr="00155566">
        <w:rPr>
          <w:i/>
          <w:color w:val="272727"/>
          <w:sz w:val="24"/>
          <w:szCs w:val="24"/>
        </w:rPr>
        <w:instrText xml:space="preserve"> XE "</w:instrText>
      </w:r>
      <w:r w:rsidRPr="00155566">
        <w:rPr>
          <w:i/>
          <w:color w:val="272727"/>
          <w:sz w:val="24"/>
          <w:szCs w:val="24"/>
          <w:lang w:eastAsia="fr-FR"/>
        </w:rPr>
        <w:instrText>échantillonnage</w:instrText>
      </w:r>
      <w:r w:rsidRPr="00155566">
        <w:rPr>
          <w:i/>
          <w:color w:val="272727"/>
          <w:sz w:val="24"/>
          <w:szCs w:val="24"/>
        </w:rPr>
        <w:instrText xml:space="preserve">" </w:instrText>
      </w:r>
      <w:r>
        <w:rPr>
          <w:i/>
          <w:color w:val="272727"/>
          <w:sz w:val="24"/>
          <w:szCs w:val="24"/>
          <w:lang w:eastAsia="fr-FR"/>
        </w:rPr>
        <w:fldChar w:fldCharType="end"/>
      </w:r>
      <w:r w:rsidRPr="00155566">
        <w:rPr>
          <w:i/>
          <w:color w:val="272727"/>
          <w:sz w:val="24"/>
          <w:szCs w:val="24"/>
          <w:lang w:eastAsia="fr-FR"/>
        </w:rPr>
        <w:t xml:space="preserve"> stratifiée a priori (apprenants</w:t>
      </w:r>
      <w:r>
        <w:rPr>
          <w:i/>
          <w:color w:val="272727"/>
          <w:sz w:val="24"/>
          <w:szCs w:val="24"/>
          <w:lang w:eastAsia="fr-FR"/>
        </w:rPr>
        <w:fldChar w:fldCharType="begin"/>
      </w:r>
      <w:r w:rsidRPr="00155566">
        <w:rPr>
          <w:i/>
          <w:color w:val="272727"/>
          <w:sz w:val="24"/>
          <w:szCs w:val="24"/>
        </w:rPr>
        <w:instrText xml:space="preserve"> XE "</w:instrText>
      </w:r>
      <w:r w:rsidRPr="00155566">
        <w:rPr>
          <w:rFonts w:eastAsia="Calibri"/>
          <w:i/>
          <w:color w:val="000000"/>
          <w:sz w:val="24"/>
          <w:szCs w:val="24"/>
        </w:rPr>
        <w:instrText>apprenants</w:instrText>
      </w:r>
      <w:r w:rsidRPr="00155566">
        <w:rPr>
          <w:i/>
          <w:color w:val="272727"/>
          <w:sz w:val="24"/>
          <w:szCs w:val="24"/>
        </w:rPr>
        <w:instrText xml:space="preserve">" </w:instrText>
      </w:r>
      <w:r>
        <w:rPr>
          <w:i/>
          <w:color w:val="272727"/>
          <w:sz w:val="24"/>
          <w:szCs w:val="24"/>
          <w:lang w:eastAsia="fr-FR"/>
        </w:rPr>
        <w:fldChar w:fldCharType="end"/>
      </w:r>
      <w:r w:rsidRPr="00155566">
        <w:rPr>
          <w:i/>
          <w:color w:val="272727"/>
          <w:sz w:val="24"/>
          <w:szCs w:val="24"/>
          <w:lang w:eastAsia="fr-FR"/>
        </w:rPr>
        <w:t>)</w:t>
      </w:r>
      <w:bookmarkEnd w:id="349"/>
      <w:bookmarkEnd w:id="350"/>
      <w:bookmarkEnd w:id="351"/>
    </w:p>
    <w:tbl>
      <w:tblPr>
        <w:tblStyle w:val="TableauGrille5Fonc-Accentuation31"/>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1134"/>
        <w:gridCol w:w="1134"/>
        <w:gridCol w:w="952"/>
        <w:gridCol w:w="1984"/>
        <w:gridCol w:w="1985"/>
      </w:tblGrid>
      <w:tr w:rsidR="00D80693" w14:paraId="6903C18C" w14:textId="77777777" w:rsidTr="00D7232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FFD966"/>
            <w:hideMark/>
          </w:tcPr>
          <w:p w14:paraId="27405C76" w14:textId="77777777" w:rsidR="00D80693" w:rsidRPr="00523971" w:rsidRDefault="00D80693" w:rsidP="00735D3E">
            <w:pPr>
              <w:spacing w:before="120"/>
              <w:jc w:val="center"/>
              <w:rPr>
                <w:b w:val="0"/>
                <w:bCs w:val="0"/>
                <w:color w:val="000000"/>
                <w:sz w:val="20"/>
                <w:szCs w:val="20"/>
              </w:rPr>
            </w:pPr>
            <w:r w:rsidRPr="00523971">
              <w:rPr>
                <w:color w:val="000000"/>
                <w:sz w:val="20"/>
                <w:szCs w:val="20"/>
              </w:rPr>
              <w:t>Moment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6B27D7EE" w14:textId="77777777" w:rsidR="00D80693" w:rsidRPr="00523971" w:rsidRDefault="00D80693" w:rsidP="00735D3E">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23971">
              <w:rPr>
                <w:color w:val="000000"/>
                <w:sz w:val="20"/>
                <w:szCs w:val="20"/>
              </w:rPr>
              <w:t>Strate 1</w:t>
            </w:r>
          </w:p>
          <w:p w14:paraId="7293C716" w14:textId="77777777" w:rsidR="00D80693" w:rsidRPr="00523971" w:rsidRDefault="00D80693" w:rsidP="00735D3E">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23971">
              <w:rPr>
                <w:color w:val="000000"/>
                <w:sz w:val="20"/>
                <w:szCs w:val="20"/>
              </w:rPr>
              <w:t>CP</w:t>
            </w:r>
            <w:r>
              <w:rPr>
                <w:b w:val="0"/>
                <w:bCs w:val="0"/>
                <w:color w:val="000000"/>
                <w:sz w:val="20"/>
                <w:szCs w:val="20"/>
              </w:rPr>
              <w:fldChar w:fldCharType="begin"/>
            </w:r>
            <w:r w:rsidRPr="00523971">
              <w:rPr>
                <w:sz w:val="20"/>
                <w:szCs w:val="20"/>
              </w:rPr>
              <w:instrText xml:space="preserve"> XE "</w:instrText>
            </w:r>
            <w:r w:rsidRPr="00523971">
              <w:rPr>
                <w:color w:val="000000"/>
                <w:sz w:val="20"/>
                <w:szCs w:val="20"/>
              </w:rPr>
              <w:instrText>CP</w:instrText>
            </w:r>
            <w:r w:rsidRPr="00523971">
              <w:rPr>
                <w:sz w:val="20"/>
                <w:szCs w:val="20"/>
              </w:rPr>
              <w:instrText xml:space="preserve">" </w:instrText>
            </w:r>
            <w:r>
              <w:rPr>
                <w:b w:val="0"/>
                <w:bCs w:val="0"/>
                <w:color w:val="000000"/>
                <w:sz w:val="20"/>
                <w:szCs w:val="20"/>
              </w:rPr>
              <w:fldChar w:fldCharType="end"/>
            </w:r>
            <w:r w:rsidRPr="00523971">
              <w:rPr>
                <w:color w:val="000000"/>
                <w:sz w:val="20"/>
                <w:szCs w:val="20"/>
              </w:rPr>
              <w:t>-A</w:t>
            </w:r>
          </w:p>
        </w:tc>
        <w:tc>
          <w:tcPr>
            <w:tcW w:w="2086"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2A497A20" w14:textId="77777777" w:rsidR="00D80693" w:rsidRPr="00523971" w:rsidRDefault="00D80693" w:rsidP="00735D3E">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23971">
              <w:rPr>
                <w:color w:val="000000"/>
                <w:sz w:val="20"/>
                <w:szCs w:val="20"/>
              </w:rPr>
              <w:t>Strate 2</w:t>
            </w:r>
          </w:p>
          <w:p w14:paraId="5FDEDD16" w14:textId="77777777" w:rsidR="00D80693" w:rsidRPr="00523971" w:rsidRDefault="00D80693" w:rsidP="00735D3E">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23971">
              <w:rPr>
                <w:color w:val="000000"/>
                <w:sz w:val="20"/>
                <w:szCs w:val="20"/>
              </w:rPr>
              <w:t>CP</w:t>
            </w:r>
            <w:r>
              <w:rPr>
                <w:b w:val="0"/>
                <w:bCs w:val="0"/>
                <w:color w:val="000000"/>
                <w:sz w:val="20"/>
                <w:szCs w:val="20"/>
              </w:rPr>
              <w:fldChar w:fldCharType="begin"/>
            </w:r>
            <w:r w:rsidRPr="00523971">
              <w:rPr>
                <w:sz w:val="20"/>
                <w:szCs w:val="20"/>
              </w:rPr>
              <w:instrText xml:space="preserve"> XE "</w:instrText>
            </w:r>
            <w:r w:rsidRPr="00523971">
              <w:rPr>
                <w:color w:val="000000"/>
                <w:sz w:val="20"/>
                <w:szCs w:val="20"/>
              </w:rPr>
              <w:instrText>CP</w:instrText>
            </w:r>
            <w:r w:rsidRPr="00523971">
              <w:rPr>
                <w:sz w:val="20"/>
                <w:szCs w:val="20"/>
              </w:rPr>
              <w:instrText xml:space="preserve">" </w:instrText>
            </w:r>
            <w:r>
              <w:rPr>
                <w:b w:val="0"/>
                <w:bCs w:val="0"/>
                <w:color w:val="000000"/>
                <w:sz w:val="20"/>
                <w:szCs w:val="20"/>
              </w:rPr>
              <w:fldChar w:fldCharType="end"/>
            </w:r>
            <w:r w:rsidRPr="00523971">
              <w:rPr>
                <w:color w:val="000000"/>
                <w:sz w:val="20"/>
                <w:szCs w:val="20"/>
              </w:rPr>
              <w:t>-B</w:t>
            </w:r>
          </w:p>
        </w:tc>
        <w:tc>
          <w:tcPr>
            <w:tcW w:w="1984" w:type="dxa"/>
            <w:tcBorders>
              <w:top w:val="single" w:sz="4" w:space="0" w:color="auto"/>
              <w:left w:val="single" w:sz="4" w:space="0" w:color="auto"/>
              <w:bottom w:val="single" w:sz="4" w:space="0" w:color="auto"/>
              <w:right w:val="single" w:sz="4" w:space="0" w:color="auto"/>
            </w:tcBorders>
            <w:shd w:val="clear" w:color="auto" w:fill="FFD966"/>
            <w:hideMark/>
          </w:tcPr>
          <w:p w14:paraId="03D48F6E" w14:textId="77777777" w:rsidR="00D80693" w:rsidRPr="00523971" w:rsidRDefault="00D80693" w:rsidP="00735D3E">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23971">
              <w:rPr>
                <w:color w:val="000000"/>
                <w:sz w:val="20"/>
                <w:szCs w:val="20"/>
              </w:rPr>
              <w:t>N</w:t>
            </w:r>
          </w:p>
        </w:tc>
        <w:tc>
          <w:tcPr>
            <w:tcW w:w="1985" w:type="dxa"/>
            <w:tcBorders>
              <w:top w:val="single" w:sz="4" w:space="0" w:color="auto"/>
              <w:left w:val="single" w:sz="4" w:space="0" w:color="auto"/>
              <w:bottom w:val="single" w:sz="4" w:space="0" w:color="auto"/>
              <w:right w:val="single" w:sz="4" w:space="0" w:color="auto"/>
            </w:tcBorders>
            <w:shd w:val="clear" w:color="auto" w:fill="FFD966"/>
            <w:hideMark/>
          </w:tcPr>
          <w:p w14:paraId="0C8F1ACC" w14:textId="77777777" w:rsidR="00D80693" w:rsidRPr="00523971" w:rsidRDefault="00D80693" w:rsidP="00735D3E">
            <w:pPr>
              <w:spacing w:before="12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23971">
              <w:rPr>
                <w:color w:val="000000"/>
                <w:sz w:val="20"/>
                <w:szCs w:val="20"/>
              </w:rPr>
              <w:t>N</w:t>
            </w:r>
          </w:p>
        </w:tc>
      </w:tr>
      <w:tr w:rsidR="00D80693" w14:paraId="41B12CDF" w14:textId="77777777" w:rsidTr="00D7232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FFD966"/>
            <w:hideMark/>
          </w:tcPr>
          <w:p w14:paraId="502515F7" w14:textId="77777777" w:rsidR="00D80693" w:rsidRPr="00523971" w:rsidRDefault="00D80693" w:rsidP="00735D3E">
            <w:pPr>
              <w:spacing w:before="120"/>
              <w:jc w:val="center"/>
              <w:rPr>
                <w:b w:val="0"/>
                <w:bCs w:val="0"/>
                <w:color w:val="000000"/>
                <w:sz w:val="20"/>
                <w:szCs w:val="20"/>
              </w:rPr>
            </w:pPr>
            <w:r w:rsidRPr="00523971">
              <w:rPr>
                <w:color w:val="000000"/>
                <w:sz w:val="20"/>
                <w:szCs w:val="20"/>
              </w:rPr>
              <w:t>Avant</w:t>
            </w:r>
          </w:p>
        </w:tc>
        <w:tc>
          <w:tcPr>
            <w:tcW w:w="1134" w:type="dxa"/>
            <w:tcBorders>
              <w:top w:val="single" w:sz="4" w:space="0" w:color="auto"/>
              <w:left w:val="single" w:sz="4" w:space="0" w:color="auto"/>
              <w:bottom w:val="single" w:sz="4" w:space="0" w:color="auto"/>
              <w:right w:val="single" w:sz="4" w:space="0" w:color="auto"/>
            </w:tcBorders>
            <w:hideMark/>
          </w:tcPr>
          <w:p w14:paraId="39C8731B" w14:textId="77777777" w:rsidR="00D80693" w:rsidRPr="00523971" w:rsidRDefault="00D80693" w:rsidP="00735D3E">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23971">
              <w:rPr>
                <w:color w:val="000000"/>
                <w:sz w:val="20"/>
                <w:szCs w:val="20"/>
              </w:rPr>
              <w:t>N1= 55</w:t>
            </w:r>
          </w:p>
        </w:tc>
        <w:tc>
          <w:tcPr>
            <w:tcW w:w="1134" w:type="dxa"/>
            <w:tcBorders>
              <w:top w:val="single" w:sz="4" w:space="0" w:color="auto"/>
              <w:left w:val="single" w:sz="4" w:space="0" w:color="auto"/>
              <w:bottom w:val="single" w:sz="4" w:space="0" w:color="auto"/>
              <w:right w:val="single" w:sz="4" w:space="0" w:color="auto"/>
            </w:tcBorders>
            <w:hideMark/>
          </w:tcPr>
          <w:p w14:paraId="59F4AC7F" w14:textId="77777777" w:rsidR="00D80693" w:rsidRPr="00523971" w:rsidRDefault="00D80693" w:rsidP="00735D3E">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roofErr w:type="gramStart"/>
            <w:r w:rsidRPr="00523971">
              <w:rPr>
                <w:color w:val="000000"/>
                <w:sz w:val="20"/>
                <w:szCs w:val="20"/>
              </w:rPr>
              <w:t>n</w:t>
            </w:r>
            <w:proofErr w:type="gramEnd"/>
            <w:r w:rsidRPr="00523971">
              <w:rPr>
                <w:color w:val="000000"/>
                <w:sz w:val="20"/>
                <w:szCs w:val="20"/>
              </w:rPr>
              <w:t>1= 25</w:t>
            </w:r>
          </w:p>
        </w:tc>
        <w:tc>
          <w:tcPr>
            <w:tcW w:w="1134" w:type="dxa"/>
            <w:tcBorders>
              <w:top w:val="single" w:sz="4" w:space="0" w:color="auto"/>
              <w:left w:val="single" w:sz="4" w:space="0" w:color="auto"/>
              <w:bottom w:val="single" w:sz="4" w:space="0" w:color="auto"/>
              <w:right w:val="single" w:sz="4" w:space="0" w:color="auto"/>
            </w:tcBorders>
            <w:hideMark/>
          </w:tcPr>
          <w:p w14:paraId="1A8A6E3D" w14:textId="77777777" w:rsidR="00D80693" w:rsidRPr="00523971" w:rsidRDefault="00D80693" w:rsidP="00735D3E">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23971">
              <w:rPr>
                <w:color w:val="000000"/>
                <w:sz w:val="20"/>
                <w:szCs w:val="20"/>
              </w:rPr>
              <w:t>N2= 60</w:t>
            </w:r>
          </w:p>
        </w:tc>
        <w:tc>
          <w:tcPr>
            <w:tcW w:w="952" w:type="dxa"/>
            <w:tcBorders>
              <w:top w:val="single" w:sz="4" w:space="0" w:color="auto"/>
              <w:left w:val="single" w:sz="4" w:space="0" w:color="auto"/>
              <w:bottom w:val="single" w:sz="4" w:space="0" w:color="auto"/>
              <w:right w:val="single" w:sz="4" w:space="0" w:color="auto"/>
            </w:tcBorders>
            <w:hideMark/>
          </w:tcPr>
          <w:p w14:paraId="4BB3D56E" w14:textId="77777777" w:rsidR="00D80693" w:rsidRPr="00523971" w:rsidRDefault="00D80693" w:rsidP="00735D3E">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roofErr w:type="gramStart"/>
            <w:r w:rsidRPr="00523971">
              <w:rPr>
                <w:color w:val="000000"/>
                <w:sz w:val="20"/>
                <w:szCs w:val="20"/>
              </w:rPr>
              <w:t>n</w:t>
            </w:r>
            <w:proofErr w:type="gramEnd"/>
            <w:r w:rsidRPr="00523971">
              <w:rPr>
                <w:color w:val="000000"/>
                <w:sz w:val="20"/>
                <w:szCs w:val="20"/>
              </w:rPr>
              <w:t>2=25</w:t>
            </w:r>
          </w:p>
        </w:tc>
        <w:tc>
          <w:tcPr>
            <w:tcW w:w="1984" w:type="dxa"/>
            <w:tcBorders>
              <w:top w:val="single" w:sz="4" w:space="0" w:color="auto"/>
              <w:left w:val="single" w:sz="4" w:space="0" w:color="auto"/>
              <w:bottom w:val="single" w:sz="4" w:space="0" w:color="auto"/>
              <w:right w:val="single" w:sz="4" w:space="0" w:color="auto"/>
            </w:tcBorders>
            <w:hideMark/>
          </w:tcPr>
          <w:p w14:paraId="4D0FAA70" w14:textId="77777777" w:rsidR="00D80693" w:rsidRPr="00523971" w:rsidRDefault="00D80693" w:rsidP="00735D3E">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23971">
              <w:rPr>
                <w:color w:val="000000"/>
                <w:sz w:val="20"/>
                <w:szCs w:val="20"/>
              </w:rPr>
              <w:t>N1+N2= (55+60) = 115</w:t>
            </w:r>
          </w:p>
        </w:tc>
        <w:tc>
          <w:tcPr>
            <w:tcW w:w="1985" w:type="dxa"/>
            <w:tcBorders>
              <w:top w:val="single" w:sz="4" w:space="0" w:color="auto"/>
              <w:left w:val="single" w:sz="4" w:space="0" w:color="auto"/>
              <w:bottom w:val="single" w:sz="4" w:space="0" w:color="auto"/>
              <w:right w:val="single" w:sz="4" w:space="0" w:color="auto"/>
            </w:tcBorders>
            <w:hideMark/>
          </w:tcPr>
          <w:p w14:paraId="6D0A5D7B" w14:textId="77777777" w:rsidR="00D80693" w:rsidRPr="00523971" w:rsidRDefault="00D80693" w:rsidP="00735D3E">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roofErr w:type="gramStart"/>
            <w:r w:rsidRPr="00523971">
              <w:rPr>
                <w:color w:val="000000"/>
                <w:sz w:val="20"/>
                <w:szCs w:val="20"/>
              </w:rPr>
              <w:t>n</w:t>
            </w:r>
            <w:proofErr w:type="gramEnd"/>
            <w:r w:rsidRPr="00523971">
              <w:rPr>
                <w:color w:val="000000"/>
                <w:sz w:val="20"/>
                <w:szCs w:val="20"/>
              </w:rPr>
              <w:t>1+n2= (25+</w:t>
            </w:r>
            <w:proofErr w:type="gramStart"/>
            <w:r w:rsidRPr="00523971">
              <w:rPr>
                <w:color w:val="000000"/>
                <w:sz w:val="20"/>
                <w:szCs w:val="20"/>
              </w:rPr>
              <w:t>25)=</w:t>
            </w:r>
            <w:proofErr w:type="gramEnd"/>
            <w:r w:rsidRPr="00523971">
              <w:rPr>
                <w:color w:val="000000"/>
                <w:sz w:val="20"/>
                <w:szCs w:val="20"/>
              </w:rPr>
              <w:t>50</w:t>
            </w:r>
          </w:p>
        </w:tc>
      </w:tr>
    </w:tbl>
    <w:p w14:paraId="45134426" w14:textId="77777777" w:rsidR="00D80693" w:rsidRDefault="00D80693" w:rsidP="00735D3E">
      <w:pPr>
        <w:spacing w:before="120"/>
        <w:jc w:val="center"/>
        <w:rPr>
          <w:color w:val="000000"/>
          <w:sz w:val="24"/>
          <w:szCs w:val="24"/>
          <w:lang w:eastAsia="fr-FR"/>
        </w:rPr>
      </w:pPr>
      <w:r>
        <w:rPr>
          <w:b/>
          <w:i/>
          <w:color w:val="000000"/>
          <w:sz w:val="24"/>
          <w:szCs w:val="24"/>
          <w:lang w:eastAsia="fr-FR"/>
        </w:rPr>
        <w:t>Source</w:t>
      </w:r>
      <w:r>
        <w:rPr>
          <w:i/>
          <w:color w:val="000000"/>
          <w:sz w:val="24"/>
          <w:szCs w:val="24"/>
          <w:lang w:eastAsia="fr-FR"/>
        </w:rPr>
        <w:t> : (</w:t>
      </w:r>
      <w:proofErr w:type="spellStart"/>
      <w:r>
        <w:rPr>
          <w:i/>
          <w:color w:val="000000"/>
          <w:sz w:val="24"/>
          <w:szCs w:val="24"/>
          <w:lang w:eastAsia="fr-FR"/>
        </w:rPr>
        <w:t>Wagni</w:t>
      </w:r>
      <w:proofErr w:type="spellEnd"/>
      <w:r>
        <w:rPr>
          <w:i/>
          <w:color w:val="000000"/>
          <w:sz w:val="24"/>
          <w:szCs w:val="24"/>
          <w:lang w:eastAsia="fr-FR"/>
        </w:rPr>
        <w:t>, 2025)</w:t>
      </w:r>
    </w:p>
    <w:p w14:paraId="0F2A372E" w14:textId="77777777" w:rsidR="00D80693" w:rsidRDefault="00D80693" w:rsidP="00735D3E">
      <w:pPr>
        <w:spacing w:before="120"/>
        <w:jc w:val="both"/>
        <w:rPr>
          <w:color w:val="000000"/>
          <w:sz w:val="24"/>
          <w:szCs w:val="24"/>
          <w:lang w:eastAsia="fr-FR"/>
        </w:rPr>
      </w:pPr>
      <w:r>
        <w:rPr>
          <w:noProof/>
          <w:sz w:val="24"/>
          <w:szCs w:val="24"/>
          <w:lang w:eastAsia="fr-FR"/>
        </w:rPr>
        <mc:AlternateContent>
          <mc:Choice Requires="wps">
            <w:drawing>
              <wp:anchor distT="0" distB="0" distL="0" distR="0" simplePos="0" relativeHeight="487593472" behindDoc="0" locked="0" layoutInCell="1" allowOverlap="1" wp14:anchorId="5E8B0F80" wp14:editId="6FAC0758">
                <wp:simplePos x="0" y="0"/>
                <wp:positionH relativeFrom="column">
                  <wp:posOffset>890270</wp:posOffset>
                </wp:positionH>
                <wp:positionV relativeFrom="paragraph">
                  <wp:posOffset>186055</wp:posOffset>
                </wp:positionV>
                <wp:extent cx="273132" cy="1615440"/>
                <wp:effectExtent l="0" t="0" r="50800" b="22860"/>
                <wp:wrapNone/>
                <wp:docPr id="1875" name="Left Brace 8"/>
                <wp:cNvGraphicFramePr/>
                <a:graphic xmlns:a="http://schemas.openxmlformats.org/drawingml/2006/main">
                  <a:graphicData uri="http://schemas.microsoft.com/office/word/2010/wordprocessingShape">
                    <wps:wsp>
                      <wps:cNvSpPr/>
                      <wps:spPr>
                        <a:xfrm>
                          <a:off x="0" y="0"/>
                          <a:ext cx="273132" cy="1615440"/>
                        </a:xfrm>
                        <a:prstGeom prst="leftBrace">
                          <a:avLst/>
                        </a:prstGeom>
                        <a:ln w="6350">
                          <a:solidFill>
                            <a:srgbClr val="000000"/>
                          </a:solidFill>
                          <a:prstDash val="solid"/>
                          <a:miter lim="0"/>
                          <a:headEnd/>
                          <a:tailEnd/>
                        </a:ln>
                      </wps:spPr>
                      <wps:bodyPr>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44E24E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70.1pt;margin-top:14.65pt;width:21.5pt;height:127.2pt;z-index:48759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" adj="304" strokeweight=".5pt">
                <v:stroke miterlimit="0" joinstyle="miter"/>
              </v:shape>
            </w:pict>
          </mc:Fallback>
        </mc:AlternateContent>
      </w:r>
    </w:p>
    <w:p w14:paraId="61939D3A" w14:textId="77777777" w:rsidR="00D80693" w:rsidRDefault="00D80693" w:rsidP="00735D3E">
      <w:pPr>
        <w:spacing w:before="120"/>
        <w:ind w:firstLine="629"/>
        <w:jc w:val="both"/>
        <w:rPr>
          <w:color w:val="000000"/>
          <w:sz w:val="24"/>
          <w:szCs w:val="24"/>
          <w:lang w:eastAsia="fr-FR"/>
        </w:rPr>
      </w:pPr>
      <w:r>
        <w:rPr>
          <w:color w:val="000000"/>
          <w:sz w:val="24"/>
          <w:szCs w:val="24"/>
          <w:lang w:eastAsia="fr-FR"/>
        </w:rPr>
        <w:t xml:space="preserve">                     N1 : taille totale des apprenants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apprenants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de la classe de CP</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CP</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-A</w:t>
      </w:r>
    </w:p>
    <w:p w14:paraId="770398C7" w14:textId="77777777" w:rsidR="00D80693" w:rsidRDefault="00D80693" w:rsidP="00735D3E">
      <w:pPr>
        <w:spacing w:before="120"/>
        <w:ind w:firstLine="629"/>
        <w:jc w:val="both"/>
        <w:rPr>
          <w:color w:val="000000"/>
          <w:sz w:val="24"/>
          <w:szCs w:val="24"/>
          <w:lang w:eastAsia="fr-FR"/>
        </w:rPr>
      </w:pPr>
      <w:r>
        <w:rPr>
          <w:color w:val="000000"/>
          <w:sz w:val="24"/>
          <w:szCs w:val="24"/>
          <w:lang w:eastAsia="fr-FR"/>
        </w:rPr>
        <w:t xml:space="preserve">                     N2 : taille totale des apprenants</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rPr>
        <w:instrText>apprenants</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de la classe de CP</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CP</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-B</w:t>
      </w:r>
    </w:p>
    <w:p w14:paraId="6008FAE9" w14:textId="77777777" w:rsidR="00D80693" w:rsidRDefault="00D80693" w:rsidP="00735D3E">
      <w:pPr>
        <w:spacing w:before="120"/>
        <w:ind w:firstLine="629"/>
        <w:jc w:val="both"/>
        <w:rPr>
          <w:color w:val="000000"/>
          <w:sz w:val="24"/>
          <w:szCs w:val="24"/>
          <w:lang w:eastAsia="fr-FR"/>
        </w:rPr>
      </w:pPr>
      <w:r>
        <w:rPr>
          <w:b/>
          <w:color w:val="000000"/>
          <w:sz w:val="24"/>
          <w:szCs w:val="24"/>
          <w:lang w:eastAsia="fr-FR"/>
        </w:rPr>
        <w:t>Avec</w:t>
      </w:r>
      <w:r>
        <w:rPr>
          <w:color w:val="000000"/>
          <w:sz w:val="24"/>
          <w:szCs w:val="24"/>
          <w:lang w:eastAsia="fr-FR"/>
        </w:rPr>
        <w:t xml:space="preserve">             n1 : taille de l’échantillon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échantillon</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choisi en classe de CP</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CP</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-A</w:t>
      </w:r>
    </w:p>
    <w:p w14:paraId="538E96C8" w14:textId="77777777" w:rsidR="00D80693" w:rsidRDefault="00D80693" w:rsidP="00735D3E">
      <w:pPr>
        <w:spacing w:before="120"/>
        <w:ind w:firstLine="629"/>
        <w:jc w:val="both"/>
        <w:rPr>
          <w:color w:val="000000"/>
          <w:sz w:val="24"/>
          <w:szCs w:val="24"/>
          <w:lang w:eastAsia="fr-FR"/>
        </w:rPr>
      </w:pPr>
      <w:r>
        <w:rPr>
          <w:color w:val="000000"/>
          <w:sz w:val="24"/>
          <w:szCs w:val="24"/>
          <w:lang w:eastAsia="fr-FR"/>
        </w:rPr>
        <w:t xml:space="preserve">                      </w:t>
      </w:r>
      <w:proofErr w:type="gramStart"/>
      <w:r>
        <w:rPr>
          <w:color w:val="000000"/>
          <w:sz w:val="24"/>
          <w:szCs w:val="24"/>
          <w:lang w:eastAsia="fr-FR"/>
        </w:rPr>
        <w:t>n</w:t>
      </w:r>
      <w:proofErr w:type="gramEnd"/>
      <w:r>
        <w:rPr>
          <w:color w:val="000000"/>
          <w:sz w:val="24"/>
          <w:szCs w:val="24"/>
          <w:lang w:eastAsia="fr-FR"/>
        </w:rPr>
        <w:t>2 : taille de l’échantillon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échantillon</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choisi en classe de CP</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CP</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-B</w:t>
      </w:r>
    </w:p>
    <w:p w14:paraId="203B6434" w14:textId="77777777" w:rsidR="00D80693" w:rsidRDefault="00D80693" w:rsidP="00735D3E">
      <w:pPr>
        <w:spacing w:before="120"/>
        <w:ind w:firstLine="629"/>
        <w:jc w:val="both"/>
        <w:rPr>
          <w:color w:val="000000"/>
          <w:sz w:val="24"/>
          <w:szCs w:val="24"/>
          <w:lang w:eastAsia="fr-FR"/>
        </w:rPr>
      </w:pPr>
      <w:r>
        <w:rPr>
          <w:color w:val="000000"/>
          <w:sz w:val="24"/>
          <w:szCs w:val="24"/>
          <w:lang w:eastAsia="fr-FR"/>
        </w:rPr>
        <w:t xml:space="preserve">                      N : taille totale de la population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cstheme="minorBidi"/>
          <w:color w:val="000000"/>
          <w:sz w:val="20"/>
          <w:szCs w:val="20"/>
        </w:rPr>
        <w:instrText>population</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d’étude</w:t>
      </w:r>
    </w:p>
    <w:p w14:paraId="217FE7CC" w14:textId="77777777" w:rsidR="00D80693" w:rsidRDefault="00D80693" w:rsidP="00735D3E">
      <w:pPr>
        <w:spacing w:before="120"/>
        <w:ind w:firstLine="629"/>
        <w:jc w:val="both"/>
        <w:rPr>
          <w:color w:val="000000"/>
          <w:sz w:val="24"/>
          <w:szCs w:val="24"/>
          <w:lang w:eastAsia="fr-FR"/>
        </w:rPr>
      </w:pPr>
      <w:r>
        <w:rPr>
          <w:color w:val="000000"/>
          <w:sz w:val="24"/>
          <w:szCs w:val="24"/>
          <w:lang w:eastAsia="fr-FR"/>
        </w:rPr>
        <w:t xml:space="preserve">                      </w:t>
      </w:r>
      <w:proofErr w:type="gramStart"/>
      <w:r>
        <w:rPr>
          <w:color w:val="000000"/>
          <w:sz w:val="24"/>
          <w:szCs w:val="24"/>
          <w:lang w:eastAsia="fr-FR"/>
        </w:rPr>
        <w:t>n</w:t>
      </w:r>
      <w:proofErr w:type="gramEnd"/>
      <w:r>
        <w:rPr>
          <w:color w:val="000000"/>
          <w:sz w:val="24"/>
          <w:szCs w:val="24"/>
          <w:lang w:eastAsia="fr-FR"/>
        </w:rPr>
        <w:t xml:space="preserve"> : taille de l’échantillon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échantillon</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final (requis) de l’étude</w:t>
      </w:r>
    </w:p>
    <w:p w14:paraId="42EC4CD5" w14:textId="77777777" w:rsidR="00D80693" w:rsidRDefault="00D80693" w:rsidP="00735D3E">
      <w:pPr>
        <w:spacing w:before="120"/>
        <w:jc w:val="both"/>
        <w:rPr>
          <w:color w:val="000000"/>
          <w:sz w:val="24"/>
          <w:szCs w:val="24"/>
          <w:lang w:eastAsia="fr-FR"/>
        </w:rPr>
      </w:pPr>
      <w:r>
        <w:rPr>
          <w:color w:val="000000"/>
          <w:sz w:val="24"/>
          <w:szCs w:val="24"/>
          <w:lang w:eastAsia="fr-FR"/>
        </w:rPr>
        <w:t>Cette méthode d’échantillonnage nous permet d’obtenir un échantillon final (n) plus homogène, soit 25 pour le groupe témoin (CP-A) et 25 pour le groupe expérimental (CP-B).</w:t>
      </w:r>
    </w:p>
    <w:p w14:paraId="7E4C6B68" w14:textId="77777777" w:rsidR="00D80693" w:rsidRPr="00CC33C5" w:rsidRDefault="00D80693" w:rsidP="00735D3E">
      <w:pPr>
        <w:pStyle w:val="Paragraphedeliste"/>
        <w:widowControl/>
        <w:numPr>
          <w:ilvl w:val="1"/>
          <w:numId w:val="195"/>
        </w:numPr>
        <w:autoSpaceDE/>
        <w:autoSpaceDN/>
        <w:spacing w:after="160"/>
        <w:rPr>
          <w:rFonts w:eastAsia="Calibri"/>
          <w:b/>
          <w:sz w:val="24"/>
          <w:szCs w:val="24"/>
        </w:rPr>
      </w:pPr>
      <w:r>
        <w:rPr>
          <w:rFonts w:eastAsiaTheme="minorHAnsi"/>
          <w:sz w:val="24"/>
          <w:szCs w:val="24"/>
        </w:rPr>
        <w:t xml:space="preserve"> </w:t>
      </w:r>
      <w:r w:rsidRPr="00CC33C5">
        <w:rPr>
          <w:rFonts w:eastAsiaTheme="minorHAnsi"/>
          <w:b/>
          <w:sz w:val="24"/>
        </w:rPr>
        <w:t>Description du site de recherche</w:t>
      </w:r>
      <w:r>
        <w:rPr>
          <w:b/>
          <w:sz w:val="24"/>
        </w:rPr>
        <w:fldChar w:fldCharType="begin"/>
      </w:r>
      <w:r w:rsidRPr="00CC33C5">
        <w:rPr>
          <w:rFonts w:eastAsiaTheme="minorHAnsi"/>
          <w:b/>
          <w:sz w:val="24"/>
        </w:rPr>
        <w:instrText xml:space="preserve"> XE "</w:instrText>
      </w:r>
      <w:r w:rsidRPr="00CC33C5">
        <w:rPr>
          <w:rFonts w:eastAsia="Calibri"/>
          <w:b/>
          <w:color w:val="000000"/>
          <w:sz w:val="24"/>
        </w:rPr>
        <w:instrText>recherche</w:instrText>
      </w:r>
      <w:r w:rsidRPr="00CC33C5">
        <w:rPr>
          <w:rFonts w:eastAsiaTheme="minorHAnsi"/>
          <w:b/>
          <w:sz w:val="24"/>
        </w:rPr>
        <w:instrText xml:space="preserve">" </w:instrText>
      </w:r>
      <w:r>
        <w:rPr>
          <w:b/>
          <w:sz w:val="24"/>
        </w:rPr>
        <w:fldChar w:fldCharType="end"/>
      </w:r>
      <w:r w:rsidRPr="00CC33C5">
        <w:rPr>
          <w:rFonts w:eastAsiaTheme="minorHAnsi"/>
          <w:b/>
          <w:sz w:val="24"/>
        </w:rPr>
        <w:t xml:space="preserve"> et des apprenants cibles </w:t>
      </w:r>
    </w:p>
    <w:p w14:paraId="19C37B20" w14:textId="3AA89AE0" w:rsidR="00D80693" w:rsidRPr="00CC33C5" w:rsidRDefault="00D80693" w:rsidP="00735D3E">
      <w:pPr>
        <w:spacing w:before="120"/>
        <w:jc w:val="both"/>
        <w:rPr>
          <w:rFonts w:ascii="Calibri" w:eastAsia="Calibri" w:hAnsi="Calibri"/>
        </w:rPr>
      </w:pPr>
      <w:r w:rsidRPr="00CC33C5">
        <w:rPr>
          <w:color w:val="000000"/>
          <w:sz w:val="24"/>
          <w:szCs w:val="24"/>
          <w:lang w:eastAsia="fr-FR"/>
        </w:rPr>
        <w:t>La collecte des données de cette étude a été menée à l’école</w:t>
      </w:r>
      <w:r>
        <w:rPr>
          <w:color w:val="000000"/>
          <w:sz w:val="24"/>
          <w:szCs w:val="24"/>
          <w:lang w:eastAsia="fr-FR"/>
        </w:rPr>
        <w:fldChar w:fldCharType="begin"/>
      </w:r>
      <w:r>
        <w:rPr>
          <w:rFonts w:asciiTheme="minorHAnsi" w:eastAsiaTheme="minorHAnsi" w:hAnsiTheme="minorHAnsi" w:cstheme="minorBidi"/>
        </w:rPr>
        <w:instrText xml:space="preserve"> XE "</w:instrText>
      </w:r>
      <w:r w:rsidRPr="00CC33C5">
        <w:rPr>
          <w:rFonts w:eastAsiaTheme="minorHAnsi"/>
          <w:color w:val="000000"/>
          <w:sz w:val="24"/>
        </w:rPr>
        <w:instrText>école</w:instrText>
      </w:r>
      <w:r>
        <w:rPr>
          <w:rFonts w:asciiTheme="minorHAnsi" w:eastAsiaTheme="minorHAnsi" w:hAnsiTheme="minorHAnsi" w:cstheme="minorBidi"/>
        </w:rPr>
        <w:instrText xml:space="preserve">" </w:instrText>
      </w:r>
      <w:r>
        <w:rPr>
          <w:color w:val="000000"/>
          <w:sz w:val="24"/>
          <w:szCs w:val="24"/>
          <w:lang w:eastAsia="fr-FR"/>
        </w:rPr>
        <w:fldChar w:fldCharType="end"/>
      </w:r>
      <w:r w:rsidRPr="00CC33C5">
        <w:rPr>
          <w:color w:val="000000"/>
          <w:sz w:val="24"/>
          <w:szCs w:val="24"/>
          <w:lang w:eastAsia="fr-FR"/>
        </w:rPr>
        <w:t xml:space="preserve"> départementale de Melen III. Cet établissement public du primaire</w:t>
      </w:r>
      <w:r>
        <w:rPr>
          <w:color w:val="000000"/>
          <w:sz w:val="24"/>
          <w:szCs w:val="24"/>
          <w:lang w:eastAsia="fr-FR"/>
        </w:rPr>
        <w:fldChar w:fldCharType="begin"/>
      </w:r>
      <w:r>
        <w:rPr>
          <w:rFonts w:asciiTheme="minorHAnsi" w:eastAsiaTheme="minorHAnsi" w:hAnsiTheme="minorHAnsi" w:cstheme="minorBidi"/>
        </w:rPr>
        <w:instrText xml:space="preserve"> XE "</w:instrText>
      </w:r>
      <w:r w:rsidRPr="00CC33C5">
        <w:rPr>
          <w:rFonts w:eastAsiaTheme="minorHAnsi"/>
          <w:color w:val="000000"/>
          <w:sz w:val="24"/>
          <w:szCs w:val="24"/>
        </w:rPr>
        <w:instrText>primaire</w:instrText>
      </w:r>
      <w:r>
        <w:rPr>
          <w:rFonts w:asciiTheme="minorHAnsi" w:eastAsiaTheme="minorHAnsi" w:hAnsiTheme="minorHAnsi" w:cstheme="minorBidi"/>
        </w:rPr>
        <w:instrText xml:space="preserve">" </w:instrText>
      </w:r>
      <w:r>
        <w:rPr>
          <w:color w:val="000000"/>
          <w:sz w:val="24"/>
          <w:szCs w:val="24"/>
          <w:lang w:eastAsia="fr-FR"/>
        </w:rPr>
        <w:fldChar w:fldCharType="end"/>
      </w:r>
      <w:r w:rsidRPr="00CC33C5">
        <w:rPr>
          <w:color w:val="000000"/>
          <w:sz w:val="24"/>
          <w:szCs w:val="24"/>
          <w:lang w:eastAsia="fr-FR"/>
        </w:rPr>
        <w:t xml:space="preserve"> se trouve dans le département du </w:t>
      </w:r>
      <w:proofErr w:type="spellStart"/>
      <w:r w:rsidRPr="00CC33C5">
        <w:rPr>
          <w:color w:val="000000"/>
          <w:sz w:val="24"/>
          <w:szCs w:val="24"/>
          <w:lang w:eastAsia="fr-FR"/>
        </w:rPr>
        <w:t>Mfoundi</w:t>
      </w:r>
      <w:proofErr w:type="spellEnd"/>
      <w:r w:rsidRPr="00CC33C5">
        <w:rPr>
          <w:color w:val="000000"/>
          <w:sz w:val="24"/>
          <w:szCs w:val="24"/>
          <w:lang w:eastAsia="fr-FR"/>
        </w:rPr>
        <w:t xml:space="preserve">, arrondissement de Yaoundé III (chef-lieu- Yaoundé). </w:t>
      </w:r>
      <w:r>
        <w:rPr>
          <w:color w:val="000000"/>
          <w:sz w:val="24"/>
          <w:szCs w:val="24"/>
          <w:lang w:eastAsia="fr-FR"/>
        </w:rPr>
        <w:t>Cette étude concerne les apprenants de la classe du CP dont la tranche d’âge moyenne de 4-7 ans.</w:t>
      </w:r>
      <w:r>
        <w:rPr>
          <w:rFonts w:asciiTheme="minorHAnsi" w:eastAsiaTheme="minorHAnsi" w:hAnsiTheme="minorHAnsi" w:cstheme="minorBidi"/>
        </w:rPr>
        <w:t xml:space="preserve"> </w:t>
      </w:r>
      <w:r>
        <w:rPr>
          <w:color w:val="000000"/>
          <w:sz w:val="24"/>
          <w:szCs w:val="24"/>
          <w:lang w:eastAsia="fr-FR"/>
        </w:rPr>
        <w:t xml:space="preserve">La classe de CP est la classe </w:t>
      </w:r>
      <w:r>
        <w:rPr>
          <w:i/>
          <w:color w:val="000000"/>
          <w:sz w:val="24"/>
          <w:szCs w:val="24"/>
          <w:lang w:eastAsia="fr-FR"/>
        </w:rPr>
        <w:t xml:space="preserve">senior </w:t>
      </w:r>
      <w:r>
        <w:rPr>
          <w:color w:val="000000"/>
          <w:sz w:val="24"/>
          <w:szCs w:val="24"/>
          <w:lang w:eastAsia="fr-FR"/>
        </w:rPr>
        <w:t>du cycle d’initiation dans laquelle les apprenants sont au stade 03 du développement</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développement</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mental : celui des opérations concrètes. À ce stade les apprenants sont initiés à objectiver, à conduire des actions réversibles sur les objets, à entrer en relation</w:t>
      </w:r>
      <w:r>
        <w:rPr>
          <w:color w:val="000000"/>
          <w:sz w:val="24"/>
          <w:szCs w:val="24"/>
          <w:lang w:eastAsia="fr-FR"/>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relation</w:instrText>
      </w:r>
      <w:r>
        <w:rPr>
          <w:rFonts w:asciiTheme="minorHAnsi" w:eastAsiaTheme="minorHAnsi" w:hAnsiTheme="minorHAnsi" w:cstheme="minorBidi"/>
        </w:rPr>
        <w:instrText xml:space="preserve">" </w:instrText>
      </w:r>
      <w:r>
        <w:rPr>
          <w:color w:val="000000"/>
          <w:sz w:val="24"/>
          <w:szCs w:val="24"/>
          <w:lang w:eastAsia="fr-FR"/>
        </w:rPr>
        <w:fldChar w:fldCharType="end"/>
      </w:r>
      <w:r>
        <w:rPr>
          <w:color w:val="000000"/>
          <w:sz w:val="24"/>
          <w:szCs w:val="24"/>
          <w:lang w:eastAsia="fr-FR"/>
        </w:rPr>
        <w:t xml:space="preserve"> avec le milieu, à conduire des opérations logicomathématiques. </w:t>
      </w:r>
    </w:p>
    <w:p w14:paraId="7B573D02" w14:textId="77777777" w:rsidR="00D80693" w:rsidRPr="00AF5B19" w:rsidRDefault="00D80693" w:rsidP="00735D3E">
      <w:pPr>
        <w:pStyle w:val="Paragraphedeliste"/>
        <w:widowControl/>
        <w:numPr>
          <w:ilvl w:val="1"/>
          <w:numId w:val="195"/>
        </w:numPr>
        <w:autoSpaceDE/>
        <w:autoSpaceDN/>
        <w:spacing w:after="160"/>
        <w:rPr>
          <w:rFonts w:eastAsia="Calibri"/>
          <w:color w:val="000000"/>
          <w:sz w:val="24"/>
          <w:szCs w:val="24"/>
        </w:rPr>
      </w:pPr>
      <w:r w:rsidRPr="00AF5B19">
        <w:rPr>
          <w:color w:val="000000"/>
          <w:sz w:val="24"/>
          <w:szCs w:val="24"/>
          <w:lang w:eastAsia="fr-FR"/>
        </w:rPr>
        <w:t xml:space="preserve"> </w:t>
      </w:r>
      <w:r w:rsidRPr="00AF5B19">
        <w:rPr>
          <w:rFonts w:eastAsia="Calibri"/>
          <w:b/>
          <w:color w:val="000000"/>
          <w:sz w:val="24"/>
          <w:szCs w:val="24"/>
        </w:rPr>
        <w:t>Méthode</w:t>
      </w:r>
      <w:r>
        <w:rPr>
          <w:rFonts w:eastAsia="Calibri"/>
          <w:b/>
          <w:color w:val="000000"/>
          <w:sz w:val="24"/>
          <w:szCs w:val="24"/>
        </w:rPr>
        <w:t xml:space="preserve">, </w:t>
      </w:r>
      <w:r w:rsidRPr="00AF5B19">
        <w:rPr>
          <w:rFonts w:eastAsia="Calibri"/>
          <w:b/>
          <w:color w:val="000000"/>
          <w:sz w:val="24"/>
          <w:szCs w:val="24"/>
        </w:rPr>
        <w:t>te</w:t>
      </w:r>
      <w:r>
        <w:rPr>
          <w:rFonts w:eastAsia="Calibri"/>
          <w:b/>
          <w:color w:val="000000"/>
          <w:sz w:val="24"/>
          <w:szCs w:val="24"/>
        </w:rPr>
        <w:t>chnique, instrument et outil de collecte des données</w:t>
      </w:r>
    </w:p>
    <w:p w14:paraId="5CCC7361" w14:textId="77777777" w:rsidR="00D80693" w:rsidRPr="00AF5B19" w:rsidRDefault="00D80693" w:rsidP="00735D3E">
      <w:pPr>
        <w:spacing w:before="120"/>
        <w:jc w:val="both"/>
        <w:rPr>
          <w:color w:val="000000"/>
          <w:sz w:val="24"/>
          <w:szCs w:val="24"/>
          <w:lang w:eastAsia="fr-FR"/>
        </w:rPr>
      </w:pPr>
      <w:r>
        <w:rPr>
          <w:rFonts w:eastAsia="Calibri"/>
          <w:sz w:val="24"/>
        </w:rPr>
        <w:t xml:space="preserve">Sur la base du dispositif de la pratique </w:t>
      </w:r>
      <w:proofErr w:type="spellStart"/>
      <w:r>
        <w:rPr>
          <w:rFonts w:eastAsia="Calibri"/>
          <w:sz w:val="24"/>
        </w:rPr>
        <w:t>chiroutérienne</w:t>
      </w:r>
      <w:proofErr w:type="spellEnd"/>
      <w:r>
        <w:rPr>
          <w:rFonts w:eastAsia="Calibri"/>
          <w:sz w:val="24"/>
        </w:rPr>
        <w:t xml:space="preserve"> adapté en ARPD, nous avons utilisé </w:t>
      </w:r>
      <w:r w:rsidRPr="000847EC">
        <w:rPr>
          <w:rFonts w:eastAsia="Calibri"/>
          <w:i/>
          <w:sz w:val="24"/>
        </w:rPr>
        <w:t xml:space="preserve">l’enregistrement </w:t>
      </w:r>
      <w:proofErr w:type="spellStart"/>
      <w:r w:rsidRPr="000847EC">
        <w:rPr>
          <w:rFonts w:eastAsia="Calibri"/>
          <w:i/>
          <w:sz w:val="24"/>
        </w:rPr>
        <w:t>vidéoscopique</w:t>
      </w:r>
      <w:proofErr w:type="spellEnd"/>
      <w:r>
        <w:rPr>
          <w:rFonts w:eastAsia="Calibri"/>
          <w:sz w:val="24"/>
        </w:rPr>
        <w:t xml:space="preserve"> comme méthode de collecte des données à analyser. </w:t>
      </w:r>
      <w:r>
        <w:rPr>
          <w:color w:val="000000"/>
          <w:sz w:val="24"/>
          <w:szCs w:val="24"/>
          <w:lang w:eastAsia="fr-FR"/>
        </w:rPr>
        <w:t>L</w:t>
      </w:r>
      <w:r w:rsidRPr="0082614D">
        <w:rPr>
          <w:color w:val="000000"/>
          <w:sz w:val="24"/>
          <w:szCs w:val="24"/>
          <w:lang w:eastAsia="fr-FR"/>
        </w:rPr>
        <w:t xml:space="preserve">e recours à la </w:t>
      </w:r>
      <w:proofErr w:type="spellStart"/>
      <w:r w:rsidRPr="0082614D">
        <w:rPr>
          <w:color w:val="000000"/>
          <w:sz w:val="24"/>
          <w:szCs w:val="24"/>
          <w:lang w:eastAsia="fr-FR"/>
        </w:rPr>
        <w:t>vidéoscopie</w:t>
      </w:r>
      <w:proofErr w:type="spellEnd"/>
      <w:r w:rsidRPr="0082614D">
        <w:rPr>
          <w:color w:val="000000"/>
          <w:sz w:val="24"/>
          <w:szCs w:val="24"/>
          <w:lang w:eastAsia="fr-FR"/>
        </w:rPr>
        <w:t xml:space="preserve"> dans les dispositi</w:t>
      </w:r>
      <w:r>
        <w:rPr>
          <w:color w:val="000000"/>
          <w:sz w:val="24"/>
          <w:szCs w:val="24"/>
          <w:lang w:eastAsia="fr-FR"/>
        </w:rPr>
        <w:t>fs didactiques vise à expliquer</w:t>
      </w:r>
      <w:r w:rsidRPr="0082614D">
        <w:rPr>
          <w:color w:val="000000"/>
          <w:sz w:val="24"/>
          <w:szCs w:val="24"/>
          <w:lang w:eastAsia="fr-FR"/>
        </w:rPr>
        <w:t xml:space="preserve"> à partir d</w:t>
      </w:r>
      <w:r>
        <w:rPr>
          <w:color w:val="000000"/>
          <w:sz w:val="24"/>
          <w:szCs w:val="24"/>
          <w:lang w:eastAsia="fr-FR"/>
        </w:rPr>
        <w:t xml:space="preserve">’une </w:t>
      </w:r>
      <w:r w:rsidRPr="000847EC">
        <w:rPr>
          <w:i/>
          <w:color w:val="000000"/>
          <w:sz w:val="24"/>
          <w:szCs w:val="24"/>
          <w:lang w:eastAsia="fr-FR"/>
        </w:rPr>
        <w:t xml:space="preserve">observation </w:t>
      </w:r>
      <w:proofErr w:type="spellStart"/>
      <w:r w:rsidRPr="000847EC">
        <w:rPr>
          <w:i/>
          <w:color w:val="000000"/>
          <w:sz w:val="24"/>
          <w:szCs w:val="24"/>
          <w:lang w:eastAsia="fr-FR"/>
        </w:rPr>
        <w:t>vidéoscopée</w:t>
      </w:r>
      <w:proofErr w:type="spellEnd"/>
      <w:r w:rsidRPr="000847EC">
        <w:rPr>
          <w:i/>
          <w:color w:val="000000"/>
          <w:sz w:val="24"/>
          <w:szCs w:val="24"/>
          <w:lang w:eastAsia="fr-FR"/>
        </w:rPr>
        <w:t xml:space="preserve"> </w:t>
      </w:r>
      <w:r>
        <w:rPr>
          <w:color w:val="000000"/>
          <w:sz w:val="24"/>
          <w:szCs w:val="24"/>
          <w:lang w:eastAsia="fr-FR"/>
        </w:rPr>
        <w:t xml:space="preserve">(technique) </w:t>
      </w:r>
      <w:r w:rsidRPr="0082614D">
        <w:rPr>
          <w:color w:val="000000"/>
          <w:sz w:val="24"/>
          <w:szCs w:val="24"/>
          <w:lang w:eastAsia="fr-FR"/>
        </w:rPr>
        <w:t>les actes d</w:t>
      </w:r>
      <w:r>
        <w:rPr>
          <w:color w:val="000000"/>
          <w:sz w:val="24"/>
          <w:szCs w:val="24"/>
          <w:lang w:eastAsia="fr-FR"/>
        </w:rPr>
        <w:t>’</w:t>
      </w:r>
      <w:r w:rsidRPr="0082614D">
        <w:rPr>
          <w:color w:val="000000"/>
          <w:sz w:val="24"/>
          <w:szCs w:val="24"/>
          <w:lang w:eastAsia="fr-FR"/>
        </w:rPr>
        <w:t>enseignement</w:t>
      </w:r>
      <w:r>
        <w:rPr>
          <w:color w:val="000000"/>
          <w:sz w:val="24"/>
          <w:szCs w:val="24"/>
          <w:lang w:eastAsia="fr-FR"/>
        </w:rPr>
        <w:t xml:space="preserve">-apprentissage au philosopher avec les enfants jugés trop complexes mais </w:t>
      </w:r>
      <w:r w:rsidRPr="0082614D">
        <w:rPr>
          <w:color w:val="000000"/>
          <w:sz w:val="24"/>
          <w:szCs w:val="24"/>
          <w:lang w:eastAsia="fr-FR"/>
        </w:rPr>
        <w:t>qui sont</w:t>
      </w:r>
      <w:r>
        <w:rPr>
          <w:color w:val="000000"/>
          <w:sz w:val="24"/>
          <w:szCs w:val="24"/>
          <w:lang w:eastAsia="fr-FR"/>
        </w:rPr>
        <w:t xml:space="preserve"> au service du développement des habiletés de pensée chez les tout-petits</w:t>
      </w:r>
      <w:r w:rsidRPr="000847EC">
        <w:rPr>
          <w:i/>
          <w:color w:val="000000"/>
          <w:sz w:val="24"/>
          <w:szCs w:val="24"/>
          <w:lang w:eastAsia="fr-FR"/>
        </w:rPr>
        <w:t xml:space="preserve">. </w:t>
      </w:r>
      <w:r w:rsidRPr="000847EC">
        <w:rPr>
          <w:bCs/>
          <w:i/>
          <w:color w:val="000000"/>
          <w:sz w:val="24"/>
          <w:szCs w:val="24"/>
          <w:lang w:eastAsia="fr-FR"/>
        </w:rPr>
        <w:t>La discussion de groupe</w:t>
      </w:r>
      <w:r w:rsidRPr="0082614D">
        <w:rPr>
          <w:bCs/>
          <w:color w:val="000000"/>
          <w:sz w:val="24"/>
          <w:szCs w:val="24"/>
          <w:lang w:eastAsia="fr-FR"/>
        </w:rPr>
        <w:t xml:space="preserve"> est l</w:t>
      </w:r>
      <w:r>
        <w:rPr>
          <w:bCs/>
          <w:color w:val="000000"/>
          <w:sz w:val="24"/>
          <w:szCs w:val="24"/>
          <w:lang w:eastAsia="fr-FR"/>
        </w:rPr>
        <w:t>’instrument</w:t>
      </w:r>
      <w:r w:rsidRPr="0082614D">
        <w:rPr>
          <w:bCs/>
          <w:color w:val="000000"/>
          <w:sz w:val="24"/>
          <w:szCs w:val="24"/>
          <w:lang w:eastAsia="fr-FR"/>
        </w:rPr>
        <w:t xml:space="preserve"> qui a permis de collecter la base de données auprès des </w:t>
      </w:r>
      <w:r>
        <w:rPr>
          <w:bCs/>
          <w:color w:val="000000"/>
          <w:sz w:val="24"/>
          <w:szCs w:val="24"/>
          <w:lang w:eastAsia="fr-FR"/>
        </w:rPr>
        <w:t xml:space="preserve">25 </w:t>
      </w:r>
      <w:r w:rsidRPr="0082614D">
        <w:rPr>
          <w:bCs/>
          <w:color w:val="000000"/>
          <w:sz w:val="24"/>
          <w:szCs w:val="24"/>
          <w:lang w:eastAsia="fr-FR"/>
        </w:rPr>
        <w:t>apprenants</w:t>
      </w:r>
      <w:r>
        <w:rPr>
          <w:color w:val="000000"/>
          <w:sz w:val="24"/>
          <w:szCs w:val="24"/>
          <w:lang w:eastAsia="fr-FR"/>
        </w:rPr>
        <w:t xml:space="preserve"> (11 filles et 14 garçons) à partir </w:t>
      </w:r>
      <w:r w:rsidRPr="000847EC">
        <w:rPr>
          <w:i/>
          <w:color w:val="000000"/>
          <w:sz w:val="24"/>
          <w:szCs w:val="24"/>
          <w:lang w:eastAsia="fr-FR"/>
        </w:rPr>
        <w:t>d’un instrument</w:t>
      </w:r>
      <w:r>
        <w:rPr>
          <w:color w:val="000000"/>
          <w:sz w:val="24"/>
          <w:szCs w:val="24"/>
          <w:lang w:eastAsia="fr-FR"/>
        </w:rPr>
        <w:t xml:space="preserve"> (la caméra d’un téléphone androïde fixé à une accroche).</w:t>
      </w:r>
      <w:r w:rsidRPr="00AF5B19">
        <w:rPr>
          <w:color w:val="000000"/>
          <w:sz w:val="24"/>
          <w:szCs w:val="24"/>
          <w:lang w:eastAsia="fr-FR"/>
        </w:rPr>
        <w:t xml:space="preserve"> </w:t>
      </w:r>
    </w:p>
    <w:p w14:paraId="2A73419B" w14:textId="77777777" w:rsidR="00D80693" w:rsidRPr="0059063B" w:rsidRDefault="00D80693" w:rsidP="00735D3E">
      <w:pPr>
        <w:pStyle w:val="Paragraphedeliste"/>
        <w:widowControl/>
        <w:numPr>
          <w:ilvl w:val="1"/>
          <w:numId w:val="195"/>
        </w:numPr>
        <w:autoSpaceDE/>
        <w:autoSpaceDN/>
        <w:spacing w:after="160"/>
        <w:rPr>
          <w:color w:val="000000"/>
          <w:sz w:val="24"/>
          <w:szCs w:val="24"/>
          <w:lang w:eastAsia="fr-FR"/>
        </w:rPr>
      </w:pPr>
      <w:r w:rsidRPr="004F1CD5">
        <w:rPr>
          <w:i/>
          <w:color w:val="000000"/>
          <w:sz w:val="24"/>
          <w:szCs w:val="24"/>
          <w:lang w:eastAsia="fr-FR"/>
        </w:rPr>
        <w:t xml:space="preserve"> </w:t>
      </w:r>
      <w:r>
        <w:rPr>
          <w:b/>
          <w:color w:val="000000"/>
          <w:sz w:val="24"/>
          <w:szCs w:val="24"/>
          <w:lang w:eastAsia="fr-FR"/>
        </w:rPr>
        <w:t xml:space="preserve">Mise en œuvre de la collecte </w:t>
      </w:r>
    </w:p>
    <w:p w14:paraId="22A8AA55" w14:textId="77777777" w:rsidR="00D80693" w:rsidRPr="0059063B" w:rsidRDefault="00D80693" w:rsidP="00735D3E">
      <w:pPr>
        <w:spacing w:before="120"/>
        <w:jc w:val="both"/>
        <w:rPr>
          <w:color w:val="000000"/>
          <w:sz w:val="24"/>
          <w:szCs w:val="24"/>
          <w:lang w:eastAsia="fr-FR"/>
        </w:rPr>
      </w:pPr>
      <w:r>
        <w:rPr>
          <w:rFonts w:eastAsiaTheme="minorHAnsi"/>
          <w:sz w:val="24"/>
          <w:szCs w:val="24"/>
        </w:rPr>
        <w:t>L</w:t>
      </w:r>
      <w:r w:rsidRPr="0059063B">
        <w:rPr>
          <w:rFonts w:eastAsiaTheme="minorHAnsi"/>
          <w:sz w:val="24"/>
          <w:szCs w:val="24"/>
        </w:rPr>
        <w:t xml:space="preserve">e test soumis au groupe expérimental a été conçu sur le modèle d’un test APC. La validité et la fiabilité du test ont été confirmées par les enseignants des classes de CP (A) et de CP (B) et par nos directrices de recherche. Le test proposé aux apprenants est élaboré au niveau cognitif de ces derniers et cherche, à travers la production personnelle de la pensée autonome, à vérifier le développement </w:t>
      </w:r>
      <w:r>
        <w:rPr>
          <w:rFonts w:eastAsiaTheme="minorHAnsi"/>
          <w:sz w:val="24"/>
          <w:szCs w:val="24"/>
        </w:rPr>
        <w:t xml:space="preserve">de </w:t>
      </w:r>
      <w:r w:rsidRPr="0059063B">
        <w:rPr>
          <w:rFonts w:eastAsiaTheme="minorHAnsi"/>
          <w:sz w:val="24"/>
          <w:szCs w:val="24"/>
        </w:rPr>
        <w:t>la pensée réflexive chez ces enfants en cycle d’initiation primaire.</w:t>
      </w:r>
    </w:p>
    <w:p w14:paraId="3B9B3C3F" w14:textId="77777777" w:rsidR="00D80693" w:rsidRPr="00155566" w:rsidRDefault="00D80693" w:rsidP="00735D3E">
      <w:pPr>
        <w:spacing w:before="120"/>
        <w:rPr>
          <w:b/>
          <w:iCs/>
          <w:color w:val="0D0D0D"/>
          <w:sz w:val="24"/>
          <w:szCs w:val="24"/>
          <w:lang w:eastAsia="fr-FR"/>
        </w:rPr>
      </w:pPr>
      <w:r>
        <w:rPr>
          <w:b/>
          <w:iCs/>
          <w:color w:val="0D0D0D"/>
          <w:sz w:val="24"/>
          <w:szCs w:val="24"/>
          <w:lang w:eastAsia="fr-FR"/>
        </w:rPr>
        <w:t xml:space="preserve">2.4.1. </w:t>
      </w:r>
      <w:r w:rsidRPr="00155566">
        <w:rPr>
          <w:b/>
          <w:iCs/>
          <w:color w:val="0D0D0D"/>
          <w:sz w:val="24"/>
          <w:szCs w:val="24"/>
          <w:lang w:eastAsia="fr-FR"/>
        </w:rPr>
        <w:t>En amont de l’enregistrement des séances : les activités préparatoires</w:t>
      </w:r>
    </w:p>
    <w:p w14:paraId="4D630DA9" w14:textId="77777777" w:rsidR="00D80693" w:rsidRPr="00F52056" w:rsidRDefault="00D80693" w:rsidP="00735D3E">
      <w:pPr>
        <w:spacing w:before="120"/>
        <w:jc w:val="both"/>
        <w:rPr>
          <w:rFonts w:eastAsia="Calibri"/>
          <w:sz w:val="24"/>
          <w:szCs w:val="24"/>
        </w:rPr>
      </w:pPr>
      <w:r w:rsidRPr="00521003">
        <w:rPr>
          <w:color w:val="000000"/>
          <w:sz w:val="24"/>
          <w:szCs w:val="24"/>
          <w:lang w:eastAsia="fr-FR"/>
        </w:rPr>
        <w:t>Le préalable concerne ici le choix des moments d’enregistrements : l’expérimentation du dispositif de l’atelier de réflexion philosophique et démocratique (ARPD) a été mis</w:t>
      </w:r>
      <w:r>
        <w:rPr>
          <w:color w:val="000000"/>
          <w:sz w:val="24"/>
          <w:szCs w:val="24"/>
          <w:lang w:eastAsia="fr-FR"/>
        </w:rPr>
        <w:t>e</w:t>
      </w:r>
      <w:r w:rsidRPr="00521003">
        <w:rPr>
          <w:color w:val="000000"/>
          <w:sz w:val="24"/>
          <w:szCs w:val="24"/>
          <w:lang w:eastAsia="fr-FR"/>
        </w:rPr>
        <w:t xml:space="preserve"> en œuvre le 08 mai 2024 en matinée (8h-8h45min) en salle d’atelier de l’école départemental groupe 1. </w:t>
      </w:r>
      <w:r>
        <w:rPr>
          <w:color w:val="000000"/>
          <w:sz w:val="24"/>
          <w:szCs w:val="24"/>
          <w:lang w:eastAsia="fr-FR"/>
        </w:rPr>
        <w:t>Outre que les outils d’enregistrements (camera, visuel), l</w:t>
      </w:r>
      <w:r w:rsidRPr="00521003">
        <w:rPr>
          <w:color w:val="000000"/>
          <w:sz w:val="24"/>
          <w:szCs w:val="24"/>
          <w:lang w:eastAsia="fr-FR"/>
        </w:rPr>
        <w:t xml:space="preserve">e sujet de la séance </w:t>
      </w:r>
      <w:r>
        <w:rPr>
          <w:color w:val="000000"/>
          <w:sz w:val="24"/>
          <w:szCs w:val="24"/>
          <w:lang w:eastAsia="fr-FR"/>
        </w:rPr>
        <w:t xml:space="preserve">est préparé lors de cette phase préparatoire : nous travaillons </w:t>
      </w:r>
      <w:r w:rsidRPr="00521003">
        <w:rPr>
          <w:color w:val="000000"/>
          <w:sz w:val="24"/>
          <w:szCs w:val="24"/>
          <w:lang w:eastAsia="fr-FR"/>
        </w:rPr>
        <w:t>sur la th</w:t>
      </w:r>
      <w:r>
        <w:rPr>
          <w:color w:val="000000"/>
          <w:sz w:val="24"/>
          <w:szCs w:val="24"/>
          <w:lang w:eastAsia="fr-FR"/>
        </w:rPr>
        <w:t>ématique du « vivre-ensemble ». N</w:t>
      </w:r>
      <w:r w:rsidRPr="00521003">
        <w:rPr>
          <w:color w:val="000000"/>
          <w:sz w:val="24"/>
          <w:szCs w:val="24"/>
          <w:lang w:eastAsia="fr-FR"/>
        </w:rPr>
        <w:t>ous voulons engager avec les enfants de l’école départemental de Melen III un débat réf</w:t>
      </w:r>
      <w:r>
        <w:rPr>
          <w:color w:val="000000"/>
          <w:sz w:val="24"/>
          <w:szCs w:val="24"/>
          <w:lang w:eastAsia="fr-FR"/>
        </w:rPr>
        <w:t>lexif/débat interprétatif sur la notion du «</w:t>
      </w:r>
      <w:r>
        <w:rPr>
          <w:rFonts w:cstheme="minorBidi"/>
          <w:color w:val="000000"/>
          <w:sz w:val="24"/>
          <w:szCs w:val="24"/>
        </w:rPr>
        <w:t xml:space="preserve"> travail</w:t>
      </w:r>
      <w:r w:rsidRPr="00521003">
        <w:rPr>
          <w:rFonts w:cstheme="minorBidi"/>
          <w:color w:val="000000"/>
          <w:sz w:val="24"/>
          <w:szCs w:val="24"/>
        </w:rPr>
        <w:t> ». Nous les posons la question du sujet de réflexion </w:t>
      </w:r>
      <w:r>
        <w:rPr>
          <w:rFonts w:cstheme="minorBidi"/>
          <w:color w:val="000000"/>
          <w:sz w:val="24"/>
          <w:szCs w:val="24"/>
        </w:rPr>
        <w:t xml:space="preserve">suivante </w:t>
      </w:r>
      <w:r w:rsidRPr="00521003">
        <w:rPr>
          <w:rFonts w:cstheme="minorBidi"/>
          <w:color w:val="000000"/>
          <w:sz w:val="24"/>
          <w:szCs w:val="24"/>
        </w:rPr>
        <w:t xml:space="preserve">: le temps : est-ce vraiment la même chose pour tout le monde ? </w:t>
      </w:r>
    </w:p>
    <w:p w14:paraId="6C0FDEE3" w14:textId="77777777" w:rsidR="00D80693" w:rsidRPr="00155566" w:rsidRDefault="00D80693" w:rsidP="00735D3E">
      <w:pPr>
        <w:spacing w:before="120" w:after="160"/>
        <w:rPr>
          <w:b/>
          <w:iCs/>
          <w:color w:val="0D0D0D"/>
          <w:sz w:val="24"/>
          <w:szCs w:val="24"/>
          <w:lang w:eastAsia="fr-FR"/>
        </w:rPr>
      </w:pPr>
      <w:r>
        <w:rPr>
          <w:b/>
          <w:iCs/>
          <w:color w:val="0D0D0D"/>
          <w:sz w:val="24"/>
          <w:szCs w:val="24"/>
          <w:lang w:eastAsia="fr-FR"/>
        </w:rPr>
        <w:t xml:space="preserve">2.4.2. </w:t>
      </w:r>
      <w:r w:rsidRPr="00155566">
        <w:rPr>
          <w:b/>
          <w:iCs/>
          <w:color w:val="0D0D0D"/>
          <w:sz w:val="24"/>
          <w:szCs w:val="24"/>
          <w:lang w:eastAsia="fr-FR"/>
        </w:rPr>
        <w:t xml:space="preserve">Le déroulement de la séance d’expérimentation </w:t>
      </w:r>
    </w:p>
    <w:p w14:paraId="37E6AA25" w14:textId="77777777" w:rsidR="00D80693" w:rsidRPr="00B06A3A" w:rsidRDefault="00D80693" w:rsidP="00735D3E">
      <w:pPr>
        <w:spacing w:before="120"/>
        <w:jc w:val="both"/>
        <w:rPr>
          <w:rFonts w:eastAsia="Calibri"/>
          <w:i/>
          <w:sz w:val="24"/>
          <w:szCs w:val="24"/>
        </w:rPr>
      </w:pPr>
      <w:r>
        <w:rPr>
          <w:bCs/>
          <w:color w:val="000000"/>
          <w:sz w:val="24"/>
          <w:szCs w:val="24"/>
          <w:lang w:eastAsia="fr-FR"/>
        </w:rPr>
        <w:t xml:space="preserve">Au tout début, les règles de la séance sont établies : </w:t>
      </w:r>
      <w:r w:rsidRPr="00F52056">
        <w:rPr>
          <w:rFonts w:eastAsiaTheme="minorHAnsi"/>
          <w:i/>
          <w:sz w:val="24"/>
          <w:szCs w:val="24"/>
        </w:rPr>
        <w:t>lever le doigt pour demander à prendre la parole, écouter son camarade lorsqu’il parle</w:t>
      </w:r>
      <w:r w:rsidRPr="00F52056">
        <w:rPr>
          <w:bCs/>
          <w:i/>
          <w:color w:val="000000"/>
          <w:sz w:val="24"/>
          <w:szCs w:val="24"/>
          <w:lang w:eastAsia="fr-FR"/>
        </w:rPr>
        <w:t xml:space="preserve">, </w:t>
      </w:r>
      <w:r w:rsidRPr="00F52056">
        <w:rPr>
          <w:rFonts w:eastAsiaTheme="minorHAnsi"/>
          <w:i/>
          <w:sz w:val="24"/>
          <w:szCs w:val="24"/>
        </w:rPr>
        <w:t>on n’a pas le droit de se moquer de l’idée de l’autre ou de se disputer et i</w:t>
      </w:r>
      <w:r>
        <w:rPr>
          <w:rFonts w:eastAsiaTheme="minorHAnsi"/>
          <w:i/>
          <w:sz w:val="24"/>
          <w:szCs w:val="24"/>
        </w:rPr>
        <w:t xml:space="preserve">l faut discuter dans le calme. </w:t>
      </w:r>
      <w:r>
        <w:rPr>
          <w:rFonts w:eastAsiaTheme="minorHAnsi"/>
          <w:sz w:val="24"/>
          <w:szCs w:val="24"/>
        </w:rPr>
        <w:t>Aussi, on établit les rôles des acteurs en présence (élèves et enseignant) :</w:t>
      </w:r>
      <w:r>
        <w:rPr>
          <w:rFonts w:eastAsia="Calibri"/>
          <w:color w:val="000000"/>
          <w:sz w:val="24"/>
          <w:szCs w:val="24"/>
        </w:rPr>
        <w:t xml:space="preserve"> Dans l’ARPD la majorité des rôles sont attribués à l’enseignant laissant ainsi les enfants assez libres pour assumer leur rôle de « discutant ». En tant que </w:t>
      </w:r>
      <w:proofErr w:type="spellStart"/>
      <w:r w:rsidRPr="003356A8">
        <w:rPr>
          <w:color w:val="000000"/>
          <w:sz w:val="24"/>
          <w:szCs w:val="24"/>
          <w:lang w:eastAsia="fr-FR"/>
        </w:rPr>
        <w:t>discutants</w:t>
      </w:r>
      <w:proofErr w:type="spellEnd"/>
      <w:r w:rsidRPr="003356A8">
        <w:rPr>
          <w:color w:val="000000"/>
          <w:sz w:val="24"/>
          <w:szCs w:val="24"/>
          <w:lang w:eastAsia="fr-FR"/>
        </w:rPr>
        <w:t>,</w:t>
      </w:r>
      <w:r>
        <w:rPr>
          <w:b/>
          <w:color w:val="000000"/>
          <w:sz w:val="24"/>
          <w:szCs w:val="24"/>
          <w:lang w:eastAsia="fr-FR"/>
        </w:rPr>
        <w:t xml:space="preserve"> </w:t>
      </w:r>
      <w:r>
        <w:rPr>
          <w:color w:val="000000"/>
          <w:sz w:val="24"/>
          <w:szCs w:val="24"/>
          <w:lang w:eastAsia="fr-FR"/>
        </w:rPr>
        <w:t>les enfants sont</w:t>
      </w:r>
      <w:r w:rsidRPr="0082614D">
        <w:rPr>
          <w:color w:val="000000"/>
          <w:sz w:val="24"/>
          <w:szCs w:val="24"/>
          <w:lang w:eastAsia="fr-FR"/>
        </w:rPr>
        <w:t xml:space="preserve"> ceux qui font la discussion. Ils </w:t>
      </w:r>
      <w:proofErr w:type="gramStart"/>
      <w:r w:rsidRPr="0082614D">
        <w:rPr>
          <w:color w:val="000000"/>
          <w:sz w:val="24"/>
          <w:szCs w:val="24"/>
          <w:lang w:eastAsia="fr-FR"/>
        </w:rPr>
        <w:t>ont</w:t>
      </w:r>
      <w:proofErr w:type="gramEnd"/>
      <w:r w:rsidRPr="0082614D">
        <w:rPr>
          <w:color w:val="000000"/>
          <w:sz w:val="24"/>
          <w:szCs w:val="24"/>
          <w:lang w:eastAsia="fr-FR"/>
        </w:rPr>
        <w:t xml:space="preserve"> un rôle actif au sein du groupe : celui de participer activement à la discussion en émettant des idées et des arguments </w:t>
      </w:r>
      <w:r>
        <w:rPr>
          <w:color w:val="000000"/>
          <w:sz w:val="24"/>
          <w:szCs w:val="24"/>
          <w:lang w:eastAsia="fr-FR"/>
        </w:rPr>
        <w:t>pour la défense de leurs propos</w:t>
      </w:r>
      <w:r w:rsidRPr="0082614D">
        <w:rPr>
          <w:color w:val="000000"/>
          <w:sz w:val="24"/>
          <w:szCs w:val="24"/>
          <w:lang w:eastAsia="fr-FR"/>
        </w:rPr>
        <w:t xml:space="preserve">. </w:t>
      </w:r>
    </w:p>
    <w:p w14:paraId="271A14B3" w14:textId="77777777" w:rsidR="00D80693" w:rsidRPr="004F1CD5" w:rsidRDefault="00D80693" w:rsidP="00735D3E">
      <w:pPr>
        <w:spacing w:before="120"/>
        <w:jc w:val="both"/>
        <w:rPr>
          <w:color w:val="000000"/>
          <w:sz w:val="24"/>
          <w:szCs w:val="24"/>
          <w:lang w:eastAsia="fr-FR"/>
        </w:rPr>
      </w:pPr>
      <w:r>
        <w:rPr>
          <w:rFonts w:eastAsia="Calibri"/>
          <w:color w:val="000000"/>
          <w:sz w:val="24"/>
          <w:szCs w:val="24"/>
        </w:rPr>
        <w:t xml:space="preserve">Impartiale mais pas neutre, l’enseignant joue le rôle de facilitateur : </w:t>
      </w:r>
      <w:r>
        <w:rPr>
          <w:rFonts w:eastAsiaTheme="minorHAnsi"/>
          <w:sz w:val="24"/>
          <w:szCs w:val="24"/>
        </w:rPr>
        <w:t>il</w:t>
      </w:r>
      <w:r w:rsidRPr="005D6419">
        <w:rPr>
          <w:rFonts w:eastAsiaTheme="minorHAnsi"/>
          <w:sz w:val="24"/>
          <w:szCs w:val="24"/>
        </w:rPr>
        <w:t xml:space="preserve"> est chargé de mettre en place un tour de parole. Il valorise l</w:t>
      </w:r>
      <w:r>
        <w:rPr>
          <w:rFonts w:eastAsiaTheme="minorHAnsi"/>
          <w:sz w:val="24"/>
          <w:szCs w:val="24"/>
        </w:rPr>
        <w:t>’</w:t>
      </w:r>
      <w:r w:rsidRPr="005D6419">
        <w:rPr>
          <w:rFonts w:eastAsiaTheme="minorHAnsi"/>
          <w:sz w:val="24"/>
          <w:szCs w:val="24"/>
        </w:rPr>
        <w:t>ouverture d</w:t>
      </w:r>
      <w:r>
        <w:rPr>
          <w:rFonts w:eastAsiaTheme="minorHAnsi"/>
          <w:sz w:val="24"/>
          <w:szCs w:val="24"/>
        </w:rPr>
        <w:t>’</w:t>
      </w:r>
      <w:r w:rsidRPr="005D6419">
        <w:rPr>
          <w:rFonts w:eastAsiaTheme="minorHAnsi"/>
          <w:sz w:val="24"/>
          <w:szCs w:val="24"/>
        </w:rPr>
        <w:t>esprit des apprenants. Il encourage l</w:t>
      </w:r>
      <w:r>
        <w:rPr>
          <w:rFonts w:eastAsiaTheme="minorHAnsi"/>
          <w:sz w:val="24"/>
          <w:szCs w:val="24"/>
        </w:rPr>
        <w:t>’</w:t>
      </w:r>
      <w:r w:rsidRPr="005D6419">
        <w:rPr>
          <w:rFonts w:eastAsiaTheme="minorHAnsi"/>
          <w:sz w:val="24"/>
          <w:szCs w:val="24"/>
        </w:rPr>
        <w:t>attitude d</w:t>
      </w:r>
      <w:r>
        <w:rPr>
          <w:rFonts w:eastAsiaTheme="minorHAnsi"/>
          <w:sz w:val="24"/>
          <w:szCs w:val="24"/>
        </w:rPr>
        <w:t>’</w:t>
      </w:r>
      <w:r w:rsidRPr="005D6419">
        <w:rPr>
          <w:rFonts w:eastAsiaTheme="minorHAnsi"/>
          <w:sz w:val="24"/>
          <w:szCs w:val="24"/>
        </w:rPr>
        <w:t>un apprenant qui prend en compte le discours de son camarade et reformule, nuance ou complète sa pensée en fonction de celui-ci. En outre, l</w:t>
      </w:r>
      <w:r>
        <w:rPr>
          <w:rFonts w:eastAsiaTheme="minorHAnsi"/>
          <w:sz w:val="24"/>
          <w:szCs w:val="24"/>
        </w:rPr>
        <w:t>’</w:t>
      </w:r>
      <w:r w:rsidRPr="005D6419">
        <w:rPr>
          <w:rFonts w:eastAsiaTheme="minorHAnsi"/>
          <w:sz w:val="24"/>
          <w:szCs w:val="24"/>
        </w:rPr>
        <w:t>animateur se doit d</w:t>
      </w:r>
      <w:r>
        <w:rPr>
          <w:rFonts w:eastAsiaTheme="minorHAnsi"/>
          <w:sz w:val="24"/>
          <w:szCs w:val="24"/>
        </w:rPr>
        <w:t>’</w:t>
      </w:r>
      <w:r w:rsidRPr="005D6419">
        <w:rPr>
          <w:rFonts w:eastAsiaTheme="minorHAnsi"/>
          <w:sz w:val="24"/>
          <w:szCs w:val="24"/>
        </w:rPr>
        <w:t>encourager les contributions inachevées ou incertaines, de soutenir en structurant et en catégorisant les idées, en fournissant du vocabulaire, et de valoriser le travail et l</w:t>
      </w:r>
      <w:r>
        <w:rPr>
          <w:rFonts w:eastAsiaTheme="minorHAnsi"/>
          <w:sz w:val="24"/>
          <w:szCs w:val="24"/>
        </w:rPr>
        <w:t>’</w:t>
      </w:r>
      <w:r w:rsidRPr="005D6419">
        <w:rPr>
          <w:rFonts w:eastAsiaTheme="minorHAnsi"/>
          <w:sz w:val="24"/>
          <w:szCs w:val="24"/>
        </w:rPr>
        <w:t>effort collectif.</w:t>
      </w:r>
    </w:p>
    <w:p w14:paraId="2E98E6E7" w14:textId="77777777" w:rsidR="00D80693" w:rsidRPr="004F1CD5" w:rsidRDefault="00D80693" w:rsidP="00735D3E">
      <w:pPr>
        <w:pStyle w:val="Paragraphedeliste"/>
        <w:widowControl/>
        <w:numPr>
          <w:ilvl w:val="1"/>
          <w:numId w:val="195"/>
        </w:numPr>
        <w:autoSpaceDE/>
        <w:autoSpaceDN/>
        <w:spacing w:after="160"/>
        <w:rPr>
          <w:i/>
          <w:color w:val="000000"/>
          <w:sz w:val="24"/>
          <w:szCs w:val="24"/>
          <w:lang w:eastAsia="fr-FR"/>
        </w:rPr>
      </w:pPr>
      <w:r w:rsidRPr="004F1CD5">
        <w:rPr>
          <w:i/>
          <w:color w:val="000000"/>
          <w:sz w:val="24"/>
          <w:szCs w:val="24"/>
          <w:lang w:eastAsia="fr-FR"/>
        </w:rPr>
        <w:t xml:space="preserve"> </w:t>
      </w:r>
      <w:r w:rsidRPr="004F1CD5">
        <w:rPr>
          <w:b/>
          <w:color w:val="000000"/>
          <w:sz w:val="24"/>
          <w:szCs w:val="24"/>
          <w:lang w:eastAsia="fr-FR"/>
        </w:rPr>
        <w:t xml:space="preserve">Méthode d’analyse des données </w:t>
      </w:r>
    </w:p>
    <w:p w14:paraId="3ADEF785" w14:textId="77777777" w:rsidR="00D80693" w:rsidRPr="004F1CD5" w:rsidRDefault="00D80693" w:rsidP="00735D3E">
      <w:pPr>
        <w:spacing w:before="120"/>
        <w:ind w:firstLine="360"/>
        <w:jc w:val="both"/>
        <w:rPr>
          <w:color w:val="000000"/>
          <w:sz w:val="24"/>
          <w:szCs w:val="24"/>
          <w:lang w:eastAsia="fr-FR"/>
        </w:rPr>
      </w:pPr>
      <w:r>
        <w:rPr>
          <w:color w:val="000000"/>
          <w:sz w:val="24"/>
          <w:szCs w:val="24"/>
          <w:lang w:eastAsia="fr-FR"/>
        </w:rPr>
        <w:t xml:space="preserve">Les données recueillies </w:t>
      </w:r>
      <w:r w:rsidRPr="004F1CD5">
        <w:rPr>
          <w:color w:val="000000"/>
          <w:sz w:val="24"/>
          <w:szCs w:val="24"/>
          <w:lang w:eastAsia="fr-FR"/>
        </w:rPr>
        <w:t xml:space="preserve">ont été traitées </w:t>
      </w:r>
      <w:r>
        <w:rPr>
          <w:color w:val="000000"/>
          <w:sz w:val="24"/>
          <w:szCs w:val="24"/>
          <w:lang w:eastAsia="fr-FR"/>
        </w:rPr>
        <w:t xml:space="preserve">par une analyse de contenu selon la méthode </w:t>
      </w:r>
      <w:proofErr w:type="spellStart"/>
      <w:r>
        <w:rPr>
          <w:color w:val="000000"/>
          <w:sz w:val="24"/>
          <w:szCs w:val="24"/>
          <w:lang w:eastAsia="fr-FR"/>
        </w:rPr>
        <w:t>Chirouter</w:t>
      </w:r>
      <w:proofErr w:type="spellEnd"/>
      <w:r>
        <w:rPr>
          <w:color w:val="000000"/>
          <w:sz w:val="24"/>
          <w:szCs w:val="24"/>
          <w:lang w:eastAsia="fr-FR"/>
        </w:rPr>
        <w:t xml:space="preserve"> (2015) </w:t>
      </w:r>
      <w:r w:rsidRPr="00521003">
        <w:rPr>
          <w:color w:val="000000"/>
          <w:sz w:val="24"/>
          <w:szCs w:val="24"/>
          <w:lang w:eastAsia="fr-FR"/>
        </w:rPr>
        <w:t>pour rendre compte de la pr</w:t>
      </w:r>
      <w:r>
        <w:rPr>
          <w:color w:val="000000"/>
          <w:sz w:val="24"/>
          <w:szCs w:val="24"/>
          <w:lang w:eastAsia="fr-FR"/>
        </w:rPr>
        <w:t xml:space="preserve">atique de classe selon le </w:t>
      </w:r>
      <w:r w:rsidRPr="00521003">
        <w:rPr>
          <w:color w:val="000000"/>
          <w:sz w:val="24"/>
          <w:szCs w:val="24"/>
          <w:lang w:eastAsia="fr-FR"/>
        </w:rPr>
        <w:t>dispositif d’ARPD.</w:t>
      </w:r>
      <w:r>
        <w:rPr>
          <w:color w:val="000000"/>
          <w:sz w:val="24"/>
          <w:szCs w:val="24"/>
          <w:lang w:eastAsia="fr-FR"/>
        </w:rPr>
        <w:t xml:space="preserve"> Cette méthode d’analyse est spécifique car elle s’intéresse à l’examen des habiletés de pensée. </w:t>
      </w:r>
    </w:p>
    <w:p w14:paraId="16CA8DB9" w14:textId="77777777" w:rsidR="00D80693" w:rsidRPr="004F1CD5" w:rsidRDefault="00D80693" w:rsidP="00735D3E">
      <w:pPr>
        <w:pStyle w:val="Paragraphedeliste"/>
        <w:widowControl/>
        <w:numPr>
          <w:ilvl w:val="1"/>
          <w:numId w:val="195"/>
        </w:numPr>
        <w:autoSpaceDE/>
        <w:autoSpaceDN/>
        <w:spacing w:after="160"/>
        <w:rPr>
          <w:color w:val="000000"/>
          <w:sz w:val="24"/>
          <w:szCs w:val="24"/>
          <w:lang w:eastAsia="fr-FR"/>
        </w:rPr>
      </w:pPr>
      <w:r w:rsidRPr="004F1CD5">
        <w:rPr>
          <w:color w:val="000000"/>
          <w:sz w:val="24"/>
          <w:szCs w:val="24"/>
          <w:lang w:eastAsia="fr-FR"/>
        </w:rPr>
        <w:t xml:space="preserve"> </w:t>
      </w:r>
      <w:r w:rsidRPr="004F1CD5">
        <w:rPr>
          <w:b/>
          <w:color w:val="000000"/>
          <w:sz w:val="24"/>
          <w:szCs w:val="24"/>
          <w:lang w:eastAsia="fr-FR"/>
        </w:rPr>
        <w:t>Considérations éthiques</w:t>
      </w:r>
      <w:r w:rsidRPr="004F1CD5">
        <w:rPr>
          <w:color w:val="000000"/>
          <w:sz w:val="24"/>
          <w:szCs w:val="24"/>
          <w:lang w:eastAsia="fr-FR"/>
        </w:rPr>
        <w:t xml:space="preserve"> </w:t>
      </w:r>
    </w:p>
    <w:p w14:paraId="73ABB4F7" w14:textId="77777777" w:rsidR="00D80693" w:rsidRPr="001E5DB9" w:rsidRDefault="00D80693" w:rsidP="00735D3E">
      <w:pPr>
        <w:spacing w:before="120"/>
        <w:jc w:val="both"/>
        <w:rPr>
          <w:color w:val="000000"/>
          <w:sz w:val="24"/>
          <w:szCs w:val="24"/>
          <w:lang w:eastAsia="fr-FR"/>
        </w:rPr>
      </w:pPr>
      <w:r w:rsidRPr="00F5766F">
        <w:rPr>
          <w:rFonts w:eastAsiaTheme="minorHAnsi"/>
          <w:sz w:val="24"/>
          <w:szCs w:val="24"/>
        </w:rPr>
        <w:t xml:space="preserve">Par souci d’anonymat, les noms et prénoms de tous les élèves ont été codés par des chiffres selon la formule </w:t>
      </w:r>
      <w:r w:rsidRPr="00F5766F">
        <w:rPr>
          <w:rFonts w:eastAsiaTheme="minorHAnsi"/>
          <w:sz w:val="24"/>
        </w:rPr>
        <w:t xml:space="preserve">(E (n)= enfant (numéro </w:t>
      </w:r>
      <w:proofErr w:type="gramStart"/>
      <w:r w:rsidRPr="00F5766F">
        <w:rPr>
          <w:rFonts w:eastAsiaTheme="minorHAnsi"/>
          <w:sz w:val="24"/>
        </w:rPr>
        <w:t>x)—</w:t>
      </w:r>
      <w:proofErr w:type="gramEnd"/>
      <w:r w:rsidRPr="00F5766F">
        <w:rPr>
          <w:rFonts w:eastAsiaTheme="minorHAnsi"/>
          <w:sz w:val="24"/>
        </w:rPr>
        <w:t>l’apprenant x)</w:t>
      </w:r>
      <w:r w:rsidRPr="00F5766F">
        <w:rPr>
          <w:rFonts w:eastAsiaTheme="minorHAnsi"/>
          <w:sz w:val="24"/>
          <w:szCs w:val="24"/>
        </w:rPr>
        <w:t xml:space="preserve">. Aussi, </w:t>
      </w:r>
      <w:r w:rsidRPr="00F5766F">
        <w:rPr>
          <w:rFonts w:eastAsiaTheme="minorHAnsi"/>
          <w:sz w:val="24"/>
        </w:rPr>
        <w:t>nous définissons (M = Maître—l’animateur).</w:t>
      </w:r>
      <w:r w:rsidRPr="00F5766F">
        <w:rPr>
          <w:rFonts w:eastAsiaTheme="minorHAnsi"/>
          <w:sz w:val="24"/>
          <w:szCs w:val="24"/>
        </w:rPr>
        <w:t xml:space="preserve"> Par ailleurs, l’accès à l’école départemental de Melen III de Yaoundé a été encadré par une autorisation de recherche signée par le doyen de la Faculté des Sciences de l’Éducation (FSE) et une autorisation d</w:t>
      </w:r>
      <w:r w:rsidRPr="00F5766F">
        <w:rPr>
          <w:color w:val="000000"/>
          <w:sz w:val="24"/>
          <w:szCs w:val="24"/>
          <w:lang w:eastAsia="fr-FR"/>
        </w:rPr>
        <w:t xml:space="preserve">u </w:t>
      </w:r>
      <w:proofErr w:type="gramStart"/>
      <w:r w:rsidRPr="00F5766F">
        <w:rPr>
          <w:color w:val="000000"/>
          <w:sz w:val="24"/>
          <w:szCs w:val="24"/>
          <w:lang w:eastAsia="fr-FR"/>
        </w:rPr>
        <w:t>Ministre de l’éducation</w:t>
      </w:r>
      <w:proofErr w:type="gramEnd"/>
      <w:r w:rsidRPr="00F5766F">
        <w:rPr>
          <w:color w:val="000000"/>
          <w:sz w:val="24"/>
          <w:szCs w:val="24"/>
          <w:lang w:eastAsia="fr-FR"/>
        </w:rPr>
        <w:t xml:space="preserve"> de base (MINEDUB) informant le délégué régional de l’éducation de base du centre de notre recherche-action sur le terrain à l’école </w:t>
      </w:r>
      <w:r w:rsidRPr="00F5766F">
        <w:rPr>
          <w:rFonts w:eastAsia="Calibri"/>
          <w:sz w:val="24"/>
          <w:szCs w:val="24"/>
        </w:rPr>
        <w:t>départementale</w:t>
      </w:r>
      <w:r w:rsidRPr="00F5766F">
        <w:rPr>
          <w:color w:val="000000"/>
          <w:sz w:val="24"/>
          <w:szCs w:val="24"/>
          <w:lang w:eastAsia="fr-FR"/>
        </w:rPr>
        <w:t xml:space="preserve"> de l’arrondissement de Yaoundé III. </w:t>
      </w:r>
    </w:p>
    <w:p w14:paraId="1D4A61DE" w14:textId="77777777" w:rsidR="00D80693" w:rsidRPr="00F5766F" w:rsidRDefault="00D80693" w:rsidP="00735D3E">
      <w:pPr>
        <w:pStyle w:val="Paragraphedeliste"/>
        <w:widowControl/>
        <w:numPr>
          <w:ilvl w:val="0"/>
          <w:numId w:val="195"/>
        </w:numPr>
        <w:autoSpaceDE/>
        <w:autoSpaceDN/>
        <w:spacing w:after="160"/>
        <w:rPr>
          <w:rFonts w:eastAsia="Calibri"/>
          <w:sz w:val="24"/>
          <w:szCs w:val="24"/>
        </w:rPr>
      </w:pPr>
      <w:r w:rsidRPr="00155566">
        <w:rPr>
          <w:rFonts w:eastAsiaTheme="minorHAnsi"/>
          <w:b/>
          <w:sz w:val="28"/>
          <w:szCs w:val="24"/>
        </w:rPr>
        <w:t>Résultats</w:t>
      </w:r>
      <w:r w:rsidRPr="00F5766F">
        <w:rPr>
          <w:rFonts w:eastAsiaTheme="minorHAnsi"/>
          <w:sz w:val="24"/>
          <w:szCs w:val="24"/>
        </w:rPr>
        <w:t xml:space="preserve"> </w:t>
      </w:r>
    </w:p>
    <w:p w14:paraId="4999381F" w14:textId="77777777" w:rsidR="00D80693" w:rsidRPr="001E5DB9" w:rsidRDefault="00D80693" w:rsidP="00735D3E">
      <w:pPr>
        <w:spacing w:before="120"/>
        <w:jc w:val="both"/>
        <w:rPr>
          <w:rFonts w:eastAsia="Calibri"/>
          <w:sz w:val="24"/>
          <w:szCs w:val="24"/>
        </w:rPr>
      </w:pPr>
      <w:r w:rsidRPr="001E5DB9">
        <w:rPr>
          <w:rFonts w:eastAsiaTheme="minorHAnsi"/>
          <w:sz w:val="24"/>
          <w:szCs w:val="24"/>
        </w:rPr>
        <w:t>Cette partie présente les résultats obtenus à la suite de l’expérimentation du dispositif de la pratique de la philosophie imagée avec les enfants en ARPD (atelier de réflexion philosophique et démocratique) avec le groupe expérimentale (CP-A). Ces résultats qui s’articulent autour du développement des habiletés de la pensée réflexive (</w:t>
      </w:r>
      <w:r w:rsidRPr="001E5DB9">
        <w:rPr>
          <w:rFonts w:eastAsiaTheme="minorHAnsi"/>
          <w:i/>
          <w:sz w:val="24"/>
          <w:szCs w:val="24"/>
        </w:rPr>
        <w:t>problématiser, conceptualiser, argumenter et interpréter</w:t>
      </w:r>
      <w:r w:rsidRPr="001E5DB9">
        <w:rPr>
          <w:rFonts w:eastAsiaTheme="minorHAnsi"/>
          <w:sz w:val="24"/>
          <w:szCs w:val="24"/>
        </w:rPr>
        <w:t xml:space="preserve">), relèvent aussi le niveau et les comportements du groupe témoin (CP-B) resté au stade de l’enseignement traditionnel de l’ECM, centré sur la mémorisation. </w:t>
      </w:r>
    </w:p>
    <w:p w14:paraId="160AD920" w14:textId="77777777" w:rsidR="00D80693" w:rsidRPr="00E92031" w:rsidRDefault="00D80693" w:rsidP="00735D3E">
      <w:pPr>
        <w:pStyle w:val="Paragraphedeliste"/>
        <w:widowControl/>
        <w:numPr>
          <w:ilvl w:val="1"/>
          <w:numId w:val="195"/>
        </w:numPr>
        <w:autoSpaceDE/>
        <w:autoSpaceDN/>
        <w:spacing w:after="160"/>
        <w:rPr>
          <w:rFonts w:eastAsia="Calibri"/>
          <w:sz w:val="24"/>
        </w:rPr>
      </w:pPr>
      <w:r>
        <w:rPr>
          <w:rFonts w:eastAsiaTheme="minorHAnsi"/>
          <w:b/>
          <w:sz w:val="24"/>
          <w:szCs w:val="24"/>
        </w:rPr>
        <w:t xml:space="preserve"> </w:t>
      </w:r>
      <w:r w:rsidRPr="00E92031">
        <w:rPr>
          <w:rFonts w:eastAsiaTheme="minorHAnsi"/>
          <w:b/>
          <w:sz w:val="24"/>
          <w:szCs w:val="24"/>
        </w:rPr>
        <w:t>Première habileté de la pensée réflexive : la problématisation du sujet</w:t>
      </w:r>
    </w:p>
    <w:p w14:paraId="39386EA0" w14:textId="77777777" w:rsidR="00D80693" w:rsidRPr="00B06A3A" w:rsidRDefault="00D80693" w:rsidP="00735D3E">
      <w:pPr>
        <w:spacing w:before="120"/>
        <w:jc w:val="both"/>
        <w:rPr>
          <w:rFonts w:eastAsia="Calibri"/>
          <w:sz w:val="24"/>
        </w:rPr>
      </w:pPr>
      <w:r w:rsidRPr="00E92031">
        <w:rPr>
          <w:rFonts w:eastAsiaTheme="minorHAnsi"/>
          <w:sz w:val="24"/>
        </w:rPr>
        <w:t>Pendant la séquence 1, les apprenants</w:t>
      </w:r>
      <w:r>
        <w:rPr>
          <w:sz w:val="24"/>
        </w:rPr>
        <w:fldChar w:fldCharType="begin"/>
      </w:r>
      <w:r w:rsidRPr="00E92031">
        <w:rPr>
          <w:rFonts w:asciiTheme="minorHAnsi" w:eastAsiaTheme="minorHAnsi" w:hAnsiTheme="minorHAnsi" w:cstheme="minorBidi"/>
        </w:rPr>
        <w:instrText xml:space="preserve"> XE "</w:instrText>
      </w:r>
      <w:r w:rsidRPr="00E92031">
        <w:rPr>
          <w:rFonts w:eastAsiaTheme="minorHAnsi"/>
          <w:color w:val="000000"/>
          <w:sz w:val="24"/>
        </w:rPr>
        <w:instrText>apprenants</w:instrText>
      </w:r>
      <w:r w:rsidRPr="00E92031">
        <w:rPr>
          <w:rFonts w:asciiTheme="minorHAnsi" w:eastAsiaTheme="minorHAnsi" w:hAnsiTheme="minorHAnsi" w:cstheme="minorBidi"/>
        </w:rPr>
        <w:instrText xml:space="preserve">" </w:instrText>
      </w:r>
      <w:r>
        <w:rPr>
          <w:sz w:val="24"/>
        </w:rPr>
        <w:fldChar w:fldCharType="end"/>
      </w:r>
      <w:r w:rsidRPr="00E92031">
        <w:rPr>
          <w:rFonts w:eastAsiaTheme="minorHAnsi"/>
          <w:sz w:val="24"/>
        </w:rPr>
        <w:t>— E (219), E (220) et E (222) montrent une capacité à identifier le problème du sujet présenté par la vidéo animée</w:t>
      </w:r>
      <w:r>
        <w:rPr>
          <w:sz w:val="24"/>
        </w:rPr>
        <w:fldChar w:fldCharType="begin"/>
      </w:r>
      <w:r w:rsidRPr="00E92031">
        <w:rPr>
          <w:rFonts w:asciiTheme="minorHAnsi" w:eastAsiaTheme="minorHAnsi" w:hAnsiTheme="minorHAnsi" w:cstheme="minorBidi"/>
        </w:rPr>
        <w:instrText xml:space="preserve"> XE "</w:instrText>
      </w:r>
      <w:r w:rsidRPr="00E92031">
        <w:rPr>
          <w:rFonts w:eastAsiaTheme="minorHAnsi"/>
          <w:color w:val="000000"/>
          <w:sz w:val="24"/>
          <w:szCs w:val="24"/>
        </w:rPr>
        <w:instrText>vidéo animée</w:instrText>
      </w:r>
      <w:r w:rsidRPr="00E92031">
        <w:rPr>
          <w:rFonts w:asciiTheme="minorHAnsi" w:eastAsiaTheme="minorHAnsi" w:hAnsiTheme="minorHAnsi" w:cstheme="minorBidi"/>
        </w:rPr>
        <w:instrText xml:space="preserve">" </w:instrText>
      </w:r>
      <w:r>
        <w:rPr>
          <w:sz w:val="24"/>
        </w:rPr>
        <w:fldChar w:fldCharType="end"/>
      </w:r>
      <w:r w:rsidRPr="00E92031">
        <w:rPr>
          <w:rFonts w:eastAsiaTheme="minorHAnsi"/>
          <w:sz w:val="24"/>
        </w:rPr>
        <w:t xml:space="preserve"> de jeunesse</w:t>
      </w:r>
      <w:r>
        <w:rPr>
          <w:sz w:val="24"/>
        </w:rPr>
        <w:fldChar w:fldCharType="begin"/>
      </w:r>
      <w:r w:rsidRPr="00E92031">
        <w:rPr>
          <w:rFonts w:asciiTheme="minorHAnsi" w:eastAsiaTheme="minorHAnsi" w:hAnsiTheme="minorHAnsi" w:cstheme="minorBidi"/>
        </w:rPr>
        <w:instrText xml:space="preserve"> XE "</w:instrText>
      </w:r>
      <w:r w:rsidRPr="00E92031">
        <w:rPr>
          <w:rFonts w:eastAsiaTheme="minorHAnsi"/>
          <w:color w:val="000000"/>
          <w:sz w:val="24"/>
          <w:szCs w:val="24"/>
        </w:rPr>
        <w:instrText>jeunesse</w:instrText>
      </w:r>
      <w:r w:rsidRPr="00E92031">
        <w:rPr>
          <w:rFonts w:asciiTheme="minorHAnsi" w:eastAsiaTheme="minorHAnsi" w:hAnsiTheme="minorHAnsi" w:cstheme="minorBidi"/>
        </w:rPr>
        <w:instrText xml:space="preserve">" </w:instrText>
      </w:r>
      <w:r>
        <w:rPr>
          <w:sz w:val="24"/>
        </w:rPr>
        <w:fldChar w:fldCharType="end"/>
      </w:r>
      <w:r w:rsidRPr="00E92031">
        <w:rPr>
          <w:rFonts w:eastAsiaTheme="minorHAnsi"/>
          <w:sz w:val="24"/>
        </w:rPr>
        <w:t xml:space="preserve"> lorsque nous leurs demandons quel est le problème</w:t>
      </w:r>
      <w:r>
        <w:rPr>
          <w:rFonts w:eastAsiaTheme="minorHAnsi"/>
          <w:sz w:val="24"/>
        </w:rPr>
        <w:t xml:space="preserve"> du Paresseux par rapport</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à Lulu l’abeille. Cette séquence montre aussi la capacité de certains enfants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sz w:val="24"/>
        </w:rPr>
        <w:fldChar w:fldCharType="end"/>
      </w:r>
      <w:r>
        <w:rPr>
          <w:rFonts w:eastAsiaTheme="minorHAnsi"/>
          <w:sz w:val="24"/>
        </w:rPr>
        <w:t>— E (220) - E (225) et E (224 à formuler les questions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questions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d’une problématique</w:t>
      </w:r>
      <w:r>
        <w:rPr>
          <w:sz w:val="24"/>
        </w:rPr>
        <w:fldChar w:fldCharType="begin"/>
      </w:r>
      <w:r>
        <w:rPr>
          <w:rFonts w:asciiTheme="minorHAnsi" w:eastAsiaTheme="minorHAnsi" w:hAnsiTheme="minorHAnsi" w:cstheme="minorBidi"/>
        </w:rPr>
        <w:instrText xml:space="preserve"> XE "</w:instrText>
      </w:r>
      <w:r>
        <w:rPr>
          <w:rFonts w:eastAsiaTheme="minorHAnsi"/>
          <w:i/>
          <w:color w:val="000000"/>
          <w:sz w:val="24"/>
          <w:szCs w:val="24"/>
        </w:rPr>
        <w:instrText>problématique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pertinente.</w:t>
      </w:r>
    </w:p>
    <w:p w14:paraId="44F8CD56" w14:textId="77777777" w:rsidR="00D80693" w:rsidRPr="00955872" w:rsidRDefault="00D80693" w:rsidP="00735D3E">
      <w:pPr>
        <w:widowControl/>
        <w:numPr>
          <w:ilvl w:val="0"/>
          <w:numId w:val="200"/>
        </w:numPr>
        <w:autoSpaceDE/>
        <w:autoSpaceDN/>
        <w:spacing w:before="120"/>
        <w:ind w:left="720"/>
        <w:jc w:val="both"/>
        <w:rPr>
          <w:rFonts w:eastAsia="Calibri"/>
          <w:sz w:val="20"/>
        </w:rPr>
      </w:pPr>
      <w:r w:rsidRPr="00955872">
        <w:rPr>
          <w:rFonts w:eastAsiaTheme="minorHAnsi"/>
          <w:b/>
          <w:sz w:val="20"/>
        </w:rPr>
        <w:t>E (219) : (Identification du problème)</w:t>
      </w:r>
      <w:r w:rsidRPr="00955872">
        <w:rPr>
          <w:rFonts w:eastAsiaTheme="minorHAnsi"/>
          <w:sz w:val="20"/>
        </w:rPr>
        <w:t xml:space="preserve"> Le problème du paresseux, c’est qu’il n’aime pas trop travailler [Problème trouvé/identifié].</w:t>
      </w:r>
    </w:p>
    <w:p w14:paraId="17EA3496" w14:textId="77777777" w:rsidR="00D80693" w:rsidRPr="00955872" w:rsidRDefault="00D80693" w:rsidP="00735D3E">
      <w:pPr>
        <w:widowControl/>
        <w:numPr>
          <w:ilvl w:val="0"/>
          <w:numId w:val="200"/>
        </w:numPr>
        <w:autoSpaceDE/>
        <w:autoSpaceDN/>
        <w:spacing w:before="120"/>
        <w:ind w:left="720"/>
        <w:jc w:val="both"/>
        <w:rPr>
          <w:rFonts w:eastAsia="Calibri"/>
          <w:sz w:val="20"/>
        </w:rPr>
      </w:pPr>
      <w:r w:rsidRPr="00955872">
        <w:rPr>
          <w:rFonts w:eastAsiaTheme="minorHAnsi"/>
          <w:b/>
          <w:sz w:val="20"/>
        </w:rPr>
        <w:t>E (220) : (Identification du problème)</w:t>
      </w:r>
      <w:r w:rsidRPr="00955872">
        <w:rPr>
          <w:rFonts w:eastAsiaTheme="minorHAnsi"/>
          <w:sz w:val="20"/>
        </w:rPr>
        <w:t xml:space="preserve"> Le problème du paresseux, c’est qu’il n’aime pas travailler [Problème trouvé/identifié].</w:t>
      </w:r>
    </w:p>
    <w:p w14:paraId="0EF017E4" w14:textId="77777777" w:rsidR="00D80693" w:rsidRPr="00955872" w:rsidRDefault="00D80693" w:rsidP="00735D3E">
      <w:pPr>
        <w:widowControl/>
        <w:numPr>
          <w:ilvl w:val="0"/>
          <w:numId w:val="200"/>
        </w:numPr>
        <w:autoSpaceDE/>
        <w:autoSpaceDN/>
        <w:spacing w:before="120"/>
        <w:ind w:left="720"/>
        <w:jc w:val="both"/>
        <w:rPr>
          <w:rFonts w:eastAsia="Calibri"/>
          <w:sz w:val="20"/>
        </w:rPr>
      </w:pPr>
      <w:r w:rsidRPr="00955872">
        <w:rPr>
          <w:rFonts w:eastAsiaTheme="minorHAnsi"/>
          <w:b/>
          <w:sz w:val="20"/>
        </w:rPr>
        <w:t>E (222) :</w:t>
      </w:r>
      <w:r w:rsidRPr="00955872">
        <w:rPr>
          <w:rFonts w:eastAsiaTheme="minorHAnsi"/>
          <w:sz w:val="20"/>
        </w:rPr>
        <w:t xml:space="preserve"> </w:t>
      </w:r>
      <w:r w:rsidRPr="00955872">
        <w:rPr>
          <w:rFonts w:eastAsiaTheme="minorHAnsi"/>
          <w:b/>
          <w:sz w:val="20"/>
        </w:rPr>
        <w:t xml:space="preserve">(Identification du problème) </w:t>
      </w:r>
      <w:r w:rsidRPr="00955872">
        <w:rPr>
          <w:rFonts w:eastAsiaTheme="minorHAnsi"/>
          <w:sz w:val="20"/>
        </w:rPr>
        <w:t>Le problème du paresseux, c’est qu’il aime dormir et il n’aime pas travailler [Problème trouvé/identifié].</w:t>
      </w:r>
    </w:p>
    <w:p w14:paraId="2BD13E8D" w14:textId="77777777" w:rsidR="00D80693" w:rsidRPr="00955872" w:rsidRDefault="00D80693" w:rsidP="00735D3E">
      <w:pPr>
        <w:widowControl/>
        <w:numPr>
          <w:ilvl w:val="0"/>
          <w:numId w:val="200"/>
        </w:numPr>
        <w:autoSpaceDE/>
        <w:autoSpaceDN/>
        <w:spacing w:before="120"/>
        <w:ind w:left="720"/>
        <w:jc w:val="both"/>
        <w:rPr>
          <w:rFonts w:eastAsia="Calibri"/>
          <w:sz w:val="20"/>
        </w:rPr>
      </w:pPr>
      <w:r w:rsidRPr="00955872">
        <w:rPr>
          <w:rFonts w:eastAsiaTheme="minorHAnsi"/>
          <w:b/>
          <w:sz w:val="20"/>
        </w:rPr>
        <w:t>E (224) :</w:t>
      </w:r>
      <w:r w:rsidRPr="00955872">
        <w:rPr>
          <w:rFonts w:eastAsiaTheme="minorHAnsi"/>
          <w:sz w:val="20"/>
        </w:rPr>
        <w:t xml:space="preserve"> </w:t>
      </w:r>
      <w:r w:rsidRPr="00955872">
        <w:rPr>
          <w:rFonts w:eastAsiaTheme="minorHAnsi"/>
          <w:b/>
          <w:sz w:val="20"/>
        </w:rPr>
        <w:t xml:space="preserve">(Problématisation—Carte bleue active) </w:t>
      </w:r>
      <w:r w:rsidRPr="00955872">
        <w:rPr>
          <w:rFonts w:eastAsiaTheme="minorHAnsi"/>
          <w:sz w:val="20"/>
        </w:rPr>
        <w:t>(…) Pourquoi le paresseux n’est pas assidu ?  [Appel à la vidéo animée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vidéo animée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(la fonction référentielle de l’image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image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 questionnent pertinent, logique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logique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et cohérent par rapport</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au phénomène à l’image questionné].</w:t>
      </w:r>
    </w:p>
    <w:p w14:paraId="15596DF5" w14:textId="77777777" w:rsidR="00D80693" w:rsidRPr="00955872" w:rsidRDefault="00D80693" w:rsidP="00735D3E">
      <w:pPr>
        <w:widowControl/>
        <w:numPr>
          <w:ilvl w:val="0"/>
          <w:numId w:val="200"/>
        </w:numPr>
        <w:autoSpaceDE/>
        <w:autoSpaceDN/>
        <w:spacing w:before="120"/>
        <w:ind w:left="720"/>
        <w:jc w:val="both"/>
        <w:rPr>
          <w:rFonts w:eastAsia="Calibri"/>
          <w:sz w:val="20"/>
        </w:rPr>
      </w:pPr>
      <w:r w:rsidRPr="00955872">
        <w:rPr>
          <w:rFonts w:eastAsiaTheme="minorHAnsi"/>
          <w:b/>
          <w:sz w:val="20"/>
        </w:rPr>
        <w:t>E (220) :</w:t>
      </w:r>
      <w:r w:rsidRPr="00955872">
        <w:rPr>
          <w:rFonts w:eastAsiaTheme="minorHAnsi"/>
          <w:sz w:val="20"/>
        </w:rPr>
        <w:t xml:space="preserve"> </w:t>
      </w:r>
      <w:r w:rsidRPr="00955872">
        <w:rPr>
          <w:rFonts w:eastAsiaTheme="minorHAnsi"/>
          <w:b/>
          <w:sz w:val="20"/>
        </w:rPr>
        <w:t xml:space="preserve">(Problématisation—Carte bleue active) </w:t>
      </w:r>
      <w:r w:rsidRPr="00955872">
        <w:rPr>
          <w:rFonts w:eastAsiaTheme="minorHAnsi"/>
          <w:sz w:val="20"/>
        </w:rPr>
        <w:t>(…) Comment le paresseux est si paresseux ? [Appel à la vidéo animée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vidéo animée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(la fonction référentielle de l’image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image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 questionnent pertinent, logique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logique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et cohérent par rapport</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au phénomène à l’image questionné].</w:t>
      </w:r>
    </w:p>
    <w:p w14:paraId="22DC1577" w14:textId="77777777" w:rsidR="00D80693" w:rsidRPr="00955872" w:rsidRDefault="00D80693" w:rsidP="00735D3E">
      <w:pPr>
        <w:widowControl/>
        <w:numPr>
          <w:ilvl w:val="0"/>
          <w:numId w:val="200"/>
        </w:numPr>
        <w:autoSpaceDE/>
        <w:autoSpaceDN/>
        <w:spacing w:before="120"/>
        <w:ind w:left="720"/>
        <w:jc w:val="both"/>
        <w:rPr>
          <w:rFonts w:eastAsia="Calibri"/>
          <w:sz w:val="20"/>
        </w:rPr>
      </w:pPr>
      <w:r w:rsidRPr="00955872">
        <w:rPr>
          <w:rFonts w:eastAsiaTheme="minorHAnsi"/>
          <w:b/>
          <w:sz w:val="20"/>
        </w:rPr>
        <w:t>E (225) :</w:t>
      </w:r>
      <w:r w:rsidRPr="00955872">
        <w:rPr>
          <w:rFonts w:eastAsiaTheme="minorHAnsi"/>
          <w:sz w:val="20"/>
        </w:rPr>
        <w:t xml:space="preserve"> </w:t>
      </w:r>
      <w:r w:rsidRPr="00955872">
        <w:rPr>
          <w:rFonts w:eastAsiaTheme="minorHAnsi"/>
          <w:b/>
          <w:sz w:val="20"/>
        </w:rPr>
        <w:t>(Problématisation—Carte bleue active)</w:t>
      </w:r>
      <w:r w:rsidRPr="00955872">
        <w:rPr>
          <w:rFonts w:eastAsiaTheme="minorHAnsi"/>
          <w:sz w:val="20"/>
        </w:rPr>
        <w:t xml:space="preserve"> Qu’est-ce que fait le paresseux ? [Appel à la vidéo animée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vidéo animée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(la fonction référentielle de l’image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image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 questionnent pertinent, logique</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logique</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et cohérent par rapport</w:t>
      </w:r>
      <w:r>
        <w:rPr>
          <w:sz w:val="20"/>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sidRPr="00955872">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au phénomène à l’image questionné].</w:t>
      </w:r>
    </w:p>
    <w:p w14:paraId="04ED5D36" w14:textId="77777777" w:rsidR="00D80693" w:rsidRDefault="00D80693" w:rsidP="00735D3E">
      <w:pPr>
        <w:spacing w:before="120"/>
        <w:jc w:val="both"/>
        <w:rPr>
          <w:rFonts w:eastAsia="Calibri"/>
          <w:sz w:val="24"/>
          <w:szCs w:val="24"/>
        </w:rPr>
      </w:pPr>
      <w:r w:rsidRPr="00955872">
        <w:rPr>
          <w:rFonts w:eastAsiaTheme="minorHAnsi"/>
          <w:sz w:val="24"/>
          <w:szCs w:val="24"/>
        </w:rPr>
        <w:t>Les cartes bleues sont les plus actives dans cette séquence : elles montrent la mobilisation de la problématisation</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problématisation</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comme habileté de la pensée</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pensée</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philosophique par les apprenants</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apprenants</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Parmi les cartes bleues utilisées par les joueurs-apprenants, on note trois (03) mobilisations distinctes de la problématisation chez les </w:t>
      </w:r>
      <w:r w:rsidRPr="00955872">
        <w:rPr>
          <w:rFonts w:eastAsiaTheme="minorHAnsi"/>
          <w:sz w:val="24"/>
        </w:rPr>
        <w:t>enfants</w:t>
      </w:r>
      <w:r>
        <w:rPr>
          <w:sz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enfants</w:instrText>
      </w:r>
      <w:r w:rsidRPr="00955872">
        <w:rPr>
          <w:rFonts w:asciiTheme="minorHAnsi" w:eastAsiaTheme="minorHAnsi" w:hAnsiTheme="minorHAnsi" w:cstheme="minorBidi"/>
        </w:rPr>
        <w:instrText xml:space="preserve">" </w:instrText>
      </w:r>
      <w:r>
        <w:rPr>
          <w:sz w:val="24"/>
        </w:rPr>
        <w:fldChar w:fldCharType="end"/>
      </w:r>
      <w:r w:rsidRPr="00955872">
        <w:rPr>
          <w:rFonts w:eastAsiaTheme="minorHAnsi"/>
          <w:sz w:val="24"/>
        </w:rPr>
        <w:t>— E (220) - E (225) et E (224). Ceux-ci montrent leur capacité à problématiser</w:t>
      </w:r>
      <w:r>
        <w:rPr>
          <w:sz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problématiser</w:instrText>
      </w:r>
      <w:r w:rsidRPr="00955872">
        <w:rPr>
          <w:rFonts w:asciiTheme="minorHAnsi" w:eastAsiaTheme="minorHAnsi" w:hAnsiTheme="minorHAnsi" w:cstheme="minorBidi"/>
        </w:rPr>
        <w:instrText xml:space="preserve">" </w:instrText>
      </w:r>
      <w:r>
        <w:rPr>
          <w:sz w:val="24"/>
        </w:rPr>
        <w:fldChar w:fldCharType="end"/>
      </w:r>
      <w:r w:rsidRPr="00955872">
        <w:rPr>
          <w:rFonts w:eastAsiaTheme="minorHAnsi"/>
          <w:sz w:val="24"/>
        </w:rPr>
        <w:t xml:space="preserve"> lorsqu’ils interrogent le problème posé par leurs camarades—E (219), E (220) et E (222) : leurs questions</w:t>
      </w:r>
      <w:r>
        <w:rPr>
          <w:sz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questions</w:instrText>
      </w:r>
      <w:r w:rsidRPr="00955872">
        <w:rPr>
          <w:rFonts w:asciiTheme="minorHAnsi" w:eastAsiaTheme="minorHAnsi" w:hAnsiTheme="minorHAnsi" w:cstheme="minorBidi"/>
        </w:rPr>
        <w:instrText xml:space="preserve">" </w:instrText>
      </w:r>
      <w:r>
        <w:rPr>
          <w:sz w:val="24"/>
        </w:rPr>
        <w:fldChar w:fldCharType="end"/>
      </w:r>
      <w:r>
        <w:rPr>
          <w:rFonts w:eastAsiaTheme="minorHAnsi"/>
          <w:sz w:val="24"/>
        </w:rPr>
        <w:t xml:space="preserve"> qui </w:t>
      </w:r>
      <w:r w:rsidRPr="00955872">
        <w:rPr>
          <w:rFonts w:eastAsiaTheme="minorHAnsi"/>
          <w:sz w:val="24"/>
        </w:rPr>
        <w:t>constituent les trois parties de la problématique</w:t>
      </w:r>
      <w:r>
        <w:rPr>
          <w:sz w:val="24"/>
        </w:rPr>
        <w:fldChar w:fldCharType="begin"/>
      </w:r>
      <w:r w:rsidRPr="00955872">
        <w:rPr>
          <w:rFonts w:asciiTheme="minorHAnsi" w:eastAsiaTheme="minorHAnsi" w:hAnsiTheme="minorHAnsi" w:cstheme="minorBidi"/>
        </w:rPr>
        <w:instrText xml:space="preserve"> XE "</w:instrText>
      </w:r>
      <w:r w:rsidRPr="00955872">
        <w:rPr>
          <w:rFonts w:eastAsiaTheme="minorHAnsi"/>
          <w:i/>
          <w:color w:val="000000"/>
          <w:sz w:val="24"/>
          <w:szCs w:val="24"/>
        </w:rPr>
        <w:instrText>problématique</w:instrText>
      </w:r>
      <w:r w:rsidRPr="00955872">
        <w:rPr>
          <w:rFonts w:asciiTheme="minorHAnsi" w:eastAsiaTheme="minorHAnsi" w:hAnsiTheme="minorHAnsi" w:cstheme="minorBidi"/>
        </w:rPr>
        <w:instrText xml:space="preserve">" </w:instrText>
      </w:r>
      <w:r>
        <w:rPr>
          <w:sz w:val="24"/>
        </w:rPr>
        <w:fldChar w:fldCharType="end"/>
      </w:r>
      <w:r w:rsidRPr="00955872">
        <w:rPr>
          <w:rFonts w:eastAsiaTheme="minorHAnsi"/>
          <w:sz w:val="24"/>
        </w:rPr>
        <w:t xml:space="preserve"> du sujet sont de nature à questionner le pourquoi des choses, c’est-à-dire à rechercher les raisons raisonnables de la paresse ou de la non-assiduité du Paresseux. Par ailleurs, on peut aussi voir une certaine capacité à décrire le problème chez ces enfants : ce qui montre leur capacité à observer un problème dans les détails pour en donner une définition</w:t>
      </w:r>
      <w:r>
        <w:rPr>
          <w:sz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définition</w:instrText>
      </w:r>
      <w:r w:rsidRPr="00955872">
        <w:rPr>
          <w:rFonts w:asciiTheme="minorHAnsi" w:eastAsiaTheme="minorHAnsi" w:hAnsiTheme="minorHAnsi" w:cstheme="minorBidi"/>
        </w:rPr>
        <w:instrText xml:space="preserve">" </w:instrText>
      </w:r>
      <w:r>
        <w:rPr>
          <w:sz w:val="24"/>
        </w:rPr>
        <w:fldChar w:fldCharType="end"/>
      </w:r>
      <w:r w:rsidRPr="00955872">
        <w:rPr>
          <w:rFonts w:eastAsiaTheme="minorHAnsi"/>
          <w:sz w:val="24"/>
        </w:rPr>
        <w:t xml:space="preserve"> ou en révéler le sens</w:t>
      </w:r>
      <w:r>
        <w:rPr>
          <w:sz w:val="24"/>
        </w:rPr>
        <w:fldChar w:fldCharType="begin"/>
      </w:r>
      <w:r w:rsidRPr="00955872">
        <w:rPr>
          <w:rFonts w:asciiTheme="minorHAnsi" w:eastAsiaTheme="minorHAnsi" w:hAnsiTheme="minorHAnsi" w:cstheme="minorBidi"/>
        </w:rPr>
        <w:instrText xml:space="preserve"> XE "</w:instrText>
      </w:r>
      <w:r w:rsidRPr="00955872">
        <w:rPr>
          <w:rFonts w:eastAsiaTheme="minorHAnsi"/>
          <w:sz w:val="24"/>
        </w:rPr>
        <w:instrText>sens</w:instrText>
      </w:r>
      <w:r w:rsidRPr="00955872">
        <w:rPr>
          <w:rFonts w:asciiTheme="minorHAnsi" w:eastAsiaTheme="minorHAnsi" w:hAnsiTheme="minorHAnsi" w:cstheme="minorBidi"/>
        </w:rPr>
        <w:instrText xml:space="preserve">" </w:instrText>
      </w:r>
      <w:r>
        <w:rPr>
          <w:sz w:val="24"/>
        </w:rPr>
        <w:fldChar w:fldCharType="end"/>
      </w:r>
      <w:r w:rsidRPr="00955872">
        <w:rPr>
          <w:rFonts w:eastAsiaTheme="minorHAnsi"/>
          <w:sz w:val="24"/>
        </w:rPr>
        <w:t xml:space="preserve">. Aussi, </w:t>
      </w:r>
      <w:r w:rsidRPr="00955872">
        <w:rPr>
          <w:rFonts w:eastAsiaTheme="minorHAnsi"/>
          <w:sz w:val="24"/>
          <w:szCs w:val="24"/>
        </w:rPr>
        <w:t>la mise en réseau</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sz w:val="24"/>
          <w:szCs w:val="24"/>
        </w:rPr>
        <w:instrText>mise en réseau</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des séquences d’images animées représentant l’attitude antagoniste du Paresseux par rapport</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au comportement de l’abeille a été d’une aide capitale pour le groupe, notamment chez les enfants—</w:t>
      </w:r>
      <w:r w:rsidRPr="00955872">
        <w:rPr>
          <w:rFonts w:eastAsiaTheme="minorHAnsi"/>
          <w:sz w:val="24"/>
        </w:rPr>
        <w:t xml:space="preserve"> E (219), E (220), E (222), E (224) et E (225) </w:t>
      </w:r>
      <w:r w:rsidRPr="00955872">
        <w:rPr>
          <w:rFonts w:eastAsiaTheme="minorHAnsi"/>
          <w:sz w:val="24"/>
          <w:szCs w:val="24"/>
        </w:rPr>
        <w:t>qui, ont travaillé collectivement à identifier et à poser de manière logique</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color w:val="000000"/>
          <w:sz w:val="24"/>
        </w:rPr>
        <w:instrText>logique</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le problème ainsi qu’à formuler des questions po</w:t>
      </w:r>
      <w:r>
        <w:rPr>
          <w:rFonts w:eastAsiaTheme="minorHAnsi"/>
          <w:sz w:val="24"/>
          <w:szCs w:val="24"/>
        </w:rPr>
        <w:t>ur une problématique pertinente</w:t>
      </w:r>
      <w:r w:rsidRPr="00955872">
        <w:rPr>
          <w:rFonts w:eastAsiaTheme="minorHAnsi"/>
          <w:sz w:val="24"/>
          <w:szCs w:val="24"/>
        </w:rPr>
        <w:t xml:space="preserve">. On peut alors observer dans le travail de coopération du groupe que les </w:t>
      </w:r>
      <w:r w:rsidRPr="00955872">
        <w:rPr>
          <w:rFonts w:eastAsiaTheme="minorHAnsi"/>
          <w:sz w:val="24"/>
        </w:rPr>
        <w:t xml:space="preserve">enfants— E (219), E (220) et E (222) </w:t>
      </w:r>
      <w:r w:rsidRPr="00955872">
        <w:rPr>
          <w:rFonts w:eastAsiaTheme="minorHAnsi"/>
          <w:sz w:val="24"/>
          <w:szCs w:val="24"/>
        </w:rPr>
        <w:t>ont compris que le problème est celui du « manque d’amour</w:t>
      </w:r>
      <w:r>
        <w:rPr>
          <w:sz w:val="24"/>
          <w:szCs w:val="24"/>
        </w:rPr>
        <w:fldChar w:fldCharType="begin"/>
      </w:r>
      <w:r w:rsidRPr="00955872">
        <w:rPr>
          <w:rFonts w:asciiTheme="minorHAnsi" w:eastAsiaTheme="minorHAnsi" w:hAnsiTheme="minorHAnsi" w:cstheme="minorBidi"/>
        </w:rPr>
        <w:instrText xml:space="preserve"> XE "</w:instrText>
      </w:r>
      <w:r w:rsidRPr="00955872">
        <w:rPr>
          <w:rFonts w:eastAsiaTheme="minorHAnsi"/>
          <w:i/>
          <w:color w:val="000000"/>
          <w:sz w:val="24"/>
          <w:szCs w:val="24"/>
        </w:rPr>
        <w:instrText>amour</w:instrText>
      </w:r>
      <w:r w:rsidRPr="00955872">
        <w:rPr>
          <w:rFonts w:asciiTheme="minorHAnsi" w:eastAsiaTheme="minorHAnsi" w:hAnsiTheme="minorHAnsi" w:cstheme="minorBidi"/>
        </w:rPr>
        <w:instrText xml:space="preserve">" </w:instrText>
      </w:r>
      <w:r>
        <w:rPr>
          <w:sz w:val="24"/>
          <w:szCs w:val="24"/>
        </w:rPr>
        <w:fldChar w:fldCharType="end"/>
      </w:r>
      <w:r w:rsidRPr="00955872">
        <w:rPr>
          <w:rFonts w:eastAsiaTheme="minorHAnsi"/>
          <w:sz w:val="24"/>
          <w:szCs w:val="24"/>
        </w:rPr>
        <w:t xml:space="preserve"> ou de la non-assiduité pour le travail » du paresseux qui traduit un comportement opposé à celui de l’abeille qui aime le travail et se montre assidu.</w:t>
      </w:r>
    </w:p>
    <w:p w14:paraId="1C58A551" w14:textId="77777777" w:rsidR="00D80693" w:rsidRPr="00E92031" w:rsidRDefault="00D80693" w:rsidP="00735D3E">
      <w:pPr>
        <w:pStyle w:val="Paragraphedeliste"/>
        <w:widowControl/>
        <w:numPr>
          <w:ilvl w:val="1"/>
          <w:numId w:val="195"/>
        </w:numPr>
        <w:autoSpaceDE/>
        <w:autoSpaceDN/>
        <w:spacing w:after="160"/>
        <w:rPr>
          <w:rFonts w:eastAsia="Calibri"/>
          <w:sz w:val="24"/>
          <w:szCs w:val="24"/>
        </w:rPr>
      </w:pPr>
      <w:r>
        <w:rPr>
          <w:rFonts w:eastAsiaTheme="minorHAnsi"/>
          <w:sz w:val="24"/>
          <w:szCs w:val="24"/>
        </w:rPr>
        <w:t xml:space="preserve"> </w:t>
      </w:r>
      <w:r>
        <w:rPr>
          <w:rFonts w:eastAsiaTheme="minorHAnsi"/>
          <w:b/>
          <w:sz w:val="24"/>
          <w:szCs w:val="24"/>
        </w:rPr>
        <w:t xml:space="preserve">Deuxième habileté de la pensée réflexive : la </w:t>
      </w:r>
      <w:r w:rsidRPr="00E72D03">
        <w:rPr>
          <w:rFonts w:eastAsiaTheme="minorHAnsi"/>
          <w:b/>
          <w:sz w:val="24"/>
          <w:szCs w:val="24"/>
        </w:rPr>
        <w:t>conceptualisation</w:t>
      </w:r>
      <w:r>
        <w:rPr>
          <w:rFonts w:eastAsiaTheme="minorHAnsi"/>
          <w:b/>
          <w:sz w:val="24"/>
          <w:szCs w:val="24"/>
        </w:rPr>
        <w:t xml:space="preserve"> des notions</w:t>
      </w:r>
    </w:p>
    <w:p w14:paraId="0FCAC488" w14:textId="77777777" w:rsidR="00D80693" w:rsidRDefault="00D80693" w:rsidP="00735D3E">
      <w:pPr>
        <w:spacing w:before="120"/>
        <w:jc w:val="both"/>
        <w:rPr>
          <w:rFonts w:eastAsia="Calibri"/>
          <w:sz w:val="24"/>
        </w:rPr>
      </w:pPr>
      <w:r w:rsidRPr="00E92031">
        <w:rPr>
          <w:rFonts w:eastAsiaTheme="minorHAnsi"/>
          <w:sz w:val="24"/>
        </w:rPr>
        <w:t>Pendant la séquence 2, les enfants</w:t>
      </w:r>
      <w:r>
        <w:rPr>
          <w:sz w:val="24"/>
        </w:rPr>
        <w:fldChar w:fldCharType="begin"/>
      </w:r>
      <w:r w:rsidRPr="00E92031">
        <w:rPr>
          <w:rFonts w:asciiTheme="minorHAnsi" w:eastAsiaTheme="minorHAnsi" w:hAnsiTheme="minorHAnsi" w:cstheme="minorBidi"/>
        </w:rPr>
        <w:instrText xml:space="preserve"> XE "</w:instrText>
      </w:r>
      <w:r w:rsidRPr="00E92031">
        <w:rPr>
          <w:rFonts w:eastAsiaTheme="minorHAnsi"/>
          <w:color w:val="000000"/>
          <w:sz w:val="24"/>
        </w:rPr>
        <w:instrText>enfants</w:instrText>
      </w:r>
      <w:r w:rsidRPr="00E92031">
        <w:rPr>
          <w:rFonts w:asciiTheme="minorHAnsi" w:eastAsiaTheme="minorHAnsi" w:hAnsiTheme="minorHAnsi" w:cstheme="minorBidi"/>
        </w:rPr>
        <w:instrText xml:space="preserve">" </w:instrText>
      </w:r>
      <w:r>
        <w:rPr>
          <w:sz w:val="24"/>
        </w:rPr>
        <w:fldChar w:fldCharType="end"/>
      </w:r>
      <w:r w:rsidRPr="00E92031">
        <w:rPr>
          <w:rFonts w:eastAsiaTheme="minorHAnsi"/>
          <w:sz w:val="24"/>
        </w:rPr>
        <w:t>— E (220), E (224), E (226) et E (227) montrent une capacité à conceptualiser</w:t>
      </w:r>
      <w:r>
        <w:rPr>
          <w:sz w:val="24"/>
        </w:rPr>
        <w:fldChar w:fldCharType="begin"/>
      </w:r>
      <w:r w:rsidRPr="00E92031">
        <w:rPr>
          <w:rFonts w:asciiTheme="minorHAnsi" w:eastAsiaTheme="minorHAnsi" w:hAnsiTheme="minorHAnsi" w:cstheme="minorBidi"/>
        </w:rPr>
        <w:instrText xml:space="preserve"> XE "</w:instrText>
      </w:r>
      <w:r w:rsidRPr="00E92031">
        <w:rPr>
          <w:rFonts w:eastAsiaTheme="minorHAnsi"/>
          <w:color w:val="000000"/>
          <w:sz w:val="24"/>
          <w:szCs w:val="24"/>
        </w:rPr>
        <w:instrText>conceptualiser</w:instrText>
      </w:r>
      <w:r w:rsidRPr="00E92031">
        <w:rPr>
          <w:rFonts w:asciiTheme="minorHAnsi" w:eastAsiaTheme="minorHAnsi" w:hAnsiTheme="minorHAnsi" w:cstheme="minorBidi"/>
        </w:rPr>
        <w:instrText xml:space="preserve">" </w:instrText>
      </w:r>
      <w:r>
        <w:rPr>
          <w:sz w:val="24"/>
        </w:rPr>
        <w:fldChar w:fldCharType="end"/>
      </w:r>
      <w:r w:rsidRPr="00E92031">
        <w:rPr>
          <w:rFonts w:eastAsiaTheme="minorHAnsi"/>
          <w:sz w:val="24"/>
        </w:rPr>
        <w:t xml:space="preserve"> la notion</w:t>
      </w:r>
      <w:r>
        <w:rPr>
          <w:sz w:val="24"/>
        </w:rPr>
        <w:fldChar w:fldCharType="begin"/>
      </w:r>
      <w:r w:rsidRPr="00E92031">
        <w:rPr>
          <w:rFonts w:asciiTheme="minorHAnsi" w:eastAsiaTheme="minorHAnsi" w:hAnsiTheme="minorHAnsi" w:cstheme="minorBidi"/>
        </w:rPr>
        <w:instrText xml:space="preserve"> XE "</w:instrText>
      </w:r>
      <w:r w:rsidRPr="00E92031">
        <w:rPr>
          <w:rFonts w:eastAsiaTheme="minorHAnsi"/>
          <w:color w:val="000000"/>
          <w:sz w:val="20"/>
          <w:szCs w:val="24"/>
        </w:rPr>
        <w:instrText>notion</w:instrText>
      </w:r>
      <w:r w:rsidRPr="00E92031">
        <w:rPr>
          <w:rFonts w:asciiTheme="minorHAnsi" w:eastAsiaTheme="minorHAnsi" w:hAnsiTheme="minorHAnsi" w:cstheme="minorBidi"/>
        </w:rPr>
        <w:instrText xml:space="preserve">" </w:instrText>
      </w:r>
      <w:r>
        <w:rPr>
          <w:sz w:val="24"/>
        </w:rPr>
        <w:fldChar w:fldCharType="end"/>
      </w:r>
      <w:r>
        <w:rPr>
          <w:rFonts w:eastAsiaTheme="minorHAnsi"/>
          <w:sz w:val="24"/>
        </w:rPr>
        <w:t xml:space="preserve"> du « travail » en rapport</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avec la notion d</w:t>
      </w:r>
      <w:proofErr w:type="gramStart"/>
      <w:r>
        <w:rPr>
          <w:rFonts w:eastAsiaTheme="minorHAnsi"/>
          <w:sz w:val="24"/>
        </w:rPr>
        <w:t>’«</w:t>
      </w:r>
      <w:proofErr w:type="gramEnd"/>
      <w:r>
        <w:rPr>
          <w:rFonts w:eastAsiaTheme="minorHAnsi"/>
          <w:sz w:val="24"/>
        </w:rPr>
        <w:t> assiduité » telle qu’exposée dans le contenu des images animées de jeunesse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jeunesse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lorsque nous leur demandons pour eux qui ont vu la vidéo, qu’est-ce qu’être assidu ? </w:t>
      </w:r>
    </w:p>
    <w:p w14:paraId="70E26068" w14:textId="77777777" w:rsidR="00D80693" w:rsidRDefault="00D80693" w:rsidP="00735D3E">
      <w:pPr>
        <w:pStyle w:val="Paragraphedeliste"/>
        <w:widowControl/>
        <w:numPr>
          <w:ilvl w:val="0"/>
          <w:numId w:val="200"/>
        </w:numPr>
        <w:autoSpaceDE/>
        <w:autoSpaceDN/>
        <w:spacing w:after="160"/>
        <w:ind w:left="720"/>
        <w:rPr>
          <w:rFonts w:eastAsia="Calibri"/>
          <w:sz w:val="20"/>
        </w:rPr>
      </w:pPr>
      <w:r>
        <w:rPr>
          <w:rFonts w:eastAsiaTheme="minorHAnsi"/>
          <w:b/>
          <w:sz w:val="20"/>
        </w:rPr>
        <w:t>E (226) (Conceptualisation—Carte verte active) :</w:t>
      </w:r>
      <w:r>
        <w:rPr>
          <w:rFonts w:eastAsiaTheme="minorHAnsi"/>
          <w:b/>
          <w:sz w:val="20"/>
          <w:szCs w:val="20"/>
        </w:rPr>
        <w:t xml:space="preserve"> </w:t>
      </w:r>
      <w:r>
        <w:rPr>
          <w:rFonts w:eastAsiaTheme="minorHAnsi"/>
          <w:sz w:val="20"/>
          <w:szCs w:val="20"/>
        </w:rPr>
        <w:t xml:space="preserve">Être assidu, ça veut dire que tu dois rester à ton travail…. </w:t>
      </w:r>
      <w:r>
        <w:rPr>
          <w:rFonts w:eastAsiaTheme="minorHAnsi"/>
          <w:sz w:val="20"/>
        </w:rPr>
        <w:t>[Assertion imageante</w:t>
      </w:r>
      <w:r>
        <w:rPr>
          <w:sz w:val="20"/>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imageante</w:instrText>
      </w:r>
      <w:r>
        <w:rPr>
          <w:rFonts w:asciiTheme="minorHAnsi" w:eastAsiaTheme="minorHAnsi" w:hAnsiTheme="minorHAnsi" w:cstheme="minorBidi"/>
        </w:rPr>
        <w:instrText xml:space="preserve">" </w:instrText>
      </w:r>
      <w:r>
        <w:rPr>
          <w:sz w:val="20"/>
        </w:rPr>
        <w:fldChar w:fldCharType="end"/>
      </w:r>
      <w:r>
        <w:rPr>
          <w:rFonts w:eastAsiaTheme="minorHAnsi"/>
          <w:sz w:val="20"/>
        </w:rPr>
        <w:t xml:space="preserve"> qui traduit l’idée</w:t>
      </w:r>
      <w:r>
        <w:rPr>
          <w:sz w:val="20"/>
        </w:rPr>
        <w:fldChar w:fldCharType="begin"/>
      </w:r>
      <w:r>
        <w:rPr>
          <w:rFonts w:asciiTheme="minorHAnsi" w:eastAsiaTheme="minorHAnsi" w:hAnsiTheme="minorHAnsi" w:cstheme="minorBidi"/>
        </w:rPr>
        <w:instrText xml:space="preserve"> XE "</w:instrText>
      </w:r>
      <w:r>
        <w:rPr>
          <w:rFonts w:eastAsiaTheme="minorHAnsi" w:cstheme="minorBidi"/>
          <w:sz w:val="24"/>
          <w:szCs w:val="24"/>
        </w:rPr>
        <w:instrText>idée</w:instrText>
      </w:r>
      <w:r>
        <w:rPr>
          <w:rFonts w:asciiTheme="minorHAnsi" w:eastAsiaTheme="minorHAnsi" w:hAnsiTheme="minorHAnsi" w:cstheme="minorBidi"/>
        </w:rPr>
        <w:instrText xml:space="preserve">" </w:instrText>
      </w:r>
      <w:r>
        <w:rPr>
          <w:sz w:val="20"/>
        </w:rPr>
        <w:fldChar w:fldCharType="end"/>
      </w:r>
      <w:r>
        <w:rPr>
          <w:rFonts w:eastAsiaTheme="minorHAnsi"/>
          <w:sz w:val="20"/>
        </w:rPr>
        <w:t xml:space="preserve"> de définition</w:t>
      </w:r>
      <w:r>
        <w:rPr>
          <w:sz w:val="20"/>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définition</w:instrText>
      </w:r>
      <w:r>
        <w:rPr>
          <w:rFonts w:asciiTheme="minorHAnsi" w:eastAsiaTheme="minorHAnsi" w:hAnsiTheme="minorHAnsi" w:cstheme="minorBidi"/>
        </w:rPr>
        <w:instrText xml:space="preserve">" </w:instrText>
      </w:r>
      <w:r>
        <w:rPr>
          <w:sz w:val="20"/>
        </w:rPr>
        <w:fldChar w:fldCharType="end"/>
      </w:r>
      <w:r>
        <w:rPr>
          <w:rFonts w:eastAsiaTheme="minorHAnsi"/>
          <w:sz w:val="20"/>
        </w:rPr>
        <w:t xml:space="preserve"> pertinente, cohérente et logique</w:t>
      </w:r>
      <w:r>
        <w:rPr>
          <w:sz w:val="20"/>
        </w:rPr>
        <w:fldChar w:fldCharType="begin"/>
      </w:r>
      <w:r>
        <w:rPr>
          <w:rFonts w:asciiTheme="minorHAnsi" w:eastAsiaTheme="minorHAnsi" w:hAnsiTheme="minorHAnsi" w:cstheme="minorBidi"/>
        </w:rPr>
        <w:instrText xml:space="preserve"> XE "</w:instrText>
      </w:r>
      <w:r>
        <w:rPr>
          <w:rFonts w:eastAsiaTheme="minorHAnsi"/>
          <w:color w:val="000000"/>
          <w:sz w:val="24"/>
        </w:rPr>
        <w:instrText>logique</w:instrText>
      </w:r>
      <w:r>
        <w:rPr>
          <w:rFonts w:asciiTheme="minorHAnsi" w:eastAsiaTheme="minorHAnsi" w:hAnsiTheme="minorHAnsi" w:cstheme="minorBidi"/>
        </w:rPr>
        <w:instrText xml:space="preserve">" </w:instrText>
      </w:r>
      <w:r>
        <w:rPr>
          <w:sz w:val="20"/>
        </w:rPr>
        <w:fldChar w:fldCharType="end"/>
      </w:r>
      <w:r>
        <w:rPr>
          <w:rFonts w:eastAsiaTheme="minorHAnsi"/>
          <w:sz w:val="20"/>
        </w:rPr>
        <w:t xml:space="preserve"> par rapport</w:t>
      </w:r>
      <w:r>
        <w:rPr>
          <w:sz w:val="20"/>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0"/>
        </w:rPr>
        <w:fldChar w:fldCharType="end"/>
      </w:r>
      <w:r>
        <w:rPr>
          <w:rFonts w:eastAsiaTheme="minorHAnsi"/>
          <w:sz w:val="20"/>
        </w:rPr>
        <w:t xml:space="preserve"> au sens</w:t>
      </w:r>
      <w:r>
        <w:rPr>
          <w:sz w:val="20"/>
        </w:rPr>
        <w:fldChar w:fldCharType="begin"/>
      </w:r>
      <w:r>
        <w:rPr>
          <w:rFonts w:asciiTheme="minorHAnsi" w:eastAsiaTheme="minorHAnsi" w:hAnsiTheme="minorHAnsi" w:cstheme="minorBidi"/>
        </w:rPr>
        <w:instrText xml:space="preserve"> XE "</w:instrText>
      </w:r>
      <w:r>
        <w:rPr>
          <w:rFonts w:eastAsiaTheme="minorHAnsi"/>
          <w:sz w:val="24"/>
        </w:rPr>
        <w:instrText>sens</w:instrText>
      </w:r>
      <w:r>
        <w:rPr>
          <w:rFonts w:asciiTheme="minorHAnsi" w:eastAsiaTheme="minorHAnsi" w:hAnsiTheme="minorHAnsi" w:cstheme="minorBidi"/>
        </w:rPr>
        <w:instrText xml:space="preserve">" </w:instrText>
      </w:r>
      <w:r>
        <w:rPr>
          <w:sz w:val="20"/>
        </w:rPr>
        <w:fldChar w:fldCharType="end"/>
      </w:r>
      <w:r>
        <w:rPr>
          <w:rFonts w:eastAsiaTheme="minorHAnsi"/>
          <w:sz w:val="20"/>
        </w:rPr>
        <w:t>/orientation philosophique déterminée du concept].</w:t>
      </w:r>
    </w:p>
    <w:p w14:paraId="37996F2A" w14:textId="77777777" w:rsidR="00D80693" w:rsidRDefault="00D80693" w:rsidP="00735D3E">
      <w:pPr>
        <w:pStyle w:val="Paragraphedeliste"/>
        <w:widowControl/>
        <w:numPr>
          <w:ilvl w:val="0"/>
          <w:numId w:val="200"/>
        </w:numPr>
        <w:autoSpaceDE/>
        <w:autoSpaceDN/>
        <w:spacing w:after="160"/>
        <w:ind w:left="720"/>
        <w:rPr>
          <w:rFonts w:eastAsia="Calibri"/>
          <w:sz w:val="20"/>
        </w:rPr>
      </w:pPr>
      <w:r w:rsidRPr="00955872">
        <w:rPr>
          <w:rFonts w:eastAsiaTheme="minorHAnsi"/>
          <w:b/>
          <w:sz w:val="20"/>
          <w:szCs w:val="20"/>
        </w:rPr>
        <w:t xml:space="preserve">E (224) : </w:t>
      </w:r>
      <w:r w:rsidRPr="00955872">
        <w:rPr>
          <w:rFonts w:eastAsiaTheme="minorHAnsi"/>
          <w:b/>
          <w:sz w:val="20"/>
        </w:rPr>
        <w:t xml:space="preserve">(Conceptualisation—Carte verte active) </w:t>
      </w:r>
      <w:r w:rsidRPr="00955872">
        <w:rPr>
          <w:rFonts w:eastAsiaTheme="minorHAnsi"/>
          <w:b/>
          <w:sz w:val="20"/>
          <w:szCs w:val="20"/>
        </w:rPr>
        <w:t>« </w:t>
      </w:r>
      <w:r w:rsidRPr="00955872">
        <w:rPr>
          <w:rFonts w:eastAsiaTheme="minorHAnsi"/>
          <w:sz w:val="20"/>
          <w:szCs w:val="20"/>
        </w:rPr>
        <w:t xml:space="preserve">rester à son travail », c’est que même si on te dit de rentrer, tu ne veux pas rentrer, tu dois continuer à travailler </w:t>
      </w:r>
      <w:r w:rsidRPr="00955872">
        <w:rPr>
          <w:rFonts w:eastAsiaTheme="minorHAnsi"/>
          <w:sz w:val="20"/>
        </w:rPr>
        <w:t>[Assertion imageante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imageante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qui traduit l’idée</w:t>
      </w:r>
      <w:r>
        <w:rPr>
          <w:sz w:val="20"/>
        </w:rPr>
        <w:fldChar w:fldCharType="begin"/>
      </w:r>
      <w:r>
        <w:rPr>
          <w:rFonts w:asciiTheme="minorHAnsi" w:eastAsiaTheme="minorHAnsi" w:hAnsiTheme="minorHAnsi" w:cstheme="minorBidi"/>
        </w:rPr>
        <w:instrText xml:space="preserve"> XE "</w:instrText>
      </w:r>
      <w:r w:rsidRPr="00955872">
        <w:rPr>
          <w:rFonts w:eastAsiaTheme="minorHAnsi" w:cstheme="minorBidi"/>
          <w:sz w:val="24"/>
          <w:szCs w:val="24"/>
        </w:rPr>
        <w:instrText>idée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de définition</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définition</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pertinente, cohérente et logique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logique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par rapport</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au sens</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rPr>
        <w:instrText>sens</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/orientation philosophique déterminée du concept— idée de durée/d’intensité].</w:t>
      </w:r>
    </w:p>
    <w:p w14:paraId="144A81FE" w14:textId="77777777" w:rsidR="00D80693" w:rsidRDefault="00D80693" w:rsidP="00735D3E">
      <w:pPr>
        <w:pStyle w:val="Paragraphedeliste"/>
        <w:widowControl/>
        <w:numPr>
          <w:ilvl w:val="0"/>
          <w:numId w:val="200"/>
        </w:numPr>
        <w:autoSpaceDE/>
        <w:autoSpaceDN/>
        <w:spacing w:after="160"/>
        <w:ind w:left="720"/>
        <w:rPr>
          <w:rFonts w:eastAsia="Calibri"/>
          <w:sz w:val="20"/>
        </w:rPr>
      </w:pPr>
      <w:r w:rsidRPr="00955872">
        <w:rPr>
          <w:rFonts w:eastAsiaTheme="minorHAnsi"/>
          <w:b/>
          <w:sz w:val="20"/>
        </w:rPr>
        <w:t>E (220) :</w:t>
      </w:r>
      <w:r w:rsidRPr="00955872">
        <w:rPr>
          <w:rFonts w:eastAsiaTheme="minorHAnsi"/>
          <w:sz w:val="20"/>
        </w:rPr>
        <w:t xml:space="preserve"> </w:t>
      </w:r>
      <w:r w:rsidRPr="00955872">
        <w:rPr>
          <w:rFonts w:eastAsiaTheme="minorHAnsi"/>
          <w:b/>
          <w:sz w:val="20"/>
        </w:rPr>
        <w:t>(Conceptualisation—Carte verte active)</w:t>
      </w:r>
      <w:r w:rsidRPr="00955872">
        <w:rPr>
          <w:rFonts w:eastAsiaTheme="minorHAnsi"/>
          <w:sz w:val="20"/>
          <w:szCs w:val="20"/>
        </w:rPr>
        <w:t xml:space="preserve"> Être assidu dans le travail, ça veut dire que quand tu viens au travail, tu dois d’abord finir tous tes travaux</w:t>
      </w:r>
      <w:r>
        <w:rPr>
          <w:sz w:val="20"/>
          <w:szCs w:val="20"/>
        </w:rPr>
        <w:fldChar w:fldCharType="begin"/>
      </w:r>
      <w:r>
        <w:rPr>
          <w:rFonts w:asciiTheme="minorHAnsi" w:eastAsiaTheme="minorHAnsi" w:hAnsiTheme="minorHAnsi" w:cstheme="minorBidi"/>
        </w:rPr>
        <w:instrText xml:space="preserve"> XE "</w:instrText>
      </w:r>
      <w:r w:rsidRPr="00955872">
        <w:rPr>
          <w:rFonts w:eastAsiaTheme="minorHAnsi"/>
          <w:sz w:val="24"/>
        </w:rPr>
        <w:instrText>travaux</w:instrText>
      </w:r>
      <w:r>
        <w:rPr>
          <w:rFonts w:asciiTheme="minorHAnsi" w:eastAsiaTheme="minorHAnsi" w:hAnsiTheme="minorHAnsi" w:cstheme="minorBidi"/>
        </w:rPr>
        <w:instrText xml:space="preserve">" </w:instrText>
      </w:r>
      <w:r>
        <w:rPr>
          <w:sz w:val="20"/>
          <w:szCs w:val="20"/>
        </w:rPr>
        <w:fldChar w:fldCharType="end"/>
      </w:r>
      <w:r w:rsidRPr="00955872">
        <w:rPr>
          <w:rFonts w:eastAsiaTheme="minorHAnsi"/>
          <w:sz w:val="20"/>
          <w:szCs w:val="20"/>
        </w:rPr>
        <w:t xml:space="preserve"> avant de rentrer à la maison. Ça veut dire aussi que tu aimes le travail </w:t>
      </w:r>
      <w:r w:rsidRPr="00955872">
        <w:rPr>
          <w:rFonts w:eastAsiaTheme="minorHAnsi"/>
          <w:sz w:val="20"/>
        </w:rPr>
        <w:t>[Assertion imageante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imageante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qui traduit l’idée</w:t>
      </w:r>
      <w:r>
        <w:rPr>
          <w:sz w:val="20"/>
        </w:rPr>
        <w:fldChar w:fldCharType="begin"/>
      </w:r>
      <w:r>
        <w:rPr>
          <w:rFonts w:asciiTheme="minorHAnsi" w:eastAsiaTheme="minorHAnsi" w:hAnsiTheme="minorHAnsi" w:cstheme="minorBidi"/>
        </w:rPr>
        <w:instrText xml:space="preserve"> XE "</w:instrText>
      </w:r>
      <w:r w:rsidRPr="00955872">
        <w:rPr>
          <w:rFonts w:eastAsiaTheme="minorHAnsi" w:cstheme="minorBidi"/>
          <w:sz w:val="24"/>
          <w:szCs w:val="24"/>
        </w:rPr>
        <w:instrText>idée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de définition</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définition</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pertinente, cohérente et logique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logique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par rapport</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au sens</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rPr>
        <w:instrText>sens</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/orientation philosophique déterminée du concept—idée de durée/d’intensité].</w:t>
      </w:r>
    </w:p>
    <w:p w14:paraId="096997B0" w14:textId="77777777" w:rsidR="00D80693" w:rsidRPr="00C06946" w:rsidRDefault="00D80693" w:rsidP="00735D3E">
      <w:pPr>
        <w:pStyle w:val="Paragraphedeliste"/>
        <w:widowControl/>
        <w:numPr>
          <w:ilvl w:val="0"/>
          <w:numId w:val="200"/>
        </w:numPr>
        <w:autoSpaceDE/>
        <w:autoSpaceDN/>
        <w:spacing w:after="160"/>
        <w:ind w:left="720"/>
        <w:rPr>
          <w:rFonts w:eastAsia="Calibri"/>
          <w:sz w:val="20"/>
        </w:rPr>
      </w:pPr>
      <w:r w:rsidRPr="00955872">
        <w:rPr>
          <w:rFonts w:eastAsiaTheme="minorHAnsi"/>
          <w:b/>
          <w:sz w:val="20"/>
        </w:rPr>
        <w:t>E (227) :</w:t>
      </w:r>
      <w:r w:rsidRPr="00955872">
        <w:rPr>
          <w:rFonts w:eastAsiaTheme="minorHAnsi"/>
          <w:sz w:val="20"/>
        </w:rPr>
        <w:t xml:space="preserve"> </w:t>
      </w:r>
      <w:r w:rsidRPr="00955872">
        <w:rPr>
          <w:rFonts w:eastAsiaTheme="minorHAnsi"/>
          <w:b/>
          <w:sz w:val="20"/>
        </w:rPr>
        <w:t>(Conceptualisation—Carte verte active)</w:t>
      </w:r>
      <w:r w:rsidRPr="00955872">
        <w:rPr>
          <w:rFonts w:eastAsiaTheme="minorHAnsi"/>
          <w:sz w:val="20"/>
          <w:szCs w:val="20"/>
        </w:rPr>
        <w:t xml:space="preserve"> Être assidu, ça veut dire qu’on ne manque jamais le travail…. </w:t>
      </w:r>
      <w:r w:rsidRPr="00955872">
        <w:rPr>
          <w:rFonts w:eastAsiaTheme="minorHAnsi"/>
          <w:sz w:val="20"/>
        </w:rPr>
        <w:t>[Assertion imageante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imageante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qui traduit l’idée</w:t>
      </w:r>
      <w:r>
        <w:rPr>
          <w:sz w:val="20"/>
        </w:rPr>
        <w:fldChar w:fldCharType="begin"/>
      </w:r>
      <w:r>
        <w:rPr>
          <w:rFonts w:asciiTheme="minorHAnsi" w:eastAsiaTheme="minorHAnsi" w:hAnsiTheme="minorHAnsi" w:cstheme="minorBidi"/>
        </w:rPr>
        <w:instrText xml:space="preserve"> XE "</w:instrText>
      </w:r>
      <w:r w:rsidRPr="00955872">
        <w:rPr>
          <w:rFonts w:eastAsiaTheme="minorHAnsi" w:cstheme="minorBidi"/>
          <w:sz w:val="24"/>
          <w:szCs w:val="24"/>
        </w:rPr>
        <w:instrText>idée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de définition</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définition</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pertinente, cohérente et logique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logique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par rapport</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au sens</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rPr>
        <w:instrText>sens</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/orientation philosophique déterminée du concept— idée de durée/d’intensité].</w:t>
      </w:r>
    </w:p>
    <w:p w14:paraId="32ECE712" w14:textId="77777777" w:rsidR="00D80693" w:rsidRPr="00C06946" w:rsidRDefault="00D80693" w:rsidP="00735D3E">
      <w:pPr>
        <w:spacing w:before="120"/>
        <w:jc w:val="both"/>
        <w:rPr>
          <w:rFonts w:eastAsia="Calibri"/>
          <w:bCs/>
          <w:sz w:val="24"/>
          <w:szCs w:val="24"/>
        </w:rPr>
      </w:pPr>
      <w:r w:rsidRPr="00C06946">
        <w:rPr>
          <w:rFonts w:eastAsiaTheme="minorHAnsi"/>
          <w:sz w:val="24"/>
          <w:szCs w:val="24"/>
        </w:rPr>
        <w:t>Les cartes vertes sont les plus actives dans cette séquence : elles montrent la mobilisation de la conceptualisation</w:t>
      </w:r>
      <w:r>
        <w:rPr>
          <w:sz w:val="24"/>
          <w:szCs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rPr>
        <w:instrText>conceptualisation</w:instrText>
      </w:r>
      <w:r>
        <w:rPr>
          <w:rFonts w:asciiTheme="minorHAnsi" w:eastAsiaTheme="minorHAnsi" w:hAnsiTheme="minorHAnsi" w:cstheme="minorBidi"/>
        </w:rPr>
        <w:instrText xml:space="preserve">" </w:instrText>
      </w:r>
      <w:r>
        <w:rPr>
          <w:sz w:val="24"/>
          <w:szCs w:val="24"/>
        </w:rPr>
        <w:fldChar w:fldCharType="end"/>
      </w:r>
      <w:r w:rsidRPr="00C06946">
        <w:rPr>
          <w:rFonts w:eastAsiaTheme="minorHAnsi"/>
          <w:sz w:val="24"/>
          <w:szCs w:val="24"/>
        </w:rPr>
        <w:t xml:space="preserve"> comme habileté de la pensée</w:t>
      </w:r>
      <w:r>
        <w:rPr>
          <w:sz w:val="24"/>
          <w:szCs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szCs w:val="24"/>
        </w:rPr>
        <w:instrText>pensée</w:instrText>
      </w:r>
      <w:r>
        <w:rPr>
          <w:rFonts w:asciiTheme="minorHAnsi" w:eastAsiaTheme="minorHAnsi" w:hAnsiTheme="minorHAnsi" w:cstheme="minorBidi"/>
        </w:rPr>
        <w:instrText xml:space="preserve">" </w:instrText>
      </w:r>
      <w:r>
        <w:rPr>
          <w:sz w:val="24"/>
          <w:szCs w:val="24"/>
        </w:rPr>
        <w:fldChar w:fldCharType="end"/>
      </w:r>
      <w:r w:rsidRPr="00C06946">
        <w:rPr>
          <w:rFonts w:eastAsiaTheme="minorHAnsi"/>
          <w:sz w:val="24"/>
          <w:szCs w:val="24"/>
        </w:rPr>
        <w:t xml:space="preserve"> philosophique par les apprenants</w:t>
      </w:r>
      <w:r>
        <w:rPr>
          <w:sz w:val="24"/>
          <w:szCs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rPr>
        <w:instrText>apprenants</w:instrText>
      </w:r>
      <w:r>
        <w:rPr>
          <w:rFonts w:asciiTheme="minorHAnsi" w:eastAsiaTheme="minorHAnsi" w:hAnsiTheme="minorHAnsi" w:cstheme="minorBidi"/>
        </w:rPr>
        <w:instrText xml:space="preserve">" </w:instrText>
      </w:r>
      <w:r>
        <w:rPr>
          <w:sz w:val="24"/>
          <w:szCs w:val="24"/>
        </w:rPr>
        <w:fldChar w:fldCharType="end"/>
      </w:r>
      <w:r w:rsidRPr="00C06946">
        <w:rPr>
          <w:rFonts w:eastAsiaTheme="minorHAnsi"/>
          <w:sz w:val="24"/>
          <w:szCs w:val="24"/>
        </w:rPr>
        <w:t xml:space="preserve">. Parmi les cartes vertes utilisées par les joueurs-apprenants, on note deux (02) mobilisations distinctes de la conceptualisation chez les </w:t>
      </w:r>
      <w:r w:rsidRPr="00C06946">
        <w:rPr>
          <w:rFonts w:eastAsiaTheme="minorHAnsi"/>
          <w:sz w:val="24"/>
        </w:rPr>
        <w:t>enfants</w:t>
      </w:r>
      <w:r>
        <w:rPr>
          <w:sz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rPr>
        <w:instrText>enfants</w:instrText>
      </w:r>
      <w:r>
        <w:rPr>
          <w:rFonts w:asciiTheme="minorHAnsi" w:eastAsiaTheme="minorHAnsi" w:hAnsiTheme="minorHAnsi" w:cstheme="minorBidi"/>
        </w:rPr>
        <w:instrText xml:space="preserve">" </w:instrText>
      </w:r>
      <w:r>
        <w:rPr>
          <w:sz w:val="24"/>
        </w:rPr>
        <w:fldChar w:fldCharType="end"/>
      </w:r>
      <w:r w:rsidRPr="00C06946">
        <w:rPr>
          <w:rFonts w:eastAsiaTheme="minorHAnsi"/>
          <w:sz w:val="24"/>
        </w:rPr>
        <w:t>—E (220), E (224), E (226) et E (227). Ceux-ci montrent leur capacité à conceptualiser</w:t>
      </w:r>
      <w:r>
        <w:rPr>
          <w:sz w:val="24"/>
        </w:rPr>
        <w:fldChar w:fldCharType="begin"/>
      </w:r>
      <w:r>
        <w:rPr>
          <w:rFonts w:asciiTheme="minorHAnsi" w:eastAsiaTheme="minorHAnsi" w:hAnsiTheme="minorHAnsi" w:cstheme="minorBidi"/>
        </w:rPr>
        <w:instrText xml:space="preserve"> XE "</w:instrText>
      </w:r>
      <w:r w:rsidRPr="00C06946">
        <w:rPr>
          <w:rFonts w:eastAsiaTheme="minorHAnsi"/>
          <w:i/>
          <w:color w:val="000000"/>
          <w:sz w:val="24"/>
          <w:szCs w:val="24"/>
        </w:rPr>
        <w:instrText>conceptualiser</w:instrText>
      </w:r>
      <w:r>
        <w:rPr>
          <w:rFonts w:asciiTheme="minorHAnsi" w:eastAsiaTheme="minorHAnsi" w:hAnsiTheme="minorHAnsi" w:cstheme="minorBidi"/>
        </w:rPr>
        <w:instrText xml:space="preserve">" </w:instrText>
      </w:r>
      <w:r>
        <w:rPr>
          <w:sz w:val="24"/>
        </w:rPr>
        <w:fldChar w:fldCharType="end"/>
      </w:r>
      <w:r w:rsidRPr="00C06946">
        <w:rPr>
          <w:rFonts w:eastAsiaTheme="minorHAnsi"/>
          <w:sz w:val="24"/>
        </w:rPr>
        <w:t xml:space="preserve"> philosophiquement lorsqu’ils définissent le concept du « travail » en rapport</w:t>
      </w:r>
      <w:r>
        <w:rPr>
          <w:sz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szCs w:val="24"/>
        </w:rPr>
        <w:instrText>rapport</w:instrText>
      </w:r>
      <w:r>
        <w:rPr>
          <w:rFonts w:asciiTheme="minorHAnsi" w:eastAsiaTheme="minorHAnsi" w:hAnsiTheme="minorHAnsi" w:cstheme="minorBidi"/>
        </w:rPr>
        <w:instrText xml:space="preserve">" </w:instrText>
      </w:r>
      <w:r>
        <w:rPr>
          <w:sz w:val="24"/>
        </w:rPr>
        <w:fldChar w:fldCharType="end"/>
      </w:r>
      <w:r w:rsidRPr="00C06946">
        <w:rPr>
          <w:rFonts w:eastAsiaTheme="minorHAnsi"/>
          <w:sz w:val="24"/>
        </w:rPr>
        <w:t xml:space="preserve"> avec la notion</w:t>
      </w:r>
      <w:r>
        <w:rPr>
          <w:sz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0"/>
          <w:szCs w:val="24"/>
        </w:rPr>
        <w:instrText>notion</w:instrText>
      </w:r>
      <w:r>
        <w:rPr>
          <w:rFonts w:asciiTheme="minorHAnsi" w:eastAsiaTheme="minorHAnsi" w:hAnsiTheme="minorHAnsi" w:cstheme="minorBidi"/>
        </w:rPr>
        <w:instrText xml:space="preserve">" </w:instrText>
      </w:r>
      <w:r>
        <w:rPr>
          <w:sz w:val="24"/>
        </w:rPr>
        <w:fldChar w:fldCharType="end"/>
      </w:r>
      <w:r w:rsidRPr="00C06946">
        <w:rPr>
          <w:rFonts w:eastAsiaTheme="minorHAnsi"/>
          <w:sz w:val="24"/>
        </w:rPr>
        <w:t xml:space="preserve"> « d’assiduité » : leurs définitions qui envoient à une conceptualisation de ces notions tiennent à cœur « l’assidui</w:t>
      </w:r>
      <w:r>
        <w:rPr>
          <w:rFonts w:eastAsiaTheme="minorHAnsi"/>
          <w:sz w:val="24"/>
        </w:rPr>
        <w:t>té dans le</w:t>
      </w:r>
      <w:r w:rsidRPr="00C06946">
        <w:rPr>
          <w:rFonts w:eastAsiaTheme="minorHAnsi"/>
          <w:sz w:val="24"/>
        </w:rPr>
        <w:t xml:space="preserve"> travail » comme la manière avec laquelle le paresseux devrait aimer travailler. </w:t>
      </w:r>
      <w:r w:rsidRPr="00C06946">
        <w:rPr>
          <w:rFonts w:eastAsiaTheme="minorHAnsi"/>
          <w:sz w:val="24"/>
          <w:szCs w:val="24"/>
        </w:rPr>
        <w:t>Aussi, on remarque que le groupe</w:t>
      </w:r>
      <w:r w:rsidRPr="00C06946">
        <w:rPr>
          <w:rFonts w:eastAsiaTheme="minorHAnsi"/>
          <w:sz w:val="24"/>
        </w:rPr>
        <w:t>— E (220), E (224), E (226) et E (227), dans le collectif,</w:t>
      </w:r>
      <w:r w:rsidRPr="00C06946">
        <w:rPr>
          <w:rFonts w:eastAsiaTheme="minorHAnsi"/>
          <w:sz w:val="24"/>
          <w:szCs w:val="24"/>
        </w:rPr>
        <w:t xml:space="preserve"> font preuve d’une conscience imageante</w:t>
      </w:r>
      <w:r>
        <w:rPr>
          <w:sz w:val="24"/>
          <w:szCs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szCs w:val="24"/>
        </w:rPr>
        <w:instrText>imageante</w:instrText>
      </w:r>
      <w:r>
        <w:rPr>
          <w:rFonts w:asciiTheme="minorHAnsi" w:eastAsiaTheme="minorHAnsi" w:hAnsiTheme="minorHAnsi" w:cstheme="minorBidi"/>
        </w:rPr>
        <w:instrText xml:space="preserve">" </w:instrText>
      </w:r>
      <w:r>
        <w:rPr>
          <w:sz w:val="24"/>
          <w:szCs w:val="24"/>
        </w:rPr>
        <w:fldChar w:fldCharType="end"/>
      </w:r>
      <w:r w:rsidRPr="00C06946">
        <w:rPr>
          <w:rFonts w:eastAsiaTheme="minorHAnsi"/>
          <w:sz w:val="24"/>
          <w:szCs w:val="24"/>
        </w:rPr>
        <w:t xml:space="preserve"> du contenu imagé visionné au début de la séance</w:t>
      </w:r>
      <w:r>
        <w:rPr>
          <w:sz w:val="24"/>
          <w:szCs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szCs w:val="24"/>
        </w:rPr>
        <w:instrText>séance</w:instrText>
      </w:r>
      <w:r>
        <w:rPr>
          <w:rFonts w:asciiTheme="minorHAnsi" w:eastAsiaTheme="minorHAnsi" w:hAnsiTheme="minorHAnsi" w:cstheme="minorBidi"/>
        </w:rPr>
        <w:instrText xml:space="preserve">" </w:instrText>
      </w:r>
      <w:r>
        <w:rPr>
          <w:sz w:val="24"/>
          <w:szCs w:val="24"/>
        </w:rPr>
        <w:fldChar w:fldCharType="end"/>
      </w:r>
      <w:r w:rsidRPr="00C06946">
        <w:rPr>
          <w:rFonts w:eastAsiaTheme="minorHAnsi"/>
          <w:sz w:val="24"/>
          <w:szCs w:val="24"/>
        </w:rPr>
        <w:t> dans lequel leurs consciences ont pu se saisir d’un certain sens</w:t>
      </w:r>
      <w:r>
        <w:rPr>
          <w:sz w:val="24"/>
          <w:szCs w:val="24"/>
        </w:rPr>
        <w:fldChar w:fldCharType="begin"/>
      </w:r>
      <w:r>
        <w:rPr>
          <w:rFonts w:asciiTheme="minorHAnsi" w:eastAsiaTheme="minorHAnsi" w:hAnsiTheme="minorHAnsi" w:cstheme="minorBidi"/>
        </w:rPr>
        <w:instrText xml:space="preserve"> XE "</w:instrText>
      </w:r>
      <w:r w:rsidRPr="00C06946">
        <w:rPr>
          <w:rFonts w:eastAsiaTheme="minorHAnsi"/>
          <w:sz w:val="24"/>
        </w:rPr>
        <w:instrText>sens</w:instrText>
      </w:r>
      <w:r>
        <w:rPr>
          <w:rFonts w:asciiTheme="minorHAnsi" w:eastAsiaTheme="minorHAnsi" w:hAnsiTheme="minorHAnsi" w:cstheme="minorBidi"/>
        </w:rPr>
        <w:instrText xml:space="preserve">" </w:instrText>
      </w:r>
      <w:r>
        <w:rPr>
          <w:sz w:val="24"/>
          <w:szCs w:val="24"/>
        </w:rPr>
        <w:fldChar w:fldCharType="end"/>
      </w:r>
      <w:r w:rsidRPr="00C06946">
        <w:rPr>
          <w:rFonts w:eastAsiaTheme="minorHAnsi"/>
          <w:sz w:val="24"/>
          <w:szCs w:val="24"/>
        </w:rPr>
        <w:t xml:space="preserve"> (philosophique) du concept qu’elle communique par des </w:t>
      </w:r>
      <w:r w:rsidRPr="00C06946">
        <w:rPr>
          <w:rFonts w:eastAsiaTheme="minorHAnsi"/>
          <w:color w:val="000000"/>
          <w:sz w:val="24"/>
          <w:szCs w:val="24"/>
        </w:rPr>
        <w:t>éléments idéatifs de leur pensée qu’on retrouve dans la séquence d’images animées qui représentent l’idée</w:t>
      </w:r>
      <w:r>
        <w:rPr>
          <w:color w:val="000000"/>
          <w:sz w:val="24"/>
          <w:szCs w:val="24"/>
        </w:rPr>
        <w:fldChar w:fldCharType="begin"/>
      </w:r>
      <w:r>
        <w:rPr>
          <w:rFonts w:asciiTheme="minorHAnsi" w:eastAsiaTheme="minorHAnsi" w:hAnsiTheme="minorHAnsi" w:cstheme="minorBidi"/>
        </w:rPr>
        <w:instrText xml:space="preserve"> XE "</w:instrText>
      </w:r>
      <w:r w:rsidRPr="00C06946">
        <w:rPr>
          <w:rFonts w:eastAsiaTheme="minorHAnsi" w:cstheme="minorBidi"/>
          <w:sz w:val="24"/>
          <w:szCs w:val="24"/>
        </w:rPr>
        <w:instrText>idée</w:instrText>
      </w:r>
      <w:r>
        <w:rPr>
          <w:rFonts w:asciiTheme="minorHAnsi" w:eastAsiaTheme="minorHAnsi" w:hAnsiTheme="minorHAnsi" w:cstheme="minorBidi"/>
        </w:rPr>
        <w:instrText xml:space="preserve">" </w:instrText>
      </w:r>
      <w:r>
        <w:rPr>
          <w:color w:val="000000"/>
          <w:sz w:val="24"/>
          <w:szCs w:val="24"/>
        </w:rPr>
        <w:fldChar w:fldCharType="end"/>
      </w:r>
      <w:r w:rsidRPr="00C06946">
        <w:rPr>
          <w:rFonts w:eastAsiaTheme="minorHAnsi"/>
          <w:color w:val="000000"/>
          <w:sz w:val="24"/>
          <w:szCs w:val="24"/>
        </w:rPr>
        <w:t xml:space="preserve"> du concept du « travail et de l’assiduité » : </w:t>
      </w:r>
      <w:r w:rsidRPr="00C06946">
        <w:rPr>
          <w:rFonts w:eastAsiaTheme="minorHAnsi"/>
          <w:i/>
          <w:color w:val="000000"/>
          <w:sz w:val="24"/>
          <w:szCs w:val="24"/>
        </w:rPr>
        <w:t>c’est l’assertion imageante</w:t>
      </w:r>
      <w:r w:rsidRPr="00C06946">
        <w:rPr>
          <w:rFonts w:eastAsiaTheme="minorHAnsi"/>
          <w:color w:val="000000"/>
          <w:sz w:val="24"/>
          <w:szCs w:val="24"/>
        </w:rPr>
        <w:t>. Avec des nuances semblables, chacun des enfants—</w:t>
      </w:r>
      <w:r w:rsidRPr="00C06946">
        <w:rPr>
          <w:rFonts w:eastAsiaTheme="minorHAnsi"/>
          <w:sz w:val="24"/>
        </w:rPr>
        <w:t xml:space="preserve"> E (220), E (224), E (226) et E (227)</w:t>
      </w:r>
      <w:r w:rsidRPr="00C06946">
        <w:rPr>
          <w:rFonts w:eastAsiaTheme="minorHAnsi"/>
          <w:color w:val="000000"/>
          <w:sz w:val="24"/>
          <w:szCs w:val="24"/>
        </w:rPr>
        <w:t>, dans la forme</w:t>
      </w:r>
      <w:r>
        <w:rPr>
          <w:color w:val="000000"/>
          <w:sz w:val="24"/>
          <w:szCs w:val="24"/>
        </w:rPr>
        <w:fldChar w:fldCharType="begin"/>
      </w:r>
      <w:r>
        <w:rPr>
          <w:rFonts w:asciiTheme="minorHAnsi" w:eastAsiaTheme="minorHAnsi" w:hAnsiTheme="minorHAnsi" w:cstheme="minorBidi"/>
        </w:rPr>
        <w:instrText xml:space="preserve"> XE "</w:instrText>
      </w:r>
      <w:r w:rsidRPr="00C06946">
        <w:rPr>
          <w:rFonts w:eastAsiaTheme="minorHAnsi"/>
          <w:color w:val="000000"/>
          <w:sz w:val="24"/>
        </w:rPr>
        <w:instrText>forme</w:instrText>
      </w:r>
      <w:r>
        <w:rPr>
          <w:rFonts w:asciiTheme="minorHAnsi" w:eastAsiaTheme="minorHAnsi" w:hAnsiTheme="minorHAnsi" w:cstheme="minorBidi"/>
        </w:rPr>
        <w:instrText xml:space="preserve">" </w:instrText>
      </w:r>
      <w:r>
        <w:rPr>
          <w:color w:val="000000"/>
          <w:sz w:val="24"/>
          <w:szCs w:val="24"/>
        </w:rPr>
        <w:fldChar w:fldCharType="end"/>
      </w:r>
      <w:r w:rsidRPr="00C06946">
        <w:rPr>
          <w:rFonts w:eastAsiaTheme="minorHAnsi"/>
          <w:color w:val="000000"/>
          <w:sz w:val="24"/>
          <w:szCs w:val="24"/>
        </w:rPr>
        <w:t xml:space="preserve"> d’une </w:t>
      </w:r>
      <w:r w:rsidRPr="00C06946">
        <w:rPr>
          <w:rFonts w:eastAsiaTheme="minorHAnsi"/>
          <w:i/>
          <w:color w:val="000000"/>
          <w:sz w:val="24"/>
          <w:szCs w:val="24"/>
        </w:rPr>
        <w:t xml:space="preserve">assertion imageante </w:t>
      </w:r>
      <w:r w:rsidRPr="00C06946">
        <w:rPr>
          <w:rFonts w:eastAsiaTheme="minorHAnsi"/>
          <w:color w:val="000000"/>
          <w:sz w:val="24"/>
          <w:szCs w:val="24"/>
        </w:rPr>
        <w:t xml:space="preserve">définit ce qu’il entend par « être assidu dans le travail ». Au moins, on peut voir là une conceptualisation selon une orientation philosophique kantienne mise en avant par </w:t>
      </w:r>
      <w:r w:rsidRPr="00C06946">
        <w:rPr>
          <w:rFonts w:eastAsiaTheme="minorHAnsi"/>
          <w:sz w:val="24"/>
          <w:szCs w:val="24"/>
        </w:rPr>
        <w:t xml:space="preserve">Sponville (2013) : </w:t>
      </w:r>
      <w:r w:rsidRPr="00C06946">
        <w:rPr>
          <w:rFonts w:eastAsiaTheme="minorHAnsi"/>
          <w:color w:val="000000"/>
          <w:sz w:val="24"/>
          <w:szCs w:val="24"/>
        </w:rPr>
        <w:t>chez Kant (2004), ê</w:t>
      </w:r>
      <w:r w:rsidRPr="00C06946">
        <w:rPr>
          <w:rFonts w:eastAsiaTheme="minorHAnsi"/>
          <w:bCs/>
          <w:sz w:val="24"/>
          <w:szCs w:val="24"/>
        </w:rPr>
        <w:t xml:space="preserve">tre travailleur, c’est </w:t>
      </w:r>
      <w:proofErr w:type="gramStart"/>
      <w:r w:rsidRPr="00C06946">
        <w:rPr>
          <w:rFonts w:eastAsiaTheme="minorHAnsi"/>
          <w:bCs/>
          <w:sz w:val="24"/>
          <w:szCs w:val="24"/>
        </w:rPr>
        <w:t>faire</w:t>
      </w:r>
      <w:proofErr w:type="gramEnd"/>
      <w:r w:rsidRPr="00C06946">
        <w:rPr>
          <w:rFonts w:eastAsiaTheme="minorHAnsi"/>
          <w:bCs/>
          <w:sz w:val="24"/>
          <w:szCs w:val="24"/>
        </w:rPr>
        <w:t xml:space="preserve"> des efforts dans le travail pour produire quelque chose.</w:t>
      </w:r>
    </w:p>
    <w:p w14:paraId="456976DB" w14:textId="77777777" w:rsidR="00D80693" w:rsidRPr="00E92031" w:rsidRDefault="00D80693" w:rsidP="00735D3E">
      <w:pPr>
        <w:pStyle w:val="Paragraphedeliste"/>
        <w:widowControl/>
        <w:numPr>
          <w:ilvl w:val="1"/>
          <w:numId w:val="195"/>
        </w:numPr>
        <w:autoSpaceDE/>
        <w:autoSpaceDN/>
        <w:spacing w:after="160"/>
        <w:rPr>
          <w:rFonts w:eastAsia="Calibri"/>
          <w:sz w:val="24"/>
          <w:szCs w:val="24"/>
        </w:rPr>
      </w:pPr>
      <w:r>
        <w:rPr>
          <w:rFonts w:eastAsiaTheme="minorHAnsi"/>
          <w:sz w:val="24"/>
          <w:szCs w:val="24"/>
        </w:rPr>
        <w:t xml:space="preserve"> </w:t>
      </w:r>
      <w:r>
        <w:rPr>
          <w:rFonts w:eastAsiaTheme="minorHAnsi"/>
          <w:b/>
          <w:sz w:val="24"/>
        </w:rPr>
        <w:t xml:space="preserve">Troisième et quatrième habiletés de la pensée réflexive : </w:t>
      </w:r>
      <w:r w:rsidRPr="00E72D03">
        <w:rPr>
          <w:rFonts w:eastAsiaTheme="minorHAnsi"/>
          <w:b/>
          <w:sz w:val="24"/>
          <w:szCs w:val="24"/>
        </w:rPr>
        <w:t>l’argumentation</w:t>
      </w:r>
      <w:r>
        <w:rPr>
          <w:rFonts w:eastAsiaTheme="minorHAnsi"/>
          <w:b/>
          <w:sz w:val="24"/>
          <w:szCs w:val="24"/>
        </w:rPr>
        <w:t xml:space="preserve"> et interprétation de la thèse</w:t>
      </w:r>
    </w:p>
    <w:p w14:paraId="7A0176D0" w14:textId="77777777" w:rsidR="00D80693" w:rsidRDefault="00D80693" w:rsidP="00735D3E">
      <w:pPr>
        <w:spacing w:before="120"/>
        <w:jc w:val="both"/>
        <w:rPr>
          <w:rFonts w:eastAsia="Calibri"/>
          <w:sz w:val="24"/>
          <w:szCs w:val="24"/>
        </w:rPr>
      </w:pPr>
      <w:r>
        <w:rPr>
          <w:rFonts w:eastAsiaTheme="minorHAnsi"/>
          <w:i/>
          <w:sz w:val="24"/>
        </w:rPr>
        <w:t>Lors de la séquence 3</w:t>
      </w:r>
      <w:r>
        <w:rPr>
          <w:rFonts w:eastAsiaTheme="minorHAnsi"/>
          <w:sz w:val="24"/>
        </w:rPr>
        <w:t>, un ensemble d’enfants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semble avoir des arguments à faire valoir sur les deux hypothèses/thèses exposées ici : </w:t>
      </w:r>
    </w:p>
    <w:p w14:paraId="2537FFCD" w14:textId="77777777" w:rsidR="00D80693" w:rsidRDefault="00D80693" w:rsidP="00735D3E">
      <w:pPr>
        <w:pStyle w:val="Paragraphedeliste"/>
        <w:widowControl/>
        <w:numPr>
          <w:ilvl w:val="0"/>
          <w:numId w:val="201"/>
        </w:numPr>
        <w:autoSpaceDE/>
        <w:autoSpaceDN/>
        <w:spacing w:after="160"/>
        <w:rPr>
          <w:rFonts w:eastAsia="Calibri"/>
          <w:sz w:val="20"/>
        </w:rPr>
      </w:pPr>
      <w:r w:rsidRPr="00955872">
        <w:rPr>
          <w:rFonts w:eastAsiaTheme="minorHAnsi"/>
          <w:b/>
          <w:sz w:val="20"/>
          <w:szCs w:val="20"/>
        </w:rPr>
        <w:t xml:space="preserve">E (228) : </w:t>
      </w:r>
      <w:r w:rsidRPr="00955872">
        <w:rPr>
          <w:rFonts w:eastAsiaTheme="minorHAnsi"/>
          <w:b/>
          <w:sz w:val="20"/>
        </w:rPr>
        <w:t>(Hypothèse + Argument—Carte rouge active)</w:t>
      </w:r>
      <w:r w:rsidRPr="00955872">
        <w:rPr>
          <w:rFonts w:eastAsiaTheme="minorHAnsi"/>
          <w:b/>
          <w:sz w:val="20"/>
          <w:szCs w:val="20"/>
        </w:rPr>
        <w:t xml:space="preserve"> </w:t>
      </w:r>
      <w:r w:rsidRPr="00955872">
        <w:rPr>
          <w:rFonts w:eastAsiaTheme="minorHAnsi"/>
          <w:sz w:val="20"/>
          <w:szCs w:val="20"/>
        </w:rPr>
        <w:t xml:space="preserve">On ne peut pas vivre sans travailler, parce que lorsqu’on sera grand, on sera pauvre </w:t>
      </w:r>
      <w:r w:rsidRPr="00955872">
        <w:rPr>
          <w:rFonts w:eastAsiaTheme="minorHAnsi"/>
          <w:sz w:val="20"/>
        </w:rPr>
        <w:t>[Argumentation logiquement empirique en soutien à sa thèse].</w:t>
      </w:r>
    </w:p>
    <w:p w14:paraId="705D2739" w14:textId="77777777" w:rsidR="00D80693" w:rsidRPr="00955872" w:rsidRDefault="00D80693" w:rsidP="00735D3E">
      <w:pPr>
        <w:pStyle w:val="Paragraphedeliste"/>
        <w:widowControl/>
        <w:numPr>
          <w:ilvl w:val="0"/>
          <w:numId w:val="201"/>
        </w:numPr>
        <w:autoSpaceDE/>
        <w:autoSpaceDN/>
        <w:spacing w:after="160"/>
        <w:rPr>
          <w:rFonts w:eastAsia="Calibri"/>
          <w:sz w:val="20"/>
        </w:rPr>
      </w:pPr>
      <w:r w:rsidRPr="00955872">
        <w:rPr>
          <w:rFonts w:eastAsiaTheme="minorHAnsi"/>
          <w:b/>
          <w:sz w:val="20"/>
          <w:szCs w:val="20"/>
        </w:rPr>
        <w:t xml:space="preserve">E (220) : </w:t>
      </w:r>
      <w:r w:rsidRPr="00955872">
        <w:rPr>
          <w:rFonts w:eastAsiaTheme="minorHAnsi"/>
          <w:b/>
          <w:sz w:val="20"/>
        </w:rPr>
        <w:t xml:space="preserve">(Hypothèse + Argument—Carte rouge active) </w:t>
      </w:r>
      <w:r w:rsidRPr="00955872">
        <w:rPr>
          <w:rFonts w:eastAsiaTheme="minorHAnsi"/>
          <w:sz w:val="20"/>
          <w:szCs w:val="20"/>
        </w:rPr>
        <w:t xml:space="preserve">On ne peut pas vivre sans travailler, parce que si tu restes là à dormir comme le paresseux, ta vie va dormir et tu n’auras pas de quoi manger et tu vas voler pour manger </w:t>
      </w:r>
      <w:r w:rsidRPr="00955872">
        <w:rPr>
          <w:rFonts w:eastAsiaTheme="minorHAnsi"/>
          <w:sz w:val="20"/>
        </w:rPr>
        <w:t>[Argumentation logique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logique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par analogie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analogie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 métaphorique —cause-conséquence (en image</w:t>
      </w:r>
      <w:r>
        <w:rPr>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szCs w:val="24"/>
        </w:rPr>
        <w:instrText>image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 argument empirique].</w:t>
      </w:r>
      <w:r w:rsidRPr="00955872">
        <w:rPr>
          <w:rFonts w:eastAsiaTheme="minorHAnsi"/>
          <w:sz w:val="20"/>
          <w:szCs w:val="20"/>
        </w:rPr>
        <w:t xml:space="preserve"> </w:t>
      </w:r>
    </w:p>
    <w:p w14:paraId="40B6A80C" w14:textId="77777777" w:rsidR="00D80693" w:rsidRDefault="00D80693" w:rsidP="00735D3E">
      <w:pPr>
        <w:pStyle w:val="Paragraphedeliste"/>
        <w:widowControl/>
        <w:numPr>
          <w:ilvl w:val="0"/>
          <w:numId w:val="201"/>
        </w:numPr>
        <w:autoSpaceDE/>
        <w:autoSpaceDN/>
        <w:spacing w:after="160"/>
        <w:rPr>
          <w:rFonts w:eastAsia="Calibri"/>
          <w:sz w:val="20"/>
        </w:rPr>
      </w:pPr>
      <w:r w:rsidRPr="00955872">
        <w:rPr>
          <w:rFonts w:eastAsiaTheme="minorHAnsi"/>
          <w:b/>
          <w:sz w:val="20"/>
          <w:szCs w:val="20"/>
        </w:rPr>
        <w:t xml:space="preserve">E (219) : </w:t>
      </w:r>
      <w:r w:rsidRPr="00955872">
        <w:rPr>
          <w:rFonts w:eastAsiaTheme="minorHAnsi"/>
          <w:b/>
          <w:sz w:val="20"/>
        </w:rPr>
        <w:t>(Hypothèse + Argument—Carte rouge active)</w:t>
      </w:r>
      <w:r w:rsidRPr="00955872">
        <w:rPr>
          <w:rFonts w:eastAsiaTheme="minorHAnsi"/>
          <w:b/>
          <w:sz w:val="20"/>
          <w:szCs w:val="20"/>
        </w:rPr>
        <w:t xml:space="preserve"> </w:t>
      </w:r>
      <w:r w:rsidRPr="00955872">
        <w:rPr>
          <w:rFonts w:eastAsiaTheme="minorHAnsi"/>
          <w:sz w:val="20"/>
          <w:szCs w:val="20"/>
        </w:rPr>
        <w:t xml:space="preserve">On ne peut pas vivre sans travailler, parce que si tu ne travailles pas tu ne vas pas manger et tu vas maigrir </w:t>
      </w:r>
      <w:r w:rsidRPr="00955872">
        <w:rPr>
          <w:rFonts w:eastAsiaTheme="minorHAnsi"/>
          <w:sz w:val="20"/>
        </w:rPr>
        <w:t>[Argumentation logiquement empirique en soutien à sa thèse].</w:t>
      </w:r>
    </w:p>
    <w:p w14:paraId="3A59B564" w14:textId="77777777" w:rsidR="00D80693" w:rsidRPr="00955872" w:rsidRDefault="00D80693" w:rsidP="00735D3E">
      <w:pPr>
        <w:pStyle w:val="Paragraphedeliste"/>
        <w:widowControl/>
        <w:numPr>
          <w:ilvl w:val="0"/>
          <w:numId w:val="201"/>
        </w:numPr>
        <w:autoSpaceDE/>
        <w:autoSpaceDN/>
        <w:spacing w:after="160"/>
        <w:rPr>
          <w:rFonts w:eastAsia="Calibri"/>
          <w:sz w:val="20"/>
        </w:rPr>
      </w:pPr>
      <w:r w:rsidRPr="00955872">
        <w:rPr>
          <w:rFonts w:eastAsiaTheme="minorHAnsi"/>
          <w:b/>
          <w:sz w:val="20"/>
          <w:szCs w:val="20"/>
        </w:rPr>
        <w:t xml:space="preserve">E (224) : </w:t>
      </w:r>
      <w:r w:rsidRPr="00955872">
        <w:rPr>
          <w:rFonts w:eastAsiaTheme="minorHAnsi"/>
          <w:b/>
          <w:sz w:val="20"/>
        </w:rPr>
        <w:t xml:space="preserve">(Hypothèse + Argument—Carte rouge active) </w:t>
      </w:r>
      <w:r w:rsidRPr="00955872">
        <w:rPr>
          <w:rFonts w:eastAsiaTheme="minorHAnsi"/>
          <w:sz w:val="20"/>
          <w:szCs w:val="20"/>
        </w:rPr>
        <w:t xml:space="preserve">On ne peut pas vivre sans travailler, parce que tu n’auras pas de quoi aider tes parents lorsqu’ils seront malades </w:t>
      </w:r>
      <w:r w:rsidRPr="00955872">
        <w:rPr>
          <w:rFonts w:eastAsiaTheme="minorHAnsi"/>
          <w:sz w:val="20"/>
        </w:rPr>
        <w:t>[Argumentation logiquement empirique en soutien à sa thèse].</w:t>
      </w:r>
    </w:p>
    <w:p w14:paraId="1E909FC9" w14:textId="77777777" w:rsidR="00D80693" w:rsidRDefault="00D80693" w:rsidP="00735D3E">
      <w:pPr>
        <w:spacing w:before="120"/>
        <w:jc w:val="both"/>
        <w:rPr>
          <w:rFonts w:eastAsia="Calibri"/>
          <w:sz w:val="24"/>
        </w:rPr>
      </w:pPr>
      <w:r>
        <w:rPr>
          <w:rFonts w:eastAsiaTheme="minorHAnsi"/>
          <w:sz w:val="24"/>
        </w:rPr>
        <w:t>Sur la première [relance sur une question] du maître (animateur), le groupe d’enfant—E (219), E (220), E (224) -E (228), dans un collectif, montre leur capacité à argumenter</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argumenter</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les hypothèses avancées par les uns et les autres. En effet, </w:t>
      </w:r>
      <w:r>
        <w:rPr>
          <w:rFonts w:eastAsiaTheme="minorHAnsi"/>
          <w:sz w:val="24"/>
          <w:szCs w:val="24"/>
        </w:rPr>
        <w:t>le groupe part de l’hypothèse</w:t>
      </w:r>
      <w:r>
        <w:rPr>
          <w:sz w:val="24"/>
          <w:szCs w:val="24"/>
        </w:rPr>
        <w:fldChar w:fldCharType="begin"/>
      </w:r>
      <w:r>
        <w:rPr>
          <w:rFonts w:asciiTheme="minorHAnsi" w:eastAsiaTheme="minorHAnsi" w:hAnsiTheme="minorHAnsi" w:cstheme="minorBidi"/>
        </w:rPr>
        <w:instrText xml:space="preserve"> XE "</w:instrText>
      </w:r>
      <w:r>
        <w:rPr>
          <w:rFonts w:eastAsiaTheme="minorHAnsi"/>
          <w:sz w:val="24"/>
          <w:szCs w:val="24"/>
        </w:rPr>
        <w:instrText>hypothèse</w:instrText>
      </w:r>
      <w:r>
        <w:rPr>
          <w:rFonts w:asciiTheme="minorHAnsi" w:eastAsiaTheme="minorHAnsi" w:hAnsiTheme="minorHAnsi" w:cstheme="minorBidi"/>
        </w:rPr>
        <w:instrText xml:space="preserve">" </w:instrText>
      </w:r>
      <w:r>
        <w:rPr>
          <w:sz w:val="24"/>
          <w:szCs w:val="24"/>
        </w:rPr>
        <w:fldChar w:fldCharType="end"/>
      </w:r>
      <w:r>
        <w:rPr>
          <w:rFonts w:eastAsiaTheme="minorHAnsi"/>
          <w:sz w:val="24"/>
          <w:szCs w:val="24"/>
        </w:rPr>
        <w:t xml:space="preserve"> selon laquelle « on ne peut pas vivre sans travailler comme le souhaite le Paresseux dans la vidéo animée</w:t>
      </w:r>
      <w:r>
        <w:rPr>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vidéo animée</w:instrText>
      </w:r>
      <w:r>
        <w:rPr>
          <w:rFonts w:asciiTheme="minorHAnsi" w:eastAsiaTheme="minorHAnsi" w:hAnsiTheme="minorHAnsi" w:cstheme="minorBidi"/>
        </w:rPr>
        <w:instrText xml:space="preserve">" </w:instrText>
      </w:r>
      <w:r>
        <w:rPr>
          <w:sz w:val="24"/>
          <w:szCs w:val="24"/>
        </w:rPr>
        <w:fldChar w:fldCharType="end"/>
      </w:r>
      <w:r>
        <w:rPr>
          <w:rFonts w:eastAsiaTheme="minorHAnsi"/>
          <w:sz w:val="24"/>
          <w:szCs w:val="24"/>
        </w:rPr>
        <w:t> ». Pour défendre la thèse du travail comme « activité</w:t>
      </w:r>
      <w:r>
        <w:rPr>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activité</w:instrText>
      </w:r>
      <w:r>
        <w:rPr>
          <w:rFonts w:asciiTheme="minorHAnsi" w:eastAsiaTheme="minorHAnsi" w:hAnsiTheme="minorHAnsi" w:cstheme="minorBidi"/>
        </w:rPr>
        <w:instrText xml:space="preserve">" </w:instrText>
      </w:r>
      <w:r>
        <w:rPr>
          <w:sz w:val="24"/>
          <w:szCs w:val="24"/>
        </w:rPr>
        <w:fldChar w:fldCharType="end"/>
      </w:r>
      <w:r>
        <w:rPr>
          <w:rFonts w:eastAsiaTheme="minorHAnsi"/>
          <w:sz w:val="24"/>
          <w:szCs w:val="24"/>
        </w:rPr>
        <w:t xml:space="preserve"> humanisante », le groupe évoque les bienfaits du travail comme une activité qui améliore la condition de vie de l’Homme. Les enfants de ce groupe dans leur argumentation</w:t>
      </w:r>
      <w:r>
        <w:rPr>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argumentation</w:instrText>
      </w:r>
      <w:r>
        <w:rPr>
          <w:rFonts w:asciiTheme="minorHAnsi" w:eastAsiaTheme="minorHAnsi" w:hAnsiTheme="minorHAnsi" w:cstheme="minorBidi"/>
        </w:rPr>
        <w:instrText xml:space="preserve">" </w:instrText>
      </w:r>
      <w:r>
        <w:rPr>
          <w:sz w:val="24"/>
          <w:szCs w:val="24"/>
        </w:rPr>
        <w:fldChar w:fldCharType="end"/>
      </w:r>
      <w:r>
        <w:rPr>
          <w:rFonts w:eastAsiaTheme="minorHAnsi"/>
          <w:sz w:val="24"/>
          <w:szCs w:val="24"/>
        </w:rPr>
        <w:t xml:space="preserve"> avancent l’idée</w:t>
      </w:r>
      <w:r>
        <w:rPr>
          <w:sz w:val="24"/>
          <w:szCs w:val="24"/>
        </w:rPr>
        <w:fldChar w:fldCharType="begin"/>
      </w:r>
      <w:r>
        <w:rPr>
          <w:rFonts w:asciiTheme="minorHAnsi" w:eastAsiaTheme="minorHAnsi" w:hAnsiTheme="minorHAnsi" w:cstheme="minorBidi"/>
        </w:rPr>
        <w:instrText xml:space="preserve"> XE "</w:instrText>
      </w:r>
      <w:r>
        <w:rPr>
          <w:rFonts w:eastAsiaTheme="minorHAnsi" w:cstheme="minorBidi"/>
          <w:sz w:val="24"/>
          <w:szCs w:val="24"/>
        </w:rPr>
        <w:instrText>idée</w:instrText>
      </w:r>
      <w:r>
        <w:rPr>
          <w:rFonts w:asciiTheme="minorHAnsi" w:eastAsiaTheme="minorHAnsi" w:hAnsiTheme="minorHAnsi" w:cstheme="minorBidi"/>
        </w:rPr>
        <w:instrText xml:space="preserve">" </w:instrText>
      </w:r>
      <w:r>
        <w:rPr>
          <w:sz w:val="24"/>
          <w:szCs w:val="24"/>
        </w:rPr>
        <w:fldChar w:fldCharType="end"/>
      </w:r>
      <w:r>
        <w:rPr>
          <w:rFonts w:eastAsiaTheme="minorHAnsi"/>
          <w:sz w:val="24"/>
          <w:szCs w:val="24"/>
        </w:rPr>
        <w:t xml:space="preserve"> selon laquelle « on ne peut pas vivre sans travailler parce qu’on risque d’être pauvre de manière à manquer de quoi manger, de quoi se soigner ou de quoi prendre soin de nos proches » :</w:t>
      </w:r>
      <w:r>
        <w:rPr>
          <w:rFonts w:eastAsiaTheme="minorHAnsi"/>
          <w:sz w:val="32"/>
          <w:szCs w:val="24"/>
        </w:rPr>
        <w:t xml:space="preserve"> </w:t>
      </w:r>
      <w:r>
        <w:rPr>
          <w:rFonts w:eastAsiaTheme="minorHAnsi"/>
          <w:sz w:val="24"/>
          <w:szCs w:val="24"/>
        </w:rPr>
        <w:t>il s’agit pour la plupart d’un argument</w:t>
      </w:r>
      <w:r>
        <w:rPr>
          <w:rFonts w:eastAsiaTheme="minorHAnsi"/>
          <w:sz w:val="20"/>
        </w:rPr>
        <w:t xml:space="preserve"> </w:t>
      </w:r>
      <w:r>
        <w:rPr>
          <w:rFonts w:eastAsiaTheme="minorHAnsi"/>
          <w:sz w:val="24"/>
        </w:rPr>
        <w:t>logique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logique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avancé sur la base de l’empirisme. Une autre argumentation similaire faite par l’enfant—E (220) est trouvée par analogie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analogie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métaphorique dans la forme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forme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d’un langage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langage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imagé comparant l’homme qui reste sans travailler au Paresseux restant la plupart de son temps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temps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oisif parce qu’il s’ennuie : ce qui pourrait l’amener à voler ou à commettre d’autres vices. </w:t>
      </w:r>
    </w:p>
    <w:p w14:paraId="2D4EAF6C" w14:textId="77777777" w:rsidR="00D80693" w:rsidRDefault="00D80693" w:rsidP="00735D3E">
      <w:pPr>
        <w:spacing w:before="120"/>
        <w:jc w:val="both"/>
        <w:rPr>
          <w:rFonts w:eastAsia="Calibri"/>
          <w:color w:val="000000"/>
          <w:sz w:val="24"/>
          <w:szCs w:val="24"/>
        </w:rPr>
      </w:pPr>
      <w:r>
        <w:rPr>
          <w:rFonts w:eastAsiaTheme="minorHAnsi"/>
          <w:color w:val="000000"/>
          <w:sz w:val="24"/>
          <w:szCs w:val="24"/>
        </w:rPr>
        <w:t>On peut voir ici qu’une approche</w:t>
      </w:r>
      <w:r>
        <w:rPr>
          <w:color w:val="000000"/>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approche</w:instrText>
      </w:r>
      <w:r>
        <w:rPr>
          <w:rFonts w:asciiTheme="minorHAnsi" w:eastAsiaTheme="minorHAnsi" w:hAnsiTheme="minorHAnsi" w:cstheme="minorBidi"/>
        </w:rPr>
        <w:instrText xml:space="preserve">" </w:instrText>
      </w:r>
      <w:r>
        <w:rPr>
          <w:color w:val="000000"/>
          <w:sz w:val="24"/>
          <w:szCs w:val="24"/>
        </w:rPr>
        <w:fldChar w:fldCharType="end"/>
      </w:r>
      <w:r>
        <w:rPr>
          <w:rFonts w:eastAsiaTheme="minorHAnsi"/>
          <w:color w:val="000000"/>
          <w:sz w:val="24"/>
          <w:szCs w:val="24"/>
        </w:rPr>
        <w:t xml:space="preserve"> philosophique oriente la pensée</w:t>
      </w:r>
      <w:r>
        <w:rPr>
          <w:color w:val="000000"/>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pensée</w:instrText>
      </w:r>
      <w:r>
        <w:rPr>
          <w:rFonts w:asciiTheme="minorHAnsi" w:eastAsiaTheme="minorHAnsi" w:hAnsiTheme="minorHAnsi" w:cstheme="minorBidi"/>
        </w:rPr>
        <w:instrText xml:space="preserve">" </w:instrText>
      </w:r>
      <w:r>
        <w:rPr>
          <w:color w:val="000000"/>
          <w:sz w:val="24"/>
          <w:szCs w:val="24"/>
        </w:rPr>
        <w:fldChar w:fldCharType="end"/>
      </w:r>
      <w:r>
        <w:rPr>
          <w:rFonts w:eastAsiaTheme="minorHAnsi"/>
          <w:color w:val="000000"/>
          <w:sz w:val="24"/>
          <w:szCs w:val="24"/>
        </w:rPr>
        <w:t xml:space="preserve"> des enfants</w:t>
      </w:r>
      <w:r>
        <w:rPr>
          <w:color w:val="000000"/>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color w:val="000000"/>
          <w:sz w:val="24"/>
          <w:szCs w:val="24"/>
        </w:rPr>
        <w:fldChar w:fldCharType="end"/>
      </w:r>
      <w:r>
        <w:rPr>
          <w:rFonts w:eastAsiaTheme="minorHAnsi"/>
          <w:color w:val="000000"/>
          <w:sz w:val="24"/>
          <w:szCs w:val="24"/>
        </w:rPr>
        <w:t xml:space="preserve"> dans le groupe pour une même thèse : il s’agit de l’approche voltairienne selon laquelle le travail améliore les conditions de vie de l’Homme en le rendant capable de satisfaire ses besoins fondamentaux, et ainsi de le tenir à distance de trois maux : l’ennui, le vice et le besoin (Voltaire, 2003). </w:t>
      </w:r>
    </w:p>
    <w:p w14:paraId="3EAC8E10" w14:textId="77777777" w:rsidR="00D80693" w:rsidRPr="00955872" w:rsidRDefault="00D80693" w:rsidP="00735D3E">
      <w:pPr>
        <w:pStyle w:val="Paragraphedeliste"/>
        <w:widowControl/>
        <w:numPr>
          <w:ilvl w:val="0"/>
          <w:numId w:val="201"/>
        </w:numPr>
        <w:autoSpaceDE/>
        <w:autoSpaceDN/>
        <w:spacing w:after="160"/>
        <w:ind w:left="720"/>
        <w:rPr>
          <w:rFonts w:eastAsia="Calibri"/>
          <w:sz w:val="20"/>
          <w:szCs w:val="20"/>
        </w:rPr>
      </w:pPr>
      <w:r w:rsidRPr="00955872">
        <w:rPr>
          <w:rFonts w:eastAsiaTheme="minorHAnsi"/>
          <w:b/>
          <w:sz w:val="20"/>
          <w:szCs w:val="20"/>
        </w:rPr>
        <w:t>E (229)</w:t>
      </w:r>
      <w:r w:rsidRPr="00955872">
        <w:rPr>
          <w:rFonts w:eastAsiaTheme="minorHAnsi"/>
          <w:sz w:val="20"/>
          <w:szCs w:val="20"/>
        </w:rPr>
        <w:t> </w:t>
      </w:r>
      <w:r w:rsidRPr="00955872">
        <w:rPr>
          <w:rFonts w:eastAsiaTheme="minorHAnsi"/>
          <w:b/>
          <w:sz w:val="20"/>
          <w:szCs w:val="20"/>
        </w:rPr>
        <w:t>:</w:t>
      </w:r>
      <w:r w:rsidRPr="00955872">
        <w:rPr>
          <w:rFonts w:eastAsiaTheme="minorHAnsi"/>
          <w:sz w:val="20"/>
          <w:szCs w:val="20"/>
        </w:rPr>
        <w:t xml:space="preserve"> (</w:t>
      </w:r>
      <w:r w:rsidRPr="00955872">
        <w:rPr>
          <w:rFonts w:eastAsiaTheme="minorHAnsi"/>
          <w:b/>
          <w:sz w:val="20"/>
        </w:rPr>
        <w:t>Hypothèse + interprétation</w:t>
      </w:r>
      <w:r>
        <w:rPr>
          <w:b/>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interprétation</w:instrText>
      </w:r>
      <w:r>
        <w:rPr>
          <w:rFonts w:asciiTheme="minorHAnsi" w:eastAsiaTheme="minorHAnsi" w:hAnsiTheme="minorHAnsi" w:cstheme="minorBidi"/>
        </w:rPr>
        <w:instrText xml:space="preserve">" </w:instrText>
      </w:r>
      <w:r>
        <w:rPr>
          <w:b/>
          <w:sz w:val="20"/>
        </w:rPr>
        <w:fldChar w:fldCharType="end"/>
      </w:r>
      <w:r w:rsidRPr="00955872">
        <w:rPr>
          <w:rFonts w:eastAsiaTheme="minorHAnsi"/>
          <w:b/>
          <w:sz w:val="20"/>
        </w:rPr>
        <w:t xml:space="preserve">—Carte rouge active) </w:t>
      </w:r>
      <w:r w:rsidRPr="00955872">
        <w:rPr>
          <w:rFonts w:eastAsiaTheme="minorHAnsi"/>
          <w:sz w:val="20"/>
          <w:szCs w:val="20"/>
        </w:rPr>
        <w:t xml:space="preserve">On ne peut pas travailler tous les jours, parce qu’on peut aussi tomber malade [Saisissement ou réaction ontologique par </w:t>
      </w:r>
      <w:r w:rsidRPr="00955872">
        <w:rPr>
          <w:rFonts w:eastAsiaTheme="minorHAnsi"/>
          <w:sz w:val="20"/>
        </w:rPr>
        <w:t>interprétation logiquement empirique en soutien à l’hypothèse</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szCs w:val="24"/>
        </w:rPr>
        <w:instrText>hypothèse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 xml:space="preserve">/thèse définie]. </w:t>
      </w:r>
    </w:p>
    <w:p w14:paraId="7CD2CEC1" w14:textId="77777777" w:rsidR="00D80693" w:rsidRPr="00955872" w:rsidRDefault="00D80693" w:rsidP="00735D3E">
      <w:pPr>
        <w:pStyle w:val="Paragraphedeliste"/>
        <w:widowControl/>
        <w:numPr>
          <w:ilvl w:val="0"/>
          <w:numId w:val="201"/>
        </w:numPr>
        <w:autoSpaceDE/>
        <w:autoSpaceDN/>
        <w:spacing w:after="160"/>
        <w:ind w:left="720"/>
        <w:rPr>
          <w:rFonts w:eastAsia="Calibri"/>
          <w:sz w:val="20"/>
          <w:szCs w:val="20"/>
        </w:rPr>
      </w:pPr>
      <w:r w:rsidRPr="00955872">
        <w:rPr>
          <w:rFonts w:eastAsiaTheme="minorHAnsi"/>
          <w:b/>
          <w:sz w:val="20"/>
          <w:szCs w:val="20"/>
        </w:rPr>
        <w:t>E (230) :</w:t>
      </w:r>
      <w:r w:rsidRPr="00955872">
        <w:rPr>
          <w:rFonts w:eastAsiaTheme="minorHAnsi"/>
          <w:sz w:val="20"/>
          <w:szCs w:val="20"/>
        </w:rPr>
        <w:t xml:space="preserve"> (</w:t>
      </w:r>
      <w:r w:rsidRPr="00955872">
        <w:rPr>
          <w:rFonts w:eastAsiaTheme="minorHAnsi"/>
          <w:b/>
          <w:sz w:val="20"/>
        </w:rPr>
        <w:t>Hypothèse + interprétation</w:t>
      </w:r>
      <w:r>
        <w:rPr>
          <w:b/>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interprétation</w:instrText>
      </w:r>
      <w:r>
        <w:rPr>
          <w:rFonts w:asciiTheme="minorHAnsi" w:eastAsiaTheme="minorHAnsi" w:hAnsiTheme="minorHAnsi" w:cstheme="minorBidi"/>
        </w:rPr>
        <w:instrText xml:space="preserve">" </w:instrText>
      </w:r>
      <w:r>
        <w:rPr>
          <w:b/>
          <w:sz w:val="20"/>
        </w:rPr>
        <w:fldChar w:fldCharType="end"/>
      </w:r>
      <w:r w:rsidRPr="00955872">
        <w:rPr>
          <w:rFonts w:eastAsiaTheme="minorHAnsi"/>
          <w:b/>
          <w:sz w:val="20"/>
        </w:rPr>
        <w:t xml:space="preserve">—Carte rouge active) </w:t>
      </w:r>
      <w:r w:rsidRPr="00955872">
        <w:rPr>
          <w:rFonts w:eastAsiaTheme="minorHAnsi"/>
          <w:sz w:val="20"/>
          <w:szCs w:val="20"/>
        </w:rPr>
        <w:t xml:space="preserve">Si on travaille sans repos, ton dos va te faire mal [Saisissement ou réaction ontologique par </w:t>
      </w:r>
      <w:r w:rsidRPr="00955872">
        <w:rPr>
          <w:rFonts w:eastAsiaTheme="minorHAnsi"/>
          <w:sz w:val="20"/>
        </w:rPr>
        <w:t>interprétation logiquement empirique en soutien à l’hypothèse</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szCs w:val="24"/>
        </w:rPr>
        <w:instrText>hypothèse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/thèse définie].</w:t>
      </w:r>
    </w:p>
    <w:p w14:paraId="3E52C53D" w14:textId="77777777" w:rsidR="00D80693" w:rsidRPr="00955872" w:rsidRDefault="00D80693" w:rsidP="00735D3E">
      <w:pPr>
        <w:pStyle w:val="Paragraphedeliste"/>
        <w:widowControl/>
        <w:numPr>
          <w:ilvl w:val="0"/>
          <w:numId w:val="201"/>
        </w:numPr>
        <w:autoSpaceDE/>
        <w:autoSpaceDN/>
        <w:spacing w:after="160"/>
        <w:ind w:left="720"/>
        <w:rPr>
          <w:rFonts w:eastAsia="Calibri"/>
          <w:sz w:val="20"/>
          <w:szCs w:val="20"/>
        </w:rPr>
      </w:pPr>
      <w:r w:rsidRPr="00955872">
        <w:rPr>
          <w:rFonts w:eastAsiaTheme="minorHAnsi"/>
          <w:b/>
          <w:sz w:val="20"/>
          <w:szCs w:val="20"/>
        </w:rPr>
        <w:t xml:space="preserve">E (220) : </w:t>
      </w:r>
      <w:r w:rsidRPr="00955872">
        <w:rPr>
          <w:rFonts w:eastAsiaTheme="minorHAnsi"/>
          <w:sz w:val="20"/>
          <w:szCs w:val="20"/>
        </w:rPr>
        <w:t>(</w:t>
      </w:r>
      <w:r w:rsidRPr="00955872">
        <w:rPr>
          <w:rFonts w:eastAsiaTheme="minorHAnsi"/>
          <w:b/>
          <w:sz w:val="20"/>
        </w:rPr>
        <w:t>Hypothèse + interprétation</w:t>
      </w:r>
      <w:r>
        <w:rPr>
          <w:b/>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interprétation</w:instrText>
      </w:r>
      <w:r>
        <w:rPr>
          <w:rFonts w:asciiTheme="minorHAnsi" w:eastAsiaTheme="minorHAnsi" w:hAnsiTheme="minorHAnsi" w:cstheme="minorBidi"/>
        </w:rPr>
        <w:instrText xml:space="preserve">" </w:instrText>
      </w:r>
      <w:r>
        <w:rPr>
          <w:b/>
          <w:sz w:val="20"/>
        </w:rPr>
        <w:fldChar w:fldCharType="end"/>
      </w:r>
      <w:r w:rsidRPr="00955872">
        <w:rPr>
          <w:rFonts w:eastAsiaTheme="minorHAnsi"/>
          <w:b/>
          <w:sz w:val="20"/>
        </w:rPr>
        <w:t xml:space="preserve">—Carte rouge active) </w:t>
      </w:r>
      <w:r w:rsidRPr="00955872">
        <w:rPr>
          <w:rFonts w:eastAsiaTheme="minorHAnsi"/>
          <w:sz w:val="20"/>
          <w:szCs w:val="20"/>
        </w:rPr>
        <w:t xml:space="preserve">Si on travaille sans repos, tu vas tomber malade [Saisissement ou réaction ontologique par </w:t>
      </w:r>
      <w:r w:rsidRPr="00955872">
        <w:rPr>
          <w:rFonts w:eastAsiaTheme="minorHAnsi"/>
          <w:sz w:val="20"/>
        </w:rPr>
        <w:t>interprétation logiquement empirique en soutien à l’hypothèse</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szCs w:val="24"/>
        </w:rPr>
        <w:instrText>hypothèse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/thèse définie].</w:t>
      </w:r>
    </w:p>
    <w:p w14:paraId="08658A35" w14:textId="77777777" w:rsidR="00D80693" w:rsidRDefault="00D80693" w:rsidP="00735D3E">
      <w:pPr>
        <w:spacing w:before="120"/>
        <w:jc w:val="both"/>
        <w:rPr>
          <w:rFonts w:eastAsia="Calibri"/>
          <w:sz w:val="24"/>
        </w:rPr>
      </w:pPr>
      <w:r>
        <w:rPr>
          <w:rFonts w:eastAsiaTheme="minorHAnsi"/>
          <w:sz w:val="24"/>
        </w:rPr>
        <w:t>Sur la deuxième [relance sur une question] du maître (animateur), le groupe d’enfant—E (220), E (229) et E (230), dans un collectif, montre leur capacité à interpréter les faits observés ou les énoncés. En effet, le groupe se prête à un débat</w:t>
      </w:r>
      <w:r>
        <w:rPr>
          <w:sz w:val="24"/>
        </w:rPr>
        <w:fldChar w:fldCharType="begin"/>
      </w:r>
      <w:r>
        <w:rPr>
          <w:rFonts w:asciiTheme="minorHAnsi" w:eastAsiaTheme="minorHAnsi" w:hAnsiTheme="minorHAnsi" w:cstheme="minorBidi"/>
        </w:rPr>
        <w:instrText xml:space="preserve"> XE "</w:instrText>
      </w:r>
      <w:r>
        <w:rPr>
          <w:rFonts w:eastAsiaTheme="minorHAnsi"/>
          <w:sz w:val="24"/>
        </w:rPr>
        <w:instrText>débat</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interprétatif où on recherche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recherche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 le sens</w:t>
      </w:r>
      <w:r>
        <w:rPr>
          <w:sz w:val="24"/>
        </w:rPr>
        <w:fldChar w:fldCharType="begin"/>
      </w:r>
      <w:r>
        <w:rPr>
          <w:rFonts w:asciiTheme="minorHAnsi" w:eastAsiaTheme="minorHAnsi" w:hAnsiTheme="minorHAnsi" w:cstheme="minorBidi"/>
        </w:rPr>
        <w:instrText xml:space="preserve"> XE "</w:instrText>
      </w:r>
      <w:r>
        <w:rPr>
          <w:rFonts w:eastAsiaTheme="minorHAnsi"/>
          <w:sz w:val="24"/>
        </w:rPr>
        <w:instrText>sens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d’une vie où l’Homme passe la plupart de son temps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temps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à travailler sans repos ». Le débat interprétatif du groupe, aidé par une médiation</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médiation</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de l’image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image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vidéo, met au centre la thèse du travail comme « activité</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activité</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déshumanisante ». En leurs nuances propres, chaque enfant fait une interprétation</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interprétation</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s’orientant vers cette thèse. Selon le groupe, une société où les hommes travaillent sans repos amène à la destruction de la santé du corps comme le pensent les enfants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—E (220), E (229) et E (230) : en le faisant, l’homme pourrait s’user comme une machine. </w:t>
      </w:r>
    </w:p>
    <w:p w14:paraId="3A73CCF3" w14:textId="77777777" w:rsidR="00D80693" w:rsidRDefault="00D80693" w:rsidP="00735D3E">
      <w:pPr>
        <w:spacing w:before="120"/>
        <w:jc w:val="both"/>
        <w:rPr>
          <w:rFonts w:eastAsia="Calibri"/>
          <w:color w:val="000000"/>
          <w:sz w:val="24"/>
          <w:szCs w:val="24"/>
        </w:rPr>
      </w:pPr>
      <w:r>
        <w:rPr>
          <w:rFonts w:eastAsiaTheme="minorHAnsi"/>
          <w:color w:val="000000"/>
          <w:sz w:val="24"/>
          <w:szCs w:val="24"/>
        </w:rPr>
        <w:t>On peut également voir dans ce débat</w:t>
      </w:r>
      <w:r>
        <w:rPr>
          <w:color w:val="000000"/>
          <w:sz w:val="24"/>
          <w:szCs w:val="24"/>
        </w:rPr>
        <w:fldChar w:fldCharType="begin"/>
      </w:r>
      <w:r>
        <w:rPr>
          <w:rFonts w:asciiTheme="minorHAnsi" w:eastAsiaTheme="minorHAnsi" w:hAnsiTheme="minorHAnsi" w:cstheme="minorBidi"/>
        </w:rPr>
        <w:instrText xml:space="preserve"> XE "</w:instrText>
      </w:r>
      <w:r>
        <w:rPr>
          <w:rFonts w:eastAsiaTheme="minorHAnsi"/>
          <w:sz w:val="24"/>
        </w:rPr>
        <w:instrText>débat</w:instrText>
      </w:r>
      <w:r>
        <w:rPr>
          <w:rFonts w:asciiTheme="minorHAnsi" w:eastAsiaTheme="minorHAnsi" w:hAnsiTheme="minorHAnsi" w:cstheme="minorBidi"/>
        </w:rPr>
        <w:instrText xml:space="preserve">" </w:instrText>
      </w:r>
      <w:r>
        <w:rPr>
          <w:color w:val="000000"/>
          <w:sz w:val="24"/>
          <w:szCs w:val="24"/>
        </w:rPr>
        <w:fldChar w:fldCharType="end"/>
      </w:r>
      <w:r>
        <w:rPr>
          <w:rFonts w:eastAsiaTheme="minorHAnsi"/>
          <w:color w:val="000000"/>
          <w:sz w:val="24"/>
          <w:szCs w:val="24"/>
        </w:rPr>
        <w:t xml:space="preserve"> interprétatif du groupe la mise en garde de Marx (1849) ou de Marcuse (1968) de considérer le travail comme une activité</w:t>
      </w:r>
      <w:r>
        <w:rPr>
          <w:color w:val="000000"/>
          <w:sz w:val="24"/>
          <w:szCs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activité</w:instrText>
      </w:r>
      <w:r>
        <w:rPr>
          <w:rFonts w:asciiTheme="minorHAnsi" w:eastAsiaTheme="minorHAnsi" w:hAnsiTheme="minorHAnsi" w:cstheme="minorBidi"/>
        </w:rPr>
        <w:instrText xml:space="preserve">" </w:instrText>
      </w:r>
      <w:r>
        <w:rPr>
          <w:color w:val="000000"/>
          <w:sz w:val="24"/>
          <w:szCs w:val="24"/>
        </w:rPr>
        <w:fldChar w:fldCharType="end"/>
      </w:r>
      <w:r>
        <w:rPr>
          <w:rFonts w:eastAsiaTheme="minorHAnsi"/>
          <w:color w:val="000000"/>
          <w:sz w:val="24"/>
          <w:szCs w:val="24"/>
        </w:rPr>
        <w:t xml:space="preserve"> de sacrifice : en le faisant, l’homme ne travaille plus comme une personne humaine mais comme une machine qui sacrifie son repos pour le gain d’un capital plus important. L’homme devient alors le maillon d’une chaîne de production</w:t>
      </w:r>
      <w:r>
        <w:rPr>
          <w:color w:val="000000"/>
          <w:sz w:val="24"/>
          <w:szCs w:val="24"/>
        </w:rPr>
        <w:fldChar w:fldCharType="begin"/>
      </w:r>
      <w:r>
        <w:rPr>
          <w:rFonts w:asciiTheme="minorHAnsi" w:eastAsiaTheme="minorHAnsi" w:hAnsiTheme="minorHAnsi" w:cstheme="minorBidi"/>
        </w:rPr>
        <w:instrText xml:space="preserve"> XE "</w:instrText>
      </w:r>
      <w:r>
        <w:rPr>
          <w:rFonts w:eastAsiaTheme="minorHAnsi" w:cstheme="minorBidi"/>
          <w:color w:val="000000"/>
          <w:sz w:val="24"/>
        </w:rPr>
        <w:instrText>production</w:instrText>
      </w:r>
      <w:r>
        <w:rPr>
          <w:rFonts w:asciiTheme="minorHAnsi" w:eastAsiaTheme="minorHAnsi" w:hAnsiTheme="minorHAnsi" w:cstheme="minorBidi"/>
        </w:rPr>
        <w:instrText xml:space="preserve">" </w:instrText>
      </w:r>
      <w:r>
        <w:rPr>
          <w:color w:val="000000"/>
          <w:sz w:val="24"/>
          <w:szCs w:val="24"/>
        </w:rPr>
        <w:fldChar w:fldCharType="end"/>
      </w:r>
      <w:r>
        <w:rPr>
          <w:rFonts w:eastAsiaTheme="minorHAnsi"/>
          <w:color w:val="000000"/>
          <w:sz w:val="24"/>
          <w:szCs w:val="24"/>
        </w:rPr>
        <w:t xml:space="preserve"> dans laquelle il travaille en esclave sacrifiant sa liberté, son repos au plus grand risque d’en sortir avec une santé usée. </w:t>
      </w:r>
    </w:p>
    <w:p w14:paraId="078A5AE0" w14:textId="77777777" w:rsidR="00D80693" w:rsidRDefault="00D80693" w:rsidP="00735D3E">
      <w:pPr>
        <w:pStyle w:val="Paragraphedeliste"/>
        <w:widowControl/>
        <w:numPr>
          <w:ilvl w:val="0"/>
          <w:numId w:val="201"/>
        </w:numPr>
        <w:autoSpaceDE/>
        <w:autoSpaceDN/>
        <w:spacing w:after="160"/>
        <w:ind w:left="720"/>
        <w:rPr>
          <w:rFonts w:eastAsia="Calibri"/>
          <w:sz w:val="20"/>
        </w:rPr>
      </w:pPr>
      <w:r w:rsidRPr="00955872">
        <w:rPr>
          <w:rFonts w:eastAsiaTheme="minorHAnsi"/>
          <w:b/>
          <w:sz w:val="20"/>
          <w:szCs w:val="20"/>
        </w:rPr>
        <w:t xml:space="preserve">E (215) : </w:t>
      </w:r>
      <w:r w:rsidRPr="00955872">
        <w:rPr>
          <w:rFonts w:eastAsiaTheme="minorHAnsi"/>
          <w:sz w:val="20"/>
          <w:szCs w:val="20"/>
        </w:rPr>
        <w:t>(</w:t>
      </w:r>
      <w:r w:rsidRPr="00955872">
        <w:rPr>
          <w:rFonts w:eastAsiaTheme="minorHAnsi"/>
          <w:b/>
          <w:sz w:val="20"/>
        </w:rPr>
        <w:t>Hypothèse + interprétation</w:t>
      </w:r>
      <w:r>
        <w:rPr>
          <w:b/>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interprétation</w:instrText>
      </w:r>
      <w:r>
        <w:rPr>
          <w:rFonts w:asciiTheme="minorHAnsi" w:eastAsiaTheme="minorHAnsi" w:hAnsiTheme="minorHAnsi" w:cstheme="minorBidi"/>
        </w:rPr>
        <w:instrText xml:space="preserve">" </w:instrText>
      </w:r>
      <w:r>
        <w:rPr>
          <w:b/>
          <w:sz w:val="20"/>
        </w:rPr>
        <w:fldChar w:fldCharType="end"/>
      </w:r>
      <w:r w:rsidRPr="00955872">
        <w:rPr>
          <w:rFonts w:eastAsiaTheme="minorHAnsi"/>
          <w:b/>
          <w:sz w:val="20"/>
        </w:rPr>
        <w:t>—Carte rouge active)</w:t>
      </w:r>
      <w:r w:rsidRPr="00955872">
        <w:rPr>
          <w:rFonts w:eastAsiaTheme="minorHAnsi"/>
          <w:b/>
          <w:sz w:val="20"/>
          <w:szCs w:val="20"/>
        </w:rPr>
        <w:t xml:space="preserve"> </w:t>
      </w:r>
      <w:r w:rsidRPr="00955872">
        <w:rPr>
          <w:rFonts w:eastAsiaTheme="minorHAnsi"/>
          <w:sz w:val="20"/>
          <w:szCs w:val="20"/>
        </w:rPr>
        <w:t xml:space="preserve">On doit travailler tous les jours, mais lorsqu’on est fatigué, on doit se reposer [Saisissement ou réaction ontologique par </w:t>
      </w:r>
      <w:r w:rsidRPr="00955872">
        <w:rPr>
          <w:rFonts w:eastAsiaTheme="minorHAnsi"/>
          <w:sz w:val="20"/>
        </w:rPr>
        <w:t>interprétation logiquement empirique en soutien à l’hypothèse</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szCs w:val="24"/>
        </w:rPr>
        <w:instrText>hypothèse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/thèse définie].</w:t>
      </w:r>
    </w:p>
    <w:p w14:paraId="61CCF99F" w14:textId="77777777" w:rsidR="00D80693" w:rsidRPr="00955872" w:rsidRDefault="00D80693" w:rsidP="00735D3E">
      <w:pPr>
        <w:pStyle w:val="Paragraphedeliste"/>
        <w:widowControl/>
        <w:numPr>
          <w:ilvl w:val="0"/>
          <w:numId w:val="201"/>
        </w:numPr>
        <w:autoSpaceDE/>
        <w:autoSpaceDN/>
        <w:spacing w:after="160"/>
        <w:ind w:left="720"/>
        <w:rPr>
          <w:rFonts w:eastAsia="Calibri"/>
          <w:sz w:val="20"/>
        </w:rPr>
      </w:pPr>
      <w:r w:rsidRPr="00955872">
        <w:rPr>
          <w:rFonts w:eastAsiaTheme="minorHAnsi"/>
          <w:b/>
          <w:sz w:val="20"/>
          <w:szCs w:val="20"/>
        </w:rPr>
        <w:t>E (220) :</w:t>
      </w:r>
      <w:r>
        <w:rPr>
          <w:rFonts w:asciiTheme="minorHAnsi" w:eastAsiaTheme="minorHAnsi" w:hAnsiTheme="minorHAnsi" w:cstheme="minorBidi"/>
        </w:rPr>
        <w:t xml:space="preserve"> </w:t>
      </w:r>
      <w:r w:rsidRPr="00955872">
        <w:rPr>
          <w:rFonts w:eastAsiaTheme="minorHAnsi"/>
          <w:sz w:val="20"/>
          <w:szCs w:val="20"/>
        </w:rPr>
        <w:t>(</w:t>
      </w:r>
      <w:r w:rsidRPr="00955872">
        <w:rPr>
          <w:rFonts w:eastAsiaTheme="minorHAnsi"/>
          <w:b/>
          <w:sz w:val="20"/>
        </w:rPr>
        <w:t>Hypothèse + interprétation</w:t>
      </w:r>
      <w:r>
        <w:rPr>
          <w:b/>
          <w:sz w:val="20"/>
        </w:rPr>
        <w:fldChar w:fldCharType="begin"/>
      </w:r>
      <w:r>
        <w:rPr>
          <w:rFonts w:asciiTheme="minorHAnsi" w:eastAsiaTheme="minorHAnsi" w:hAnsiTheme="minorHAnsi" w:cstheme="minorBidi"/>
        </w:rPr>
        <w:instrText xml:space="preserve"> XE "</w:instrText>
      </w:r>
      <w:r w:rsidRPr="00955872">
        <w:rPr>
          <w:rFonts w:eastAsiaTheme="minorHAnsi"/>
          <w:color w:val="000000"/>
          <w:sz w:val="24"/>
        </w:rPr>
        <w:instrText>interprétation</w:instrText>
      </w:r>
      <w:r>
        <w:rPr>
          <w:rFonts w:asciiTheme="minorHAnsi" w:eastAsiaTheme="minorHAnsi" w:hAnsiTheme="minorHAnsi" w:cstheme="minorBidi"/>
        </w:rPr>
        <w:instrText xml:space="preserve">" </w:instrText>
      </w:r>
      <w:r>
        <w:rPr>
          <w:b/>
          <w:sz w:val="20"/>
        </w:rPr>
        <w:fldChar w:fldCharType="end"/>
      </w:r>
      <w:r w:rsidRPr="00955872">
        <w:rPr>
          <w:rFonts w:eastAsiaTheme="minorHAnsi"/>
          <w:b/>
          <w:sz w:val="20"/>
        </w:rPr>
        <w:t>—Carte rouge active)</w:t>
      </w:r>
      <w:r w:rsidRPr="00955872">
        <w:rPr>
          <w:rFonts w:eastAsiaTheme="minorHAnsi"/>
          <w:sz w:val="20"/>
        </w:rPr>
        <w:t xml:space="preserve"> On doit travailler, mais se reposer à midi, sinon ton dos va te faire mal et tu vas tomber malade [</w:t>
      </w:r>
      <w:r w:rsidRPr="00955872">
        <w:rPr>
          <w:rFonts w:eastAsiaTheme="minorHAnsi"/>
          <w:sz w:val="20"/>
          <w:szCs w:val="20"/>
        </w:rPr>
        <w:t xml:space="preserve">Saisissement ou réaction ontologique par </w:t>
      </w:r>
      <w:r w:rsidRPr="00955872">
        <w:rPr>
          <w:rFonts w:eastAsiaTheme="minorHAnsi"/>
          <w:sz w:val="20"/>
        </w:rPr>
        <w:t>interprétation logiquement empirique en soutien à l’hypothèse</w:t>
      </w:r>
      <w:r>
        <w:rPr>
          <w:sz w:val="20"/>
        </w:rPr>
        <w:fldChar w:fldCharType="begin"/>
      </w:r>
      <w:r>
        <w:rPr>
          <w:rFonts w:asciiTheme="minorHAnsi" w:eastAsiaTheme="minorHAnsi" w:hAnsiTheme="minorHAnsi" w:cstheme="minorBidi"/>
        </w:rPr>
        <w:instrText xml:space="preserve"> XE "</w:instrText>
      </w:r>
      <w:r w:rsidRPr="00955872">
        <w:rPr>
          <w:rFonts w:eastAsiaTheme="minorHAnsi"/>
          <w:sz w:val="24"/>
          <w:szCs w:val="24"/>
        </w:rPr>
        <w:instrText>hypothèse</w:instrText>
      </w:r>
      <w:r>
        <w:rPr>
          <w:rFonts w:asciiTheme="minorHAnsi" w:eastAsiaTheme="minorHAnsi" w:hAnsiTheme="minorHAnsi" w:cstheme="minorBidi"/>
        </w:rPr>
        <w:instrText xml:space="preserve">" </w:instrText>
      </w:r>
      <w:r>
        <w:rPr>
          <w:sz w:val="20"/>
        </w:rPr>
        <w:fldChar w:fldCharType="end"/>
      </w:r>
      <w:r w:rsidRPr="00955872">
        <w:rPr>
          <w:rFonts w:eastAsiaTheme="minorHAnsi"/>
          <w:sz w:val="20"/>
        </w:rPr>
        <w:t>/thèse définie].</w:t>
      </w:r>
    </w:p>
    <w:p w14:paraId="0F913616" w14:textId="77777777" w:rsidR="00D80693" w:rsidRDefault="00D80693" w:rsidP="00735D3E">
      <w:pPr>
        <w:spacing w:before="120"/>
        <w:jc w:val="both"/>
        <w:rPr>
          <w:rFonts w:eastAsia="Calibri"/>
          <w:sz w:val="24"/>
        </w:rPr>
      </w:pPr>
      <w:r>
        <w:rPr>
          <w:rFonts w:eastAsiaTheme="minorHAnsi"/>
          <w:sz w:val="24"/>
        </w:rPr>
        <w:t>Sur la troisième [relance sur une question] du maître (animateur), le duo d’enfant—E (220) et E (215), dans un collectif, montre leur capacité à interpréter les faits observés ou les énoncés. En effet, le groupe se prête à un débat</w:t>
      </w:r>
      <w:r>
        <w:rPr>
          <w:sz w:val="24"/>
        </w:rPr>
        <w:fldChar w:fldCharType="begin"/>
      </w:r>
      <w:r>
        <w:rPr>
          <w:rFonts w:asciiTheme="minorHAnsi" w:eastAsiaTheme="minorHAnsi" w:hAnsiTheme="minorHAnsi" w:cstheme="minorBidi"/>
        </w:rPr>
        <w:instrText xml:space="preserve"> XE "</w:instrText>
      </w:r>
      <w:r>
        <w:rPr>
          <w:rFonts w:eastAsiaTheme="minorHAnsi"/>
          <w:sz w:val="24"/>
        </w:rPr>
        <w:instrText>débat</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interprétatif où on recherche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recherche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 le véritable sens</w:t>
      </w:r>
      <w:r>
        <w:rPr>
          <w:sz w:val="24"/>
        </w:rPr>
        <w:fldChar w:fldCharType="begin"/>
      </w:r>
      <w:r>
        <w:rPr>
          <w:rFonts w:asciiTheme="minorHAnsi" w:eastAsiaTheme="minorHAnsi" w:hAnsiTheme="minorHAnsi" w:cstheme="minorBidi"/>
        </w:rPr>
        <w:instrText xml:space="preserve"> XE "</w:instrText>
      </w:r>
      <w:r>
        <w:rPr>
          <w:rFonts w:eastAsiaTheme="minorHAnsi"/>
          <w:sz w:val="24"/>
        </w:rPr>
        <w:instrText>sens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d’une vie de travail ». Le débat interprétatif du groupe, aidé par une médiation</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médiation</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de l’image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image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vidéo, met au centre la thèse de la « valeur du travail dans une production</w:t>
      </w:r>
      <w:r>
        <w:rPr>
          <w:sz w:val="24"/>
        </w:rPr>
        <w:fldChar w:fldCharType="begin"/>
      </w:r>
      <w:r>
        <w:rPr>
          <w:rFonts w:asciiTheme="minorHAnsi" w:eastAsiaTheme="minorHAnsi" w:hAnsiTheme="minorHAnsi" w:cstheme="minorBidi"/>
        </w:rPr>
        <w:instrText xml:space="preserve"> XE "</w:instrText>
      </w:r>
      <w:r>
        <w:rPr>
          <w:rFonts w:eastAsiaTheme="minorHAnsi" w:cstheme="minorBidi"/>
          <w:color w:val="000000"/>
          <w:sz w:val="24"/>
        </w:rPr>
        <w:instrText>production</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capitaliste ». En leurs nuances propres, chacun des deux enfants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enfants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fait une interprétation</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interprétation</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s’orientant vers cette thèse. Selon le duo—E (220) et E (215), le travail est nécessaire car on doit travailler tous les jours pour être capable de survenir à ses besoins fondamentaux. Toutefois, il est impératif de trouver un temps</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temps</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de repos pendant ou après nos heures de travail : en le faisant, l’Homme évite d’user sa santé qui est capital pour être productif au travail. </w:t>
      </w:r>
    </w:p>
    <w:p w14:paraId="50D49DFE" w14:textId="77777777" w:rsidR="00D80693" w:rsidRDefault="00D80693" w:rsidP="00735D3E">
      <w:pPr>
        <w:spacing w:before="120"/>
        <w:jc w:val="both"/>
        <w:rPr>
          <w:rFonts w:eastAsia="Calibri"/>
          <w:sz w:val="24"/>
        </w:rPr>
      </w:pPr>
      <w:r>
        <w:rPr>
          <w:rFonts w:eastAsiaTheme="minorHAnsi"/>
          <w:sz w:val="24"/>
          <w:szCs w:val="24"/>
        </w:rPr>
        <w:t>On peut voir que les pensées du duo—</w:t>
      </w:r>
      <w:r>
        <w:rPr>
          <w:rFonts w:eastAsiaTheme="minorHAnsi"/>
          <w:sz w:val="24"/>
        </w:rPr>
        <w:t>E (220) et E (215) convergent vers la pensée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pensée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de Nietzsche qui distingue deux formes de travail : le travail qui rend esclave (l’esclavagisme) et l’authentique travail (le travail humanisant). Sa critique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szCs w:val="24"/>
        </w:rPr>
        <w:instrText>critique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de la première forme</w:t>
      </w:r>
      <w:r>
        <w:rPr>
          <w:sz w:val="24"/>
        </w:rPr>
        <w:fldChar w:fldCharType="begin"/>
      </w:r>
      <w:r>
        <w:rPr>
          <w:rFonts w:asciiTheme="minorHAnsi" w:eastAsiaTheme="minorHAnsi" w:hAnsiTheme="minorHAnsi" w:cstheme="minorBidi"/>
        </w:rPr>
        <w:instrText xml:space="preserve"> XE "</w:instrText>
      </w:r>
      <w:r>
        <w:rPr>
          <w:rFonts w:eastAsiaTheme="minorHAnsi"/>
          <w:color w:val="000000"/>
          <w:sz w:val="24"/>
        </w:rPr>
        <w:instrText>forme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de travail repose sur le fait que dans celui-ci l’Homme est soumis à la dialectique du maître et de l’esclave où il y a volonté de soumettre l’ouvrier à un système capitaliste qui ne respecte pas la dignité des personnes (ne se préoccupant pas de leur santé ou de leur repos). Or la seconde forme de travail qui respecte les principes de la morale</w:t>
      </w:r>
      <w:r>
        <w:rPr>
          <w:sz w:val="24"/>
        </w:rPr>
        <w:fldChar w:fldCharType="begin"/>
      </w:r>
      <w:r>
        <w:rPr>
          <w:rFonts w:asciiTheme="minorHAnsi" w:eastAsiaTheme="minorHAnsi" w:hAnsiTheme="minorHAnsi" w:cstheme="minorBidi"/>
        </w:rPr>
        <w:instrText xml:space="preserve"> XE "</w:instrText>
      </w:r>
      <w:r>
        <w:rPr>
          <w:rFonts w:eastAsiaTheme="minorHAnsi"/>
          <w:i/>
          <w:color w:val="000000"/>
          <w:sz w:val="24"/>
          <w:szCs w:val="24"/>
        </w:rPr>
        <w:instrText>morale</w:instrText>
      </w:r>
      <w:r>
        <w:rPr>
          <w:rFonts w:asciiTheme="minorHAnsi" w:eastAsiaTheme="minorHAnsi" w:hAnsiTheme="minorHAnsi" w:cstheme="minorBidi"/>
        </w:rPr>
        <w:instrText xml:space="preserve">" </w:instrText>
      </w:r>
      <w:r>
        <w:rPr>
          <w:sz w:val="24"/>
        </w:rPr>
        <w:fldChar w:fldCharType="end"/>
      </w:r>
      <w:r>
        <w:rPr>
          <w:rFonts w:eastAsiaTheme="minorHAnsi"/>
          <w:sz w:val="24"/>
        </w:rPr>
        <w:t xml:space="preserve"> et la dignité humaine dans la gestion des ouvriers (se préoccupant de leur santé ou de leur repos) est la véritable forme du travail.</w:t>
      </w:r>
    </w:p>
    <w:p w14:paraId="07BDF55D" w14:textId="77777777" w:rsidR="00D80693" w:rsidRPr="00155566" w:rsidRDefault="00D80693" w:rsidP="00735D3E">
      <w:pPr>
        <w:pStyle w:val="Paragraphedeliste"/>
        <w:widowControl/>
        <w:numPr>
          <w:ilvl w:val="0"/>
          <w:numId w:val="195"/>
        </w:numPr>
        <w:autoSpaceDE/>
        <w:autoSpaceDN/>
        <w:spacing w:after="160"/>
        <w:rPr>
          <w:rFonts w:eastAsia="Calibri"/>
          <w:sz w:val="28"/>
        </w:rPr>
      </w:pPr>
      <w:r w:rsidRPr="00155566">
        <w:rPr>
          <w:rFonts w:eastAsiaTheme="minorHAnsi"/>
          <w:b/>
          <w:sz w:val="28"/>
        </w:rPr>
        <w:t>Discussion autour de la portée réflexive de l’ouverture d’esprit en philosophie pour enfants</w:t>
      </w:r>
    </w:p>
    <w:p w14:paraId="1D7AAD54" w14:textId="77777777" w:rsidR="00D80693" w:rsidRPr="007C28CB" w:rsidRDefault="00D80693" w:rsidP="00735D3E">
      <w:pPr>
        <w:spacing w:before="120"/>
        <w:ind w:firstLine="360"/>
        <w:jc w:val="both"/>
        <w:rPr>
          <w:rFonts w:eastAsia="Calibri"/>
          <w:color w:val="000000"/>
          <w:sz w:val="24"/>
          <w:szCs w:val="24"/>
        </w:rPr>
      </w:pPr>
      <w:r w:rsidRPr="007C28CB">
        <w:rPr>
          <w:rFonts w:eastAsia="Calibri"/>
          <w:color w:val="000000"/>
          <w:sz w:val="24"/>
          <w:szCs w:val="24"/>
        </w:rPr>
        <w:t xml:space="preserve">Rappel des questions de recherche : </w:t>
      </w:r>
      <w:r w:rsidRPr="007C28CB">
        <w:rPr>
          <w:rFonts w:eastAsiaTheme="minorHAnsi"/>
          <w:color w:val="000000"/>
          <w:sz w:val="24"/>
          <w:szCs w:val="24"/>
        </w:rPr>
        <w:t>De quelle manière l’assertion imageante aide à la conceptualisation des notions ? </w:t>
      </w:r>
      <w:r w:rsidRPr="007C28CB">
        <w:rPr>
          <w:rFonts w:eastAsiaTheme="minorHAnsi"/>
          <w:color w:val="000000"/>
          <w:sz w:val="24"/>
        </w:rPr>
        <w:t xml:space="preserve">Comment l’illustration en image et </w:t>
      </w:r>
      <w:r w:rsidRPr="007C28CB">
        <w:rPr>
          <w:rFonts w:eastAsiaTheme="minorHAnsi"/>
          <w:color w:val="000000"/>
          <w:sz w:val="24"/>
          <w:szCs w:val="24"/>
        </w:rPr>
        <w:t>la corrélation métaphorique ou allégorique aident à l’argumentation d’une thèse ?</w:t>
      </w:r>
      <w:r w:rsidRPr="007C28CB">
        <w:rPr>
          <w:rFonts w:eastAsiaTheme="minorHAnsi"/>
          <w:b/>
          <w:color w:val="000000"/>
          <w:sz w:val="24"/>
          <w:szCs w:val="24"/>
        </w:rPr>
        <w:t xml:space="preserve"> </w:t>
      </w:r>
      <w:r w:rsidRPr="007C28CB">
        <w:rPr>
          <w:rFonts w:eastAsiaTheme="minorHAnsi"/>
          <w:color w:val="000000"/>
          <w:sz w:val="24"/>
          <w:szCs w:val="24"/>
        </w:rPr>
        <w:t>Quelle est la contribution de la mise en réseau de l’image dans la problématisation ?</w:t>
      </w:r>
      <w:r w:rsidRPr="007C28CB">
        <w:rPr>
          <w:rFonts w:eastAsiaTheme="minorHAnsi"/>
          <w:color w:val="000000"/>
          <w:sz w:val="24"/>
        </w:rPr>
        <w:t xml:space="preserve"> Et q</w:t>
      </w:r>
      <w:r w:rsidRPr="007C28CB">
        <w:rPr>
          <w:rFonts w:eastAsiaTheme="minorHAnsi"/>
          <w:color w:val="000000"/>
          <w:sz w:val="24"/>
          <w:szCs w:val="24"/>
        </w:rPr>
        <w:t>uel est l’apport de la fonction de référentielle et de la fonction de médiation dans l’interprétation de la réalité ?</w:t>
      </w:r>
    </w:p>
    <w:p w14:paraId="0658405E" w14:textId="77777777" w:rsidR="00D80693" w:rsidRPr="0090665A" w:rsidRDefault="00D80693" w:rsidP="00735D3E">
      <w:pPr>
        <w:pStyle w:val="Paragraphedeliste"/>
        <w:widowControl/>
        <w:numPr>
          <w:ilvl w:val="1"/>
          <w:numId w:val="195"/>
        </w:numPr>
        <w:autoSpaceDE/>
        <w:autoSpaceDN/>
        <w:spacing w:after="160"/>
        <w:rPr>
          <w:rFonts w:eastAsia="Calibri"/>
          <w:sz w:val="24"/>
          <w:szCs w:val="24"/>
        </w:rPr>
      </w:pPr>
      <w:r w:rsidRPr="0090665A">
        <w:rPr>
          <w:rFonts w:eastAsiaTheme="minorHAnsi"/>
          <w:b/>
          <w:sz w:val="24"/>
          <w:szCs w:val="24"/>
        </w:rPr>
        <w:t xml:space="preserve"> Analyse du rôle de la mise en réseau de l’image et la capacité à problématiser</w:t>
      </w:r>
    </w:p>
    <w:p w14:paraId="02AA0941" w14:textId="77777777" w:rsidR="00D80693" w:rsidRDefault="00D80693" w:rsidP="00735D3E">
      <w:pPr>
        <w:spacing w:before="120"/>
        <w:jc w:val="both"/>
        <w:rPr>
          <w:rFonts w:eastAsia="Calibri"/>
          <w:color w:val="000000"/>
          <w:sz w:val="24"/>
          <w:szCs w:val="24"/>
        </w:rPr>
      </w:pPr>
      <w:r>
        <w:rPr>
          <w:rFonts w:eastAsiaTheme="minorHAnsi"/>
          <w:color w:val="000000"/>
          <w:sz w:val="24"/>
          <w:szCs w:val="24"/>
        </w:rPr>
        <w:t xml:space="preserve">Ainsi que relèvent les résultats de l’analyse du contenu, un lien significatif apparaît entre la mise en réseau de l’image et la capacité des élèves de CP de l’école départementale de Melen III à interroger le réel et à formuler des questions philosophiquement pertinentes. En tant qu’instrument psychologique qui enrichit la zone proximale de développement (Vygotsky, 1983), l’image joue un rôle décisif dans le développement des habiletés de la pensée réflexive. </w:t>
      </w:r>
    </w:p>
    <w:p w14:paraId="5031B171" w14:textId="77777777" w:rsidR="00D80693" w:rsidRDefault="00D80693" w:rsidP="00735D3E">
      <w:pPr>
        <w:spacing w:before="120"/>
        <w:jc w:val="both"/>
        <w:rPr>
          <w:rFonts w:eastAsia="Calibri"/>
          <w:color w:val="000000"/>
          <w:sz w:val="24"/>
          <w:szCs w:val="24"/>
        </w:rPr>
      </w:pPr>
      <w:r>
        <w:rPr>
          <w:rFonts w:eastAsiaTheme="minorHAnsi"/>
          <w:color w:val="000000"/>
          <w:sz w:val="24"/>
          <w:szCs w:val="24"/>
        </w:rPr>
        <w:t xml:space="preserve">Les praticiens de la philosophie avec les enfants considèrent l’image comme un support privilégié pour initier les plus jeunes à la pensée critique. Chez </w:t>
      </w:r>
      <w:proofErr w:type="spellStart"/>
      <w:r>
        <w:rPr>
          <w:rFonts w:eastAsiaTheme="minorHAnsi"/>
          <w:color w:val="000000"/>
          <w:sz w:val="24"/>
          <w:szCs w:val="24"/>
        </w:rPr>
        <w:t>Chirouter</w:t>
      </w:r>
      <w:proofErr w:type="spellEnd"/>
      <w:r>
        <w:rPr>
          <w:rFonts w:eastAsiaTheme="minorHAnsi"/>
          <w:color w:val="000000"/>
          <w:sz w:val="24"/>
          <w:szCs w:val="24"/>
        </w:rPr>
        <w:t xml:space="preserve"> (2016), les albums photos de jeunesse constituent de véritables déclencheurs de discussions philosophiques ; de même, </w:t>
      </w:r>
      <w:proofErr w:type="spellStart"/>
      <w:r>
        <w:rPr>
          <w:rFonts w:eastAsiaTheme="minorHAnsi"/>
          <w:color w:val="000000"/>
          <w:sz w:val="24"/>
          <w:szCs w:val="24"/>
        </w:rPr>
        <w:t>Galichet</w:t>
      </w:r>
      <w:proofErr w:type="spellEnd"/>
      <w:r>
        <w:rPr>
          <w:rFonts w:eastAsiaTheme="minorHAnsi"/>
          <w:color w:val="000000"/>
          <w:sz w:val="24"/>
          <w:szCs w:val="24"/>
        </w:rPr>
        <w:t xml:space="preserve"> (2019) mobilise le </w:t>
      </w:r>
      <w:proofErr w:type="spellStart"/>
      <w:r>
        <w:rPr>
          <w:rFonts w:eastAsiaTheme="minorHAnsi"/>
          <w:color w:val="000000"/>
          <w:sz w:val="24"/>
          <w:szCs w:val="24"/>
        </w:rPr>
        <w:t>photo-langage</w:t>
      </w:r>
      <w:proofErr w:type="spellEnd"/>
      <w:r>
        <w:rPr>
          <w:rFonts w:eastAsiaTheme="minorHAnsi"/>
          <w:color w:val="000000"/>
          <w:sz w:val="24"/>
          <w:szCs w:val="24"/>
        </w:rPr>
        <w:t xml:space="preserve"> pour stimuler le questionnement et la mise à distance du vécu. Selon </w:t>
      </w:r>
      <w:proofErr w:type="spellStart"/>
      <w:r>
        <w:rPr>
          <w:rFonts w:eastAsiaTheme="minorHAnsi"/>
          <w:color w:val="000000"/>
          <w:sz w:val="24"/>
          <w:szCs w:val="24"/>
        </w:rPr>
        <w:t>Chirouter</w:t>
      </w:r>
      <w:proofErr w:type="spellEnd"/>
      <w:r>
        <w:rPr>
          <w:rFonts w:eastAsiaTheme="minorHAnsi"/>
          <w:color w:val="000000"/>
          <w:sz w:val="24"/>
          <w:szCs w:val="24"/>
        </w:rPr>
        <w:t xml:space="preserve"> (2007), cette démarche instrumentée s’inscrit pleinement dans l’atelier de réflexion philosophique (ARP) : elle permet d’établir une connexion dynamique entre les images, le contexte culturel et les acteurs de l’atelier, formant ainsi une mise en réseau significative. </w:t>
      </w:r>
    </w:p>
    <w:p w14:paraId="1D712A0D" w14:textId="77777777" w:rsidR="00D80693" w:rsidRDefault="00D80693" w:rsidP="00735D3E">
      <w:pPr>
        <w:spacing w:before="120"/>
        <w:jc w:val="both"/>
        <w:rPr>
          <w:rFonts w:eastAsia="Calibri"/>
          <w:color w:val="000000"/>
          <w:sz w:val="24"/>
          <w:szCs w:val="24"/>
        </w:rPr>
      </w:pPr>
      <w:r>
        <w:rPr>
          <w:rFonts w:eastAsiaTheme="minorHAnsi"/>
          <w:color w:val="000000"/>
          <w:sz w:val="24"/>
          <w:szCs w:val="24"/>
        </w:rPr>
        <w:t xml:space="preserve">Cette mise en réseau des images, en articulant littérature, environnement et expérience vécue, enrichit la séance de philosophie d’outils culturels médiateurs qui aident l’enfant à identifier un problème et à formuler des questions à portée philosophique. C’est précisément cette compétence de questionnement qu’ont manifesté les élèves du groupe expérimental de façon régulière au fil des séances. Leur progression témoigne d’un effort cognitif continu dans la « cueillette de questions », favorisée par l’usage combiné du </w:t>
      </w:r>
      <w:proofErr w:type="spellStart"/>
      <w:r>
        <w:rPr>
          <w:rFonts w:eastAsiaTheme="minorHAnsi"/>
          <w:color w:val="000000"/>
          <w:sz w:val="24"/>
          <w:szCs w:val="24"/>
        </w:rPr>
        <w:t>photo-langage</w:t>
      </w:r>
      <w:proofErr w:type="spellEnd"/>
      <w:r>
        <w:rPr>
          <w:rFonts w:eastAsiaTheme="minorHAnsi"/>
          <w:color w:val="000000"/>
          <w:sz w:val="24"/>
          <w:szCs w:val="24"/>
        </w:rPr>
        <w:t xml:space="preserve"> et des animées. </w:t>
      </w:r>
    </w:p>
    <w:p w14:paraId="1966F1B8" w14:textId="77777777" w:rsidR="00D80693" w:rsidRPr="007F1D32" w:rsidRDefault="00D80693" w:rsidP="00735D3E">
      <w:pPr>
        <w:pStyle w:val="Paragraphedeliste"/>
        <w:widowControl/>
        <w:numPr>
          <w:ilvl w:val="1"/>
          <w:numId w:val="195"/>
        </w:numPr>
        <w:autoSpaceDE/>
        <w:autoSpaceDN/>
        <w:spacing w:after="160"/>
        <w:rPr>
          <w:rFonts w:eastAsia="Calibri"/>
          <w:color w:val="000000"/>
          <w:sz w:val="24"/>
          <w:szCs w:val="24"/>
        </w:rPr>
      </w:pPr>
      <w:r w:rsidRPr="007F1D32">
        <w:rPr>
          <w:rFonts w:eastAsia="Calibri"/>
          <w:color w:val="000000"/>
          <w:sz w:val="24"/>
          <w:szCs w:val="24"/>
        </w:rPr>
        <w:t xml:space="preserve"> </w:t>
      </w:r>
      <w:r w:rsidRPr="007F1D32">
        <w:rPr>
          <w:rFonts w:eastAsiaTheme="minorHAnsi"/>
          <w:b/>
          <w:color w:val="000000"/>
          <w:sz w:val="24"/>
          <w:szCs w:val="24"/>
        </w:rPr>
        <w:t>Analyse du rôle de l’assertion imageante et la capacité à conceptualiser</w:t>
      </w:r>
    </w:p>
    <w:p w14:paraId="1D53CDC7" w14:textId="77777777" w:rsidR="00D80693" w:rsidRPr="00A82FBB" w:rsidRDefault="00D80693" w:rsidP="00735D3E">
      <w:pPr>
        <w:spacing w:before="120"/>
        <w:jc w:val="both"/>
        <w:rPr>
          <w:rFonts w:ascii="Calibri" w:eastAsia="Calibri" w:hAnsi="Calibri"/>
        </w:rPr>
      </w:pPr>
      <w:r w:rsidRPr="00494137">
        <w:rPr>
          <w:rFonts w:eastAsia="Calibri"/>
          <w:color w:val="000000"/>
          <w:sz w:val="24"/>
          <w:szCs w:val="24"/>
        </w:rPr>
        <w:t>Ainsi qu’il ressort des résultats de l’analyse du contenu, il existe un lien entre l’assertion imageante et la capacité des enfants de la classe de CP de l’école départeme</w:t>
      </w:r>
      <w:r>
        <w:rPr>
          <w:rFonts w:eastAsia="Calibri"/>
          <w:color w:val="000000"/>
          <w:sz w:val="24"/>
          <w:szCs w:val="24"/>
        </w:rPr>
        <w:t xml:space="preserve">ntale de Melen III à définir et à </w:t>
      </w:r>
      <w:r w:rsidRPr="00494137">
        <w:rPr>
          <w:rFonts w:eastAsia="Calibri"/>
          <w:color w:val="000000"/>
          <w:sz w:val="24"/>
          <w:szCs w:val="24"/>
        </w:rPr>
        <w:t>déterminer les caractéristi</w:t>
      </w:r>
      <w:r>
        <w:rPr>
          <w:rFonts w:eastAsia="Calibri"/>
          <w:color w:val="000000"/>
          <w:sz w:val="24"/>
          <w:szCs w:val="24"/>
        </w:rPr>
        <w:t>ques d’un concept dans sa portée</w:t>
      </w:r>
      <w:r w:rsidRPr="00494137">
        <w:rPr>
          <w:rFonts w:eastAsia="Calibri"/>
          <w:color w:val="000000"/>
          <w:sz w:val="24"/>
          <w:szCs w:val="24"/>
        </w:rPr>
        <w:t xml:space="preserve"> philosophique. </w:t>
      </w:r>
      <w:r>
        <w:rPr>
          <w:rFonts w:eastAsia="Calibri"/>
          <w:color w:val="000000"/>
          <w:sz w:val="24"/>
          <w:szCs w:val="24"/>
        </w:rPr>
        <w:t>En tant que</w:t>
      </w:r>
      <w:r w:rsidRPr="00494137">
        <w:rPr>
          <w:rFonts w:eastAsia="Calibri"/>
          <w:color w:val="000000"/>
          <w:sz w:val="24"/>
          <w:szCs w:val="24"/>
        </w:rPr>
        <w:t xml:space="preserve"> fonctionnalité dérivée </w:t>
      </w:r>
      <w:r w:rsidRPr="0037124D">
        <w:rPr>
          <w:rFonts w:eastAsia="Calibri"/>
          <w:color w:val="000000"/>
          <w:sz w:val="24"/>
          <w:szCs w:val="24"/>
        </w:rPr>
        <w:t xml:space="preserve">de </w:t>
      </w:r>
      <w:r w:rsidRPr="00494137">
        <w:rPr>
          <w:rFonts w:eastAsia="Calibri"/>
          <w:color w:val="000000"/>
          <w:sz w:val="24"/>
          <w:szCs w:val="24"/>
        </w:rPr>
        <w:t>l’image, l’assertion imageante</w:t>
      </w:r>
      <w:r>
        <w:rPr>
          <w:rFonts w:eastAsia="Calibri"/>
          <w:color w:val="000000"/>
          <w:sz w:val="24"/>
          <w:szCs w:val="24"/>
        </w:rPr>
        <w:t xml:space="preserve">, telle que pansée par </w:t>
      </w:r>
      <w:r w:rsidRPr="00494137">
        <w:rPr>
          <w:rFonts w:eastAsia="Calibri"/>
          <w:color w:val="000000"/>
          <w:sz w:val="24"/>
          <w:szCs w:val="24"/>
        </w:rPr>
        <w:t>Sartre (</w:t>
      </w:r>
      <w:r>
        <w:rPr>
          <w:rFonts w:eastAsia="Calibri"/>
          <w:color w:val="000000"/>
          <w:sz w:val="24"/>
          <w:szCs w:val="24"/>
        </w:rPr>
        <w:t xml:space="preserve">1986), renvoie à faculté qu’à l’image </w:t>
      </w:r>
      <w:r w:rsidRPr="00494137">
        <w:rPr>
          <w:rFonts w:eastAsia="Calibri"/>
          <w:color w:val="000000"/>
          <w:sz w:val="24"/>
          <w:szCs w:val="24"/>
        </w:rPr>
        <w:t xml:space="preserve">d’affirmer </w:t>
      </w:r>
      <w:r>
        <w:rPr>
          <w:rFonts w:eastAsia="Calibri"/>
          <w:color w:val="000000"/>
          <w:sz w:val="24"/>
          <w:szCs w:val="24"/>
        </w:rPr>
        <w:t>les qualités ou propriétés</w:t>
      </w:r>
      <w:r w:rsidRPr="00494137">
        <w:rPr>
          <w:rFonts w:eastAsia="Calibri"/>
          <w:color w:val="000000"/>
          <w:sz w:val="24"/>
          <w:szCs w:val="24"/>
        </w:rPr>
        <w:t xml:space="preserve"> d’un co</w:t>
      </w:r>
      <w:r>
        <w:rPr>
          <w:rFonts w:eastAsia="Calibri"/>
          <w:color w:val="000000"/>
          <w:sz w:val="24"/>
          <w:szCs w:val="24"/>
        </w:rPr>
        <w:t xml:space="preserve">ncept par des éléments idéatifs que la conscience y projette. L’image devient ainsi le lieu d’expression symbolique où la pensée se représente et se reconnaît elle-même. </w:t>
      </w:r>
    </w:p>
    <w:p w14:paraId="330A0C08" w14:textId="77777777" w:rsidR="00D80693" w:rsidRDefault="00D80693" w:rsidP="00735D3E">
      <w:pPr>
        <w:spacing w:before="120"/>
        <w:jc w:val="both"/>
        <w:rPr>
          <w:rFonts w:eastAsia="Calibri"/>
          <w:color w:val="000000"/>
          <w:sz w:val="24"/>
          <w:szCs w:val="24"/>
        </w:rPr>
      </w:pPr>
      <w:r>
        <w:rPr>
          <w:rFonts w:eastAsia="Calibri"/>
          <w:color w:val="000000"/>
          <w:sz w:val="24"/>
          <w:szCs w:val="24"/>
        </w:rPr>
        <w:t>Dans le développement de la pensée réflexive, cette fonction participe pleinement, aux côtés de la mise en réseau de l’image (</w:t>
      </w:r>
      <w:proofErr w:type="spellStart"/>
      <w:r>
        <w:rPr>
          <w:rFonts w:eastAsia="Calibri"/>
          <w:color w:val="000000"/>
          <w:sz w:val="24"/>
          <w:szCs w:val="24"/>
        </w:rPr>
        <w:t>Chirouter</w:t>
      </w:r>
      <w:proofErr w:type="spellEnd"/>
      <w:r>
        <w:rPr>
          <w:rFonts w:eastAsia="Calibri"/>
          <w:color w:val="000000"/>
          <w:sz w:val="24"/>
          <w:szCs w:val="24"/>
        </w:rPr>
        <w:t>, 2015), au processus de conceptualisation. Si la mise en réseau invite à établir des liens entre différents éléments narratifs issus de la littérature de jeunesse pour enrichir les définitions proposées (</w:t>
      </w:r>
      <w:proofErr w:type="spellStart"/>
      <w:r>
        <w:rPr>
          <w:rFonts w:eastAsia="Calibri"/>
          <w:color w:val="000000"/>
          <w:sz w:val="24"/>
          <w:szCs w:val="24"/>
        </w:rPr>
        <w:t>Chirouter</w:t>
      </w:r>
      <w:proofErr w:type="spellEnd"/>
      <w:r>
        <w:rPr>
          <w:rFonts w:eastAsia="Calibri"/>
          <w:color w:val="000000"/>
          <w:sz w:val="24"/>
          <w:szCs w:val="24"/>
        </w:rPr>
        <w:t xml:space="preserve">, 2011), l’assertion imageante, quant à elle, procède d’un acte de conscience : elle émerge de la saisie du contenu imagé, à partir duquel l’enfant construit un sens conceptuel qu’il exprime ensuite à travers des éléments idéatifs observables dans la séquence d’images animées ou dans le </w:t>
      </w:r>
      <w:proofErr w:type="spellStart"/>
      <w:r>
        <w:rPr>
          <w:rFonts w:eastAsia="Calibri"/>
          <w:color w:val="000000"/>
          <w:sz w:val="24"/>
          <w:szCs w:val="24"/>
        </w:rPr>
        <w:t>photo-langage</w:t>
      </w:r>
      <w:proofErr w:type="spellEnd"/>
      <w:r>
        <w:rPr>
          <w:rFonts w:eastAsia="Calibri"/>
          <w:color w:val="000000"/>
          <w:sz w:val="24"/>
          <w:szCs w:val="24"/>
        </w:rPr>
        <w:t xml:space="preserve"> utilisé.</w:t>
      </w:r>
    </w:p>
    <w:p w14:paraId="237C665A" w14:textId="77777777" w:rsidR="00D80693" w:rsidRPr="009B3C85" w:rsidRDefault="00D80693" w:rsidP="00735D3E">
      <w:pPr>
        <w:spacing w:before="120"/>
        <w:jc w:val="both"/>
        <w:rPr>
          <w:rFonts w:eastAsia="Calibri"/>
          <w:color w:val="000000"/>
          <w:sz w:val="24"/>
          <w:szCs w:val="24"/>
        </w:rPr>
      </w:pPr>
      <w:r>
        <w:rPr>
          <w:rFonts w:eastAsia="Calibri"/>
          <w:color w:val="000000"/>
          <w:sz w:val="24"/>
          <w:szCs w:val="24"/>
        </w:rPr>
        <w:t xml:space="preserve">Les observations du groupe expérimental montrent que ces assertions imageantes constituent la base des définitions étendues. Elles traduisent un effort cognitif continu dans la conceptualisation, grâce à l’usage répété des supports visuels et symboliques de l’ARPD. Ainsi, l’assertion imageante apparaît comme un mécanisme central du développement conceptuel en philosophie avec les enfants : elle relie la perception à l’abstraction, le sensible à l’intelligible, et fait de l’image un véritable instrument de pensée au service de la construction du concept. </w:t>
      </w:r>
    </w:p>
    <w:p w14:paraId="766F3D32" w14:textId="77777777" w:rsidR="00D80693" w:rsidRPr="0037124D" w:rsidRDefault="00D80693" w:rsidP="00735D3E">
      <w:pPr>
        <w:pStyle w:val="Paragraphedeliste"/>
        <w:widowControl/>
        <w:numPr>
          <w:ilvl w:val="1"/>
          <w:numId w:val="195"/>
        </w:numPr>
        <w:autoSpaceDE/>
        <w:autoSpaceDN/>
        <w:spacing w:after="160"/>
        <w:rPr>
          <w:rFonts w:eastAsia="Calibri"/>
          <w:b/>
          <w:color w:val="000000"/>
          <w:sz w:val="24"/>
          <w:szCs w:val="24"/>
        </w:rPr>
      </w:pPr>
      <w:r>
        <w:rPr>
          <w:rFonts w:eastAsiaTheme="minorHAnsi"/>
          <w:b/>
          <w:i/>
          <w:color w:val="000000"/>
          <w:sz w:val="24"/>
          <w:szCs w:val="24"/>
        </w:rPr>
        <w:t xml:space="preserve"> </w:t>
      </w:r>
      <w:r w:rsidRPr="0037124D">
        <w:rPr>
          <w:rFonts w:eastAsiaTheme="minorHAnsi"/>
          <w:b/>
          <w:color w:val="000000"/>
          <w:sz w:val="24"/>
          <w:szCs w:val="24"/>
        </w:rPr>
        <w:t>Analyse du rôle de l’analogi</w:t>
      </w:r>
      <w:r>
        <w:rPr>
          <w:rFonts w:eastAsiaTheme="minorHAnsi"/>
          <w:b/>
          <w:color w:val="000000"/>
          <w:sz w:val="24"/>
          <w:szCs w:val="24"/>
        </w:rPr>
        <w:t xml:space="preserve">e métaphorique </w:t>
      </w:r>
      <w:r w:rsidRPr="0037124D">
        <w:rPr>
          <w:rFonts w:eastAsiaTheme="minorHAnsi"/>
          <w:b/>
          <w:color w:val="000000"/>
          <w:sz w:val="24"/>
          <w:szCs w:val="24"/>
        </w:rPr>
        <w:t>et la capacité à argumenter</w:t>
      </w:r>
    </w:p>
    <w:p w14:paraId="248B9157" w14:textId="77777777" w:rsidR="00D80693" w:rsidRDefault="00D80693" w:rsidP="00735D3E">
      <w:pPr>
        <w:spacing w:before="120"/>
        <w:jc w:val="both"/>
        <w:rPr>
          <w:rFonts w:eastAsia="Calibri"/>
          <w:color w:val="000000"/>
          <w:sz w:val="24"/>
          <w:szCs w:val="24"/>
        </w:rPr>
      </w:pPr>
      <w:r w:rsidRPr="0037124D">
        <w:rPr>
          <w:rFonts w:eastAsiaTheme="minorHAnsi"/>
          <w:color w:val="000000"/>
          <w:sz w:val="24"/>
          <w:szCs w:val="24"/>
        </w:rPr>
        <w:t xml:space="preserve">Ainsi que le montrent les résultats de l’analyse du contenu, il existe un lien </w:t>
      </w:r>
      <w:r>
        <w:rPr>
          <w:rFonts w:eastAsiaTheme="minorHAnsi"/>
          <w:color w:val="000000"/>
          <w:sz w:val="24"/>
          <w:szCs w:val="24"/>
        </w:rPr>
        <w:t xml:space="preserve">étroit </w:t>
      </w:r>
      <w:r w:rsidRPr="0037124D">
        <w:rPr>
          <w:rFonts w:eastAsiaTheme="minorHAnsi"/>
          <w:color w:val="000000"/>
          <w:sz w:val="24"/>
          <w:szCs w:val="24"/>
        </w:rPr>
        <w:t>entre</w:t>
      </w:r>
      <w:r>
        <w:rPr>
          <w:rFonts w:eastAsiaTheme="minorHAnsi"/>
          <w:color w:val="000000"/>
          <w:sz w:val="24"/>
          <w:szCs w:val="24"/>
        </w:rPr>
        <w:t xml:space="preserve"> l’usage des </w:t>
      </w:r>
      <w:r w:rsidRPr="0037124D">
        <w:rPr>
          <w:rFonts w:eastAsiaTheme="minorHAnsi"/>
          <w:color w:val="000000"/>
          <w:sz w:val="24"/>
          <w:szCs w:val="24"/>
        </w:rPr>
        <w:t xml:space="preserve">métaphores (ou langage imagé) dans l’argumentation et la capacité des enfants de la classe de CP de l’école départementale de Melen III à défendre </w:t>
      </w:r>
      <w:r>
        <w:rPr>
          <w:rFonts w:eastAsiaTheme="minorHAnsi"/>
          <w:color w:val="000000"/>
          <w:sz w:val="24"/>
          <w:szCs w:val="24"/>
        </w:rPr>
        <w:t xml:space="preserve">une thèse, que ce soit </w:t>
      </w:r>
      <w:r w:rsidRPr="0037124D">
        <w:rPr>
          <w:rFonts w:eastAsiaTheme="minorHAnsi"/>
          <w:color w:val="000000"/>
          <w:sz w:val="24"/>
          <w:szCs w:val="24"/>
        </w:rPr>
        <w:t xml:space="preserve">par </w:t>
      </w:r>
      <w:r>
        <w:rPr>
          <w:rFonts w:eastAsiaTheme="minorHAnsi"/>
          <w:color w:val="000000"/>
          <w:sz w:val="24"/>
          <w:szCs w:val="24"/>
        </w:rPr>
        <w:t xml:space="preserve">des </w:t>
      </w:r>
      <w:r w:rsidRPr="0037124D">
        <w:rPr>
          <w:rFonts w:eastAsiaTheme="minorHAnsi"/>
          <w:color w:val="000000"/>
          <w:sz w:val="24"/>
          <w:szCs w:val="24"/>
        </w:rPr>
        <w:t>exemple</w:t>
      </w:r>
      <w:r>
        <w:rPr>
          <w:rFonts w:eastAsiaTheme="minorHAnsi"/>
          <w:color w:val="000000"/>
          <w:sz w:val="24"/>
          <w:szCs w:val="24"/>
        </w:rPr>
        <w:t>s</w:t>
      </w:r>
      <w:r w:rsidRPr="0037124D">
        <w:rPr>
          <w:rFonts w:eastAsiaTheme="minorHAnsi"/>
          <w:color w:val="000000"/>
          <w:sz w:val="24"/>
          <w:szCs w:val="24"/>
        </w:rPr>
        <w:t xml:space="preserve"> ou par </w:t>
      </w:r>
      <w:r>
        <w:rPr>
          <w:rFonts w:eastAsiaTheme="minorHAnsi"/>
          <w:color w:val="000000"/>
          <w:sz w:val="24"/>
          <w:szCs w:val="24"/>
        </w:rPr>
        <w:t xml:space="preserve">des </w:t>
      </w:r>
      <w:r w:rsidRPr="0037124D">
        <w:rPr>
          <w:rFonts w:eastAsiaTheme="minorHAnsi"/>
          <w:color w:val="000000"/>
          <w:sz w:val="24"/>
          <w:szCs w:val="24"/>
        </w:rPr>
        <w:t>contre-exemple</w:t>
      </w:r>
      <w:r>
        <w:rPr>
          <w:rFonts w:eastAsiaTheme="minorHAnsi"/>
          <w:color w:val="000000"/>
          <w:sz w:val="24"/>
          <w:szCs w:val="24"/>
        </w:rPr>
        <w:t>s</w:t>
      </w:r>
      <w:r w:rsidRPr="0037124D">
        <w:rPr>
          <w:rFonts w:eastAsiaTheme="minorHAnsi"/>
          <w:color w:val="000000"/>
          <w:sz w:val="24"/>
          <w:szCs w:val="24"/>
        </w:rPr>
        <w:t xml:space="preserve">. </w:t>
      </w:r>
      <w:r>
        <w:rPr>
          <w:rFonts w:eastAsiaTheme="minorHAnsi"/>
          <w:color w:val="000000"/>
          <w:sz w:val="24"/>
          <w:szCs w:val="24"/>
        </w:rPr>
        <w:t xml:space="preserve">En tant que </w:t>
      </w:r>
      <w:r w:rsidRPr="0037124D">
        <w:rPr>
          <w:rFonts w:eastAsiaTheme="minorHAnsi"/>
          <w:color w:val="000000"/>
          <w:sz w:val="24"/>
          <w:szCs w:val="24"/>
        </w:rPr>
        <w:t xml:space="preserve">fonctionnalité dérivée de l’image, </w:t>
      </w:r>
      <w:r>
        <w:rPr>
          <w:rFonts w:eastAsiaTheme="minorHAnsi"/>
          <w:color w:val="000000"/>
          <w:sz w:val="24"/>
          <w:szCs w:val="24"/>
        </w:rPr>
        <w:t xml:space="preserve">la métaphore représente, selon </w:t>
      </w:r>
      <w:r w:rsidRPr="0037124D">
        <w:rPr>
          <w:rFonts w:eastAsiaTheme="minorHAnsi"/>
          <w:color w:val="000000"/>
          <w:sz w:val="24"/>
          <w:szCs w:val="24"/>
        </w:rPr>
        <w:t>Ricœur (1975)</w:t>
      </w:r>
      <w:r>
        <w:rPr>
          <w:rFonts w:eastAsiaTheme="minorHAnsi"/>
          <w:color w:val="000000"/>
          <w:sz w:val="24"/>
          <w:szCs w:val="24"/>
        </w:rPr>
        <w:t xml:space="preserve">, une forme de raisonnement analogique qui soutient la pensée en lui permettant de se redire autrement. Elle constitue un détour nécessaire par l’imaginaire pour atteindre la compréhension conceptuelle. </w:t>
      </w:r>
    </w:p>
    <w:p w14:paraId="195378EB" w14:textId="77777777" w:rsidR="00D80693" w:rsidRPr="00577E51" w:rsidRDefault="00D80693" w:rsidP="00735D3E">
      <w:pPr>
        <w:spacing w:before="120"/>
        <w:jc w:val="both"/>
        <w:rPr>
          <w:rFonts w:eastAsia="Calibri"/>
          <w:color w:val="000000"/>
          <w:sz w:val="24"/>
          <w:szCs w:val="24"/>
        </w:rPr>
      </w:pPr>
      <w:r w:rsidRPr="00577E51">
        <w:rPr>
          <w:rFonts w:eastAsiaTheme="minorHAnsi"/>
          <w:color w:val="000000"/>
          <w:sz w:val="24"/>
          <w:szCs w:val="24"/>
        </w:rPr>
        <w:t xml:space="preserve">Dans cette perspective, l’analogie métaphorique joue un rôle essentiel dans le développement de la pensée réflexive : elle aide l’enfant à illustrer et à structurer ses arguments en traduisant une idée abstraite par une image concrète. En formulant une métaphore, l’élève ne se contente pas de répéter une opinion ; il mobilise une logique analogique pour construire et justifier un point de vue. Cette opération cognitive, bien que spontanée chez l’enfant, relève d’une activité intellectuelle complexe, proche de celle que les philosophes utilisent pour communiquer leur pensée. </w:t>
      </w:r>
      <w:proofErr w:type="spellStart"/>
      <w:r w:rsidRPr="00577E51">
        <w:rPr>
          <w:rFonts w:eastAsiaTheme="minorHAnsi"/>
          <w:color w:val="000000"/>
          <w:sz w:val="24"/>
          <w:szCs w:val="24"/>
        </w:rPr>
        <w:t>Chirouter</w:t>
      </w:r>
      <w:proofErr w:type="spellEnd"/>
      <w:r w:rsidRPr="00577E51">
        <w:rPr>
          <w:rFonts w:eastAsiaTheme="minorHAnsi"/>
          <w:color w:val="000000"/>
          <w:sz w:val="24"/>
          <w:szCs w:val="24"/>
        </w:rPr>
        <w:t xml:space="preserve"> (2015) souligne également cette fonction expressive et heuristique de la métaphore : « </w:t>
      </w:r>
      <w:r w:rsidRPr="00577E51">
        <w:rPr>
          <w:rFonts w:eastAsiaTheme="minorHAnsi"/>
          <w:i/>
          <w:color w:val="000000"/>
          <w:sz w:val="24"/>
          <w:szCs w:val="24"/>
        </w:rPr>
        <w:t>la philosophie a donc toujours été non seulement une écriture mais a toujours fait usage, pour se faire comprendre et pour penser, des images, de la métaphore, de la sensibilité, du lyrisme, du narratif ou du récit autobiographique</w:t>
      </w:r>
      <w:r w:rsidRPr="00577E51">
        <w:rPr>
          <w:rFonts w:eastAsiaTheme="minorHAnsi"/>
          <w:color w:val="000000"/>
          <w:sz w:val="24"/>
          <w:szCs w:val="24"/>
        </w:rPr>
        <w:t> » (p. 77)</w:t>
      </w:r>
      <w:r w:rsidRPr="00577E51">
        <w:rPr>
          <w:rFonts w:eastAsiaTheme="minorHAnsi"/>
          <w:i/>
          <w:color w:val="000000"/>
          <w:sz w:val="24"/>
          <w:szCs w:val="24"/>
        </w:rPr>
        <w:t>.</w:t>
      </w:r>
      <w:r w:rsidRPr="00577E51">
        <w:rPr>
          <w:rFonts w:eastAsiaTheme="minorHAnsi"/>
          <w:color w:val="000000"/>
          <w:sz w:val="24"/>
          <w:szCs w:val="24"/>
        </w:rPr>
        <w:t xml:space="preserve"> Ainsi, le recours aux analogies métaphoriques permet à l’enfant d’entrer dans une tradition de la pensée où le langage figuré devient un outil de raisonnement. </w:t>
      </w:r>
    </w:p>
    <w:p w14:paraId="32529FB2" w14:textId="77777777" w:rsidR="00D80693" w:rsidRPr="00A82FBB" w:rsidRDefault="00D80693" w:rsidP="00735D3E">
      <w:pPr>
        <w:spacing w:before="120"/>
        <w:jc w:val="both"/>
        <w:rPr>
          <w:rFonts w:ascii="TimesNewRomanPSMT" w:eastAsia="Calibri" w:hAnsi="TimesNewRomanPSMT"/>
          <w:color w:val="000000"/>
        </w:rPr>
      </w:pPr>
      <w:r w:rsidRPr="00577E51">
        <w:rPr>
          <w:rFonts w:eastAsiaTheme="minorHAnsi"/>
          <w:color w:val="000000"/>
          <w:sz w:val="24"/>
          <w:szCs w:val="24"/>
        </w:rPr>
        <w:t>Les données recueillis au sein du groupe expérimental montrent que les élèves ayant participé aux atelie</w:t>
      </w:r>
      <w:r>
        <w:rPr>
          <w:rFonts w:eastAsiaTheme="minorHAnsi"/>
          <w:color w:val="000000"/>
          <w:sz w:val="24"/>
          <w:szCs w:val="24"/>
        </w:rPr>
        <w:t>rs</w:t>
      </w:r>
      <w:r w:rsidRPr="00577E51">
        <w:rPr>
          <w:rFonts w:eastAsiaTheme="minorHAnsi"/>
          <w:color w:val="000000"/>
          <w:sz w:val="24"/>
          <w:szCs w:val="24"/>
        </w:rPr>
        <w:t xml:space="preserve"> ont progressivement intégré cette dimens</w:t>
      </w:r>
      <w:r>
        <w:rPr>
          <w:rFonts w:eastAsiaTheme="minorHAnsi"/>
          <w:color w:val="000000"/>
          <w:sz w:val="24"/>
          <w:szCs w:val="24"/>
        </w:rPr>
        <w:t>ion symbolique du langage</w:t>
      </w:r>
      <w:r w:rsidRPr="00577E51">
        <w:rPr>
          <w:rFonts w:eastAsiaTheme="minorHAnsi"/>
          <w:color w:val="000000"/>
          <w:sz w:val="24"/>
          <w:szCs w:val="24"/>
        </w:rPr>
        <w:t>. Cette évolution témoigne d’un effort cognitif continu, marqué par la capacité à relier image et concept, imagination et logique. Ainsi, la</w:t>
      </w:r>
      <w:r>
        <w:rPr>
          <w:rFonts w:ascii="TimesNewRomanPSMT" w:eastAsiaTheme="minorHAnsi" w:hAnsi="TimesNewRomanPSMT" w:cstheme="minorBidi"/>
          <w:color w:val="000000"/>
        </w:rPr>
        <w:t xml:space="preserve"> corrélation métaphorique apparaît comme un instrument d’émancipation intellectuelle : elle permet à l’enfant de penser en images, mais aussi avec rigueur, en mobilisant l’analogie comme outil de compréhension du monde. </w:t>
      </w:r>
    </w:p>
    <w:p w14:paraId="26C53EB7" w14:textId="77777777" w:rsidR="00D80693" w:rsidRPr="007F1D32" w:rsidRDefault="00D80693" w:rsidP="00735D3E">
      <w:pPr>
        <w:pStyle w:val="Paragraphedeliste"/>
        <w:widowControl/>
        <w:numPr>
          <w:ilvl w:val="1"/>
          <w:numId w:val="195"/>
        </w:numPr>
        <w:autoSpaceDE/>
        <w:autoSpaceDN/>
        <w:spacing w:after="160"/>
        <w:rPr>
          <w:rFonts w:eastAsia="Calibri"/>
          <w:b/>
          <w:color w:val="000000"/>
          <w:sz w:val="24"/>
          <w:szCs w:val="24"/>
        </w:rPr>
      </w:pPr>
      <w:r>
        <w:rPr>
          <w:rFonts w:eastAsia="Calibri"/>
          <w:b/>
          <w:color w:val="000000"/>
          <w:sz w:val="24"/>
          <w:szCs w:val="24"/>
        </w:rPr>
        <w:t xml:space="preserve"> </w:t>
      </w:r>
      <w:r w:rsidRPr="007F1D32">
        <w:rPr>
          <w:rFonts w:eastAsiaTheme="minorHAnsi"/>
          <w:b/>
          <w:color w:val="000000"/>
          <w:sz w:val="24"/>
          <w:szCs w:val="24"/>
        </w:rPr>
        <w:t>Analyse de la fonction référenti</w:t>
      </w:r>
      <w:r>
        <w:rPr>
          <w:rFonts w:eastAsiaTheme="minorHAnsi"/>
          <w:b/>
          <w:color w:val="000000"/>
          <w:sz w:val="24"/>
          <w:szCs w:val="24"/>
        </w:rPr>
        <w:t xml:space="preserve">elle et la capacité d’interpréter </w:t>
      </w:r>
    </w:p>
    <w:p w14:paraId="7803BE28" w14:textId="77777777" w:rsidR="00D80693" w:rsidRDefault="00D80693" w:rsidP="00735D3E">
      <w:pPr>
        <w:spacing w:before="120"/>
        <w:jc w:val="both"/>
        <w:rPr>
          <w:rFonts w:eastAsia="Calibri"/>
          <w:color w:val="000000"/>
          <w:sz w:val="24"/>
          <w:szCs w:val="24"/>
        </w:rPr>
      </w:pPr>
      <w:r w:rsidRPr="00D00A31">
        <w:rPr>
          <w:rFonts w:eastAsiaTheme="minorHAnsi"/>
          <w:color w:val="000000"/>
          <w:sz w:val="24"/>
          <w:szCs w:val="24"/>
        </w:rPr>
        <w:t xml:space="preserve">Ainsi qu’il ressort des résultats de l’analyse du contenu, il existe un lien entre la fonction référentielle ou </w:t>
      </w:r>
      <w:r>
        <w:rPr>
          <w:rFonts w:eastAsiaTheme="minorHAnsi"/>
          <w:color w:val="000000"/>
          <w:sz w:val="24"/>
          <w:szCs w:val="24"/>
        </w:rPr>
        <w:t xml:space="preserve">fonction </w:t>
      </w:r>
      <w:r w:rsidRPr="00D00A31">
        <w:rPr>
          <w:rFonts w:eastAsiaTheme="minorHAnsi"/>
          <w:color w:val="000000"/>
          <w:sz w:val="24"/>
          <w:szCs w:val="24"/>
        </w:rPr>
        <w:t xml:space="preserve">de médiation de l’image et la capacité des enfants de la classe de CP de l’école départementale de Melen III à mener un débat interprétatif. </w:t>
      </w:r>
      <w:r>
        <w:rPr>
          <w:rFonts w:eastAsiaTheme="minorHAnsi"/>
          <w:color w:val="000000"/>
          <w:sz w:val="24"/>
          <w:szCs w:val="24"/>
        </w:rPr>
        <w:t xml:space="preserve">Cette corrélation confirme que l’image, au-delà de son aspect esthétique, agit comme un outil didactique de médiation favorisant la compréhension, l’analyse et la discussion d’idées complexes. </w:t>
      </w:r>
    </w:p>
    <w:p w14:paraId="42A2EFE7" w14:textId="77777777" w:rsidR="00D80693" w:rsidRPr="001878B4" w:rsidRDefault="00D80693" w:rsidP="00735D3E">
      <w:pPr>
        <w:spacing w:before="120"/>
        <w:jc w:val="both"/>
        <w:rPr>
          <w:rFonts w:eastAsia="Calibri"/>
          <w:color w:val="000000"/>
          <w:sz w:val="24"/>
          <w:szCs w:val="24"/>
        </w:rPr>
      </w:pPr>
      <w:r>
        <w:rPr>
          <w:rFonts w:eastAsiaTheme="minorHAnsi"/>
          <w:color w:val="000000"/>
          <w:sz w:val="24"/>
          <w:szCs w:val="24"/>
        </w:rPr>
        <w:t xml:space="preserve">Selon </w:t>
      </w:r>
      <w:proofErr w:type="spellStart"/>
      <w:r>
        <w:rPr>
          <w:rFonts w:eastAsiaTheme="minorHAnsi"/>
          <w:color w:val="000000"/>
          <w:sz w:val="24"/>
          <w:szCs w:val="24"/>
        </w:rPr>
        <w:t>Chirouter</w:t>
      </w:r>
      <w:proofErr w:type="spellEnd"/>
      <w:r>
        <w:rPr>
          <w:rFonts w:eastAsiaTheme="minorHAnsi"/>
          <w:color w:val="000000"/>
          <w:sz w:val="24"/>
          <w:szCs w:val="24"/>
        </w:rPr>
        <w:t xml:space="preserve"> (2015, p. 103), le texte de littérature de jeunesse constitue déjà un support de médiation particulièrement fécond pour introduire les enfants à la réflexion philosophique. Dans cette même logique, l'image (fixe ou animée) apparaît comme un instrument tout aussi pertinent, capable de soutenir le débat réflexif et interprétatif. En donnant à voir ce qui ne se montre pas de manière immédiate, l’image permet d’accéder à la substance implicite du concept et d’en explorer les significations cachées. Comme le rappelle </w:t>
      </w:r>
      <w:proofErr w:type="spellStart"/>
      <w:r>
        <w:rPr>
          <w:rFonts w:eastAsiaTheme="minorHAnsi"/>
          <w:sz w:val="24"/>
          <w:szCs w:val="24"/>
        </w:rPr>
        <w:t>Chirouter</w:t>
      </w:r>
      <w:proofErr w:type="spellEnd"/>
      <w:r>
        <w:rPr>
          <w:rFonts w:eastAsiaTheme="minorHAnsi"/>
          <w:sz w:val="24"/>
          <w:szCs w:val="24"/>
        </w:rPr>
        <w:t xml:space="preserve"> (</w:t>
      </w:r>
      <w:r w:rsidRPr="00D00A31">
        <w:rPr>
          <w:rFonts w:eastAsiaTheme="minorHAnsi"/>
          <w:sz w:val="24"/>
          <w:szCs w:val="24"/>
        </w:rPr>
        <w:t>2022)</w:t>
      </w:r>
      <w:r>
        <w:rPr>
          <w:rFonts w:eastAsiaTheme="minorHAnsi"/>
          <w:sz w:val="24"/>
          <w:szCs w:val="24"/>
        </w:rPr>
        <w:t xml:space="preserve">, l’enfant évolue à la frontière de deux mondes : celui de l’imaginaire, qui lui offre une expérience symbolique du réel, et celui de la philosophie, dont les savoirs abstraits demeurent souvent inaccessibles aux jeunes esprits. Dans cette tension, l’image joue un rôle de médiation cognitive et culturelle : elle fait le pont entre les représentations imaginaires de l’enfant et les notions philosophiques que l’on cherche à lui faire découvrir. Ce processus de médiation favorise la décentration intellectuelle. L’enfant apprend à quitter la fascination du monde imaginaire pour se tourner vers la réalité pensée et interprétée, représentée par les images du </w:t>
      </w:r>
      <w:proofErr w:type="spellStart"/>
      <w:r>
        <w:rPr>
          <w:rFonts w:eastAsiaTheme="minorHAnsi"/>
          <w:sz w:val="24"/>
          <w:szCs w:val="24"/>
        </w:rPr>
        <w:t>photo-langage</w:t>
      </w:r>
      <w:proofErr w:type="spellEnd"/>
      <w:r>
        <w:rPr>
          <w:rFonts w:eastAsiaTheme="minorHAnsi"/>
          <w:sz w:val="24"/>
          <w:szCs w:val="24"/>
        </w:rPr>
        <w:t xml:space="preserve">. </w:t>
      </w:r>
    </w:p>
    <w:p w14:paraId="7FDA55FE" w14:textId="77777777" w:rsidR="00D80693" w:rsidRPr="00A82FBB" w:rsidRDefault="00D80693" w:rsidP="00735D3E">
      <w:pPr>
        <w:spacing w:before="120"/>
        <w:jc w:val="both"/>
        <w:rPr>
          <w:rFonts w:eastAsia="Calibri"/>
          <w:sz w:val="24"/>
          <w:szCs w:val="24"/>
        </w:rPr>
      </w:pPr>
      <w:r>
        <w:rPr>
          <w:rFonts w:eastAsiaTheme="minorHAnsi"/>
          <w:sz w:val="24"/>
          <w:szCs w:val="24"/>
        </w:rPr>
        <w:t xml:space="preserve">Les résultats du groupe expérimental confirment cette dynamique : les enfants ayant participé aux pratiques d’ARPD manifestent une pensée interprétative plus approfondie. D’une part, on note que le groupe témoin reste dans la forte inclinaison de la mémorisation, récitation et recherche de la bonne réponse. D’autre part, on note que le groupe expérimental, contrairement au groupe témoin, est capable de débats réflexifs où ils se révèlent des réactions ontologiques, signes d’un véritable passage de la simple perception à la réflexion sur l’être et le sens. Ainsi, la fonction référentielle ou de médiation de l’image apparaît comme un vecteur essentiel du débat interprétatif. En articulant imaginaire et raisonnement, elle permet aux enfants de ce groupe d’accéder à une compréhension plus fine du monde et d’exercer une pensée critique fondée sur la symbolisation et le dialogue.  </w:t>
      </w:r>
    </w:p>
    <w:p w14:paraId="7621F2BF" w14:textId="77777777" w:rsidR="00D80693" w:rsidRPr="003330F3" w:rsidRDefault="00D80693" w:rsidP="00735D3E">
      <w:pPr>
        <w:spacing w:before="120"/>
        <w:rPr>
          <w:rFonts w:eastAsia="Calibri"/>
          <w:b/>
          <w:color w:val="000000"/>
          <w:sz w:val="24"/>
          <w:szCs w:val="24"/>
        </w:rPr>
      </w:pPr>
      <w:r w:rsidRPr="00155566">
        <w:rPr>
          <w:rFonts w:eastAsia="Calibri"/>
          <w:b/>
          <w:color w:val="000000"/>
          <w:sz w:val="28"/>
          <w:szCs w:val="24"/>
        </w:rPr>
        <w:t>Conclusion</w:t>
      </w:r>
    </w:p>
    <w:p w14:paraId="0F6A84CC" w14:textId="77777777" w:rsidR="00D80693" w:rsidRDefault="00D80693" w:rsidP="00735D3E">
      <w:pPr>
        <w:spacing w:before="120"/>
        <w:jc w:val="both"/>
        <w:rPr>
          <w:rFonts w:eastAsia="Calibri"/>
          <w:color w:val="000000"/>
          <w:sz w:val="24"/>
          <w:szCs w:val="24"/>
        </w:rPr>
      </w:pPr>
      <w:r>
        <w:rPr>
          <w:rFonts w:eastAsia="Calibri"/>
          <w:color w:val="000000"/>
          <w:sz w:val="24"/>
          <w:szCs w:val="24"/>
        </w:rPr>
        <w:t xml:space="preserve">Au terme de cette recherche, l’expérimentation du dispositif </w:t>
      </w:r>
      <w:proofErr w:type="spellStart"/>
      <w:r>
        <w:rPr>
          <w:rFonts w:eastAsia="Calibri"/>
          <w:i/>
          <w:color w:val="000000"/>
          <w:sz w:val="24"/>
          <w:szCs w:val="24"/>
        </w:rPr>
        <w:t>ludo</w:t>
      </w:r>
      <w:proofErr w:type="spellEnd"/>
      <w:r>
        <w:rPr>
          <w:rFonts w:eastAsia="Calibri"/>
          <w:i/>
          <w:color w:val="000000"/>
          <w:sz w:val="24"/>
          <w:szCs w:val="24"/>
        </w:rPr>
        <w:t>-philosopher</w:t>
      </w:r>
      <w:r>
        <w:rPr>
          <w:rFonts w:eastAsia="Calibri"/>
          <w:color w:val="000000"/>
          <w:sz w:val="24"/>
          <w:szCs w:val="24"/>
        </w:rPr>
        <w:t xml:space="preserve"> en ARPD confirme la pertinence d’une initiation philosophique dès la jeune enfance par l’image</w:t>
      </w:r>
      <w:r w:rsidRPr="004E4DD4">
        <w:rPr>
          <w:rFonts w:eastAsia="Calibri"/>
          <w:color w:val="000000"/>
          <w:sz w:val="24"/>
          <w:szCs w:val="24"/>
        </w:rPr>
        <w:t>.</w:t>
      </w:r>
      <w:r>
        <w:rPr>
          <w:rFonts w:eastAsia="Calibri"/>
          <w:color w:val="000000"/>
          <w:sz w:val="24"/>
          <w:szCs w:val="24"/>
        </w:rPr>
        <w:t xml:space="preserve"> Loin d’être une simple activité ludique, cette approche constitue un outil didactique structurant qui articule jeu, réflexion et langage au service de la formation citoyenne. Les résultats obtenus dans la classe de CP à l’école départementale de Yaoundé montrent que l’enfant, même à un âge précoce, est capable de philosopher pour développer des habiletés structurelles de la pensée réflexive (problématiser, conceptualiser, argumenter et interpréter) dès lors qu’il est placé dans un cadre d’échange régulé et stimulant. </w:t>
      </w:r>
    </w:p>
    <w:p w14:paraId="04753FE2" w14:textId="77777777" w:rsidR="00D80693" w:rsidRDefault="00D80693" w:rsidP="00735D3E">
      <w:pPr>
        <w:spacing w:before="120"/>
        <w:jc w:val="both"/>
        <w:rPr>
          <w:rFonts w:eastAsia="Calibri"/>
          <w:color w:val="000000"/>
          <w:sz w:val="24"/>
          <w:szCs w:val="24"/>
        </w:rPr>
      </w:pPr>
      <w:r>
        <w:rPr>
          <w:rFonts w:eastAsia="Calibri"/>
          <w:color w:val="000000"/>
          <w:sz w:val="24"/>
          <w:szCs w:val="24"/>
        </w:rPr>
        <w:t>La médiation imagée agit ici comme un levier cognitif et éthique : elle permet à l’élève de passer du regard à la pensée, de l’observation à la formulation d’idées, et de former progressivement un système de valeurs. Elle donne ainsi un sens concret à la formation d’une citoyenneté réflexive, en reliant le développement intellectuel à l’apprentissage du vivre-ensemble où chaque individu participe activement et de manière réflexive à la transformation sociale. Sur le plan didactique, cette expérience met en lumière la nécessité de repenser la posture de l’enseignant comme médiateur du sens plutôt que simple transmetteur. Former les enseignants à ces pratiques suppose une évolution curriculaire qui intègre la philosophie avec les enfants et la réflexion à l’aide de l’image dans les programmes d’éducation civique et morale.</w:t>
      </w:r>
    </w:p>
    <w:p w14:paraId="2120764E" w14:textId="77777777" w:rsidR="00D80693" w:rsidRDefault="00D80693" w:rsidP="00735D3E">
      <w:pPr>
        <w:spacing w:before="120"/>
        <w:jc w:val="both"/>
        <w:rPr>
          <w:rFonts w:eastAsia="Calibri"/>
          <w:color w:val="000000"/>
          <w:sz w:val="24"/>
          <w:szCs w:val="24"/>
        </w:rPr>
      </w:pPr>
      <w:r>
        <w:rPr>
          <w:rFonts w:eastAsia="Calibri"/>
          <w:color w:val="000000"/>
          <w:sz w:val="24"/>
          <w:szCs w:val="24"/>
        </w:rPr>
        <w:t xml:space="preserve">En définitive, l’atelier de réflexion philosophique et démocratique (ARPD) à partir de l’image apparaît comme une voie innovante pour renforcer la formation à la citoyenneté au Cameroun. Il ouvre un champ de recherche prometteur sur la manière dont la pensée réflexive peut être cultivée dès les premières classes du primaire, afin de bâtir une école plus critique, plus dialogique et plus humaine : une école comme oasis de pensée. </w:t>
      </w:r>
    </w:p>
    <w:p w14:paraId="75674076" w14:textId="77777777" w:rsidR="00D80693" w:rsidRDefault="00D80693" w:rsidP="00735D3E">
      <w:pPr>
        <w:pStyle w:val="Paragraphedeliste"/>
        <w:ind w:left="360"/>
        <w:rPr>
          <w:rFonts w:eastAsia="Calibri"/>
          <w:b/>
          <w:color w:val="000000"/>
          <w:sz w:val="24"/>
          <w:szCs w:val="24"/>
        </w:rPr>
      </w:pPr>
      <w:bookmarkStart w:id="352" w:name="_Hlk214307704"/>
      <w:r>
        <w:rPr>
          <w:rFonts w:eastAsia="Calibri"/>
          <w:b/>
          <w:color w:val="000000"/>
          <w:sz w:val="24"/>
          <w:szCs w:val="24"/>
        </w:rPr>
        <w:t xml:space="preserve">Références bibliographiques </w:t>
      </w:r>
    </w:p>
    <w:bookmarkEnd w:id="352"/>
    <w:p w14:paraId="1520DC91"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 xml:space="preserve">Artigue, M. (1988). Ingénierie didactique. </w:t>
      </w:r>
      <w:r w:rsidRPr="004C6280">
        <w:rPr>
          <w:rFonts w:eastAsia="Calibri"/>
          <w:i/>
          <w:iCs/>
          <w:sz w:val="24"/>
          <w:szCs w:val="24"/>
        </w:rPr>
        <w:t>Recherche en Didactique des Mathématiques</w:t>
      </w:r>
      <w:r w:rsidRPr="004C6280">
        <w:rPr>
          <w:rFonts w:eastAsia="Calibri"/>
          <w:sz w:val="24"/>
          <w:szCs w:val="24"/>
        </w:rPr>
        <w:t xml:space="preserve">, </w:t>
      </w:r>
      <w:r w:rsidRPr="004C6280">
        <w:rPr>
          <w:rFonts w:eastAsia="Calibri"/>
          <w:i/>
          <w:iCs/>
          <w:sz w:val="24"/>
          <w:szCs w:val="24"/>
        </w:rPr>
        <w:t xml:space="preserve">9 </w:t>
      </w:r>
      <w:r w:rsidRPr="004C6280">
        <w:rPr>
          <w:rFonts w:eastAsia="Calibri"/>
          <w:sz w:val="24"/>
          <w:szCs w:val="24"/>
        </w:rPr>
        <w:t xml:space="preserve">(3), 281- 308. </w:t>
      </w:r>
      <w:hyperlink r:id="rId164" w:history="1">
        <w:r w:rsidRPr="004C6280">
          <w:rPr>
            <w:rFonts w:eastAsia="Calibri"/>
            <w:color w:val="0563C1"/>
            <w:sz w:val="24"/>
            <w:szCs w:val="24"/>
            <w:u w:val="single"/>
          </w:rPr>
          <w:t>https://revue-rdm.com/1988/ingenierie-didactique-2/</w:t>
        </w:r>
      </w:hyperlink>
      <w:r w:rsidRPr="004C6280">
        <w:rPr>
          <w:rFonts w:eastAsia="Calibri"/>
          <w:sz w:val="24"/>
          <w:szCs w:val="24"/>
        </w:rPr>
        <w:t>.</w:t>
      </w:r>
    </w:p>
    <w:p w14:paraId="28BA5728"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Calibri"/>
          <w:sz w:val="24"/>
          <w:szCs w:val="24"/>
        </w:rPr>
        <w:t>Chirouter</w:t>
      </w:r>
      <w:proofErr w:type="spellEnd"/>
      <w:r w:rsidRPr="004C6280">
        <w:rPr>
          <w:rFonts w:eastAsia="Calibri"/>
          <w:sz w:val="24"/>
          <w:szCs w:val="24"/>
        </w:rPr>
        <w:t xml:space="preserve">, E. (2007). </w:t>
      </w:r>
      <w:r w:rsidRPr="004C6280">
        <w:rPr>
          <w:rFonts w:eastAsia="Calibri"/>
          <w:i/>
          <w:sz w:val="24"/>
          <w:szCs w:val="24"/>
        </w:rPr>
        <w:t>Lire, réfléchir et débattre à l’école élémentaire</w:t>
      </w:r>
      <w:r w:rsidRPr="004C6280">
        <w:rPr>
          <w:rFonts w:eastAsia="Calibri"/>
          <w:sz w:val="24"/>
          <w:szCs w:val="24"/>
        </w:rPr>
        <w:t xml:space="preserve">. Hachette-Education. </w:t>
      </w:r>
    </w:p>
    <w:p w14:paraId="0FAE6104"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Theme="minorHAnsi"/>
          <w:sz w:val="24"/>
          <w:szCs w:val="24"/>
        </w:rPr>
        <w:t>Chirouter</w:t>
      </w:r>
      <w:proofErr w:type="spellEnd"/>
      <w:r w:rsidRPr="004C6280">
        <w:rPr>
          <w:rFonts w:eastAsiaTheme="minorHAnsi"/>
          <w:sz w:val="24"/>
          <w:szCs w:val="24"/>
        </w:rPr>
        <w:t>, E. (2008). À quoi pense la littérature de jeunesse ? Portée philosophique de la littérature et pratiques à visée philosophique au cycle 3 de l’école élémentaire [Thèse de Doctorat en Sciences de l’éducation, Université de Montpellier IIII].</w:t>
      </w:r>
    </w:p>
    <w:p w14:paraId="2FCC94DF"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Theme="minorHAnsi"/>
          <w:sz w:val="24"/>
          <w:szCs w:val="24"/>
        </w:rPr>
        <w:t>Chirouter</w:t>
      </w:r>
      <w:proofErr w:type="spellEnd"/>
      <w:r w:rsidRPr="004C6280">
        <w:rPr>
          <w:rFonts w:eastAsiaTheme="minorHAnsi"/>
          <w:sz w:val="24"/>
          <w:szCs w:val="24"/>
        </w:rPr>
        <w:t xml:space="preserve">, E. (2011). </w:t>
      </w:r>
      <w:r w:rsidRPr="004C6280">
        <w:rPr>
          <w:rFonts w:eastAsiaTheme="minorHAnsi"/>
          <w:i/>
          <w:sz w:val="24"/>
          <w:szCs w:val="24"/>
        </w:rPr>
        <w:t>Aborder la philosophie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philosophie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en classe à partir d’album jeunesse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jeunesse</w:instrText>
      </w:r>
      <w:r w:rsidRPr="004C6280">
        <w:rPr>
          <w:rFonts w:eastAsiaTheme="minorHAnsi"/>
          <w:sz w:val="24"/>
          <w:szCs w:val="24"/>
        </w:rPr>
        <w:instrText xml:space="preserve">" </w:instrText>
      </w:r>
      <w:r>
        <w:rPr>
          <w:i/>
          <w:sz w:val="24"/>
          <w:szCs w:val="24"/>
        </w:rPr>
        <w:fldChar w:fldCharType="end"/>
      </w:r>
      <w:r w:rsidRPr="004C6280">
        <w:rPr>
          <w:rFonts w:eastAsiaTheme="minorHAnsi"/>
          <w:sz w:val="24"/>
          <w:szCs w:val="24"/>
        </w:rPr>
        <w:t>. Hachette-Education.</w:t>
      </w:r>
    </w:p>
    <w:p w14:paraId="5677EE40"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Calibri"/>
          <w:sz w:val="24"/>
          <w:szCs w:val="24"/>
        </w:rPr>
        <w:t>Chirouter</w:t>
      </w:r>
      <w:proofErr w:type="spellEnd"/>
      <w:r w:rsidRPr="004C6280">
        <w:rPr>
          <w:rFonts w:eastAsia="Calibri"/>
          <w:sz w:val="24"/>
          <w:szCs w:val="24"/>
        </w:rPr>
        <w:t xml:space="preserve">, E. (2015). </w:t>
      </w:r>
      <w:r w:rsidRPr="004C6280">
        <w:rPr>
          <w:rFonts w:eastAsia="Calibri"/>
          <w:i/>
          <w:sz w:val="24"/>
          <w:szCs w:val="24"/>
        </w:rPr>
        <w:t>L’enfant, la littérature et la philosophie</w:t>
      </w:r>
      <w:r w:rsidRPr="004C6280">
        <w:rPr>
          <w:rFonts w:eastAsia="Calibri"/>
          <w:sz w:val="24"/>
          <w:szCs w:val="24"/>
        </w:rPr>
        <w:t xml:space="preserve">. L’Harmattan. </w:t>
      </w:r>
    </w:p>
    <w:p w14:paraId="51FBF2C7"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Theme="minorHAnsi"/>
          <w:sz w:val="24"/>
          <w:szCs w:val="24"/>
        </w:rPr>
        <w:t>Chirouter</w:t>
      </w:r>
      <w:proofErr w:type="spellEnd"/>
      <w:r w:rsidRPr="004C6280">
        <w:rPr>
          <w:rFonts w:eastAsiaTheme="minorHAnsi"/>
          <w:sz w:val="24"/>
          <w:szCs w:val="24"/>
        </w:rPr>
        <w:t>, E. (2016). Ateliers de philosophie à partir d’albums de jeunesse. Enseignement moral et civique et littérature de jeunesse. Hachette Éducation.</w:t>
      </w:r>
    </w:p>
    <w:p w14:paraId="499D9ADA"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Calibri"/>
          <w:sz w:val="24"/>
          <w:szCs w:val="24"/>
        </w:rPr>
        <w:t>Chirouter</w:t>
      </w:r>
      <w:proofErr w:type="spellEnd"/>
      <w:r w:rsidRPr="004C6280">
        <w:rPr>
          <w:rFonts w:eastAsia="Calibri"/>
          <w:sz w:val="24"/>
          <w:szCs w:val="24"/>
        </w:rPr>
        <w:t xml:space="preserve">, E. (2022). </w:t>
      </w:r>
      <w:r w:rsidRPr="004C6280">
        <w:rPr>
          <w:rFonts w:eastAsia="Calibri"/>
          <w:i/>
          <w:sz w:val="24"/>
          <w:szCs w:val="24"/>
        </w:rPr>
        <w:t>Nouveaux ateliers de philosophie à partir d’albums et autres fictions</w:t>
      </w:r>
      <w:r w:rsidRPr="004C6280">
        <w:rPr>
          <w:rFonts w:eastAsia="Calibri"/>
          <w:sz w:val="24"/>
          <w:szCs w:val="24"/>
        </w:rPr>
        <w:t>. Hachette.</w:t>
      </w:r>
    </w:p>
    <w:p w14:paraId="3E4A7FE0"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Theme="minorHAnsi"/>
          <w:sz w:val="24"/>
          <w:szCs w:val="24"/>
        </w:rPr>
        <w:t>Chirouter</w:t>
      </w:r>
      <w:proofErr w:type="spellEnd"/>
      <w:r w:rsidRPr="004C6280">
        <w:rPr>
          <w:rFonts w:eastAsiaTheme="minorHAnsi"/>
          <w:sz w:val="24"/>
          <w:szCs w:val="24"/>
        </w:rPr>
        <w:t xml:space="preserve">, E. (2024, 02 avril). Un an d’atelier philo en grande section. L’école des lettres. </w:t>
      </w:r>
      <w:hyperlink r:id="rId165" w:history="1">
        <w:r w:rsidRPr="004C6280">
          <w:rPr>
            <w:rFonts w:eastAsiaTheme="minorHAnsi"/>
            <w:color w:val="0563C1"/>
            <w:sz w:val="24"/>
            <w:szCs w:val="24"/>
            <w:u w:val="single"/>
          </w:rPr>
          <w:t>https://www.ecoledeslettres.fr/philosophie-chronique-n-8-un-an-dateliers-philo-engrande-section/</w:t>
        </w:r>
      </w:hyperlink>
      <w:r w:rsidRPr="004C6280">
        <w:rPr>
          <w:rFonts w:eastAsiaTheme="minorHAnsi"/>
          <w:sz w:val="24"/>
          <w:szCs w:val="24"/>
        </w:rPr>
        <w:t xml:space="preserve">. </w:t>
      </w:r>
    </w:p>
    <w:p w14:paraId="4B1896AE" w14:textId="77777777" w:rsidR="00D80693" w:rsidRPr="004C6280" w:rsidRDefault="00D80693" w:rsidP="00735D3E">
      <w:pPr>
        <w:spacing w:before="120"/>
        <w:ind w:left="1134" w:hanging="1134"/>
        <w:rPr>
          <w:rFonts w:eastAsia="Calibri"/>
          <w:sz w:val="24"/>
          <w:szCs w:val="24"/>
        </w:rPr>
      </w:pPr>
      <w:r w:rsidRPr="004C6280">
        <w:rPr>
          <w:rFonts w:eastAsiaTheme="minorHAnsi"/>
          <w:sz w:val="24"/>
          <w:szCs w:val="24"/>
        </w:rPr>
        <w:t>CMP. (2024). Des peuples exclus de la philosophie : enfants, femmes, classes populaires, non géomètres. UNESCO.</w:t>
      </w:r>
    </w:p>
    <w:p w14:paraId="0959770B"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Comte-</w:t>
      </w:r>
      <w:proofErr w:type="spellStart"/>
      <w:r w:rsidRPr="004C6280">
        <w:rPr>
          <w:rFonts w:eastAsiaTheme="minorHAnsi"/>
          <w:sz w:val="24"/>
          <w:szCs w:val="24"/>
        </w:rPr>
        <w:t>sponville</w:t>
      </w:r>
      <w:proofErr w:type="spellEnd"/>
      <w:r w:rsidRPr="004C6280">
        <w:rPr>
          <w:rFonts w:eastAsiaTheme="minorHAnsi"/>
          <w:sz w:val="24"/>
          <w:szCs w:val="24"/>
        </w:rPr>
        <w:t xml:space="preserve">, A. (2013). Dictionnaire de la philosophie. PUF. </w:t>
      </w:r>
    </w:p>
    <w:p w14:paraId="48388EB4"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Congrès Mondial de la Philosophie. (2024, 03 aout).  </w:t>
      </w:r>
      <w:r w:rsidRPr="004C6280">
        <w:rPr>
          <w:rFonts w:eastAsia="Calibri"/>
          <w:i/>
          <w:sz w:val="24"/>
          <w:szCs w:val="24"/>
        </w:rPr>
        <w:t>Des peuples exclus de la philosophie : enfants, femmes, classes populaires, non géomètres</w:t>
      </w:r>
      <w:r w:rsidRPr="004C6280">
        <w:rPr>
          <w:rFonts w:eastAsia="Calibri"/>
          <w:sz w:val="24"/>
          <w:szCs w:val="24"/>
        </w:rPr>
        <w:t xml:space="preserve">. UNESCO. </w:t>
      </w:r>
      <w:hyperlink r:id="rId166" w:history="1">
        <w:r w:rsidRPr="004C6280">
          <w:rPr>
            <w:rFonts w:eastAsia="Calibri"/>
            <w:color w:val="0563C1"/>
            <w:sz w:val="24"/>
            <w:szCs w:val="24"/>
            <w:u w:val="single"/>
          </w:rPr>
          <w:t>https://chaireunescophiloenfants.univ-nantes.fr/recherche</w:t>
        </w:r>
      </w:hyperlink>
      <w:r w:rsidRPr="004C6280">
        <w:rPr>
          <w:rFonts w:eastAsia="Calibri"/>
          <w:sz w:val="24"/>
          <w:szCs w:val="24"/>
        </w:rPr>
        <w:t>.</w:t>
      </w:r>
    </w:p>
    <w:p w14:paraId="3CC76196" w14:textId="77777777" w:rsidR="00D80693" w:rsidRPr="004C6280" w:rsidRDefault="00D80693" w:rsidP="00735D3E">
      <w:pPr>
        <w:spacing w:before="120"/>
        <w:ind w:left="1134" w:hanging="1134"/>
        <w:jc w:val="both"/>
        <w:rPr>
          <w:rFonts w:eastAsia="Calibri"/>
          <w:i/>
          <w:sz w:val="24"/>
          <w:szCs w:val="24"/>
        </w:rPr>
      </w:pPr>
      <w:r w:rsidRPr="004C6280">
        <w:rPr>
          <w:rFonts w:eastAsiaTheme="minorHAnsi"/>
          <w:sz w:val="24"/>
          <w:szCs w:val="24"/>
        </w:rPr>
        <w:t xml:space="preserve">Didden, S., </w:t>
      </w:r>
      <w:r w:rsidRPr="004C6280">
        <w:rPr>
          <w:rFonts w:eastAsiaTheme="minorHAnsi"/>
          <w:i/>
          <w:sz w:val="24"/>
          <w:szCs w:val="24"/>
        </w:rPr>
        <w:t>et al.</w:t>
      </w:r>
      <w:r w:rsidRPr="004C6280">
        <w:rPr>
          <w:rFonts w:eastAsiaTheme="minorHAnsi"/>
          <w:sz w:val="24"/>
          <w:szCs w:val="24"/>
        </w:rPr>
        <w:t xml:space="preserve"> (2018). </w:t>
      </w:r>
      <w:r w:rsidRPr="004C6280">
        <w:rPr>
          <w:rFonts w:eastAsiaTheme="minorHAnsi"/>
          <w:i/>
          <w:sz w:val="24"/>
          <w:szCs w:val="24"/>
        </w:rPr>
        <w:t xml:space="preserve">Image de l’enfant. </w:t>
      </w:r>
      <w:r w:rsidRPr="004C6280">
        <w:rPr>
          <w:rFonts w:eastAsiaTheme="minorHAnsi"/>
          <w:sz w:val="24"/>
          <w:szCs w:val="24"/>
        </w:rPr>
        <w:t>Service national de la jeunesse</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jeunesse</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w:t>
      </w:r>
    </w:p>
    <w:p w14:paraId="47F79B4C"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Calibri"/>
          <w:sz w:val="24"/>
          <w:szCs w:val="24"/>
        </w:rPr>
        <w:t>Galichet</w:t>
      </w:r>
      <w:proofErr w:type="spellEnd"/>
      <w:r w:rsidRPr="004C6280">
        <w:rPr>
          <w:rFonts w:eastAsia="Calibri"/>
          <w:sz w:val="24"/>
          <w:szCs w:val="24"/>
        </w:rPr>
        <w:t xml:space="preserve">, F. (2019). </w:t>
      </w:r>
      <w:r w:rsidRPr="004C6280">
        <w:rPr>
          <w:rFonts w:eastAsia="Calibri"/>
          <w:i/>
          <w:sz w:val="24"/>
          <w:szCs w:val="24"/>
        </w:rPr>
        <w:t>Philosopher à tout âge. Approche interprétative du philosopher</w:t>
      </w:r>
      <w:r w:rsidRPr="004C6280">
        <w:rPr>
          <w:rFonts w:eastAsia="Calibri"/>
          <w:sz w:val="24"/>
          <w:szCs w:val="24"/>
        </w:rPr>
        <w:t>. J. Vrin.</w:t>
      </w:r>
    </w:p>
    <w:p w14:paraId="010D8A5B" w14:textId="77777777" w:rsidR="00D80693" w:rsidRPr="004C6280" w:rsidRDefault="00D80693" w:rsidP="00735D3E">
      <w:pPr>
        <w:spacing w:before="120"/>
        <w:ind w:left="1134" w:hanging="1134"/>
        <w:jc w:val="both"/>
        <w:rPr>
          <w:rFonts w:eastAsia="Calibri"/>
          <w:sz w:val="24"/>
          <w:szCs w:val="24"/>
        </w:rPr>
      </w:pPr>
      <w:proofErr w:type="spellStart"/>
      <w:r w:rsidRPr="004C6280">
        <w:rPr>
          <w:rFonts w:eastAsia="Calibri"/>
          <w:sz w:val="24"/>
          <w:szCs w:val="24"/>
        </w:rPr>
        <w:t>Hartmurt</w:t>
      </w:r>
      <w:proofErr w:type="spellEnd"/>
      <w:r w:rsidRPr="004C6280">
        <w:rPr>
          <w:rFonts w:eastAsia="Calibri"/>
          <w:sz w:val="24"/>
          <w:szCs w:val="24"/>
        </w:rPr>
        <w:t xml:space="preserve">, R. (2010). </w:t>
      </w:r>
      <w:r w:rsidRPr="004C6280">
        <w:rPr>
          <w:rFonts w:eastAsia="Calibri"/>
          <w:i/>
          <w:sz w:val="24"/>
          <w:szCs w:val="24"/>
        </w:rPr>
        <w:t xml:space="preserve">Aliénation et accélération. Vers une théorie critique de la modernité tardive. </w:t>
      </w:r>
      <w:r w:rsidRPr="004C6280">
        <w:rPr>
          <w:rFonts w:eastAsia="Calibri"/>
          <w:sz w:val="24"/>
          <w:szCs w:val="24"/>
        </w:rPr>
        <w:t xml:space="preserve">La Découverte. </w:t>
      </w:r>
    </w:p>
    <w:p w14:paraId="7F816D11"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 xml:space="preserve">Hegel, G. W. F. (1941). </w:t>
      </w:r>
      <w:r w:rsidRPr="004C6280">
        <w:rPr>
          <w:rFonts w:eastAsiaTheme="minorHAnsi"/>
          <w:i/>
          <w:iCs/>
          <w:sz w:val="24"/>
          <w:szCs w:val="24"/>
        </w:rPr>
        <w:t>Phénoménologie de l’Esprit</w:t>
      </w:r>
      <w:r w:rsidRPr="004C6280">
        <w:rPr>
          <w:rFonts w:eastAsiaTheme="minorHAnsi"/>
          <w:sz w:val="24"/>
          <w:szCs w:val="24"/>
        </w:rPr>
        <w:t xml:space="preserve"> (tome 1, trad. J. Hyppolite). Aubier.</w:t>
      </w:r>
    </w:p>
    <w:p w14:paraId="2342253B"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 xml:space="preserve">Hume, D. (2002). </w:t>
      </w:r>
      <w:r w:rsidRPr="004C6280">
        <w:rPr>
          <w:rFonts w:eastAsia="Calibri"/>
          <w:i/>
          <w:sz w:val="24"/>
          <w:szCs w:val="24"/>
        </w:rPr>
        <w:t xml:space="preserve">Enquête sur l’entendement humain </w:t>
      </w:r>
      <w:r w:rsidRPr="004C6280">
        <w:rPr>
          <w:rFonts w:eastAsia="Calibri"/>
          <w:sz w:val="24"/>
          <w:szCs w:val="24"/>
        </w:rPr>
        <w:t xml:space="preserve">(trad. P. </w:t>
      </w:r>
      <w:proofErr w:type="spellStart"/>
      <w:r w:rsidRPr="004C6280">
        <w:rPr>
          <w:rFonts w:eastAsia="Calibri"/>
          <w:sz w:val="24"/>
          <w:szCs w:val="24"/>
        </w:rPr>
        <w:t>Folliot</w:t>
      </w:r>
      <w:proofErr w:type="spellEnd"/>
      <w:r w:rsidRPr="004C6280">
        <w:rPr>
          <w:rFonts w:eastAsia="Calibri"/>
          <w:sz w:val="24"/>
          <w:szCs w:val="24"/>
        </w:rPr>
        <w:t xml:space="preserve">). Édition électronique. </w:t>
      </w:r>
      <w:hyperlink r:id="rId167" w:history="1">
        <w:r w:rsidRPr="004C6280">
          <w:rPr>
            <w:rFonts w:eastAsia="Calibri"/>
            <w:color w:val="0563C1"/>
            <w:sz w:val="24"/>
            <w:szCs w:val="24"/>
            <w:u w:val="single"/>
          </w:rPr>
          <w:t>https://bibliothèque.uqac.uquebec.ca/index.htm</w:t>
        </w:r>
      </w:hyperlink>
      <w:r w:rsidRPr="004C6280">
        <w:rPr>
          <w:rFonts w:eastAsia="Calibri"/>
          <w:sz w:val="24"/>
          <w:szCs w:val="24"/>
        </w:rPr>
        <w:t>.</w:t>
      </w:r>
    </w:p>
    <w:p w14:paraId="3B9B17C9" w14:textId="77777777" w:rsidR="00D80693" w:rsidRPr="0065773E" w:rsidRDefault="00D80693" w:rsidP="00735D3E">
      <w:pPr>
        <w:spacing w:before="120"/>
        <w:ind w:left="1134" w:hanging="1134"/>
        <w:jc w:val="both"/>
        <w:rPr>
          <w:rFonts w:eastAsia="Calibri"/>
          <w:sz w:val="24"/>
          <w:szCs w:val="24"/>
        </w:rPr>
      </w:pPr>
      <w:r w:rsidRPr="004C6280">
        <w:rPr>
          <w:rFonts w:eastAsiaTheme="minorHAnsi"/>
          <w:sz w:val="24"/>
          <w:szCs w:val="24"/>
        </w:rPr>
        <w:t xml:space="preserve">Hume, D. (2002). Enquête sur l’entendement humain (trad. P. </w:t>
      </w:r>
      <w:proofErr w:type="spellStart"/>
      <w:r w:rsidRPr="004C6280">
        <w:rPr>
          <w:rFonts w:eastAsiaTheme="minorHAnsi"/>
          <w:sz w:val="24"/>
          <w:szCs w:val="24"/>
        </w:rPr>
        <w:t>Folliot</w:t>
      </w:r>
      <w:proofErr w:type="spellEnd"/>
      <w:r w:rsidRPr="004C6280">
        <w:rPr>
          <w:rFonts w:eastAsiaTheme="minorHAnsi"/>
          <w:sz w:val="24"/>
          <w:szCs w:val="24"/>
        </w:rPr>
        <w:t xml:space="preserve">). Édition électronique. </w:t>
      </w:r>
      <w:hyperlink r:id="rId168" w:history="1">
        <w:r w:rsidRPr="0065773E">
          <w:rPr>
            <w:rFonts w:eastAsiaTheme="minorHAnsi"/>
            <w:color w:val="0563C1"/>
            <w:sz w:val="24"/>
            <w:szCs w:val="24"/>
            <w:u w:val="single"/>
          </w:rPr>
          <w:t>https://bibliothèque.uqac.uquebec.ca/index.htm</w:t>
        </w:r>
      </w:hyperlink>
      <w:r w:rsidRPr="0065773E">
        <w:rPr>
          <w:rFonts w:eastAsiaTheme="minorHAnsi"/>
          <w:sz w:val="24"/>
          <w:szCs w:val="24"/>
        </w:rPr>
        <w:t xml:space="preserve">. </w:t>
      </w:r>
    </w:p>
    <w:p w14:paraId="47EC3B35"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lang w:val="en-GB"/>
        </w:rPr>
        <w:t xml:space="preserve">Institute for the Advancement of Philosophy for Children. </w:t>
      </w:r>
      <w:r w:rsidRPr="004C6280">
        <w:rPr>
          <w:rFonts w:eastAsiaTheme="minorHAnsi"/>
          <w:sz w:val="24"/>
          <w:szCs w:val="24"/>
        </w:rPr>
        <w:t xml:space="preserve">(2015, 12 novembre). </w:t>
      </w:r>
      <w:r w:rsidRPr="004C6280">
        <w:rPr>
          <w:rFonts w:eastAsiaTheme="minorHAnsi"/>
          <w:i/>
          <w:sz w:val="24"/>
          <w:szCs w:val="24"/>
        </w:rPr>
        <w:t xml:space="preserve">84 pays où se pratique la philosophie pour/avec les enfants. </w:t>
      </w:r>
      <w:hyperlink r:id="rId169" w:history="1">
        <w:r w:rsidRPr="004C6280">
          <w:rPr>
            <w:rFonts w:eastAsiaTheme="minorHAnsi"/>
            <w:color w:val="0563C1"/>
            <w:sz w:val="24"/>
            <w:szCs w:val="24"/>
            <w:u w:val="single"/>
          </w:rPr>
          <w:t>https://philoenfant.org/2015/11/12/82-pays-ou-se-pratique-la-philosophie-pour-enfants/</w:t>
        </w:r>
      </w:hyperlink>
      <w:r w:rsidRPr="004C6280">
        <w:rPr>
          <w:rFonts w:eastAsiaTheme="minorHAnsi"/>
          <w:sz w:val="24"/>
          <w:szCs w:val="24"/>
        </w:rPr>
        <w:t xml:space="preserve">. </w:t>
      </w:r>
    </w:p>
    <w:p w14:paraId="4CA83B24" w14:textId="77777777" w:rsidR="00D80693" w:rsidRPr="004C6280" w:rsidRDefault="00D80693" w:rsidP="00735D3E">
      <w:pPr>
        <w:spacing w:before="120"/>
        <w:ind w:left="1134" w:hanging="1134"/>
        <w:jc w:val="both"/>
        <w:rPr>
          <w:rFonts w:eastAsia="Calibri"/>
          <w:i/>
          <w:sz w:val="24"/>
          <w:szCs w:val="24"/>
        </w:rPr>
      </w:pPr>
      <w:r w:rsidRPr="004C6280">
        <w:rPr>
          <w:rFonts w:eastAsiaTheme="minorHAnsi"/>
          <w:sz w:val="24"/>
          <w:szCs w:val="24"/>
        </w:rPr>
        <w:t xml:space="preserve">Kant, E. (2004). </w:t>
      </w:r>
      <w:r w:rsidRPr="004C6280">
        <w:rPr>
          <w:rFonts w:eastAsiaTheme="minorHAnsi"/>
          <w:i/>
          <w:sz w:val="24"/>
          <w:szCs w:val="24"/>
        </w:rPr>
        <w:t>Réflexions sur l’éducation</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éducation</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w:t>
      </w:r>
      <w:r w:rsidRPr="004C6280">
        <w:rPr>
          <w:rFonts w:eastAsiaTheme="minorHAnsi"/>
          <w:sz w:val="24"/>
          <w:szCs w:val="24"/>
        </w:rPr>
        <w:t>(trad. A. Philonenko). J. Vrin.</w:t>
      </w:r>
    </w:p>
    <w:p w14:paraId="6CF1BA94"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 xml:space="preserve">Lipman, M. (2006). </w:t>
      </w:r>
      <w:r w:rsidRPr="004C6280">
        <w:rPr>
          <w:rFonts w:eastAsiaTheme="minorHAnsi"/>
          <w:i/>
          <w:sz w:val="24"/>
          <w:szCs w:val="24"/>
        </w:rPr>
        <w:t>À l’école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école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de pensée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pensée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Enseigner une pensée holistique</w:t>
      </w:r>
      <w:r w:rsidRPr="004C6280">
        <w:rPr>
          <w:rFonts w:eastAsiaTheme="minorHAnsi"/>
          <w:sz w:val="24"/>
          <w:szCs w:val="24"/>
        </w:rPr>
        <w:t xml:space="preserve"> (2</w:t>
      </w:r>
      <w:r w:rsidRPr="004C6280">
        <w:rPr>
          <w:rFonts w:eastAsiaTheme="minorHAnsi"/>
          <w:sz w:val="24"/>
          <w:szCs w:val="24"/>
          <w:vertAlign w:val="superscript"/>
        </w:rPr>
        <w:t>e</w:t>
      </w:r>
      <w:r w:rsidRPr="004C6280">
        <w:rPr>
          <w:rFonts w:eastAsiaTheme="minorHAnsi"/>
          <w:sz w:val="24"/>
          <w:szCs w:val="24"/>
        </w:rPr>
        <w:t xml:space="preserve"> éd.). De Boeck.</w:t>
      </w:r>
    </w:p>
    <w:p w14:paraId="108FAC31" w14:textId="77777777" w:rsidR="00D80693" w:rsidRPr="004C6280" w:rsidRDefault="00D80693" w:rsidP="00735D3E">
      <w:pPr>
        <w:spacing w:before="120"/>
        <w:ind w:left="1134" w:hanging="1134"/>
        <w:jc w:val="both"/>
        <w:rPr>
          <w:rFonts w:eastAsia="Calibri"/>
          <w:i/>
          <w:sz w:val="24"/>
          <w:szCs w:val="24"/>
        </w:rPr>
      </w:pPr>
      <w:r w:rsidRPr="004C6280">
        <w:rPr>
          <w:rFonts w:eastAsiaTheme="minorHAnsi"/>
          <w:sz w:val="24"/>
          <w:szCs w:val="24"/>
        </w:rPr>
        <w:t xml:space="preserve">Marcuse, H. (1968). </w:t>
      </w:r>
      <w:r w:rsidRPr="004C6280">
        <w:rPr>
          <w:rFonts w:eastAsiaTheme="minorHAnsi"/>
          <w:i/>
          <w:sz w:val="24"/>
          <w:szCs w:val="24"/>
        </w:rPr>
        <w:t xml:space="preserve">L’Homme unidimensionnel. </w:t>
      </w:r>
      <w:r w:rsidRPr="004C6280">
        <w:rPr>
          <w:rFonts w:eastAsiaTheme="minorHAnsi"/>
          <w:sz w:val="24"/>
          <w:szCs w:val="24"/>
        </w:rPr>
        <w:t>Les éditions de Minuit.</w:t>
      </w:r>
    </w:p>
    <w:p w14:paraId="72CD80FB" w14:textId="77777777" w:rsidR="00D80693" w:rsidRPr="004C6280" w:rsidRDefault="00D80693" w:rsidP="00735D3E">
      <w:pPr>
        <w:spacing w:before="120"/>
        <w:ind w:left="1134" w:hanging="1134"/>
        <w:rPr>
          <w:rFonts w:eastAsia="Calibri"/>
          <w:sz w:val="24"/>
          <w:szCs w:val="24"/>
        </w:rPr>
      </w:pPr>
      <w:r w:rsidRPr="004C6280">
        <w:rPr>
          <w:rFonts w:eastAsiaTheme="minorHAnsi"/>
          <w:sz w:val="24"/>
          <w:szCs w:val="24"/>
        </w:rPr>
        <w:t>Marx, K. (1849). Travail salarié et capital. Éditions sociales.</w:t>
      </w:r>
    </w:p>
    <w:p w14:paraId="50DA0B54"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 xml:space="preserve">Ministère de l’Éducation de Base. (2018). </w:t>
      </w:r>
      <w:r w:rsidRPr="004C6280">
        <w:rPr>
          <w:rFonts w:eastAsiaTheme="minorHAnsi"/>
          <w:i/>
          <w:sz w:val="24"/>
          <w:szCs w:val="24"/>
        </w:rPr>
        <w:t>Curriculum de l’enseignement</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enseignement</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primaire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primaire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francophone camerounais, Niveau 1 : cycle des initiations (sil-</w:t>
      </w:r>
      <w:proofErr w:type="spellStart"/>
      <w:r w:rsidRPr="004C6280">
        <w:rPr>
          <w:rFonts w:eastAsiaTheme="minorHAnsi"/>
          <w:i/>
          <w:sz w:val="24"/>
          <w:szCs w:val="24"/>
        </w:rPr>
        <w:t>cp</w:t>
      </w:r>
      <w:proofErr w:type="spellEnd"/>
      <w:r w:rsidRPr="004C6280">
        <w:rPr>
          <w:rFonts w:eastAsiaTheme="minorHAnsi"/>
          <w:i/>
          <w:sz w:val="24"/>
          <w:szCs w:val="24"/>
        </w:rPr>
        <w:t>)</w:t>
      </w:r>
      <w:r w:rsidRPr="004C6280">
        <w:rPr>
          <w:rFonts w:eastAsiaTheme="minorHAnsi"/>
          <w:sz w:val="24"/>
          <w:szCs w:val="24"/>
        </w:rPr>
        <w:t>.</w:t>
      </w:r>
    </w:p>
    <w:p w14:paraId="57F16FF4"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Ministère de l’Éducation de Base. (2018). Curriculum de l’enseignement primaire francophone camerounais, Niveau 1 : cycle des initiations (sil-</w:t>
      </w:r>
      <w:proofErr w:type="spellStart"/>
      <w:r w:rsidRPr="004C6280">
        <w:rPr>
          <w:rFonts w:eastAsiaTheme="minorHAnsi"/>
          <w:sz w:val="24"/>
          <w:szCs w:val="24"/>
        </w:rPr>
        <w:t>cp</w:t>
      </w:r>
      <w:proofErr w:type="spellEnd"/>
      <w:r w:rsidRPr="004C6280">
        <w:rPr>
          <w:rFonts w:eastAsiaTheme="minorHAnsi"/>
          <w:sz w:val="24"/>
          <w:szCs w:val="24"/>
        </w:rPr>
        <w:t>).</w:t>
      </w:r>
    </w:p>
    <w:p w14:paraId="6460C6B2" w14:textId="77777777" w:rsidR="00D80693" w:rsidRPr="0065773E" w:rsidRDefault="00D80693" w:rsidP="00735D3E">
      <w:pPr>
        <w:spacing w:before="120"/>
        <w:ind w:left="1134" w:hanging="1134"/>
        <w:rPr>
          <w:rFonts w:eastAsia="Calibri"/>
          <w:sz w:val="24"/>
          <w:szCs w:val="24"/>
          <w:lang w:val="en-US"/>
        </w:rPr>
      </w:pPr>
      <w:r w:rsidRPr="004C6280">
        <w:rPr>
          <w:rFonts w:eastAsiaTheme="minorHAnsi"/>
          <w:sz w:val="24"/>
          <w:szCs w:val="24"/>
        </w:rPr>
        <w:t xml:space="preserve">Nietzsche, F. (1974). Le Gai Savoir (trad. </w:t>
      </w:r>
      <w:r w:rsidRPr="0065773E">
        <w:rPr>
          <w:rFonts w:eastAsiaTheme="minorHAnsi"/>
          <w:sz w:val="24"/>
          <w:szCs w:val="24"/>
          <w:lang w:val="en-US"/>
        </w:rPr>
        <w:t xml:space="preserve">P. </w:t>
      </w:r>
      <w:proofErr w:type="spellStart"/>
      <w:r w:rsidRPr="0065773E">
        <w:rPr>
          <w:rFonts w:eastAsiaTheme="minorHAnsi"/>
          <w:sz w:val="24"/>
          <w:szCs w:val="24"/>
          <w:lang w:val="en-US"/>
        </w:rPr>
        <w:t>Klossowski</w:t>
      </w:r>
      <w:proofErr w:type="spellEnd"/>
      <w:r w:rsidRPr="0065773E">
        <w:rPr>
          <w:rFonts w:eastAsiaTheme="minorHAnsi"/>
          <w:sz w:val="24"/>
          <w:szCs w:val="24"/>
          <w:lang w:val="en-US"/>
        </w:rPr>
        <w:t>). Gallimard.</w:t>
      </w:r>
    </w:p>
    <w:p w14:paraId="6FB37972" w14:textId="77777777" w:rsidR="00D80693" w:rsidRPr="004C6280" w:rsidRDefault="00D80693" w:rsidP="00735D3E">
      <w:pPr>
        <w:spacing w:before="120"/>
        <w:ind w:left="1134" w:hanging="1134"/>
        <w:jc w:val="both"/>
        <w:rPr>
          <w:rFonts w:eastAsia="Calibri"/>
          <w:sz w:val="24"/>
          <w:szCs w:val="24"/>
        </w:rPr>
      </w:pPr>
      <w:proofErr w:type="spellStart"/>
      <w:r w:rsidRPr="0065773E">
        <w:rPr>
          <w:rFonts w:eastAsia="Calibri"/>
          <w:sz w:val="24"/>
          <w:szCs w:val="24"/>
          <w:lang w:val="en-US"/>
        </w:rPr>
        <w:t>Nkeck</w:t>
      </w:r>
      <w:proofErr w:type="spellEnd"/>
      <w:r w:rsidRPr="0065773E">
        <w:rPr>
          <w:rFonts w:eastAsia="Calibri"/>
          <w:sz w:val="24"/>
          <w:szCs w:val="24"/>
          <w:lang w:val="en-US"/>
        </w:rPr>
        <w:t xml:space="preserve"> Bidias, R.S. (2013). </w:t>
      </w:r>
      <w:r w:rsidRPr="004C6280">
        <w:rPr>
          <w:rFonts w:eastAsia="Calibri"/>
          <w:sz w:val="24"/>
          <w:szCs w:val="24"/>
        </w:rPr>
        <w:t>Eveil scientifique et technologique à l’école maternelle de l’expression orale à la construction des savoirs</w:t>
      </w:r>
      <w:r w:rsidRPr="004C6280">
        <w:rPr>
          <w:rFonts w:eastAsia="Calibri"/>
          <w:i/>
          <w:sz w:val="24"/>
          <w:szCs w:val="24"/>
        </w:rPr>
        <w:t>. Revue Petite Enfance</w:t>
      </w:r>
      <w:r w:rsidRPr="004C6280">
        <w:rPr>
          <w:rFonts w:eastAsia="Calibri"/>
          <w:sz w:val="24"/>
          <w:szCs w:val="24"/>
        </w:rPr>
        <w:t xml:space="preserve">, </w:t>
      </w:r>
      <w:r w:rsidRPr="004C6280">
        <w:rPr>
          <w:rFonts w:eastAsia="Calibri"/>
          <w:i/>
          <w:sz w:val="24"/>
          <w:szCs w:val="24"/>
        </w:rPr>
        <w:t>(00)</w:t>
      </w:r>
      <w:r w:rsidRPr="004C6280">
        <w:rPr>
          <w:rFonts w:eastAsia="Calibri"/>
          <w:sz w:val="24"/>
          <w:szCs w:val="24"/>
        </w:rPr>
        <w:t>, pp. 82-103.</w:t>
      </w:r>
    </w:p>
    <w:p w14:paraId="53470200"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 xml:space="preserve">Nussbaum. M. (2011). </w:t>
      </w:r>
      <w:r w:rsidRPr="004C6280">
        <w:rPr>
          <w:rFonts w:eastAsia="Calibri"/>
          <w:i/>
          <w:sz w:val="24"/>
          <w:szCs w:val="24"/>
        </w:rPr>
        <w:t>Les Émotions démocratiques : Comment former le citoyen du XXI</w:t>
      </w:r>
      <w:r w:rsidRPr="004C6280">
        <w:rPr>
          <w:rFonts w:eastAsia="Calibri"/>
          <w:i/>
          <w:sz w:val="24"/>
          <w:szCs w:val="24"/>
          <w:vertAlign w:val="subscript"/>
        </w:rPr>
        <w:t>e</w:t>
      </w:r>
      <w:r w:rsidRPr="004C6280">
        <w:rPr>
          <w:rFonts w:eastAsia="Calibri"/>
          <w:i/>
          <w:sz w:val="24"/>
          <w:szCs w:val="24"/>
        </w:rPr>
        <w:t xml:space="preserve"> </w:t>
      </w:r>
      <w:proofErr w:type="gramStart"/>
      <w:r w:rsidRPr="004C6280">
        <w:rPr>
          <w:rFonts w:eastAsia="Calibri"/>
          <w:i/>
          <w:sz w:val="24"/>
          <w:szCs w:val="24"/>
        </w:rPr>
        <w:t>siècle ?</w:t>
      </w:r>
      <w:r w:rsidRPr="004C6280">
        <w:rPr>
          <w:rFonts w:eastAsia="Calibri"/>
          <w:sz w:val="24"/>
          <w:szCs w:val="24"/>
        </w:rPr>
        <w:t>.</w:t>
      </w:r>
      <w:proofErr w:type="gramEnd"/>
      <w:r w:rsidRPr="004C6280">
        <w:rPr>
          <w:rFonts w:eastAsia="Calibri"/>
          <w:sz w:val="24"/>
          <w:szCs w:val="24"/>
        </w:rPr>
        <w:t xml:space="preserve"> Flammarion. </w:t>
      </w:r>
    </w:p>
    <w:p w14:paraId="66248FF1" w14:textId="77777777" w:rsidR="00D80693" w:rsidRPr="004C6280" w:rsidRDefault="00D80693" w:rsidP="00735D3E">
      <w:pPr>
        <w:spacing w:before="120"/>
        <w:ind w:left="1134" w:hanging="1134"/>
        <w:jc w:val="both"/>
        <w:rPr>
          <w:rFonts w:eastAsia="Calibri"/>
          <w:i/>
          <w:sz w:val="24"/>
          <w:szCs w:val="24"/>
        </w:rPr>
      </w:pPr>
      <w:r w:rsidRPr="004C6280">
        <w:rPr>
          <w:rFonts w:eastAsia="Calibri"/>
          <w:sz w:val="24"/>
          <w:szCs w:val="24"/>
        </w:rPr>
        <w:t xml:space="preserve">Peirce, C. S. (1978). </w:t>
      </w:r>
      <w:r w:rsidRPr="004C6280">
        <w:rPr>
          <w:rFonts w:eastAsia="Calibri"/>
          <w:i/>
          <w:sz w:val="24"/>
          <w:szCs w:val="24"/>
        </w:rPr>
        <w:t>Ecrits sur le signe</w:t>
      </w:r>
      <w:r w:rsidRPr="004C6280">
        <w:rPr>
          <w:rFonts w:eastAsia="Calibri"/>
          <w:sz w:val="24"/>
          <w:szCs w:val="24"/>
        </w:rPr>
        <w:t xml:space="preserve">. Éditions du Seuil. </w:t>
      </w:r>
      <w:r w:rsidRPr="004C6280">
        <w:rPr>
          <w:rFonts w:eastAsia="Calibri"/>
          <w:i/>
          <w:sz w:val="24"/>
          <w:szCs w:val="24"/>
        </w:rPr>
        <w:t xml:space="preserve"> </w:t>
      </w:r>
    </w:p>
    <w:p w14:paraId="23B2F781" w14:textId="77777777" w:rsidR="00D80693" w:rsidRPr="004C6280" w:rsidRDefault="00D80693" w:rsidP="00735D3E">
      <w:pPr>
        <w:spacing w:before="120"/>
        <w:ind w:left="1134" w:hanging="1134"/>
        <w:jc w:val="both"/>
        <w:rPr>
          <w:rFonts w:eastAsia="Calibri"/>
          <w:i/>
          <w:sz w:val="24"/>
          <w:szCs w:val="24"/>
        </w:rPr>
      </w:pPr>
      <w:r w:rsidRPr="004C6280">
        <w:rPr>
          <w:rFonts w:eastAsia="Calibri"/>
          <w:sz w:val="24"/>
          <w:szCs w:val="24"/>
        </w:rPr>
        <w:t xml:space="preserve">Piaget, J. (1959). L’image mentale et la représentation imagée chez l’enfant. </w:t>
      </w:r>
      <w:r w:rsidRPr="004C6280">
        <w:rPr>
          <w:rFonts w:eastAsia="Calibri"/>
          <w:i/>
          <w:sz w:val="24"/>
          <w:szCs w:val="24"/>
        </w:rPr>
        <w:t xml:space="preserve">Bulletin de psychologie, Tome 12 </w:t>
      </w:r>
      <w:r w:rsidRPr="004C6280">
        <w:rPr>
          <w:rFonts w:eastAsia="Calibri"/>
          <w:sz w:val="24"/>
          <w:szCs w:val="24"/>
        </w:rPr>
        <w:t>(157)</w:t>
      </w:r>
      <w:r w:rsidRPr="004C6280">
        <w:rPr>
          <w:rFonts w:eastAsia="Calibri"/>
          <w:i/>
          <w:sz w:val="24"/>
          <w:szCs w:val="24"/>
        </w:rPr>
        <w:t xml:space="preserve">, </w:t>
      </w:r>
      <w:r w:rsidRPr="004C6280">
        <w:rPr>
          <w:rFonts w:eastAsia="Calibri"/>
          <w:sz w:val="24"/>
          <w:szCs w:val="24"/>
        </w:rPr>
        <w:t xml:space="preserve">pp. 264-269.  </w:t>
      </w:r>
      <w:hyperlink r:id="rId170" w:history="1">
        <w:r w:rsidRPr="004C6280">
          <w:rPr>
            <w:rFonts w:eastAsia="Calibri"/>
            <w:color w:val="0563C1"/>
            <w:sz w:val="24"/>
            <w:szCs w:val="24"/>
            <w:u w:val="single"/>
          </w:rPr>
          <w:t>https://doi.org/10.3406/bupsy.1959.7968</w:t>
        </w:r>
      </w:hyperlink>
      <w:r w:rsidRPr="004C6280">
        <w:rPr>
          <w:rFonts w:eastAsia="Calibri"/>
          <w:sz w:val="24"/>
          <w:szCs w:val="24"/>
        </w:rPr>
        <w:t xml:space="preserve">. </w:t>
      </w:r>
      <w:r w:rsidRPr="004C6280">
        <w:rPr>
          <w:rFonts w:eastAsia="Calibri"/>
          <w:i/>
          <w:sz w:val="24"/>
          <w:szCs w:val="24"/>
        </w:rPr>
        <w:t xml:space="preserve"> </w:t>
      </w:r>
      <w:r w:rsidRPr="004C6280">
        <w:rPr>
          <w:rFonts w:eastAsiaTheme="minorHAnsi"/>
          <w:sz w:val="24"/>
          <w:szCs w:val="24"/>
        </w:rPr>
        <w:t xml:space="preserve"> </w:t>
      </w:r>
      <w:r w:rsidRPr="004C6280">
        <w:rPr>
          <w:rFonts w:eastAsiaTheme="minorHAnsi"/>
          <w:i/>
          <w:sz w:val="24"/>
          <w:szCs w:val="24"/>
        </w:rPr>
        <w:t xml:space="preserve"> </w:t>
      </w:r>
    </w:p>
    <w:p w14:paraId="23CDD95F"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 xml:space="preserve">Ricœur, P. (1975). </w:t>
      </w:r>
      <w:r w:rsidRPr="004C6280">
        <w:rPr>
          <w:rFonts w:eastAsia="Calibri"/>
          <w:i/>
          <w:sz w:val="24"/>
          <w:szCs w:val="24"/>
        </w:rPr>
        <w:t>La métaphore vive</w:t>
      </w:r>
      <w:r w:rsidRPr="004C6280">
        <w:rPr>
          <w:rFonts w:eastAsia="Calibri"/>
          <w:sz w:val="24"/>
          <w:szCs w:val="24"/>
        </w:rPr>
        <w:t>. Seuil.</w:t>
      </w:r>
    </w:p>
    <w:p w14:paraId="2B18CC42" w14:textId="77777777" w:rsidR="00D80693" w:rsidRPr="004C6280" w:rsidRDefault="00D80693" w:rsidP="00735D3E">
      <w:pPr>
        <w:spacing w:before="120"/>
        <w:ind w:left="1134" w:hanging="1134"/>
        <w:rPr>
          <w:rFonts w:eastAsia="Calibri"/>
          <w:b/>
          <w:color w:val="000000"/>
          <w:sz w:val="24"/>
          <w:szCs w:val="24"/>
        </w:rPr>
      </w:pPr>
      <w:r w:rsidRPr="004C6280">
        <w:rPr>
          <w:rFonts w:eastAsiaTheme="minorHAnsi"/>
          <w:sz w:val="24"/>
          <w:szCs w:val="24"/>
        </w:rPr>
        <w:t>Rosa, H. (2010). Accélération : une critique sociale du temps. La Découverte.</w:t>
      </w:r>
    </w:p>
    <w:p w14:paraId="7160C309"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 xml:space="preserve">Sartre, J.-P. (1986). </w:t>
      </w:r>
      <w:r w:rsidRPr="004C6280">
        <w:rPr>
          <w:rFonts w:eastAsia="Calibri"/>
          <w:i/>
          <w:sz w:val="24"/>
          <w:szCs w:val="24"/>
        </w:rPr>
        <w:t>L’imaginaire</w:t>
      </w:r>
      <w:r w:rsidRPr="004C6280">
        <w:rPr>
          <w:rFonts w:eastAsia="Calibri"/>
          <w:sz w:val="24"/>
          <w:szCs w:val="24"/>
        </w:rPr>
        <w:t xml:space="preserve">. Gallimard-Folio.  </w:t>
      </w:r>
    </w:p>
    <w:p w14:paraId="28271FEA"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Sauvé, L., Renaud, L. et Gauvin, M. (2007). Une analyse des écrits sur les impacts du jeu</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jeu</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sur l’apprentissage</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apprentissage</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w:t>
      </w:r>
      <w:r w:rsidRPr="004C6280">
        <w:rPr>
          <w:rFonts w:eastAsiaTheme="minorHAnsi"/>
          <w:i/>
          <w:sz w:val="24"/>
          <w:szCs w:val="24"/>
        </w:rPr>
        <w:t>Revue des sciences de l’éducation</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éducation</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31</w:t>
      </w:r>
      <w:r w:rsidRPr="004C6280">
        <w:rPr>
          <w:rFonts w:eastAsiaTheme="minorHAnsi"/>
          <w:sz w:val="24"/>
          <w:szCs w:val="24"/>
        </w:rPr>
        <w:t xml:space="preserve">(1), pp. 89-107. </w:t>
      </w:r>
      <w:hyperlink r:id="rId171" w:history="1">
        <w:r w:rsidRPr="004C6280">
          <w:rPr>
            <w:rFonts w:eastAsiaTheme="minorHAnsi"/>
            <w:color w:val="0563C1"/>
            <w:sz w:val="24"/>
            <w:szCs w:val="24"/>
            <w:u w:val="single"/>
          </w:rPr>
          <w:t>https://doi.org/10.7202/016190ar</w:t>
        </w:r>
      </w:hyperlink>
      <w:r w:rsidRPr="004C6280">
        <w:rPr>
          <w:rFonts w:eastAsiaTheme="minorHAnsi"/>
          <w:sz w:val="24"/>
          <w:szCs w:val="24"/>
        </w:rPr>
        <w:t>.</w:t>
      </w:r>
    </w:p>
    <w:p w14:paraId="0000205D"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 xml:space="preserve">Tozzi, M. (2001). </w:t>
      </w:r>
      <w:r w:rsidRPr="004C6280">
        <w:rPr>
          <w:rFonts w:eastAsiaTheme="minorHAnsi"/>
          <w:i/>
          <w:sz w:val="24"/>
          <w:szCs w:val="24"/>
        </w:rPr>
        <w:t>L’éveil de la pensée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pensée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réflexive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pensée réflexive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à l’école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école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primaire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primaire</w:instrText>
      </w:r>
      <w:r w:rsidRPr="004C6280">
        <w:rPr>
          <w:rFonts w:eastAsiaTheme="minorHAnsi"/>
          <w:sz w:val="24"/>
          <w:szCs w:val="24"/>
        </w:rPr>
        <w:instrText xml:space="preserve">" </w:instrText>
      </w:r>
      <w:r>
        <w:rPr>
          <w:i/>
          <w:sz w:val="24"/>
          <w:szCs w:val="24"/>
        </w:rPr>
        <w:fldChar w:fldCharType="end"/>
      </w:r>
      <w:r w:rsidRPr="004C6280">
        <w:rPr>
          <w:rFonts w:eastAsiaTheme="minorHAnsi"/>
          <w:sz w:val="24"/>
          <w:szCs w:val="24"/>
        </w:rPr>
        <w:t>. CRDP.</w:t>
      </w:r>
    </w:p>
    <w:p w14:paraId="1FE646C9"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Tozzi, M. (2006). De quelques modèles</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modèles</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didactiques de l’apprentissage</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apprentissage</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du philosopher</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philosopher</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avec les enfants</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enfants</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w:t>
      </w:r>
      <w:r w:rsidRPr="004C6280">
        <w:rPr>
          <w:rFonts w:eastAsiaTheme="minorHAnsi"/>
          <w:i/>
          <w:sz w:val="24"/>
          <w:szCs w:val="24"/>
        </w:rPr>
        <w:t xml:space="preserve">Revue : </w:t>
      </w:r>
      <w:hyperlink r:id="rId172" w:history="1">
        <w:r w:rsidRPr="004C6280">
          <w:rPr>
            <w:rFonts w:eastAsiaTheme="minorHAnsi"/>
            <w:i/>
            <w:color w:val="0563C1"/>
            <w:sz w:val="24"/>
            <w:szCs w:val="24"/>
            <w:u w:val="single"/>
          </w:rPr>
          <w:t>www.crdp-montpellier/ressources/agora</w:t>
        </w:r>
      </w:hyperlink>
      <w:r w:rsidRPr="004C6280">
        <w:rPr>
          <w:rFonts w:eastAsiaTheme="minorHAnsi"/>
          <w:sz w:val="24"/>
          <w:szCs w:val="24"/>
        </w:rPr>
        <w:t xml:space="preserve">, pp. 1-6.  </w:t>
      </w:r>
    </w:p>
    <w:p w14:paraId="60364CEF"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Tozzi, M. (2018). Développer le jugement</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jugement</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moral et la citoyenneté des élèves</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élèves</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par la discussion</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discussion</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à visée</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visée</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démocratique</w:t>
      </w:r>
      <w:r>
        <w:rPr>
          <w:sz w:val="24"/>
          <w:szCs w:val="24"/>
        </w:rPr>
        <w:fldChar w:fldCharType="begin"/>
      </w:r>
      <w:r w:rsidRPr="004C6280">
        <w:rPr>
          <w:rFonts w:eastAsiaTheme="minorHAnsi"/>
          <w:sz w:val="24"/>
          <w:szCs w:val="24"/>
        </w:rPr>
        <w:instrText xml:space="preserve"> XE "démocratique" </w:instrText>
      </w:r>
      <w:r>
        <w:rPr>
          <w:sz w:val="24"/>
          <w:szCs w:val="24"/>
        </w:rPr>
        <w:fldChar w:fldCharType="end"/>
      </w:r>
      <w:r w:rsidRPr="004C6280">
        <w:rPr>
          <w:rFonts w:eastAsiaTheme="minorHAnsi"/>
          <w:sz w:val="24"/>
          <w:szCs w:val="24"/>
        </w:rPr>
        <w:t xml:space="preserve"> et philosophique (DVDP). </w:t>
      </w:r>
      <w:r w:rsidRPr="004C6280">
        <w:rPr>
          <w:rFonts w:eastAsiaTheme="minorHAnsi"/>
          <w:i/>
          <w:sz w:val="24"/>
          <w:szCs w:val="24"/>
        </w:rPr>
        <w:t>Revue de recherches en éducation</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éducation</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2</w:t>
      </w:r>
      <w:r w:rsidRPr="004C6280">
        <w:rPr>
          <w:rFonts w:eastAsiaTheme="minorHAnsi"/>
          <w:sz w:val="24"/>
          <w:szCs w:val="24"/>
        </w:rPr>
        <w:t>(62), pp. 63-71.</w:t>
      </w:r>
    </w:p>
    <w:p w14:paraId="1E325221"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Voltaire, F. M. A. (2003). Candide. LEFÈVRE.</w:t>
      </w:r>
    </w:p>
    <w:p w14:paraId="0B8585A5" w14:textId="77777777" w:rsidR="00D80693" w:rsidRPr="004C6280" w:rsidRDefault="00D80693" w:rsidP="00735D3E">
      <w:pPr>
        <w:spacing w:before="120"/>
        <w:ind w:left="1134" w:hanging="1134"/>
        <w:jc w:val="both"/>
        <w:rPr>
          <w:rFonts w:eastAsia="Calibri"/>
          <w:sz w:val="24"/>
          <w:szCs w:val="24"/>
        </w:rPr>
      </w:pPr>
      <w:r w:rsidRPr="004C6280">
        <w:rPr>
          <w:rFonts w:eastAsia="Calibri"/>
          <w:sz w:val="24"/>
          <w:szCs w:val="24"/>
        </w:rPr>
        <w:t xml:space="preserve">Vygotsky, L. (1983). </w:t>
      </w:r>
      <w:r w:rsidRPr="004C6280">
        <w:rPr>
          <w:rFonts w:eastAsia="Calibri"/>
          <w:i/>
          <w:sz w:val="24"/>
          <w:szCs w:val="24"/>
        </w:rPr>
        <w:t xml:space="preserve">Histoire du développement des fonctions psychiques supérieure </w:t>
      </w:r>
      <w:r w:rsidRPr="004C6280">
        <w:rPr>
          <w:rFonts w:eastAsia="Calibri"/>
          <w:sz w:val="24"/>
          <w:szCs w:val="24"/>
        </w:rPr>
        <w:t>(Vol. 3)</w:t>
      </w:r>
      <w:r w:rsidRPr="004C6280">
        <w:rPr>
          <w:rFonts w:eastAsia="Calibri"/>
          <w:i/>
          <w:sz w:val="24"/>
          <w:szCs w:val="24"/>
        </w:rPr>
        <w:t xml:space="preserve">. </w:t>
      </w:r>
      <w:r w:rsidRPr="004C6280">
        <w:rPr>
          <w:rFonts w:eastAsia="Calibri"/>
          <w:sz w:val="24"/>
          <w:szCs w:val="24"/>
        </w:rPr>
        <w:t>Coll. Pédagogie.</w:t>
      </w:r>
    </w:p>
    <w:p w14:paraId="1C64D3A0" w14:textId="77777777" w:rsidR="00D80693" w:rsidRPr="004C6280" w:rsidRDefault="00D80693" w:rsidP="00735D3E">
      <w:pPr>
        <w:spacing w:before="120"/>
        <w:ind w:left="1134" w:hanging="1134"/>
        <w:jc w:val="both"/>
        <w:rPr>
          <w:rFonts w:eastAsia="Calibri"/>
          <w:sz w:val="24"/>
          <w:szCs w:val="24"/>
        </w:rPr>
      </w:pPr>
      <w:r w:rsidRPr="004C6280">
        <w:rPr>
          <w:rFonts w:eastAsiaTheme="minorHAnsi"/>
          <w:sz w:val="24"/>
          <w:szCs w:val="24"/>
        </w:rPr>
        <w:t>Wallon, H. et Lurçat, L. (1957). Graphisme et modèle dans les dessins des enfants</w:t>
      </w:r>
      <w:r>
        <w:rPr>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enfants</w:instrText>
      </w:r>
      <w:r w:rsidRPr="004C6280">
        <w:rPr>
          <w:rFonts w:eastAsiaTheme="minorHAnsi"/>
          <w:sz w:val="24"/>
          <w:szCs w:val="24"/>
        </w:rPr>
        <w:instrText xml:space="preserve">" </w:instrText>
      </w:r>
      <w:r>
        <w:rPr>
          <w:sz w:val="24"/>
          <w:szCs w:val="24"/>
        </w:rPr>
        <w:fldChar w:fldCharType="end"/>
      </w:r>
      <w:r w:rsidRPr="004C6280">
        <w:rPr>
          <w:rFonts w:eastAsiaTheme="minorHAnsi"/>
          <w:sz w:val="24"/>
          <w:szCs w:val="24"/>
        </w:rPr>
        <w:t xml:space="preserve">. </w:t>
      </w:r>
      <w:r w:rsidRPr="004C6280">
        <w:rPr>
          <w:rFonts w:eastAsiaTheme="minorHAnsi"/>
          <w:i/>
          <w:sz w:val="24"/>
          <w:szCs w:val="24"/>
        </w:rPr>
        <w:t>Journal de psychologie</w:t>
      </w:r>
      <w:r>
        <w:rPr>
          <w:i/>
          <w:sz w:val="24"/>
          <w:szCs w:val="24"/>
        </w:rPr>
        <w:fldChar w:fldCharType="begin"/>
      </w:r>
      <w:r w:rsidRPr="004C6280">
        <w:rPr>
          <w:rFonts w:eastAsiaTheme="minorHAnsi"/>
          <w:sz w:val="24"/>
          <w:szCs w:val="24"/>
        </w:rPr>
        <w:instrText xml:space="preserve"> XE "</w:instrText>
      </w:r>
      <w:r w:rsidRPr="004C6280">
        <w:rPr>
          <w:rFonts w:eastAsiaTheme="minorHAnsi"/>
          <w:color w:val="000000"/>
          <w:sz w:val="24"/>
          <w:szCs w:val="24"/>
        </w:rPr>
        <w:instrText>psychologie</w:instrText>
      </w:r>
      <w:r w:rsidRPr="004C6280">
        <w:rPr>
          <w:rFonts w:eastAsiaTheme="minorHAnsi"/>
          <w:sz w:val="24"/>
          <w:szCs w:val="24"/>
        </w:rPr>
        <w:instrText xml:space="preserve">" </w:instrText>
      </w:r>
      <w:r>
        <w:rPr>
          <w:i/>
          <w:sz w:val="24"/>
          <w:szCs w:val="24"/>
        </w:rPr>
        <w:fldChar w:fldCharType="end"/>
      </w:r>
      <w:r w:rsidRPr="004C6280">
        <w:rPr>
          <w:rFonts w:eastAsiaTheme="minorHAnsi"/>
          <w:i/>
          <w:sz w:val="24"/>
          <w:szCs w:val="24"/>
        </w:rPr>
        <w:t xml:space="preserve"> normale et pathologie, </w:t>
      </w:r>
      <w:r w:rsidRPr="004C6280">
        <w:rPr>
          <w:rFonts w:eastAsiaTheme="minorHAnsi"/>
          <w:sz w:val="24"/>
          <w:szCs w:val="24"/>
        </w:rPr>
        <w:t>(3), pp. 257-278.</w:t>
      </w:r>
    </w:p>
    <w:p w14:paraId="63175BF1" w14:textId="77777777" w:rsidR="00D80693" w:rsidRDefault="00D80693" w:rsidP="00735D3E">
      <w:pPr>
        <w:suppressAutoHyphens/>
        <w:spacing w:line="253" w:lineRule="auto"/>
        <w:ind w:left="1134" w:hanging="1134"/>
        <w:textAlignment w:val="baseline"/>
        <w:rPr>
          <w:rFonts w:ascii="Calibri" w:eastAsia="Calibri" w:hAnsi="Calibri"/>
          <w:sz w:val="0"/>
          <w:szCs w:val="0"/>
        </w:rPr>
        <w:sectPr w:rsidR="00D80693" w:rsidSect="00735D3E">
          <w:headerReference w:type="default" r:id="rId173"/>
          <w:pgSz w:w="11900" w:h="16840"/>
          <w:pgMar w:top="1418" w:right="1418" w:bottom="1418" w:left="1418" w:header="709" w:footer="720" w:gutter="0"/>
          <w:cols w:space="708"/>
          <w:docGrid w:linePitch="299"/>
        </w:sectPr>
      </w:pPr>
    </w:p>
    <w:p w14:paraId="122F1CF2" w14:textId="31A089D6" w:rsidR="00D80693" w:rsidRPr="001928FA" w:rsidRDefault="001928FA" w:rsidP="00735D3E">
      <w:pPr>
        <w:pStyle w:val="Titre1"/>
        <w:rPr>
          <w:rFonts w:eastAsia="Calibri"/>
          <w:i/>
          <w:iCs/>
          <w:color w:val="000000"/>
        </w:rPr>
      </w:pPr>
      <w:bookmarkStart w:id="353" w:name="_Toc219272593"/>
      <w:r w:rsidRPr="001928FA">
        <w:rPr>
          <w:rFonts w:eastAsia="Calibri"/>
          <w:i/>
          <w:iCs/>
          <w:color w:val="000000"/>
        </w:rPr>
        <w:t>La professionnalisation de l’enseignement supérieur : un moteur stratégique pour le développement durable des collectivités territoriales décentralisées</w:t>
      </w:r>
      <w:bookmarkEnd w:id="353"/>
    </w:p>
    <w:p w14:paraId="34763513" w14:textId="2D9D4540" w:rsidR="00D80693" w:rsidRPr="001928FA" w:rsidRDefault="00D80693" w:rsidP="00D80693">
      <w:pPr>
        <w:spacing w:before="240"/>
        <w:jc w:val="center"/>
        <w:rPr>
          <w:rFonts w:eastAsia="Calibri"/>
          <w:b/>
          <w:bCs/>
          <w:color w:val="000000"/>
          <w:sz w:val="28"/>
          <w:szCs w:val="28"/>
        </w:rPr>
      </w:pPr>
      <w:r w:rsidRPr="001928FA">
        <w:rPr>
          <w:rFonts w:eastAsia="Calibri"/>
          <w:b/>
          <w:bCs/>
          <w:color w:val="000000"/>
          <w:sz w:val="28"/>
          <w:szCs w:val="28"/>
        </w:rPr>
        <w:t>Barnabé Bertrand</w:t>
      </w:r>
      <w:r w:rsidR="00735D3E" w:rsidRPr="001928FA">
        <w:rPr>
          <w:rFonts w:eastAsia="Calibri"/>
          <w:b/>
          <w:bCs/>
          <w:color w:val="000000"/>
          <w:sz w:val="28"/>
          <w:szCs w:val="28"/>
        </w:rPr>
        <w:t xml:space="preserve"> </w:t>
      </w:r>
      <w:r w:rsidR="00735D3E" w:rsidRPr="001928FA">
        <w:rPr>
          <w:rFonts w:eastAsia="Calibri"/>
          <w:b/>
          <w:bCs/>
          <w:color w:val="000000"/>
          <w:sz w:val="28"/>
          <w:szCs w:val="28"/>
        </w:rPr>
        <w:t>BINGANA MANGA</w:t>
      </w:r>
    </w:p>
    <w:p w14:paraId="433CC896" w14:textId="77777777" w:rsidR="00D80693" w:rsidRPr="004C5B95" w:rsidRDefault="00D80693" w:rsidP="00D80693">
      <w:pPr>
        <w:spacing w:before="240"/>
        <w:rPr>
          <w:rFonts w:eastAsia="Calibri"/>
          <w:color w:val="000000"/>
          <w:sz w:val="24"/>
          <w:szCs w:val="24"/>
        </w:rPr>
      </w:pPr>
      <w:r w:rsidRPr="004C5B95">
        <w:rPr>
          <w:rFonts w:eastAsia="Calibri"/>
          <w:b/>
          <w:bCs/>
          <w:color w:val="000000"/>
          <w:sz w:val="24"/>
          <w:szCs w:val="24"/>
        </w:rPr>
        <w:t>Résumé</w:t>
      </w:r>
    </w:p>
    <w:p w14:paraId="0DE7FC69" w14:textId="77777777" w:rsidR="00D80693" w:rsidRPr="004C5B95" w:rsidRDefault="00D80693" w:rsidP="00D80693">
      <w:pPr>
        <w:spacing w:before="240"/>
        <w:jc w:val="both"/>
        <w:rPr>
          <w:rFonts w:eastAsia="Calibri"/>
          <w:color w:val="000000"/>
          <w:sz w:val="24"/>
          <w:szCs w:val="24"/>
        </w:rPr>
      </w:pPr>
      <w:r w:rsidRPr="004C5B95">
        <w:rPr>
          <w:rFonts w:eastAsia="Calibri"/>
          <w:color w:val="000000"/>
          <w:sz w:val="24"/>
          <w:szCs w:val="24"/>
        </w:rPr>
        <w:t>La prof</w:t>
      </w:r>
      <w:r>
        <w:rPr>
          <w:rFonts w:eastAsia="Calibri"/>
          <w:color w:val="000000"/>
          <w:sz w:val="24"/>
          <w:szCs w:val="24"/>
        </w:rPr>
        <w:t xml:space="preserve">essionnalisation de </w:t>
      </w:r>
      <w:r w:rsidRPr="004C5B95">
        <w:rPr>
          <w:rFonts w:eastAsia="Calibri"/>
          <w:color w:val="000000"/>
          <w:sz w:val="24"/>
          <w:szCs w:val="24"/>
        </w:rPr>
        <w:t>l</w:t>
      </w:r>
      <w:r>
        <w:rPr>
          <w:rFonts w:eastAsia="Calibri"/>
          <w:color w:val="000000"/>
          <w:sz w:val="24"/>
          <w:szCs w:val="24"/>
        </w:rPr>
        <w:t>’</w:t>
      </w:r>
      <w:r w:rsidRPr="004C5B95">
        <w:rPr>
          <w:rFonts w:eastAsia="Calibri"/>
          <w:color w:val="000000"/>
          <w:sz w:val="24"/>
          <w:szCs w:val="24"/>
        </w:rPr>
        <w:t xml:space="preserve">Enseignement Supérieur au Cameroun demeure au centre des débats universitaires en raison de son potentiel à stimuler le développement local (Tang, 2023 ; Schultz, 2004 ; </w:t>
      </w:r>
      <w:proofErr w:type="spellStart"/>
      <w:r w:rsidRPr="004C5B95">
        <w:rPr>
          <w:rFonts w:eastAsia="Calibri"/>
          <w:color w:val="000000"/>
          <w:sz w:val="24"/>
          <w:szCs w:val="24"/>
        </w:rPr>
        <w:t>Fonkoua</w:t>
      </w:r>
      <w:proofErr w:type="spellEnd"/>
      <w:r w:rsidRPr="004C5B95">
        <w:rPr>
          <w:rFonts w:eastAsia="Calibri"/>
          <w:color w:val="000000"/>
          <w:sz w:val="24"/>
          <w:szCs w:val="24"/>
        </w:rPr>
        <w:t>, 2003). Cette étude, menée dans la région de l</w:t>
      </w:r>
      <w:r>
        <w:rPr>
          <w:rFonts w:eastAsia="Calibri"/>
          <w:color w:val="000000"/>
          <w:sz w:val="24"/>
          <w:szCs w:val="24"/>
        </w:rPr>
        <w:t>’</w:t>
      </w:r>
      <w:r w:rsidRPr="004C5B95">
        <w:rPr>
          <w:rFonts w:eastAsia="Calibri"/>
          <w:color w:val="000000"/>
          <w:sz w:val="24"/>
          <w:szCs w:val="24"/>
        </w:rPr>
        <w:t>Est, interroge la capacité de la nouvelle Université d</w:t>
      </w:r>
      <w:r>
        <w:rPr>
          <w:rFonts w:eastAsia="Calibri"/>
          <w:color w:val="000000"/>
          <w:sz w:val="24"/>
          <w:szCs w:val="24"/>
        </w:rPr>
        <w:t>’</w:t>
      </w:r>
      <w:r w:rsidRPr="004C5B95">
        <w:rPr>
          <w:rFonts w:eastAsia="Calibri"/>
          <w:color w:val="000000"/>
          <w:sz w:val="24"/>
          <w:szCs w:val="24"/>
        </w:rPr>
        <w:t>État à contribuer au développement d</w:t>
      </w:r>
      <w:r>
        <w:rPr>
          <w:rFonts w:eastAsia="Calibri"/>
          <w:color w:val="000000"/>
          <w:sz w:val="24"/>
          <w:szCs w:val="24"/>
        </w:rPr>
        <w:t>’</w:t>
      </w:r>
      <w:r w:rsidRPr="004C5B95">
        <w:rPr>
          <w:rFonts w:eastAsia="Calibri"/>
          <w:color w:val="000000"/>
          <w:sz w:val="24"/>
          <w:szCs w:val="24"/>
        </w:rPr>
        <w:t>un territoire enclavé. Si la professionnalisation est souvent réduite à la recherche de l</w:t>
      </w:r>
      <w:r>
        <w:rPr>
          <w:rFonts w:eastAsia="Calibri"/>
          <w:color w:val="000000"/>
          <w:sz w:val="24"/>
          <w:szCs w:val="24"/>
        </w:rPr>
        <w:t>’</w:t>
      </w:r>
      <w:r w:rsidRPr="004C5B95">
        <w:rPr>
          <w:rFonts w:eastAsia="Calibri"/>
          <w:color w:val="000000"/>
          <w:sz w:val="24"/>
          <w:szCs w:val="24"/>
        </w:rPr>
        <w:t>employabilité, notre analyse théorique montre qu</w:t>
      </w:r>
      <w:r>
        <w:rPr>
          <w:rFonts w:eastAsia="Calibri"/>
          <w:color w:val="000000"/>
          <w:sz w:val="24"/>
          <w:szCs w:val="24"/>
        </w:rPr>
        <w:t>’</w:t>
      </w:r>
      <w:r w:rsidRPr="004C5B95">
        <w:rPr>
          <w:rFonts w:eastAsia="Calibri"/>
          <w:color w:val="000000"/>
          <w:sz w:val="24"/>
          <w:szCs w:val="24"/>
        </w:rPr>
        <w:t>elle peut devenir un véritable levier de développement territorial. En effet, l</w:t>
      </w:r>
      <w:r>
        <w:rPr>
          <w:rFonts w:eastAsia="Calibri"/>
          <w:color w:val="000000"/>
          <w:sz w:val="24"/>
          <w:szCs w:val="24"/>
        </w:rPr>
        <w:t>’</w:t>
      </w:r>
      <w:r w:rsidRPr="004C5B95">
        <w:rPr>
          <w:rFonts w:eastAsia="Calibri"/>
          <w:color w:val="000000"/>
          <w:sz w:val="24"/>
          <w:szCs w:val="24"/>
        </w:rPr>
        <w:t>Université influence positivement son environnement dès lors que la professionnalisation dépasse le triptyque Université-État-entreprise pour intégrer les collectivités territoriales décentralisées (CTD). L</w:t>
      </w:r>
      <w:r>
        <w:rPr>
          <w:rFonts w:eastAsia="Calibri"/>
          <w:color w:val="000000"/>
          <w:sz w:val="24"/>
          <w:szCs w:val="24"/>
        </w:rPr>
        <w:t>’</w:t>
      </w:r>
      <w:r w:rsidRPr="004C5B95">
        <w:rPr>
          <w:rFonts w:eastAsia="Calibri"/>
          <w:color w:val="000000"/>
          <w:sz w:val="24"/>
          <w:szCs w:val="24"/>
        </w:rPr>
        <w:t>adaptation des formations aux besoins locaux favorise non seulement l</w:t>
      </w:r>
      <w:r>
        <w:rPr>
          <w:rFonts w:eastAsia="Calibri"/>
          <w:color w:val="000000"/>
          <w:sz w:val="24"/>
          <w:szCs w:val="24"/>
        </w:rPr>
        <w:t>’</w:t>
      </w:r>
      <w:r w:rsidRPr="004C5B95">
        <w:rPr>
          <w:rFonts w:eastAsia="Calibri"/>
          <w:color w:val="000000"/>
          <w:sz w:val="24"/>
          <w:szCs w:val="24"/>
        </w:rPr>
        <w:t xml:space="preserve">insertion professionnelle, mais aussi le renforcement des capacités économiques et sociales des territoires. Cette étude ouvre ainsi la voie à une réflexion approfondie sur la place stratégique des CTD dans le développement durable régional. </w:t>
      </w:r>
    </w:p>
    <w:p w14:paraId="17CAFA6D" w14:textId="77777777" w:rsidR="00D80693" w:rsidRPr="00FD63AB" w:rsidRDefault="00D80693" w:rsidP="00D80693">
      <w:pPr>
        <w:spacing w:before="240"/>
        <w:jc w:val="both"/>
        <w:rPr>
          <w:rFonts w:eastAsia="Calibri"/>
          <w:color w:val="FF0000"/>
          <w:sz w:val="24"/>
          <w:szCs w:val="24"/>
        </w:rPr>
      </w:pPr>
      <w:r w:rsidRPr="004C5B95">
        <w:rPr>
          <w:rFonts w:eastAsia="Calibri"/>
          <w:b/>
          <w:color w:val="000000"/>
          <w:sz w:val="24"/>
          <w:szCs w:val="24"/>
        </w:rPr>
        <w:t>Mots-clés</w:t>
      </w:r>
      <w:r w:rsidRPr="004C5B95">
        <w:rPr>
          <w:rFonts w:eastAsia="Calibri"/>
          <w:color w:val="000000"/>
          <w:sz w:val="24"/>
          <w:szCs w:val="24"/>
        </w:rPr>
        <w:t> : Professionnalisation, Enseignement supérie</w:t>
      </w:r>
      <w:r>
        <w:rPr>
          <w:rFonts w:eastAsia="Calibri"/>
          <w:color w:val="000000"/>
          <w:sz w:val="24"/>
          <w:szCs w:val="24"/>
        </w:rPr>
        <w:t>ur, Collectivités territoriales.</w:t>
      </w:r>
    </w:p>
    <w:p w14:paraId="60F5D680" w14:textId="77777777" w:rsidR="00D80693" w:rsidRPr="004C5B95" w:rsidRDefault="00D80693" w:rsidP="00D80693">
      <w:pPr>
        <w:spacing w:before="240"/>
        <w:jc w:val="both"/>
        <w:rPr>
          <w:rFonts w:eastAsia="Calibri"/>
          <w:b/>
          <w:color w:val="000000"/>
          <w:sz w:val="24"/>
          <w:szCs w:val="24"/>
          <w:lang w:val="en-GB"/>
        </w:rPr>
      </w:pPr>
      <w:r w:rsidRPr="004C5B95">
        <w:rPr>
          <w:rFonts w:eastAsia="Calibri"/>
          <w:b/>
          <w:color w:val="000000"/>
          <w:sz w:val="24"/>
          <w:szCs w:val="24"/>
          <w:lang w:val="en-GB"/>
        </w:rPr>
        <w:t xml:space="preserve">Abstract </w:t>
      </w:r>
    </w:p>
    <w:p w14:paraId="5232E176" w14:textId="2D40E5F5" w:rsidR="00D80693" w:rsidRPr="004C5B95" w:rsidRDefault="00D80693" w:rsidP="00D80693">
      <w:pPr>
        <w:spacing w:before="240"/>
        <w:jc w:val="both"/>
        <w:rPr>
          <w:rFonts w:eastAsia="Calibri"/>
          <w:color w:val="000000"/>
          <w:sz w:val="24"/>
          <w:szCs w:val="24"/>
          <w:lang w:val="en-GB"/>
        </w:rPr>
      </w:pPr>
      <w:r w:rsidRPr="004C5B95">
        <w:rPr>
          <w:rFonts w:eastAsia="Calibri"/>
          <w:color w:val="000000"/>
          <w:sz w:val="24"/>
          <w:szCs w:val="24"/>
          <w:lang w:val="en-GB"/>
        </w:rPr>
        <w:t xml:space="preserve">The professionalization of higher education in Cameroun remains at the heart of academic debates due to its potential to foster local development (Tang, 2023; Schultz, 2004; </w:t>
      </w:r>
      <w:proofErr w:type="spellStart"/>
      <w:r w:rsidRPr="004C5B95">
        <w:rPr>
          <w:rFonts w:eastAsia="Calibri"/>
          <w:color w:val="000000"/>
          <w:sz w:val="24"/>
          <w:szCs w:val="24"/>
          <w:lang w:val="en-GB"/>
        </w:rPr>
        <w:t>Fonkoua</w:t>
      </w:r>
      <w:proofErr w:type="spellEnd"/>
      <w:r w:rsidRPr="004C5B95">
        <w:rPr>
          <w:rFonts w:eastAsia="Calibri"/>
          <w:color w:val="000000"/>
          <w:sz w:val="24"/>
          <w:szCs w:val="24"/>
          <w:lang w:val="en-GB"/>
        </w:rPr>
        <w:t xml:space="preserve">, 2003). This study, focused on the Eastern established state University to contribute to the development of a remote area. While professionalization is often associated with employability, our theoretical analysis reveals that it can become a genuine driver of territorial development. The University positively influences its environment when professionalization goes beyond the traditional University-State-business triptych to include decentralized local authorities (DLAs). Adapting curricula to local needs not only enhances graduate employability but also strengthens the economic and social capacities of host territories. This study therefore provides a new perspective that invites further </w:t>
      </w:r>
      <w:r w:rsidR="00102D91" w:rsidRPr="00102D91">
        <w:rPr>
          <w:rFonts w:eastAsia="Calibri"/>
          <w:i/>
          <w:iCs/>
          <w:color w:val="000000"/>
          <w:sz w:val="24"/>
          <w:szCs w:val="24"/>
          <w:lang w:val="en-GB"/>
        </w:rPr>
        <w:t>Reflect</w:t>
      </w:r>
      <w:r w:rsidRPr="004C5B95">
        <w:rPr>
          <w:rFonts w:eastAsia="Calibri"/>
          <w:color w:val="000000"/>
          <w:sz w:val="24"/>
          <w:szCs w:val="24"/>
          <w:lang w:val="en-GB"/>
        </w:rPr>
        <w:t xml:space="preserve">ion on the strategic role of DLAs in achieving sustainable regional development. </w:t>
      </w:r>
    </w:p>
    <w:p w14:paraId="05005A77" w14:textId="77777777" w:rsidR="00D80693" w:rsidRPr="004C5B95" w:rsidRDefault="00D80693" w:rsidP="00D80693">
      <w:pPr>
        <w:spacing w:before="240"/>
        <w:jc w:val="both"/>
        <w:rPr>
          <w:rFonts w:eastAsia="Calibri"/>
          <w:color w:val="000000"/>
          <w:sz w:val="24"/>
          <w:szCs w:val="24"/>
          <w:lang w:val="en-GB"/>
        </w:rPr>
      </w:pPr>
      <w:r w:rsidRPr="004C5B95">
        <w:rPr>
          <w:rFonts w:eastAsia="Calibri"/>
          <w:b/>
          <w:color w:val="000000"/>
          <w:sz w:val="24"/>
          <w:szCs w:val="24"/>
          <w:lang w:val="en-GB"/>
        </w:rPr>
        <w:t xml:space="preserve">Keywords: </w:t>
      </w:r>
      <w:r w:rsidRPr="004C5B95">
        <w:rPr>
          <w:rFonts w:eastAsia="Calibri"/>
          <w:color w:val="000000"/>
          <w:sz w:val="24"/>
          <w:szCs w:val="24"/>
          <w:lang w:val="en-GB"/>
        </w:rPr>
        <w:t xml:space="preserve">Professionalization, higher education, </w:t>
      </w:r>
      <w:r>
        <w:rPr>
          <w:rFonts w:eastAsia="Calibri"/>
          <w:color w:val="000000"/>
          <w:sz w:val="24"/>
          <w:szCs w:val="24"/>
          <w:lang w:val="en-GB"/>
        </w:rPr>
        <w:t>local authorities.</w:t>
      </w:r>
    </w:p>
    <w:p w14:paraId="799B3E99" w14:textId="77777777" w:rsidR="00D80693" w:rsidRPr="004C5B95" w:rsidRDefault="00D80693" w:rsidP="00D80693">
      <w:pPr>
        <w:spacing w:before="240"/>
        <w:jc w:val="both"/>
        <w:rPr>
          <w:rFonts w:eastAsia="Calibri"/>
          <w:color w:val="000000"/>
          <w:sz w:val="24"/>
          <w:szCs w:val="24"/>
          <w:lang w:val="en-GB"/>
        </w:rPr>
      </w:pPr>
    </w:p>
    <w:p w14:paraId="53BD7CB3" w14:textId="77777777" w:rsidR="00D80693" w:rsidRDefault="00D80693" w:rsidP="00D80693">
      <w:pPr>
        <w:spacing w:before="240"/>
        <w:jc w:val="both"/>
        <w:rPr>
          <w:rFonts w:eastAsia="Calibri"/>
          <w:b/>
          <w:bCs/>
          <w:color w:val="000000"/>
          <w:sz w:val="24"/>
          <w:szCs w:val="24"/>
          <w:lang w:val="en-GB"/>
        </w:rPr>
      </w:pPr>
    </w:p>
    <w:p w14:paraId="2765C874" w14:textId="77777777" w:rsidR="00D80693" w:rsidRDefault="00D80693" w:rsidP="00D80693">
      <w:pPr>
        <w:spacing w:before="240"/>
        <w:jc w:val="both"/>
        <w:rPr>
          <w:rFonts w:eastAsia="Calibri"/>
          <w:b/>
          <w:bCs/>
          <w:color w:val="000000"/>
          <w:sz w:val="24"/>
          <w:szCs w:val="24"/>
          <w:lang w:val="en-GB"/>
        </w:rPr>
      </w:pPr>
    </w:p>
    <w:p w14:paraId="06C7D36D" w14:textId="77777777" w:rsidR="00D80693" w:rsidRPr="004C5B95" w:rsidRDefault="00D80693" w:rsidP="00D80693">
      <w:pPr>
        <w:spacing w:before="240"/>
        <w:jc w:val="both"/>
        <w:rPr>
          <w:rFonts w:eastAsia="Calibri"/>
          <w:b/>
          <w:bCs/>
          <w:color w:val="000000"/>
          <w:sz w:val="24"/>
          <w:szCs w:val="24"/>
          <w:lang w:val="en-GB"/>
        </w:rPr>
      </w:pPr>
    </w:p>
    <w:p w14:paraId="7723C653" w14:textId="77777777" w:rsidR="00735D3E" w:rsidRPr="001928FA" w:rsidRDefault="00735D3E">
      <w:pPr>
        <w:rPr>
          <w:rFonts w:eastAsia="Calibri"/>
          <w:b/>
          <w:bCs/>
          <w:color w:val="000000"/>
          <w:sz w:val="28"/>
          <w:szCs w:val="24"/>
          <w:lang w:val="en-US"/>
        </w:rPr>
      </w:pPr>
      <w:r w:rsidRPr="001928FA">
        <w:rPr>
          <w:rFonts w:eastAsia="Calibri"/>
          <w:b/>
          <w:bCs/>
          <w:color w:val="000000"/>
          <w:sz w:val="28"/>
          <w:szCs w:val="24"/>
          <w:lang w:val="en-US"/>
        </w:rPr>
        <w:br w:type="page"/>
      </w:r>
    </w:p>
    <w:p w14:paraId="3B06A270" w14:textId="36A1C588" w:rsidR="00D80693" w:rsidRPr="004C5B95" w:rsidRDefault="00D80693" w:rsidP="00D80693">
      <w:pPr>
        <w:spacing w:before="240"/>
        <w:jc w:val="both"/>
        <w:rPr>
          <w:rFonts w:eastAsia="Calibri"/>
          <w:color w:val="000000"/>
          <w:sz w:val="24"/>
          <w:szCs w:val="24"/>
        </w:rPr>
      </w:pPr>
      <w:r w:rsidRPr="004C5B95">
        <w:rPr>
          <w:rFonts w:eastAsia="Calibri"/>
          <w:b/>
          <w:bCs/>
          <w:color w:val="000000"/>
          <w:sz w:val="28"/>
          <w:szCs w:val="24"/>
        </w:rPr>
        <w:t>Introduction</w:t>
      </w:r>
    </w:p>
    <w:p w14:paraId="0892721D" w14:textId="40ED15FF"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Les Universités émergent vers le début du XIIIe siècle (</w:t>
      </w:r>
      <w:proofErr w:type="spellStart"/>
      <w:r w:rsidRPr="001928FA">
        <w:rPr>
          <w:rFonts w:eastAsia="Calibri"/>
          <w:color w:val="000000"/>
          <w:sz w:val="24"/>
          <w:szCs w:val="24"/>
        </w:rPr>
        <w:t>Brémaud</w:t>
      </w:r>
      <w:proofErr w:type="spellEnd"/>
      <w:r w:rsidRPr="001928FA">
        <w:rPr>
          <w:rFonts w:eastAsia="Calibri"/>
          <w:color w:val="000000"/>
          <w:sz w:val="24"/>
          <w:szCs w:val="24"/>
        </w:rPr>
        <w:t xml:space="preserve"> et Boisclair, 2012). Maîtres et étudiants se réunissent pour se donner des statuts, et règlementer l</w:t>
      </w:r>
      <w:r w:rsidR="001928FA">
        <w:rPr>
          <w:rFonts w:eastAsia="Calibri"/>
          <w:color w:val="000000"/>
          <w:sz w:val="24"/>
          <w:szCs w:val="24"/>
        </w:rPr>
        <w:t>’</w:t>
      </w:r>
      <w:r w:rsidRPr="001928FA">
        <w:rPr>
          <w:rFonts w:eastAsia="Calibri"/>
          <w:color w:val="000000"/>
          <w:sz w:val="24"/>
          <w:szCs w:val="24"/>
        </w:rPr>
        <w:t>exercice autonome de l</w:t>
      </w:r>
      <w:r w:rsidR="001928FA">
        <w:rPr>
          <w:rFonts w:eastAsia="Calibri"/>
          <w:color w:val="000000"/>
          <w:sz w:val="24"/>
          <w:szCs w:val="24"/>
        </w:rPr>
        <w:t>’</w:t>
      </w:r>
      <w:r w:rsidRPr="001928FA">
        <w:rPr>
          <w:rFonts w:eastAsia="Calibri"/>
          <w:color w:val="000000"/>
          <w:sz w:val="24"/>
          <w:szCs w:val="24"/>
        </w:rPr>
        <w:t>activité qui était la raison même de leur association, à savoir l</w:t>
      </w:r>
      <w:r w:rsidR="001928FA">
        <w:rPr>
          <w:rFonts w:eastAsia="Calibri"/>
          <w:color w:val="000000"/>
          <w:sz w:val="24"/>
          <w:szCs w:val="24"/>
        </w:rPr>
        <w:t>’</w:t>
      </w:r>
      <w:r w:rsidRPr="001928FA">
        <w:rPr>
          <w:rFonts w:eastAsia="Calibri"/>
          <w:color w:val="000000"/>
          <w:sz w:val="24"/>
          <w:szCs w:val="24"/>
        </w:rPr>
        <w:t>étude et l</w:t>
      </w:r>
      <w:r w:rsidR="001928FA">
        <w:rPr>
          <w:rFonts w:eastAsia="Calibri"/>
          <w:color w:val="000000"/>
          <w:sz w:val="24"/>
          <w:szCs w:val="24"/>
        </w:rPr>
        <w:t>’</w:t>
      </w:r>
      <w:r w:rsidRPr="001928FA">
        <w:rPr>
          <w:rFonts w:eastAsia="Calibri"/>
          <w:color w:val="000000"/>
          <w:sz w:val="24"/>
          <w:szCs w:val="24"/>
        </w:rPr>
        <w:t>enseignement (Charle et Verger ; 1994). Dès lors, le paysage éducatif mondial évolue rapidement, avec une pression croissante sur les établissements d</w:t>
      </w:r>
      <w:r w:rsidR="001928FA">
        <w:rPr>
          <w:rFonts w:eastAsia="Calibri"/>
          <w:color w:val="000000"/>
          <w:sz w:val="24"/>
          <w:szCs w:val="24"/>
        </w:rPr>
        <w:t>’</w:t>
      </w:r>
      <w:r w:rsidRPr="001928FA">
        <w:rPr>
          <w:rFonts w:eastAsia="Calibri"/>
          <w:color w:val="000000"/>
          <w:sz w:val="24"/>
          <w:szCs w:val="24"/>
        </w:rPr>
        <w:t>enseignement supérieur pour qu'ils adaptent leurs programmes aux exigences du marché du travail. Elles vont se résoudre à dispenser un savoir orthodoxe, former les futures élites locales, contribuer à l</w:t>
      </w:r>
      <w:r w:rsidR="001928FA">
        <w:rPr>
          <w:rFonts w:eastAsia="Calibri"/>
          <w:color w:val="000000"/>
          <w:sz w:val="24"/>
          <w:szCs w:val="24"/>
        </w:rPr>
        <w:t>’</w:t>
      </w:r>
      <w:r w:rsidRPr="001928FA">
        <w:rPr>
          <w:rFonts w:eastAsia="Calibri"/>
          <w:color w:val="000000"/>
          <w:sz w:val="24"/>
          <w:szCs w:val="24"/>
        </w:rPr>
        <w:t>ordre social et politique établi (Charle et Verger, 1994). Il ne s</w:t>
      </w:r>
      <w:r w:rsidR="001928FA">
        <w:rPr>
          <w:rFonts w:eastAsia="Calibri"/>
          <w:color w:val="000000"/>
          <w:sz w:val="24"/>
          <w:szCs w:val="24"/>
        </w:rPr>
        <w:t>’</w:t>
      </w:r>
      <w:r w:rsidRPr="001928FA">
        <w:rPr>
          <w:rFonts w:eastAsia="Calibri"/>
          <w:color w:val="000000"/>
          <w:sz w:val="24"/>
          <w:szCs w:val="24"/>
        </w:rPr>
        <w:t>agit plus de doter les étudiants d</w:t>
      </w:r>
      <w:r w:rsidR="001928FA">
        <w:rPr>
          <w:rFonts w:eastAsia="Calibri"/>
          <w:color w:val="000000"/>
          <w:sz w:val="24"/>
          <w:szCs w:val="24"/>
        </w:rPr>
        <w:t>’</w:t>
      </w:r>
      <w:r w:rsidRPr="001928FA">
        <w:rPr>
          <w:rFonts w:eastAsia="Calibri"/>
          <w:color w:val="000000"/>
          <w:sz w:val="24"/>
          <w:szCs w:val="24"/>
        </w:rPr>
        <w:t>une culture générale solide, produisant la figure sociale de « l</w:t>
      </w:r>
      <w:r w:rsidR="001928FA">
        <w:rPr>
          <w:rFonts w:eastAsia="Calibri"/>
          <w:color w:val="000000"/>
          <w:sz w:val="24"/>
          <w:szCs w:val="24"/>
        </w:rPr>
        <w:t>’</w:t>
      </w:r>
      <w:r w:rsidRPr="001928FA">
        <w:rPr>
          <w:rFonts w:eastAsia="Calibri"/>
          <w:color w:val="000000"/>
          <w:sz w:val="24"/>
          <w:szCs w:val="24"/>
        </w:rPr>
        <w:t>intellectuel » selon Le Goff (1985, cité dans Charle et Verger, 1994). Il s</w:t>
      </w:r>
      <w:r w:rsidR="001928FA">
        <w:rPr>
          <w:rFonts w:eastAsia="Calibri"/>
          <w:color w:val="000000"/>
          <w:sz w:val="24"/>
          <w:szCs w:val="24"/>
        </w:rPr>
        <w:t>’</w:t>
      </w:r>
      <w:r w:rsidRPr="001928FA">
        <w:rPr>
          <w:rFonts w:eastAsia="Calibri"/>
          <w:color w:val="000000"/>
          <w:sz w:val="24"/>
          <w:szCs w:val="24"/>
        </w:rPr>
        <w:t>agit d</w:t>
      </w:r>
      <w:r w:rsidR="001928FA">
        <w:rPr>
          <w:rFonts w:eastAsia="Calibri"/>
          <w:color w:val="000000"/>
          <w:sz w:val="24"/>
          <w:szCs w:val="24"/>
        </w:rPr>
        <w:t>’</w:t>
      </w:r>
      <w:r w:rsidRPr="001928FA">
        <w:rPr>
          <w:rFonts w:eastAsia="Calibri"/>
          <w:color w:val="000000"/>
          <w:sz w:val="24"/>
          <w:szCs w:val="24"/>
        </w:rPr>
        <w:t>abord et avant tout de préparer des classes d</w:t>
      </w:r>
      <w:r w:rsidR="001928FA">
        <w:rPr>
          <w:rFonts w:eastAsia="Calibri"/>
          <w:color w:val="000000"/>
          <w:sz w:val="24"/>
          <w:szCs w:val="24"/>
        </w:rPr>
        <w:t>’</w:t>
      </w:r>
      <w:r w:rsidRPr="001928FA">
        <w:rPr>
          <w:rFonts w:eastAsia="Calibri"/>
          <w:color w:val="000000"/>
          <w:sz w:val="24"/>
          <w:szCs w:val="24"/>
        </w:rPr>
        <w:t>âge à un avenir professionnel, pour faire face au développement économique des sociétés industrielles occidentales (Bernier, 2011). Cette évolution rapide permettra d</w:t>
      </w:r>
      <w:r w:rsidR="001928FA">
        <w:rPr>
          <w:rFonts w:eastAsia="Calibri"/>
          <w:color w:val="000000"/>
          <w:sz w:val="24"/>
          <w:szCs w:val="24"/>
        </w:rPr>
        <w:t>’</w:t>
      </w:r>
      <w:r w:rsidRPr="001928FA">
        <w:rPr>
          <w:rFonts w:eastAsia="Calibri"/>
          <w:color w:val="000000"/>
          <w:sz w:val="24"/>
          <w:szCs w:val="24"/>
        </w:rPr>
        <w:t xml:space="preserve">assurer la transition vers la professionnalisation par spécialisation plus poussée des formations universitaires, faisant le lit à la montée du chômage des diplômés. </w:t>
      </w:r>
    </w:p>
    <w:p w14:paraId="75308AB0" w14:textId="62B72B1E"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Dans le même temps, les entreprises accroissent leurs exigences (Bourgault, </w:t>
      </w:r>
      <w:proofErr w:type="spellStart"/>
      <w:r w:rsidRPr="001928FA">
        <w:rPr>
          <w:rFonts w:eastAsia="Calibri"/>
          <w:color w:val="000000"/>
          <w:sz w:val="24"/>
          <w:szCs w:val="24"/>
        </w:rPr>
        <w:t>Charih</w:t>
      </w:r>
      <w:proofErr w:type="spellEnd"/>
      <w:r w:rsidRPr="001928FA">
        <w:rPr>
          <w:rFonts w:eastAsia="Calibri"/>
          <w:color w:val="000000"/>
          <w:sz w:val="24"/>
          <w:szCs w:val="24"/>
        </w:rPr>
        <w:t>, Maltais et Rouillard, 2003). L</w:t>
      </w:r>
      <w:r w:rsidR="001928FA">
        <w:rPr>
          <w:rFonts w:eastAsia="Calibri"/>
          <w:color w:val="000000"/>
          <w:sz w:val="24"/>
          <w:szCs w:val="24"/>
        </w:rPr>
        <w:t>’</w:t>
      </w:r>
      <w:r w:rsidRPr="001928FA">
        <w:rPr>
          <w:rFonts w:eastAsia="Calibri"/>
          <w:color w:val="000000"/>
          <w:sz w:val="24"/>
          <w:szCs w:val="24"/>
        </w:rPr>
        <w:t>Université, avec l</w:t>
      </w:r>
      <w:r w:rsidR="001928FA">
        <w:rPr>
          <w:rFonts w:eastAsia="Calibri"/>
          <w:color w:val="000000"/>
          <w:sz w:val="24"/>
          <w:szCs w:val="24"/>
        </w:rPr>
        <w:t>’</w:t>
      </w:r>
      <w:r w:rsidRPr="001928FA">
        <w:rPr>
          <w:rFonts w:eastAsia="Calibri"/>
          <w:color w:val="000000"/>
          <w:sz w:val="24"/>
          <w:szCs w:val="24"/>
        </w:rPr>
        <w:t>onction de l</w:t>
      </w:r>
      <w:r w:rsidR="001928FA">
        <w:rPr>
          <w:rFonts w:eastAsia="Calibri"/>
          <w:color w:val="000000"/>
          <w:sz w:val="24"/>
          <w:szCs w:val="24"/>
        </w:rPr>
        <w:t>’</w:t>
      </w:r>
      <w:r w:rsidRPr="001928FA">
        <w:rPr>
          <w:rFonts w:eastAsia="Calibri"/>
          <w:color w:val="000000"/>
          <w:sz w:val="24"/>
          <w:szCs w:val="24"/>
        </w:rPr>
        <w:t>Etat, se met peu à peu au nom de la professionnalisation, au service des entreprises. Dès lors, les programmes sont régulièrement révisés, afin d</w:t>
      </w:r>
      <w:r w:rsidR="001928FA">
        <w:rPr>
          <w:rFonts w:eastAsia="Calibri"/>
          <w:color w:val="000000"/>
          <w:sz w:val="24"/>
          <w:szCs w:val="24"/>
        </w:rPr>
        <w:t>’</w:t>
      </w:r>
      <w:r w:rsidRPr="001928FA">
        <w:rPr>
          <w:rFonts w:eastAsia="Calibri"/>
          <w:color w:val="000000"/>
          <w:sz w:val="24"/>
          <w:szCs w:val="24"/>
        </w:rPr>
        <w:t>aller toujours plus loin dans la professionnalisation des enseignements. L</w:t>
      </w:r>
      <w:r w:rsidR="001928FA">
        <w:rPr>
          <w:rFonts w:eastAsia="Calibri"/>
          <w:color w:val="000000"/>
          <w:sz w:val="24"/>
          <w:szCs w:val="24"/>
        </w:rPr>
        <w:t>’</w:t>
      </w:r>
      <w:r w:rsidRPr="001928FA">
        <w:rPr>
          <w:rFonts w:eastAsia="Calibri"/>
          <w:color w:val="000000"/>
          <w:sz w:val="24"/>
          <w:szCs w:val="24"/>
        </w:rPr>
        <w:t>objectif étant en effet, de parvenir à une meilleure adéquation formation-emploi (Biya, 2024). Cependant, cette adaptation ne doit pas se limiter à la formation des individus, mais doit également prendre en compte le développement global des collectivités territoriales. D</w:t>
      </w:r>
      <w:r w:rsidR="001928FA">
        <w:rPr>
          <w:rFonts w:eastAsia="Calibri"/>
          <w:color w:val="000000"/>
          <w:sz w:val="24"/>
          <w:szCs w:val="24"/>
        </w:rPr>
        <w:t>’</w:t>
      </w:r>
      <w:r w:rsidRPr="001928FA">
        <w:rPr>
          <w:rFonts w:eastAsia="Calibri"/>
          <w:color w:val="000000"/>
          <w:sz w:val="24"/>
          <w:szCs w:val="24"/>
        </w:rPr>
        <w:t>où tout le débat autour de la professionnalisation. En réalité, il s</w:t>
      </w:r>
      <w:r w:rsidR="001928FA">
        <w:rPr>
          <w:rFonts w:eastAsia="Calibri"/>
          <w:color w:val="000000"/>
          <w:sz w:val="24"/>
          <w:szCs w:val="24"/>
        </w:rPr>
        <w:t>’</w:t>
      </w:r>
      <w:r w:rsidRPr="001928FA">
        <w:rPr>
          <w:rFonts w:eastAsia="Calibri"/>
          <w:color w:val="000000"/>
          <w:sz w:val="24"/>
          <w:szCs w:val="24"/>
        </w:rPr>
        <w:t>agit d</w:t>
      </w:r>
      <w:r w:rsidR="001928FA">
        <w:rPr>
          <w:rFonts w:eastAsia="Calibri"/>
          <w:color w:val="000000"/>
          <w:sz w:val="24"/>
          <w:szCs w:val="24"/>
        </w:rPr>
        <w:t>’</w:t>
      </w:r>
      <w:r w:rsidRPr="001928FA">
        <w:rPr>
          <w:rFonts w:eastAsia="Calibri"/>
          <w:color w:val="000000"/>
          <w:sz w:val="24"/>
          <w:szCs w:val="24"/>
        </w:rPr>
        <w:t>un concept polysémique et multidimensionnel, qui nécessite une orientation Spécifique.</w:t>
      </w:r>
    </w:p>
    <w:p w14:paraId="62457F11" w14:textId="27D9BCCF"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La professionnalisation, expression anglo-saxonne par ricochet, désigne « </w:t>
      </w:r>
      <w:r w:rsidRPr="001928FA">
        <w:rPr>
          <w:rFonts w:eastAsia="Calibri"/>
          <w:i/>
          <w:color w:val="000000"/>
          <w:sz w:val="24"/>
          <w:szCs w:val="24"/>
        </w:rPr>
        <w:t>le processus de naissance et de structuration de groupes organisés, autonomes, et défendant leurs intérêts, notamment en contrôlant l</w:t>
      </w:r>
      <w:r w:rsidR="001928FA">
        <w:rPr>
          <w:rFonts w:eastAsia="Calibri"/>
          <w:i/>
          <w:color w:val="000000"/>
          <w:sz w:val="24"/>
          <w:szCs w:val="24"/>
        </w:rPr>
        <w:t>’</w:t>
      </w:r>
      <w:r w:rsidRPr="001928FA">
        <w:rPr>
          <w:rFonts w:eastAsia="Calibri"/>
          <w:i/>
          <w:color w:val="000000"/>
          <w:sz w:val="24"/>
          <w:szCs w:val="24"/>
        </w:rPr>
        <w:t xml:space="preserve">accès à la profession et à son exercice </w:t>
      </w:r>
      <w:r w:rsidRPr="001928FA">
        <w:rPr>
          <w:rFonts w:eastAsia="Calibri"/>
          <w:color w:val="000000"/>
          <w:sz w:val="24"/>
          <w:szCs w:val="24"/>
        </w:rPr>
        <w:t xml:space="preserve">». Selon le Dictionnaire Larousse illustré, édition 2000, la </w:t>
      </w:r>
      <w:r w:rsidRPr="001928FA">
        <w:rPr>
          <w:rFonts w:eastAsia="Calibri"/>
          <w:i/>
          <w:color w:val="000000"/>
          <w:sz w:val="24"/>
          <w:szCs w:val="24"/>
        </w:rPr>
        <w:t>« professionnalisation est l</w:t>
      </w:r>
      <w:r w:rsidR="001928FA">
        <w:rPr>
          <w:rFonts w:eastAsia="Calibri"/>
          <w:i/>
          <w:color w:val="000000"/>
          <w:sz w:val="24"/>
          <w:szCs w:val="24"/>
        </w:rPr>
        <w:t>’</w:t>
      </w:r>
      <w:r w:rsidRPr="001928FA">
        <w:rPr>
          <w:rFonts w:eastAsia="Calibri"/>
          <w:i/>
          <w:color w:val="000000"/>
          <w:sz w:val="24"/>
          <w:szCs w:val="24"/>
        </w:rPr>
        <w:t xml:space="preserve">action de devenir </w:t>
      </w:r>
      <w:proofErr w:type="gramStart"/>
      <w:r w:rsidRPr="001928FA">
        <w:rPr>
          <w:rFonts w:eastAsia="Calibri"/>
          <w:i/>
          <w:color w:val="000000"/>
          <w:sz w:val="24"/>
          <w:szCs w:val="24"/>
        </w:rPr>
        <w:t>professionnel</w:t>
      </w:r>
      <w:r w:rsidRPr="001928FA">
        <w:rPr>
          <w:rFonts w:eastAsia="Calibri"/>
          <w:color w:val="000000"/>
          <w:sz w:val="24"/>
          <w:szCs w:val="24"/>
        </w:rPr>
        <w:t>»</w:t>
      </w:r>
      <w:proofErr w:type="gramEnd"/>
      <w:r w:rsidRPr="001928FA">
        <w:rPr>
          <w:rFonts w:eastAsia="Calibri"/>
          <w:color w:val="000000"/>
          <w:sz w:val="24"/>
          <w:szCs w:val="24"/>
        </w:rPr>
        <w:t>. En France, la professionnalisation renvoie à la notion de formation des individus dans l</w:t>
      </w:r>
      <w:r w:rsidR="001928FA">
        <w:rPr>
          <w:rFonts w:eastAsia="Calibri"/>
          <w:color w:val="000000"/>
          <w:sz w:val="24"/>
          <w:szCs w:val="24"/>
        </w:rPr>
        <w:t>’</w:t>
      </w:r>
      <w:r w:rsidRPr="001928FA">
        <w:rPr>
          <w:rFonts w:eastAsia="Calibri"/>
          <w:color w:val="000000"/>
          <w:sz w:val="24"/>
          <w:szCs w:val="24"/>
        </w:rPr>
        <w:t>objectif de leur insertion dans un champ professionnel donné.</w:t>
      </w:r>
    </w:p>
    <w:p w14:paraId="1F289634" w14:textId="6EC191B3"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Cette approche met l</w:t>
      </w:r>
      <w:r w:rsidR="001928FA">
        <w:rPr>
          <w:rFonts w:eastAsia="Calibri"/>
          <w:color w:val="000000"/>
          <w:sz w:val="24"/>
          <w:szCs w:val="24"/>
        </w:rPr>
        <w:t>’</w:t>
      </w:r>
      <w:r w:rsidRPr="001928FA">
        <w:rPr>
          <w:rFonts w:eastAsia="Calibri"/>
          <w:color w:val="000000"/>
          <w:sz w:val="24"/>
          <w:szCs w:val="24"/>
        </w:rPr>
        <w:t>accent sur les notions de changements, d</w:t>
      </w:r>
      <w:r w:rsidR="001928FA">
        <w:rPr>
          <w:rFonts w:eastAsia="Calibri"/>
          <w:color w:val="000000"/>
          <w:sz w:val="24"/>
          <w:szCs w:val="24"/>
        </w:rPr>
        <w:t>’</w:t>
      </w:r>
      <w:r w:rsidRPr="001928FA">
        <w:rPr>
          <w:rFonts w:eastAsia="Calibri"/>
          <w:color w:val="000000"/>
          <w:sz w:val="24"/>
          <w:szCs w:val="24"/>
        </w:rPr>
        <w:t>évolution, de structuration de connaissances spécifiques ainsi que sur la dimension de réflexivité sur les pratiques. Pour Benell (1993, p. 20), la professionnalisation « est le processus ayant pour finalité l</w:t>
      </w:r>
      <w:r w:rsidR="001928FA">
        <w:rPr>
          <w:rFonts w:eastAsia="Calibri"/>
          <w:color w:val="000000"/>
          <w:sz w:val="24"/>
          <w:szCs w:val="24"/>
        </w:rPr>
        <w:t>’</w:t>
      </w:r>
      <w:r w:rsidRPr="001928FA">
        <w:rPr>
          <w:rFonts w:eastAsia="Calibri"/>
          <w:color w:val="000000"/>
          <w:sz w:val="24"/>
          <w:szCs w:val="24"/>
        </w:rPr>
        <w:t>acquisition des aptitudes nécessaires à l</w:t>
      </w:r>
      <w:r w:rsidR="001928FA">
        <w:rPr>
          <w:rFonts w:eastAsia="Calibri"/>
          <w:color w:val="000000"/>
          <w:sz w:val="24"/>
          <w:szCs w:val="24"/>
        </w:rPr>
        <w:t>’</w:t>
      </w:r>
      <w:r w:rsidRPr="001928FA">
        <w:rPr>
          <w:rFonts w:eastAsia="Calibri"/>
          <w:color w:val="000000"/>
          <w:sz w:val="24"/>
          <w:szCs w:val="24"/>
        </w:rPr>
        <w:t>exercice d</w:t>
      </w:r>
      <w:r w:rsidR="001928FA">
        <w:rPr>
          <w:rFonts w:eastAsia="Calibri"/>
          <w:color w:val="000000"/>
          <w:sz w:val="24"/>
          <w:szCs w:val="24"/>
        </w:rPr>
        <w:t>’</w:t>
      </w:r>
      <w:r w:rsidRPr="001928FA">
        <w:rPr>
          <w:rFonts w:eastAsia="Calibri"/>
          <w:color w:val="000000"/>
          <w:sz w:val="24"/>
          <w:szCs w:val="24"/>
        </w:rPr>
        <w:t>un emploi » C</w:t>
      </w:r>
      <w:r w:rsidR="001928FA">
        <w:rPr>
          <w:rFonts w:eastAsia="Calibri"/>
          <w:color w:val="000000"/>
          <w:sz w:val="24"/>
          <w:szCs w:val="24"/>
        </w:rPr>
        <w:t>’</w:t>
      </w:r>
      <w:r w:rsidRPr="001928FA">
        <w:rPr>
          <w:rFonts w:eastAsia="Calibri"/>
          <w:color w:val="000000"/>
          <w:sz w:val="24"/>
          <w:szCs w:val="24"/>
        </w:rPr>
        <w:t xml:space="preserve">est dans cette perspective que se situe notre travail. </w:t>
      </w:r>
      <w:proofErr w:type="spellStart"/>
      <w:r w:rsidRPr="001928FA">
        <w:rPr>
          <w:rFonts w:eastAsia="Calibri"/>
          <w:color w:val="000000"/>
          <w:sz w:val="24"/>
          <w:szCs w:val="24"/>
        </w:rPr>
        <w:t>Bourdoncle</w:t>
      </w:r>
      <w:proofErr w:type="spellEnd"/>
      <w:r w:rsidRPr="001928FA">
        <w:rPr>
          <w:rFonts w:eastAsia="Calibri"/>
          <w:color w:val="000000"/>
          <w:sz w:val="24"/>
          <w:szCs w:val="24"/>
        </w:rPr>
        <w:t xml:space="preserve">, (2000) conçoit la professionnalisation des enseignements comme le fait de construire la formation </w:t>
      </w:r>
      <w:proofErr w:type="gramStart"/>
      <w:r w:rsidRPr="001928FA">
        <w:rPr>
          <w:rFonts w:eastAsia="Calibri"/>
          <w:color w:val="000000"/>
          <w:sz w:val="24"/>
          <w:szCs w:val="24"/>
        </w:rPr>
        <w:t>de manière à ce</w:t>
      </w:r>
      <w:proofErr w:type="gramEnd"/>
      <w:r w:rsidRPr="001928FA">
        <w:rPr>
          <w:rFonts w:eastAsia="Calibri"/>
          <w:color w:val="000000"/>
          <w:sz w:val="24"/>
          <w:szCs w:val="24"/>
        </w:rPr>
        <w:t xml:space="preserve"> qu</w:t>
      </w:r>
      <w:r w:rsidR="001928FA">
        <w:rPr>
          <w:rFonts w:eastAsia="Calibri"/>
          <w:color w:val="000000"/>
          <w:sz w:val="24"/>
          <w:szCs w:val="24"/>
        </w:rPr>
        <w:t>’</w:t>
      </w:r>
      <w:r w:rsidRPr="001928FA">
        <w:rPr>
          <w:rFonts w:eastAsia="Calibri"/>
          <w:color w:val="000000"/>
          <w:sz w:val="24"/>
          <w:szCs w:val="24"/>
        </w:rPr>
        <w:t>elle rende les individus capables d</w:t>
      </w:r>
      <w:r w:rsidR="001928FA">
        <w:rPr>
          <w:rFonts w:eastAsia="Calibri"/>
          <w:color w:val="000000"/>
          <w:sz w:val="24"/>
          <w:szCs w:val="24"/>
        </w:rPr>
        <w:t>’</w:t>
      </w:r>
      <w:r w:rsidRPr="001928FA">
        <w:rPr>
          <w:rFonts w:eastAsia="Calibri"/>
          <w:color w:val="000000"/>
          <w:sz w:val="24"/>
          <w:szCs w:val="24"/>
        </w:rPr>
        <w:t>exercer une activité économique déterminée. Cette définition largement partagée dans le milieu scientifique, reste pour nous imparfaite. Nous voulons considérer la professionnalisation des enseignements comme la capacité d</w:t>
      </w:r>
      <w:r w:rsidR="001928FA">
        <w:rPr>
          <w:rFonts w:eastAsia="Calibri"/>
          <w:color w:val="000000"/>
          <w:sz w:val="24"/>
          <w:szCs w:val="24"/>
        </w:rPr>
        <w:t>’</w:t>
      </w:r>
      <w:r w:rsidRPr="001928FA">
        <w:rPr>
          <w:rFonts w:eastAsia="Calibri"/>
          <w:color w:val="000000"/>
          <w:sz w:val="24"/>
          <w:szCs w:val="24"/>
        </w:rPr>
        <w:t>adapter les curricula aux besoins locaux afin de rendre les produits de l</w:t>
      </w:r>
      <w:r w:rsidR="001928FA">
        <w:rPr>
          <w:rFonts w:eastAsia="Calibri"/>
          <w:color w:val="000000"/>
          <w:sz w:val="24"/>
          <w:szCs w:val="24"/>
        </w:rPr>
        <w:t>’</w:t>
      </w:r>
      <w:r w:rsidRPr="001928FA">
        <w:rPr>
          <w:rFonts w:eastAsia="Calibri"/>
          <w:color w:val="000000"/>
          <w:sz w:val="24"/>
          <w:szCs w:val="24"/>
        </w:rPr>
        <w:t>Université apte à interagir positivement avec leur milieu. Il ne s</w:t>
      </w:r>
      <w:r w:rsidR="001928FA">
        <w:rPr>
          <w:rFonts w:eastAsia="Calibri"/>
          <w:color w:val="000000"/>
          <w:sz w:val="24"/>
          <w:szCs w:val="24"/>
        </w:rPr>
        <w:t>’</w:t>
      </w:r>
      <w:r w:rsidRPr="001928FA">
        <w:rPr>
          <w:rFonts w:eastAsia="Calibri"/>
          <w:color w:val="000000"/>
          <w:sz w:val="24"/>
          <w:szCs w:val="24"/>
        </w:rPr>
        <w:t>agit plus de former simplement à un emploi, mais aussi et surtout de rendre capable d</w:t>
      </w:r>
      <w:r w:rsidR="001928FA">
        <w:rPr>
          <w:rFonts w:eastAsia="Calibri"/>
          <w:color w:val="000000"/>
          <w:sz w:val="24"/>
          <w:szCs w:val="24"/>
        </w:rPr>
        <w:t>’</w:t>
      </w:r>
      <w:r w:rsidRPr="001928FA">
        <w:rPr>
          <w:rFonts w:eastAsia="Calibri"/>
          <w:color w:val="000000"/>
          <w:sz w:val="24"/>
          <w:szCs w:val="24"/>
        </w:rPr>
        <w:t>impulser le développement local.</w:t>
      </w:r>
    </w:p>
    <w:p w14:paraId="7317195C" w14:textId="7D1E4DE8"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La professionnalisation selon (</w:t>
      </w:r>
      <w:proofErr w:type="spellStart"/>
      <w:r w:rsidRPr="001928FA">
        <w:rPr>
          <w:rFonts w:eastAsia="Calibri"/>
          <w:color w:val="000000"/>
          <w:sz w:val="24"/>
          <w:szCs w:val="24"/>
        </w:rPr>
        <w:t>Brémaud</w:t>
      </w:r>
      <w:proofErr w:type="spellEnd"/>
      <w:r w:rsidRPr="001928FA">
        <w:rPr>
          <w:rFonts w:eastAsia="Calibri"/>
          <w:color w:val="000000"/>
          <w:sz w:val="24"/>
          <w:szCs w:val="24"/>
        </w:rPr>
        <w:t>, Boisclair, 2012) suppose de repenser la pédagogie universitaire en encourageant des combinaisons de savoirs, bien au-delà des savoirs disciplinaires sur leurs versants théoriques. Le regain d</w:t>
      </w:r>
      <w:r w:rsidR="001928FA">
        <w:rPr>
          <w:rFonts w:eastAsia="Calibri"/>
          <w:color w:val="000000"/>
          <w:sz w:val="24"/>
          <w:szCs w:val="24"/>
        </w:rPr>
        <w:t>’</w:t>
      </w:r>
      <w:r w:rsidRPr="001928FA">
        <w:rPr>
          <w:rFonts w:eastAsia="Calibri"/>
          <w:color w:val="000000"/>
          <w:sz w:val="24"/>
          <w:szCs w:val="24"/>
        </w:rPr>
        <w:t>intérêt pour l</w:t>
      </w:r>
      <w:r w:rsidR="001928FA">
        <w:rPr>
          <w:rFonts w:eastAsia="Calibri"/>
          <w:color w:val="000000"/>
          <w:sz w:val="24"/>
          <w:szCs w:val="24"/>
        </w:rPr>
        <w:t>’</w:t>
      </w:r>
      <w:r w:rsidRPr="001928FA">
        <w:rPr>
          <w:rFonts w:eastAsia="Calibri"/>
          <w:color w:val="000000"/>
          <w:sz w:val="24"/>
          <w:szCs w:val="24"/>
        </w:rPr>
        <w:t>employabilité des diplômés donne aux institutions d</w:t>
      </w:r>
      <w:r w:rsidR="001928FA">
        <w:rPr>
          <w:rFonts w:eastAsia="Calibri"/>
          <w:color w:val="000000"/>
          <w:sz w:val="24"/>
          <w:szCs w:val="24"/>
        </w:rPr>
        <w:t>’</w:t>
      </w:r>
      <w:r w:rsidRPr="001928FA">
        <w:rPr>
          <w:rFonts w:eastAsia="Calibri"/>
          <w:color w:val="000000"/>
          <w:sz w:val="24"/>
          <w:szCs w:val="24"/>
        </w:rPr>
        <w:t xml:space="preserve">enseignement supérieur la responsabilité de préparer les étudiants pour le monde du travail (Grosjean, 2005). Ce faisant, </w:t>
      </w:r>
      <w:proofErr w:type="spellStart"/>
      <w:r w:rsidRPr="001928FA">
        <w:rPr>
          <w:rFonts w:eastAsia="Calibri"/>
          <w:color w:val="000000"/>
          <w:sz w:val="24"/>
          <w:szCs w:val="24"/>
        </w:rPr>
        <w:t>Brémaud</w:t>
      </w:r>
      <w:proofErr w:type="spellEnd"/>
      <w:r w:rsidRPr="001928FA">
        <w:rPr>
          <w:rFonts w:eastAsia="Calibri"/>
          <w:color w:val="000000"/>
          <w:sz w:val="24"/>
          <w:szCs w:val="24"/>
        </w:rPr>
        <w:t xml:space="preserve"> et Boisclair (2012) se demandent si l</w:t>
      </w:r>
      <w:r w:rsidR="001928FA">
        <w:rPr>
          <w:rFonts w:eastAsia="Calibri"/>
          <w:color w:val="000000"/>
          <w:sz w:val="24"/>
          <w:szCs w:val="24"/>
        </w:rPr>
        <w:t>’</w:t>
      </w:r>
      <w:r w:rsidRPr="001928FA">
        <w:rPr>
          <w:rFonts w:eastAsia="Calibri"/>
          <w:color w:val="000000"/>
          <w:sz w:val="24"/>
          <w:szCs w:val="24"/>
        </w:rPr>
        <w:t>Université doit offrir des qualifications « sur commande » au marché du travail. L</w:t>
      </w:r>
      <w:r w:rsidR="001928FA">
        <w:rPr>
          <w:rFonts w:eastAsia="Calibri"/>
          <w:color w:val="000000"/>
          <w:sz w:val="24"/>
          <w:szCs w:val="24"/>
        </w:rPr>
        <w:t>’</w:t>
      </w:r>
      <w:r w:rsidRPr="001928FA">
        <w:rPr>
          <w:rFonts w:eastAsia="Calibri"/>
          <w:color w:val="000000"/>
          <w:sz w:val="24"/>
          <w:szCs w:val="24"/>
        </w:rPr>
        <w:t xml:space="preserve">Université peut-elle seule, produire ces qualifications et cette employabilité ? Mission impossible selon Jobert (1999) pour qui les méthodes traditionnelles de formation ne peuvent répondre aux injonctions nouvelles auxquelles sont soumis les salariés (Dietrich, Gilbert et </w:t>
      </w:r>
      <w:proofErr w:type="spellStart"/>
      <w:r w:rsidRPr="001928FA">
        <w:rPr>
          <w:rFonts w:eastAsia="Calibri"/>
          <w:color w:val="000000"/>
          <w:sz w:val="24"/>
          <w:szCs w:val="24"/>
        </w:rPr>
        <w:t>Pigeyre</w:t>
      </w:r>
      <w:proofErr w:type="spellEnd"/>
      <w:r w:rsidRPr="001928FA">
        <w:rPr>
          <w:rFonts w:eastAsia="Calibri"/>
          <w:color w:val="000000"/>
          <w:sz w:val="24"/>
          <w:szCs w:val="24"/>
        </w:rPr>
        <w:t xml:space="preserve">, 2010 ; </w:t>
      </w:r>
      <w:proofErr w:type="spellStart"/>
      <w:r w:rsidRPr="001928FA">
        <w:rPr>
          <w:rFonts w:eastAsia="Calibri"/>
          <w:color w:val="000000"/>
          <w:sz w:val="24"/>
          <w:szCs w:val="24"/>
        </w:rPr>
        <w:t>Labruffe</w:t>
      </w:r>
      <w:proofErr w:type="spellEnd"/>
      <w:r w:rsidRPr="001928FA">
        <w:rPr>
          <w:rFonts w:eastAsia="Calibri"/>
          <w:color w:val="000000"/>
          <w:sz w:val="24"/>
          <w:szCs w:val="24"/>
        </w:rPr>
        <w:t>, 2005). Pour Le Goff (1993), le risque majeur de la formation professionnelle y compris universitaire est de se retrouver à la remorque des entreprises, dans une logique utilitaire de court terme, les entreprises produisant elles-mêmes leurs critères d</w:t>
      </w:r>
      <w:r w:rsidR="001928FA">
        <w:rPr>
          <w:rFonts w:eastAsia="Calibri"/>
          <w:color w:val="000000"/>
          <w:sz w:val="24"/>
          <w:szCs w:val="24"/>
        </w:rPr>
        <w:t>’</w:t>
      </w:r>
      <w:r w:rsidRPr="001928FA">
        <w:rPr>
          <w:rFonts w:eastAsia="Calibri"/>
          <w:color w:val="000000"/>
          <w:sz w:val="24"/>
          <w:szCs w:val="24"/>
        </w:rPr>
        <w:t>excellence. Pour lui, nombre de responsables et d</w:t>
      </w:r>
      <w:r w:rsidR="001928FA">
        <w:rPr>
          <w:rFonts w:eastAsia="Calibri"/>
          <w:color w:val="000000"/>
          <w:sz w:val="24"/>
          <w:szCs w:val="24"/>
        </w:rPr>
        <w:t>’</w:t>
      </w:r>
      <w:r w:rsidRPr="001928FA">
        <w:rPr>
          <w:rFonts w:eastAsia="Calibri"/>
          <w:color w:val="000000"/>
          <w:sz w:val="24"/>
          <w:szCs w:val="24"/>
        </w:rPr>
        <w:t>éducateurs ont opéré une fuite en avant dans la liaison avec les entreprises qui aboutit à la remise en cause de la finalité éducative. L</w:t>
      </w:r>
      <w:r w:rsidR="001928FA">
        <w:rPr>
          <w:rFonts w:eastAsia="Calibri"/>
          <w:color w:val="000000"/>
          <w:sz w:val="24"/>
          <w:szCs w:val="24"/>
        </w:rPr>
        <w:t>’</w:t>
      </w:r>
      <w:r w:rsidRPr="001928FA">
        <w:rPr>
          <w:rFonts w:eastAsia="Calibri"/>
          <w:color w:val="000000"/>
          <w:sz w:val="24"/>
          <w:szCs w:val="24"/>
        </w:rPr>
        <w:t>entreprise et sa logique productive sont devenues une référence clé, les milieux universitaires n</w:t>
      </w:r>
      <w:r w:rsidR="001928FA">
        <w:rPr>
          <w:rFonts w:eastAsia="Calibri"/>
          <w:color w:val="000000"/>
          <w:sz w:val="24"/>
          <w:szCs w:val="24"/>
        </w:rPr>
        <w:t>’</w:t>
      </w:r>
      <w:r w:rsidRPr="001928FA">
        <w:rPr>
          <w:rFonts w:eastAsia="Calibri"/>
          <w:color w:val="000000"/>
          <w:sz w:val="24"/>
          <w:szCs w:val="24"/>
        </w:rPr>
        <w:t>échappant pas à ce culte de l</w:t>
      </w:r>
      <w:r w:rsidR="001928FA">
        <w:rPr>
          <w:rFonts w:eastAsia="Calibri"/>
          <w:color w:val="000000"/>
          <w:sz w:val="24"/>
          <w:szCs w:val="24"/>
        </w:rPr>
        <w:t>’</w:t>
      </w:r>
      <w:r w:rsidRPr="001928FA">
        <w:rPr>
          <w:rFonts w:eastAsia="Calibri"/>
          <w:color w:val="000000"/>
          <w:sz w:val="24"/>
          <w:szCs w:val="24"/>
        </w:rPr>
        <w:t>entreprise.</w:t>
      </w:r>
    </w:p>
    <w:p w14:paraId="5834E1C5" w14:textId="0A4651A7"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Pourtant, c</w:t>
      </w:r>
      <w:r w:rsidR="001928FA">
        <w:rPr>
          <w:rFonts w:eastAsia="Calibri"/>
          <w:color w:val="000000"/>
          <w:sz w:val="24"/>
          <w:szCs w:val="24"/>
        </w:rPr>
        <w:t>’</w:t>
      </w:r>
      <w:r w:rsidRPr="001928FA">
        <w:rPr>
          <w:rFonts w:eastAsia="Calibri"/>
          <w:color w:val="000000"/>
          <w:sz w:val="24"/>
          <w:szCs w:val="24"/>
        </w:rPr>
        <w:t>est en veillant à conserver cette ligne de crête entre nécessité de conserver ses spécificités historiques et identitaires, mais sans rigidité, et la nécessité de garder le contact avec les sociétés qui l</w:t>
      </w:r>
      <w:r w:rsidR="001928FA">
        <w:rPr>
          <w:rFonts w:eastAsia="Calibri"/>
          <w:color w:val="000000"/>
          <w:sz w:val="24"/>
          <w:szCs w:val="24"/>
        </w:rPr>
        <w:t>’</w:t>
      </w:r>
      <w:r w:rsidRPr="001928FA">
        <w:rPr>
          <w:rFonts w:eastAsia="Calibri"/>
          <w:color w:val="000000"/>
          <w:sz w:val="24"/>
          <w:szCs w:val="24"/>
        </w:rPr>
        <w:t>entourent que l</w:t>
      </w:r>
      <w:r w:rsidR="001928FA">
        <w:rPr>
          <w:rFonts w:eastAsia="Calibri"/>
          <w:color w:val="000000"/>
          <w:sz w:val="24"/>
          <w:szCs w:val="24"/>
        </w:rPr>
        <w:t>’</w:t>
      </w:r>
      <w:r w:rsidRPr="001928FA">
        <w:rPr>
          <w:rFonts w:eastAsia="Calibri"/>
          <w:color w:val="000000"/>
          <w:sz w:val="24"/>
          <w:szCs w:val="24"/>
        </w:rPr>
        <w:t>Université pourra véritablement s</w:t>
      </w:r>
      <w:r w:rsidR="001928FA">
        <w:rPr>
          <w:rFonts w:eastAsia="Calibri"/>
          <w:color w:val="000000"/>
          <w:sz w:val="24"/>
          <w:szCs w:val="24"/>
        </w:rPr>
        <w:t>’</w:t>
      </w:r>
      <w:r w:rsidRPr="001928FA">
        <w:rPr>
          <w:rFonts w:eastAsia="Calibri"/>
          <w:color w:val="000000"/>
          <w:sz w:val="24"/>
          <w:szCs w:val="24"/>
        </w:rPr>
        <w:t>associer à d</w:t>
      </w:r>
      <w:r w:rsidR="001928FA">
        <w:rPr>
          <w:rFonts w:eastAsia="Calibri"/>
          <w:color w:val="000000"/>
          <w:sz w:val="24"/>
          <w:szCs w:val="24"/>
        </w:rPr>
        <w:t>’</w:t>
      </w:r>
      <w:r w:rsidRPr="001928FA">
        <w:rPr>
          <w:rFonts w:eastAsia="Calibri"/>
          <w:color w:val="000000"/>
          <w:sz w:val="24"/>
          <w:szCs w:val="24"/>
        </w:rPr>
        <w:t>autres partenaires, dans le cadre de tensions constitutives et productives.</w:t>
      </w:r>
    </w:p>
    <w:p w14:paraId="7FC62C70" w14:textId="7CE3C3FA"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La collaboration entre les établissements académiques, l</w:t>
      </w:r>
      <w:r w:rsidR="001928FA">
        <w:rPr>
          <w:rFonts w:eastAsia="Calibri"/>
          <w:color w:val="000000"/>
          <w:sz w:val="24"/>
          <w:szCs w:val="24"/>
        </w:rPr>
        <w:t>’</w:t>
      </w:r>
      <w:r w:rsidRPr="001928FA">
        <w:rPr>
          <w:rFonts w:eastAsia="Calibri"/>
          <w:color w:val="000000"/>
          <w:sz w:val="24"/>
          <w:szCs w:val="24"/>
        </w:rPr>
        <w:t>Etat, les entreprises locales et les collectivités territoriales décentralisées devient ainsi impérative pour créer des synergies, favoriser l</w:t>
      </w:r>
      <w:r w:rsidR="001928FA">
        <w:rPr>
          <w:rFonts w:eastAsia="Calibri"/>
          <w:color w:val="000000"/>
          <w:sz w:val="24"/>
          <w:szCs w:val="24"/>
        </w:rPr>
        <w:t>’</w:t>
      </w:r>
      <w:r w:rsidRPr="001928FA">
        <w:rPr>
          <w:rFonts w:eastAsia="Calibri"/>
          <w:color w:val="000000"/>
          <w:sz w:val="24"/>
          <w:szCs w:val="24"/>
        </w:rPr>
        <w:t>innovation et promouvoir l</w:t>
      </w:r>
      <w:r w:rsidR="001928FA">
        <w:rPr>
          <w:rFonts w:eastAsia="Calibri"/>
          <w:color w:val="000000"/>
          <w:sz w:val="24"/>
          <w:szCs w:val="24"/>
        </w:rPr>
        <w:t>’</w:t>
      </w:r>
      <w:r w:rsidRPr="001928FA">
        <w:rPr>
          <w:rFonts w:eastAsia="Calibri"/>
          <w:color w:val="000000"/>
          <w:sz w:val="24"/>
          <w:szCs w:val="24"/>
        </w:rPr>
        <w:t>entrepreneuriat. En fin de compte, la professionnalisation doit être perçue comme un moyen stratégique, non plus seulement pour fournir de la main d</w:t>
      </w:r>
      <w:r w:rsidR="001928FA">
        <w:rPr>
          <w:rFonts w:eastAsia="Calibri"/>
          <w:color w:val="000000"/>
          <w:sz w:val="24"/>
          <w:szCs w:val="24"/>
        </w:rPr>
        <w:t>’</w:t>
      </w:r>
      <w:r w:rsidRPr="001928FA">
        <w:rPr>
          <w:rFonts w:eastAsia="Calibri"/>
          <w:color w:val="000000"/>
          <w:sz w:val="24"/>
          <w:szCs w:val="24"/>
        </w:rPr>
        <w:t></w:t>
      </w:r>
      <w:proofErr w:type="spellStart"/>
      <w:r w:rsidRPr="001928FA">
        <w:rPr>
          <w:rFonts w:eastAsia="Calibri"/>
          <w:color w:val="000000"/>
          <w:sz w:val="24"/>
          <w:szCs w:val="24"/>
        </w:rPr>
        <w:t>uvre</w:t>
      </w:r>
      <w:proofErr w:type="spellEnd"/>
      <w:r w:rsidRPr="001928FA">
        <w:rPr>
          <w:rFonts w:eastAsia="Calibri"/>
          <w:color w:val="000000"/>
          <w:sz w:val="24"/>
          <w:szCs w:val="24"/>
        </w:rPr>
        <w:t xml:space="preserve"> qualifiée aux</w:t>
      </w:r>
      <w:r w:rsidRPr="001928FA">
        <w:rPr>
          <w:rFonts w:eastAsia="Calibri"/>
          <w:color w:val="FF0000"/>
          <w:sz w:val="24"/>
          <w:szCs w:val="24"/>
        </w:rPr>
        <w:t xml:space="preserve"> </w:t>
      </w:r>
      <w:r w:rsidRPr="001928FA">
        <w:rPr>
          <w:rFonts w:eastAsia="Calibri"/>
          <w:color w:val="000000"/>
          <w:sz w:val="24"/>
          <w:szCs w:val="24"/>
        </w:rPr>
        <w:t>entreprises, mais aussi un moyen d'assurer un développement des CTD qui, plus tard, pourra devenir un développement durable et inclusif, contribuant ainsi à une prospérité régionale accrue.</w:t>
      </w:r>
    </w:p>
    <w:p w14:paraId="70A3B7C6" w14:textId="0977EAC4"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Comment la professionnalisation peut-elle dépasser le simple objectif d</w:t>
      </w:r>
      <w:r w:rsidR="001928FA">
        <w:rPr>
          <w:rFonts w:eastAsia="Calibri"/>
          <w:color w:val="000000"/>
          <w:sz w:val="24"/>
          <w:szCs w:val="24"/>
        </w:rPr>
        <w:t>’</w:t>
      </w:r>
      <w:r w:rsidRPr="001928FA">
        <w:rPr>
          <w:rFonts w:eastAsia="Calibri"/>
          <w:color w:val="000000"/>
          <w:sz w:val="24"/>
          <w:szCs w:val="24"/>
        </w:rPr>
        <w:t>employabilité pour devenir un levier de développement territorial ? En d</w:t>
      </w:r>
      <w:r w:rsidR="001928FA">
        <w:rPr>
          <w:rFonts w:eastAsia="Calibri"/>
          <w:color w:val="000000"/>
          <w:sz w:val="24"/>
          <w:szCs w:val="24"/>
        </w:rPr>
        <w:t>’</w:t>
      </w:r>
      <w:r w:rsidRPr="001928FA">
        <w:rPr>
          <w:rFonts w:eastAsia="Calibri"/>
          <w:color w:val="000000"/>
          <w:sz w:val="24"/>
          <w:szCs w:val="24"/>
        </w:rPr>
        <w:t>autres</w:t>
      </w:r>
      <w:r w:rsidRPr="001928FA">
        <w:rPr>
          <w:rFonts w:eastAsia="Calibri"/>
          <w:color w:val="FF0000"/>
          <w:sz w:val="24"/>
          <w:szCs w:val="24"/>
        </w:rPr>
        <w:t xml:space="preserve"> </w:t>
      </w:r>
      <w:r w:rsidRPr="001928FA">
        <w:rPr>
          <w:rFonts w:eastAsia="Calibri"/>
          <w:color w:val="000000"/>
          <w:sz w:val="24"/>
          <w:szCs w:val="24"/>
        </w:rPr>
        <w:t>termes, comment concevoir un espace permettant d</w:t>
      </w:r>
      <w:r w:rsidR="001928FA">
        <w:rPr>
          <w:rFonts w:eastAsia="Calibri"/>
          <w:color w:val="000000"/>
          <w:sz w:val="24"/>
          <w:szCs w:val="24"/>
        </w:rPr>
        <w:t>’</w:t>
      </w:r>
      <w:r w:rsidRPr="001928FA">
        <w:rPr>
          <w:rFonts w:eastAsia="Calibri"/>
          <w:color w:val="000000"/>
          <w:sz w:val="24"/>
          <w:szCs w:val="24"/>
        </w:rPr>
        <w:t>expérimenter les savoirs d</w:t>
      </w:r>
      <w:r w:rsidR="001928FA">
        <w:rPr>
          <w:rFonts w:eastAsia="Calibri"/>
          <w:color w:val="000000"/>
          <w:sz w:val="24"/>
          <w:szCs w:val="24"/>
        </w:rPr>
        <w:t>’</w:t>
      </w:r>
      <w:r w:rsidRPr="001928FA">
        <w:rPr>
          <w:rFonts w:eastAsia="Calibri"/>
          <w:color w:val="000000"/>
          <w:sz w:val="24"/>
          <w:szCs w:val="24"/>
        </w:rPr>
        <w:t>action et les savoirs pratiques ? Peut-on penser seuls les dispositifs professionnalisants, c</w:t>
      </w:r>
      <w:r w:rsidR="001928FA">
        <w:rPr>
          <w:rFonts w:eastAsia="Calibri"/>
          <w:color w:val="000000"/>
          <w:sz w:val="24"/>
          <w:szCs w:val="24"/>
        </w:rPr>
        <w:t>’</w:t>
      </w:r>
      <w:r w:rsidRPr="001928FA">
        <w:rPr>
          <w:rFonts w:eastAsia="Calibri"/>
          <w:color w:val="000000"/>
          <w:sz w:val="24"/>
          <w:szCs w:val="24"/>
        </w:rPr>
        <w:t>est-à-dire à travers la triangulation universitaires-Etat-Entreprise ? Doit-on s</w:t>
      </w:r>
      <w:r w:rsidR="001928FA">
        <w:rPr>
          <w:rFonts w:eastAsia="Calibri"/>
          <w:color w:val="000000"/>
          <w:sz w:val="24"/>
          <w:szCs w:val="24"/>
        </w:rPr>
        <w:t>’</w:t>
      </w:r>
      <w:r w:rsidRPr="001928FA">
        <w:rPr>
          <w:rFonts w:eastAsia="Calibri"/>
          <w:color w:val="000000"/>
          <w:sz w:val="24"/>
          <w:szCs w:val="24"/>
        </w:rPr>
        <w:t>associer à d</w:t>
      </w:r>
      <w:r w:rsidR="001928FA">
        <w:rPr>
          <w:rFonts w:eastAsia="Calibri"/>
          <w:color w:val="000000"/>
          <w:sz w:val="24"/>
          <w:szCs w:val="24"/>
        </w:rPr>
        <w:t>’</w:t>
      </w:r>
      <w:r w:rsidRPr="001928FA">
        <w:rPr>
          <w:rFonts w:eastAsia="Calibri"/>
          <w:color w:val="000000"/>
          <w:sz w:val="24"/>
          <w:szCs w:val="24"/>
        </w:rPr>
        <w:t>autres pour donner corps à deux lieux d</w:t>
      </w:r>
      <w:r w:rsidR="001928FA">
        <w:rPr>
          <w:rFonts w:eastAsia="Calibri"/>
          <w:color w:val="000000"/>
          <w:sz w:val="24"/>
          <w:szCs w:val="24"/>
        </w:rPr>
        <w:t>’</w:t>
      </w:r>
      <w:r w:rsidRPr="001928FA">
        <w:rPr>
          <w:rFonts w:eastAsia="Calibri"/>
          <w:color w:val="000000"/>
          <w:sz w:val="24"/>
          <w:szCs w:val="24"/>
        </w:rPr>
        <w:t>apprentissage pour deux types d</w:t>
      </w:r>
      <w:r w:rsidR="001928FA">
        <w:rPr>
          <w:rFonts w:eastAsia="Calibri"/>
          <w:color w:val="000000"/>
          <w:sz w:val="24"/>
          <w:szCs w:val="24"/>
        </w:rPr>
        <w:t>’</w:t>
      </w:r>
      <w:r w:rsidRPr="001928FA">
        <w:rPr>
          <w:rFonts w:eastAsia="Calibri"/>
          <w:color w:val="000000"/>
          <w:sz w:val="24"/>
          <w:szCs w:val="24"/>
        </w:rPr>
        <w:t>apprentissage capable d</w:t>
      </w:r>
      <w:r w:rsidR="001928FA">
        <w:rPr>
          <w:rFonts w:eastAsia="Calibri"/>
          <w:color w:val="000000"/>
          <w:sz w:val="24"/>
          <w:szCs w:val="24"/>
        </w:rPr>
        <w:t>’</w:t>
      </w:r>
      <w:r w:rsidRPr="001928FA">
        <w:rPr>
          <w:rFonts w:eastAsia="Calibri"/>
          <w:color w:val="000000"/>
          <w:sz w:val="24"/>
          <w:szCs w:val="24"/>
        </w:rPr>
        <w:t>impacter positivement le développement local ?</w:t>
      </w:r>
    </w:p>
    <w:p w14:paraId="53CE2722" w14:textId="36C6B5DB"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Cet article soutient que la professionnalisation de l</w:t>
      </w:r>
      <w:r w:rsidR="001928FA">
        <w:rPr>
          <w:rFonts w:eastAsia="Calibri"/>
          <w:color w:val="000000"/>
          <w:sz w:val="24"/>
          <w:szCs w:val="24"/>
        </w:rPr>
        <w:t>’</w:t>
      </w:r>
      <w:r w:rsidRPr="001928FA">
        <w:rPr>
          <w:rFonts w:eastAsia="Calibri"/>
          <w:color w:val="000000"/>
          <w:sz w:val="24"/>
          <w:szCs w:val="24"/>
        </w:rPr>
        <w:t>enseignement supérieur doit être perçue comme un moyen d</w:t>
      </w:r>
      <w:r w:rsidR="001928FA">
        <w:rPr>
          <w:rFonts w:eastAsia="Calibri"/>
          <w:color w:val="000000"/>
          <w:sz w:val="24"/>
          <w:szCs w:val="24"/>
        </w:rPr>
        <w:t>’</w:t>
      </w:r>
      <w:r w:rsidRPr="001928FA">
        <w:rPr>
          <w:rFonts w:eastAsia="Calibri"/>
          <w:color w:val="000000"/>
          <w:sz w:val="24"/>
          <w:szCs w:val="24"/>
        </w:rPr>
        <w:t xml:space="preserve">atteindre un objectif fondamental : le développement des CTD. </w:t>
      </w:r>
    </w:p>
    <w:p w14:paraId="26C0151A" w14:textId="3659FCDC"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Notre réflexion s</w:t>
      </w:r>
      <w:r w:rsidR="001928FA">
        <w:rPr>
          <w:rFonts w:eastAsia="Calibri"/>
          <w:color w:val="000000"/>
          <w:sz w:val="24"/>
          <w:szCs w:val="24"/>
        </w:rPr>
        <w:t>’</w:t>
      </w:r>
      <w:r w:rsidRPr="001928FA">
        <w:rPr>
          <w:rFonts w:eastAsia="Calibri"/>
          <w:color w:val="000000"/>
          <w:sz w:val="24"/>
          <w:szCs w:val="24"/>
        </w:rPr>
        <w:t>articule autour de trois points : la professionnalisation de l</w:t>
      </w:r>
      <w:r w:rsidR="001928FA">
        <w:rPr>
          <w:rFonts w:eastAsia="Calibri"/>
          <w:color w:val="000000"/>
          <w:sz w:val="24"/>
          <w:szCs w:val="24"/>
        </w:rPr>
        <w:t>’</w:t>
      </w:r>
      <w:r w:rsidRPr="001928FA">
        <w:rPr>
          <w:rFonts w:eastAsia="Calibri"/>
          <w:color w:val="000000"/>
          <w:sz w:val="24"/>
          <w:szCs w:val="24"/>
        </w:rPr>
        <w:t>enseignement supérieur comme une réponse aux besoins locaux (I), l</w:t>
      </w:r>
      <w:r w:rsidR="001928FA">
        <w:rPr>
          <w:rFonts w:eastAsia="Calibri"/>
          <w:color w:val="000000"/>
          <w:sz w:val="24"/>
          <w:szCs w:val="24"/>
        </w:rPr>
        <w:t>’</w:t>
      </w:r>
      <w:r w:rsidRPr="001928FA">
        <w:rPr>
          <w:rFonts w:eastAsia="Calibri"/>
          <w:color w:val="000000"/>
          <w:sz w:val="24"/>
          <w:szCs w:val="24"/>
        </w:rPr>
        <w:t>urgence d</w:t>
      </w:r>
      <w:r w:rsidR="001928FA">
        <w:rPr>
          <w:rFonts w:eastAsia="Calibri"/>
          <w:color w:val="000000"/>
          <w:sz w:val="24"/>
          <w:szCs w:val="24"/>
        </w:rPr>
        <w:t>’</w:t>
      </w:r>
      <w:r w:rsidRPr="001928FA">
        <w:rPr>
          <w:rFonts w:eastAsia="Calibri"/>
          <w:color w:val="000000"/>
          <w:sz w:val="24"/>
          <w:szCs w:val="24"/>
        </w:rPr>
        <w:t>un réel partenariat entre Université et CTD (II) et l</w:t>
      </w:r>
      <w:r w:rsidR="001928FA">
        <w:rPr>
          <w:rFonts w:eastAsia="Calibri"/>
          <w:color w:val="000000"/>
          <w:sz w:val="24"/>
          <w:szCs w:val="24"/>
        </w:rPr>
        <w:t>’</w:t>
      </w:r>
      <w:r w:rsidRPr="001928FA">
        <w:rPr>
          <w:rFonts w:eastAsia="Calibri"/>
          <w:color w:val="000000"/>
          <w:sz w:val="24"/>
          <w:szCs w:val="24"/>
        </w:rPr>
        <w:t>impact de la professionnalisation de l</w:t>
      </w:r>
      <w:r w:rsidR="001928FA">
        <w:rPr>
          <w:rFonts w:eastAsia="Calibri"/>
          <w:color w:val="000000"/>
          <w:sz w:val="24"/>
          <w:szCs w:val="24"/>
        </w:rPr>
        <w:t>’</w:t>
      </w:r>
      <w:r w:rsidRPr="001928FA">
        <w:rPr>
          <w:rFonts w:eastAsia="Calibri"/>
          <w:color w:val="000000"/>
          <w:sz w:val="24"/>
          <w:szCs w:val="24"/>
        </w:rPr>
        <w:t>enseignement supérieur sur le développement des CTD (III).</w:t>
      </w:r>
    </w:p>
    <w:p w14:paraId="4F12F927" w14:textId="31B1BAD0" w:rsidR="00D80693" w:rsidRPr="001928FA" w:rsidRDefault="00D80693" w:rsidP="001928FA">
      <w:pPr>
        <w:widowControl/>
        <w:numPr>
          <w:ilvl w:val="0"/>
          <w:numId w:val="202"/>
        </w:numPr>
        <w:autoSpaceDE/>
        <w:autoSpaceDN/>
        <w:spacing w:before="120"/>
        <w:jc w:val="both"/>
        <w:rPr>
          <w:rFonts w:eastAsia="Calibri"/>
          <w:color w:val="000000"/>
          <w:sz w:val="28"/>
          <w:szCs w:val="24"/>
        </w:rPr>
      </w:pPr>
      <w:r w:rsidRPr="001928FA">
        <w:rPr>
          <w:rFonts w:eastAsia="Calibri"/>
          <w:b/>
          <w:bCs/>
          <w:color w:val="000000"/>
          <w:sz w:val="28"/>
          <w:szCs w:val="24"/>
        </w:rPr>
        <w:t xml:space="preserve"> La </w:t>
      </w:r>
      <w:r w:rsidR="001928FA">
        <w:rPr>
          <w:rFonts w:eastAsia="Calibri"/>
          <w:b/>
          <w:bCs/>
          <w:color w:val="000000"/>
          <w:sz w:val="28"/>
          <w:szCs w:val="24"/>
        </w:rPr>
        <w:t>p</w:t>
      </w:r>
      <w:r w:rsidRPr="001928FA">
        <w:rPr>
          <w:rFonts w:eastAsia="Calibri"/>
          <w:b/>
          <w:bCs/>
          <w:color w:val="000000"/>
          <w:sz w:val="28"/>
          <w:szCs w:val="24"/>
        </w:rPr>
        <w:t>rofessionnalisation de l</w:t>
      </w:r>
      <w:r w:rsidR="001928FA">
        <w:rPr>
          <w:rFonts w:eastAsia="Calibri"/>
          <w:b/>
          <w:bCs/>
          <w:color w:val="000000"/>
          <w:sz w:val="28"/>
          <w:szCs w:val="24"/>
        </w:rPr>
        <w:t>’</w:t>
      </w:r>
      <w:r w:rsidRPr="001928FA">
        <w:rPr>
          <w:rFonts w:eastAsia="Calibri"/>
          <w:b/>
          <w:bCs/>
          <w:color w:val="000000"/>
          <w:sz w:val="28"/>
          <w:szCs w:val="24"/>
        </w:rPr>
        <w:t>enseignement supérieur : une réponse aux besoins sociaux et économiques locaux</w:t>
      </w:r>
    </w:p>
    <w:p w14:paraId="25ED3FA9" w14:textId="6645E1FF"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La professionnalisation des programmes d</w:t>
      </w:r>
      <w:r w:rsidR="001928FA">
        <w:rPr>
          <w:rFonts w:eastAsia="Calibri"/>
          <w:color w:val="000000"/>
          <w:sz w:val="24"/>
          <w:szCs w:val="24"/>
        </w:rPr>
        <w:t>’</w:t>
      </w:r>
      <w:r w:rsidRPr="001928FA">
        <w:rPr>
          <w:rFonts w:eastAsia="Calibri"/>
          <w:color w:val="000000"/>
          <w:sz w:val="24"/>
          <w:szCs w:val="24"/>
        </w:rPr>
        <w:t>enseignement supérieur implique nécessairement une collaboration étroite avec les entreprises et les collectivités pour identifier les compétences nécessaires, mais surtout les besoins réels des populations.</w:t>
      </w:r>
    </w:p>
    <w:p w14:paraId="19AFFEDA" w14:textId="77777777" w:rsidR="00D80693" w:rsidRPr="001928FA" w:rsidRDefault="00D80693" w:rsidP="001928FA">
      <w:pPr>
        <w:widowControl/>
        <w:numPr>
          <w:ilvl w:val="1"/>
          <w:numId w:val="202"/>
        </w:numPr>
        <w:autoSpaceDE/>
        <w:autoSpaceDN/>
        <w:spacing w:before="120"/>
        <w:jc w:val="both"/>
        <w:rPr>
          <w:rFonts w:eastAsia="Calibri"/>
          <w:color w:val="000000"/>
          <w:sz w:val="24"/>
          <w:szCs w:val="24"/>
        </w:rPr>
      </w:pPr>
      <w:r w:rsidRPr="001928FA">
        <w:rPr>
          <w:rFonts w:eastAsia="Calibri"/>
          <w:b/>
          <w:bCs/>
          <w:color w:val="000000"/>
          <w:sz w:val="24"/>
          <w:szCs w:val="24"/>
        </w:rPr>
        <w:t>Diagnostic des besoins locaux</w:t>
      </w:r>
      <w:r w:rsidRPr="001928FA">
        <w:rPr>
          <w:rFonts w:eastAsia="Calibri"/>
          <w:color w:val="000000"/>
          <w:sz w:val="24"/>
          <w:szCs w:val="24"/>
        </w:rPr>
        <w:t> </w:t>
      </w:r>
    </w:p>
    <w:p w14:paraId="0FD0BD7A" w14:textId="77777777"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Des études récentes montrent que des diagnostics systématiques des besoins de compétences dans les CTD permettent de mieux cibler les formations proposées (Pires et Ferreira, 2021). Les difficultés pour l'État à résorber le chômage des jeunes et à apporter une solution fiable au problème de l'inadéquation entre la formation et l'emploi sont à l'origine de l'idée de la professionnalisation de l'enseignement au Cameroun (</w:t>
      </w:r>
      <w:proofErr w:type="spellStart"/>
      <w:r w:rsidRPr="001928FA">
        <w:rPr>
          <w:rFonts w:eastAsia="Calibri"/>
          <w:color w:val="000000"/>
          <w:sz w:val="24"/>
          <w:szCs w:val="24"/>
        </w:rPr>
        <w:t>Maingari</w:t>
      </w:r>
      <w:proofErr w:type="spellEnd"/>
      <w:r w:rsidRPr="001928FA">
        <w:rPr>
          <w:rFonts w:eastAsia="Calibri"/>
          <w:color w:val="000000"/>
          <w:sz w:val="24"/>
          <w:szCs w:val="24"/>
        </w:rPr>
        <w:t>, 1997). Car en réalité, quelles que soient la volonté du gouvernement et les ressources financières dont un pays peut disposer, elles ne seront jamais suffisantes pour offrir à tous les jeunes un emploi dans la fonction publique ou dans le secteur privé (Biya, 2025).</w:t>
      </w:r>
    </w:p>
    <w:p w14:paraId="5601A159" w14:textId="35C68B1D"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A cet effet, diagnostiquer au préalable les besoins locaux constitue une étape cruciale dans la mise en </w:t>
      </w:r>
      <w:proofErr w:type="spellStart"/>
      <w:r w:rsidRPr="001928FA">
        <w:rPr>
          <w:rFonts w:eastAsia="Calibri"/>
          <w:color w:val="000000"/>
          <w:sz w:val="24"/>
          <w:szCs w:val="24"/>
        </w:rPr>
        <w:t>uvre</w:t>
      </w:r>
      <w:proofErr w:type="spellEnd"/>
      <w:r w:rsidRPr="001928FA">
        <w:rPr>
          <w:rFonts w:eastAsia="Calibri"/>
          <w:color w:val="000000"/>
          <w:sz w:val="24"/>
          <w:szCs w:val="24"/>
        </w:rPr>
        <w:t xml:space="preserve"> de la professionnalisation des programmes d</w:t>
      </w:r>
      <w:r w:rsidR="001928FA">
        <w:rPr>
          <w:rFonts w:eastAsia="Calibri"/>
          <w:color w:val="000000"/>
          <w:sz w:val="24"/>
          <w:szCs w:val="24"/>
        </w:rPr>
        <w:t>’</w:t>
      </w:r>
      <w:r w:rsidRPr="001928FA">
        <w:rPr>
          <w:rFonts w:eastAsia="Calibri"/>
          <w:color w:val="000000"/>
          <w:sz w:val="24"/>
          <w:szCs w:val="24"/>
        </w:rPr>
        <w:t>enseignement supérieur, en particulier lorsqu</w:t>
      </w:r>
      <w:r w:rsidR="001928FA">
        <w:rPr>
          <w:rFonts w:eastAsia="Calibri"/>
          <w:color w:val="000000"/>
          <w:sz w:val="24"/>
          <w:szCs w:val="24"/>
        </w:rPr>
        <w:t>’</w:t>
      </w:r>
      <w:r w:rsidRPr="001928FA">
        <w:rPr>
          <w:rFonts w:eastAsia="Calibri"/>
          <w:color w:val="000000"/>
          <w:sz w:val="24"/>
          <w:szCs w:val="24"/>
        </w:rPr>
        <w:t>il s</w:t>
      </w:r>
      <w:r w:rsidR="001928FA">
        <w:rPr>
          <w:rFonts w:eastAsia="Calibri"/>
          <w:color w:val="000000"/>
          <w:sz w:val="24"/>
          <w:szCs w:val="24"/>
        </w:rPr>
        <w:t>’</w:t>
      </w:r>
      <w:r w:rsidRPr="001928FA">
        <w:rPr>
          <w:rFonts w:eastAsia="Calibri"/>
          <w:color w:val="000000"/>
          <w:sz w:val="24"/>
          <w:szCs w:val="24"/>
        </w:rPr>
        <w:t>agit d</w:t>
      </w:r>
      <w:r w:rsidR="001928FA">
        <w:rPr>
          <w:rFonts w:eastAsia="Calibri"/>
          <w:color w:val="000000"/>
          <w:sz w:val="24"/>
          <w:szCs w:val="24"/>
        </w:rPr>
        <w:t>’</w:t>
      </w:r>
      <w:r w:rsidRPr="001928FA">
        <w:rPr>
          <w:rFonts w:eastAsia="Calibri"/>
          <w:color w:val="000000"/>
          <w:sz w:val="24"/>
          <w:szCs w:val="24"/>
        </w:rPr>
        <w:t>assurer une adéquation optimale entre la formation académique et les exigences socio-économiques du territoire (Lahire, 2012). Il s</w:t>
      </w:r>
      <w:r w:rsidR="001928FA">
        <w:rPr>
          <w:rFonts w:eastAsia="Calibri"/>
          <w:color w:val="000000"/>
          <w:sz w:val="24"/>
          <w:szCs w:val="24"/>
        </w:rPr>
        <w:t>’</w:t>
      </w:r>
      <w:r w:rsidRPr="001928FA">
        <w:rPr>
          <w:rFonts w:eastAsia="Calibri"/>
          <w:color w:val="000000"/>
          <w:sz w:val="24"/>
          <w:szCs w:val="24"/>
        </w:rPr>
        <w:t xml:space="preserve">agit de toute évidence de mettre en place de nouveaux dispositifs, outils et démarches pour réfléchir et planifier le développement en associant les acteurs locaux (Chia, Rey-Valette, </w:t>
      </w:r>
      <w:r w:rsidRPr="001928FA">
        <w:rPr>
          <w:rFonts w:eastAsia="Calibri"/>
          <w:i/>
          <w:color w:val="000000"/>
          <w:sz w:val="24"/>
          <w:szCs w:val="24"/>
        </w:rPr>
        <w:t>et al</w:t>
      </w:r>
      <w:r w:rsidRPr="001928FA">
        <w:rPr>
          <w:rFonts w:eastAsia="Calibri"/>
          <w:color w:val="000000"/>
          <w:sz w:val="24"/>
          <w:szCs w:val="24"/>
        </w:rPr>
        <w:t xml:space="preserve">., 2010). Selon </w:t>
      </w:r>
      <w:proofErr w:type="spellStart"/>
      <w:r w:rsidRPr="001928FA">
        <w:rPr>
          <w:rFonts w:eastAsia="Calibri"/>
          <w:color w:val="000000"/>
          <w:sz w:val="24"/>
          <w:szCs w:val="24"/>
        </w:rPr>
        <w:t>Boudriga</w:t>
      </w:r>
      <w:proofErr w:type="spellEnd"/>
      <w:r w:rsidRPr="001928FA">
        <w:rPr>
          <w:rFonts w:eastAsia="Calibri"/>
          <w:color w:val="000000"/>
          <w:sz w:val="24"/>
          <w:szCs w:val="24"/>
        </w:rPr>
        <w:t>, cette étape permet d</w:t>
      </w:r>
      <w:r w:rsidR="001928FA">
        <w:rPr>
          <w:rFonts w:eastAsia="Calibri"/>
          <w:color w:val="000000"/>
          <w:sz w:val="24"/>
          <w:szCs w:val="24"/>
        </w:rPr>
        <w:t>’</w:t>
      </w:r>
      <w:r w:rsidRPr="001928FA">
        <w:rPr>
          <w:rFonts w:eastAsia="Calibri"/>
          <w:color w:val="000000"/>
          <w:sz w:val="24"/>
          <w:szCs w:val="24"/>
        </w:rPr>
        <w:t>identifier de façon précise les compétences, qualifications et savoir-faire attendus par les acteurs économiques, sociaux, et institutionnels locaux, afin d</w:t>
      </w:r>
      <w:r w:rsidR="001928FA">
        <w:rPr>
          <w:rFonts w:eastAsia="Calibri"/>
          <w:color w:val="000000"/>
          <w:sz w:val="24"/>
          <w:szCs w:val="24"/>
        </w:rPr>
        <w:t>’</w:t>
      </w:r>
      <w:r w:rsidRPr="001928FA">
        <w:rPr>
          <w:rFonts w:eastAsia="Calibri"/>
          <w:color w:val="000000"/>
          <w:sz w:val="24"/>
          <w:szCs w:val="24"/>
        </w:rPr>
        <w:t>adapter l</w:t>
      </w:r>
      <w:r w:rsidR="001928FA">
        <w:rPr>
          <w:rFonts w:eastAsia="Calibri"/>
          <w:color w:val="000000"/>
          <w:sz w:val="24"/>
          <w:szCs w:val="24"/>
        </w:rPr>
        <w:t>’</w:t>
      </w:r>
      <w:r w:rsidRPr="001928FA">
        <w:rPr>
          <w:rFonts w:eastAsia="Calibri"/>
          <w:color w:val="000000"/>
          <w:sz w:val="24"/>
          <w:szCs w:val="24"/>
        </w:rPr>
        <w:t>offre de formation en conséquence (</w:t>
      </w:r>
      <w:proofErr w:type="spellStart"/>
      <w:r w:rsidRPr="001928FA">
        <w:rPr>
          <w:rFonts w:eastAsia="Calibri"/>
          <w:color w:val="000000"/>
          <w:sz w:val="24"/>
          <w:szCs w:val="24"/>
        </w:rPr>
        <w:t>Boudriga</w:t>
      </w:r>
      <w:proofErr w:type="spellEnd"/>
      <w:r w:rsidRPr="001928FA">
        <w:rPr>
          <w:rFonts w:eastAsia="Calibri"/>
          <w:color w:val="000000"/>
          <w:sz w:val="24"/>
          <w:szCs w:val="24"/>
        </w:rPr>
        <w:t>, 2015). Mieux encore, le diagnostic des besoins locaux permet d</w:t>
      </w:r>
      <w:r w:rsidR="001928FA">
        <w:rPr>
          <w:rFonts w:eastAsia="Calibri"/>
          <w:color w:val="000000"/>
          <w:sz w:val="24"/>
          <w:szCs w:val="24"/>
        </w:rPr>
        <w:t>’</w:t>
      </w:r>
      <w:r w:rsidRPr="001928FA">
        <w:rPr>
          <w:rFonts w:eastAsia="Calibri"/>
          <w:color w:val="000000"/>
          <w:sz w:val="24"/>
          <w:szCs w:val="24"/>
        </w:rPr>
        <w:t>évaluer aussi l</w:t>
      </w:r>
      <w:r w:rsidR="001928FA">
        <w:rPr>
          <w:rFonts w:eastAsia="Calibri"/>
          <w:color w:val="000000"/>
          <w:sz w:val="24"/>
          <w:szCs w:val="24"/>
        </w:rPr>
        <w:t>’</w:t>
      </w:r>
      <w:r w:rsidRPr="001928FA">
        <w:rPr>
          <w:rFonts w:eastAsia="Calibri"/>
          <w:color w:val="000000"/>
          <w:sz w:val="24"/>
          <w:szCs w:val="24"/>
        </w:rPr>
        <w:t>existant avant de ressortir le non existant. En cela, il contribue sans aucun doute, à mettre en exergue les potentialités locales et donc à analyser les forces, les faiblesses, les opportunités et les menaces de la localité. Ce sur quoi on pourrait et même on devrait partir pour impulser un quelconque développement. Pascal Chevalier parle du passage d</w:t>
      </w:r>
      <w:r w:rsidR="001928FA">
        <w:rPr>
          <w:rFonts w:eastAsia="Calibri"/>
          <w:color w:val="000000"/>
          <w:sz w:val="24"/>
          <w:szCs w:val="24"/>
        </w:rPr>
        <w:t>’</w:t>
      </w:r>
      <w:r w:rsidRPr="001928FA">
        <w:rPr>
          <w:rFonts w:eastAsia="Calibri"/>
          <w:color w:val="000000"/>
          <w:sz w:val="24"/>
          <w:szCs w:val="24"/>
        </w:rPr>
        <w:t>un mode de développement centralisé et exogène, hérité des politiques d</w:t>
      </w:r>
      <w:r w:rsidR="001928FA">
        <w:rPr>
          <w:rFonts w:eastAsia="Calibri"/>
          <w:color w:val="000000"/>
          <w:sz w:val="24"/>
          <w:szCs w:val="24"/>
        </w:rPr>
        <w:t>’</w:t>
      </w:r>
      <w:r w:rsidRPr="001928FA">
        <w:rPr>
          <w:rFonts w:eastAsia="Calibri"/>
          <w:color w:val="000000"/>
          <w:sz w:val="24"/>
          <w:szCs w:val="24"/>
        </w:rPr>
        <w:t xml:space="preserve">aménagement du territoire des années 1950, à un mode de développement décentralisé et endogène fondé sur des initiatives et des ressources locales (Chevalier, 2010). </w:t>
      </w:r>
    </w:p>
    <w:p w14:paraId="1797BDBC" w14:textId="4DF38943"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Ainsi, pour réaliser ce diagnostic, il est essentiel d</w:t>
      </w:r>
      <w:r w:rsidR="001928FA">
        <w:rPr>
          <w:rFonts w:eastAsia="Calibri"/>
          <w:color w:val="000000"/>
          <w:sz w:val="24"/>
          <w:szCs w:val="24"/>
        </w:rPr>
        <w:t>’</w:t>
      </w:r>
      <w:r w:rsidRPr="001928FA">
        <w:rPr>
          <w:rFonts w:eastAsia="Calibri"/>
          <w:color w:val="000000"/>
          <w:sz w:val="24"/>
          <w:szCs w:val="24"/>
        </w:rPr>
        <w:t>adopter une approche multidimensionnelle combinant à la fois des méthodes qualitatives et quantitatives. Plusieurs études soulignent l</w:t>
      </w:r>
      <w:r w:rsidR="001928FA">
        <w:rPr>
          <w:rFonts w:eastAsia="Calibri"/>
          <w:color w:val="000000"/>
          <w:sz w:val="24"/>
          <w:szCs w:val="24"/>
        </w:rPr>
        <w:t>’</w:t>
      </w:r>
      <w:r w:rsidRPr="001928FA">
        <w:rPr>
          <w:rFonts w:eastAsia="Calibri"/>
          <w:color w:val="000000"/>
          <w:sz w:val="24"/>
          <w:szCs w:val="24"/>
        </w:rPr>
        <w:t>importance d</w:t>
      </w:r>
      <w:r w:rsidR="001928FA">
        <w:rPr>
          <w:rFonts w:eastAsia="Calibri"/>
          <w:color w:val="000000"/>
          <w:sz w:val="24"/>
          <w:szCs w:val="24"/>
        </w:rPr>
        <w:t>’</w:t>
      </w:r>
      <w:r w:rsidRPr="001928FA">
        <w:rPr>
          <w:rFonts w:eastAsia="Calibri"/>
          <w:color w:val="000000"/>
          <w:sz w:val="24"/>
          <w:szCs w:val="24"/>
        </w:rPr>
        <w:t>impliquer les principaux acteurs du territoire, tels que les entrepreneurs, les responsables associatifs, les collectivités locales et les représentants des institutions éducatives (Duru-Bellat, 2013). Certes, il est important de dénicher les compétences requises mais il est indiqué, au préalable, d</w:t>
      </w:r>
      <w:r w:rsidR="001928FA">
        <w:rPr>
          <w:rFonts w:eastAsia="Calibri"/>
          <w:color w:val="000000"/>
          <w:sz w:val="24"/>
          <w:szCs w:val="24"/>
        </w:rPr>
        <w:t>’</w:t>
      </w:r>
      <w:r w:rsidRPr="001928FA">
        <w:rPr>
          <w:rFonts w:eastAsia="Calibri"/>
          <w:color w:val="000000"/>
          <w:sz w:val="24"/>
          <w:szCs w:val="24"/>
        </w:rPr>
        <w:t>évaluer l</w:t>
      </w:r>
      <w:r w:rsidR="001928FA">
        <w:rPr>
          <w:rFonts w:eastAsia="Calibri"/>
          <w:color w:val="000000"/>
          <w:sz w:val="24"/>
          <w:szCs w:val="24"/>
        </w:rPr>
        <w:t>’</w:t>
      </w:r>
      <w:r w:rsidRPr="001928FA">
        <w:rPr>
          <w:rFonts w:eastAsia="Calibri"/>
          <w:color w:val="000000"/>
          <w:sz w:val="24"/>
          <w:szCs w:val="24"/>
        </w:rPr>
        <w:t>existant pour savoir quelles pourraient être les forces, les faiblesses, les opportunités et même les menaces au développement de la localité. Toute chose qui fera émerger des solutions adaptées qui impulseront le développement, mais un développement qui se targuera d</w:t>
      </w:r>
      <w:r w:rsidR="001928FA">
        <w:rPr>
          <w:rFonts w:eastAsia="Calibri"/>
          <w:color w:val="000000"/>
          <w:sz w:val="24"/>
          <w:szCs w:val="24"/>
        </w:rPr>
        <w:t>’</w:t>
      </w:r>
      <w:r w:rsidRPr="001928FA">
        <w:rPr>
          <w:rFonts w:eastAsia="Calibri"/>
          <w:color w:val="000000"/>
          <w:sz w:val="24"/>
          <w:szCs w:val="24"/>
        </w:rPr>
        <w:t>être durable parce que partant des acquis de la localité.</w:t>
      </w:r>
    </w:p>
    <w:p w14:paraId="33568614" w14:textId="135AE1ED"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Il est vrai qu</w:t>
      </w:r>
      <w:r w:rsidR="001928FA">
        <w:rPr>
          <w:rFonts w:eastAsia="Calibri"/>
          <w:color w:val="000000"/>
          <w:sz w:val="24"/>
          <w:szCs w:val="24"/>
        </w:rPr>
        <w:t>’</w:t>
      </w:r>
      <w:r w:rsidRPr="001928FA">
        <w:rPr>
          <w:rFonts w:eastAsia="Calibri"/>
          <w:color w:val="000000"/>
          <w:sz w:val="24"/>
          <w:szCs w:val="24"/>
        </w:rPr>
        <w:t>en terme d</w:t>
      </w:r>
      <w:r w:rsidR="001928FA">
        <w:rPr>
          <w:rFonts w:eastAsia="Calibri"/>
          <w:color w:val="000000"/>
          <w:sz w:val="24"/>
          <w:szCs w:val="24"/>
        </w:rPr>
        <w:t>’</w:t>
      </w:r>
      <w:r w:rsidRPr="001928FA">
        <w:rPr>
          <w:rFonts w:eastAsia="Calibri"/>
          <w:color w:val="000000"/>
          <w:sz w:val="24"/>
          <w:szCs w:val="24"/>
        </w:rPr>
        <w:t>apport externe, les résultats issus de ces démarches diagnostiques révèlent une inadéquation persistante entre les compétences actuellement acquises par les diplômés et celles requises par le marché du travail local (Martin, 2014). Un tel décalage contribue, de toute évidence, à augmenter le taux de chômage des jeunes diplômés et limite la croissance économique du territoire. Selon Besson, l</w:t>
      </w:r>
      <w:r w:rsidR="001928FA">
        <w:rPr>
          <w:rFonts w:eastAsia="Calibri"/>
          <w:color w:val="000000"/>
          <w:sz w:val="24"/>
          <w:szCs w:val="24"/>
        </w:rPr>
        <w:t>’</w:t>
      </w:r>
      <w:r w:rsidRPr="001928FA">
        <w:rPr>
          <w:rFonts w:eastAsia="Calibri"/>
          <w:color w:val="000000"/>
          <w:sz w:val="24"/>
          <w:szCs w:val="24"/>
        </w:rPr>
        <w:t>alignement entre l</w:t>
      </w:r>
      <w:r w:rsidR="001928FA">
        <w:rPr>
          <w:rFonts w:eastAsia="Calibri"/>
          <w:color w:val="000000"/>
          <w:sz w:val="24"/>
          <w:szCs w:val="24"/>
        </w:rPr>
        <w:t>’</w:t>
      </w:r>
      <w:r w:rsidRPr="001928FA">
        <w:rPr>
          <w:rFonts w:eastAsia="Calibri"/>
          <w:color w:val="000000"/>
          <w:sz w:val="24"/>
          <w:szCs w:val="24"/>
        </w:rPr>
        <w:t>offre de formation et les besoins réels du tissu socio-économique constitue une condition sine qua non pour la réussite de toute démarche de professionnalisation territoriale (Besson, 2016). Mais il y a risque de tomber dans ce que l</w:t>
      </w:r>
      <w:r w:rsidR="001928FA">
        <w:rPr>
          <w:rFonts w:eastAsia="Calibri"/>
          <w:color w:val="000000"/>
          <w:sz w:val="24"/>
          <w:szCs w:val="24"/>
        </w:rPr>
        <w:t>’</w:t>
      </w:r>
      <w:r w:rsidRPr="001928FA">
        <w:rPr>
          <w:rFonts w:eastAsia="Calibri"/>
          <w:color w:val="000000"/>
          <w:sz w:val="24"/>
          <w:szCs w:val="24"/>
        </w:rPr>
        <w:t>on est en droit d</w:t>
      </w:r>
      <w:r w:rsidR="001928FA">
        <w:rPr>
          <w:rFonts w:eastAsia="Calibri"/>
          <w:color w:val="000000"/>
          <w:sz w:val="24"/>
          <w:szCs w:val="24"/>
        </w:rPr>
        <w:t>’</w:t>
      </w:r>
      <w:r w:rsidRPr="001928FA">
        <w:rPr>
          <w:rFonts w:eastAsia="Calibri"/>
          <w:color w:val="000000"/>
          <w:sz w:val="24"/>
          <w:szCs w:val="24"/>
        </w:rPr>
        <w:t>appeler « la professionnalisation mimétique » ou alors « le mimétisme de la professionnalisation », car en réalité, pensons-nous, la professionnalisation bien qu</w:t>
      </w:r>
      <w:r w:rsidR="001928FA">
        <w:rPr>
          <w:rFonts w:eastAsia="Calibri"/>
          <w:color w:val="000000"/>
          <w:sz w:val="24"/>
          <w:szCs w:val="24"/>
        </w:rPr>
        <w:t>’</w:t>
      </w:r>
      <w:r w:rsidRPr="001928FA">
        <w:rPr>
          <w:rFonts w:eastAsia="Calibri"/>
          <w:color w:val="000000"/>
          <w:sz w:val="24"/>
          <w:szCs w:val="24"/>
        </w:rPr>
        <w:t>importante et nécessaire dans toutes les localités n</w:t>
      </w:r>
      <w:r w:rsidR="001928FA">
        <w:rPr>
          <w:rFonts w:eastAsia="Calibri"/>
          <w:color w:val="000000"/>
          <w:sz w:val="24"/>
          <w:szCs w:val="24"/>
        </w:rPr>
        <w:t>’</w:t>
      </w:r>
      <w:r w:rsidRPr="001928FA">
        <w:rPr>
          <w:rFonts w:eastAsia="Calibri"/>
          <w:color w:val="000000"/>
          <w:sz w:val="24"/>
          <w:szCs w:val="24"/>
        </w:rPr>
        <w:t>est malheureusement pas une donnée statique qu</w:t>
      </w:r>
      <w:r w:rsidR="001928FA">
        <w:rPr>
          <w:rFonts w:eastAsia="Calibri"/>
          <w:color w:val="000000"/>
          <w:sz w:val="24"/>
          <w:szCs w:val="24"/>
        </w:rPr>
        <w:t>’</w:t>
      </w:r>
      <w:r w:rsidRPr="001928FA">
        <w:rPr>
          <w:rFonts w:eastAsia="Calibri"/>
          <w:color w:val="000000"/>
          <w:sz w:val="24"/>
          <w:szCs w:val="24"/>
        </w:rPr>
        <w:t>on pourrait transporter identiquement d</w:t>
      </w:r>
      <w:r w:rsidR="001928FA">
        <w:rPr>
          <w:rFonts w:eastAsia="Calibri"/>
          <w:color w:val="000000"/>
          <w:sz w:val="24"/>
          <w:szCs w:val="24"/>
        </w:rPr>
        <w:t>’</w:t>
      </w:r>
      <w:r w:rsidRPr="001928FA">
        <w:rPr>
          <w:rFonts w:eastAsia="Calibri"/>
          <w:color w:val="000000"/>
          <w:sz w:val="24"/>
          <w:szCs w:val="24"/>
        </w:rPr>
        <w:t>un milieu à un autre. Le penser ainsi serait faire fausse route. Se serait escompter un développement sur des bases erronées.</w:t>
      </w:r>
    </w:p>
    <w:p w14:paraId="19626A43" w14:textId="28C210CC"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Le diagnostic des besoins locaux, à n</w:t>
      </w:r>
      <w:r w:rsidR="001928FA">
        <w:rPr>
          <w:rFonts w:eastAsia="Calibri"/>
          <w:color w:val="000000"/>
          <w:sz w:val="24"/>
          <w:szCs w:val="24"/>
        </w:rPr>
        <w:t>’</w:t>
      </w:r>
      <w:r w:rsidRPr="001928FA">
        <w:rPr>
          <w:rFonts w:eastAsia="Calibri"/>
          <w:color w:val="000000"/>
          <w:sz w:val="24"/>
          <w:szCs w:val="24"/>
        </w:rPr>
        <w:t>en point douter, constitue une étape stratégique permettant d</w:t>
      </w:r>
      <w:r w:rsidR="001928FA">
        <w:rPr>
          <w:rFonts w:eastAsia="Calibri"/>
          <w:color w:val="000000"/>
          <w:sz w:val="24"/>
          <w:szCs w:val="24"/>
        </w:rPr>
        <w:t>’</w:t>
      </w:r>
      <w:r w:rsidRPr="001928FA">
        <w:rPr>
          <w:rFonts w:eastAsia="Calibri"/>
          <w:color w:val="000000"/>
          <w:sz w:val="24"/>
          <w:szCs w:val="24"/>
        </w:rPr>
        <w:t>orienter la conception de programmes professionnalisant, de renforcer la collaboration entre les institutions éducatives et les acteurs économiques, et ainsi de favoriser le développement durable du territoire (Lemoine, 2018). La compréhension fine de ces besoins est indispensable pour bâtir une offre de formation pertinente et adaptée, capable de répondre efficacement aux enjeux sociaux et économiques locaux.</w:t>
      </w:r>
    </w:p>
    <w:p w14:paraId="6F933A45" w14:textId="77777777" w:rsidR="00D80693" w:rsidRPr="001928FA" w:rsidRDefault="00D80693" w:rsidP="001928FA">
      <w:pPr>
        <w:widowControl/>
        <w:numPr>
          <w:ilvl w:val="1"/>
          <w:numId w:val="202"/>
        </w:numPr>
        <w:autoSpaceDE/>
        <w:autoSpaceDN/>
        <w:spacing w:before="120"/>
        <w:jc w:val="both"/>
        <w:rPr>
          <w:rFonts w:eastAsia="Calibri"/>
          <w:b/>
          <w:bCs/>
          <w:color w:val="000000"/>
          <w:sz w:val="24"/>
          <w:szCs w:val="24"/>
        </w:rPr>
      </w:pPr>
      <w:r w:rsidRPr="001928FA">
        <w:rPr>
          <w:rFonts w:eastAsia="Calibri"/>
          <w:b/>
          <w:bCs/>
          <w:color w:val="000000"/>
          <w:sz w:val="24"/>
          <w:szCs w:val="24"/>
        </w:rPr>
        <w:t>Développement de curricula adaptés</w:t>
      </w:r>
    </w:p>
    <w:p w14:paraId="7E2F502A" w14:textId="1DE8BA6A"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Les programmes d</w:t>
      </w:r>
      <w:r w:rsidR="001928FA">
        <w:rPr>
          <w:rFonts w:eastAsia="Calibri"/>
          <w:color w:val="000000"/>
          <w:sz w:val="24"/>
          <w:szCs w:val="24"/>
        </w:rPr>
        <w:t>’</w:t>
      </w:r>
      <w:r w:rsidRPr="001928FA">
        <w:rPr>
          <w:rFonts w:eastAsia="Calibri"/>
          <w:color w:val="000000"/>
          <w:sz w:val="24"/>
          <w:szCs w:val="24"/>
        </w:rPr>
        <w:t>enseignement doivent intégrer des compétences spécifiques à chaque territoire, favorisant ainsi une meilleure adéquation entre formation et marché local (Ravinet, 2019).</w:t>
      </w:r>
    </w:p>
    <w:p w14:paraId="7823590F" w14:textId="3F17AA17"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Après avoir réalisé un diagnostic précis des besoins locaux, il devient essentiel de concevoir et de mettre en </w:t>
      </w:r>
      <w:r w:rsidR="001928FA" w:rsidRPr="001928FA">
        <w:rPr>
          <w:rFonts w:eastAsia="Calibri"/>
          <w:color w:val="000000"/>
          <w:sz w:val="24"/>
          <w:szCs w:val="24"/>
        </w:rPr>
        <w:t>œuvre</w:t>
      </w:r>
      <w:r w:rsidRPr="001928FA">
        <w:rPr>
          <w:rFonts w:eastAsia="Calibri"/>
          <w:color w:val="000000"/>
          <w:sz w:val="24"/>
          <w:szCs w:val="24"/>
        </w:rPr>
        <w:t xml:space="preserve"> des curricula adaptés afin de répondre efficacement aux exigences du territoire, tant sur le plan socio-économique que professionnel (</w:t>
      </w:r>
      <w:proofErr w:type="spellStart"/>
      <w:r w:rsidRPr="001928FA">
        <w:rPr>
          <w:rFonts w:eastAsia="Calibri"/>
          <w:color w:val="000000"/>
          <w:sz w:val="24"/>
          <w:szCs w:val="24"/>
        </w:rPr>
        <w:t>Lafon</w:t>
      </w:r>
      <w:proofErr w:type="spellEnd"/>
      <w:r w:rsidRPr="001928FA">
        <w:rPr>
          <w:rFonts w:eastAsia="Calibri"/>
          <w:color w:val="000000"/>
          <w:sz w:val="24"/>
          <w:szCs w:val="24"/>
        </w:rPr>
        <w:t>, 2014). La conception de ces curricula constitue une étape clé dans la professionnalisation des formations, en assurant leur pertinence, leur efficacité et leur attractivité pour les étudiants et les acteurs du tissu socio-économique local (</w:t>
      </w:r>
      <w:proofErr w:type="spellStart"/>
      <w:r w:rsidRPr="001928FA">
        <w:rPr>
          <w:rFonts w:eastAsia="Calibri"/>
          <w:color w:val="000000"/>
          <w:sz w:val="24"/>
          <w:szCs w:val="24"/>
        </w:rPr>
        <w:t>Boudriga</w:t>
      </w:r>
      <w:proofErr w:type="spellEnd"/>
      <w:r w:rsidRPr="001928FA">
        <w:rPr>
          <w:rFonts w:eastAsia="Calibri"/>
          <w:color w:val="000000"/>
          <w:sz w:val="24"/>
          <w:szCs w:val="24"/>
        </w:rPr>
        <w:t>, 2015).</w:t>
      </w:r>
    </w:p>
    <w:p w14:paraId="7F1C93C0" w14:textId="1B360ED0"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Selon Duru-Bellat (2013), un curriculum adapté doit intégrer non seulement des connaissances théoriques, mais également des compétences opérationnelles, transversales et comportementales. Il s</w:t>
      </w:r>
      <w:r w:rsidR="001928FA">
        <w:rPr>
          <w:rFonts w:eastAsia="Calibri"/>
          <w:color w:val="000000"/>
          <w:sz w:val="24"/>
          <w:szCs w:val="24"/>
        </w:rPr>
        <w:t>’</w:t>
      </w:r>
      <w:r w:rsidRPr="001928FA">
        <w:rPr>
          <w:rFonts w:eastAsia="Calibri"/>
          <w:color w:val="000000"/>
          <w:sz w:val="24"/>
          <w:szCs w:val="24"/>
        </w:rPr>
        <w:t>agit d</w:t>
      </w:r>
      <w:r w:rsidR="001928FA">
        <w:rPr>
          <w:rFonts w:eastAsia="Calibri"/>
          <w:color w:val="000000"/>
          <w:sz w:val="24"/>
          <w:szCs w:val="24"/>
        </w:rPr>
        <w:t>’</w:t>
      </w:r>
      <w:r w:rsidRPr="001928FA">
        <w:rPr>
          <w:rFonts w:eastAsia="Calibri"/>
          <w:color w:val="000000"/>
          <w:sz w:val="24"/>
          <w:szCs w:val="24"/>
        </w:rPr>
        <w:t xml:space="preserve">assurer une articulation cohérente entre la formation académique et les besoins du marché du travail. Pour cela, la démarche doit impliquer une collaboration étroite entre les institutions éducatives, les entreprises et les collectivités territoriales, afin de </w:t>
      </w:r>
      <w:proofErr w:type="spellStart"/>
      <w:r w:rsidRPr="001928FA">
        <w:rPr>
          <w:rFonts w:eastAsia="Calibri"/>
          <w:color w:val="000000"/>
          <w:sz w:val="24"/>
          <w:szCs w:val="24"/>
        </w:rPr>
        <w:t>co-construire</w:t>
      </w:r>
      <w:proofErr w:type="spellEnd"/>
      <w:r w:rsidRPr="001928FA">
        <w:rPr>
          <w:rFonts w:eastAsia="Calibri"/>
          <w:color w:val="000000"/>
          <w:sz w:val="24"/>
          <w:szCs w:val="24"/>
        </w:rPr>
        <w:t xml:space="preserve"> des programmes en phase avec les attentes du territoire (Leclerc, 2017). Le processus de développement de curricula adaptés repose sur plusieurs principes fondamentaux. Tout d</w:t>
      </w:r>
      <w:r w:rsidR="001928FA">
        <w:rPr>
          <w:rFonts w:eastAsia="Calibri"/>
          <w:color w:val="000000"/>
          <w:sz w:val="24"/>
          <w:szCs w:val="24"/>
        </w:rPr>
        <w:t>’</w:t>
      </w:r>
      <w:r w:rsidRPr="001928FA">
        <w:rPr>
          <w:rFonts w:eastAsia="Calibri"/>
          <w:color w:val="000000"/>
          <w:sz w:val="24"/>
          <w:szCs w:val="24"/>
        </w:rPr>
        <w:t>abord, il nécessite une actualisation régulière des contenus pour intégrer les innovations technologiques, les enjeux du développement durable, et les évolutions socio-économiques (Lemoine, 2018). Ensuite, il doit privilégier une pédagogie active, favorisant l</w:t>
      </w:r>
      <w:r w:rsidR="001928FA">
        <w:rPr>
          <w:rFonts w:eastAsia="Calibri"/>
          <w:color w:val="000000"/>
          <w:sz w:val="24"/>
          <w:szCs w:val="24"/>
        </w:rPr>
        <w:t>’</w:t>
      </w:r>
      <w:r w:rsidRPr="001928FA">
        <w:rPr>
          <w:rFonts w:eastAsia="Calibri"/>
          <w:color w:val="000000"/>
          <w:sz w:val="24"/>
          <w:szCs w:val="24"/>
        </w:rPr>
        <w:t>apprentissage par projet, l</w:t>
      </w:r>
      <w:r w:rsidR="001928FA">
        <w:rPr>
          <w:rFonts w:eastAsia="Calibri"/>
          <w:color w:val="000000"/>
          <w:sz w:val="24"/>
          <w:szCs w:val="24"/>
        </w:rPr>
        <w:t>’</w:t>
      </w:r>
      <w:r w:rsidRPr="001928FA">
        <w:rPr>
          <w:rFonts w:eastAsia="Calibri"/>
          <w:color w:val="000000"/>
          <w:sz w:val="24"/>
          <w:szCs w:val="24"/>
        </w:rPr>
        <w:t>alternance, et la mise en situation professionnelle, pour renforcer l</w:t>
      </w:r>
      <w:r w:rsidR="001928FA">
        <w:rPr>
          <w:rFonts w:eastAsia="Calibri"/>
          <w:color w:val="000000"/>
          <w:sz w:val="24"/>
          <w:szCs w:val="24"/>
        </w:rPr>
        <w:t>’</w:t>
      </w:r>
      <w:r w:rsidRPr="001928FA">
        <w:rPr>
          <w:rFonts w:eastAsia="Calibri"/>
          <w:color w:val="000000"/>
          <w:sz w:val="24"/>
          <w:szCs w:val="24"/>
        </w:rPr>
        <w:t>employabilité des diplômés (Martin, 2014).</w:t>
      </w:r>
    </w:p>
    <w:p w14:paraId="065D1DF8" w14:textId="1EBF2CBA"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Par ailleurs, la modularité constitue une caractéristique essentielle pour permettre une grande flexibilité dans l</w:t>
      </w:r>
      <w:r w:rsidR="001928FA">
        <w:rPr>
          <w:rFonts w:eastAsia="Calibri"/>
          <w:color w:val="000000"/>
          <w:sz w:val="24"/>
          <w:szCs w:val="24"/>
        </w:rPr>
        <w:t>’</w:t>
      </w:r>
      <w:r w:rsidRPr="001928FA">
        <w:rPr>
          <w:rFonts w:eastAsia="Calibri"/>
          <w:color w:val="000000"/>
          <w:sz w:val="24"/>
          <w:szCs w:val="24"/>
        </w:rPr>
        <w:t>offre de formation, facilitant l</w:t>
      </w:r>
      <w:r w:rsidR="001928FA">
        <w:rPr>
          <w:rFonts w:eastAsia="Calibri"/>
          <w:color w:val="000000"/>
          <w:sz w:val="24"/>
          <w:szCs w:val="24"/>
        </w:rPr>
        <w:t>’</w:t>
      </w:r>
      <w:r w:rsidRPr="001928FA">
        <w:rPr>
          <w:rFonts w:eastAsia="Calibri"/>
          <w:color w:val="000000"/>
          <w:sz w:val="24"/>
          <w:szCs w:val="24"/>
        </w:rPr>
        <w:t>adaptation aux mutations du marché du travail et aux spécificités du territoire (Besson, 2016). Les curricula doivent également prévoir des dispositifs d</w:t>
      </w:r>
      <w:r w:rsidR="001928FA">
        <w:rPr>
          <w:rFonts w:eastAsia="Calibri"/>
          <w:color w:val="000000"/>
          <w:sz w:val="24"/>
          <w:szCs w:val="24"/>
        </w:rPr>
        <w:t>’</w:t>
      </w:r>
      <w:r w:rsidRPr="001928FA">
        <w:rPr>
          <w:rFonts w:eastAsia="Calibri"/>
          <w:color w:val="000000"/>
          <w:sz w:val="24"/>
          <w:szCs w:val="24"/>
        </w:rPr>
        <w:t>évaluation continue, ainsi que des passerelles entre différents niveaux de formation, afin de favoriser la mobilité des apprenants et la diversification des parcours (Lahire, 2012).</w:t>
      </w:r>
    </w:p>
    <w:p w14:paraId="3D537841" w14:textId="0DC6E4CA"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Enfin, la réussite du développement de curricula adaptés repose sur la professionnalisation des enseignants, leur formation continue, ainsi que sur la mise en place d</w:t>
      </w:r>
      <w:r w:rsidR="001928FA">
        <w:rPr>
          <w:rFonts w:eastAsia="Calibri"/>
          <w:color w:val="000000"/>
          <w:sz w:val="24"/>
          <w:szCs w:val="24"/>
        </w:rPr>
        <w:t>’</w:t>
      </w:r>
      <w:r w:rsidRPr="001928FA">
        <w:rPr>
          <w:rFonts w:eastAsia="Calibri"/>
          <w:color w:val="000000"/>
          <w:sz w:val="24"/>
          <w:szCs w:val="24"/>
        </w:rPr>
        <w:t>un système d</w:t>
      </w:r>
      <w:r w:rsidR="001928FA">
        <w:rPr>
          <w:rFonts w:eastAsia="Calibri"/>
          <w:color w:val="000000"/>
          <w:sz w:val="24"/>
          <w:szCs w:val="24"/>
        </w:rPr>
        <w:t>’</w:t>
      </w:r>
      <w:r w:rsidRPr="001928FA">
        <w:rPr>
          <w:rFonts w:eastAsia="Calibri"/>
          <w:color w:val="000000"/>
          <w:sz w:val="24"/>
          <w:szCs w:val="24"/>
        </w:rPr>
        <w:t>évaluation et d</w:t>
      </w:r>
      <w:r w:rsidR="001928FA">
        <w:rPr>
          <w:rFonts w:eastAsia="Calibri"/>
          <w:color w:val="000000"/>
          <w:sz w:val="24"/>
          <w:szCs w:val="24"/>
        </w:rPr>
        <w:t>’</w:t>
      </w:r>
      <w:r w:rsidRPr="001928FA">
        <w:rPr>
          <w:rFonts w:eastAsia="Calibri"/>
          <w:color w:val="000000"/>
          <w:sz w:val="24"/>
          <w:szCs w:val="24"/>
        </w:rPr>
        <w:t>amélioration continue des programmes (</w:t>
      </w:r>
      <w:proofErr w:type="spellStart"/>
      <w:r w:rsidRPr="001928FA">
        <w:rPr>
          <w:rFonts w:eastAsia="Calibri"/>
          <w:color w:val="000000"/>
          <w:sz w:val="24"/>
          <w:szCs w:val="24"/>
        </w:rPr>
        <w:t>Lafon</w:t>
      </w:r>
      <w:proofErr w:type="spellEnd"/>
      <w:r w:rsidRPr="001928FA">
        <w:rPr>
          <w:rFonts w:eastAsia="Calibri"/>
          <w:color w:val="000000"/>
          <w:sz w:val="24"/>
          <w:szCs w:val="24"/>
        </w:rPr>
        <w:t>, 2014). Il est aussi crucial d</w:t>
      </w:r>
      <w:r w:rsidR="001928FA">
        <w:rPr>
          <w:rFonts w:eastAsia="Calibri"/>
          <w:color w:val="000000"/>
          <w:sz w:val="24"/>
          <w:szCs w:val="24"/>
        </w:rPr>
        <w:t>’</w:t>
      </w:r>
      <w:r w:rsidRPr="001928FA">
        <w:rPr>
          <w:rFonts w:eastAsia="Calibri"/>
          <w:color w:val="000000"/>
          <w:sz w:val="24"/>
          <w:szCs w:val="24"/>
        </w:rPr>
        <w:t>assurer une communication efficace auprès des futurs étudiants et partenaires afin de valoriser cette offre de formation innovante et en adéquation avec les besoins locaux.</w:t>
      </w:r>
    </w:p>
    <w:p w14:paraId="46392231" w14:textId="429ACE1C"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En somme, le développement de curricula adaptés constitue une étape stratégique pour renforcer la pertinence et l</w:t>
      </w:r>
      <w:r w:rsidR="001928FA">
        <w:rPr>
          <w:rFonts w:eastAsia="Calibri"/>
          <w:color w:val="000000"/>
          <w:sz w:val="24"/>
          <w:szCs w:val="24"/>
        </w:rPr>
        <w:t>’</w:t>
      </w:r>
      <w:r w:rsidRPr="001928FA">
        <w:rPr>
          <w:rFonts w:eastAsia="Calibri"/>
          <w:color w:val="000000"/>
          <w:sz w:val="24"/>
          <w:szCs w:val="24"/>
        </w:rPr>
        <w:t>impact des formations supérieures territoriales, en favorisant la compétitivité, l</w:t>
      </w:r>
      <w:r w:rsidR="001928FA">
        <w:rPr>
          <w:rFonts w:eastAsia="Calibri"/>
          <w:color w:val="000000"/>
          <w:sz w:val="24"/>
          <w:szCs w:val="24"/>
        </w:rPr>
        <w:t>’</w:t>
      </w:r>
      <w:r w:rsidRPr="001928FA">
        <w:rPr>
          <w:rFonts w:eastAsia="Calibri"/>
          <w:color w:val="000000"/>
          <w:sz w:val="24"/>
          <w:szCs w:val="24"/>
        </w:rPr>
        <w:t>insertion professionnelle et le développement durable du territoire (</w:t>
      </w:r>
      <w:proofErr w:type="spellStart"/>
      <w:r w:rsidRPr="001928FA">
        <w:rPr>
          <w:rFonts w:eastAsia="Calibri"/>
          <w:color w:val="000000"/>
          <w:sz w:val="24"/>
          <w:szCs w:val="24"/>
        </w:rPr>
        <w:t>Boudriga</w:t>
      </w:r>
      <w:proofErr w:type="spellEnd"/>
      <w:r w:rsidRPr="001928FA">
        <w:rPr>
          <w:rFonts w:eastAsia="Calibri"/>
          <w:color w:val="000000"/>
          <w:sz w:val="24"/>
          <w:szCs w:val="24"/>
        </w:rPr>
        <w:t>, 2015).</w:t>
      </w:r>
    </w:p>
    <w:p w14:paraId="18E17DB5" w14:textId="3EF0670A" w:rsidR="00D80693" w:rsidRPr="001928FA" w:rsidRDefault="00D80693" w:rsidP="001928FA">
      <w:pPr>
        <w:widowControl/>
        <w:numPr>
          <w:ilvl w:val="0"/>
          <w:numId w:val="202"/>
        </w:numPr>
        <w:autoSpaceDE/>
        <w:autoSpaceDN/>
        <w:spacing w:before="120"/>
        <w:jc w:val="both"/>
        <w:rPr>
          <w:rFonts w:eastAsia="Calibri"/>
          <w:color w:val="000000"/>
          <w:sz w:val="28"/>
          <w:szCs w:val="24"/>
        </w:rPr>
      </w:pPr>
      <w:r w:rsidRPr="001928FA">
        <w:rPr>
          <w:rFonts w:eastAsia="Calibri"/>
          <w:b/>
          <w:bCs/>
          <w:color w:val="000000"/>
          <w:sz w:val="28"/>
          <w:szCs w:val="24"/>
        </w:rPr>
        <w:t>Urgence d</w:t>
      </w:r>
      <w:r w:rsidR="001928FA">
        <w:rPr>
          <w:rFonts w:eastAsia="Calibri"/>
          <w:b/>
          <w:bCs/>
          <w:color w:val="000000"/>
          <w:sz w:val="28"/>
          <w:szCs w:val="24"/>
        </w:rPr>
        <w:t>’</w:t>
      </w:r>
      <w:r w:rsidRPr="001928FA">
        <w:rPr>
          <w:rFonts w:eastAsia="Calibri"/>
          <w:b/>
          <w:bCs/>
          <w:color w:val="000000"/>
          <w:sz w:val="28"/>
          <w:szCs w:val="24"/>
        </w:rPr>
        <w:t>un réel partenariat entre établissements universitaires et acteurs locaux</w:t>
      </w:r>
    </w:p>
    <w:p w14:paraId="1DA03C4F" w14:textId="498F5456"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Établir des partenariats entre les institutions d</w:t>
      </w:r>
      <w:r w:rsidR="001928FA">
        <w:rPr>
          <w:rFonts w:eastAsia="Calibri"/>
          <w:color w:val="000000"/>
          <w:sz w:val="24"/>
          <w:szCs w:val="24"/>
        </w:rPr>
        <w:t>’</w:t>
      </w:r>
      <w:r w:rsidRPr="001928FA">
        <w:rPr>
          <w:rFonts w:eastAsia="Calibri"/>
          <w:color w:val="000000"/>
          <w:sz w:val="24"/>
          <w:szCs w:val="24"/>
        </w:rPr>
        <w:t>enseignement supérieur, les entreprises locales et les collectivités est crucial pour maximiser l</w:t>
      </w:r>
      <w:r w:rsidR="001928FA">
        <w:rPr>
          <w:rFonts w:eastAsia="Calibri"/>
          <w:color w:val="000000"/>
          <w:sz w:val="24"/>
          <w:szCs w:val="24"/>
        </w:rPr>
        <w:t>’</w:t>
      </w:r>
      <w:r w:rsidRPr="001928FA">
        <w:rPr>
          <w:rFonts w:eastAsia="Calibri"/>
          <w:color w:val="000000"/>
          <w:sz w:val="24"/>
          <w:szCs w:val="24"/>
        </w:rPr>
        <w:t>impact de la professionnalisation. Le développement de partenariats solides et efficaces entre les établissements d</w:t>
      </w:r>
      <w:r w:rsidR="001928FA">
        <w:rPr>
          <w:rFonts w:eastAsia="Calibri"/>
          <w:color w:val="000000"/>
          <w:sz w:val="24"/>
          <w:szCs w:val="24"/>
        </w:rPr>
        <w:t>’</w:t>
      </w:r>
      <w:r w:rsidRPr="001928FA">
        <w:rPr>
          <w:rFonts w:eastAsia="Calibri"/>
          <w:color w:val="000000"/>
          <w:sz w:val="24"/>
          <w:szCs w:val="24"/>
        </w:rPr>
        <w:t>enseignement supérieur et les acteurs locaux constitue un levier essentiel pour renforcer la professionnalisation des formations et répondre aux besoins socio-économiques du territoire (Lemoine, 2018). Ces collaborations favorisent la création d</w:t>
      </w:r>
      <w:r w:rsidR="001928FA">
        <w:rPr>
          <w:rFonts w:eastAsia="Calibri"/>
          <w:color w:val="000000"/>
          <w:sz w:val="24"/>
          <w:szCs w:val="24"/>
        </w:rPr>
        <w:t>’</w:t>
      </w:r>
      <w:r w:rsidRPr="001928FA">
        <w:rPr>
          <w:rFonts w:eastAsia="Calibri"/>
          <w:color w:val="000000"/>
          <w:sz w:val="24"/>
          <w:szCs w:val="24"/>
        </w:rPr>
        <w:t>un écosystème dynamique, où la synergie entre les différents intervenants permet d</w:t>
      </w:r>
      <w:r w:rsidR="001928FA">
        <w:rPr>
          <w:rFonts w:eastAsia="Calibri"/>
          <w:color w:val="000000"/>
          <w:sz w:val="24"/>
          <w:szCs w:val="24"/>
        </w:rPr>
        <w:t>’</w:t>
      </w:r>
      <w:r w:rsidRPr="001928FA">
        <w:rPr>
          <w:rFonts w:eastAsia="Calibri"/>
          <w:color w:val="000000"/>
          <w:sz w:val="24"/>
          <w:szCs w:val="24"/>
        </w:rPr>
        <w:t>optimiser les ressources, d</w:t>
      </w:r>
      <w:r w:rsidR="001928FA">
        <w:rPr>
          <w:rFonts w:eastAsia="Calibri"/>
          <w:color w:val="000000"/>
          <w:sz w:val="24"/>
          <w:szCs w:val="24"/>
        </w:rPr>
        <w:t>’</w:t>
      </w:r>
      <w:r w:rsidRPr="001928FA">
        <w:rPr>
          <w:rFonts w:eastAsia="Calibri"/>
          <w:color w:val="000000"/>
          <w:sz w:val="24"/>
          <w:szCs w:val="24"/>
        </w:rPr>
        <w:t>accroître la pertinence des curricula et de stimuler l</w:t>
      </w:r>
      <w:r w:rsidR="001928FA">
        <w:rPr>
          <w:rFonts w:eastAsia="Calibri"/>
          <w:color w:val="000000"/>
          <w:sz w:val="24"/>
          <w:szCs w:val="24"/>
        </w:rPr>
        <w:t>’</w:t>
      </w:r>
      <w:r w:rsidRPr="001928FA">
        <w:rPr>
          <w:rFonts w:eastAsia="Calibri"/>
          <w:color w:val="000000"/>
          <w:sz w:val="24"/>
          <w:szCs w:val="24"/>
        </w:rPr>
        <w:t>innovation locale (Leclerc, 2017). Lorsqu</w:t>
      </w:r>
      <w:r w:rsidR="001928FA">
        <w:rPr>
          <w:rFonts w:eastAsia="Calibri"/>
          <w:color w:val="000000"/>
          <w:sz w:val="24"/>
          <w:szCs w:val="24"/>
        </w:rPr>
        <w:t>’</w:t>
      </w:r>
      <w:r w:rsidRPr="001928FA">
        <w:rPr>
          <w:rFonts w:eastAsia="Calibri"/>
          <w:color w:val="000000"/>
          <w:sz w:val="24"/>
          <w:szCs w:val="24"/>
        </w:rPr>
        <w:t>ils sont bien articulés, ces partenariats contribuent également à renforcer la cohésion sociale et à promouvoir un développement territorial équilibré.</w:t>
      </w:r>
    </w:p>
    <w:p w14:paraId="273654FA" w14:textId="77777777" w:rsidR="00D80693" w:rsidRPr="001928FA" w:rsidRDefault="00D80693" w:rsidP="001928FA">
      <w:pPr>
        <w:widowControl/>
        <w:numPr>
          <w:ilvl w:val="1"/>
          <w:numId w:val="202"/>
        </w:numPr>
        <w:autoSpaceDE/>
        <w:autoSpaceDN/>
        <w:spacing w:before="120"/>
        <w:jc w:val="both"/>
        <w:rPr>
          <w:rFonts w:eastAsia="Calibri"/>
          <w:color w:val="000000"/>
          <w:sz w:val="24"/>
          <w:szCs w:val="24"/>
        </w:rPr>
      </w:pPr>
      <w:r w:rsidRPr="001928FA">
        <w:rPr>
          <w:rFonts w:eastAsia="Calibri"/>
          <w:b/>
          <w:bCs/>
          <w:color w:val="000000"/>
          <w:sz w:val="24"/>
          <w:szCs w:val="24"/>
        </w:rPr>
        <w:t>Synergies entre acteurs</w:t>
      </w:r>
      <w:r w:rsidRPr="001928FA">
        <w:rPr>
          <w:rFonts w:eastAsia="Calibri"/>
          <w:color w:val="000000"/>
          <w:sz w:val="24"/>
          <w:szCs w:val="24"/>
        </w:rPr>
        <w:t> </w:t>
      </w:r>
    </w:p>
    <w:p w14:paraId="6A66D016" w14:textId="7953A832"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Des collaborations stratégiques permettent de </w:t>
      </w:r>
      <w:proofErr w:type="spellStart"/>
      <w:r w:rsidRPr="001928FA">
        <w:rPr>
          <w:rFonts w:eastAsia="Calibri"/>
          <w:color w:val="000000"/>
          <w:sz w:val="24"/>
          <w:szCs w:val="24"/>
        </w:rPr>
        <w:t>co-concevoir</w:t>
      </w:r>
      <w:proofErr w:type="spellEnd"/>
      <w:r w:rsidRPr="001928FA">
        <w:rPr>
          <w:rFonts w:eastAsia="Calibri"/>
          <w:color w:val="000000"/>
          <w:sz w:val="24"/>
          <w:szCs w:val="24"/>
        </w:rPr>
        <w:t xml:space="preserve"> des programmes adaptés et de promouvoir des projets d</w:t>
      </w:r>
      <w:r w:rsidR="001928FA">
        <w:rPr>
          <w:rFonts w:eastAsia="Calibri"/>
          <w:color w:val="000000"/>
          <w:sz w:val="24"/>
          <w:szCs w:val="24"/>
        </w:rPr>
        <w:t>’</w:t>
      </w:r>
      <w:r w:rsidRPr="001928FA">
        <w:rPr>
          <w:rFonts w:eastAsia="Calibri"/>
          <w:color w:val="000000"/>
          <w:sz w:val="24"/>
          <w:szCs w:val="24"/>
        </w:rPr>
        <w:t>innovation locale (Bouchard &amp; Lévesque, 2020). Localement, le développement conduit à la mise en place de ce que Livet et Thévenot (1994) appellent une « action commune » autrement dit une harmonisation ad hoc des comportements dans un but spécifique qui ne produit pas de structuration stable ni n</w:t>
      </w:r>
      <w:r w:rsidR="001928FA">
        <w:rPr>
          <w:rFonts w:eastAsia="Calibri"/>
          <w:color w:val="000000"/>
          <w:sz w:val="24"/>
          <w:szCs w:val="24"/>
        </w:rPr>
        <w:t>’</w:t>
      </w:r>
      <w:r w:rsidRPr="001928FA">
        <w:rPr>
          <w:rFonts w:eastAsia="Calibri"/>
          <w:color w:val="000000"/>
          <w:sz w:val="24"/>
          <w:szCs w:val="24"/>
        </w:rPr>
        <w:t>influence de façon durable les actions suivantes.</w:t>
      </w:r>
    </w:p>
    <w:p w14:paraId="0549D0F6" w14:textId="690EF545"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Les synergies entre établissements académiques, entreprises, collectivités territoriales, associations et autres acteurs locaux sont fondamentales pour une approche intégrée du développement territorial. Selon </w:t>
      </w:r>
      <w:proofErr w:type="spellStart"/>
      <w:r w:rsidRPr="001928FA">
        <w:rPr>
          <w:rFonts w:eastAsia="Calibri"/>
          <w:color w:val="000000"/>
          <w:sz w:val="24"/>
          <w:szCs w:val="24"/>
        </w:rPr>
        <w:t>Boudriga</w:t>
      </w:r>
      <w:proofErr w:type="spellEnd"/>
      <w:r w:rsidRPr="001928FA">
        <w:rPr>
          <w:rFonts w:eastAsia="Calibri"/>
          <w:color w:val="000000"/>
          <w:sz w:val="24"/>
          <w:szCs w:val="24"/>
        </w:rPr>
        <w:t xml:space="preserve"> (2015), ces collaborations favorisent la mutualisation des compétences, des ressources et des expertises, permettant ainsi de bâtir des projets conjoints qui bénéficient à tous. Par exemple, la mise en place de plateformes d</w:t>
      </w:r>
      <w:r w:rsidR="001928FA">
        <w:rPr>
          <w:rFonts w:eastAsia="Calibri"/>
          <w:color w:val="000000"/>
          <w:sz w:val="24"/>
          <w:szCs w:val="24"/>
        </w:rPr>
        <w:t>’</w:t>
      </w:r>
      <w:r w:rsidRPr="001928FA">
        <w:rPr>
          <w:rFonts w:eastAsia="Calibri"/>
          <w:color w:val="000000"/>
          <w:sz w:val="24"/>
          <w:szCs w:val="24"/>
        </w:rPr>
        <w:t>échanges, de réseaux de coopération ou de laboratoires d</w:t>
      </w:r>
      <w:r w:rsidR="001928FA">
        <w:rPr>
          <w:rFonts w:eastAsia="Calibri"/>
          <w:color w:val="000000"/>
          <w:sz w:val="24"/>
          <w:szCs w:val="24"/>
        </w:rPr>
        <w:t>’</w:t>
      </w:r>
      <w:r w:rsidRPr="001928FA">
        <w:rPr>
          <w:rFonts w:eastAsia="Calibri"/>
          <w:color w:val="000000"/>
          <w:sz w:val="24"/>
          <w:szCs w:val="24"/>
        </w:rPr>
        <w:t xml:space="preserve">innovation territoriaux facilite la </w:t>
      </w:r>
      <w:proofErr w:type="spellStart"/>
      <w:r w:rsidRPr="001928FA">
        <w:rPr>
          <w:rFonts w:eastAsia="Calibri"/>
          <w:color w:val="000000"/>
          <w:sz w:val="24"/>
          <w:szCs w:val="24"/>
        </w:rPr>
        <w:t>co-conception</w:t>
      </w:r>
      <w:proofErr w:type="spellEnd"/>
      <w:r w:rsidRPr="001928FA">
        <w:rPr>
          <w:rFonts w:eastAsia="Calibri"/>
          <w:color w:val="000000"/>
          <w:sz w:val="24"/>
          <w:szCs w:val="24"/>
        </w:rPr>
        <w:t xml:space="preserve"> de programmes de formation, d</w:t>
      </w:r>
      <w:r w:rsidR="001928FA">
        <w:rPr>
          <w:rFonts w:eastAsia="Calibri"/>
          <w:color w:val="000000"/>
          <w:sz w:val="24"/>
          <w:szCs w:val="24"/>
        </w:rPr>
        <w:t>’</w:t>
      </w:r>
      <w:r w:rsidRPr="001928FA">
        <w:rPr>
          <w:rFonts w:eastAsia="Calibri"/>
          <w:color w:val="000000"/>
          <w:sz w:val="24"/>
          <w:szCs w:val="24"/>
        </w:rPr>
        <w:t>incubateurs d</w:t>
      </w:r>
      <w:r w:rsidR="001928FA">
        <w:rPr>
          <w:rFonts w:eastAsia="Calibri"/>
          <w:color w:val="000000"/>
          <w:sz w:val="24"/>
          <w:szCs w:val="24"/>
        </w:rPr>
        <w:t>’</w:t>
      </w:r>
      <w:r w:rsidRPr="001928FA">
        <w:rPr>
          <w:rFonts w:eastAsia="Calibri"/>
          <w:color w:val="000000"/>
          <w:sz w:val="24"/>
          <w:szCs w:val="24"/>
        </w:rPr>
        <w:t xml:space="preserve">entreprises, ou de dispositifs de mentorat. </w:t>
      </w:r>
    </w:p>
    <w:p w14:paraId="7BE20F3B" w14:textId="4EDF11D5"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w:t>
      </w:r>
      <w:r w:rsidR="001928FA">
        <w:rPr>
          <w:rFonts w:eastAsia="Calibri"/>
          <w:color w:val="000000"/>
          <w:sz w:val="24"/>
          <w:szCs w:val="24"/>
        </w:rPr>
        <w:t>’</w:t>
      </w:r>
      <w:r w:rsidRPr="001928FA">
        <w:rPr>
          <w:rFonts w:eastAsia="Calibri"/>
          <w:color w:val="000000"/>
          <w:sz w:val="24"/>
          <w:szCs w:val="24"/>
        </w:rPr>
        <w:t>efficacité de ces synergies repose également sur la formalisation des partenariats par la signature de conventions ou de contrats-programmes, qui précisent clairement les rôles, responsabilités et attentes de chaque partie (Lahire, 2012). La mise en place d</w:t>
      </w:r>
      <w:r w:rsidR="001928FA">
        <w:rPr>
          <w:rFonts w:eastAsia="Calibri"/>
          <w:color w:val="000000"/>
          <w:sz w:val="24"/>
          <w:szCs w:val="24"/>
        </w:rPr>
        <w:t>’</w:t>
      </w:r>
      <w:r w:rsidRPr="001928FA">
        <w:rPr>
          <w:rFonts w:eastAsia="Calibri"/>
          <w:color w:val="000000"/>
          <w:sz w:val="24"/>
          <w:szCs w:val="24"/>
        </w:rPr>
        <w:t>un comité de pilotage multi-acteurs, regroupant tous les partenaires, permet de suivre la réalisation des projets, d</w:t>
      </w:r>
      <w:r w:rsidR="001928FA">
        <w:rPr>
          <w:rFonts w:eastAsia="Calibri"/>
          <w:color w:val="000000"/>
          <w:sz w:val="24"/>
          <w:szCs w:val="24"/>
        </w:rPr>
        <w:t>’</w:t>
      </w:r>
      <w:r w:rsidRPr="001928FA">
        <w:rPr>
          <w:rFonts w:eastAsia="Calibri"/>
          <w:color w:val="000000"/>
          <w:sz w:val="24"/>
          <w:szCs w:val="24"/>
        </w:rPr>
        <w:t>évaluer leur impact et d</w:t>
      </w:r>
      <w:r w:rsidR="001928FA">
        <w:rPr>
          <w:rFonts w:eastAsia="Calibri"/>
          <w:color w:val="000000"/>
          <w:sz w:val="24"/>
          <w:szCs w:val="24"/>
        </w:rPr>
        <w:t>’</w:t>
      </w:r>
      <w:r w:rsidRPr="001928FA">
        <w:rPr>
          <w:rFonts w:eastAsia="Calibri"/>
          <w:color w:val="000000"/>
          <w:sz w:val="24"/>
          <w:szCs w:val="24"/>
        </w:rPr>
        <w:t>ajuster les actions en fonction des résultats obtenus (Lemoine, 2018). Ces synergies renforcent la capacité d</w:t>
      </w:r>
      <w:r w:rsidR="001928FA">
        <w:rPr>
          <w:rFonts w:eastAsia="Calibri"/>
          <w:color w:val="000000"/>
          <w:sz w:val="24"/>
          <w:szCs w:val="24"/>
        </w:rPr>
        <w:t>’</w:t>
      </w:r>
      <w:r w:rsidRPr="001928FA">
        <w:rPr>
          <w:rFonts w:eastAsia="Calibri"/>
          <w:color w:val="000000"/>
          <w:sz w:val="24"/>
          <w:szCs w:val="24"/>
        </w:rPr>
        <w:t>innovation locale, favorisent l</w:t>
      </w:r>
      <w:r w:rsidR="001928FA">
        <w:rPr>
          <w:rFonts w:eastAsia="Calibri"/>
          <w:color w:val="000000"/>
          <w:sz w:val="24"/>
          <w:szCs w:val="24"/>
        </w:rPr>
        <w:t>’</w:t>
      </w:r>
      <w:r w:rsidRPr="001928FA">
        <w:rPr>
          <w:rFonts w:eastAsia="Calibri"/>
          <w:color w:val="000000"/>
          <w:sz w:val="24"/>
          <w:szCs w:val="24"/>
        </w:rPr>
        <w:t>adoption de démarches participatives, et améliorent la pertinence des formations proposées, en réponse aux évolutions du contexte socio-économique.</w:t>
      </w:r>
    </w:p>
    <w:p w14:paraId="2A6F4E89" w14:textId="21CBA7C4"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Au Cameroun et précisément dans la région de l</w:t>
      </w:r>
      <w:r w:rsidR="001928FA">
        <w:rPr>
          <w:rFonts w:eastAsia="Calibri"/>
          <w:color w:val="000000"/>
          <w:sz w:val="24"/>
          <w:szCs w:val="24"/>
        </w:rPr>
        <w:t>’</w:t>
      </w:r>
      <w:r w:rsidRPr="001928FA">
        <w:rPr>
          <w:rFonts w:eastAsia="Calibri"/>
          <w:color w:val="000000"/>
          <w:sz w:val="24"/>
          <w:szCs w:val="24"/>
        </w:rPr>
        <w:t>Est, 11 communes sur les 33 que compte la région ont entrepris, en date du 21 février 2024, de signer des partenariats avec l</w:t>
      </w:r>
      <w:r w:rsidR="001928FA">
        <w:rPr>
          <w:rFonts w:eastAsia="Calibri"/>
          <w:color w:val="000000"/>
          <w:sz w:val="24"/>
          <w:szCs w:val="24"/>
        </w:rPr>
        <w:t>’</w:t>
      </w:r>
      <w:r w:rsidRPr="001928FA">
        <w:rPr>
          <w:rFonts w:eastAsia="Calibri"/>
          <w:color w:val="000000"/>
          <w:sz w:val="24"/>
          <w:szCs w:val="24"/>
        </w:rPr>
        <w:t>Université de Bertoua en vue de tirer le plus grand profit de la présence de cet établissement universitaire dans leur localité. En 2025, précisément le mercredi 14 mai 2025, le Conseil Régional de l'Est (</w:t>
      </w:r>
      <w:proofErr w:type="spellStart"/>
      <w:r w:rsidRPr="001928FA">
        <w:rPr>
          <w:rFonts w:eastAsia="Calibri"/>
          <w:color w:val="000000"/>
          <w:sz w:val="24"/>
          <w:szCs w:val="24"/>
        </w:rPr>
        <w:t>CR-Est</w:t>
      </w:r>
      <w:proofErr w:type="spellEnd"/>
      <w:r w:rsidRPr="001928FA">
        <w:rPr>
          <w:rFonts w:eastAsia="Calibri"/>
          <w:color w:val="000000"/>
          <w:sz w:val="24"/>
          <w:szCs w:val="24"/>
        </w:rPr>
        <w:t>), à son tour, et l</w:t>
      </w:r>
      <w:r w:rsidR="001928FA">
        <w:rPr>
          <w:rFonts w:eastAsia="Calibri"/>
          <w:color w:val="000000"/>
          <w:sz w:val="24"/>
          <w:szCs w:val="24"/>
        </w:rPr>
        <w:t>’</w:t>
      </w:r>
      <w:r w:rsidRPr="001928FA">
        <w:rPr>
          <w:rFonts w:eastAsia="Calibri"/>
          <w:color w:val="000000"/>
          <w:sz w:val="24"/>
          <w:szCs w:val="24"/>
        </w:rPr>
        <w:t>Université de Bertoua (</w:t>
      </w:r>
      <w:proofErr w:type="spellStart"/>
      <w:r w:rsidRPr="001928FA">
        <w:rPr>
          <w:rFonts w:eastAsia="Calibri"/>
          <w:color w:val="000000"/>
          <w:sz w:val="24"/>
          <w:szCs w:val="24"/>
        </w:rPr>
        <w:t>UBe</w:t>
      </w:r>
      <w:proofErr w:type="spellEnd"/>
      <w:r w:rsidRPr="001928FA">
        <w:rPr>
          <w:rFonts w:eastAsia="Calibri"/>
          <w:color w:val="000000"/>
          <w:sz w:val="24"/>
          <w:szCs w:val="24"/>
        </w:rPr>
        <w:t>), ont signé un Accord Cadre de Partenariat.</w:t>
      </w:r>
      <w:r w:rsidRPr="001928FA">
        <w:rPr>
          <w:rFonts w:eastAsia="Calibri"/>
          <w:color w:val="000000"/>
          <w:sz w:val="24"/>
          <w:szCs w:val="24"/>
          <w:shd w:val="clear" w:color="auto" w:fill="FFFFFF"/>
        </w:rPr>
        <w:t xml:space="preserve"> </w:t>
      </w:r>
      <w:r w:rsidRPr="001928FA">
        <w:rPr>
          <w:rFonts w:eastAsia="Calibri"/>
          <w:color w:val="000000"/>
          <w:sz w:val="24"/>
          <w:szCs w:val="24"/>
        </w:rPr>
        <w:t xml:space="preserve">Cette convention cadre a pour objet de déterminer d'une part les conditions dans lesquelles les parties accompliront des missions conjointes concernant les domaines d'intérêt commun ; et d'autre part les conditions dans lesquelles l'une des parties pourra apporter son concours à l'autre s'agissant de l'accomplissement des missions propres (Rapport </w:t>
      </w:r>
      <w:proofErr w:type="spellStart"/>
      <w:r w:rsidRPr="001928FA">
        <w:rPr>
          <w:rFonts w:eastAsia="Calibri"/>
          <w:color w:val="000000"/>
          <w:sz w:val="24"/>
          <w:szCs w:val="24"/>
        </w:rPr>
        <w:t>CR-Est</w:t>
      </w:r>
      <w:proofErr w:type="spellEnd"/>
      <w:r w:rsidRPr="001928FA">
        <w:rPr>
          <w:rFonts w:eastAsia="Calibri"/>
          <w:color w:val="000000"/>
          <w:sz w:val="24"/>
          <w:szCs w:val="24"/>
        </w:rPr>
        <w:t>, Mai 2025). Tout ceci, dans le but de travailler main dans la main en vue du bien de la région et partant des populations qui ont hâte de voir arriver, avec la venue de l</w:t>
      </w:r>
      <w:r w:rsidR="001928FA">
        <w:rPr>
          <w:rFonts w:eastAsia="Calibri"/>
          <w:color w:val="000000"/>
          <w:sz w:val="24"/>
          <w:szCs w:val="24"/>
        </w:rPr>
        <w:t>’</w:t>
      </w:r>
      <w:r w:rsidRPr="001928FA">
        <w:rPr>
          <w:rFonts w:eastAsia="Calibri"/>
          <w:color w:val="000000"/>
          <w:sz w:val="24"/>
          <w:szCs w:val="24"/>
        </w:rPr>
        <w:t>Université, le développement tant souhaité de leur localité.</w:t>
      </w:r>
    </w:p>
    <w:p w14:paraId="0B249A3D" w14:textId="35E1DBA6" w:rsidR="00D80693" w:rsidRPr="001928FA" w:rsidRDefault="00D80693" w:rsidP="001928FA">
      <w:pPr>
        <w:widowControl/>
        <w:numPr>
          <w:ilvl w:val="1"/>
          <w:numId w:val="202"/>
        </w:numPr>
        <w:autoSpaceDE/>
        <w:autoSpaceDN/>
        <w:spacing w:before="120"/>
        <w:jc w:val="both"/>
        <w:rPr>
          <w:rFonts w:eastAsia="Calibri"/>
          <w:color w:val="000000"/>
          <w:sz w:val="24"/>
          <w:szCs w:val="24"/>
        </w:rPr>
      </w:pPr>
      <w:r w:rsidRPr="001928FA">
        <w:rPr>
          <w:rFonts w:eastAsia="Calibri"/>
          <w:b/>
          <w:bCs/>
          <w:color w:val="000000"/>
          <w:sz w:val="24"/>
          <w:szCs w:val="24"/>
        </w:rPr>
        <w:t>Promouvoir l</w:t>
      </w:r>
      <w:r w:rsidR="001928FA">
        <w:rPr>
          <w:rFonts w:eastAsia="Calibri"/>
          <w:b/>
          <w:bCs/>
          <w:color w:val="000000"/>
          <w:sz w:val="24"/>
          <w:szCs w:val="24"/>
        </w:rPr>
        <w:t>’</w:t>
      </w:r>
      <w:r w:rsidRPr="001928FA">
        <w:rPr>
          <w:rFonts w:eastAsia="Calibri"/>
          <w:b/>
          <w:bCs/>
          <w:color w:val="000000"/>
          <w:sz w:val="24"/>
          <w:szCs w:val="24"/>
        </w:rPr>
        <w:t>Entrepreneuriat Local</w:t>
      </w:r>
      <w:r w:rsidRPr="001928FA">
        <w:rPr>
          <w:rFonts w:eastAsia="Calibri"/>
          <w:color w:val="000000"/>
          <w:sz w:val="24"/>
          <w:szCs w:val="24"/>
        </w:rPr>
        <w:t> </w:t>
      </w:r>
    </w:p>
    <w:p w14:paraId="163DE00B" w14:textId="75D03964"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Les initiatives d</w:t>
      </w:r>
      <w:r w:rsidR="001928FA">
        <w:rPr>
          <w:rFonts w:eastAsia="Calibri"/>
          <w:color w:val="000000"/>
          <w:sz w:val="24"/>
          <w:szCs w:val="24"/>
        </w:rPr>
        <w:t>’</w:t>
      </w:r>
      <w:r w:rsidRPr="001928FA">
        <w:rPr>
          <w:rFonts w:eastAsia="Calibri"/>
          <w:color w:val="000000"/>
          <w:sz w:val="24"/>
          <w:szCs w:val="24"/>
        </w:rPr>
        <w:t>incubation et d</w:t>
      </w:r>
      <w:r w:rsidR="001928FA">
        <w:rPr>
          <w:rFonts w:eastAsia="Calibri"/>
          <w:color w:val="000000"/>
          <w:sz w:val="24"/>
          <w:szCs w:val="24"/>
        </w:rPr>
        <w:t>’</w:t>
      </w:r>
      <w:r w:rsidRPr="001928FA">
        <w:rPr>
          <w:rFonts w:eastAsia="Calibri"/>
          <w:color w:val="000000"/>
          <w:sz w:val="24"/>
          <w:szCs w:val="24"/>
        </w:rPr>
        <w:t>accélération d</w:t>
      </w:r>
      <w:r w:rsidR="001928FA">
        <w:rPr>
          <w:rFonts w:eastAsia="Calibri"/>
          <w:color w:val="000000"/>
          <w:sz w:val="24"/>
          <w:szCs w:val="24"/>
        </w:rPr>
        <w:t>’</w:t>
      </w:r>
      <w:r w:rsidRPr="001928FA">
        <w:rPr>
          <w:rFonts w:eastAsia="Calibri"/>
          <w:color w:val="000000"/>
          <w:sz w:val="24"/>
          <w:szCs w:val="24"/>
        </w:rPr>
        <w:t>entreprises, en lien avec les établissements d</w:t>
      </w:r>
      <w:r w:rsidR="001928FA">
        <w:rPr>
          <w:rFonts w:eastAsia="Calibri"/>
          <w:color w:val="000000"/>
          <w:sz w:val="24"/>
          <w:szCs w:val="24"/>
        </w:rPr>
        <w:t>’</w:t>
      </w:r>
      <w:r w:rsidRPr="001928FA">
        <w:rPr>
          <w:rFonts w:eastAsia="Calibri"/>
          <w:color w:val="000000"/>
          <w:sz w:val="24"/>
          <w:szCs w:val="24"/>
        </w:rPr>
        <w:t>enseignement, renforcent l</w:t>
      </w:r>
      <w:r w:rsidR="001928FA">
        <w:rPr>
          <w:rFonts w:eastAsia="Calibri"/>
          <w:color w:val="000000"/>
          <w:sz w:val="24"/>
          <w:szCs w:val="24"/>
        </w:rPr>
        <w:t>’</w:t>
      </w:r>
      <w:r w:rsidRPr="001928FA">
        <w:rPr>
          <w:rFonts w:eastAsia="Calibri"/>
          <w:color w:val="000000"/>
          <w:sz w:val="24"/>
          <w:szCs w:val="24"/>
        </w:rPr>
        <w:t>esprit entrepreneurial et favorisent la création d</w:t>
      </w:r>
      <w:r w:rsidR="001928FA">
        <w:rPr>
          <w:rFonts w:eastAsia="Calibri"/>
          <w:color w:val="000000"/>
          <w:sz w:val="24"/>
          <w:szCs w:val="24"/>
        </w:rPr>
        <w:t>’</w:t>
      </w:r>
      <w:r w:rsidRPr="001928FA">
        <w:rPr>
          <w:rFonts w:eastAsia="Calibri"/>
          <w:color w:val="000000"/>
          <w:sz w:val="24"/>
          <w:szCs w:val="24"/>
        </w:rPr>
        <w:t>emplois (Dufour &amp; Gagnon, 2022).</w:t>
      </w:r>
    </w:p>
    <w:p w14:paraId="5EC8BD37" w14:textId="52BAAF19"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Une autre dimension essentielle de la collaboration territoriale consiste à promouvoir l</w:t>
      </w:r>
      <w:r w:rsidR="001928FA">
        <w:rPr>
          <w:rFonts w:eastAsia="Calibri"/>
          <w:color w:val="000000"/>
          <w:sz w:val="24"/>
          <w:szCs w:val="24"/>
        </w:rPr>
        <w:t>’</w:t>
      </w:r>
      <w:r w:rsidRPr="001928FA">
        <w:rPr>
          <w:rFonts w:eastAsia="Calibri"/>
          <w:color w:val="000000"/>
          <w:sz w:val="24"/>
          <w:szCs w:val="24"/>
        </w:rPr>
        <w:t>esprit entrepreneurial au sein des établissements d</w:t>
      </w:r>
      <w:r w:rsidR="001928FA">
        <w:rPr>
          <w:rFonts w:eastAsia="Calibri"/>
          <w:color w:val="000000"/>
          <w:sz w:val="24"/>
          <w:szCs w:val="24"/>
        </w:rPr>
        <w:t>’</w:t>
      </w:r>
      <w:r w:rsidRPr="001928FA">
        <w:rPr>
          <w:rFonts w:eastAsia="Calibri"/>
          <w:color w:val="000000"/>
          <w:sz w:val="24"/>
          <w:szCs w:val="24"/>
        </w:rPr>
        <w:t>enseignement supérieur, afin d</w:t>
      </w:r>
      <w:r w:rsidR="001928FA">
        <w:rPr>
          <w:rFonts w:eastAsia="Calibri"/>
          <w:color w:val="000000"/>
          <w:sz w:val="24"/>
          <w:szCs w:val="24"/>
        </w:rPr>
        <w:t>’</w:t>
      </w:r>
      <w:r w:rsidRPr="001928FA">
        <w:rPr>
          <w:rFonts w:eastAsia="Calibri"/>
          <w:color w:val="000000"/>
          <w:sz w:val="24"/>
          <w:szCs w:val="24"/>
        </w:rPr>
        <w:t>encourager l</w:t>
      </w:r>
      <w:r w:rsidR="001928FA">
        <w:rPr>
          <w:rFonts w:eastAsia="Calibri"/>
          <w:color w:val="000000"/>
          <w:sz w:val="24"/>
          <w:szCs w:val="24"/>
        </w:rPr>
        <w:t>’</w:t>
      </w:r>
      <w:r w:rsidRPr="001928FA">
        <w:rPr>
          <w:rFonts w:eastAsia="Calibri"/>
          <w:color w:val="000000"/>
          <w:sz w:val="24"/>
          <w:szCs w:val="24"/>
        </w:rPr>
        <w:t>émergence de jeunes entrepreneurs et de nouvelles entreprises locales (Duru-Bellat, 2013). La proximité entre établissements et acteurs économiques facilite la mise en place d</w:t>
      </w:r>
      <w:r w:rsidR="001928FA">
        <w:rPr>
          <w:rFonts w:eastAsia="Calibri"/>
          <w:color w:val="000000"/>
          <w:sz w:val="24"/>
          <w:szCs w:val="24"/>
        </w:rPr>
        <w:t>’</w:t>
      </w:r>
      <w:r w:rsidRPr="001928FA">
        <w:rPr>
          <w:rFonts w:eastAsia="Calibri"/>
          <w:color w:val="000000"/>
          <w:sz w:val="24"/>
          <w:szCs w:val="24"/>
        </w:rPr>
        <w:t>incubateurs, d</w:t>
      </w:r>
      <w:r w:rsidR="001928FA">
        <w:rPr>
          <w:rFonts w:eastAsia="Calibri"/>
          <w:color w:val="000000"/>
          <w:sz w:val="24"/>
          <w:szCs w:val="24"/>
        </w:rPr>
        <w:t>’</w:t>
      </w:r>
      <w:r w:rsidRPr="001928FA">
        <w:rPr>
          <w:rFonts w:eastAsia="Calibri"/>
          <w:color w:val="000000"/>
          <w:sz w:val="24"/>
          <w:szCs w:val="24"/>
        </w:rPr>
        <w:t>accélérateurs, de formations à l</w:t>
      </w:r>
      <w:r w:rsidR="001928FA">
        <w:rPr>
          <w:rFonts w:eastAsia="Calibri"/>
          <w:color w:val="000000"/>
          <w:sz w:val="24"/>
          <w:szCs w:val="24"/>
        </w:rPr>
        <w:t>’</w:t>
      </w:r>
      <w:r w:rsidRPr="001928FA">
        <w:rPr>
          <w:rFonts w:eastAsia="Calibri"/>
          <w:color w:val="000000"/>
          <w:sz w:val="24"/>
          <w:szCs w:val="24"/>
        </w:rPr>
        <w:t>entrepreneuriat, ainsi que d</w:t>
      </w:r>
      <w:r w:rsidR="001928FA">
        <w:rPr>
          <w:rFonts w:eastAsia="Calibri"/>
          <w:color w:val="000000"/>
          <w:sz w:val="24"/>
          <w:szCs w:val="24"/>
        </w:rPr>
        <w:t>’</w:t>
      </w:r>
      <w:r w:rsidRPr="001928FA">
        <w:rPr>
          <w:rFonts w:eastAsia="Calibri"/>
          <w:color w:val="000000"/>
          <w:sz w:val="24"/>
          <w:szCs w:val="24"/>
        </w:rPr>
        <w:t>ateliers de sensibilisation. Ces dispositifs permettent de développer chez les étudiants une culture entrepreneuriale, de leur fournir un accompagnement personnalisé, et de leur donner les outils nécessaires pour transformer leurs idées en projets viables.</w:t>
      </w:r>
    </w:p>
    <w:p w14:paraId="560FE229" w14:textId="23B95B83"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Par ailleurs, la promotion de l</w:t>
      </w:r>
      <w:r w:rsidR="001928FA">
        <w:rPr>
          <w:rFonts w:eastAsia="Calibri"/>
          <w:color w:val="000000"/>
          <w:sz w:val="24"/>
          <w:szCs w:val="24"/>
        </w:rPr>
        <w:t>’</w:t>
      </w:r>
      <w:r w:rsidRPr="001928FA">
        <w:rPr>
          <w:rFonts w:eastAsia="Calibri"/>
          <w:color w:val="000000"/>
          <w:sz w:val="24"/>
          <w:szCs w:val="24"/>
        </w:rPr>
        <w:t>entrepreneuriat local doit s</w:t>
      </w:r>
      <w:r w:rsidR="001928FA">
        <w:rPr>
          <w:rFonts w:eastAsia="Calibri"/>
          <w:color w:val="000000"/>
          <w:sz w:val="24"/>
          <w:szCs w:val="24"/>
        </w:rPr>
        <w:t>’</w:t>
      </w:r>
      <w:r w:rsidRPr="001928FA">
        <w:rPr>
          <w:rFonts w:eastAsia="Calibri"/>
          <w:color w:val="000000"/>
          <w:sz w:val="24"/>
          <w:szCs w:val="24"/>
        </w:rPr>
        <w:t>appuyer sur une politique volontariste de valorisation des initiatives entrepreneuriales, notamment par des événements comme des hackathons, des concours d</w:t>
      </w:r>
      <w:r w:rsidR="001928FA">
        <w:rPr>
          <w:rFonts w:eastAsia="Calibri"/>
          <w:color w:val="000000"/>
          <w:sz w:val="24"/>
          <w:szCs w:val="24"/>
        </w:rPr>
        <w:t>’</w:t>
      </w:r>
      <w:r w:rsidRPr="001928FA">
        <w:rPr>
          <w:rFonts w:eastAsia="Calibri"/>
          <w:color w:val="000000"/>
          <w:sz w:val="24"/>
          <w:szCs w:val="24"/>
        </w:rPr>
        <w:t>innovation, ou des forums de rencontres entre jeunes porteurs de projets et investisseurs locaux (</w:t>
      </w:r>
      <w:proofErr w:type="spellStart"/>
      <w:r w:rsidRPr="001928FA">
        <w:rPr>
          <w:rFonts w:eastAsia="Calibri"/>
          <w:color w:val="000000"/>
          <w:sz w:val="24"/>
          <w:szCs w:val="24"/>
        </w:rPr>
        <w:t>Lafon</w:t>
      </w:r>
      <w:proofErr w:type="spellEnd"/>
      <w:r w:rsidRPr="001928FA">
        <w:rPr>
          <w:rFonts w:eastAsia="Calibri"/>
          <w:color w:val="000000"/>
          <w:sz w:val="24"/>
          <w:szCs w:val="24"/>
        </w:rPr>
        <w:t>, 2014). La collaboration avec les collectivités territoriales et les chambres de commerce joue également un rôle clé, en facilitant l</w:t>
      </w:r>
      <w:r w:rsidR="001928FA">
        <w:rPr>
          <w:rFonts w:eastAsia="Calibri"/>
          <w:color w:val="000000"/>
          <w:sz w:val="24"/>
          <w:szCs w:val="24"/>
        </w:rPr>
        <w:t>’</w:t>
      </w:r>
      <w:r w:rsidRPr="001928FA">
        <w:rPr>
          <w:rFonts w:eastAsia="Calibri"/>
          <w:color w:val="000000"/>
          <w:sz w:val="24"/>
          <w:szCs w:val="24"/>
        </w:rPr>
        <w:t>accès au financement, aux réseaux d</w:t>
      </w:r>
      <w:r w:rsidR="001928FA">
        <w:rPr>
          <w:rFonts w:eastAsia="Calibri"/>
          <w:color w:val="000000"/>
          <w:sz w:val="24"/>
          <w:szCs w:val="24"/>
        </w:rPr>
        <w:t>’</w:t>
      </w:r>
      <w:r w:rsidRPr="001928FA">
        <w:rPr>
          <w:rFonts w:eastAsia="Calibri"/>
          <w:color w:val="000000"/>
          <w:sz w:val="24"/>
          <w:szCs w:val="24"/>
        </w:rPr>
        <w:t>accompagnement, et aux marchés locaux. Enfin, l</w:t>
      </w:r>
      <w:r w:rsidR="001928FA">
        <w:rPr>
          <w:rFonts w:eastAsia="Calibri"/>
          <w:color w:val="000000"/>
          <w:sz w:val="24"/>
          <w:szCs w:val="24"/>
        </w:rPr>
        <w:t>’</w:t>
      </w:r>
      <w:r w:rsidRPr="001928FA">
        <w:rPr>
          <w:rFonts w:eastAsia="Calibri"/>
          <w:color w:val="000000"/>
          <w:sz w:val="24"/>
          <w:szCs w:val="24"/>
        </w:rPr>
        <w:t>intégration de modules d</w:t>
      </w:r>
      <w:r w:rsidR="001928FA">
        <w:rPr>
          <w:rFonts w:eastAsia="Calibri"/>
          <w:color w:val="000000"/>
          <w:sz w:val="24"/>
          <w:szCs w:val="24"/>
        </w:rPr>
        <w:t>’</w:t>
      </w:r>
      <w:r w:rsidRPr="001928FA">
        <w:rPr>
          <w:rFonts w:eastAsia="Calibri"/>
          <w:color w:val="000000"/>
          <w:sz w:val="24"/>
          <w:szCs w:val="24"/>
        </w:rPr>
        <w:t>apprentissage axés sur l</w:t>
      </w:r>
      <w:r w:rsidR="001928FA">
        <w:rPr>
          <w:rFonts w:eastAsia="Calibri"/>
          <w:color w:val="000000"/>
          <w:sz w:val="24"/>
          <w:szCs w:val="24"/>
        </w:rPr>
        <w:t>’</w:t>
      </w:r>
      <w:r w:rsidRPr="001928FA">
        <w:rPr>
          <w:rFonts w:eastAsia="Calibri"/>
          <w:color w:val="000000"/>
          <w:sz w:val="24"/>
          <w:szCs w:val="24"/>
        </w:rPr>
        <w:t>entrepreneuriat dans les curricula universitaires constitue une étape essentielle pour faire émerger une génération d</w:t>
      </w:r>
      <w:r w:rsidR="001928FA">
        <w:rPr>
          <w:rFonts w:eastAsia="Calibri"/>
          <w:color w:val="000000"/>
          <w:sz w:val="24"/>
          <w:szCs w:val="24"/>
        </w:rPr>
        <w:t>’</w:t>
      </w:r>
      <w:r w:rsidRPr="001928FA">
        <w:rPr>
          <w:rFonts w:eastAsia="Calibri"/>
          <w:color w:val="000000"/>
          <w:sz w:val="24"/>
          <w:szCs w:val="24"/>
        </w:rPr>
        <w:t>acteurs économiques dynamiques, engagés dans le développement durable et la prospérité du territoire (Leclerc, 2017).</w:t>
      </w:r>
    </w:p>
    <w:p w14:paraId="3A643069" w14:textId="54EA0BB7"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In fine, la construction de partenariats solides et la promotion de l</w:t>
      </w:r>
      <w:r w:rsidR="001928FA">
        <w:rPr>
          <w:rFonts w:eastAsia="Calibri"/>
          <w:color w:val="000000"/>
          <w:sz w:val="24"/>
          <w:szCs w:val="24"/>
        </w:rPr>
        <w:t>’</w:t>
      </w:r>
      <w:r w:rsidRPr="001928FA">
        <w:rPr>
          <w:rFonts w:eastAsia="Calibri"/>
          <w:color w:val="000000"/>
          <w:sz w:val="24"/>
          <w:szCs w:val="24"/>
        </w:rPr>
        <w:t>entrepreneuriat local sont des stratégies complémentaires qui renforcent la cohésion socio-économique et favorisent une croissance inclusive et durable dans le cadre de la professionnalisation territoriale (Lemoine, 2018). Cependant, à quelques exceptions près, on est loin d'une animation partagée du tissu économique local. La priorité va plus à l'emploi qu'au développement territorial durable (</w:t>
      </w:r>
      <w:r w:rsidRPr="001928FA">
        <w:rPr>
          <w:rFonts w:eastAsia="Calibri"/>
          <w:color w:val="000000"/>
          <w:sz w:val="24"/>
          <w:szCs w:val="24"/>
          <w:shd w:val="clear" w:color="auto" w:fill="FFFFFF"/>
        </w:rPr>
        <w:t>Landel, P. A., &amp; Pecqueur, B. 2016)</w:t>
      </w:r>
      <w:r w:rsidRPr="001928FA">
        <w:rPr>
          <w:rFonts w:eastAsia="Calibri"/>
          <w:color w:val="000000"/>
          <w:sz w:val="24"/>
          <w:szCs w:val="24"/>
        </w:rPr>
        <w:t xml:space="preserve">. Du coup, la professionnalisation est dévoyée au profit des entreprises qui comblent leurs besoins en </w:t>
      </w:r>
      <w:proofErr w:type="spellStart"/>
      <w:r w:rsidRPr="001928FA">
        <w:rPr>
          <w:rFonts w:eastAsia="Calibri"/>
          <w:color w:val="000000"/>
          <w:sz w:val="24"/>
          <w:szCs w:val="24"/>
        </w:rPr>
        <w:t>main-d</w:t>
      </w:r>
      <w:r w:rsidR="001928FA">
        <w:rPr>
          <w:rFonts w:eastAsia="Calibri"/>
          <w:color w:val="000000"/>
          <w:sz w:val="24"/>
          <w:szCs w:val="24"/>
        </w:rPr>
        <w:t>’</w:t>
      </w:r>
      <w:r w:rsidRPr="001928FA">
        <w:rPr>
          <w:rFonts w:eastAsia="Calibri"/>
          <w:color w:val="000000"/>
          <w:sz w:val="24"/>
          <w:szCs w:val="24"/>
        </w:rPr>
        <w:t>uvre</w:t>
      </w:r>
      <w:proofErr w:type="spellEnd"/>
      <w:r w:rsidRPr="001928FA">
        <w:rPr>
          <w:rFonts w:eastAsia="Calibri"/>
          <w:color w:val="000000"/>
          <w:sz w:val="24"/>
          <w:szCs w:val="24"/>
        </w:rPr>
        <w:t>. Il est plus question ici, à partir d</w:t>
      </w:r>
      <w:r w:rsidR="001928FA">
        <w:rPr>
          <w:rFonts w:eastAsia="Calibri"/>
          <w:color w:val="000000"/>
          <w:sz w:val="24"/>
          <w:szCs w:val="24"/>
        </w:rPr>
        <w:t>’</w:t>
      </w:r>
      <w:r w:rsidRPr="001928FA">
        <w:rPr>
          <w:rFonts w:eastAsia="Calibri"/>
          <w:color w:val="000000"/>
          <w:sz w:val="24"/>
          <w:szCs w:val="24"/>
        </w:rPr>
        <w:t>une analyse FFOM, d</w:t>
      </w:r>
      <w:r w:rsidR="001928FA">
        <w:rPr>
          <w:rFonts w:eastAsia="Calibri"/>
          <w:color w:val="000000"/>
          <w:sz w:val="24"/>
          <w:szCs w:val="24"/>
        </w:rPr>
        <w:t>’</w:t>
      </w:r>
      <w:r w:rsidRPr="001928FA">
        <w:rPr>
          <w:rFonts w:eastAsia="Calibri"/>
          <w:color w:val="000000"/>
          <w:sz w:val="24"/>
          <w:szCs w:val="24"/>
        </w:rPr>
        <w:t>entreprendre de manière utile pour la localité. C</w:t>
      </w:r>
      <w:r w:rsidR="001928FA">
        <w:rPr>
          <w:rFonts w:eastAsia="Calibri"/>
          <w:color w:val="000000"/>
          <w:sz w:val="24"/>
          <w:szCs w:val="24"/>
        </w:rPr>
        <w:t>’</w:t>
      </w:r>
      <w:r w:rsidRPr="001928FA">
        <w:rPr>
          <w:rFonts w:eastAsia="Calibri"/>
          <w:color w:val="000000"/>
          <w:sz w:val="24"/>
          <w:szCs w:val="24"/>
        </w:rPr>
        <w:t xml:space="preserve">est-à-dire, de développer plus des initiatives qui prennent ancrage sur les opportunités de la localité. En exploitant les forces.  </w:t>
      </w:r>
    </w:p>
    <w:p w14:paraId="30A20D1A" w14:textId="77777777" w:rsidR="00D80693" w:rsidRPr="001928FA" w:rsidRDefault="00D80693" w:rsidP="001928FA">
      <w:pPr>
        <w:spacing w:before="120"/>
        <w:jc w:val="both"/>
        <w:rPr>
          <w:rFonts w:eastAsia="Calibri"/>
          <w:color w:val="000000"/>
          <w:sz w:val="24"/>
          <w:szCs w:val="24"/>
        </w:rPr>
      </w:pPr>
      <w:r w:rsidRPr="001928FA">
        <w:rPr>
          <w:rFonts w:eastAsia="Calibri"/>
          <w:b/>
          <w:bCs/>
          <w:color w:val="000000"/>
          <w:sz w:val="28"/>
          <w:szCs w:val="24"/>
        </w:rPr>
        <w:t>3. Impact de la professionnalisation sur le développement économique et social des CTD</w:t>
      </w:r>
    </w:p>
    <w:p w14:paraId="53DD79EF" w14:textId="48F3A503"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La professionnalisation des programmes d</w:t>
      </w:r>
      <w:r w:rsidR="001928FA">
        <w:rPr>
          <w:rFonts w:eastAsia="Calibri"/>
          <w:color w:val="000000"/>
          <w:sz w:val="24"/>
          <w:szCs w:val="24"/>
        </w:rPr>
        <w:t>’</w:t>
      </w:r>
      <w:r w:rsidRPr="001928FA">
        <w:rPr>
          <w:rFonts w:eastAsia="Calibri"/>
          <w:color w:val="000000"/>
          <w:sz w:val="24"/>
          <w:szCs w:val="24"/>
        </w:rPr>
        <w:t>enseignement supérieur, lorsqu</w:t>
      </w:r>
      <w:r w:rsidR="001928FA">
        <w:rPr>
          <w:rFonts w:eastAsia="Calibri"/>
          <w:color w:val="000000"/>
          <w:sz w:val="24"/>
          <w:szCs w:val="24"/>
        </w:rPr>
        <w:t>’</w:t>
      </w:r>
      <w:r w:rsidRPr="001928FA">
        <w:rPr>
          <w:rFonts w:eastAsia="Calibri"/>
          <w:color w:val="000000"/>
          <w:sz w:val="24"/>
          <w:szCs w:val="24"/>
        </w:rPr>
        <w:t>elle est bien intégrée aux dynamiques territoriales, joue un rôle majeur dans le développement économique et social des Collectivités Territoriales Décentralisées (CTD). La professionnalisation des enseignements doit alors être mesurée non seulement par l</w:t>
      </w:r>
      <w:r w:rsidR="001928FA">
        <w:rPr>
          <w:rFonts w:eastAsia="Calibri"/>
          <w:color w:val="000000"/>
          <w:sz w:val="24"/>
          <w:szCs w:val="24"/>
        </w:rPr>
        <w:t>’</w:t>
      </w:r>
      <w:r w:rsidRPr="001928FA">
        <w:rPr>
          <w:rFonts w:eastAsia="Calibri"/>
          <w:color w:val="000000"/>
          <w:sz w:val="24"/>
          <w:szCs w:val="24"/>
        </w:rPr>
        <w:t>employabilité des diplômés, mais également par son impact sur le développement socio-économique des CTD. Selon Lahire, elle favorise non seulement la croissance économique par la création d</w:t>
      </w:r>
      <w:r w:rsidR="001928FA">
        <w:rPr>
          <w:rFonts w:eastAsia="Calibri"/>
          <w:color w:val="000000"/>
          <w:sz w:val="24"/>
          <w:szCs w:val="24"/>
        </w:rPr>
        <w:t>’</w:t>
      </w:r>
      <w:r w:rsidRPr="001928FA">
        <w:rPr>
          <w:rFonts w:eastAsia="Calibri"/>
          <w:color w:val="000000"/>
          <w:sz w:val="24"/>
          <w:szCs w:val="24"/>
        </w:rPr>
        <w:t>emplois, mais aussi la cohésion sociale et la durabilité du développement local (Lahire, 2012). Ces impacts positifs renforcent ainsi la résilience du territoire face aux défis contemporains et contribuent à construire un modèle de développement inclusif et durable.</w:t>
      </w:r>
    </w:p>
    <w:p w14:paraId="729B9758" w14:textId="2970BBE5" w:rsidR="00D80693" w:rsidRPr="001928FA" w:rsidRDefault="00D80693" w:rsidP="001928FA">
      <w:pPr>
        <w:spacing w:before="120"/>
        <w:jc w:val="both"/>
        <w:rPr>
          <w:rFonts w:eastAsia="Calibri"/>
          <w:color w:val="000000"/>
          <w:sz w:val="24"/>
          <w:szCs w:val="24"/>
        </w:rPr>
      </w:pPr>
      <w:r w:rsidRPr="001928FA">
        <w:rPr>
          <w:rFonts w:eastAsia="Calibri"/>
          <w:b/>
          <w:bCs/>
          <w:color w:val="000000"/>
          <w:sz w:val="24"/>
          <w:szCs w:val="24"/>
        </w:rPr>
        <w:t>3.1. Création d</w:t>
      </w:r>
      <w:r w:rsidR="001928FA">
        <w:rPr>
          <w:rFonts w:eastAsia="Calibri"/>
          <w:b/>
          <w:bCs/>
          <w:color w:val="000000"/>
          <w:sz w:val="24"/>
          <w:szCs w:val="24"/>
        </w:rPr>
        <w:t>’</w:t>
      </w:r>
      <w:r w:rsidRPr="001928FA">
        <w:rPr>
          <w:rFonts w:eastAsia="Calibri"/>
          <w:b/>
          <w:bCs/>
          <w:color w:val="000000"/>
          <w:sz w:val="24"/>
          <w:szCs w:val="24"/>
        </w:rPr>
        <w:t>emplois durables</w:t>
      </w:r>
      <w:r w:rsidRPr="001928FA">
        <w:rPr>
          <w:rFonts w:eastAsia="Calibri"/>
          <w:color w:val="000000"/>
          <w:sz w:val="24"/>
          <w:szCs w:val="24"/>
        </w:rPr>
        <w:t> </w:t>
      </w:r>
    </w:p>
    <w:p w14:paraId="5609FCC9" w14:textId="08E64ACD"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 Une meilleure formation des diplômés entraîne une augmentation des taux d</w:t>
      </w:r>
      <w:r w:rsidR="001928FA">
        <w:rPr>
          <w:rFonts w:eastAsia="Calibri"/>
          <w:color w:val="000000"/>
          <w:sz w:val="24"/>
          <w:szCs w:val="24"/>
        </w:rPr>
        <w:t>’</w:t>
      </w:r>
      <w:r w:rsidRPr="001928FA">
        <w:rPr>
          <w:rFonts w:eastAsia="Calibri"/>
          <w:color w:val="000000"/>
          <w:sz w:val="24"/>
          <w:szCs w:val="24"/>
        </w:rPr>
        <w:t>emploi local, contribuant ainsi à la dynamisation économique des collectivités (Meyer et Schmid, 2021).</w:t>
      </w:r>
      <w:r w:rsidRPr="001928FA">
        <w:rPr>
          <w:rFonts w:eastAsia="Calibri"/>
          <w:b/>
          <w:bCs/>
          <w:color w:val="000000"/>
          <w:sz w:val="24"/>
          <w:szCs w:val="24"/>
        </w:rPr>
        <w:t xml:space="preserve"> </w:t>
      </w:r>
      <w:r w:rsidRPr="001928FA">
        <w:rPr>
          <w:rFonts w:eastAsia="Calibri"/>
          <w:color w:val="000000"/>
          <w:sz w:val="24"/>
          <w:szCs w:val="24"/>
        </w:rPr>
        <w:t>L</w:t>
      </w:r>
      <w:r w:rsidR="001928FA">
        <w:rPr>
          <w:rFonts w:eastAsia="Calibri"/>
          <w:color w:val="000000"/>
          <w:sz w:val="24"/>
          <w:szCs w:val="24"/>
        </w:rPr>
        <w:t>’</w:t>
      </w:r>
      <w:r w:rsidRPr="001928FA">
        <w:rPr>
          <w:rFonts w:eastAsia="Calibri"/>
          <w:color w:val="000000"/>
          <w:sz w:val="24"/>
          <w:szCs w:val="24"/>
        </w:rPr>
        <w:t>un des effets essentiels de la professionnalisation territoriale réside, à coup sûr, dans la capacité à générer des emplois durables et de qualité. En adaptant les curricula aux besoins réels du marché du travail local, les établissements de formation facilitent l</w:t>
      </w:r>
      <w:r w:rsidR="001928FA">
        <w:rPr>
          <w:rFonts w:eastAsia="Calibri"/>
          <w:color w:val="000000"/>
          <w:sz w:val="24"/>
          <w:szCs w:val="24"/>
        </w:rPr>
        <w:t>’</w:t>
      </w:r>
      <w:r w:rsidRPr="001928FA">
        <w:rPr>
          <w:rFonts w:eastAsia="Calibri"/>
          <w:color w:val="000000"/>
          <w:sz w:val="24"/>
          <w:szCs w:val="24"/>
        </w:rPr>
        <w:t>intégration des jeunes et des actifs dans l</w:t>
      </w:r>
      <w:r w:rsidR="001928FA">
        <w:rPr>
          <w:rFonts w:eastAsia="Calibri"/>
          <w:color w:val="000000"/>
          <w:sz w:val="24"/>
          <w:szCs w:val="24"/>
        </w:rPr>
        <w:t>’</w:t>
      </w:r>
      <w:r w:rsidRPr="001928FA">
        <w:rPr>
          <w:rFonts w:eastAsia="Calibri"/>
          <w:color w:val="000000"/>
          <w:sz w:val="24"/>
          <w:szCs w:val="24"/>
        </w:rPr>
        <w:t>économie locale (</w:t>
      </w:r>
      <w:proofErr w:type="spellStart"/>
      <w:r w:rsidRPr="001928FA">
        <w:rPr>
          <w:rFonts w:eastAsia="Calibri"/>
          <w:color w:val="000000"/>
          <w:sz w:val="24"/>
          <w:szCs w:val="24"/>
        </w:rPr>
        <w:t>Boudriga</w:t>
      </w:r>
      <w:proofErr w:type="spellEnd"/>
      <w:r w:rsidRPr="001928FA">
        <w:rPr>
          <w:rFonts w:eastAsia="Calibri"/>
          <w:color w:val="000000"/>
          <w:sz w:val="24"/>
          <w:szCs w:val="24"/>
        </w:rPr>
        <w:t>, 2015).</w:t>
      </w:r>
    </w:p>
    <w:p w14:paraId="58338190" w14:textId="7254EA05"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 xml:space="preserve"> La mise en </w:t>
      </w:r>
      <w:r w:rsidR="001928FA" w:rsidRPr="001928FA">
        <w:rPr>
          <w:rFonts w:eastAsia="Calibri"/>
          <w:color w:val="000000"/>
          <w:sz w:val="24"/>
          <w:szCs w:val="24"/>
        </w:rPr>
        <w:t>œuvre</w:t>
      </w:r>
      <w:r w:rsidRPr="001928FA">
        <w:rPr>
          <w:rFonts w:eastAsia="Calibri"/>
          <w:color w:val="000000"/>
          <w:sz w:val="24"/>
          <w:szCs w:val="24"/>
        </w:rPr>
        <w:t xml:space="preserve"> de formations en alternance, stages, ou apprentissages en partenariat avec les entreprises permet de renforcer aussi l</w:t>
      </w:r>
      <w:r w:rsidR="001928FA">
        <w:rPr>
          <w:rFonts w:eastAsia="Calibri"/>
          <w:color w:val="000000"/>
          <w:sz w:val="24"/>
          <w:szCs w:val="24"/>
        </w:rPr>
        <w:t>’</w:t>
      </w:r>
      <w:r w:rsidRPr="001928FA">
        <w:rPr>
          <w:rFonts w:eastAsia="Calibri"/>
          <w:color w:val="000000"/>
          <w:sz w:val="24"/>
          <w:szCs w:val="24"/>
        </w:rPr>
        <w:t>employabilité et d</w:t>
      </w:r>
      <w:r w:rsidR="001928FA">
        <w:rPr>
          <w:rFonts w:eastAsia="Calibri"/>
          <w:color w:val="000000"/>
          <w:sz w:val="24"/>
          <w:szCs w:val="24"/>
        </w:rPr>
        <w:t>’</w:t>
      </w:r>
      <w:r w:rsidRPr="001928FA">
        <w:rPr>
          <w:rFonts w:eastAsia="Calibri"/>
          <w:color w:val="000000"/>
          <w:sz w:val="24"/>
          <w:szCs w:val="24"/>
        </w:rPr>
        <w:t>attirer de nouvelles entreprises, créant ainsi un cercle vertueux pour l</w:t>
      </w:r>
      <w:r w:rsidR="001928FA">
        <w:rPr>
          <w:rFonts w:eastAsia="Calibri"/>
          <w:color w:val="000000"/>
          <w:sz w:val="24"/>
          <w:szCs w:val="24"/>
        </w:rPr>
        <w:t>’</w:t>
      </w:r>
      <w:r w:rsidRPr="001928FA">
        <w:rPr>
          <w:rFonts w:eastAsia="Calibri"/>
          <w:color w:val="000000"/>
          <w:sz w:val="24"/>
          <w:szCs w:val="24"/>
        </w:rPr>
        <w:t>emploi. De plus, en soutenant l</w:t>
      </w:r>
      <w:r w:rsidR="001928FA">
        <w:rPr>
          <w:rFonts w:eastAsia="Calibri"/>
          <w:color w:val="000000"/>
          <w:sz w:val="24"/>
          <w:szCs w:val="24"/>
        </w:rPr>
        <w:t>’</w:t>
      </w:r>
      <w:r w:rsidRPr="001928FA">
        <w:rPr>
          <w:rFonts w:eastAsia="Calibri"/>
          <w:color w:val="000000"/>
          <w:sz w:val="24"/>
          <w:szCs w:val="24"/>
        </w:rPr>
        <w:t>émergence d</w:t>
      </w:r>
      <w:r w:rsidR="001928FA">
        <w:rPr>
          <w:rFonts w:eastAsia="Calibri"/>
          <w:color w:val="000000"/>
          <w:sz w:val="24"/>
          <w:szCs w:val="24"/>
        </w:rPr>
        <w:t>’</w:t>
      </w:r>
      <w:r w:rsidRPr="001928FA">
        <w:rPr>
          <w:rFonts w:eastAsia="Calibri"/>
          <w:color w:val="000000"/>
          <w:sz w:val="24"/>
          <w:szCs w:val="24"/>
        </w:rPr>
        <w:t>entreprises innovantes et en accompagnant la création de start-ups, la professionnalisation contribue à diversifier l</w:t>
      </w:r>
      <w:r w:rsidR="001928FA">
        <w:rPr>
          <w:rFonts w:eastAsia="Calibri"/>
          <w:color w:val="000000"/>
          <w:sz w:val="24"/>
          <w:szCs w:val="24"/>
        </w:rPr>
        <w:t>’</w:t>
      </w:r>
      <w:r w:rsidRPr="001928FA">
        <w:rPr>
          <w:rFonts w:eastAsia="Calibri"/>
          <w:color w:val="000000"/>
          <w:sz w:val="24"/>
          <w:szCs w:val="24"/>
        </w:rPr>
        <w:t>économie locale, à renforcer la compétitivité des secteurs clés, et à assurer un développement économique soutenable (Lemoine, 2018). Ces initiatives participent à la pérennisation des emplois, à la stabilité de l</w:t>
      </w:r>
      <w:r w:rsidR="001928FA">
        <w:rPr>
          <w:rFonts w:eastAsia="Calibri"/>
          <w:color w:val="000000"/>
          <w:sz w:val="24"/>
          <w:szCs w:val="24"/>
        </w:rPr>
        <w:t>’</w:t>
      </w:r>
      <w:r w:rsidRPr="001928FA">
        <w:rPr>
          <w:rFonts w:eastAsia="Calibri"/>
          <w:color w:val="000000"/>
          <w:sz w:val="24"/>
          <w:szCs w:val="24"/>
        </w:rPr>
        <w:t>économie locale, et à l</w:t>
      </w:r>
      <w:r w:rsidR="001928FA">
        <w:rPr>
          <w:rFonts w:eastAsia="Calibri"/>
          <w:color w:val="000000"/>
          <w:sz w:val="24"/>
          <w:szCs w:val="24"/>
        </w:rPr>
        <w:t>’</w:t>
      </w:r>
      <w:r w:rsidRPr="001928FA">
        <w:rPr>
          <w:rFonts w:eastAsia="Calibri"/>
          <w:color w:val="000000"/>
          <w:sz w:val="24"/>
          <w:szCs w:val="24"/>
        </w:rPr>
        <w:t xml:space="preserve">amélioration des conditions de vie des populations. </w:t>
      </w:r>
    </w:p>
    <w:p w14:paraId="4AFE4349" w14:textId="1D41A2E7"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Il ne s</w:t>
      </w:r>
      <w:r w:rsidR="001928FA">
        <w:rPr>
          <w:rFonts w:eastAsia="Calibri"/>
          <w:color w:val="000000"/>
          <w:sz w:val="24"/>
          <w:szCs w:val="24"/>
        </w:rPr>
        <w:t>’</w:t>
      </w:r>
      <w:r w:rsidRPr="001928FA">
        <w:rPr>
          <w:rFonts w:eastAsia="Calibri"/>
          <w:color w:val="000000"/>
          <w:sz w:val="24"/>
          <w:szCs w:val="24"/>
        </w:rPr>
        <w:t>agit plus seulement « d</w:t>
      </w:r>
      <w:r w:rsidR="001928FA">
        <w:rPr>
          <w:rFonts w:eastAsia="Calibri"/>
          <w:color w:val="000000"/>
          <w:sz w:val="24"/>
          <w:szCs w:val="24"/>
        </w:rPr>
        <w:t>’</w:t>
      </w:r>
      <w:r w:rsidRPr="001928FA">
        <w:rPr>
          <w:rFonts w:eastAsia="Calibri"/>
          <w:color w:val="000000"/>
          <w:sz w:val="24"/>
          <w:szCs w:val="24"/>
        </w:rPr>
        <w:t>apprendre aux gens à pêcher », mais mieux, de leur apprendre non seulement à conserver durablement le poisson pêché mais aussi et surtout de leur apprendre à transformer leur poisson. Car, par l</w:t>
      </w:r>
      <w:r w:rsidR="001928FA">
        <w:rPr>
          <w:rFonts w:eastAsia="Calibri"/>
          <w:color w:val="000000"/>
          <w:sz w:val="24"/>
          <w:szCs w:val="24"/>
        </w:rPr>
        <w:t>’</w:t>
      </w:r>
      <w:r w:rsidRPr="001928FA">
        <w:rPr>
          <w:rFonts w:eastAsia="Calibri"/>
          <w:color w:val="000000"/>
          <w:sz w:val="24"/>
          <w:szCs w:val="24"/>
        </w:rPr>
        <w:t>acte de pêcher, ils atteindront certainement l</w:t>
      </w:r>
      <w:r w:rsidR="001928FA">
        <w:rPr>
          <w:rFonts w:eastAsia="Calibri"/>
          <w:color w:val="000000"/>
          <w:sz w:val="24"/>
          <w:szCs w:val="24"/>
        </w:rPr>
        <w:t>’</w:t>
      </w:r>
      <w:r w:rsidRPr="001928FA">
        <w:rPr>
          <w:rFonts w:eastAsia="Calibri"/>
          <w:color w:val="000000"/>
          <w:sz w:val="24"/>
          <w:szCs w:val="24"/>
        </w:rPr>
        <w:t>autosuffisance alimentaire recherché et souhaité. Par l</w:t>
      </w:r>
      <w:r w:rsidR="001928FA">
        <w:rPr>
          <w:rFonts w:eastAsia="Calibri"/>
          <w:color w:val="000000"/>
          <w:sz w:val="24"/>
          <w:szCs w:val="24"/>
        </w:rPr>
        <w:t>’</w:t>
      </w:r>
      <w:r w:rsidRPr="001928FA">
        <w:rPr>
          <w:rFonts w:eastAsia="Calibri"/>
          <w:color w:val="000000"/>
          <w:sz w:val="24"/>
          <w:szCs w:val="24"/>
        </w:rPr>
        <w:t>acte de conservation et de transformation du poisson, ils pourront avoir, pour un long terme, de quoi manger et même écouler le poisson pour se faire, par devers tout, de l</w:t>
      </w:r>
      <w:r w:rsidR="001928FA">
        <w:rPr>
          <w:rFonts w:eastAsia="Calibri"/>
          <w:color w:val="000000"/>
          <w:sz w:val="24"/>
          <w:szCs w:val="24"/>
        </w:rPr>
        <w:t>’</w:t>
      </w:r>
      <w:r w:rsidRPr="001928FA">
        <w:rPr>
          <w:rFonts w:eastAsia="Calibri"/>
          <w:color w:val="000000"/>
          <w:sz w:val="24"/>
          <w:szCs w:val="24"/>
        </w:rPr>
        <w:t>argent, lequel pourra les aider à améliorer leur cadre de vie immédiat et partant celui de toute la région. C</w:t>
      </w:r>
      <w:r w:rsidR="001928FA">
        <w:rPr>
          <w:rFonts w:eastAsia="Calibri"/>
          <w:color w:val="000000"/>
          <w:sz w:val="24"/>
          <w:szCs w:val="24"/>
        </w:rPr>
        <w:t>’</w:t>
      </w:r>
      <w:r w:rsidRPr="001928FA">
        <w:rPr>
          <w:rFonts w:eastAsia="Calibri"/>
          <w:color w:val="000000"/>
          <w:sz w:val="24"/>
          <w:szCs w:val="24"/>
        </w:rPr>
        <w:t>est ainsi qu</w:t>
      </w:r>
      <w:r w:rsidR="001928FA">
        <w:rPr>
          <w:rFonts w:eastAsia="Calibri"/>
          <w:color w:val="000000"/>
          <w:sz w:val="24"/>
          <w:szCs w:val="24"/>
        </w:rPr>
        <w:t>’</w:t>
      </w:r>
      <w:r w:rsidRPr="001928FA">
        <w:rPr>
          <w:rFonts w:eastAsia="Calibri"/>
          <w:color w:val="000000"/>
          <w:sz w:val="24"/>
          <w:szCs w:val="24"/>
        </w:rPr>
        <w:t>on parlera d</w:t>
      </w:r>
      <w:r w:rsidR="001928FA">
        <w:rPr>
          <w:rFonts w:eastAsia="Calibri"/>
          <w:color w:val="000000"/>
          <w:sz w:val="24"/>
          <w:szCs w:val="24"/>
        </w:rPr>
        <w:t>’</w:t>
      </w:r>
      <w:r w:rsidRPr="001928FA">
        <w:rPr>
          <w:rFonts w:eastAsia="Calibri"/>
          <w:color w:val="000000"/>
          <w:sz w:val="24"/>
          <w:szCs w:val="24"/>
        </w:rPr>
        <w:t>un impact certain pour les populations et dont les fruits seront le développement local et le développement durable.</w:t>
      </w:r>
    </w:p>
    <w:p w14:paraId="1768166C" w14:textId="2ABF803D"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Dans ce schéma, il faut le souligner, les emplois et les entreprises ne seront plus des données importées dans d</w:t>
      </w:r>
      <w:r w:rsidR="001928FA">
        <w:rPr>
          <w:rFonts w:eastAsia="Calibri"/>
          <w:color w:val="000000"/>
          <w:sz w:val="24"/>
          <w:szCs w:val="24"/>
        </w:rPr>
        <w:t>’</w:t>
      </w:r>
      <w:r w:rsidRPr="001928FA">
        <w:rPr>
          <w:rFonts w:eastAsia="Calibri"/>
          <w:color w:val="000000"/>
          <w:sz w:val="24"/>
          <w:szCs w:val="24"/>
        </w:rPr>
        <w:t>autres parties du Cameroun ou au-delà du triangle national, mais se seront des emplois et des entreprises émanant de la réalité de la localité c</w:t>
      </w:r>
      <w:r w:rsidR="001928FA">
        <w:rPr>
          <w:rFonts w:eastAsia="Calibri"/>
          <w:color w:val="000000"/>
          <w:sz w:val="24"/>
          <w:szCs w:val="24"/>
        </w:rPr>
        <w:t>’</w:t>
      </w:r>
      <w:r w:rsidRPr="001928FA">
        <w:rPr>
          <w:rFonts w:eastAsia="Calibri"/>
          <w:color w:val="000000"/>
          <w:sz w:val="24"/>
          <w:szCs w:val="24"/>
        </w:rPr>
        <w:t>est-à-dire des besoins réels de la population concernée. Ces petites et moyennes entreprises, quand bien même il s</w:t>
      </w:r>
      <w:r w:rsidR="001928FA">
        <w:rPr>
          <w:rFonts w:eastAsia="Calibri"/>
          <w:color w:val="000000"/>
          <w:sz w:val="24"/>
          <w:szCs w:val="24"/>
        </w:rPr>
        <w:t>’</w:t>
      </w:r>
      <w:r w:rsidRPr="001928FA">
        <w:rPr>
          <w:rFonts w:eastAsia="Calibri"/>
          <w:color w:val="000000"/>
          <w:sz w:val="24"/>
          <w:szCs w:val="24"/>
        </w:rPr>
        <w:t>agirait d</w:t>
      </w:r>
      <w:r w:rsidR="001928FA">
        <w:rPr>
          <w:rFonts w:eastAsia="Calibri"/>
          <w:color w:val="000000"/>
          <w:sz w:val="24"/>
          <w:szCs w:val="24"/>
        </w:rPr>
        <w:t>’</w:t>
      </w:r>
      <w:r w:rsidRPr="001928FA">
        <w:rPr>
          <w:rFonts w:eastAsia="Calibri"/>
          <w:color w:val="000000"/>
          <w:sz w:val="24"/>
          <w:szCs w:val="24"/>
        </w:rPr>
        <w:t>elles seulement, à défaut de plus grandes, auront le mérite de durer aussi longtemps que la communauté locale existera. Ceci constitue l</w:t>
      </w:r>
      <w:r w:rsidR="001928FA">
        <w:rPr>
          <w:rFonts w:eastAsia="Calibri"/>
          <w:color w:val="000000"/>
          <w:sz w:val="24"/>
          <w:szCs w:val="24"/>
        </w:rPr>
        <w:t>’</w:t>
      </w:r>
      <w:r w:rsidRPr="001928FA">
        <w:rPr>
          <w:rFonts w:eastAsia="Calibri"/>
          <w:color w:val="000000"/>
          <w:sz w:val="24"/>
          <w:szCs w:val="24"/>
        </w:rPr>
        <w:t>un des gros avantages du fait que les emplois et les entreprises naissent des réalités du terrain et non plus des bureaux situés à des lieux des localités concernées ou encore jaillissent comme par enchantement des politiques publiques.</w:t>
      </w:r>
    </w:p>
    <w:p w14:paraId="0F30EAFB" w14:textId="59B44FAC"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w:t>
      </w:r>
      <w:r w:rsidR="001928FA">
        <w:rPr>
          <w:rFonts w:eastAsia="Calibri"/>
          <w:color w:val="000000"/>
          <w:sz w:val="24"/>
          <w:szCs w:val="24"/>
        </w:rPr>
        <w:t>’</w:t>
      </w:r>
      <w:r w:rsidRPr="001928FA">
        <w:rPr>
          <w:rFonts w:eastAsia="Calibri"/>
          <w:color w:val="000000"/>
          <w:sz w:val="24"/>
          <w:szCs w:val="24"/>
        </w:rPr>
        <w:t>Université de Bertoua s</w:t>
      </w:r>
      <w:r w:rsidR="001928FA">
        <w:rPr>
          <w:rFonts w:eastAsia="Calibri"/>
          <w:color w:val="000000"/>
          <w:sz w:val="24"/>
          <w:szCs w:val="24"/>
        </w:rPr>
        <w:t>’</w:t>
      </w:r>
      <w:r w:rsidRPr="001928FA">
        <w:rPr>
          <w:rFonts w:eastAsia="Calibri"/>
          <w:color w:val="000000"/>
          <w:sz w:val="24"/>
          <w:szCs w:val="24"/>
        </w:rPr>
        <w:t>est engagée</w:t>
      </w:r>
      <w:r w:rsidRPr="001928FA">
        <w:rPr>
          <w:rFonts w:eastAsia="Calibri"/>
          <w:color w:val="FF0000"/>
          <w:sz w:val="24"/>
          <w:szCs w:val="24"/>
        </w:rPr>
        <w:t xml:space="preserve"> </w:t>
      </w:r>
      <w:r w:rsidRPr="001928FA">
        <w:rPr>
          <w:rFonts w:eastAsia="Calibri"/>
          <w:color w:val="000000"/>
          <w:sz w:val="24"/>
          <w:szCs w:val="24"/>
        </w:rPr>
        <w:t>dans le partenariat avec les mairies de la région de l</w:t>
      </w:r>
      <w:r w:rsidR="001928FA">
        <w:rPr>
          <w:rFonts w:eastAsia="Calibri"/>
          <w:color w:val="000000"/>
          <w:sz w:val="24"/>
          <w:szCs w:val="24"/>
        </w:rPr>
        <w:t>’</w:t>
      </w:r>
      <w:r w:rsidRPr="001928FA">
        <w:rPr>
          <w:rFonts w:eastAsia="Calibri"/>
          <w:color w:val="000000"/>
          <w:sz w:val="24"/>
          <w:szCs w:val="24"/>
        </w:rPr>
        <w:t>Est-Cameroun. Ce qui est un premier pas très important dans la volonté de professionnaliser les enseignements et l</w:t>
      </w:r>
      <w:r w:rsidR="001928FA">
        <w:rPr>
          <w:rFonts w:eastAsia="Calibri"/>
          <w:color w:val="000000"/>
          <w:sz w:val="24"/>
          <w:szCs w:val="24"/>
        </w:rPr>
        <w:t>’</w:t>
      </w:r>
      <w:r w:rsidRPr="001928FA">
        <w:rPr>
          <w:rFonts w:eastAsia="Calibri"/>
          <w:color w:val="000000"/>
          <w:sz w:val="24"/>
          <w:szCs w:val="24"/>
        </w:rPr>
        <w:t>appui au développement local. Elle va offrir à son personnel des formations tant académiques que professionnelles dans des domaines variés, nécessaires à l'amélioration de leurs qualifications telles qu</w:t>
      </w:r>
      <w:r w:rsidR="001928FA">
        <w:rPr>
          <w:rFonts w:eastAsia="Calibri"/>
          <w:color w:val="000000"/>
          <w:sz w:val="24"/>
          <w:szCs w:val="24"/>
        </w:rPr>
        <w:t>’</w:t>
      </w:r>
      <w:r w:rsidRPr="001928FA">
        <w:rPr>
          <w:rFonts w:eastAsia="Calibri"/>
          <w:color w:val="000000"/>
          <w:sz w:val="24"/>
          <w:szCs w:val="24"/>
        </w:rPr>
        <w:t xml:space="preserve">il en ressort de la convention entre les parties prenantes, toute chose suffisamment noble. </w:t>
      </w:r>
    </w:p>
    <w:p w14:paraId="62B34612" w14:textId="4906B059"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Avec l</w:t>
      </w:r>
      <w:r w:rsidR="001928FA">
        <w:rPr>
          <w:rFonts w:eastAsia="Calibri"/>
          <w:color w:val="000000"/>
          <w:sz w:val="24"/>
          <w:szCs w:val="24"/>
        </w:rPr>
        <w:t>’</w:t>
      </w:r>
      <w:r w:rsidRPr="001928FA">
        <w:rPr>
          <w:rFonts w:eastAsia="Calibri"/>
          <w:color w:val="000000"/>
          <w:sz w:val="24"/>
          <w:szCs w:val="24"/>
        </w:rPr>
        <w:t>ISABEE</w:t>
      </w:r>
      <w:r w:rsidRPr="001928FA">
        <w:rPr>
          <w:rFonts w:eastAsia="Calibri"/>
          <w:color w:val="000000"/>
          <w:sz w:val="24"/>
          <w:szCs w:val="24"/>
          <w:vertAlign w:val="superscript"/>
        </w:rPr>
        <w:footnoteReference w:id="22"/>
      </w:r>
      <w:r w:rsidRPr="001928FA">
        <w:rPr>
          <w:rFonts w:eastAsia="Calibri"/>
          <w:color w:val="000000"/>
          <w:sz w:val="24"/>
          <w:szCs w:val="24"/>
        </w:rPr>
        <w:t xml:space="preserve"> et ses deux importants programmes de développement à savoir : Le programme d</w:t>
      </w:r>
      <w:r w:rsidR="001928FA">
        <w:rPr>
          <w:rFonts w:eastAsia="Calibri"/>
          <w:color w:val="000000"/>
          <w:sz w:val="24"/>
          <w:szCs w:val="24"/>
        </w:rPr>
        <w:t>’</w:t>
      </w:r>
      <w:r w:rsidRPr="001928FA">
        <w:rPr>
          <w:rFonts w:eastAsia="Calibri"/>
          <w:color w:val="000000"/>
          <w:sz w:val="24"/>
          <w:szCs w:val="24"/>
        </w:rPr>
        <w:t>accompagnement des Collectivités Territoriales Décentralisées (CTD) de la Région de l</w:t>
      </w:r>
      <w:r w:rsidR="001928FA">
        <w:rPr>
          <w:rFonts w:eastAsia="Calibri"/>
          <w:color w:val="000000"/>
          <w:sz w:val="24"/>
          <w:szCs w:val="24"/>
        </w:rPr>
        <w:t>’</w:t>
      </w:r>
      <w:r w:rsidRPr="001928FA">
        <w:rPr>
          <w:rFonts w:eastAsia="Calibri"/>
          <w:color w:val="000000"/>
          <w:sz w:val="24"/>
          <w:szCs w:val="24"/>
        </w:rPr>
        <w:t>Est dans le montage et la mise en </w:t>
      </w:r>
      <w:proofErr w:type="spellStart"/>
      <w:r w:rsidRPr="001928FA">
        <w:rPr>
          <w:rFonts w:eastAsia="Calibri"/>
          <w:color w:val="000000"/>
          <w:sz w:val="24"/>
          <w:szCs w:val="24"/>
        </w:rPr>
        <w:t>uvre</w:t>
      </w:r>
      <w:proofErr w:type="spellEnd"/>
      <w:r w:rsidRPr="001928FA">
        <w:rPr>
          <w:rFonts w:eastAsia="Calibri"/>
          <w:color w:val="000000"/>
          <w:sz w:val="24"/>
          <w:szCs w:val="24"/>
        </w:rPr>
        <w:t xml:space="preserve"> des projets de développement et le Programme Pépinière d</w:t>
      </w:r>
      <w:r w:rsidR="001928FA">
        <w:rPr>
          <w:rFonts w:eastAsia="Calibri"/>
          <w:color w:val="000000"/>
          <w:sz w:val="24"/>
          <w:szCs w:val="24"/>
        </w:rPr>
        <w:t>’</w:t>
      </w:r>
      <w:r w:rsidRPr="001928FA">
        <w:rPr>
          <w:rFonts w:eastAsia="Calibri"/>
          <w:color w:val="000000"/>
          <w:sz w:val="24"/>
          <w:szCs w:val="24"/>
        </w:rPr>
        <w:t>Entreprise pour les Diplômés de l</w:t>
      </w:r>
      <w:r w:rsidR="001928FA">
        <w:rPr>
          <w:rFonts w:eastAsia="Calibri"/>
          <w:color w:val="000000"/>
          <w:sz w:val="24"/>
          <w:szCs w:val="24"/>
        </w:rPr>
        <w:t>’</w:t>
      </w:r>
      <w:r w:rsidRPr="001928FA">
        <w:rPr>
          <w:rFonts w:eastAsia="Calibri"/>
          <w:color w:val="000000"/>
          <w:sz w:val="24"/>
          <w:szCs w:val="24"/>
        </w:rPr>
        <w:t>Université de Bertoua (PEPED-</w:t>
      </w:r>
      <w:proofErr w:type="spellStart"/>
      <w:r w:rsidRPr="001928FA">
        <w:rPr>
          <w:rFonts w:eastAsia="Calibri"/>
          <w:color w:val="000000"/>
          <w:sz w:val="24"/>
          <w:szCs w:val="24"/>
        </w:rPr>
        <w:t>UBe</w:t>
      </w:r>
      <w:proofErr w:type="spellEnd"/>
      <w:r w:rsidRPr="001928FA">
        <w:rPr>
          <w:rFonts w:eastAsia="Calibri"/>
          <w:color w:val="000000"/>
          <w:sz w:val="24"/>
          <w:szCs w:val="24"/>
        </w:rPr>
        <w:t>), elle souligne à grand trait, le désir d</w:t>
      </w:r>
      <w:r w:rsidR="001928FA">
        <w:rPr>
          <w:rFonts w:eastAsia="Calibri"/>
          <w:color w:val="000000"/>
          <w:sz w:val="24"/>
          <w:szCs w:val="24"/>
        </w:rPr>
        <w:t>’</w:t>
      </w:r>
      <w:r w:rsidRPr="001928FA">
        <w:rPr>
          <w:rFonts w:eastAsia="Calibri"/>
          <w:color w:val="000000"/>
          <w:sz w:val="24"/>
          <w:szCs w:val="24"/>
        </w:rPr>
        <w:t>impacter positivement la région de l</w:t>
      </w:r>
      <w:r w:rsidR="001928FA">
        <w:rPr>
          <w:rFonts w:eastAsia="Calibri"/>
          <w:color w:val="000000"/>
          <w:sz w:val="24"/>
          <w:szCs w:val="24"/>
        </w:rPr>
        <w:t>’</w:t>
      </w:r>
      <w:r w:rsidRPr="001928FA">
        <w:rPr>
          <w:rFonts w:eastAsia="Calibri"/>
          <w:color w:val="000000"/>
          <w:sz w:val="24"/>
          <w:szCs w:val="24"/>
        </w:rPr>
        <w:t>Est-Cameroun. Une bagatelle de six départements</w:t>
      </w:r>
      <w:r w:rsidRPr="001928FA">
        <w:rPr>
          <w:rFonts w:eastAsia="Calibri"/>
          <w:color w:val="000000"/>
          <w:sz w:val="24"/>
          <w:szCs w:val="24"/>
          <w:vertAlign w:val="superscript"/>
        </w:rPr>
        <w:footnoteReference w:id="23"/>
      </w:r>
      <w:r w:rsidRPr="001928FA">
        <w:rPr>
          <w:rFonts w:eastAsia="Calibri"/>
          <w:color w:val="000000"/>
          <w:sz w:val="24"/>
          <w:szCs w:val="24"/>
        </w:rPr>
        <w:t xml:space="preserve"> pour seize filières</w:t>
      </w:r>
      <w:r w:rsidRPr="001928FA">
        <w:rPr>
          <w:rFonts w:eastAsia="Calibri"/>
          <w:color w:val="000000"/>
          <w:sz w:val="24"/>
          <w:szCs w:val="24"/>
          <w:vertAlign w:val="superscript"/>
        </w:rPr>
        <w:footnoteReference w:id="24"/>
      </w:r>
      <w:r w:rsidRPr="001928FA">
        <w:rPr>
          <w:rFonts w:eastAsia="Calibri"/>
          <w:color w:val="000000"/>
          <w:sz w:val="24"/>
          <w:szCs w:val="24"/>
        </w:rPr>
        <w:t xml:space="preserve"> « professionnalisantes</w:t>
      </w:r>
      <w:r w:rsidRPr="001928FA">
        <w:rPr>
          <w:rFonts w:eastAsia="Calibri"/>
          <w:color w:val="FF0000"/>
          <w:sz w:val="24"/>
          <w:szCs w:val="24"/>
        </w:rPr>
        <w:t> </w:t>
      </w:r>
      <w:r w:rsidRPr="001928FA">
        <w:rPr>
          <w:rFonts w:eastAsia="Calibri"/>
          <w:color w:val="000000"/>
          <w:sz w:val="24"/>
          <w:szCs w:val="24"/>
        </w:rPr>
        <w:t>» sont ouvertes à l</w:t>
      </w:r>
      <w:r w:rsidR="001928FA">
        <w:rPr>
          <w:rFonts w:eastAsia="Calibri"/>
          <w:color w:val="000000"/>
          <w:sz w:val="24"/>
          <w:szCs w:val="24"/>
        </w:rPr>
        <w:t>’</w:t>
      </w:r>
      <w:r w:rsidRPr="001928FA">
        <w:rPr>
          <w:rFonts w:eastAsia="Calibri"/>
          <w:color w:val="000000"/>
          <w:sz w:val="24"/>
          <w:szCs w:val="24"/>
        </w:rPr>
        <w:t>ISABEE. Mais il faut poursuivre cette volonté de professionnaliser et atteindre le cap de la conservation et la transformation espérer pour voir réellement arriver le développement local. Car, dans bien d</w:t>
      </w:r>
      <w:r w:rsidR="001928FA">
        <w:rPr>
          <w:rFonts w:eastAsia="Calibri"/>
          <w:color w:val="000000"/>
          <w:sz w:val="24"/>
          <w:szCs w:val="24"/>
        </w:rPr>
        <w:t>’</w:t>
      </w:r>
      <w:r w:rsidRPr="001928FA">
        <w:rPr>
          <w:rFonts w:eastAsia="Calibri"/>
          <w:color w:val="000000"/>
          <w:sz w:val="24"/>
          <w:szCs w:val="24"/>
        </w:rPr>
        <w:t>autres parties du triangle national, on voit des hectares de plantations de cultures faire reculer la forêt, pourtant le développement reste toujours attendu. C</w:t>
      </w:r>
      <w:r w:rsidR="001928FA">
        <w:rPr>
          <w:rFonts w:eastAsia="Calibri"/>
          <w:color w:val="000000"/>
          <w:sz w:val="24"/>
          <w:szCs w:val="24"/>
        </w:rPr>
        <w:t>’</w:t>
      </w:r>
      <w:r w:rsidRPr="001928FA">
        <w:rPr>
          <w:rFonts w:eastAsia="Calibri"/>
          <w:color w:val="000000"/>
          <w:sz w:val="24"/>
          <w:szCs w:val="24"/>
        </w:rPr>
        <w:t>est le cas du grand Mbam pour ne citer que cet exemple.</w:t>
      </w:r>
    </w:p>
    <w:p w14:paraId="129404CC" w14:textId="77777777" w:rsidR="00D80693" w:rsidRPr="001928FA" w:rsidRDefault="00D80693" w:rsidP="001928FA">
      <w:pPr>
        <w:widowControl/>
        <w:numPr>
          <w:ilvl w:val="1"/>
          <w:numId w:val="203"/>
        </w:numPr>
        <w:autoSpaceDE/>
        <w:autoSpaceDN/>
        <w:spacing w:before="120"/>
        <w:jc w:val="both"/>
        <w:rPr>
          <w:rFonts w:eastAsia="Calibri"/>
          <w:color w:val="000000"/>
          <w:sz w:val="28"/>
          <w:szCs w:val="24"/>
        </w:rPr>
      </w:pPr>
      <w:r w:rsidRPr="001928FA">
        <w:rPr>
          <w:rFonts w:eastAsia="Calibri"/>
          <w:b/>
          <w:bCs/>
          <w:color w:val="000000"/>
          <w:sz w:val="28"/>
          <w:szCs w:val="24"/>
        </w:rPr>
        <w:t>Cohésion sociale et développement durable</w:t>
      </w:r>
      <w:r w:rsidRPr="001928FA">
        <w:rPr>
          <w:rFonts w:eastAsia="Calibri"/>
          <w:color w:val="000000"/>
          <w:sz w:val="28"/>
          <w:szCs w:val="24"/>
        </w:rPr>
        <w:t> </w:t>
      </w:r>
    </w:p>
    <w:p w14:paraId="5388BAEF" w14:textId="5C9B22D2"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Les programmes professionnalisés favorisent également l</w:t>
      </w:r>
      <w:r w:rsidR="001928FA">
        <w:rPr>
          <w:rFonts w:eastAsia="Calibri"/>
          <w:color w:val="000000"/>
          <w:sz w:val="24"/>
          <w:szCs w:val="24"/>
        </w:rPr>
        <w:t>’</w:t>
      </w:r>
      <w:r w:rsidRPr="001928FA">
        <w:rPr>
          <w:rFonts w:eastAsia="Calibri"/>
          <w:color w:val="000000"/>
          <w:sz w:val="24"/>
          <w:szCs w:val="24"/>
        </w:rPr>
        <w:t>inclusion sociale et le développement durable en intégrant des valeurs de responsabilité sociale et d</w:t>
      </w:r>
      <w:r w:rsidR="001928FA">
        <w:rPr>
          <w:rFonts w:eastAsia="Calibri"/>
          <w:color w:val="000000"/>
          <w:sz w:val="24"/>
          <w:szCs w:val="24"/>
        </w:rPr>
        <w:t>’</w:t>
      </w:r>
      <w:r w:rsidRPr="001928FA">
        <w:rPr>
          <w:rFonts w:eastAsia="Calibri"/>
          <w:color w:val="000000"/>
          <w:sz w:val="24"/>
          <w:szCs w:val="24"/>
        </w:rPr>
        <w:t>engagement communautaire dans les curricula (Leblanc et Charbonneau, 2020). Au-delà de ses impacts économiques, la professionnalisation territoriale favorise également la cohésion sociale. En intégrant des enjeux tels que l</w:t>
      </w:r>
      <w:r w:rsidR="001928FA">
        <w:rPr>
          <w:rFonts w:eastAsia="Calibri"/>
          <w:color w:val="000000"/>
          <w:sz w:val="24"/>
          <w:szCs w:val="24"/>
        </w:rPr>
        <w:t>’</w:t>
      </w:r>
      <w:r w:rsidRPr="001928FA">
        <w:rPr>
          <w:rFonts w:eastAsia="Calibri"/>
          <w:color w:val="000000"/>
          <w:sz w:val="24"/>
          <w:szCs w:val="24"/>
        </w:rPr>
        <w:t>inclusion, l</w:t>
      </w:r>
      <w:r w:rsidR="001928FA">
        <w:rPr>
          <w:rFonts w:eastAsia="Calibri"/>
          <w:color w:val="000000"/>
          <w:sz w:val="24"/>
          <w:szCs w:val="24"/>
        </w:rPr>
        <w:t>’</w:t>
      </w:r>
      <w:r w:rsidRPr="001928FA">
        <w:rPr>
          <w:rFonts w:eastAsia="Calibri"/>
          <w:color w:val="000000"/>
          <w:sz w:val="24"/>
          <w:szCs w:val="24"/>
        </w:rPr>
        <w:t>égalité des chances, et la participation citoyenne dans les démarches de formation et de développement, elle contribue à réduire les inégalités sociales et territoriales (Leclerc, 2017). La proximité entre les acteurs éducatifs, économiques et sociaux permet de mieux répondre aux besoins spécifiques des populations vulnérables et de promouvoir un développement plus équitable.</w:t>
      </w:r>
    </w:p>
    <w:p w14:paraId="3F783ED6" w14:textId="4E16E437"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Par ailleurs, la professionnalisation doit s</w:t>
      </w:r>
      <w:r w:rsidR="001928FA">
        <w:rPr>
          <w:rFonts w:eastAsia="Calibri"/>
          <w:color w:val="000000"/>
          <w:sz w:val="24"/>
          <w:szCs w:val="24"/>
        </w:rPr>
        <w:t>’</w:t>
      </w:r>
      <w:r w:rsidRPr="001928FA">
        <w:rPr>
          <w:rFonts w:eastAsia="Calibri"/>
          <w:color w:val="000000"/>
          <w:sz w:val="24"/>
          <w:szCs w:val="24"/>
        </w:rPr>
        <w:t>inscrire dans une démarche de développement durable, intégrant des principes de responsabilité sociale, de gestion éthique et de respect environnemental (Lahire, 2012). La formation de professionnels sensibilisés aux enjeux environnementaux, à la gestion responsable des ressources et à la transition écologique constitue un levier stratégique pour garantir un développement soutenable à long terme. La promotion de filières vertes, d</w:t>
      </w:r>
      <w:r w:rsidR="001928FA">
        <w:rPr>
          <w:rFonts w:eastAsia="Calibri"/>
          <w:color w:val="000000"/>
          <w:sz w:val="24"/>
          <w:szCs w:val="24"/>
        </w:rPr>
        <w:t>’</w:t>
      </w:r>
      <w:r w:rsidRPr="001928FA">
        <w:rPr>
          <w:rFonts w:eastAsia="Calibri"/>
          <w:color w:val="000000"/>
          <w:sz w:val="24"/>
          <w:szCs w:val="24"/>
        </w:rPr>
        <w:t>énergies renouvelables ou de pratiques agricoles durables par le biais des programmes de formation constitue ainsi une contribution concrète à l</w:t>
      </w:r>
      <w:r w:rsidR="001928FA">
        <w:rPr>
          <w:rFonts w:eastAsia="Calibri"/>
          <w:color w:val="000000"/>
          <w:sz w:val="24"/>
          <w:szCs w:val="24"/>
        </w:rPr>
        <w:t>’</w:t>
      </w:r>
      <w:r w:rsidRPr="001928FA">
        <w:rPr>
          <w:rFonts w:eastAsia="Calibri"/>
          <w:color w:val="000000"/>
          <w:sz w:val="24"/>
          <w:szCs w:val="24"/>
        </w:rPr>
        <w:t>émergence d</w:t>
      </w:r>
      <w:r w:rsidR="001928FA">
        <w:rPr>
          <w:rFonts w:eastAsia="Calibri"/>
          <w:color w:val="000000"/>
          <w:sz w:val="24"/>
          <w:szCs w:val="24"/>
        </w:rPr>
        <w:t>’</w:t>
      </w:r>
      <w:r w:rsidRPr="001928FA">
        <w:rPr>
          <w:rFonts w:eastAsia="Calibri"/>
          <w:color w:val="000000"/>
          <w:sz w:val="24"/>
          <w:szCs w:val="24"/>
        </w:rPr>
        <w:t>un territoire résilient, inclusif</w:t>
      </w:r>
      <w:r w:rsidRPr="001928FA">
        <w:rPr>
          <w:rFonts w:eastAsia="Calibri"/>
          <w:color w:val="FF0000"/>
          <w:sz w:val="24"/>
          <w:szCs w:val="24"/>
        </w:rPr>
        <w:t xml:space="preserve"> </w:t>
      </w:r>
      <w:r w:rsidRPr="001928FA">
        <w:rPr>
          <w:rFonts w:eastAsia="Calibri"/>
          <w:color w:val="000000"/>
          <w:sz w:val="24"/>
          <w:szCs w:val="24"/>
        </w:rPr>
        <w:t>et respectueux de son environnement (Lemoine, 2018).</w:t>
      </w:r>
    </w:p>
    <w:p w14:paraId="030F73AF" w14:textId="65A3A7ED" w:rsidR="00D80693" w:rsidRPr="001928FA" w:rsidRDefault="00D80693" w:rsidP="001928FA">
      <w:pPr>
        <w:spacing w:before="120"/>
        <w:jc w:val="both"/>
        <w:rPr>
          <w:rFonts w:eastAsia="Calibri"/>
          <w:color w:val="000000"/>
          <w:sz w:val="24"/>
          <w:szCs w:val="24"/>
        </w:rPr>
      </w:pPr>
      <w:r w:rsidRPr="001928FA">
        <w:rPr>
          <w:rFonts w:eastAsia="Calibri"/>
          <w:color w:val="000000"/>
          <w:sz w:val="24"/>
          <w:szCs w:val="24"/>
        </w:rPr>
        <w:t>Au demeurant, la professionnalisation territoriale apparaît comme un levier essentiel pour stimuler un développement économique durable, renforcer la cohésion sociale et assurer une gouvernance responsable à l</w:t>
      </w:r>
      <w:r w:rsidR="001928FA">
        <w:rPr>
          <w:rFonts w:eastAsia="Calibri"/>
          <w:color w:val="000000"/>
          <w:sz w:val="24"/>
          <w:szCs w:val="24"/>
        </w:rPr>
        <w:t>’</w:t>
      </w:r>
      <w:r w:rsidRPr="001928FA">
        <w:rPr>
          <w:rFonts w:eastAsia="Calibri"/>
          <w:color w:val="000000"/>
          <w:sz w:val="24"/>
          <w:szCs w:val="24"/>
        </w:rPr>
        <w:t>échelle des CTD, créant ainsi un cercle vertueux pour le bien-être des populations et la pérennité du territoire (Duru-Bellat, 2013).</w:t>
      </w:r>
    </w:p>
    <w:p w14:paraId="02D5AF2F" w14:textId="1DFB1096" w:rsidR="00D80693" w:rsidRPr="001928FA" w:rsidRDefault="00D80693" w:rsidP="001928FA">
      <w:pPr>
        <w:tabs>
          <w:tab w:val="left" w:pos="2484"/>
        </w:tabs>
        <w:spacing w:before="120"/>
        <w:jc w:val="both"/>
        <w:rPr>
          <w:rFonts w:eastAsia="Calibri"/>
          <w:color w:val="000000"/>
          <w:sz w:val="24"/>
          <w:szCs w:val="24"/>
        </w:rPr>
      </w:pPr>
      <w:r w:rsidRPr="001928FA">
        <w:rPr>
          <w:rFonts w:eastAsia="Calibri"/>
          <w:b/>
          <w:bCs/>
          <w:color w:val="000000"/>
          <w:sz w:val="28"/>
          <w:szCs w:val="24"/>
        </w:rPr>
        <w:t>Conclusion</w:t>
      </w:r>
    </w:p>
    <w:p w14:paraId="5AAE50CD" w14:textId="2947BB05" w:rsidR="00D80693" w:rsidRPr="001928FA" w:rsidRDefault="00D80693" w:rsidP="001928FA">
      <w:pPr>
        <w:spacing w:before="120"/>
        <w:jc w:val="both"/>
        <w:rPr>
          <w:rFonts w:eastAsia="Calibri"/>
          <w:sz w:val="24"/>
          <w:szCs w:val="24"/>
        </w:rPr>
      </w:pPr>
      <w:r w:rsidRPr="001928FA">
        <w:rPr>
          <w:rFonts w:eastAsia="Calibri"/>
          <w:sz w:val="24"/>
          <w:szCs w:val="24"/>
        </w:rPr>
        <w:t>La professionnalisation de l</w:t>
      </w:r>
      <w:r w:rsidR="001928FA">
        <w:rPr>
          <w:rFonts w:eastAsia="Calibri"/>
          <w:sz w:val="24"/>
          <w:szCs w:val="24"/>
        </w:rPr>
        <w:t>’</w:t>
      </w:r>
      <w:r w:rsidRPr="001928FA">
        <w:rPr>
          <w:rFonts w:eastAsia="Calibri"/>
          <w:sz w:val="24"/>
          <w:szCs w:val="24"/>
        </w:rPr>
        <w:t>enseignement supérieur apparaît aujourd</w:t>
      </w:r>
      <w:r w:rsidR="001928FA">
        <w:rPr>
          <w:rFonts w:eastAsia="Calibri"/>
          <w:sz w:val="24"/>
          <w:szCs w:val="24"/>
        </w:rPr>
        <w:t>’</w:t>
      </w:r>
      <w:r w:rsidRPr="001928FA">
        <w:rPr>
          <w:rFonts w:eastAsia="Calibri"/>
          <w:sz w:val="24"/>
          <w:szCs w:val="24"/>
        </w:rPr>
        <w:t>hui comme un levier stratégique incontournable pour le développement durable des collectivités territoriales décentralisées. En adaptant les curricula universitaires aux besoins spécifiques des territoires et en favorisant des partenariats actifs entre universités, entreprises, pouvoirs publics et collectivités locales, l</w:t>
      </w:r>
      <w:r w:rsidR="001928FA">
        <w:rPr>
          <w:rFonts w:eastAsia="Calibri"/>
          <w:sz w:val="24"/>
          <w:szCs w:val="24"/>
        </w:rPr>
        <w:t>’</w:t>
      </w:r>
      <w:r w:rsidRPr="001928FA">
        <w:rPr>
          <w:rFonts w:eastAsia="Calibri"/>
          <w:sz w:val="24"/>
          <w:szCs w:val="24"/>
        </w:rPr>
        <w:t>enseignement supérieur peut devenir un véritable moteur de croissance inclusive. Cette orientation repose sur une gouvernance éducative participative, une volonté politique forte et une mobilisation continue des acteurs socio-économiques.</w:t>
      </w:r>
    </w:p>
    <w:p w14:paraId="6C5EB82F" w14:textId="1B6697A1" w:rsidR="00D80693" w:rsidRPr="001928FA" w:rsidRDefault="00D80693" w:rsidP="001928FA">
      <w:pPr>
        <w:spacing w:before="120"/>
        <w:jc w:val="both"/>
        <w:rPr>
          <w:rFonts w:eastAsia="Calibri"/>
          <w:sz w:val="24"/>
          <w:szCs w:val="24"/>
        </w:rPr>
      </w:pPr>
      <w:r w:rsidRPr="001928FA">
        <w:rPr>
          <w:rFonts w:eastAsia="Calibri"/>
          <w:sz w:val="24"/>
          <w:szCs w:val="24"/>
        </w:rPr>
        <w:t>Abandonner la conception classique du développement centrée sur le triptyque Université</w:t>
      </w:r>
      <w:r w:rsidR="001928FA">
        <w:rPr>
          <w:rFonts w:eastAsia="Calibri"/>
          <w:sz w:val="24"/>
          <w:szCs w:val="24"/>
        </w:rPr>
        <w:t>-</w:t>
      </w:r>
      <w:r w:rsidRPr="001928FA">
        <w:rPr>
          <w:rFonts w:eastAsia="Calibri"/>
          <w:sz w:val="24"/>
          <w:szCs w:val="24"/>
        </w:rPr>
        <w:t>État</w:t>
      </w:r>
      <w:r w:rsidR="001928FA">
        <w:rPr>
          <w:rFonts w:eastAsia="Calibri"/>
          <w:sz w:val="24"/>
          <w:szCs w:val="24"/>
        </w:rPr>
        <w:t>-</w:t>
      </w:r>
      <w:r w:rsidRPr="001928FA">
        <w:rPr>
          <w:rFonts w:eastAsia="Calibri"/>
          <w:sz w:val="24"/>
          <w:szCs w:val="24"/>
        </w:rPr>
        <w:t>Entreprise pour adopter le tétraptyque Université</w:t>
      </w:r>
      <w:r w:rsidR="001928FA">
        <w:rPr>
          <w:rFonts w:eastAsia="Calibri"/>
          <w:sz w:val="24"/>
          <w:szCs w:val="24"/>
        </w:rPr>
        <w:t>-</w:t>
      </w:r>
      <w:r w:rsidRPr="001928FA">
        <w:rPr>
          <w:rFonts w:eastAsia="Calibri"/>
          <w:sz w:val="24"/>
          <w:szCs w:val="24"/>
        </w:rPr>
        <w:t>État</w:t>
      </w:r>
      <w:r w:rsidR="001928FA">
        <w:rPr>
          <w:rFonts w:eastAsia="Calibri"/>
          <w:sz w:val="24"/>
          <w:szCs w:val="24"/>
        </w:rPr>
        <w:t>-</w:t>
      </w:r>
      <w:r w:rsidRPr="001928FA">
        <w:rPr>
          <w:rFonts w:eastAsia="Calibri"/>
          <w:sz w:val="24"/>
          <w:szCs w:val="24"/>
        </w:rPr>
        <w:t>Entreprise</w:t>
      </w:r>
      <w:r w:rsidR="001928FA">
        <w:rPr>
          <w:rFonts w:eastAsia="Calibri"/>
          <w:sz w:val="24"/>
          <w:szCs w:val="24"/>
        </w:rPr>
        <w:t>-</w:t>
      </w:r>
      <w:r w:rsidRPr="001928FA">
        <w:rPr>
          <w:rFonts w:eastAsia="Calibri"/>
          <w:sz w:val="24"/>
          <w:szCs w:val="24"/>
        </w:rPr>
        <w:t>CTD constitue une exigence contemporaine. Ce modèle élargi favorise l</w:t>
      </w:r>
      <w:r w:rsidR="001928FA">
        <w:rPr>
          <w:rFonts w:eastAsia="Calibri"/>
          <w:sz w:val="24"/>
          <w:szCs w:val="24"/>
        </w:rPr>
        <w:t>’</w:t>
      </w:r>
      <w:r w:rsidRPr="001928FA">
        <w:rPr>
          <w:rFonts w:eastAsia="Calibri"/>
          <w:sz w:val="24"/>
          <w:szCs w:val="24"/>
        </w:rPr>
        <w:t>émergence d</w:t>
      </w:r>
      <w:r w:rsidR="001928FA">
        <w:rPr>
          <w:rFonts w:eastAsia="Calibri"/>
          <w:sz w:val="24"/>
          <w:szCs w:val="24"/>
        </w:rPr>
        <w:t>’</w:t>
      </w:r>
      <w:r w:rsidRPr="001928FA">
        <w:rPr>
          <w:rFonts w:eastAsia="Calibri"/>
          <w:sz w:val="24"/>
          <w:szCs w:val="24"/>
        </w:rPr>
        <w:t>initiatives économiques ancrées dans les réalités locales, la création d</w:t>
      </w:r>
      <w:r w:rsidR="001928FA">
        <w:rPr>
          <w:rFonts w:eastAsia="Calibri"/>
          <w:sz w:val="24"/>
          <w:szCs w:val="24"/>
        </w:rPr>
        <w:t>’</w:t>
      </w:r>
      <w:r w:rsidRPr="001928FA">
        <w:rPr>
          <w:rFonts w:eastAsia="Calibri"/>
          <w:sz w:val="24"/>
          <w:szCs w:val="24"/>
        </w:rPr>
        <w:t>emplois utiles et durables, la valorisation des savoirs endogènes et le renforcement du capital humain territorial. Par cette approche, la professionnalisation ne se limite plus à l</w:t>
      </w:r>
      <w:r w:rsidR="001928FA">
        <w:rPr>
          <w:rFonts w:eastAsia="Calibri"/>
          <w:sz w:val="24"/>
          <w:szCs w:val="24"/>
        </w:rPr>
        <w:t>’</w:t>
      </w:r>
      <w:r w:rsidRPr="001928FA">
        <w:rPr>
          <w:rFonts w:eastAsia="Calibri"/>
          <w:sz w:val="24"/>
          <w:szCs w:val="24"/>
        </w:rPr>
        <w:t>employabilité individuelle, mais s</w:t>
      </w:r>
      <w:r w:rsidR="001928FA">
        <w:rPr>
          <w:rFonts w:eastAsia="Calibri"/>
          <w:sz w:val="24"/>
          <w:szCs w:val="24"/>
        </w:rPr>
        <w:t>’</w:t>
      </w:r>
      <w:r w:rsidRPr="001928FA">
        <w:rPr>
          <w:rFonts w:eastAsia="Calibri"/>
          <w:sz w:val="24"/>
          <w:szCs w:val="24"/>
        </w:rPr>
        <w:t>inscrit dans une vision intégrée de la transformation sociale et économique des territoires.</w:t>
      </w:r>
    </w:p>
    <w:p w14:paraId="08CCD4F8" w14:textId="4EF2410B" w:rsidR="00D80693" w:rsidRPr="001928FA" w:rsidRDefault="00D80693" w:rsidP="001928FA">
      <w:pPr>
        <w:spacing w:before="120"/>
        <w:jc w:val="both"/>
        <w:rPr>
          <w:rFonts w:eastAsia="Calibri"/>
          <w:color w:val="000000"/>
          <w:sz w:val="24"/>
          <w:szCs w:val="24"/>
        </w:rPr>
      </w:pPr>
      <w:r w:rsidRPr="001928FA">
        <w:rPr>
          <w:rFonts w:eastAsia="Calibri"/>
          <w:sz w:val="24"/>
          <w:szCs w:val="24"/>
        </w:rPr>
        <w:t>À plus long terme, cette réflexion invite à repenser la mission sociale de l</w:t>
      </w:r>
      <w:r w:rsidR="001928FA">
        <w:rPr>
          <w:rFonts w:eastAsia="Calibri"/>
          <w:sz w:val="24"/>
          <w:szCs w:val="24"/>
        </w:rPr>
        <w:t>’</w:t>
      </w:r>
      <w:r w:rsidRPr="001928FA">
        <w:rPr>
          <w:rFonts w:eastAsia="Calibri"/>
          <w:sz w:val="24"/>
          <w:szCs w:val="24"/>
        </w:rPr>
        <w:t>université africaine : former non seulement pour le marché du travail, mais surtout pour le développement de la cité. Elle ouvre ainsi une perspective de recherche et d</w:t>
      </w:r>
      <w:r w:rsidR="001928FA">
        <w:rPr>
          <w:rFonts w:eastAsia="Calibri"/>
          <w:sz w:val="24"/>
          <w:szCs w:val="24"/>
        </w:rPr>
        <w:t>’</w:t>
      </w:r>
      <w:r w:rsidRPr="001928FA">
        <w:rPr>
          <w:rFonts w:eastAsia="Calibri"/>
          <w:sz w:val="24"/>
          <w:szCs w:val="24"/>
        </w:rPr>
        <w:t>action sur la manière dont l</w:t>
      </w:r>
      <w:r w:rsidR="001928FA">
        <w:rPr>
          <w:rFonts w:eastAsia="Calibri"/>
          <w:sz w:val="24"/>
          <w:szCs w:val="24"/>
        </w:rPr>
        <w:t>’</w:t>
      </w:r>
      <w:r w:rsidRPr="001928FA">
        <w:rPr>
          <w:rFonts w:eastAsia="Calibri"/>
          <w:sz w:val="24"/>
          <w:szCs w:val="24"/>
        </w:rPr>
        <w:t>université peut devenir un acteur central de la gouvernance territoriale, contribuant à la durabilité, à la justice sociale et à la cohésion des communautés locales.</w:t>
      </w:r>
    </w:p>
    <w:p w14:paraId="3512E52B" w14:textId="77777777" w:rsidR="00D80693" w:rsidRPr="001928FA" w:rsidRDefault="00D80693" w:rsidP="001928FA">
      <w:pPr>
        <w:spacing w:before="120"/>
        <w:jc w:val="both"/>
        <w:rPr>
          <w:rFonts w:eastAsia="Calibri"/>
          <w:color w:val="000000"/>
          <w:sz w:val="24"/>
          <w:szCs w:val="24"/>
        </w:rPr>
      </w:pPr>
      <w:r w:rsidRPr="001928FA">
        <w:rPr>
          <w:rFonts w:eastAsia="Calibri"/>
          <w:b/>
          <w:bCs/>
          <w:color w:val="000000"/>
          <w:sz w:val="24"/>
          <w:szCs w:val="24"/>
        </w:rPr>
        <w:t xml:space="preserve">Références bibliographiques </w:t>
      </w:r>
    </w:p>
    <w:p w14:paraId="30EE6981" w14:textId="0C2F0259"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Bernier, C. (2011). Introduction. Dans C. Bernier, L. Caron, N. Pépin &amp; M. Racine (</w:t>
      </w:r>
      <w:proofErr w:type="spellStart"/>
      <w:r w:rsidRPr="001928FA">
        <w:rPr>
          <w:rFonts w:eastAsia="Calibri"/>
          <w:color w:val="000000"/>
          <w:sz w:val="24"/>
          <w:szCs w:val="24"/>
        </w:rPr>
        <w:t>dir</w:t>
      </w:r>
      <w:proofErr w:type="spellEnd"/>
      <w:r w:rsidRPr="001928FA">
        <w:rPr>
          <w:rFonts w:eastAsia="Calibri"/>
          <w:color w:val="000000"/>
          <w:sz w:val="24"/>
          <w:szCs w:val="24"/>
        </w:rPr>
        <w:t xml:space="preserve">.), Diversification des </w:t>
      </w:r>
      <w:proofErr w:type="spellStart"/>
      <w:r w:rsidRPr="001928FA">
        <w:rPr>
          <w:rFonts w:eastAsia="Calibri"/>
          <w:color w:val="000000"/>
          <w:sz w:val="24"/>
          <w:szCs w:val="24"/>
        </w:rPr>
        <w:t>mains-d</w:t>
      </w:r>
      <w:r w:rsidR="001928FA">
        <w:rPr>
          <w:rFonts w:eastAsia="Calibri"/>
          <w:color w:val="000000"/>
          <w:sz w:val="24"/>
          <w:szCs w:val="24"/>
        </w:rPr>
        <w:t>’</w:t>
      </w:r>
      <w:r w:rsidRPr="001928FA">
        <w:rPr>
          <w:rFonts w:eastAsia="Calibri"/>
          <w:color w:val="000000"/>
          <w:sz w:val="24"/>
          <w:szCs w:val="24"/>
        </w:rPr>
        <w:t>uvre</w:t>
      </w:r>
      <w:proofErr w:type="spellEnd"/>
      <w:r w:rsidRPr="001928FA">
        <w:rPr>
          <w:rFonts w:eastAsia="Calibri"/>
          <w:color w:val="000000"/>
          <w:sz w:val="24"/>
          <w:szCs w:val="24"/>
        </w:rPr>
        <w:t>, mobilisation des savoirs et formation (p. 1-19</w:t>
      </w:r>
      <w:proofErr w:type="gramStart"/>
      <w:r w:rsidRPr="001928FA">
        <w:rPr>
          <w:rFonts w:eastAsia="Calibri"/>
          <w:color w:val="000000"/>
          <w:sz w:val="24"/>
          <w:szCs w:val="24"/>
        </w:rPr>
        <w:t>).Québec</w:t>
      </w:r>
      <w:proofErr w:type="gramEnd"/>
      <w:r w:rsidRPr="001928FA">
        <w:rPr>
          <w:rFonts w:eastAsia="Calibri"/>
          <w:color w:val="000000"/>
          <w:sz w:val="24"/>
          <w:szCs w:val="24"/>
        </w:rPr>
        <w:t xml:space="preserve"> : Les presses de l</w:t>
      </w:r>
      <w:r w:rsidR="001928FA">
        <w:rPr>
          <w:rFonts w:eastAsia="Calibri"/>
          <w:color w:val="000000"/>
          <w:sz w:val="24"/>
          <w:szCs w:val="24"/>
        </w:rPr>
        <w:t>’</w:t>
      </w:r>
      <w:r w:rsidRPr="001928FA">
        <w:rPr>
          <w:rFonts w:eastAsia="Calibri"/>
          <w:color w:val="000000"/>
          <w:sz w:val="24"/>
          <w:szCs w:val="24"/>
        </w:rPr>
        <w:t>Université Laval.</w:t>
      </w:r>
    </w:p>
    <w:p w14:paraId="45524D42"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Besson, M. (2016). </w:t>
      </w:r>
      <w:r w:rsidRPr="001928FA">
        <w:rPr>
          <w:rFonts w:eastAsia="Calibri"/>
          <w:iCs/>
          <w:color w:val="000000"/>
          <w:sz w:val="24"/>
          <w:szCs w:val="24"/>
        </w:rPr>
        <w:t>Lien entre formation et développement territorial</w:t>
      </w:r>
      <w:r w:rsidRPr="001928FA">
        <w:rPr>
          <w:rFonts w:eastAsia="Calibri"/>
          <w:i/>
          <w:iCs/>
          <w:color w:val="000000"/>
          <w:sz w:val="24"/>
          <w:szCs w:val="24"/>
        </w:rPr>
        <w:t>.</w:t>
      </w:r>
      <w:r w:rsidRPr="001928FA">
        <w:rPr>
          <w:rFonts w:eastAsia="Calibri"/>
          <w:i/>
          <w:color w:val="000000"/>
          <w:sz w:val="24"/>
          <w:szCs w:val="24"/>
        </w:rPr>
        <w:t> Revue Économique</w:t>
      </w:r>
      <w:r w:rsidRPr="001928FA">
        <w:rPr>
          <w:rFonts w:eastAsia="Calibri"/>
          <w:color w:val="000000"/>
          <w:sz w:val="24"/>
          <w:szCs w:val="24"/>
        </w:rPr>
        <w:t xml:space="preserve">, </w:t>
      </w:r>
      <w:r w:rsidRPr="001928FA">
        <w:rPr>
          <w:rFonts w:eastAsia="Calibri"/>
          <w:i/>
          <w:color w:val="000000"/>
          <w:sz w:val="24"/>
          <w:szCs w:val="24"/>
        </w:rPr>
        <w:t>68</w:t>
      </w:r>
      <w:r w:rsidRPr="001928FA">
        <w:rPr>
          <w:rFonts w:eastAsia="Calibri"/>
          <w:color w:val="000000"/>
          <w:sz w:val="24"/>
          <w:szCs w:val="24"/>
        </w:rPr>
        <w:t>(3), 45-60.</w:t>
      </w:r>
    </w:p>
    <w:p w14:paraId="016ABD30" w14:textId="6A959F16"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Biya, P. (2004, 10 février). </w:t>
      </w:r>
      <w:hyperlink r:id="rId174" w:history="1">
        <w:r w:rsidRPr="001928FA">
          <w:rPr>
            <w:rFonts w:eastAsia="Calibri"/>
            <w:color w:val="000000"/>
            <w:sz w:val="24"/>
            <w:szCs w:val="24"/>
          </w:rPr>
          <w:t>Message du Chef de l</w:t>
        </w:r>
        <w:r w:rsidR="001928FA">
          <w:rPr>
            <w:rFonts w:eastAsia="Calibri"/>
            <w:color w:val="000000"/>
            <w:sz w:val="24"/>
            <w:szCs w:val="24"/>
          </w:rPr>
          <w:t>’</w:t>
        </w:r>
        <w:r w:rsidRPr="001928FA">
          <w:rPr>
            <w:rFonts w:eastAsia="Calibri"/>
            <w:color w:val="000000"/>
            <w:sz w:val="24"/>
            <w:szCs w:val="24"/>
          </w:rPr>
          <w:t>Etat à l</w:t>
        </w:r>
        <w:r w:rsidR="001928FA">
          <w:rPr>
            <w:rFonts w:eastAsia="Calibri"/>
            <w:color w:val="000000"/>
            <w:sz w:val="24"/>
            <w:szCs w:val="24"/>
          </w:rPr>
          <w:t>’</w:t>
        </w:r>
        <w:r w:rsidRPr="001928FA">
          <w:rPr>
            <w:rFonts w:eastAsia="Calibri"/>
            <w:color w:val="000000"/>
            <w:sz w:val="24"/>
            <w:szCs w:val="24"/>
          </w:rPr>
          <w:t xml:space="preserve">occasion de la 58ème Édition de </w:t>
        </w:r>
        <w:bookmarkStart w:id="354" w:name="_Hlt206064429"/>
        <w:bookmarkStart w:id="355" w:name="_Hlt206064430"/>
        <w:bookmarkEnd w:id="354"/>
        <w:bookmarkEnd w:id="355"/>
        <w:r w:rsidRPr="001928FA">
          <w:rPr>
            <w:rFonts w:eastAsia="Calibri"/>
            <w:color w:val="000000"/>
            <w:sz w:val="24"/>
            <w:szCs w:val="24"/>
          </w:rPr>
          <w:t>la Fête de la Jeunesse</w:t>
        </w:r>
      </w:hyperlink>
      <w:r w:rsidRPr="001928FA">
        <w:rPr>
          <w:rFonts w:eastAsia="Calibri"/>
          <w:color w:val="000000"/>
          <w:sz w:val="24"/>
          <w:szCs w:val="24"/>
        </w:rPr>
        <w:t>.</w:t>
      </w:r>
    </w:p>
    <w:p w14:paraId="76E8969A"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Bouchard, C., &amp; Lévesque, M. (2020). </w:t>
      </w:r>
      <w:r w:rsidRPr="001928FA">
        <w:rPr>
          <w:rFonts w:eastAsia="Calibri"/>
          <w:iCs/>
          <w:color w:val="000000"/>
          <w:sz w:val="24"/>
          <w:szCs w:val="24"/>
        </w:rPr>
        <w:t>Collaborations entre Universités et entreprises : enjeux et perspectives</w:t>
      </w:r>
      <w:r w:rsidRPr="001928FA">
        <w:rPr>
          <w:rFonts w:eastAsia="Calibri"/>
          <w:color w:val="000000"/>
          <w:sz w:val="24"/>
          <w:szCs w:val="24"/>
        </w:rPr>
        <w:t>. </w:t>
      </w:r>
      <w:r w:rsidRPr="001928FA">
        <w:rPr>
          <w:rFonts w:eastAsia="Calibri"/>
          <w:i/>
          <w:iCs/>
          <w:color w:val="000000"/>
          <w:sz w:val="24"/>
          <w:szCs w:val="24"/>
        </w:rPr>
        <w:t>Revue de l'Innovation et du Développement</w:t>
      </w:r>
      <w:r w:rsidRPr="001928FA">
        <w:rPr>
          <w:rFonts w:eastAsia="Calibri"/>
          <w:color w:val="000000"/>
          <w:sz w:val="24"/>
          <w:szCs w:val="24"/>
        </w:rPr>
        <w:t>.</w:t>
      </w:r>
    </w:p>
    <w:p w14:paraId="53E68CAE" w14:textId="77777777" w:rsidR="00D80693" w:rsidRPr="001928FA" w:rsidRDefault="00D80693" w:rsidP="001928FA">
      <w:pPr>
        <w:spacing w:before="120"/>
        <w:ind w:left="993" w:hanging="993"/>
        <w:jc w:val="both"/>
        <w:rPr>
          <w:rFonts w:eastAsia="Calibri"/>
          <w:color w:val="000000"/>
          <w:sz w:val="24"/>
          <w:szCs w:val="24"/>
        </w:rPr>
      </w:pPr>
      <w:proofErr w:type="spellStart"/>
      <w:r w:rsidRPr="001928FA">
        <w:rPr>
          <w:rFonts w:eastAsia="Calibri"/>
          <w:color w:val="000000"/>
          <w:sz w:val="24"/>
          <w:szCs w:val="24"/>
        </w:rPr>
        <w:t>Boudriga</w:t>
      </w:r>
      <w:proofErr w:type="spellEnd"/>
      <w:r w:rsidRPr="001928FA">
        <w:rPr>
          <w:rFonts w:eastAsia="Calibri"/>
          <w:color w:val="000000"/>
          <w:sz w:val="24"/>
          <w:szCs w:val="24"/>
        </w:rPr>
        <w:t>, A. (2015). </w:t>
      </w:r>
      <w:r w:rsidRPr="001928FA">
        <w:rPr>
          <w:rFonts w:eastAsia="Calibri"/>
          <w:i/>
          <w:iCs/>
          <w:color w:val="000000"/>
          <w:sz w:val="24"/>
          <w:szCs w:val="24"/>
        </w:rPr>
        <w:t>Diagnostic des compétences territoriales.</w:t>
      </w:r>
      <w:r w:rsidRPr="001928FA">
        <w:rPr>
          <w:rFonts w:eastAsia="Calibri"/>
          <w:color w:val="000000"/>
          <w:sz w:val="24"/>
          <w:szCs w:val="24"/>
        </w:rPr>
        <w:t> Éditions Universitaires.</w:t>
      </w:r>
    </w:p>
    <w:p w14:paraId="4EAFC275" w14:textId="77777777" w:rsidR="00D80693" w:rsidRPr="001928FA" w:rsidRDefault="00D80693" w:rsidP="001928FA">
      <w:pPr>
        <w:spacing w:before="120"/>
        <w:ind w:left="993" w:hanging="993"/>
        <w:jc w:val="both"/>
        <w:rPr>
          <w:rFonts w:eastAsia="Calibri"/>
          <w:color w:val="000000"/>
          <w:sz w:val="24"/>
          <w:szCs w:val="24"/>
        </w:rPr>
      </w:pPr>
      <w:proofErr w:type="spellStart"/>
      <w:r w:rsidRPr="001928FA">
        <w:rPr>
          <w:rFonts w:eastAsia="Calibri"/>
          <w:color w:val="000000"/>
          <w:sz w:val="24"/>
          <w:szCs w:val="24"/>
        </w:rPr>
        <w:t>Bourdoncle</w:t>
      </w:r>
      <w:proofErr w:type="spellEnd"/>
      <w:r w:rsidRPr="001928FA">
        <w:rPr>
          <w:rFonts w:eastAsia="Calibri"/>
          <w:color w:val="000000"/>
          <w:sz w:val="24"/>
          <w:szCs w:val="24"/>
        </w:rPr>
        <w:t xml:space="preserve">, R. (2000). Autour des mots : professionnalisation, formes et dispositifs. </w:t>
      </w:r>
      <w:r w:rsidRPr="001928FA">
        <w:rPr>
          <w:rFonts w:eastAsia="Calibri"/>
          <w:i/>
          <w:color w:val="000000"/>
          <w:sz w:val="24"/>
          <w:szCs w:val="24"/>
        </w:rPr>
        <w:t>Recherche et Formation</w:t>
      </w:r>
      <w:r w:rsidRPr="001928FA">
        <w:rPr>
          <w:rFonts w:eastAsia="Calibri"/>
          <w:color w:val="000000"/>
          <w:sz w:val="24"/>
          <w:szCs w:val="24"/>
        </w:rPr>
        <w:t xml:space="preserve">, </w:t>
      </w:r>
      <w:r w:rsidRPr="001928FA">
        <w:rPr>
          <w:rFonts w:eastAsia="Calibri"/>
          <w:i/>
          <w:color w:val="000000"/>
          <w:sz w:val="24"/>
          <w:szCs w:val="24"/>
        </w:rPr>
        <w:t>35</w:t>
      </w:r>
      <w:r w:rsidRPr="001928FA">
        <w:rPr>
          <w:rFonts w:eastAsia="Calibri"/>
          <w:color w:val="000000"/>
          <w:sz w:val="24"/>
          <w:szCs w:val="24"/>
        </w:rPr>
        <w:t>, 117-132.</w:t>
      </w:r>
    </w:p>
    <w:p w14:paraId="47C3D4C6" w14:textId="204BE826"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 xml:space="preserve">Bourgault, J., </w:t>
      </w:r>
      <w:proofErr w:type="spellStart"/>
      <w:r w:rsidRPr="001928FA">
        <w:rPr>
          <w:rFonts w:eastAsia="Calibri"/>
          <w:color w:val="000000"/>
          <w:sz w:val="24"/>
          <w:szCs w:val="24"/>
        </w:rPr>
        <w:t>Charih</w:t>
      </w:r>
      <w:proofErr w:type="spellEnd"/>
      <w:r w:rsidRPr="001928FA">
        <w:rPr>
          <w:rFonts w:eastAsia="Calibri"/>
          <w:color w:val="000000"/>
          <w:sz w:val="24"/>
          <w:szCs w:val="24"/>
        </w:rPr>
        <w:t xml:space="preserve">, M., Maltais, D., &amp; Rouillard, L. (2003). </w:t>
      </w:r>
      <w:r w:rsidRPr="001928FA">
        <w:rPr>
          <w:rFonts w:eastAsia="Calibri"/>
          <w:i/>
          <w:color w:val="000000"/>
          <w:sz w:val="24"/>
          <w:szCs w:val="24"/>
        </w:rPr>
        <w:t>Les rôles et les compétences des gestionnaires supérieurs du gouvernement du Québec pour l</w:t>
      </w:r>
      <w:r w:rsidR="001928FA">
        <w:rPr>
          <w:rFonts w:eastAsia="Calibri"/>
          <w:i/>
          <w:color w:val="000000"/>
          <w:sz w:val="24"/>
          <w:szCs w:val="24"/>
        </w:rPr>
        <w:t>’</w:t>
      </w:r>
      <w:r w:rsidRPr="001928FA">
        <w:rPr>
          <w:rFonts w:eastAsia="Calibri"/>
          <w:i/>
          <w:color w:val="000000"/>
          <w:sz w:val="24"/>
          <w:szCs w:val="24"/>
        </w:rPr>
        <w:t xml:space="preserve">avenir. Rapport de recherche. </w:t>
      </w:r>
      <w:r w:rsidRPr="001928FA">
        <w:rPr>
          <w:rFonts w:eastAsia="Calibri"/>
          <w:color w:val="000000"/>
          <w:sz w:val="24"/>
          <w:szCs w:val="24"/>
        </w:rPr>
        <w:t>Gouvernement du Québec.</w:t>
      </w:r>
    </w:p>
    <w:p w14:paraId="3EC69AB4" w14:textId="2DF5432B" w:rsidR="00D80693" w:rsidRPr="001928FA" w:rsidRDefault="00D80693" w:rsidP="001928FA">
      <w:pPr>
        <w:spacing w:before="120"/>
        <w:ind w:left="993" w:hanging="993"/>
        <w:jc w:val="both"/>
        <w:rPr>
          <w:rFonts w:eastAsia="Calibri"/>
          <w:color w:val="000000"/>
          <w:sz w:val="24"/>
          <w:szCs w:val="24"/>
        </w:rPr>
      </w:pPr>
      <w:proofErr w:type="spellStart"/>
      <w:r w:rsidRPr="001928FA">
        <w:rPr>
          <w:rFonts w:eastAsia="Calibri"/>
          <w:color w:val="000000"/>
          <w:sz w:val="24"/>
          <w:szCs w:val="24"/>
          <w:shd w:val="clear" w:color="auto" w:fill="FFFFFF"/>
        </w:rPr>
        <w:t>Brémaud</w:t>
      </w:r>
      <w:proofErr w:type="spellEnd"/>
      <w:r w:rsidRPr="001928FA">
        <w:rPr>
          <w:rFonts w:eastAsia="Calibri"/>
          <w:color w:val="000000"/>
          <w:sz w:val="24"/>
          <w:szCs w:val="24"/>
          <w:shd w:val="clear" w:color="auto" w:fill="FFFFFF"/>
        </w:rPr>
        <w:t>, L., &amp; Boisclair, M. (2012). Pédagogie universitaire et partenariat Université-</w:t>
      </w:r>
      <w:proofErr w:type="gramStart"/>
      <w:r w:rsidRPr="001928FA">
        <w:rPr>
          <w:rFonts w:eastAsia="Calibri"/>
          <w:color w:val="000000"/>
          <w:sz w:val="24"/>
          <w:szCs w:val="24"/>
          <w:shd w:val="clear" w:color="auto" w:fill="FFFFFF"/>
        </w:rPr>
        <w:t>entreprise:</w:t>
      </w:r>
      <w:proofErr w:type="gramEnd"/>
      <w:r w:rsidRPr="001928FA">
        <w:rPr>
          <w:rFonts w:eastAsia="Calibri"/>
          <w:color w:val="000000"/>
          <w:sz w:val="24"/>
          <w:szCs w:val="24"/>
          <w:shd w:val="clear" w:color="auto" w:fill="FFFFFF"/>
        </w:rPr>
        <w:t xml:space="preserve"> enjeux, écueils, perspectives. </w:t>
      </w:r>
      <w:r w:rsidRPr="001928FA">
        <w:rPr>
          <w:rFonts w:eastAsia="Calibri"/>
          <w:i/>
          <w:iCs/>
          <w:color w:val="000000"/>
          <w:sz w:val="24"/>
          <w:szCs w:val="24"/>
          <w:shd w:val="clear" w:color="auto" w:fill="FFFFFF"/>
        </w:rPr>
        <w:t>Revue internationale de pédagogie de l</w:t>
      </w:r>
      <w:r w:rsidR="001928FA">
        <w:rPr>
          <w:rFonts w:eastAsia="Calibri"/>
          <w:i/>
          <w:iCs/>
          <w:color w:val="000000"/>
          <w:sz w:val="24"/>
          <w:szCs w:val="24"/>
          <w:shd w:val="clear" w:color="auto" w:fill="FFFFFF"/>
        </w:rPr>
        <w:t>’</w:t>
      </w:r>
      <w:r w:rsidRPr="001928FA">
        <w:rPr>
          <w:rFonts w:eastAsia="Calibri"/>
          <w:i/>
          <w:iCs/>
          <w:color w:val="000000"/>
          <w:sz w:val="24"/>
          <w:szCs w:val="24"/>
          <w:shd w:val="clear" w:color="auto" w:fill="FFFFFF"/>
        </w:rPr>
        <w:t>enseignement supérieur</w:t>
      </w:r>
      <w:r w:rsidRPr="001928FA">
        <w:rPr>
          <w:rFonts w:eastAsia="Calibri"/>
          <w:color w:val="000000"/>
          <w:sz w:val="24"/>
          <w:szCs w:val="24"/>
          <w:shd w:val="clear" w:color="auto" w:fill="FFFFFF"/>
        </w:rPr>
        <w:t>, </w:t>
      </w:r>
      <w:r w:rsidRPr="001928FA">
        <w:rPr>
          <w:rFonts w:eastAsia="Calibri"/>
          <w:i/>
          <w:iCs/>
          <w:color w:val="000000"/>
          <w:sz w:val="24"/>
          <w:szCs w:val="24"/>
          <w:shd w:val="clear" w:color="auto" w:fill="FFFFFF"/>
        </w:rPr>
        <w:t>28</w:t>
      </w:r>
      <w:r w:rsidRPr="001928FA">
        <w:rPr>
          <w:rFonts w:eastAsia="Calibri"/>
          <w:color w:val="000000"/>
          <w:sz w:val="24"/>
          <w:szCs w:val="24"/>
          <w:shd w:val="clear" w:color="auto" w:fill="FFFFFF"/>
        </w:rPr>
        <w:t>(28 (1)).</w:t>
      </w:r>
    </w:p>
    <w:p w14:paraId="6429BF02"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 xml:space="preserve"> </w:t>
      </w:r>
      <w:r w:rsidRPr="001928FA">
        <w:rPr>
          <w:rFonts w:eastAsia="Calibri"/>
          <w:color w:val="000000"/>
          <w:sz w:val="24"/>
          <w:szCs w:val="24"/>
          <w:shd w:val="clear" w:color="auto" w:fill="FFFFFF"/>
        </w:rPr>
        <w:t>Chevalier, P. (2010). L'approche LEADER et le développement local en France. </w:t>
      </w:r>
      <w:r w:rsidRPr="001928FA">
        <w:rPr>
          <w:rFonts w:eastAsia="Calibri"/>
          <w:i/>
          <w:iCs/>
          <w:color w:val="000000"/>
          <w:sz w:val="24"/>
          <w:szCs w:val="24"/>
          <w:shd w:val="clear" w:color="auto" w:fill="FFFFFF"/>
        </w:rPr>
        <w:t>Les acteurs locaux à l'épreuve du modèle européen LEADER : France, Hongrie, Pologne</w:t>
      </w:r>
      <w:r w:rsidRPr="001928FA">
        <w:rPr>
          <w:rFonts w:eastAsia="Calibri"/>
          <w:color w:val="000000"/>
          <w:sz w:val="24"/>
          <w:szCs w:val="24"/>
          <w:shd w:val="clear" w:color="auto" w:fill="FFFFFF"/>
        </w:rPr>
        <w:t>, 53-70.</w:t>
      </w:r>
    </w:p>
    <w:p w14:paraId="3091A4D7"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 xml:space="preserve"> </w:t>
      </w:r>
      <w:r w:rsidRPr="001928FA">
        <w:rPr>
          <w:rFonts w:eastAsia="Calibri"/>
          <w:color w:val="000000"/>
          <w:sz w:val="24"/>
          <w:szCs w:val="24"/>
          <w:shd w:val="clear" w:color="auto" w:fill="FFFFFF"/>
        </w:rPr>
        <w:t xml:space="preserve">Chia, E., Rey-Valette, H., Michel, L., &amp; Soulard, C. (2010, October). Le diagnostic </w:t>
      </w:r>
      <w:proofErr w:type="gramStart"/>
      <w:r w:rsidRPr="001928FA">
        <w:rPr>
          <w:rFonts w:eastAsia="Calibri"/>
          <w:color w:val="000000"/>
          <w:sz w:val="24"/>
          <w:szCs w:val="24"/>
          <w:shd w:val="clear" w:color="auto" w:fill="FFFFFF"/>
        </w:rPr>
        <w:t>territorial:</w:t>
      </w:r>
      <w:proofErr w:type="gramEnd"/>
      <w:r w:rsidRPr="001928FA">
        <w:rPr>
          <w:rFonts w:eastAsia="Calibri"/>
          <w:color w:val="000000"/>
          <w:sz w:val="24"/>
          <w:szCs w:val="24"/>
          <w:shd w:val="clear" w:color="auto" w:fill="FFFFFF"/>
        </w:rPr>
        <w:t xml:space="preserve"> outil pour décider ensemble. </w:t>
      </w:r>
      <w:r w:rsidRPr="001928FA">
        <w:rPr>
          <w:rFonts w:eastAsia="Calibri"/>
          <w:i/>
          <w:iCs/>
          <w:color w:val="000000"/>
          <w:sz w:val="24"/>
          <w:szCs w:val="24"/>
          <w:shd w:val="clear" w:color="auto" w:fill="FFFFFF"/>
        </w:rPr>
        <w:t>Communication au Colloque Outils Pour Décider Ensemble. Aide à la décision et gouvernance</w:t>
      </w:r>
      <w:r w:rsidRPr="001928FA">
        <w:rPr>
          <w:rFonts w:eastAsia="Calibri"/>
          <w:color w:val="000000"/>
          <w:sz w:val="24"/>
          <w:szCs w:val="24"/>
          <w:shd w:val="clear" w:color="auto" w:fill="FFFFFF"/>
        </w:rPr>
        <w:t>, (25), 20-30.</w:t>
      </w:r>
    </w:p>
    <w:p w14:paraId="5E6DA245"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lang w:val="en-GB"/>
        </w:rPr>
        <w:t xml:space="preserve">Dietrich, A., Gilbert, P., &amp; </w:t>
      </w:r>
      <w:proofErr w:type="spellStart"/>
      <w:r w:rsidRPr="001928FA">
        <w:rPr>
          <w:rFonts w:eastAsia="Calibri"/>
          <w:color w:val="000000"/>
          <w:sz w:val="24"/>
          <w:szCs w:val="24"/>
          <w:lang w:val="en-GB"/>
        </w:rPr>
        <w:t>Pigeyre</w:t>
      </w:r>
      <w:proofErr w:type="spellEnd"/>
      <w:r w:rsidRPr="001928FA">
        <w:rPr>
          <w:rFonts w:eastAsia="Calibri"/>
          <w:color w:val="000000"/>
          <w:sz w:val="24"/>
          <w:szCs w:val="24"/>
          <w:lang w:val="en-GB"/>
        </w:rPr>
        <w:t xml:space="preserve">, F. (2010). </w:t>
      </w:r>
      <w:r w:rsidRPr="001928FA">
        <w:rPr>
          <w:rFonts w:eastAsia="Calibri"/>
          <w:i/>
          <w:color w:val="000000"/>
          <w:sz w:val="24"/>
          <w:szCs w:val="24"/>
        </w:rPr>
        <w:t>Management des compétences : enjeux, modèles et perspectives.</w:t>
      </w:r>
      <w:r w:rsidRPr="001928FA">
        <w:rPr>
          <w:rFonts w:eastAsia="Calibri"/>
          <w:color w:val="000000"/>
          <w:sz w:val="24"/>
          <w:szCs w:val="24"/>
        </w:rPr>
        <w:t xml:space="preserve"> Dunod. </w:t>
      </w:r>
    </w:p>
    <w:p w14:paraId="2EF72CED"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Dufour, S., &amp; Gagnon, V. (2022). </w:t>
      </w:r>
      <w:r w:rsidRPr="001928FA">
        <w:rPr>
          <w:rFonts w:eastAsia="Calibri"/>
          <w:iCs/>
          <w:color w:val="000000"/>
          <w:sz w:val="24"/>
          <w:szCs w:val="24"/>
        </w:rPr>
        <w:t xml:space="preserve">Entrepreneuriat et enseignement supérieur : vers une dynamique de </w:t>
      </w:r>
      <w:proofErr w:type="spellStart"/>
      <w:r w:rsidRPr="001928FA">
        <w:rPr>
          <w:rFonts w:eastAsia="Calibri"/>
          <w:iCs/>
          <w:color w:val="000000"/>
          <w:sz w:val="24"/>
          <w:szCs w:val="24"/>
        </w:rPr>
        <w:t>co-création</w:t>
      </w:r>
      <w:proofErr w:type="spellEnd"/>
      <w:r w:rsidRPr="001928FA">
        <w:rPr>
          <w:rFonts w:eastAsia="Calibri"/>
          <w:color w:val="000000"/>
          <w:sz w:val="24"/>
          <w:szCs w:val="24"/>
        </w:rPr>
        <w:t>. </w:t>
      </w:r>
      <w:r w:rsidRPr="001928FA">
        <w:rPr>
          <w:rFonts w:eastAsia="Calibri"/>
          <w:i/>
          <w:iCs/>
          <w:color w:val="000000"/>
          <w:sz w:val="24"/>
          <w:szCs w:val="24"/>
        </w:rPr>
        <w:t>Revue des Sciences Économiques</w:t>
      </w:r>
      <w:r w:rsidRPr="001928FA">
        <w:rPr>
          <w:rFonts w:eastAsia="Calibri"/>
          <w:color w:val="000000"/>
          <w:sz w:val="24"/>
          <w:szCs w:val="24"/>
        </w:rPr>
        <w:t>.</w:t>
      </w:r>
    </w:p>
    <w:p w14:paraId="5B833D3D" w14:textId="71CA2BDE"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Duru-Bellat, M. (2013). </w:t>
      </w:r>
      <w:r w:rsidRPr="001928FA">
        <w:rPr>
          <w:rFonts w:eastAsia="Calibri"/>
          <w:i/>
          <w:iCs/>
          <w:color w:val="000000"/>
          <w:sz w:val="24"/>
          <w:szCs w:val="24"/>
        </w:rPr>
        <w:t>L</w:t>
      </w:r>
      <w:r w:rsidR="001928FA">
        <w:rPr>
          <w:rFonts w:eastAsia="Calibri"/>
          <w:i/>
          <w:iCs/>
          <w:color w:val="000000"/>
          <w:sz w:val="24"/>
          <w:szCs w:val="24"/>
        </w:rPr>
        <w:t>’</w:t>
      </w:r>
      <w:r w:rsidRPr="001928FA">
        <w:rPr>
          <w:rFonts w:eastAsia="Calibri"/>
          <w:i/>
          <w:iCs/>
          <w:color w:val="000000"/>
          <w:sz w:val="24"/>
          <w:szCs w:val="24"/>
        </w:rPr>
        <w:t>école et la société : enjeux contemporains.</w:t>
      </w:r>
      <w:r w:rsidRPr="001928FA">
        <w:rPr>
          <w:rFonts w:eastAsia="Calibri"/>
          <w:color w:val="000000"/>
          <w:sz w:val="24"/>
          <w:szCs w:val="24"/>
        </w:rPr>
        <w:t> Presses Universitaires de France.</w:t>
      </w:r>
    </w:p>
    <w:p w14:paraId="54D12F64" w14:textId="04029CD0" w:rsidR="00D80693" w:rsidRPr="001928FA" w:rsidRDefault="00D80693" w:rsidP="001928FA">
      <w:pPr>
        <w:spacing w:before="120"/>
        <w:ind w:left="993" w:hanging="993"/>
        <w:rPr>
          <w:rFonts w:eastAsia="Calibri"/>
          <w:color w:val="000000"/>
          <w:sz w:val="24"/>
          <w:szCs w:val="24"/>
        </w:rPr>
      </w:pPr>
      <w:proofErr w:type="spellStart"/>
      <w:r w:rsidRPr="001928FA">
        <w:rPr>
          <w:rFonts w:eastAsia="Calibri"/>
          <w:color w:val="000000"/>
          <w:sz w:val="24"/>
          <w:szCs w:val="24"/>
        </w:rPr>
        <w:t>Lafon</w:t>
      </w:r>
      <w:proofErr w:type="spellEnd"/>
      <w:r w:rsidRPr="001928FA">
        <w:rPr>
          <w:rFonts w:eastAsia="Calibri"/>
          <w:color w:val="000000"/>
          <w:sz w:val="24"/>
          <w:szCs w:val="24"/>
        </w:rPr>
        <w:t>, F. (2014). </w:t>
      </w:r>
      <w:r w:rsidRPr="001928FA">
        <w:rPr>
          <w:rFonts w:eastAsia="Calibri"/>
          <w:i/>
          <w:iCs/>
          <w:color w:val="000000"/>
          <w:sz w:val="24"/>
          <w:szCs w:val="24"/>
        </w:rPr>
        <w:t>Conception pédagogique et innovation.</w:t>
      </w:r>
      <w:r w:rsidRPr="001928FA">
        <w:rPr>
          <w:rFonts w:eastAsia="Calibri"/>
          <w:color w:val="000000"/>
          <w:sz w:val="24"/>
          <w:szCs w:val="24"/>
        </w:rPr>
        <w:t> Presses de l</w:t>
      </w:r>
      <w:r w:rsidR="001928FA">
        <w:rPr>
          <w:rFonts w:eastAsia="Calibri"/>
          <w:color w:val="000000"/>
          <w:sz w:val="24"/>
          <w:szCs w:val="24"/>
        </w:rPr>
        <w:t>’</w:t>
      </w:r>
      <w:r w:rsidRPr="001928FA">
        <w:rPr>
          <w:rFonts w:eastAsia="Calibri"/>
          <w:color w:val="000000"/>
          <w:sz w:val="24"/>
          <w:szCs w:val="24"/>
        </w:rPr>
        <w:t>Université de Lyon.</w:t>
      </w:r>
    </w:p>
    <w:p w14:paraId="7813EE2F" w14:textId="74FD488B"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Lahire, B. (2012). </w:t>
      </w:r>
      <w:r w:rsidRPr="001928FA">
        <w:rPr>
          <w:rFonts w:eastAsia="Calibri"/>
          <w:i/>
          <w:iCs/>
          <w:color w:val="000000"/>
          <w:sz w:val="24"/>
          <w:szCs w:val="24"/>
        </w:rPr>
        <w:t>L</w:t>
      </w:r>
      <w:r w:rsidR="001928FA">
        <w:rPr>
          <w:rFonts w:eastAsia="Calibri"/>
          <w:i/>
          <w:iCs/>
          <w:color w:val="000000"/>
          <w:sz w:val="24"/>
          <w:szCs w:val="24"/>
        </w:rPr>
        <w:t>’</w:t>
      </w:r>
      <w:r w:rsidRPr="001928FA">
        <w:rPr>
          <w:rFonts w:eastAsia="Calibri"/>
          <w:i/>
          <w:iCs/>
          <w:color w:val="000000"/>
          <w:sz w:val="24"/>
          <w:szCs w:val="24"/>
        </w:rPr>
        <w:t>individu et la société.</w:t>
      </w:r>
      <w:r w:rsidRPr="001928FA">
        <w:rPr>
          <w:rFonts w:eastAsia="Calibri"/>
          <w:color w:val="000000"/>
          <w:sz w:val="24"/>
          <w:szCs w:val="24"/>
        </w:rPr>
        <w:t> La Découverte.</w:t>
      </w:r>
    </w:p>
    <w:p w14:paraId="2FA57FA1"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 xml:space="preserve"> </w:t>
      </w:r>
      <w:r w:rsidRPr="001928FA">
        <w:rPr>
          <w:rFonts w:eastAsia="Calibri"/>
          <w:color w:val="000000"/>
          <w:sz w:val="24"/>
          <w:szCs w:val="24"/>
          <w:shd w:val="clear" w:color="auto" w:fill="FFFFFF"/>
        </w:rPr>
        <w:t>Landel, P. A., &amp; Pecqueur, B. (2016). Le développement territorial : une voie innovante pour les collectivités locales ? </w:t>
      </w:r>
      <w:r w:rsidRPr="001928FA">
        <w:rPr>
          <w:rFonts w:eastAsia="Calibri"/>
          <w:i/>
          <w:iCs/>
          <w:color w:val="000000"/>
          <w:sz w:val="24"/>
          <w:szCs w:val="24"/>
          <w:shd w:val="clear" w:color="auto" w:fill="FFFFFF"/>
        </w:rPr>
        <w:t>Développement durable des territoires</w:t>
      </w:r>
      <w:r w:rsidRPr="001928FA">
        <w:rPr>
          <w:rFonts w:eastAsia="Calibri"/>
          <w:color w:val="000000"/>
          <w:sz w:val="24"/>
          <w:szCs w:val="24"/>
          <w:shd w:val="clear" w:color="auto" w:fill="FFFFFF"/>
        </w:rPr>
        <w:t>, 31-45.</w:t>
      </w:r>
    </w:p>
    <w:p w14:paraId="7B1E1562" w14:textId="0A544EC8"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 xml:space="preserve">Le Goff, J.-P. (1993). </w:t>
      </w:r>
      <w:r w:rsidRPr="001928FA">
        <w:rPr>
          <w:rFonts w:eastAsia="Calibri"/>
          <w:i/>
          <w:color w:val="000000"/>
          <w:sz w:val="24"/>
          <w:szCs w:val="24"/>
        </w:rPr>
        <w:t>Le mythe de l</w:t>
      </w:r>
      <w:r w:rsidR="001928FA">
        <w:rPr>
          <w:rFonts w:eastAsia="Calibri"/>
          <w:i/>
          <w:color w:val="000000"/>
          <w:sz w:val="24"/>
          <w:szCs w:val="24"/>
        </w:rPr>
        <w:t>’</w:t>
      </w:r>
      <w:r w:rsidRPr="001928FA">
        <w:rPr>
          <w:rFonts w:eastAsia="Calibri"/>
          <w:i/>
          <w:color w:val="000000"/>
          <w:sz w:val="24"/>
          <w:szCs w:val="24"/>
        </w:rPr>
        <w:t>entreprise</w:t>
      </w:r>
      <w:r w:rsidRPr="001928FA">
        <w:rPr>
          <w:rFonts w:eastAsia="Calibri"/>
          <w:color w:val="000000"/>
          <w:sz w:val="24"/>
          <w:szCs w:val="24"/>
        </w:rPr>
        <w:t>. Éditions de la découverte.</w:t>
      </w:r>
    </w:p>
    <w:p w14:paraId="4C273EE5" w14:textId="61BB8FCB"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Leblanc, F., &amp; Charbonneau, L. (2020). </w:t>
      </w:r>
      <w:r w:rsidRPr="001928FA">
        <w:rPr>
          <w:rFonts w:eastAsia="Calibri"/>
          <w:iCs/>
          <w:color w:val="000000"/>
          <w:sz w:val="24"/>
          <w:szCs w:val="24"/>
        </w:rPr>
        <w:t>L</w:t>
      </w:r>
      <w:r w:rsidR="001928FA">
        <w:rPr>
          <w:rFonts w:eastAsia="Calibri"/>
          <w:iCs/>
          <w:color w:val="000000"/>
          <w:sz w:val="24"/>
          <w:szCs w:val="24"/>
        </w:rPr>
        <w:t>’</w:t>
      </w:r>
      <w:r w:rsidRPr="001928FA">
        <w:rPr>
          <w:rFonts w:eastAsia="Calibri"/>
          <w:iCs/>
          <w:color w:val="000000"/>
          <w:sz w:val="24"/>
          <w:szCs w:val="24"/>
        </w:rPr>
        <w:t>éducation supérieure face aux défis du développement durable : une analyse critique</w:t>
      </w:r>
      <w:r w:rsidRPr="001928FA">
        <w:rPr>
          <w:rFonts w:eastAsia="Calibri"/>
          <w:color w:val="000000"/>
          <w:sz w:val="24"/>
          <w:szCs w:val="24"/>
        </w:rPr>
        <w:t>. </w:t>
      </w:r>
      <w:r w:rsidRPr="001928FA">
        <w:rPr>
          <w:rFonts w:eastAsia="Calibri"/>
          <w:i/>
          <w:iCs/>
          <w:color w:val="000000"/>
          <w:sz w:val="24"/>
          <w:szCs w:val="24"/>
        </w:rPr>
        <w:t>Journal de l</w:t>
      </w:r>
      <w:r w:rsidR="001928FA">
        <w:rPr>
          <w:rFonts w:eastAsia="Calibri"/>
          <w:i/>
          <w:iCs/>
          <w:color w:val="000000"/>
          <w:sz w:val="24"/>
          <w:szCs w:val="24"/>
        </w:rPr>
        <w:t>’</w:t>
      </w:r>
      <w:r w:rsidRPr="001928FA">
        <w:rPr>
          <w:rFonts w:eastAsia="Calibri"/>
          <w:i/>
          <w:iCs/>
          <w:color w:val="000000"/>
          <w:sz w:val="24"/>
          <w:szCs w:val="24"/>
        </w:rPr>
        <w:t>Éducation pour le Développement Durable</w:t>
      </w:r>
      <w:r w:rsidRPr="001928FA">
        <w:rPr>
          <w:rFonts w:eastAsia="Calibri"/>
          <w:color w:val="000000"/>
          <w:sz w:val="24"/>
          <w:szCs w:val="24"/>
        </w:rPr>
        <w:t>.</w:t>
      </w:r>
    </w:p>
    <w:p w14:paraId="18A4BF6B"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Leclerc, P. (2017). </w:t>
      </w:r>
      <w:r w:rsidRPr="001928FA">
        <w:rPr>
          <w:rFonts w:eastAsia="Calibri"/>
          <w:i/>
          <w:iCs/>
          <w:color w:val="000000"/>
          <w:sz w:val="24"/>
          <w:szCs w:val="24"/>
        </w:rPr>
        <w:t>Analyse des besoins en compétences dans la région.</w:t>
      </w:r>
      <w:r w:rsidRPr="001928FA">
        <w:rPr>
          <w:rFonts w:eastAsia="Calibri"/>
          <w:i/>
          <w:color w:val="000000"/>
          <w:sz w:val="24"/>
          <w:szCs w:val="24"/>
        </w:rPr>
        <w:t> Rapport de recherche</w:t>
      </w:r>
      <w:r w:rsidRPr="001928FA">
        <w:rPr>
          <w:rFonts w:eastAsia="Calibri"/>
          <w:color w:val="000000"/>
          <w:sz w:val="24"/>
          <w:szCs w:val="24"/>
        </w:rPr>
        <w:t>. Université de Bordeaux.</w:t>
      </w:r>
    </w:p>
    <w:p w14:paraId="035038C0" w14:textId="4DC42F15"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Lemoine, F. (2018). </w:t>
      </w:r>
      <w:r w:rsidRPr="001928FA">
        <w:rPr>
          <w:rFonts w:eastAsia="Calibri"/>
          <w:i/>
          <w:iCs/>
          <w:color w:val="000000"/>
          <w:sz w:val="24"/>
          <w:szCs w:val="24"/>
        </w:rPr>
        <w:t>Formation et développement local.</w:t>
      </w:r>
      <w:r w:rsidRPr="001928FA">
        <w:rPr>
          <w:rFonts w:eastAsia="Calibri"/>
          <w:color w:val="000000"/>
          <w:sz w:val="24"/>
          <w:szCs w:val="24"/>
        </w:rPr>
        <w:t> Presses de l</w:t>
      </w:r>
      <w:r w:rsidR="001928FA">
        <w:rPr>
          <w:rFonts w:eastAsia="Calibri"/>
          <w:color w:val="000000"/>
          <w:sz w:val="24"/>
          <w:szCs w:val="24"/>
        </w:rPr>
        <w:t>’</w:t>
      </w:r>
      <w:r w:rsidRPr="001928FA">
        <w:rPr>
          <w:rFonts w:eastAsia="Calibri"/>
          <w:color w:val="000000"/>
          <w:sz w:val="24"/>
          <w:szCs w:val="24"/>
        </w:rPr>
        <w:t>Université de Lyon.</w:t>
      </w:r>
    </w:p>
    <w:p w14:paraId="379DDF2A" w14:textId="77777777" w:rsidR="00D80693" w:rsidRPr="001928FA" w:rsidRDefault="00D80693" w:rsidP="001928FA">
      <w:pPr>
        <w:spacing w:before="120"/>
        <w:ind w:left="993" w:hanging="993"/>
        <w:jc w:val="both"/>
        <w:rPr>
          <w:rFonts w:eastAsia="Calibri"/>
          <w:color w:val="000000"/>
          <w:sz w:val="24"/>
          <w:szCs w:val="24"/>
        </w:rPr>
      </w:pPr>
      <w:proofErr w:type="spellStart"/>
      <w:r w:rsidRPr="001928FA">
        <w:rPr>
          <w:rFonts w:eastAsia="Calibri"/>
          <w:color w:val="000000"/>
          <w:sz w:val="24"/>
          <w:szCs w:val="24"/>
        </w:rPr>
        <w:t>Maingari</w:t>
      </w:r>
      <w:proofErr w:type="spellEnd"/>
      <w:r w:rsidRPr="001928FA">
        <w:rPr>
          <w:rFonts w:eastAsia="Calibri"/>
          <w:color w:val="000000"/>
          <w:sz w:val="24"/>
          <w:szCs w:val="24"/>
        </w:rPr>
        <w:t>, D. (1997). La professionnalisation de l'enseignement au Cameroun : des sources aux fins. </w:t>
      </w:r>
      <w:r w:rsidRPr="001928FA">
        <w:rPr>
          <w:rFonts w:eastAsia="Calibri"/>
          <w:i/>
          <w:iCs/>
          <w:color w:val="000000"/>
          <w:sz w:val="24"/>
          <w:szCs w:val="24"/>
        </w:rPr>
        <w:t>Recherche &amp; formation</w:t>
      </w:r>
      <w:r w:rsidRPr="001928FA">
        <w:rPr>
          <w:rFonts w:eastAsia="Calibri"/>
          <w:color w:val="000000"/>
          <w:sz w:val="24"/>
          <w:szCs w:val="24"/>
        </w:rPr>
        <w:t>, </w:t>
      </w:r>
      <w:r w:rsidRPr="001928FA">
        <w:rPr>
          <w:rFonts w:eastAsia="Calibri"/>
          <w:i/>
          <w:iCs/>
          <w:color w:val="000000"/>
          <w:sz w:val="24"/>
          <w:szCs w:val="24"/>
        </w:rPr>
        <w:t>25</w:t>
      </w:r>
      <w:r w:rsidRPr="001928FA">
        <w:rPr>
          <w:rFonts w:eastAsia="Calibri"/>
          <w:color w:val="000000"/>
          <w:sz w:val="24"/>
          <w:szCs w:val="24"/>
        </w:rPr>
        <w:t>(1), 97-112.</w:t>
      </w:r>
    </w:p>
    <w:p w14:paraId="3E8717B1"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Martin, S. (2014). </w:t>
      </w:r>
      <w:r w:rsidRPr="001928FA">
        <w:rPr>
          <w:rFonts w:eastAsia="Calibri"/>
          <w:i/>
          <w:iCs/>
          <w:color w:val="000000"/>
          <w:sz w:val="24"/>
          <w:szCs w:val="24"/>
        </w:rPr>
        <w:t>Les décalages entre formation et marché du travail.</w:t>
      </w:r>
      <w:r w:rsidRPr="001928FA">
        <w:rPr>
          <w:rFonts w:eastAsia="Calibri"/>
          <w:color w:val="000000"/>
          <w:sz w:val="24"/>
          <w:szCs w:val="24"/>
        </w:rPr>
        <w:t> </w:t>
      </w:r>
      <w:r w:rsidRPr="001928FA">
        <w:rPr>
          <w:rFonts w:eastAsia="Calibri"/>
          <w:i/>
          <w:color w:val="000000"/>
          <w:sz w:val="24"/>
          <w:szCs w:val="24"/>
        </w:rPr>
        <w:t>Revue Française de Sociologie</w:t>
      </w:r>
      <w:r w:rsidRPr="001928FA">
        <w:rPr>
          <w:rFonts w:eastAsia="Calibri"/>
          <w:color w:val="000000"/>
          <w:sz w:val="24"/>
          <w:szCs w:val="24"/>
        </w:rPr>
        <w:t xml:space="preserve">, </w:t>
      </w:r>
      <w:r w:rsidRPr="001928FA">
        <w:rPr>
          <w:rFonts w:eastAsia="Calibri"/>
          <w:i/>
          <w:color w:val="000000"/>
          <w:sz w:val="24"/>
          <w:szCs w:val="24"/>
        </w:rPr>
        <w:t>55</w:t>
      </w:r>
      <w:r w:rsidRPr="001928FA">
        <w:rPr>
          <w:rFonts w:eastAsia="Calibri"/>
          <w:color w:val="000000"/>
          <w:sz w:val="24"/>
          <w:szCs w:val="24"/>
        </w:rPr>
        <w:t>(2), 197-220.</w:t>
      </w:r>
    </w:p>
    <w:p w14:paraId="5FA4AC14" w14:textId="046369D4"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Meyer, T., &amp; Schmid, M. (2021). </w:t>
      </w:r>
      <w:r w:rsidRPr="001928FA">
        <w:rPr>
          <w:rFonts w:eastAsia="Calibri"/>
          <w:iCs/>
          <w:color w:val="000000"/>
          <w:sz w:val="24"/>
          <w:szCs w:val="24"/>
        </w:rPr>
        <w:t>L</w:t>
      </w:r>
      <w:r w:rsidR="001928FA">
        <w:rPr>
          <w:rFonts w:eastAsia="Calibri"/>
          <w:iCs/>
          <w:color w:val="000000"/>
          <w:sz w:val="24"/>
          <w:szCs w:val="24"/>
        </w:rPr>
        <w:t>’</w:t>
      </w:r>
      <w:r w:rsidRPr="001928FA">
        <w:rPr>
          <w:rFonts w:eastAsia="Calibri"/>
          <w:iCs/>
          <w:color w:val="000000"/>
          <w:sz w:val="24"/>
          <w:szCs w:val="24"/>
        </w:rPr>
        <w:t>impact des formations professionnalisées sur l</w:t>
      </w:r>
      <w:r w:rsidR="001928FA">
        <w:rPr>
          <w:rFonts w:eastAsia="Calibri"/>
          <w:iCs/>
          <w:color w:val="000000"/>
          <w:sz w:val="24"/>
          <w:szCs w:val="24"/>
        </w:rPr>
        <w:t>’</w:t>
      </w:r>
      <w:r w:rsidRPr="001928FA">
        <w:rPr>
          <w:rFonts w:eastAsia="Calibri"/>
          <w:iCs/>
          <w:color w:val="000000"/>
          <w:sz w:val="24"/>
          <w:szCs w:val="24"/>
        </w:rPr>
        <w:t>emploi local : une étude empirique</w:t>
      </w:r>
      <w:r w:rsidRPr="001928FA">
        <w:rPr>
          <w:rFonts w:eastAsia="Calibri"/>
          <w:color w:val="000000"/>
          <w:sz w:val="24"/>
          <w:szCs w:val="24"/>
        </w:rPr>
        <w:t>. </w:t>
      </w:r>
      <w:r w:rsidRPr="001928FA">
        <w:rPr>
          <w:rFonts w:eastAsia="Calibri"/>
          <w:i/>
          <w:iCs/>
          <w:color w:val="000000"/>
          <w:sz w:val="24"/>
          <w:szCs w:val="24"/>
        </w:rPr>
        <w:t>Revue des Politiques Éducatives</w:t>
      </w:r>
      <w:r w:rsidRPr="001928FA">
        <w:rPr>
          <w:rFonts w:eastAsia="Calibri"/>
          <w:color w:val="000000"/>
          <w:sz w:val="24"/>
          <w:szCs w:val="24"/>
        </w:rPr>
        <w:t>.</w:t>
      </w:r>
    </w:p>
    <w:p w14:paraId="4B6A5FBE"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Pires, A., &amp; Ferreira, J. (2021). </w:t>
      </w:r>
      <w:r w:rsidRPr="001928FA">
        <w:rPr>
          <w:rFonts w:eastAsia="Calibri"/>
          <w:iCs/>
          <w:color w:val="000000"/>
          <w:sz w:val="24"/>
          <w:szCs w:val="24"/>
        </w:rPr>
        <w:t>Analyse des besoins en compétences dans les collectivités territoriales</w:t>
      </w:r>
      <w:r w:rsidRPr="001928FA">
        <w:rPr>
          <w:rFonts w:eastAsia="Calibri"/>
          <w:color w:val="000000"/>
          <w:sz w:val="24"/>
          <w:szCs w:val="24"/>
        </w:rPr>
        <w:t>. </w:t>
      </w:r>
      <w:r w:rsidRPr="001928FA">
        <w:rPr>
          <w:rFonts w:eastAsia="Calibri"/>
          <w:i/>
          <w:iCs/>
          <w:color w:val="000000"/>
          <w:sz w:val="24"/>
          <w:szCs w:val="24"/>
        </w:rPr>
        <w:t>Revue des Études Sociales et Économiques</w:t>
      </w:r>
      <w:r w:rsidRPr="001928FA">
        <w:rPr>
          <w:rFonts w:eastAsia="Calibri"/>
          <w:color w:val="000000"/>
          <w:sz w:val="24"/>
          <w:szCs w:val="24"/>
        </w:rPr>
        <w:t>.</w:t>
      </w:r>
    </w:p>
    <w:p w14:paraId="4AE7EC1E"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Ravinet, P. (2019). </w:t>
      </w:r>
      <w:r w:rsidRPr="001928FA">
        <w:rPr>
          <w:rFonts w:eastAsia="Calibri"/>
          <w:iCs/>
          <w:color w:val="000000"/>
          <w:sz w:val="24"/>
          <w:szCs w:val="24"/>
        </w:rPr>
        <w:t>Innovations pédagogiques et développement territorial : une approche critique</w:t>
      </w:r>
      <w:r w:rsidRPr="001928FA">
        <w:rPr>
          <w:rFonts w:eastAsia="Calibri"/>
          <w:color w:val="000000"/>
          <w:sz w:val="24"/>
          <w:szCs w:val="24"/>
        </w:rPr>
        <w:t>. </w:t>
      </w:r>
      <w:r w:rsidRPr="001928FA">
        <w:rPr>
          <w:rFonts w:eastAsia="Calibri"/>
          <w:i/>
          <w:iCs/>
          <w:color w:val="000000"/>
          <w:sz w:val="24"/>
          <w:szCs w:val="24"/>
        </w:rPr>
        <w:t>Revue Française de Pédagogie</w:t>
      </w:r>
      <w:r w:rsidRPr="001928FA">
        <w:rPr>
          <w:rFonts w:eastAsia="Calibri"/>
          <w:color w:val="000000"/>
          <w:sz w:val="24"/>
          <w:szCs w:val="24"/>
        </w:rPr>
        <w:t>.</w:t>
      </w:r>
    </w:p>
    <w:p w14:paraId="3E5A0A8C" w14:textId="77777777" w:rsidR="00D80693" w:rsidRPr="001928FA" w:rsidRDefault="00D80693" w:rsidP="001928FA">
      <w:pPr>
        <w:spacing w:before="120"/>
        <w:ind w:left="993" w:hanging="993"/>
        <w:jc w:val="both"/>
        <w:rPr>
          <w:rFonts w:eastAsia="Calibri"/>
          <w:color w:val="000000"/>
          <w:sz w:val="24"/>
          <w:szCs w:val="24"/>
        </w:rPr>
      </w:pPr>
      <w:r w:rsidRPr="001928FA">
        <w:rPr>
          <w:rFonts w:eastAsia="Calibri"/>
          <w:color w:val="000000"/>
          <w:sz w:val="24"/>
          <w:szCs w:val="24"/>
        </w:rPr>
        <w:t>Wittorski, R. (2008). Professionnalisation et offre de formation en enseignement supérieur. Dans P. Hébrard &amp; C. Solar (</w:t>
      </w:r>
      <w:proofErr w:type="spellStart"/>
      <w:r w:rsidRPr="001928FA">
        <w:rPr>
          <w:rFonts w:eastAsia="Calibri"/>
          <w:color w:val="000000"/>
          <w:sz w:val="24"/>
          <w:szCs w:val="24"/>
        </w:rPr>
        <w:t>dir</w:t>
      </w:r>
      <w:proofErr w:type="spellEnd"/>
      <w:r w:rsidRPr="001928FA">
        <w:rPr>
          <w:rFonts w:eastAsia="Calibri"/>
          <w:color w:val="000000"/>
          <w:sz w:val="24"/>
          <w:szCs w:val="24"/>
        </w:rPr>
        <w:t xml:space="preserve">.), </w:t>
      </w:r>
      <w:r w:rsidRPr="001928FA">
        <w:rPr>
          <w:rFonts w:eastAsia="Calibri"/>
          <w:i/>
          <w:color w:val="000000"/>
          <w:sz w:val="24"/>
          <w:szCs w:val="24"/>
        </w:rPr>
        <w:t>Professionnalisation et formation des adultes : une perspective universitaire France-Québec</w:t>
      </w:r>
      <w:r w:rsidRPr="001928FA">
        <w:rPr>
          <w:rFonts w:eastAsia="Calibri"/>
          <w:color w:val="000000"/>
          <w:sz w:val="24"/>
          <w:szCs w:val="24"/>
        </w:rPr>
        <w:t xml:space="preserve"> (p. 47-70). L'Harmattan.</w:t>
      </w:r>
    </w:p>
    <w:p w14:paraId="1F5379EC" w14:textId="77777777" w:rsidR="00D80693" w:rsidRPr="004C5B95" w:rsidRDefault="00D80693" w:rsidP="001928FA">
      <w:pPr>
        <w:spacing w:before="240"/>
        <w:ind w:left="993" w:hanging="993"/>
        <w:rPr>
          <w:rFonts w:eastAsia="Calibri"/>
          <w:color w:val="000000"/>
          <w:sz w:val="24"/>
          <w:szCs w:val="24"/>
        </w:rPr>
      </w:pPr>
    </w:p>
    <w:p w14:paraId="60791D23" w14:textId="77777777" w:rsidR="00D80693" w:rsidRPr="004C5B95" w:rsidRDefault="00D80693" w:rsidP="001928FA">
      <w:pPr>
        <w:spacing w:before="240"/>
        <w:ind w:left="993" w:hanging="993"/>
        <w:rPr>
          <w:rFonts w:eastAsia="Calibri"/>
          <w:color w:val="000000"/>
          <w:sz w:val="24"/>
          <w:szCs w:val="24"/>
        </w:rPr>
        <w:sectPr w:rsidR="00D80693" w:rsidRPr="004C5B95" w:rsidSect="00735D3E">
          <w:headerReference w:type="default" r:id="rId175"/>
          <w:footerReference w:type="default" r:id="rId176"/>
          <w:pgSz w:w="11906" w:h="16838"/>
          <w:pgMar w:top="1417" w:right="1417" w:bottom="1276" w:left="1417" w:header="568" w:footer="708" w:gutter="0"/>
          <w:cols w:space="708"/>
          <w:docGrid w:linePitch="360"/>
        </w:sectPr>
      </w:pPr>
    </w:p>
    <w:p w14:paraId="215FAFB8" w14:textId="065E5665" w:rsidR="00D80693" w:rsidRPr="001928FA" w:rsidRDefault="001928FA" w:rsidP="001928FA">
      <w:pPr>
        <w:pStyle w:val="Titre1"/>
        <w:spacing w:before="120"/>
        <w:ind w:left="164"/>
        <w:rPr>
          <w:rFonts w:eastAsia="Calibri"/>
          <w:i/>
          <w:iCs/>
        </w:rPr>
      </w:pPr>
      <w:bookmarkStart w:id="356" w:name="_Toc219272594"/>
      <w:r w:rsidRPr="001928FA">
        <w:rPr>
          <w:rFonts w:eastAsia="Calibri"/>
          <w:i/>
          <w:iCs/>
        </w:rPr>
        <w:t xml:space="preserve">Perceptions de l’évaluation et leur influence sur l’engagement à l’apprentissage : cas des élèves de l’enseignement secondaire général de la Direction Régionale de l’Education Nationale et de l’Alphabétisation </w:t>
      </w:r>
      <w:r w:rsidR="00D80693" w:rsidRPr="001928FA">
        <w:rPr>
          <w:rFonts w:eastAsia="Calibri"/>
          <w:i/>
          <w:iCs/>
        </w:rPr>
        <w:t xml:space="preserve">(DRENA) 2 </w:t>
      </w:r>
      <w:r w:rsidRPr="001928FA">
        <w:rPr>
          <w:rFonts w:eastAsia="Calibri"/>
          <w:i/>
          <w:iCs/>
        </w:rPr>
        <w:t>d’Abidjan</w:t>
      </w:r>
      <w:bookmarkEnd w:id="356"/>
    </w:p>
    <w:p w14:paraId="72A389D8" w14:textId="77777777" w:rsidR="00D80693" w:rsidRPr="001928FA" w:rsidRDefault="00D80693" w:rsidP="001928FA">
      <w:pPr>
        <w:pStyle w:val="Titre1"/>
        <w:spacing w:before="120"/>
        <w:ind w:left="164"/>
        <w:rPr>
          <w:rFonts w:eastAsia="Calibri"/>
        </w:rPr>
      </w:pPr>
      <w:bookmarkStart w:id="357" w:name="_Toc219272595"/>
      <w:r w:rsidRPr="001928FA">
        <w:rPr>
          <w:rFonts w:eastAsia="Calibri"/>
        </w:rPr>
        <w:t xml:space="preserve">FLODO Kouassi Athanase, </w:t>
      </w:r>
      <w:r w:rsidRPr="001928FA">
        <w:rPr>
          <w14:ligatures w14:val="standardContextual"/>
        </w:rPr>
        <w:t xml:space="preserve">TANON </w:t>
      </w:r>
      <w:proofErr w:type="spellStart"/>
      <w:r w:rsidRPr="001928FA">
        <w:rPr>
          <w14:ligatures w14:val="standardContextual"/>
        </w:rPr>
        <w:t>Eben-Ezer</w:t>
      </w:r>
      <w:proofErr w:type="spellEnd"/>
      <w:r w:rsidRPr="001928FA">
        <w:rPr>
          <w14:ligatures w14:val="standardContextual"/>
        </w:rPr>
        <w:t xml:space="preserve"> Kouamé</w:t>
      </w:r>
      <w:bookmarkEnd w:id="357"/>
    </w:p>
    <w:p w14:paraId="06EC161D" w14:textId="77777777" w:rsidR="00D80693" w:rsidRPr="008240D2" w:rsidRDefault="00D80693" w:rsidP="00D80693">
      <w:pPr>
        <w:spacing w:line="276" w:lineRule="auto"/>
        <w:rPr>
          <w:rFonts w:eastAsia="Calibri"/>
          <w:sz w:val="24"/>
          <w:szCs w:val="24"/>
        </w:rPr>
      </w:pPr>
      <w:r>
        <w:rPr>
          <w:rFonts w:ascii="Calibri" w:eastAsia="Calibri" w:hAnsi="Calibri" w:cstheme="minorBidi"/>
        </w:rPr>
        <w:t xml:space="preserve">                                                                 </w:t>
      </w:r>
    </w:p>
    <w:p w14:paraId="2A1906B7" w14:textId="77777777" w:rsidR="00D80693" w:rsidRDefault="00D80693" w:rsidP="00D80693">
      <w:pPr>
        <w:spacing w:line="276" w:lineRule="auto"/>
        <w:rPr>
          <w:rFonts w:eastAsia="Calibri"/>
          <w:b/>
          <w:bCs/>
          <w:sz w:val="24"/>
          <w:szCs w:val="24"/>
        </w:rPr>
      </w:pPr>
      <w:r w:rsidRPr="001D6D3F">
        <w:rPr>
          <w:rFonts w:eastAsia="Calibri"/>
          <w:b/>
          <w:bCs/>
          <w:sz w:val="24"/>
          <w:szCs w:val="24"/>
        </w:rPr>
        <w:t>Résum</w:t>
      </w:r>
      <w:r>
        <w:rPr>
          <w:rFonts w:eastAsia="Calibri"/>
          <w:b/>
          <w:bCs/>
          <w:sz w:val="24"/>
          <w:szCs w:val="24"/>
        </w:rPr>
        <w:t>é</w:t>
      </w:r>
    </w:p>
    <w:p w14:paraId="1D236C74" w14:textId="77777777" w:rsidR="00D80693" w:rsidRPr="00471757" w:rsidRDefault="00D80693" w:rsidP="00D80693">
      <w:pPr>
        <w:jc w:val="both"/>
        <w:rPr>
          <w:rFonts w:eastAsia="Calibri"/>
          <w:sz w:val="24"/>
          <w:szCs w:val="24"/>
        </w:rPr>
      </w:pPr>
      <w:bookmarkStart w:id="358" w:name="_Hlk192862248"/>
      <w:r>
        <w:rPr>
          <w:rFonts w:eastAsia="Calibri"/>
          <w:sz w:val="24"/>
          <w:szCs w:val="24"/>
        </w:rPr>
        <w:t>L</w:t>
      </w:r>
      <w:r w:rsidRPr="00FC6DC5">
        <w:rPr>
          <w:rFonts w:eastAsia="Calibri"/>
          <w:sz w:val="24"/>
          <w:szCs w:val="24"/>
        </w:rPr>
        <w:t xml:space="preserve">’évaluation des apprentissages </w:t>
      </w:r>
      <w:r>
        <w:rPr>
          <w:rFonts w:eastAsia="Calibri"/>
          <w:sz w:val="24"/>
          <w:szCs w:val="24"/>
        </w:rPr>
        <w:t>est</w:t>
      </w:r>
      <w:r w:rsidRPr="00FC6DC5">
        <w:rPr>
          <w:rFonts w:eastAsia="Calibri"/>
          <w:sz w:val="24"/>
          <w:szCs w:val="24"/>
        </w:rPr>
        <w:t xml:space="preserve"> l’un des principaux facteurs qui influencent la progression des apprenants. </w:t>
      </w:r>
      <w:r w:rsidRPr="00462525">
        <w:rPr>
          <w:rFonts w:eastAsia="Calibri"/>
          <w:sz w:val="24"/>
          <w:szCs w:val="24"/>
        </w:rPr>
        <w:t xml:space="preserve">Toutefois, </w:t>
      </w:r>
      <w:r>
        <w:rPr>
          <w:rFonts w:eastAsia="Calibri"/>
          <w:sz w:val="24"/>
          <w:szCs w:val="24"/>
        </w:rPr>
        <w:t>pour</w:t>
      </w:r>
      <w:r w:rsidRPr="00462525">
        <w:rPr>
          <w:rFonts w:eastAsia="Calibri"/>
          <w:sz w:val="24"/>
          <w:szCs w:val="24"/>
        </w:rPr>
        <w:t xml:space="preserve"> de nombreux chercheur</w:t>
      </w:r>
      <w:r>
        <w:rPr>
          <w:rFonts w:eastAsia="Calibri"/>
          <w:sz w:val="24"/>
          <w:szCs w:val="24"/>
        </w:rPr>
        <w:t>s</w:t>
      </w:r>
      <w:r w:rsidRPr="00462525">
        <w:rPr>
          <w:rFonts w:eastAsia="Calibri"/>
          <w:sz w:val="24"/>
          <w:szCs w:val="24"/>
        </w:rPr>
        <w:t xml:space="preserve">, </w:t>
      </w:r>
      <w:r>
        <w:rPr>
          <w:rFonts w:eastAsia="Calibri"/>
          <w:sz w:val="24"/>
          <w:szCs w:val="24"/>
        </w:rPr>
        <w:t>elle</w:t>
      </w:r>
      <w:r w:rsidRPr="00462525">
        <w:rPr>
          <w:rFonts w:eastAsia="Calibri"/>
          <w:sz w:val="24"/>
          <w:szCs w:val="24"/>
        </w:rPr>
        <w:t xml:space="preserve"> n’est pas très bien perçue par les enseignants et les élèves. </w:t>
      </w:r>
      <w:r>
        <w:rPr>
          <w:rFonts w:eastAsia="Calibri" w:cstheme="minorBidi"/>
          <w:sz w:val="24"/>
          <w:szCs w:val="24"/>
        </w:rPr>
        <w:t>La présente étude</w:t>
      </w:r>
      <w:r w:rsidRPr="00AC28D4">
        <w:rPr>
          <w:rFonts w:eastAsia="Calibri" w:cstheme="minorBidi"/>
          <w:sz w:val="24"/>
          <w:szCs w:val="24"/>
        </w:rPr>
        <w:t xml:space="preserve"> analyse les perceptions de l’évaluation chez les élèves du secondaire général et leur impact sur l</w:t>
      </w:r>
      <w:r>
        <w:rPr>
          <w:rFonts w:eastAsia="Calibri" w:cstheme="minorBidi"/>
          <w:sz w:val="24"/>
          <w:szCs w:val="24"/>
        </w:rPr>
        <w:t xml:space="preserve">eur </w:t>
      </w:r>
      <w:r w:rsidRPr="00AC28D4">
        <w:rPr>
          <w:rFonts w:eastAsia="Calibri" w:cstheme="minorBidi"/>
          <w:sz w:val="24"/>
          <w:szCs w:val="24"/>
        </w:rPr>
        <w:t>engagement à l’apprentissage</w:t>
      </w:r>
      <w:r w:rsidRPr="00D904BD">
        <w:rPr>
          <w:rFonts w:eastAsia="Calibri" w:cstheme="minorBidi"/>
          <w:sz w:val="24"/>
          <w:szCs w:val="24"/>
        </w:rPr>
        <w:t>.</w:t>
      </w:r>
      <w:r w:rsidRPr="00AC28D4">
        <w:rPr>
          <w:rFonts w:eastAsia="Calibri" w:cstheme="minorBidi"/>
          <w:sz w:val="24"/>
          <w:szCs w:val="24"/>
        </w:rPr>
        <w:t xml:space="preserve"> </w:t>
      </w:r>
      <w:r w:rsidRPr="00BF46AC">
        <w:rPr>
          <w:rFonts w:eastAsia="Calibri" w:cstheme="minorBidi"/>
          <w:sz w:val="24"/>
          <w:szCs w:val="24"/>
        </w:rPr>
        <w:t xml:space="preserve">Pour </w:t>
      </w:r>
      <w:r>
        <w:rPr>
          <w:rFonts w:eastAsia="Calibri" w:cstheme="minorBidi"/>
          <w:sz w:val="24"/>
          <w:szCs w:val="24"/>
        </w:rPr>
        <w:t>ce faire</w:t>
      </w:r>
      <w:r w:rsidRPr="00BF46AC">
        <w:rPr>
          <w:rFonts w:eastAsia="Calibri" w:cstheme="minorBidi"/>
          <w:sz w:val="24"/>
          <w:szCs w:val="24"/>
        </w:rPr>
        <w:t xml:space="preserve">, une enquête quantitative a été menée auprès de </w:t>
      </w:r>
      <w:r w:rsidRPr="001D6D3F">
        <w:rPr>
          <w:rFonts w:eastAsia="Calibri" w:cstheme="minorBidi"/>
          <w:sz w:val="24"/>
          <w:szCs w:val="24"/>
        </w:rPr>
        <w:t>500</w:t>
      </w:r>
      <w:r w:rsidRPr="00957686">
        <w:rPr>
          <w:rFonts w:eastAsia="Calibri" w:cstheme="minorBidi"/>
          <w:sz w:val="24"/>
          <w:szCs w:val="24"/>
        </w:rPr>
        <w:t xml:space="preserve"> </w:t>
      </w:r>
      <w:r>
        <w:rPr>
          <w:rFonts w:eastAsia="Calibri" w:cstheme="minorBidi"/>
          <w:sz w:val="24"/>
          <w:szCs w:val="24"/>
        </w:rPr>
        <w:t>élèves de 5 lycées à Abidjan</w:t>
      </w:r>
      <w:r w:rsidRPr="00BF46AC">
        <w:rPr>
          <w:rFonts w:eastAsia="Calibri" w:cstheme="minorBidi"/>
          <w:sz w:val="24"/>
          <w:szCs w:val="24"/>
        </w:rPr>
        <w:t xml:space="preserve">. </w:t>
      </w:r>
      <w:r>
        <w:rPr>
          <w:rFonts w:eastAsia="Calibri" w:cstheme="minorBidi"/>
          <w:sz w:val="24"/>
          <w:szCs w:val="24"/>
        </w:rPr>
        <w:t xml:space="preserve">Les résultats montrent que les élèves sont généralement conscients de l’importance de l’évaluation </w:t>
      </w:r>
      <w:r w:rsidRPr="00B12110">
        <w:rPr>
          <w:rFonts w:eastAsia="Calibri" w:cstheme="minorBidi"/>
          <w:sz w:val="24"/>
          <w:szCs w:val="24"/>
        </w:rPr>
        <w:t xml:space="preserve">et </w:t>
      </w:r>
      <w:r w:rsidRPr="00B12110">
        <w:rPr>
          <w:rFonts w:cstheme="minorBidi"/>
          <w:sz w:val="24"/>
          <w:szCs w:val="24"/>
        </w:rPr>
        <w:t xml:space="preserve">qu’il existe des liens entre </w:t>
      </w:r>
      <w:r w:rsidRPr="00B12110">
        <w:rPr>
          <w:rFonts w:eastAsia="Calibri"/>
          <w:bCs/>
          <w:sz w:val="24"/>
          <w:szCs w:val="24"/>
        </w:rPr>
        <w:t xml:space="preserve">leurs perceptions à l’égard de l’évaluation </w:t>
      </w:r>
      <w:r w:rsidRPr="00B12110">
        <w:rPr>
          <w:rFonts w:eastAsia="Calibri"/>
          <w:sz w:val="24"/>
          <w:szCs w:val="24"/>
        </w:rPr>
        <w:t xml:space="preserve">et leur engagement à l’apprentissage. </w:t>
      </w:r>
      <w:r>
        <w:rPr>
          <w:rFonts w:eastAsia="Calibri"/>
          <w:sz w:val="24"/>
          <w:szCs w:val="24"/>
        </w:rPr>
        <w:t xml:space="preserve">Les enseignants doivent aider les apprenants à construire leur confiance dans l’évaluation de sorte que </w:t>
      </w:r>
      <w:r w:rsidRPr="008240D2">
        <w:rPr>
          <w:rFonts w:eastAsia="Calibri"/>
          <w:sz w:val="24"/>
          <w:szCs w:val="24"/>
        </w:rPr>
        <w:t>les erreurs</w:t>
      </w:r>
      <w:r>
        <w:rPr>
          <w:rFonts w:eastAsia="Calibri"/>
          <w:sz w:val="24"/>
          <w:szCs w:val="24"/>
        </w:rPr>
        <w:t xml:space="preserve"> où les mauvais résultats aient toute leur place et qu’ils soient perçus non comme des échecs mais des appels à l’aide de l’apprenant. </w:t>
      </w:r>
    </w:p>
    <w:p w14:paraId="73046D0A" w14:textId="77777777" w:rsidR="00D80693" w:rsidRPr="00BB1B5D" w:rsidRDefault="00D80693" w:rsidP="00D80693">
      <w:pPr>
        <w:ind w:firstLine="567"/>
        <w:jc w:val="both"/>
        <w:rPr>
          <w:rFonts w:eastAsia="Calibri"/>
          <w:sz w:val="12"/>
          <w:szCs w:val="12"/>
        </w:rPr>
      </w:pPr>
    </w:p>
    <w:p w14:paraId="0BD7FCBE" w14:textId="77777777" w:rsidR="00D80693" w:rsidRPr="000B28D6" w:rsidRDefault="00D80693" w:rsidP="001928FA">
      <w:pPr>
        <w:jc w:val="both"/>
        <w:rPr>
          <w:rFonts w:eastAsia="Calibri"/>
          <w:sz w:val="24"/>
          <w:szCs w:val="24"/>
        </w:rPr>
      </w:pPr>
      <w:r w:rsidRPr="00E9727A">
        <w:rPr>
          <w:rFonts w:eastAsia="Calibri" w:cstheme="minorBidi"/>
          <w:b/>
          <w:sz w:val="24"/>
          <w:szCs w:val="24"/>
        </w:rPr>
        <w:t>Mots-clés</w:t>
      </w:r>
      <w:r w:rsidRPr="00E9727A">
        <w:rPr>
          <w:rFonts w:eastAsia="Calibri" w:cstheme="minorBidi"/>
          <w:sz w:val="24"/>
          <w:szCs w:val="24"/>
        </w:rPr>
        <w:t xml:space="preserve"> : </w:t>
      </w:r>
      <w:r>
        <w:rPr>
          <w:rFonts w:eastAsia="Calibri" w:cstheme="minorBidi"/>
          <w:sz w:val="24"/>
          <w:szCs w:val="24"/>
        </w:rPr>
        <w:t>Evaluation, perception, engagement, apprentissage, Abidjan.</w:t>
      </w:r>
    </w:p>
    <w:bookmarkEnd w:id="358"/>
    <w:p w14:paraId="7807ABE8" w14:textId="77777777" w:rsidR="00D80693" w:rsidRPr="00E9727A" w:rsidRDefault="00D80693" w:rsidP="00D80693">
      <w:pPr>
        <w:spacing w:line="276" w:lineRule="auto"/>
        <w:rPr>
          <w:rFonts w:eastAsia="Calibri"/>
          <w:sz w:val="8"/>
          <w:szCs w:val="8"/>
        </w:rPr>
      </w:pPr>
    </w:p>
    <w:p w14:paraId="595AEDE6" w14:textId="77777777" w:rsidR="00D80693" w:rsidRPr="004C607D" w:rsidRDefault="00D80693" w:rsidP="001928FA">
      <w:pPr>
        <w:spacing w:line="276" w:lineRule="auto"/>
        <w:rPr>
          <w:rFonts w:eastAsia="Calibri"/>
          <w:b/>
          <w:bCs/>
          <w:sz w:val="24"/>
          <w:szCs w:val="24"/>
          <w:lang w:val="en-US"/>
        </w:rPr>
      </w:pPr>
      <w:r w:rsidRPr="004C607D">
        <w:rPr>
          <w:rFonts w:eastAsia="Calibri"/>
          <w:b/>
          <w:bCs/>
          <w:sz w:val="24"/>
          <w:szCs w:val="24"/>
          <w:lang w:val="en-US"/>
        </w:rPr>
        <w:t>Abstract</w:t>
      </w:r>
    </w:p>
    <w:p w14:paraId="10656BE5" w14:textId="77777777" w:rsidR="00D80693" w:rsidRPr="00BB1B5D" w:rsidRDefault="00D80693" w:rsidP="00D80693">
      <w:pPr>
        <w:ind w:firstLine="567"/>
        <w:jc w:val="both"/>
        <w:rPr>
          <w:rFonts w:eastAsia="Calibri"/>
          <w:sz w:val="12"/>
          <w:szCs w:val="12"/>
          <w:lang w:val="en-US"/>
        </w:rPr>
      </w:pPr>
    </w:p>
    <w:p w14:paraId="0CDCECFE" w14:textId="77777777" w:rsidR="00D80693" w:rsidRDefault="00D80693" w:rsidP="001928FA">
      <w:pPr>
        <w:jc w:val="both"/>
        <w:rPr>
          <w:rFonts w:eastAsia="Calibri" w:cstheme="minorBidi"/>
          <w:color w:val="000000"/>
          <w:sz w:val="24"/>
          <w:szCs w:val="24"/>
          <w:lang w:val="en-US"/>
        </w:rPr>
      </w:pPr>
      <w:r w:rsidRPr="00BA15EC">
        <w:rPr>
          <w:rFonts w:eastAsia="Calibri" w:cstheme="minorBidi"/>
          <w:color w:val="000000"/>
          <w:sz w:val="24"/>
          <w:szCs w:val="24"/>
          <w:lang w:val="en-US"/>
        </w:rPr>
        <w:t>Learning assessment is one of the main factors influencing learner progress. However, many researchers believe it is poorly perceived by both teachers and students. This study analyzes the perceptions of assessment among general secondary school students and its impact on their engagement in learning. To do this, a quantitative survey was conducted among 500 students from five high schools in Abidjan. The results show that students are generally aware of the importance of assessment and that there are links between their perceptions of assessment and their engagement in learning. Teachers must help learners build their confidence in assessment so that mistakes or poor results are properly addressed and are perceived not as failures but as calls for help from the learner.</w:t>
      </w:r>
    </w:p>
    <w:p w14:paraId="3EF029FB" w14:textId="77777777" w:rsidR="001928FA" w:rsidRPr="00BA15EC" w:rsidRDefault="001928FA" w:rsidP="001928FA">
      <w:pPr>
        <w:jc w:val="both"/>
        <w:rPr>
          <w:rFonts w:eastAsia="Calibri"/>
          <w:color w:val="000000"/>
          <w:sz w:val="24"/>
          <w:szCs w:val="24"/>
          <w:lang w:val="en-US"/>
        </w:rPr>
      </w:pPr>
    </w:p>
    <w:p w14:paraId="4C9FA189" w14:textId="789958E6" w:rsidR="00D80693" w:rsidRPr="00BA15EC" w:rsidRDefault="00D80693" w:rsidP="001928FA">
      <w:pPr>
        <w:jc w:val="both"/>
        <w:rPr>
          <w:rFonts w:eastAsia="Calibri"/>
          <w:color w:val="000000"/>
          <w:sz w:val="24"/>
          <w:szCs w:val="24"/>
          <w:lang w:val="en-US"/>
        </w:rPr>
      </w:pPr>
      <w:r w:rsidRPr="001928FA">
        <w:rPr>
          <w:rFonts w:eastAsia="Calibri" w:cstheme="minorBidi"/>
          <w:b/>
          <w:bCs/>
          <w:color w:val="000000"/>
          <w:sz w:val="24"/>
          <w:szCs w:val="24"/>
          <w:lang w:val="en-US"/>
        </w:rPr>
        <w:t>Keywords:</w:t>
      </w:r>
      <w:r w:rsidRPr="00BA15EC">
        <w:rPr>
          <w:rFonts w:eastAsia="Calibri" w:cstheme="minorBidi"/>
          <w:color w:val="000000"/>
          <w:sz w:val="24"/>
          <w:szCs w:val="24"/>
          <w:lang w:val="en-US"/>
        </w:rPr>
        <w:t xml:space="preserve"> Assessment, perception, engagement, learning, Abidjan.</w:t>
      </w:r>
    </w:p>
    <w:p w14:paraId="4BD92D38" w14:textId="77777777" w:rsidR="001928FA" w:rsidRDefault="001928FA">
      <w:pPr>
        <w:rPr>
          <w:rFonts w:eastAsia="Calibri"/>
          <w:b/>
          <w:bCs/>
          <w:sz w:val="28"/>
          <w:szCs w:val="28"/>
        </w:rPr>
      </w:pPr>
      <w:r>
        <w:rPr>
          <w:rFonts w:eastAsia="Calibri"/>
          <w:b/>
          <w:bCs/>
          <w:sz w:val="28"/>
          <w:szCs w:val="28"/>
        </w:rPr>
        <w:br w:type="page"/>
      </w:r>
    </w:p>
    <w:p w14:paraId="2304DAA4" w14:textId="1E876923" w:rsidR="00D80693" w:rsidRPr="00856FC3" w:rsidRDefault="00D80693" w:rsidP="001928FA">
      <w:pPr>
        <w:pStyle w:val="Paragraphedeliste"/>
        <w:spacing w:line="276" w:lineRule="auto"/>
        <w:ind w:left="567"/>
        <w:rPr>
          <w:rFonts w:eastAsia="Calibri"/>
          <w:b/>
          <w:bCs/>
          <w:sz w:val="28"/>
          <w:szCs w:val="28"/>
        </w:rPr>
      </w:pPr>
      <w:r w:rsidRPr="00856FC3">
        <w:rPr>
          <w:rFonts w:eastAsia="Calibri"/>
          <w:b/>
          <w:bCs/>
          <w:sz w:val="28"/>
          <w:szCs w:val="28"/>
        </w:rPr>
        <w:t>Introduction</w:t>
      </w:r>
    </w:p>
    <w:p w14:paraId="0C447F34" w14:textId="77777777" w:rsidR="00D80693" w:rsidRPr="00BB1B5D" w:rsidRDefault="00D80693" w:rsidP="00D80693">
      <w:pPr>
        <w:spacing w:line="276" w:lineRule="auto"/>
        <w:jc w:val="both"/>
        <w:rPr>
          <w:rFonts w:eastAsia="Calibri"/>
          <w:sz w:val="2"/>
          <w:szCs w:val="2"/>
        </w:rPr>
      </w:pPr>
    </w:p>
    <w:p w14:paraId="3AD09527" w14:textId="77777777" w:rsidR="00D80693" w:rsidRPr="008240D2" w:rsidRDefault="00D80693" w:rsidP="001928FA">
      <w:pPr>
        <w:spacing w:before="120"/>
        <w:jc w:val="both"/>
        <w:rPr>
          <w:rFonts w:eastAsia="Calibri"/>
          <w:sz w:val="24"/>
          <w:szCs w:val="24"/>
        </w:rPr>
      </w:pPr>
      <w:r w:rsidRPr="008240D2">
        <w:rPr>
          <w:rFonts w:eastAsia="Calibri"/>
          <w:sz w:val="24"/>
          <w:szCs w:val="24"/>
        </w:rPr>
        <w:t>Depuis trois décennies, la qualité de l</w:t>
      </w:r>
      <w:r>
        <w:rPr>
          <w:rFonts w:eastAsia="Calibri"/>
          <w:sz w:val="24"/>
          <w:szCs w:val="24"/>
        </w:rPr>
        <w:t>’</w:t>
      </w:r>
      <w:r w:rsidRPr="008240D2">
        <w:rPr>
          <w:rFonts w:eastAsia="Calibri"/>
          <w:sz w:val="24"/>
          <w:szCs w:val="24"/>
        </w:rPr>
        <w:t xml:space="preserve">éducation reste une préoccupation majeure pour les chercheurs et décideurs du monde de l’éducation. En 1990, à la conférence mondiale sur l’Education Pour Tous (EPT) à Jomtien (Thaïlande), l’insuffisance qualitative de l’éducation avait été relevée de façon générale et une interpellation fut faite pour son amélioration en vue du renforcement du développement cognitif des enfants. Une décennie plus tard, au forum de Dakar en 2000, la question du développement qualitatif de l’éducation a été davantage soulignée. Elle résulte certainement du constat que la mise en œuvre de l’EPT a accru les taux de scolarisation dans les pays et entraîné parallèlement des risques sur le plan de la qualité de l’éducation surtout que, dans la plupart des pays en Afrique subsaharienne, l’environnement scolaire reste très pauvre et caractérisé par des déficits de tous genres (structures d’accueil, matériels didactiques, mobiliers, …) et, tout aussi, en termes de qualité des pratiques et de formation des personnels enseignants. De ce fait, la conférence a matérialisé cette nécessité au travers de l’objectif 6 qui appelle à « améliorer sous tous ses aspects la qualité de l’éducation dans un souci d’excellence, de façon à obtenir des résultats d’apprentissage reconnus et quantifiables ». </w:t>
      </w:r>
    </w:p>
    <w:p w14:paraId="6EF6D9E6" w14:textId="77777777" w:rsidR="00D80693" w:rsidRDefault="00D80693" w:rsidP="001928FA">
      <w:pPr>
        <w:spacing w:before="120"/>
        <w:jc w:val="both"/>
        <w:rPr>
          <w:rFonts w:eastAsia="Calibri"/>
          <w:sz w:val="24"/>
          <w:szCs w:val="24"/>
        </w:rPr>
      </w:pPr>
      <w:r w:rsidRPr="008240D2">
        <w:rPr>
          <w:rFonts w:eastAsia="Calibri"/>
          <w:sz w:val="24"/>
          <w:szCs w:val="24"/>
        </w:rPr>
        <w:t xml:space="preserve">En côte d’Ivoire, les conclusions de rapports internationaux et nationaux révèlent « de faibles niveaux de performance, quel que </w:t>
      </w:r>
      <w:r w:rsidRPr="00FC6DC5">
        <w:rPr>
          <w:rFonts w:eastAsia="Calibri"/>
          <w:sz w:val="24"/>
          <w:szCs w:val="24"/>
        </w:rPr>
        <w:t>soit le niveau de scolarisation » (PASEC, 2012 : 57) et indiquent que « la majorité des élèves n’acquiert pas les connaissances fondamentales » (MENETFP &amp; MESRS-C.I. (2017)</w:t>
      </w:r>
      <w:r>
        <w:rPr>
          <w:rFonts w:eastAsia="Calibri"/>
          <w:sz w:val="24"/>
          <w:szCs w:val="24"/>
        </w:rPr>
        <w:t>)</w:t>
      </w:r>
      <w:r w:rsidRPr="00FC6DC5">
        <w:rPr>
          <w:rFonts w:eastAsia="Calibri"/>
          <w:sz w:val="24"/>
          <w:szCs w:val="24"/>
        </w:rPr>
        <w:t xml:space="preserve">. De ce fait, la réflexion s’impose sur les déterminants du faible niveau d’acquisition des apprenants. Le présent travail oriente la réflexion vers l’évaluation des apprentissages qui reste l’un des principaux facteurs </w:t>
      </w:r>
      <w:r>
        <w:rPr>
          <w:rFonts w:eastAsia="Calibri"/>
          <w:sz w:val="24"/>
          <w:szCs w:val="24"/>
        </w:rPr>
        <w:t>exerçant une</w:t>
      </w:r>
      <w:r w:rsidRPr="00FC6DC5">
        <w:rPr>
          <w:rFonts w:eastAsia="Calibri"/>
          <w:sz w:val="24"/>
          <w:szCs w:val="24"/>
        </w:rPr>
        <w:t xml:space="preserve"> influenc</w:t>
      </w:r>
      <w:r>
        <w:rPr>
          <w:rFonts w:eastAsia="Calibri"/>
          <w:sz w:val="24"/>
          <w:szCs w:val="24"/>
        </w:rPr>
        <w:t>e notable sur</w:t>
      </w:r>
      <w:r w:rsidRPr="00FC6DC5">
        <w:rPr>
          <w:rFonts w:eastAsia="Calibri"/>
          <w:sz w:val="24"/>
          <w:szCs w:val="24"/>
        </w:rPr>
        <w:t xml:space="preserve"> la progression des apprenants. A cet effet, Stiggins (2010) affirme</w:t>
      </w:r>
      <w:r w:rsidRPr="008240D2">
        <w:rPr>
          <w:rFonts w:eastAsia="Calibri"/>
          <w:sz w:val="24"/>
          <w:szCs w:val="24"/>
        </w:rPr>
        <w:t xml:space="preserve"> </w:t>
      </w:r>
      <w:r w:rsidRPr="00704632">
        <w:rPr>
          <w:rFonts w:eastAsia="Calibri"/>
          <w:sz w:val="24"/>
          <w:szCs w:val="24"/>
        </w:rPr>
        <w:t xml:space="preserve">que le succès et la qualité d’une formation dépendent en grande partie de la qualité de l’évaluation. De leur côté, Allal &amp; Mottier Lopez (2005) et Morrissette (2010), perçoivent l’évaluation </w:t>
      </w:r>
      <w:r w:rsidRPr="00462525">
        <w:rPr>
          <w:rFonts w:eastAsia="Calibri"/>
          <w:sz w:val="24"/>
          <w:szCs w:val="24"/>
        </w:rPr>
        <w:t>comme un moyen quasi incontournable qui regorge d’un fort potentiel pour la progression des apprenants. Toutefois, de l’avis de nombreux chercheurs (Dessus et Lemaire, 2004 ; Van der Maren et Loye</w:t>
      </w:r>
      <w:r>
        <w:rPr>
          <w:rFonts w:eastAsia="Calibri"/>
          <w:sz w:val="24"/>
          <w:szCs w:val="24"/>
        </w:rPr>
        <w:t>,</w:t>
      </w:r>
      <w:r w:rsidRPr="00462525">
        <w:rPr>
          <w:rFonts w:eastAsia="Calibri"/>
          <w:sz w:val="24"/>
          <w:szCs w:val="24"/>
        </w:rPr>
        <w:t xml:space="preserve"> 2010), l’évaluation n’est pas très bien perçue par les premiers acteurs du processus enseignement-apprentissage que sont les enseignants et les élèves. Or, ces perceptions restent </w:t>
      </w:r>
      <w:r>
        <w:rPr>
          <w:rFonts w:eastAsia="Calibri"/>
          <w:sz w:val="24"/>
          <w:szCs w:val="24"/>
        </w:rPr>
        <w:t>en mesure</w:t>
      </w:r>
      <w:r w:rsidRPr="00462525">
        <w:rPr>
          <w:rFonts w:eastAsia="Calibri"/>
          <w:sz w:val="24"/>
          <w:szCs w:val="24"/>
        </w:rPr>
        <w:t xml:space="preserve"> d’influencer</w:t>
      </w:r>
      <w:r w:rsidRPr="00704632">
        <w:rPr>
          <w:rFonts w:eastAsia="Calibri"/>
          <w:sz w:val="24"/>
          <w:szCs w:val="24"/>
        </w:rPr>
        <w:t xml:space="preserve"> la motivation des apprenants à l’apprentissage. Les travaux de Crooks </w:t>
      </w:r>
      <w:r>
        <w:rPr>
          <w:rFonts w:eastAsia="Calibri"/>
          <w:sz w:val="24"/>
          <w:szCs w:val="24"/>
        </w:rPr>
        <w:t>(</w:t>
      </w:r>
      <w:r w:rsidRPr="00704632">
        <w:rPr>
          <w:rFonts w:eastAsia="Calibri"/>
          <w:sz w:val="24"/>
          <w:szCs w:val="24"/>
        </w:rPr>
        <w:t>1988</w:t>
      </w:r>
      <w:r>
        <w:rPr>
          <w:rFonts w:eastAsia="Calibri"/>
          <w:sz w:val="24"/>
          <w:szCs w:val="24"/>
        </w:rPr>
        <w:t>)</w:t>
      </w:r>
      <w:r w:rsidRPr="00704632">
        <w:rPr>
          <w:rFonts w:eastAsia="Calibri"/>
          <w:sz w:val="24"/>
          <w:szCs w:val="24"/>
        </w:rPr>
        <w:t xml:space="preserve"> montrent bien l’influence de l’évaluation sur l’engagement des élèves dans l’apprentissage, celle-ci </w:t>
      </w:r>
      <w:r w:rsidRPr="00704632">
        <w:rPr>
          <w:rFonts w:eastAsia="Calibri"/>
          <w:i/>
          <w:sz w:val="24"/>
          <w:szCs w:val="24"/>
        </w:rPr>
        <w:t>« guide leur jugement sur ce qu’il est important d’apprendre, affecte leur motivation et leurs</w:t>
      </w:r>
      <w:r w:rsidRPr="008240D2">
        <w:rPr>
          <w:rFonts w:eastAsia="Calibri"/>
          <w:i/>
          <w:sz w:val="24"/>
          <w:szCs w:val="24"/>
        </w:rPr>
        <w:t xml:space="preserve"> représentations en matière de compétence, structure leur organisation en termes de travail personnel, renforce leurs apprentissages et impacte durablement le développement d’aptitudes et de stratégies d’apprentissage »</w:t>
      </w:r>
      <w:r w:rsidRPr="008240D2">
        <w:rPr>
          <w:rFonts w:eastAsia="Calibri"/>
          <w:sz w:val="24"/>
          <w:szCs w:val="24"/>
        </w:rPr>
        <w:t>. De ce qui précède, la question suivante se pose : les perceptions de l’évaluation chez les élèves de la DRENA</w:t>
      </w:r>
      <w:r>
        <w:rPr>
          <w:rFonts w:eastAsia="Calibri"/>
          <w:sz w:val="24"/>
          <w:szCs w:val="24"/>
        </w:rPr>
        <w:t xml:space="preserve"> </w:t>
      </w:r>
      <w:r w:rsidRPr="008240D2">
        <w:rPr>
          <w:rFonts w:eastAsia="Calibri"/>
          <w:sz w:val="24"/>
          <w:szCs w:val="24"/>
        </w:rPr>
        <w:t xml:space="preserve">2 d’Abidjan déterminent-elles le niveau de leur engagement à l’apprentissage ? </w:t>
      </w:r>
    </w:p>
    <w:p w14:paraId="0F123981" w14:textId="77777777" w:rsidR="00D80693" w:rsidRPr="00A513CC" w:rsidRDefault="00D80693" w:rsidP="001928FA">
      <w:pPr>
        <w:spacing w:before="120"/>
        <w:jc w:val="both"/>
        <w:rPr>
          <w:rFonts w:eastAsia="Calibri"/>
          <w:color w:val="000000"/>
          <w:sz w:val="24"/>
          <w:szCs w:val="24"/>
        </w:rPr>
      </w:pPr>
      <w:r w:rsidRPr="00A513CC">
        <w:rPr>
          <w:rFonts w:eastAsia="Calibri"/>
          <w:color w:val="000000"/>
          <w:sz w:val="24"/>
          <w:szCs w:val="24"/>
        </w:rPr>
        <w:t xml:space="preserve">Pour mieux cerner l’objet d’étude, il nous revient de caractériser les principaux concepts du sujet, notamment : les perceptions, l’évaluation, l’influence, l’engagement et l’apprentissage. Nous retiendrons les caractérisations qui restent conformes à l’esprit de ce travail de recherche. Ainsi, le vocable perception désigne-t-il le processus psychologique par lequel les informations de l’environnement sont sélectionnées, organisées et interprétées via nos sens (Donnadieu et </w:t>
      </w:r>
      <w:r w:rsidRPr="00A513CC">
        <w:rPr>
          <w:rFonts w:eastAsia="Calibri"/>
          <w:i/>
          <w:iCs/>
          <w:color w:val="000000"/>
          <w:sz w:val="24"/>
          <w:szCs w:val="24"/>
        </w:rPr>
        <w:t>al,</w:t>
      </w:r>
      <w:r w:rsidRPr="00A513CC">
        <w:rPr>
          <w:rFonts w:eastAsia="Calibri"/>
          <w:color w:val="000000"/>
          <w:sz w:val="24"/>
          <w:szCs w:val="24"/>
        </w:rPr>
        <w:t xml:space="preserve"> 2006). Quant à l’évaluation, elle est, tout comme le conçoit Tyler (</w:t>
      </w:r>
      <w:r w:rsidRPr="00A513CC">
        <w:rPr>
          <w:rFonts w:eastAsia="Calibri" w:cstheme="minorBidi"/>
          <w:bCs/>
          <w:color w:val="000000"/>
          <w:sz w:val="24"/>
          <w:szCs w:val="24"/>
        </w:rPr>
        <w:t>1986),</w:t>
      </w:r>
      <w:r w:rsidRPr="00A513CC">
        <w:rPr>
          <w:rFonts w:eastAsia="Calibri"/>
          <w:color w:val="000000"/>
          <w:sz w:val="24"/>
          <w:szCs w:val="24"/>
        </w:rPr>
        <w:t xml:space="preserve"> le processus qui consiste à déterminer dans quelle mesure des objectifs d’apprentissage sont atteints. Concernant l’influence, elle est ce que Cialdini (2021) définit comme le processus par lequel les gens changent leurs </w:t>
      </w:r>
      <w:r>
        <w:rPr>
          <w:rFonts w:eastAsia="Calibri"/>
          <w:sz w:val="24"/>
          <w:szCs w:val="24"/>
        </w:rPr>
        <w:t xml:space="preserve">attitudes, croyances ou comportements en réponses à des demandes, informations ou pressions, souvent de manière automatique ou inconsciente. L’engagement, quant à lui, </w:t>
      </w:r>
      <w:r w:rsidRPr="009F2EF8">
        <w:rPr>
          <w:rFonts w:eastAsia="Calibri"/>
          <w:sz w:val="24"/>
          <w:szCs w:val="24"/>
        </w:rPr>
        <w:t xml:space="preserve">comme le soulignent Pirot et De </w:t>
      </w:r>
      <w:proofErr w:type="spellStart"/>
      <w:r w:rsidRPr="009F2EF8">
        <w:rPr>
          <w:rFonts w:eastAsia="Calibri"/>
          <w:sz w:val="24"/>
          <w:szCs w:val="24"/>
        </w:rPr>
        <w:t>Ketele</w:t>
      </w:r>
      <w:proofErr w:type="spellEnd"/>
      <w:r w:rsidRPr="009F2EF8">
        <w:rPr>
          <w:rFonts w:eastAsia="Calibri"/>
          <w:sz w:val="24"/>
          <w:szCs w:val="24"/>
        </w:rPr>
        <w:t xml:space="preserve"> (2000)</w:t>
      </w:r>
      <w:r>
        <w:rPr>
          <w:rFonts w:eastAsia="Calibri"/>
          <w:sz w:val="24"/>
          <w:szCs w:val="24"/>
        </w:rPr>
        <w:t>,</w:t>
      </w:r>
      <w:r w:rsidRPr="009F2EF8">
        <w:rPr>
          <w:rFonts w:eastAsia="Calibri"/>
          <w:sz w:val="24"/>
          <w:szCs w:val="24"/>
        </w:rPr>
        <w:t xml:space="preserve"> </w:t>
      </w:r>
      <w:r>
        <w:rPr>
          <w:rFonts w:eastAsia="Calibri"/>
          <w:sz w:val="24"/>
          <w:szCs w:val="24"/>
        </w:rPr>
        <w:t xml:space="preserve">réfère à </w:t>
      </w:r>
      <w:r w:rsidRPr="009F2EF8">
        <w:rPr>
          <w:rFonts w:eastAsia="Calibri"/>
          <w:sz w:val="24"/>
          <w:szCs w:val="24"/>
        </w:rPr>
        <w:t>« la décision volontaire de s’engager activement et profondément, mais aussi […] la participation active dans les activités d’apprentissage »</w:t>
      </w:r>
      <w:r>
        <w:rPr>
          <w:rFonts w:eastAsia="Calibri"/>
          <w:sz w:val="24"/>
          <w:szCs w:val="24"/>
        </w:rPr>
        <w:t xml:space="preserve">. Il faut </w:t>
      </w:r>
      <w:r w:rsidRPr="00A513CC">
        <w:rPr>
          <w:rFonts w:eastAsia="Calibri"/>
          <w:color w:val="000000"/>
          <w:sz w:val="24"/>
          <w:szCs w:val="24"/>
        </w:rPr>
        <w:t xml:space="preserve">entendre par apprentissage, le processus d’acquisition de nouvelles connaissances susceptibles d’être utilisées </w:t>
      </w:r>
      <w:r w:rsidRPr="00A513CC">
        <w:rPr>
          <w:color w:val="000000"/>
          <w:sz w:val="24"/>
          <w:szCs w:val="24"/>
        </w:rPr>
        <w:t xml:space="preserve">pour répondre aux contraintes de l’environnement (Musical et </w:t>
      </w:r>
      <w:r w:rsidRPr="00A513CC">
        <w:rPr>
          <w:i/>
          <w:iCs/>
          <w:color w:val="000000"/>
          <w:sz w:val="24"/>
          <w:szCs w:val="24"/>
        </w:rPr>
        <w:t>al.</w:t>
      </w:r>
      <w:r w:rsidRPr="00A513CC">
        <w:rPr>
          <w:color w:val="000000"/>
          <w:sz w:val="24"/>
          <w:szCs w:val="24"/>
        </w:rPr>
        <w:t xml:space="preserve"> 2012).</w:t>
      </w:r>
    </w:p>
    <w:p w14:paraId="4934C189" w14:textId="77777777" w:rsidR="00D80693" w:rsidRPr="00A513CC" w:rsidRDefault="00D80693" w:rsidP="00F429F0">
      <w:pPr>
        <w:spacing w:before="120"/>
        <w:ind w:right="-142"/>
        <w:jc w:val="both"/>
        <w:rPr>
          <w:color w:val="000000"/>
          <w:sz w:val="24"/>
          <w:szCs w:val="24"/>
        </w:rPr>
      </w:pPr>
      <w:r w:rsidRPr="00A513CC">
        <w:rPr>
          <w:color w:val="000000"/>
          <w:sz w:val="24"/>
          <w:szCs w:val="24"/>
        </w:rPr>
        <w:t xml:space="preserve">De ce qui précède, nous retenons que cette étude cherche à analyser l’interprétation que les élèves font du processus visant à déterminer leur niveau d’atteinte des objectifs d’apprentissage et comment cela impacte-t-il leur volonté de participer activement aux activités d’apprentissage.     </w:t>
      </w:r>
    </w:p>
    <w:p w14:paraId="07F17D0A" w14:textId="0F1DE9F8" w:rsidR="00D80693" w:rsidRDefault="00D80693" w:rsidP="00F429F0">
      <w:pPr>
        <w:spacing w:before="120"/>
        <w:ind w:right="-142"/>
        <w:jc w:val="both"/>
        <w:rPr>
          <w:rFonts w:eastAsia="Calibri"/>
          <w:sz w:val="24"/>
          <w:szCs w:val="24"/>
        </w:rPr>
      </w:pPr>
      <w:r w:rsidRPr="008240D2">
        <w:rPr>
          <w:rFonts w:eastAsia="Calibri"/>
          <w:sz w:val="24"/>
          <w:szCs w:val="24"/>
        </w:rPr>
        <w:t>Pour mener cette étude</w:t>
      </w:r>
      <w:r>
        <w:rPr>
          <w:rFonts w:eastAsia="Calibri"/>
          <w:sz w:val="24"/>
          <w:szCs w:val="24"/>
        </w:rPr>
        <w:t>,</w:t>
      </w:r>
      <w:r w:rsidRPr="008240D2">
        <w:rPr>
          <w:rFonts w:eastAsia="Calibri"/>
          <w:sz w:val="24"/>
          <w:szCs w:val="24"/>
        </w:rPr>
        <w:t xml:space="preserve"> </w:t>
      </w:r>
      <w:r w:rsidRPr="006D2C41">
        <w:rPr>
          <w:rFonts w:eastAsia="Calibri"/>
          <w:sz w:val="24"/>
          <w:szCs w:val="24"/>
        </w:rPr>
        <w:t>nous</w:t>
      </w:r>
      <w:r>
        <w:rPr>
          <w:rFonts w:eastAsia="Calibri"/>
          <w:sz w:val="24"/>
          <w:szCs w:val="24"/>
        </w:rPr>
        <w:t xml:space="preserve"> déclinerons d’emblée la méthodologie adoptée, nous en présenterons les résultats que nous discuterons par la suite, </w:t>
      </w:r>
      <w:r w:rsidRPr="006D2C41">
        <w:rPr>
          <w:rFonts w:eastAsia="Calibri"/>
          <w:sz w:val="24"/>
          <w:szCs w:val="24"/>
        </w:rPr>
        <w:t>av</w:t>
      </w:r>
      <w:r>
        <w:rPr>
          <w:rFonts w:eastAsia="Calibri"/>
          <w:sz w:val="24"/>
          <w:szCs w:val="24"/>
        </w:rPr>
        <w:t>ant</w:t>
      </w:r>
      <w:r w:rsidRPr="006D2C41">
        <w:rPr>
          <w:rFonts w:eastAsia="Calibri"/>
          <w:sz w:val="24"/>
          <w:szCs w:val="24"/>
        </w:rPr>
        <w:t xml:space="preserve"> </w:t>
      </w:r>
      <w:r>
        <w:rPr>
          <w:rFonts w:eastAsia="Calibri"/>
          <w:sz w:val="24"/>
          <w:szCs w:val="24"/>
        </w:rPr>
        <w:t>d’en tirer la conclusion</w:t>
      </w:r>
      <w:r w:rsidRPr="008240D2">
        <w:rPr>
          <w:rFonts w:eastAsia="Calibri"/>
          <w:sz w:val="24"/>
          <w:szCs w:val="24"/>
        </w:rPr>
        <w:t>.</w:t>
      </w:r>
    </w:p>
    <w:p w14:paraId="56569B0F" w14:textId="77777777" w:rsidR="00D80693" w:rsidRPr="00302924" w:rsidRDefault="00D80693" w:rsidP="001928FA">
      <w:pPr>
        <w:spacing w:before="120"/>
        <w:jc w:val="both"/>
        <w:rPr>
          <w:rFonts w:eastAsia="Calibri"/>
          <w:i/>
          <w:iCs/>
          <w:sz w:val="8"/>
          <w:szCs w:val="8"/>
        </w:rPr>
      </w:pPr>
    </w:p>
    <w:p w14:paraId="538771A7" w14:textId="77777777" w:rsidR="00D80693" w:rsidRPr="00C1242E" w:rsidRDefault="00D80693" w:rsidP="001928FA">
      <w:pPr>
        <w:pStyle w:val="Paragraphedeliste"/>
        <w:widowControl/>
        <w:numPr>
          <w:ilvl w:val="0"/>
          <w:numId w:val="204"/>
        </w:numPr>
        <w:autoSpaceDE/>
        <w:autoSpaceDN/>
        <w:contextualSpacing/>
        <w:rPr>
          <w:rFonts w:eastAsia="Calibri"/>
          <w:b/>
          <w:bCs/>
          <w:sz w:val="24"/>
          <w:szCs w:val="24"/>
        </w:rPr>
      </w:pPr>
      <w:r w:rsidRPr="00C1242E">
        <w:rPr>
          <w:rFonts w:eastAsia="Calibri"/>
          <w:b/>
          <w:bCs/>
          <w:sz w:val="24"/>
          <w:szCs w:val="24"/>
        </w:rPr>
        <w:t>Méthodologie</w:t>
      </w:r>
    </w:p>
    <w:p w14:paraId="0E200064" w14:textId="77777777" w:rsidR="00D80693" w:rsidRPr="008C6788" w:rsidRDefault="00D80693" w:rsidP="001928FA">
      <w:pPr>
        <w:pStyle w:val="Paragraphedeliste"/>
        <w:ind w:left="567"/>
        <w:rPr>
          <w:rFonts w:eastAsia="Calibri"/>
          <w:b/>
          <w:bCs/>
          <w:sz w:val="12"/>
          <w:szCs w:val="12"/>
        </w:rPr>
      </w:pPr>
    </w:p>
    <w:p w14:paraId="7CBBC54E" w14:textId="77777777" w:rsidR="00D80693" w:rsidRPr="004C607D" w:rsidRDefault="00D80693" w:rsidP="001928FA">
      <w:pPr>
        <w:pStyle w:val="Paragraphedeliste"/>
        <w:widowControl/>
        <w:numPr>
          <w:ilvl w:val="1"/>
          <w:numId w:val="204"/>
        </w:numPr>
        <w:tabs>
          <w:tab w:val="left" w:pos="6804"/>
        </w:tabs>
        <w:autoSpaceDE/>
        <w:autoSpaceDN/>
        <w:contextualSpacing/>
        <w:rPr>
          <w:rFonts w:eastAsia="Calibri"/>
          <w:b/>
          <w:sz w:val="24"/>
          <w:szCs w:val="24"/>
        </w:rPr>
      </w:pPr>
      <w:r>
        <w:rPr>
          <w:rFonts w:eastAsia="Calibri"/>
          <w:b/>
          <w:sz w:val="24"/>
          <w:szCs w:val="24"/>
        </w:rPr>
        <w:t xml:space="preserve"> </w:t>
      </w:r>
      <w:r w:rsidRPr="004C607D">
        <w:rPr>
          <w:rFonts w:eastAsia="Calibri"/>
          <w:b/>
          <w:sz w:val="24"/>
          <w:szCs w:val="24"/>
        </w:rPr>
        <w:t>Champ d’étude</w:t>
      </w:r>
    </w:p>
    <w:p w14:paraId="279F6250" w14:textId="77777777" w:rsidR="00D80693" w:rsidRPr="008240D2" w:rsidRDefault="00D80693" w:rsidP="001928FA">
      <w:pPr>
        <w:tabs>
          <w:tab w:val="left" w:pos="6804"/>
        </w:tabs>
        <w:spacing w:before="120"/>
        <w:jc w:val="both"/>
        <w:rPr>
          <w:rFonts w:eastAsia="Calibri"/>
          <w:sz w:val="24"/>
          <w:szCs w:val="24"/>
        </w:rPr>
      </w:pPr>
      <w:r w:rsidRPr="008240D2">
        <w:rPr>
          <w:rFonts w:eastAsia="Calibri"/>
          <w:sz w:val="24"/>
          <w:szCs w:val="24"/>
        </w:rPr>
        <w:t>L’étude a été menée en 202</w:t>
      </w:r>
      <w:r>
        <w:rPr>
          <w:rFonts w:eastAsia="Calibri"/>
          <w:sz w:val="24"/>
          <w:szCs w:val="24"/>
        </w:rPr>
        <w:t>5</w:t>
      </w:r>
      <w:r w:rsidRPr="008240D2">
        <w:rPr>
          <w:rFonts w:eastAsia="Calibri"/>
          <w:sz w:val="24"/>
          <w:szCs w:val="24"/>
        </w:rPr>
        <w:t xml:space="preserve">, dans </w:t>
      </w:r>
      <w:r>
        <w:rPr>
          <w:rFonts w:eastAsia="Calibri"/>
          <w:sz w:val="24"/>
          <w:szCs w:val="24"/>
        </w:rPr>
        <w:t>cinq</w:t>
      </w:r>
      <w:r w:rsidRPr="008240D2">
        <w:rPr>
          <w:rFonts w:eastAsia="Calibri"/>
          <w:sz w:val="24"/>
          <w:szCs w:val="24"/>
        </w:rPr>
        <w:t xml:space="preserve"> établissements d’enseignement secondaire de la Direction Régionale de l’Éduc</w:t>
      </w:r>
      <w:r>
        <w:rPr>
          <w:rFonts w:eastAsia="Calibri"/>
          <w:sz w:val="24"/>
          <w:szCs w:val="24"/>
        </w:rPr>
        <w:t>a</w:t>
      </w:r>
      <w:r w:rsidRPr="008240D2">
        <w:rPr>
          <w:rFonts w:eastAsia="Calibri"/>
          <w:sz w:val="24"/>
          <w:szCs w:val="24"/>
        </w:rPr>
        <w:t>tion Nationale et de l’Alphabétisation 2 d’Abidjan (DRENA 2). Elle a concerné le</w:t>
      </w:r>
      <w:r>
        <w:rPr>
          <w:rFonts w:eastAsia="Calibri"/>
          <w:sz w:val="24"/>
          <w:szCs w:val="24"/>
        </w:rPr>
        <w:t>s</w:t>
      </w:r>
      <w:r w:rsidRPr="008240D2">
        <w:rPr>
          <w:rFonts w:eastAsia="Calibri"/>
          <w:sz w:val="24"/>
          <w:szCs w:val="24"/>
        </w:rPr>
        <w:t xml:space="preserve"> </w:t>
      </w:r>
      <w:r w:rsidRPr="008240D2">
        <w:rPr>
          <w:rFonts w:eastAsia="Calibri"/>
          <w:color w:val="000000"/>
          <w:sz w:val="24"/>
          <w:szCs w:val="24"/>
        </w:rPr>
        <w:t>Lycée</w:t>
      </w:r>
      <w:r>
        <w:rPr>
          <w:rFonts w:eastAsia="Calibri"/>
          <w:color w:val="000000"/>
          <w:sz w:val="24"/>
          <w:szCs w:val="24"/>
        </w:rPr>
        <w:t>s</w:t>
      </w:r>
      <w:r w:rsidRPr="008240D2">
        <w:rPr>
          <w:rFonts w:eastAsia="Calibri"/>
          <w:color w:val="000000"/>
          <w:sz w:val="24"/>
          <w:szCs w:val="24"/>
        </w:rPr>
        <w:t xml:space="preserve"> Municipa</w:t>
      </w:r>
      <w:r>
        <w:rPr>
          <w:rFonts w:eastAsia="Calibri"/>
          <w:color w:val="000000"/>
          <w:sz w:val="24"/>
          <w:szCs w:val="24"/>
        </w:rPr>
        <w:t>ux</w:t>
      </w:r>
      <w:r w:rsidRPr="008240D2">
        <w:rPr>
          <w:rFonts w:eastAsia="Calibri"/>
          <w:color w:val="000000"/>
          <w:sz w:val="24"/>
          <w:szCs w:val="24"/>
        </w:rPr>
        <w:t xml:space="preserve"> 1 </w:t>
      </w:r>
      <w:r>
        <w:rPr>
          <w:rFonts w:eastAsia="Calibri"/>
          <w:color w:val="000000"/>
          <w:sz w:val="24"/>
          <w:szCs w:val="24"/>
        </w:rPr>
        <w:t>et</w:t>
      </w:r>
      <w:r w:rsidRPr="008240D2">
        <w:rPr>
          <w:rFonts w:eastAsia="Calibri"/>
          <w:color w:val="000000"/>
          <w:sz w:val="24"/>
          <w:szCs w:val="24"/>
        </w:rPr>
        <w:t xml:space="preserve"> 2 de Koumassi</w:t>
      </w:r>
      <w:r w:rsidRPr="008240D2">
        <w:rPr>
          <w:rFonts w:eastAsia="Calibri"/>
          <w:sz w:val="24"/>
          <w:szCs w:val="24"/>
        </w:rPr>
        <w:t xml:space="preserve">, </w:t>
      </w:r>
      <w:r>
        <w:rPr>
          <w:rFonts w:eastAsia="Calibri"/>
          <w:sz w:val="24"/>
          <w:szCs w:val="24"/>
        </w:rPr>
        <w:t xml:space="preserve">le </w:t>
      </w:r>
      <w:r w:rsidRPr="008240D2">
        <w:rPr>
          <w:rFonts w:eastAsia="Calibri"/>
          <w:color w:val="000000"/>
          <w:sz w:val="24"/>
          <w:szCs w:val="24"/>
        </w:rPr>
        <w:t xml:space="preserve">Lycée </w:t>
      </w:r>
      <w:proofErr w:type="spellStart"/>
      <w:r w:rsidRPr="008240D2">
        <w:rPr>
          <w:rFonts w:eastAsia="Calibri"/>
          <w:color w:val="000000"/>
          <w:sz w:val="24"/>
          <w:szCs w:val="24"/>
        </w:rPr>
        <w:t>Amangou</w:t>
      </w:r>
      <w:proofErr w:type="spellEnd"/>
      <w:r w:rsidRPr="008240D2">
        <w:rPr>
          <w:rFonts w:eastAsia="Calibri"/>
          <w:color w:val="000000"/>
          <w:sz w:val="24"/>
          <w:szCs w:val="24"/>
        </w:rPr>
        <w:t xml:space="preserve"> Victor de Marcory</w:t>
      </w:r>
      <w:r>
        <w:rPr>
          <w:rFonts w:eastAsia="Calibri"/>
          <w:color w:val="000000"/>
          <w:sz w:val="24"/>
          <w:szCs w:val="24"/>
        </w:rPr>
        <w:t>, le</w:t>
      </w:r>
      <w:r w:rsidRPr="008240D2">
        <w:rPr>
          <w:rFonts w:eastAsia="Calibri"/>
          <w:sz w:val="24"/>
          <w:szCs w:val="24"/>
        </w:rPr>
        <w:t xml:space="preserve"> </w:t>
      </w:r>
      <w:r w:rsidRPr="008240D2">
        <w:rPr>
          <w:rFonts w:eastAsia="Calibri"/>
          <w:color w:val="000000"/>
          <w:sz w:val="24"/>
          <w:szCs w:val="24"/>
        </w:rPr>
        <w:t xml:space="preserve">Collège Moderne de l'Autoroute de Treichville et </w:t>
      </w:r>
      <w:r w:rsidRPr="008240D2">
        <w:rPr>
          <w:rFonts w:eastAsia="Calibri"/>
          <w:sz w:val="24"/>
          <w:szCs w:val="24"/>
        </w:rPr>
        <w:t xml:space="preserve">le Lycée Moderne de Port-Bouët. </w:t>
      </w:r>
      <w:r>
        <w:rPr>
          <w:rFonts w:eastAsia="Calibri"/>
          <w:sz w:val="24"/>
          <w:szCs w:val="24"/>
        </w:rPr>
        <w:t>Ces établissements ont été choisis par commodité tout en respectant notre volonté d’impliquer chacune des quatre communes qui composent la DRENA dans l’enquête. Toutefois, les Lycées municipaux de Koumassi, parce qu’ils partagent le même site, ont été délibérément impliqués dans l’étude, mais également, pour tenir compte de l’importante démographie de ladite commune qui reste la plus peuplée des communes couvertes par la DRENA 2 d’Abidjan.</w:t>
      </w:r>
    </w:p>
    <w:p w14:paraId="288B64B1" w14:textId="77777777" w:rsidR="00D80693" w:rsidRPr="000F7851" w:rsidRDefault="00D80693" w:rsidP="001928FA">
      <w:pPr>
        <w:tabs>
          <w:tab w:val="left" w:pos="6804"/>
        </w:tabs>
        <w:spacing w:before="120"/>
        <w:jc w:val="both"/>
        <w:rPr>
          <w:rFonts w:eastAsia="Calibri"/>
          <w:color w:val="FF0000"/>
          <w:sz w:val="16"/>
          <w:szCs w:val="16"/>
        </w:rPr>
      </w:pPr>
    </w:p>
    <w:p w14:paraId="06A294AC" w14:textId="77777777" w:rsidR="00D80693" w:rsidRPr="008240D2" w:rsidRDefault="00D80693" w:rsidP="001928FA">
      <w:pPr>
        <w:pStyle w:val="Paragraphedeliste"/>
        <w:widowControl/>
        <w:numPr>
          <w:ilvl w:val="1"/>
          <w:numId w:val="204"/>
        </w:numPr>
        <w:tabs>
          <w:tab w:val="left" w:pos="6804"/>
        </w:tabs>
        <w:autoSpaceDE/>
        <w:autoSpaceDN/>
        <w:contextualSpacing/>
        <w:rPr>
          <w:rFonts w:eastAsia="Calibri"/>
          <w:sz w:val="24"/>
          <w:szCs w:val="24"/>
        </w:rPr>
      </w:pPr>
      <w:r>
        <w:rPr>
          <w:rFonts w:eastAsia="Calibri"/>
          <w:b/>
          <w:sz w:val="24"/>
          <w:szCs w:val="24"/>
        </w:rPr>
        <w:t xml:space="preserve"> </w:t>
      </w:r>
      <w:r w:rsidRPr="008240D2">
        <w:rPr>
          <w:rFonts w:eastAsia="Calibri"/>
          <w:b/>
          <w:sz w:val="24"/>
          <w:szCs w:val="24"/>
        </w:rPr>
        <w:t>Echantillonnage et instruments de collecte des données</w:t>
      </w:r>
    </w:p>
    <w:p w14:paraId="262E5112" w14:textId="77777777" w:rsidR="00D80693" w:rsidRPr="004C607D" w:rsidRDefault="00D80693" w:rsidP="001928FA">
      <w:pPr>
        <w:tabs>
          <w:tab w:val="left" w:pos="6804"/>
        </w:tabs>
        <w:spacing w:before="120"/>
        <w:ind w:firstLine="567"/>
        <w:jc w:val="both"/>
        <w:rPr>
          <w:rFonts w:eastAsia="Calibri"/>
          <w:sz w:val="12"/>
          <w:szCs w:val="12"/>
        </w:rPr>
      </w:pPr>
    </w:p>
    <w:p w14:paraId="59E8D70F" w14:textId="77777777" w:rsidR="00D80693" w:rsidRPr="00DA6066" w:rsidRDefault="00D80693" w:rsidP="001928FA">
      <w:pPr>
        <w:adjustRightInd w:val="0"/>
        <w:spacing w:before="120"/>
        <w:ind w:firstLine="567"/>
        <w:jc w:val="both"/>
        <w:rPr>
          <w:rFonts w:eastAsia="Calibri"/>
          <w:sz w:val="24"/>
          <w:szCs w:val="24"/>
        </w:rPr>
      </w:pPr>
      <w:r w:rsidRPr="008240D2">
        <w:rPr>
          <w:rFonts w:eastAsia="Calibri"/>
          <w:sz w:val="24"/>
          <w:szCs w:val="24"/>
        </w:rPr>
        <w:t xml:space="preserve">L’étude a été menée auprès d’un échantillon de 500 apprenants déterminé de façon non probabiliste dans les établissements concernés par l’enquête. </w:t>
      </w:r>
      <w:r>
        <w:rPr>
          <w:rFonts w:eastAsia="Calibri"/>
          <w:sz w:val="24"/>
          <w:szCs w:val="24"/>
        </w:rPr>
        <w:t xml:space="preserve">L’échantillonnage de commodité est celui qui a été retenu pour l’étude tout en veillant à ce que chacun des établissements concoure à hauteur de 100 enquêtés.  </w:t>
      </w:r>
      <w:r w:rsidRPr="008240D2">
        <w:rPr>
          <w:rFonts w:eastAsia="Calibri"/>
          <w:sz w:val="24"/>
          <w:szCs w:val="24"/>
        </w:rPr>
        <w:t>Les données ont été collectées essentiellement au travers d’un questionnaire</w:t>
      </w:r>
      <w:r>
        <w:rPr>
          <w:rFonts w:eastAsia="Calibri"/>
          <w:sz w:val="24"/>
          <w:szCs w:val="24"/>
        </w:rPr>
        <w:t xml:space="preserve"> bâti uniquement sur des questions à réponses à réponses fermées afin de garantir une certaine fiabilité des tests statistiques</w:t>
      </w:r>
      <w:r w:rsidRPr="008240D2">
        <w:rPr>
          <w:rFonts w:eastAsia="Calibri"/>
          <w:color w:val="000000"/>
          <w:sz w:val="24"/>
          <w:szCs w:val="24"/>
          <w:shd w:val="clear" w:color="auto" w:fill="FFFFFF"/>
        </w:rPr>
        <w:t xml:space="preserve">. </w:t>
      </w:r>
    </w:p>
    <w:p w14:paraId="548F4B24" w14:textId="77777777" w:rsidR="00D80693" w:rsidRPr="00AB437E" w:rsidRDefault="00D80693" w:rsidP="001928FA">
      <w:pPr>
        <w:adjustRightInd w:val="0"/>
        <w:spacing w:before="120"/>
        <w:jc w:val="both"/>
        <w:rPr>
          <w:rFonts w:eastAsia="Calibri"/>
          <w:sz w:val="14"/>
          <w:szCs w:val="14"/>
        </w:rPr>
      </w:pPr>
    </w:p>
    <w:p w14:paraId="1842851D" w14:textId="77777777" w:rsidR="00D80693" w:rsidRDefault="00D80693" w:rsidP="001928FA">
      <w:pPr>
        <w:pStyle w:val="Paragraphedeliste"/>
        <w:widowControl/>
        <w:numPr>
          <w:ilvl w:val="1"/>
          <w:numId w:val="204"/>
        </w:numPr>
        <w:tabs>
          <w:tab w:val="left" w:pos="6804"/>
        </w:tabs>
        <w:autoSpaceDE/>
        <w:autoSpaceDN/>
        <w:contextualSpacing/>
        <w:rPr>
          <w:rFonts w:eastAsia="Calibri"/>
          <w:b/>
          <w:sz w:val="24"/>
          <w:szCs w:val="24"/>
        </w:rPr>
      </w:pPr>
      <w:r>
        <w:rPr>
          <w:rFonts w:eastAsia="Calibri"/>
          <w:b/>
          <w:sz w:val="24"/>
          <w:szCs w:val="24"/>
        </w:rPr>
        <w:t xml:space="preserve"> </w:t>
      </w:r>
      <w:r w:rsidRPr="008240D2">
        <w:rPr>
          <w:rFonts w:eastAsia="Calibri"/>
          <w:b/>
          <w:sz w:val="24"/>
          <w:szCs w:val="24"/>
        </w:rPr>
        <w:t>Type de recherche</w:t>
      </w:r>
    </w:p>
    <w:p w14:paraId="4AF965A1" w14:textId="77777777" w:rsidR="00D80693" w:rsidRPr="00AB437E" w:rsidRDefault="00D80693" w:rsidP="001928FA">
      <w:pPr>
        <w:pStyle w:val="Paragraphedeliste"/>
        <w:tabs>
          <w:tab w:val="left" w:pos="6804"/>
        </w:tabs>
        <w:rPr>
          <w:rFonts w:eastAsia="Calibri"/>
          <w:b/>
          <w:sz w:val="14"/>
          <w:szCs w:val="14"/>
        </w:rPr>
      </w:pPr>
    </w:p>
    <w:p w14:paraId="5CBC9EE3" w14:textId="77777777" w:rsidR="00D80693" w:rsidRPr="00AB437E" w:rsidRDefault="00D80693" w:rsidP="001928FA">
      <w:pPr>
        <w:tabs>
          <w:tab w:val="left" w:pos="567"/>
          <w:tab w:val="left" w:pos="6804"/>
        </w:tabs>
        <w:spacing w:before="120"/>
        <w:jc w:val="both"/>
        <w:rPr>
          <w:rFonts w:eastAsia="Calibri"/>
          <w:sz w:val="24"/>
          <w:szCs w:val="24"/>
        </w:rPr>
      </w:pPr>
      <w:r w:rsidRPr="00AB437E">
        <w:rPr>
          <w:rFonts w:eastAsia="Calibri"/>
          <w:sz w:val="24"/>
          <w:szCs w:val="24"/>
        </w:rPr>
        <w:t>L’étude est une recherche descriptive de type</w:t>
      </w:r>
      <w:r>
        <w:rPr>
          <w:rFonts w:eastAsia="Calibri"/>
          <w:sz w:val="24"/>
          <w:szCs w:val="24"/>
        </w:rPr>
        <w:t xml:space="preserve"> quantitatif</w:t>
      </w:r>
      <w:r w:rsidRPr="00AB437E">
        <w:rPr>
          <w:rFonts w:eastAsia="Calibri"/>
          <w:sz w:val="24"/>
          <w:szCs w:val="24"/>
        </w:rPr>
        <w:t xml:space="preserve">. </w:t>
      </w:r>
    </w:p>
    <w:p w14:paraId="4B285CA8" w14:textId="77777777" w:rsidR="00D80693" w:rsidRPr="00462525" w:rsidRDefault="00D80693" w:rsidP="001928FA">
      <w:pPr>
        <w:adjustRightInd w:val="0"/>
        <w:spacing w:before="120"/>
        <w:jc w:val="both"/>
        <w:rPr>
          <w:rFonts w:eastAsia="Calibri"/>
          <w:sz w:val="12"/>
          <w:szCs w:val="12"/>
        </w:rPr>
      </w:pPr>
    </w:p>
    <w:p w14:paraId="66776BFA" w14:textId="77777777" w:rsidR="00D80693" w:rsidRPr="008240D2" w:rsidRDefault="00D80693" w:rsidP="001928FA">
      <w:pPr>
        <w:pStyle w:val="Paragraphedeliste"/>
        <w:widowControl/>
        <w:numPr>
          <w:ilvl w:val="1"/>
          <w:numId w:val="204"/>
        </w:numPr>
        <w:tabs>
          <w:tab w:val="left" w:pos="6804"/>
        </w:tabs>
        <w:autoSpaceDE/>
        <w:autoSpaceDN/>
        <w:contextualSpacing/>
        <w:rPr>
          <w:rFonts w:eastAsia="Calibri"/>
          <w:b/>
          <w:sz w:val="24"/>
          <w:szCs w:val="24"/>
        </w:rPr>
      </w:pPr>
      <w:r>
        <w:rPr>
          <w:rFonts w:eastAsia="Calibri"/>
          <w:b/>
          <w:sz w:val="24"/>
          <w:szCs w:val="24"/>
        </w:rPr>
        <w:t xml:space="preserve"> </w:t>
      </w:r>
      <w:r w:rsidRPr="008240D2">
        <w:rPr>
          <w:rFonts w:eastAsia="Calibri"/>
          <w:b/>
          <w:sz w:val="24"/>
          <w:szCs w:val="24"/>
        </w:rPr>
        <w:t>Analyse des données</w:t>
      </w:r>
    </w:p>
    <w:p w14:paraId="0E763296" w14:textId="77777777" w:rsidR="00D80693" w:rsidRPr="00302924" w:rsidRDefault="00D80693" w:rsidP="001928FA">
      <w:pPr>
        <w:tabs>
          <w:tab w:val="left" w:pos="567"/>
          <w:tab w:val="left" w:pos="6804"/>
        </w:tabs>
        <w:spacing w:before="120"/>
        <w:jc w:val="both"/>
        <w:rPr>
          <w:rFonts w:eastAsia="Calibri"/>
          <w:sz w:val="10"/>
          <w:szCs w:val="10"/>
        </w:rPr>
      </w:pPr>
      <w:r w:rsidRPr="008240D2">
        <w:rPr>
          <w:rFonts w:eastAsia="Calibri"/>
          <w:sz w:val="24"/>
          <w:szCs w:val="24"/>
        </w:rPr>
        <w:tab/>
      </w:r>
    </w:p>
    <w:p w14:paraId="28A369D0" w14:textId="721D8D37" w:rsidR="00D80693" w:rsidRPr="00F429F0" w:rsidRDefault="00D80693" w:rsidP="00F429F0">
      <w:pPr>
        <w:tabs>
          <w:tab w:val="left" w:pos="6804"/>
        </w:tabs>
        <w:spacing w:before="120"/>
        <w:ind w:firstLine="567"/>
        <w:jc w:val="both"/>
        <w:rPr>
          <w:rFonts w:eastAsia="Calibri"/>
          <w:color w:val="000000"/>
          <w:sz w:val="24"/>
          <w:szCs w:val="24"/>
        </w:rPr>
      </w:pPr>
      <w:r w:rsidRPr="00C1242E">
        <w:rPr>
          <w:rFonts w:eastAsia="Calibri"/>
          <w:sz w:val="24"/>
          <w:szCs w:val="24"/>
        </w:rPr>
        <w:t>Pour</w:t>
      </w:r>
      <w:r w:rsidRPr="00F4683B">
        <w:rPr>
          <w:rFonts w:eastAsia="Calibri"/>
          <w:color w:val="000000"/>
          <w:sz w:val="24"/>
          <w:szCs w:val="24"/>
        </w:rPr>
        <w:t xml:space="preserve"> le traitement des données, nous avons eu recours au logiciel SPSS version 26. Nous avons procédé par l’analyse descriptive univariée</w:t>
      </w:r>
      <w:r>
        <w:rPr>
          <w:rFonts w:eastAsia="Calibri"/>
          <w:color w:val="000000"/>
          <w:sz w:val="24"/>
          <w:szCs w:val="24"/>
        </w:rPr>
        <w:t xml:space="preserve"> pour</w:t>
      </w:r>
      <w:r w:rsidRPr="00F4683B">
        <w:rPr>
          <w:rFonts w:eastAsia="Calibri"/>
          <w:bCs/>
          <w:color w:val="000000"/>
          <w:sz w:val="24"/>
          <w:szCs w:val="24"/>
        </w:rPr>
        <w:t xml:space="preserve"> connaître </w:t>
      </w:r>
      <w:r>
        <w:rPr>
          <w:rFonts w:eastAsia="Calibri"/>
          <w:bCs/>
          <w:color w:val="000000"/>
          <w:sz w:val="24"/>
          <w:szCs w:val="24"/>
        </w:rPr>
        <w:t>les perceptions</w:t>
      </w:r>
      <w:r w:rsidRPr="00F4683B">
        <w:rPr>
          <w:rFonts w:eastAsia="Calibri"/>
          <w:bCs/>
          <w:color w:val="000000"/>
          <w:sz w:val="24"/>
          <w:szCs w:val="24"/>
        </w:rPr>
        <w:t xml:space="preserve"> des apprenants sur l’évaluation de </w:t>
      </w:r>
      <w:r w:rsidRPr="00F4683B">
        <w:rPr>
          <w:rFonts w:eastAsia="Calibri"/>
          <w:color w:val="000000"/>
          <w:sz w:val="24"/>
          <w:szCs w:val="24"/>
        </w:rPr>
        <w:t xml:space="preserve">leurs apprentissages ainsi que leur engagement à l’apprentissage. Quant aux liens entre </w:t>
      </w:r>
      <w:r w:rsidRPr="00F4683B">
        <w:rPr>
          <w:rFonts w:eastAsia="Calibri"/>
          <w:bCs/>
          <w:color w:val="000000"/>
          <w:sz w:val="24"/>
          <w:szCs w:val="24"/>
        </w:rPr>
        <w:t xml:space="preserve">les perceptions des apprenants sur l’évaluation de </w:t>
      </w:r>
      <w:r w:rsidRPr="00F4683B">
        <w:rPr>
          <w:rFonts w:eastAsia="Calibri"/>
          <w:color w:val="000000"/>
          <w:sz w:val="24"/>
          <w:szCs w:val="24"/>
        </w:rPr>
        <w:t xml:space="preserve">leurs apprentissages et leur engagement à l’apprentissage, nous avons eu recours aux tableaux croisés, aux tests Khi deux et de vraisemblance. Ces analyses nous ont permis d’aboutir aux résultats présentés </w:t>
      </w:r>
      <w:r>
        <w:rPr>
          <w:rFonts w:eastAsia="Calibri"/>
          <w:color w:val="000000"/>
          <w:sz w:val="24"/>
          <w:szCs w:val="24"/>
        </w:rPr>
        <w:t>consécutivement</w:t>
      </w:r>
      <w:r w:rsidRPr="00F4683B">
        <w:rPr>
          <w:rFonts w:eastAsia="Calibri"/>
          <w:color w:val="000000"/>
          <w:sz w:val="24"/>
          <w:szCs w:val="24"/>
        </w:rPr>
        <w:t xml:space="preserve">. </w:t>
      </w:r>
    </w:p>
    <w:p w14:paraId="201F0610" w14:textId="77777777" w:rsidR="00D80693" w:rsidRPr="00C1242E" w:rsidRDefault="00D80693" w:rsidP="001928FA">
      <w:pPr>
        <w:pStyle w:val="Paragraphedeliste"/>
        <w:widowControl/>
        <w:numPr>
          <w:ilvl w:val="0"/>
          <w:numId w:val="204"/>
        </w:numPr>
        <w:autoSpaceDE/>
        <w:autoSpaceDN/>
        <w:contextualSpacing/>
        <w:rPr>
          <w:rFonts w:eastAsia="Calibri"/>
          <w:b/>
          <w:bCs/>
          <w:sz w:val="24"/>
          <w:szCs w:val="24"/>
        </w:rPr>
      </w:pPr>
      <w:r w:rsidRPr="00C1242E">
        <w:rPr>
          <w:rFonts w:eastAsia="Calibri"/>
          <w:b/>
          <w:bCs/>
          <w:sz w:val="24"/>
          <w:szCs w:val="24"/>
        </w:rPr>
        <w:t>Résultats</w:t>
      </w:r>
    </w:p>
    <w:p w14:paraId="613861D0" w14:textId="77777777" w:rsidR="00D80693" w:rsidRPr="00624316" w:rsidRDefault="00D80693" w:rsidP="001928FA">
      <w:pPr>
        <w:pStyle w:val="Paragraphedeliste"/>
        <w:rPr>
          <w:rFonts w:eastAsia="Calibri"/>
          <w:b/>
          <w:bCs/>
          <w:sz w:val="2"/>
          <w:szCs w:val="2"/>
        </w:rPr>
      </w:pPr>
    </w:p>
    <w:p w14:paraId="573A9545" w14:textId="653A2818" w:rsidR="00D80693" w:rsidRPr="00F429F0" w:rsidRDefault="00D80693" w:rsidP="00F429F0">
      <w:pPr>
        <w:tabs>
          <w:tab w:val="left" w:pos="6804"/>
        </w:tabs>
        <w:spacing w:before="120"/>
        <w:jc w:val="both"/>
        <w:rPr>
          <w:rFonts w:eastAsia="Calibri"/>
          <w:sz w:val="24"/>
          <w:szCs w:val="24"/>
        </w:rPr>
      </w:pPr>
      <w:r w:rsidRPr="00AB437E">
        <w:rPr>
          <w:rFonts w:eastAsia="Calibri"/>
          <w:bCs/>
          <w:sz w:val="24"/>
          <w:szCs w:val="24"/>
        </w:rPr>
        <w:t xml:space="preserve">Les </w:t>
      </w:r>
      <w:r w:rsidRPr="00C1242E">
        <w:rPr>
          <w:rFonts w:eastAsia="Calibri"/>
          <w:sz w:val="24"/>
          <w:szCs w:val="24"/>
        </w:rPr>
        <w:t>données</w:t>
      </w:r>
      <w:r w:rsidRPr="00AB437E">
        <w:rPr>
          <w:rFonts w:eastAsia="Calibri"/>
          <w:bCs/>
          <w:sz w:val="24"/>
          <w:szCs w:val="24"/>
        </w:rPr>
        <w:t xml:space="preserve"> recueillies ont été analysées selon deux axes, notamment : le</w:t>
      </w:r>
      <w:r>
        <w:rPr>
          <w:rFonts w:eastAsia="Calibri"/>
          <w:bCs/>
          <w:sz w:val="24"/>
          <w:szCs w:val="24"/>
        </w:rPr>
        <w:t xml:space="preserve">s perceptions </w:t>
      </w:r>
      <w:r w:rsidRPr="00AB437E">
        <w:rPr>
          <w:rFonts w:eastAsia="Calibri"/>
          <w:bCs/>
          <w:sz w:val="24"/>
          <w:szCs w:val="24"/>
        </w:rPr>
        <w:t xml:space="preserve">des apprenants sur l’évaluation de </w:t>
      </w:r>
      <w:r w:rsidRPr="00AB437E">
        <w:rPr>
          <w:rFonts w:eastAsia="Calibri"/>
          <w:sz w:val="24"/>
          <w:szCs w:val="24"/>
        </w:rPr>
        <w:t>leurs apprentissages, leur engagement à l’apprentissage et les liens entre ces deux variables.</w:t>
      </w:r>
    </w:p>
    <w:p w14:paraId="7D7D57D2" w14:textId="77777777" w:rsidR="00D80693" w:rsidRPr="004E4C52" w:rsidRDefault="00D80693" w:rsidP="001928FA">
      <w:pPr>
        <w:pStyle w:val="Paragraphedeliste"/>
        <w:widowControl/>
        <w:numPr>
          <w:ilvl w:val="1"/>
          <w:numId w:val="204"/>
        </w:numPr>
        <w:autoSpaceDE/>
        <w:autoSpaceDN/>
        <w:contextualSpacing/>
        <w:rPr>
          <w:b/>
          <w:bCs/>
          <w:sz w:val="24"/>
          <w:szCs w:val="24"/>
        </w:rPr>
      </w:pPr>
      <w:r>
        <w:rPr>
          <w:rFonts w:cstheme="minorBidi"/>
          <w:b/>
          <w:bCs/>
          <w:sz w:val="24"/>
          <w:szCs w:val="24"/>
        </w:rPr>
        <w:t xml:space="preserve"> Perceptions</w:t>
      </w:r>
      <w:r w:rsidRPr="004E4C52">
        <w:rPr>
          <w:rFonts w:cstheme="minorBidi"/>
          <w:b/>
          <w:bCs/>
          <w:sz w:val="24"/>
          <w:szCs w:val="24"/>
        </w:rPr>
        <w:t xml:space="preserve"> des apprenants sur l’évaluation et leur engagement à l’apprentissage</w:t>
      </w:r>
    </w:p>
    <w:p w14:paraId="0E84D179" w14:textId="5F0882D5" w:rsidR="00D80693" w:rsidRPr="00624316" w:rsidRDefault="00D80693" w:rsidP="00F429F0">
      <w:pPr>
        <w:tabs>
          <w:tab w:val="left" w:pos="6804"/>
        </w:tabs>
        <w:spacing w:before="120"/>
        <w:ind w:firstLine="567"/>
        <w:jc w:val="both"/>
        <w:rPr>
          <w:sz w:val="24"/>
          <w:szCs w:val="24"/>
        </w:rPr>
      </w:pPr>
      <w:r w:rsidRPr="00AB437E">
        <w:rPr>
          <w:rFonts w:cstheme="minorBidi"/>
          <w:sz w:val="24"/>
          <w:szCs w:val="24"/>
        </w:rPr>
        <w:t xml:space="preserve">Dans la recherche des </w:t>
      </w:r>
      <w:r>
        <w:rPr>
          <w:rFonts w:cstheme="minorBidi"/>
          <w:sz w:val="24"/>
          <w:szCs w:val="24"/>
        </w:rPr>
        <w:t xml:space="preserve">perceptions </w:t>
      </w:r>
      <w:r w:rsidRPr="00AB437E">
        <w:rPr>
          <w:rFonts w:cstheme="minorBidi"/>
          <w:sz w:val="24"/>
          <w:szCs w:val="24"/>
        </w:rPr>
        <w:t xml:space="preserve">que portent les apprenants sur l’évaluation de leurs apprentissages, </w:t>
      </w:r>
      <w:r>
        <w:rPr>
          <w:rFonts w:cstheme="minorBidi"/>
          <w:sz w:val="24"/>
          <w:szCs w:val="24"/>
        </w:rPr>
        <w:t>l’intérêt a été porté, entre autres, sur leurs</w:t>
      </w:r>
      <w:r w:rsidRPr="00AB437E">
        <w:rPr>
          <w:rFonts w:eastAsia="Calibri"/>
          <w:sz w:val="24"/>
          <w:szCs w:val="24"/>
        </w:rPr>
        <w:t xml:space="preserve"> opinions</w:t>
      </w:r>
      <w:r>
        <w:rPr>
          <w:rFonts w:eastAsia="Calibri"/>
          <w:sz w:val="24"/>
          <w:szCs w:val="24"/>
        </w:rPr>
        <w:t xml:space="preserve"> à l’égard des</w:t>
      </w:r>
      <w:r w:rsidRPr="00AB437E">
        <w:rPr>
          <w:rFonts w:eastAsia="Calibri"/>
          <w:sz w:val="24"/>
          <w:szCs w:val="24"/>
        </w:rPr>
        <w:t xml:space="preserve"> évaluations, leurs</w:t>
      </w:r>
      <w:r w:rsidRPr="00AB437E">
        <w:rPr>
          <w:rFonts w:cstheme="minorBidi"/>
          <w:sz w:val="24"/>
          <w:szCs w:val="24"/>
        </w:rPr>
        <w:t xml:space="preserve"> points de vue sur l’importance des évaluations pour la compréhension des cour</w:t>
      </w:r>
      <w:r>
        <w:rPr>
          <w:rFonts w:cstheme="minorBidi"/>
          <w:sz w:val="24"/>
          <w:szCs w:val="24"/>
        </w:rPr>
        <w:t>s et leur fréquence de traitement des exercices</w:t>
      </w:r>
      <w:r w:rsidRPr="00AB437E">
        <w:rPr>
          <w:rFonts w:cstheme="minorBidi"/>
          <w:sz w:val="24"/>
          <w:szCs w:val="24"/>
        </w:rPr>
        <w:t>. D’emblée, nous avons cherché à connaître le rapport que ces derniers entretiennent avec les études. Le tableau suivant nous donne des éléments d’appréciation.</w:t>
      </w:r>
    </w:p>
    <w:p w14:paraId="1864B506" w14:textId="77777777" w:rsidR="00D80693" w:rsidRPr="009824D7" w:rsidRDefault="00D80693" w:rsidP="001928FA">
      <w:pPr>
        <w:pStyle w:val="Paragraphedeliste"/>
        <w:ind w:left="1287"/>
        <w:rPr>
          <w:b/>
          <w:bCs/>
          <w:sz w:val="24"/>
          <w:szCs w:val="24"/>
        </w:rPr>
      </w:pPr>
      <w:r w:rsidRPr="00924E52">
        <w:rPr>
          <w:rFonts w:cstheme="minorBidi"/>
          <w:b/>
          <w:bCs/>
          <w:i/>
          <w:iCs/>
          <w:sz w:val="24"/>
          <w:szCs w:val="24"/>
        </w:rPr>
        <w:t>2.1.1. Opinions des enquêtés sur leur intérêt pour les études</w:t>
      </w:r>
    </w:p>
    <w:p w14:paraId="6A816525" w14:textId="77777777" w:rsidR="00D80693" w:rsidRPr="00302924" w:rsidRDefault="00D80693" w:rsidP="001928FA">
      <w:pPr>
        <w:spacing w:before="120"/>
        <w:ind w:firstLine="567"/>
        <w:jc w:val="both"/>
        <w:rPr>
          <w:sz w:val="24"/>
          <w:szCs w:val="24"/>
        </w:rPr>
      </w:pPr>
      <w:r w:rsidRPr="00AB437E">
        <w:rPr>
          <w:rFonts w:cstheme="minorBidi"/>
          <w:sz w:val="24"/>
          <w:szCs w:val="24"/>
        </w:rPr>
        <w:t xml:space="preserve">Les enquêtés ont répondu à la question « aimes-tu généralement étudier ? » comme </w:t>
      </w:r>
      <w:r>
        <w:rPr>
          <w:rFonts w:cstheme="minorBidi"/>
          <w:sz w:val="24"/>
          <w:szCs w:val="24"/>
        </w:rPr>
        <w:t>indiqué par la figure suivante</w:t>
      </w:r>
      <w:r w:rsidRPr="00AB437E">
        <w:rPr>
          <w:rFonts w:cstheme="minorBidi"/>
          <w:sz w:val="24"/>
          <w:szCs w:val="24"/>
        </w:rPr>
        <w:t xml:space="preserve">. </w:t>
      </w:r>
    </w:p>
    <w:p w14:paraId="01121E9A" w14:textId="77777777" w:rsidR="00D80693" w:rsidRDefault="00D80693" w:rsidP="001928FA">
      <w:pPr>
        <w:adjustRightInd w:val="0"/>
        <w:spacing w:before="120"/>
        <w:jc w:val="center"/>
        <w:rPr>
          <w:rFonts w:eastAsia="Calibri"/>
          <w:i/>
          <w:iCs/>
          <w:sz w:val="20"/>
          <w:szCs w:val="20"/>
        </w:rPr>
      </w:pPr>
      <w:r>
        <w:rPr>
          <w:noProof/>
          <w:lang w:eastAsia="fr-FR"/>
        </w:rPr>
        <w:drawing>
          <wp:inline distT="0" distB="0" distL="0" distR="0" wp14:anchorId="4D7C26C9" wp14:editId="2EE8CA3B">
            <wp:extent cx="3081337" cy="2299970"/>
            <wp:effectExtent l="0" t="0" r="5080" b="5080"/>
            <wp:docPr id="1618554815" name="Image 7" descr="C:\Users\LENOVO\AppData\Local\Microsoft\Windows\INetCache\Content.Word\Nouvelle 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54815" name="Picture 7" descr="C:\Users\LENOVO\AppData\Local\Microsoft\Windows\INetCache\Content.Word\Nouvelle image (6).png"/>
                    <pic:cNvPicPr>
                      <a:picLocks noChangeAspect="1" noChangeArrowheads="1"/>
                    </pic:cNvPicPr>
                  </pic:nvPicPr>
                  <pic:blipFill>
                    <a:blip r:embed="rId177"/>
                    <a:stretch>
                      <a:fillRect/>
                    </a:stretch>
                  </pic:blipFill>
                  <pic:spPr bwMode="auto">
                    <a:xfrm>
                      <a:off x="0" y="0"/>
                      <a:ext cx="3085593" cy="2303147"/>
                    </a:xfrm>
                    <a:prstGeom prst="rect">
                      <a:avLst/>
                    </a:prstGeom>
                    <a:noFill/>
                    <a:ln w="9525">
                      <a:noFill/>
                      <a:miter lim="800000"/>
                      <a:headEnd/>
                      <a:tailEnd/>
                    </a:ln>
                  </pic:spPr>
                </pic:pic>
              </a:graphicData>
            </a:graphic>
          </wp:inline>
        </w:drawing>
      </w:r>
    </w:p>
    <w:p w14:paraId="2F2CAB79" w14:textId="77777777" w:rsidR="00D80693" w:rsidRPr="00CF1DDA" w:rsidRDefault="00D80693" w:rsidP="001928FA">
      <w:pPr>
        <w:adjustRightInd w:val="0"/>
        <w:spacing w:before="120"/>
        <w:jc w:val="center"/>
        <w:rPr>
          <w:rFonts w:eastAsia="Calibri"/>
          <w:i/>
          <w:iCs/>
          <w:sz w:val="24"/>
          <w:szCs w:val="24"/>
        </w:rPr>
      </w:pPr>
      <w:r w:rsidRPr="00CF1DDA">
        <w:rPr>
          <w:rFonts w:eastAsia="Calibri"/>
          <w:i/>
          <w:iCs/>
          <w:sz w:val="24"/>
          <w:szCs w:val="24"/>
        </w:rPr>
        <w:t>Source : Enquête, avril-mai 2025</w:t>
      </w:r>
    </w:p>
    <w:p w14:paraId="5FBB1D45" w14:textId="77777777" w:rsidR="00D80693" w:rsidRPr="00CF1DDA" w:rsidRDefault="00D80693" w:rsidP="001928FA">
      <w:pPr>
        <w:spacing w:before="120"/>
        <w:ind w:right="-142"/>
        <w:jc w:val="center"/>
        <w:rPr>
          <w:b/>
          <w:bCs/>
          <w:i/>
          <w:iCs/>
          <w:sz w:val="24"/>
          <w:szCs w:val="24"/>
        </w:rPr>
      </w:pPr>
      <w:r w:rsidRPr="00CF1DDA">
        <w:rPr>
          <w:b/>
          <w:bCs/>
          <w:i/>
          <w:iCs/>
          <w:sz w:val="24"/>
          <w:szCs w:val="24"/>
        </w:rPr>
        <w:t>Figure 1 :</w:t>
      </w:r>
      <w:r w:rsidRPr="00CF1DDA">
        <w:rPr>
          <w:rFonts w:eastAsia="Calibri"/>
          <w:b/>
          <w:bCs/>
          <w:i/>
          <w:iCs/>
          <w:sz w:val="24"/>
          <w:szCs w:val="24"/>
        </w:rPr>
        <w:t xml:space="preserve"> </w:t>
      </w:r>
      <w:r w:rsidRPr="00CF1DDA">
        <w:rPr>
          <w:b/>
          <w:bCs/>
          <w:i/>
          <w:iCs/>
          <w:sz w:val="24"/>
          <w:szCs w:val="24"/>
        </w:rPr>
        <w:t>Intérêt des apprenants pour les études</w:t>
      </w:r>
    </w:p>
    <w:p w14:paraId="285EBD04" w14:textId="77777777" w:rsidR="00D80693" w:rsidRPr="00302924" w:rsidRDefault="00D80693" w:rsidP="001928FA">
      <w:pPr>
        <w:spacing w:before="120"/>
        <w:ind w:right="60" w:firstLine="567"/>
        <w:jc w:val="both"/>
        <w:rPr>
          <w:sz w:val="6"/>
          <w:szCs w:val="6"/>
        </w:rPr>
      </w:pPr>
    </w:p>
    <w:p w14:paraId="13F8666E" w14:textId="7B6CE294" w:rsidR="00D80693" w:rsidRPr="008240D2" w:rsidRDefault="00D80693" w:rsidP="001928FA">
      <w:pPr>
        <w:spacing w:before="120"/>
        <w:ind w:right="60"/>
        <w:jc w:val="both"/>
        <w:rPr>
          <w:sz w:val="24"/>
          <w:szCs w:val="24"/>
        </w:rPr>
      </w:pPr>
      <w:r w:rsidRPr="00302924">
        <w:rPr>
          <w:rFonts w:cstheme="minorBidi"/>
          <w:sz w:val="24"/>
          <w:szCs w:val="24"/>
        </w:rPr>
        <w:t>La figure 1 indique que parmi les enquêtés près de la moitié parmi eux aiment toujours étudier, tandis que le quart affirme souvent aimer étudier. En outre, les trois-quarts soutiennent parfois aimer étudier alors qu’une minorité soutient ne pas du tout aimer étudier. Toutefois, quels sont leurs sentiments à l’égard de l’évaluation ?</w:t>
      </w:r>
    </w:p>
    <w:p w14:paraId="3B7E527E" w14:textId="77777777" w:rsidR="00D80693" w:rsidRPr="00924E52" w:rsidRDefault="00D80693" w:rsidP="001928FA">
      <w:pPr>
        <w:spacing w:before="120"/>
        <w:ind w:left="927"/>
        <w:jc w:val="both"/>
        <w:rPr>
          <w:b/>
          <w:bCs/>
          <w:i/>
          <w:iCs/>
          <w:sz w:val="24"/>
          <w:szCs w:val="24"/>
        </w:rPr>
      </w:pPr>
      <w:r w:rsidRPr="00924E52">
        <w:rPr>
          <w:rFonts w:cstheme="minorBidi"/>
          <w:b/>
          <w:bCs/>
          <w:i/>
          <w:iCs/>
          <w:sz w:val="24"/>
          <w:szCs w:val="24"/>
        </w:rPr>
        <w:t>2.1.2.</w:t>
      </w:r>
      <w:r w:rsidRPr="00924E52">
        <w:rPr>
          <w:rFonts w:cstheme="minorBidi"/>
          <w:i/>
          <w:iCs/>
          <w:sz w:val="24"/>
          <w:szCs w:val="24"/>
        </w:rPr>
        <w:t xml:space="preserve"> </w:t>
      </w:r>
      <w:r w:rsidRPr="00924E52">
        <w:rPr>
          <w:rFonts w:cstheme="minorBidi"/>
          <w:b/>
          <w:bCs/>
          <w:i/>
          <w:iCs/>
          <w:sz w:val="24"/>
          <w:szCs w:val="24"/>
        </w:rPr>
        <w:t>Opinions des enquêtés sur leurs sentiments à l’égard des évaluations</w:t>
      </w:r>
    </w:p>
    <w:p w14:paraId="5128B516" w14:textId="77777777" w:rsidR="00D80693" w:rsidRDefault="00D80693" w:rsidP="00F429F0">
      <w:pPr>
        <w:spacing w:before="120"/>
        <w:ind w:right="60"/>
        <w:jc w:val="both"/>
        <w:rPr>
          <w:sz w:val="24"/>
          <w:szCs w:val="24"/>
        </w:rPr>
      </w:pPr>
      <w:r w:rsidRPr="008240D2">
        <w:rPr>
          <w:rFonts w:cstheme="minorBidi"/>
          <w:sz w:val="24"/>
          <w:szCs w:val="24"/>
        </w:rPr>
        <w:t>A la question « quel sentiment éprouves-tu à l’égard des évaluations ? » les enquêtés ont répondu comme révélé par l</w:t>
      </w:r>
      <w:r>
        <w:rPr>
          <w:rFonts w:cstheme="minorBidi"/>
          <w:sz w:val="24"/>
          <w:szCs w:val="24"/>
        </w:rPr>
        <w:t>a figure suivante</w:t>
      </w:r>
      <w:r w:rsidRPr="008240D2">
        <w:rPr>
          <w:rFonts w:cstheme="minorBidi"/>
          <w:sz w:val="24"/>
          <w:szCs w:val="24"/>
        </w:rPr>
        <w:t>.</w:t>
      </w:r>
    </w:p>
    <w:p w14:paraId="21B7F7EB" w14:textId="77777777" w:rsidR="00D80693" w:rsidRPr="00BB1B5D" w:rsidRDefault="00D80693" w:rsidP="001928FA">
      <w:pPr>
        <w:spacing w:before="120"/>
        <w:ind w:right="60"/>
        <w:jc w:val="both"/>
        <w:rPr>
          <w:sz w:val="12"/>
          <w:szCs w:val="12"/>
        </w:rPr>
      </w:pPr>
    </w:p>
    <w:p w14:paraId="29AEAD91" w14:textId="77777777" w:rsidR="00D80693" w:rsidRDefault="00D80693" w:rsidP="001928FA">
      <w:pPr>
        <w:adjustRightInd w:val="0"/>
        <w:spacing w:before="120"/>
        <w:jc w:val="center"/>
        <w:rPr>
          <w:rFonts w:eastAsia="Calibri"/>
          <w:i/>
          <w:iCs/>
        </w:rPr>
      </w:pPr>
      <w:r>
        <w:rPr>
          <w:noProof/>
        </w:rPr>
        <w:drawing>
          <wp:inline distT="0" distB="0" distL="0" distR="0" wp14:anchorId="33A311C6" wp14:editId="11EDB8B1">
            <wp:extent cx="3395663" cy="2266950"/>
            <wp:effectExtent l="0" t="0" r="0" b="0"/>
            <wp:docPr id="25" name="Image 1" descr="C:\Users\LENOVO\AppData\Local\Microsoft\Windows\INetCache\Content.Word\Nouvelle 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Users\LENOVO\AppData\Local\Microsoft\Windows\INetCache\Content.Word\Nouvelle image (5).png"/>
                    <pic:cNvPicPr>
                      <a:picLocks noChangeAspect="1"/>
                    </pic:cNvPicPr>
                  </pic:nvPicPr>
                  <pic:blipFill>
                    <a:blip r:embed="rId178"/>
                    <a:stretch>
                      <a:fillRect/>
                    </a:stretch>
                  </pic:blipFill>
                  <pic:spPr bwMode="auto">
                    <a:xfrm>
                      <a:off x="0" y="0"/>
                      <a:ext cx="3413249" cy="2278690"/>
                    </a:xfrm>
                    <a:prstGeom prst="rect">
                      <a:avLst/>
                    </a:prstGeom>
                    <a:noFill/>
                    <a:ln w="9525">
                      <a:noFill/>
                      <a:miter lim="800000"/>
                      <a:headEnd/>
                      <a:tailEnd/>
                    </a:ln>
                  </pic:spPr>
                </pic:pic>
              </a:graphicData>
            </a:graphic>
          </wp:inline>
        </w:drawing>
      </w:r>
    </w:p>
    <w:p w14:paraId="2D455A2F" w14:textId="77777777" w:rsidR="00D80693" w:rsidRDefault="00D80693" w:rsidP="001928FA">
      <w:pPr>
        <w:adjustRightInd w:val="0"/>
        <w:spacing w:before="120"/>
        <w:jc w:val="center"/>
        <w:rPr>
          <w:rFonts w:eastAsia="Calibri"/>
          <w:i/>
          <w:iCs/>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58A193FD" w14:textId="77777777" w:rsidR="00D80693" w:rsidRPr="005E55BD" w:rsidRDefault="00D80693" w:rsidP="001928FA">
      <w:pPr>
        <w:spacing w:before="120"/>
        <w:ind w:right="-142"/>
        <w:jc w:val="center"/>
        <w:rPr>
          <w:b/>
          <w:bCs/>
          <w:i/>
          <w:iCs/>
          <w:sz w:val="24"/>
          <w:szCs w:val="24"/>
        </w:rPr>
      </w:pPr>
      <w:r w:rsidRPr="00CF1DDA">
        <w:rPr>
          <w:b/>
          <w:bCs/>
          <w:i/>
          <w:iCs/>
          <w:sz w:val="24"/>
          <w:szCs w:val="24"/>
        </w:rPr>
        <w:t xml:space="preserve">Figure </w:t>
      </w:r>
      <w:r>
        <w:rPr>
          <w:b/>
          <w:bCs/>
          <w:i/>
          <w:iCs/>
          <w:sz w:val="24"/>
          <w:szCs w:val="24"/>
        </w:rPr>
        <w:t>2</w:t>
      </w:r>
      <w:r w:rsidRPr="00CF1DDA">
        <w:rPr>
          <w:b/>
          <w:bCs/>
          <w:i/>
          <w:iCs/>
          <w:sz w:val="24"/>
          <w:szCs w:val="24"/>
        </w:rPr>
        <w:t> :</w:t>
      </w:r>
      <w:r w:rsidRPr="00CF1DDA">
        <w:rPr>
          <w:rFonts w:eastAsia="Calibri"/>
          <w:b/>
          <w:bCs/>
          <w:i/>
          <w:iCs/>
          <w:sz w:val="24"/>
          <w:szCs w:val="24"/>
        </w:rPr>
        <w:t xml:space="preserve"> </w:t>
      </w:r>
      <w:r>
        <w:rPr>
          <w:b/>
          <w:bCs/>
          <w:i/>
          <w:iCs/>
          <w:sz w:val="24"/>
          <w:szCs w:val="24"/>
        </w:rPr>
        <w:t>Sentiments à l’égard de l’évaluation</w:t>
      </w:r>
    </w:p>
    <w:p w14:paraId="49B745B9" w14:textId="77777777" w:rsidR="00D80693" w:rsidRPr="000F7851" w:rsidRDefault="00D80693" w:rsidP="001928FA">
      <w:pPr>
        <w:adjustRightInd w:val="0"/>
        <w:spacing w:before="120"/>
        <w:rPr>
          <w:rFonts w:eastAsia="Calibri"/>
          <w:sz w:val="2"/>
          <w:szCs w:val="2"/>
        </w:rPr>
      </w:pPr>
    </w:p>
    <w:p w14:paraId="16FAAADE" w14:textId="77777777" w:rsidR="00D80693" w:rsidRDefault="00D80693" w:rsidP="00F429F0">
      <w:pPr>
        <w:spacing w:before="120"/>
        <w:ind w:right="60"/>
        <w:jc w:val="both"/>
        <w:rPr>
          <w:sz w:val="24"/>
          <w:szCs w:val="24"/>
        </w:rPr>
      </w:pPr>
      <w:r>
        <w:rPr>
          <w:rFonts w:cstheme="minorBidi"/>
          <w:sz w:val="24"/>
          <w:szCs w:val="24"/>
        </w:rPr>
        <w:t>La figure</w:t>
      </w:r>
      <w:r w:rsidRPr="008240D2">
        <w:rPr>
          <w:rFonts w:cstheme="minorBidi"/>
          <w:sz w:val="24"/>
          <w:szCs w:val="24"/>
        </w:rPr>
        <w:t xml:space="preserve"> précédent</w:t>
      </w:r>
      <w:r>
        <w:rPr>
          <w:rFonts w:cstheme="minorBidi"/>
          <w:sz w:val="24"/>
          <w:szCs w:val="24"/>
        </w:rPr>
        <w:t xml:space="preserve">e révèle </w:t>
      </w:r>
      <w:r w:rsidRPr="008240D2">
        <w:rPr>
          <w:rFonts w:cstheme="minorBidi"/>
          <w:sz w:val="24"/>
          <w:szCs w:val="24"/>
        </w:rPr>
        <w:t>qu</w:t>
      </w:r>
      <w:r>
        <w:rPr>
          <w:rFonts w:cstheme="minorBidi"/>
          <w:sz w:val="24"/>
          <w:szCs w:val="24"/>
        </w:rPr>
        <w:t>’un peu</w:t>
      </w:r>
      <w:r w:rsidRPr="008240D2">
        <w:rPr>
          <w:rFonts w:cstheme="minorBidi"/>
          <w:sz w:val="24"/>
          <w:szCs w:val="24"/>
        </w:rPr>
        <w:t xml:space="preserve"> </w:t>
      </w:r>
      <w:r>
        <w:rPr>
          <w:rFonts w:cstheme="minorBidi"/>
          <w:sz w:val="24"/>
          <w:szCs w:val="24"/>
        </w:rPr>
        <w:t xml:space="preserve">plus de deux tiers des enquêtés </w:t>
      </w:r>
      <w:r w:rsidRPr="008240D2">
        <w:rPr>
          <w:rFonts w:cstheme="minorBidi"/>
          <w:sz w:val="24"/>
          <w:szCs w:val="24"/>
        </w:rPr>
        <w:t>ont une perception plutôt défavorable de l’évaluation</w:t>
      </w:r>
      <w:r>
        <w:rPr>
          <w:rFonts w:cstheme="minorBidi"/>
          <w:sz w:val="24"/>
          <w:szCs w:val="24"/>
        </w:rPr>
        <w:t>. Soit, ils les craignent, soit, ils</w:t>
      </w:r>
      <w:r w:rsidRPr="008240D2">
        <w:rPr>
          <w:rFonts w:cstheme="minorBidi"/>
          <w:sz w:val="24"/>
          <w:szCs w:val="24"/>
        </w:rPr>
        <w:t xml:space="preserve"> les déteste</w:t>
      </w:r>
      <w:r>
        <w:rPr>
          <w:rFonts w:cstheme="minorBidi"/>
          <w:sz w:val="24"/>
          <w:szCs w:val="24"/>
        </w:rPr>
        <w:t>nt</w:t>
      </w:r>
      <w:r w:rsidRPr="008240D2">
        <w:rPr>
          <w:rFonts w:cstheme="minorBidi"/>
          <w:sz w:val="24"/>
          <w:szCs w:val="24"/>
        </w:rPr>
        <w:t>. Toutefois, quel</w:t>
      </w:r>
      <w:r>
        <w:rPr>
          <w:rFonts w:cstheme="minorBidi"/>
          <w:sz w:val="24"/>
          <w:szCs w:val="24"/>
        </w:rPr>
        <w:t>s</w:t>
      </w:r>
      <w:r w:rsidRPr="008240D2">
        <w:rPr>
          <w:rFonts w:cstheme="minorBidi"/>
          <w:sz w:val="24"/>
          <w:szCs w:val="24"/>
        </w:rPr>
        <w:t xml:space="preserve"> comportement</w:t>
      </w:r>
      <w:r>
        <w:rPr>
          <w:rFonts w:cstheme="minorBidi"/>
          <w:sz w:val="24"/>
          <w:szCs w:val="24"/>
        </w:rPr>
        <w:t>s</w:t>
      </w:r>
      <w:r w:rsidRPr="008240D2">
        <w:rPr>
          <w:rFonts w:cstheme="minorBidi"/>
          <w:sz w:val="24"/>
          <w:szCs w:val="24"/>
        </w:rPr>
        <w:t xml:space="preserve"> adopte</w:t>
      </w:r>
      <w:r>
        <w:rPr>
          <w:rFonts w:cstheme="minorBidi"/>
          <w:sz w:val="24"/>
          <w:szCs w:val="24"/>
        </w:rPr>
        <w:t>nt</w:t>
      </w:r>
      <w:r w:rsidRPr="008240D2">
        <w:rPr>
          <w:rFonts w:cstheme="minorBidi"/>
          <w:sz w:val="24"/>
          <w:szCs w:val="24"/>
        </w:rPr>
        <w:t xml:space="preserve"> l</w:t>
      </w:r>
      <w:r>
        <w:rPr>
          <w:rFonts w:cstheme="minorBidi"/>
          <w:sz w:val="24"/>
          <w:szCs w:val="24"/>
        </w:rPr>
        <w:t xml:space="preserve">es </w:t>
      </w:r>
      <w:r w:rsidRPr="008240D2">
        <w:rPr>
          <w:rFonts w:cstheme="minorBidi"/>
          <w:sz w:val="24"/>
          <w:szCs w:val="24"/>
        </w:rPr>
        <w:t>élève</w:t>
      </w:r>
      <w:r>
        <w:rPr>
          <w:rFonts w:cstheme="minorBidi"/>
          <w:sz w:val="24"/>
          <w:szCs w:val="24"/>
        </w:rPr>
        <w:t>s</w:t>
      </w:r>
      <w:r w:rsidRPr="008240D2">
        <w:rPr>
          <w:rFonts w:cstheme="minorBidi"/>
          <w:sz w:val="24"/>
          <w:szCs w:val="24"/>
        </w:rPr>
        <w:t xml:space="preserve"> du fait des évaluations ?</w:t>
      </w:r>
    </w:p>
    <w:p w14:paraId="3FB7DA59" w14:textId="77777777" w:rsidR="00D80693" w:rsidRPr="00F90857" w:rsidRDefault="00D80693" w:rsidP="001928FA">
      <w:pPr>
        <w:spacing w:before="120"/>
        <w:ind w:left="927"/>
        <w:jc w:val="both"/>
        <w:rPr>
          <w:b/>
          <w:bCs/>
          <w:i/>
          <w:iCs/>
          <w:sz w:val="24"/>
          <w:szCs w:val="24"/>
        </w:rPr>
      </w:pPr>
      <w:r w:rsidRPr="00F90857">
        <w:rPr>
          <w:rFonts w:cstheme="minorBidi"/>
          <w:b/>
          <w:bCs/>
          <w:i/>
          <w:iCs/>
          <w:sz w:val="24"/>
          <w:szCs w:val="24"/>
        </w:rPr>
        <w:t xml:space="preserve">2.1.3. Opinions des enquêtés sur l’influence de l’évaluation assiduité </w:t>
      </w:r>
    </w:p>
    <w:p w14:paraId="0B40524A" w14:textId="77777777" w:rsidR="00D80693" w:rsidRPr="003F35CB" w:rsidRDefault="00D80693" w:rsidP="001928FA">
      <w:pPr>
        <w:spacing w:before="120"/>
        <w:ind w:right="60"/>
        <w:jc w:val="both"/>
        <w:rPr>
          <w:sz w:val="6"/>
          <w:szCs w:val="6"/>
        </w:rPr>
      </w:pPr>
    </w:p>
    <w:p w14:paraId="3DA19F13" w14:textId="77777777" w:rsidR="00D80693" w:rsidRPr="001F3123" w:rsidRDefault="00D80693" w:rsidP="001928FA">
      <w:pPr>
        <w:adjustRightInd w:val="0"/>
        <w:spacing w:before="120"/>
        <w:ind w:firstLine="1276"/>
        <w:rPr>
          <w:rFonts w:eastAsia="Calibri"/>
          <w:b/>
          <w:bCs/>
          <w:i/>
          <w:iCs/>
        </w:rPr>
      </w:pPr>
      <w:r w:rsidRPr="001F3123">
        <w:rPr>
          <w:rFonts w:eastAsia="Calibri"/>
          <w:b/>
          <w:bCs/>
          <w:i/>
          <w:iCs/>
        </w:rPr>
        <w:t>Tableau n°</w:t>
      </w:r>
      <w:r>
        <w:rPr>
          <w:rFonts w:eastAsia="Calibri"/>
          <w:b/>
          <w:bCs/>
          <w:i/>
          <w:iCs/>
        </w:rPr>
        <w:t>1</w:t>
      </w:r>
      <w:r w:rsidRPr="001F3123">
        <w:rPr>
          <w:rFonts w:eastAsia="Calibri"/>
          <w:b/>
          <w:bCs/>
          <w:i/>
          <w:iCs/>
        </w:rPr>
        <w:t xml:space="preserve"> : Influence de l’évaluation sur l’assiduité</w:t>
      </w:r>
    </w:p>
    <w:tbl>
      <w:tblPr>
        <w:tblW w:w="8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2140"/>
        <w:gridCol w:w="1215"/>
        <w:gridCol w:w="1275"/>
        <w:gridCol w:w="1275"/>
        <w:gridCol w:w="1276"/>
      </w:tblGrid>
      <w:tr w:rsidR="00D80693" w14:paraId="1D889B52" w14:textId="77777777" w:rsidTr="00D72320">
        <w:trPr>
          <w:cantSplit/>
          <w:jc w:val="center"/>
        </w:trPr>
        <w:tc>
          <w:tcPr>
            <w:tcW w:w="317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C606C99" w14:textId="77777777" w:rsidR="00D80693" w:rsidRPr="00AB437E" w:rsidRDefault="00D80693" w:rsidP="001928FA">
            <w:pPr>
              <w:adjustRightInd w:val="0"/>
              <w:spacing w:before="120"/>
              <w:rPr>
                <w:rFonts w:eastAsia="Calibri"/>
              </w:rPr>
            </w:pPr>
          </w:p>
        </w:tc>
        <w:tc>
          <w:tcPr>
            <w:tcW w:w="1215" w:type="dxa"/>
            <w:tcBorders>
              <w:top w:val="single" w:sz="4" w:space="0" w:color="auto"/>
              <w:left w:val="single" w:sz="4" w:space="0" w:color="auto"/>
              <w:bottom w:val="single" w:sz="4" w:space="0" w:color="auto"/>
              <w:right w:val="single" w:sz="4" w:space="0" w:color="auto"/>
            </w:tcBorders>
            <w:shd w:val="clear" w:color="auto" w:fill="FFFFFF"/>
            <w:vAlign w:val="bottom"/>
          </w:tcPr>
          <w:p w14:paraId="1A331B7A"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Fréquence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35B1CE65"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Pourcentage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0147BF94"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Pourcentage valide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388D3DCC"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Pourcentage cumulé</w:t>
            </w:r>
          </w:p>
        </w:tc>
      </w:tr>
      <w:tr w:rsidR="00D80693" w14:paraId="3A091DF8" w14:textId="77777777" w:rsidTr="00D72320">
        <w:trPr>
          <w:cantSplit/>
          <w:jc w:val="center"/>
        </w:trPr>
        <w:tc>
          <w:tcPr>
            <w:tcW w:w="1035" w:type="dxa"/>
            <w:vMerge w:val="restart"/>
            <w:tcBorders>
              <w:top w:val="single" w:sz="4" w:space="0" w:color="auto"/>
              <w:left w:val="single" w:sz="4" w:space="0" w:color="auto"/>
              <w:bottom w:val="single" w:sz="4" w:space="0" w:color="auto"/>
              <w:right w:val="single" w:sz="4" w:space="0" w:color="auto"/>
            </w:tcBorders>
            <w:shd w:val="clear" w:color="auto" w:fill="FFFFFF"/>
          </w:tcPr>
          <w:p w14:paraId="1CBB606C" w14:textId="77777777" w:rsidR="00D80693" w:rsidRPr="00AB437E" w:rsidRDefault="00D80693" w:rsidP="001928FA">
            <w:pPr>
              <w:adjustRightInd w:val="0"/>
              <w:spacing w:before="120"/>
              <w:ind w:left="60" w:right="60"/>
              <w:rPr>
                <w:rFonts w:eastAsia="Calibri"/>
                <w:color w:val="000000"/>
              </w:rPr>
            </w:pPr>
          </w:p>
          <w:p w14:paraId="5B6EDB96" w14:textId="77777777" w:rsidR="00D80693" w:rsidRPr="00AB437E" w:rsidRDefault="00D80693" w:rsidP="001928FA">
            <w:pPr>
              <w:adjustRightInd w:val="0"/>
              <w:spacing w:before="120"/>
              <w:ind w:left="60" w:right="60"/>
              <w:rPr>
                <w:rFonts w:eastAsia="Calibri"/>
                <w:color w:val="000000"/>
              </w:rPr>
            </w:pPr>
          </w:p>
          <w:p w14:paraId="46EAE6DA" w14:textId="77777777" w:rsidR="00D80693" w:rsidRPr="00AB437E" w:rsidRDefault="00D80693" w:rsidP="001928FA">
            <w:pPr>
              <w:adjustRightInd w:val="0"/>
              <w:spacing w:before="120"/>
              <w:ind w:left="60" w:right="60"/>
              <w:rPr>
                <w:rFonts w:eastAsia="Calibri"/>
                <w:color w:val="000000"/>
              </w:rPr>
            </w:pPr>
          </w:p>
          <w:p w14:paraId="3CA71F79"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Modalités</w:t>
            </w:r>
          </w:p>
        </w:tc>
        <w:tc>
          <w:tcPr>
            <w:tcW w:w="2140" w:type="dxa"/>
            <w:tcBorders>
              <w:top w:val="single" w:sz="4" w:space="0" w:color="auto"/>
              <w:left w:val="single" w:sz="4" w:space="0" w:color="auto"/>
              <w:bottom w:val="single" w:sz="4" w:space="0" w:color="auto"/>
              <w:right w:val="single" w:sz="4" w:space="0" w:color="auto"/>
            </w:tcBorders>
            <w:shd w:val="clear" w:color="auto" w:fill="FFFFFF"/>
          </w:tcPr>
          <w:p w14:paraId="726F3C78"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Les évaluations me poussent à être toujours présent</w:t>
            </w:r>
          </w:p>
        </w:tc>
        <w:tc>
          <w:tcPr>
            <w:tcW w:w="1215" w:type="dxa"/>
            <w:tcBorders>
              <w:top w:val="single" w:sz="4" w:space="0" w:color="auto"/>
              <w:left w:val="single" w:sz="4" w:space="0" w:color="auto"/>
              <w:bottom w:val="nil"/>
              <w:right w:val="single" w:sz="4" w:space="0" w:color="auto"/>
            </w:tcBorders>
            <w:shd w:val="clear" w:color="auto" w:fill="FFFFFF"/>
            <w:vAlign w:val="center"/>
          </w:tcPr>
          <w:p w14:paraId="306FCDCB"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483</w:t>
            </w:r>
          </w:p>
        </w:tc>
        <w:tc>
          <w:tcPr>
            <w:tcW w:w="1275" w:type="dxa"/>
            <w:tcBorders>
              <w:top w:val="single" w:sz="4" w:space="0" w:color="auto"/>
              <w:left w:val="single" w:sz="4" w:space="0" w:color="auto"/>
              <w:bottom w:val="nil"/>
              <w:right w:val="single" w:sz="4" w:space="0" w:color="auto"/>
            </w:tcBorders>
            <w:shd w:val="clear" w:color="auto" w:fill="FFFFFF"/>
            <w:vAlign w:val="center"/>
          </w:tcPr>
          <w:p w14:paraId="4C36A482"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96,6</w:t>
            </w:r>
          </w:p>
        </w:tc>
        <w:tc>
          <w:tcPr>
            <w:tcW w:w="1275" w:type="dxa"/>
            <w:tcBorders>
              <w:top w:val="single" w:sz="4" w:space="0" w:color="auto"/>
              <w:left w:val="single" w:sz="4" w:space="0" w:color="auto"/>
              <w:bottom w:val="nil"/>
              <w:right w:val="single" w:sz="4" w:space="0" w:color="auto"/>
            </w:tcBorders>
            <w:shd w:val="clear" w:color="auto" w:fill="FFFFFF"/>
            <w:vAlign w:val="center"/>
          </w:tcPr>
          <w:p w14:paraId="6751FF2B"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96,6</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4FB6FCB2"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96,6</w:t>
            </w:r>
          </w:p>
        </w:tc>
      </w:tr>
      <w:tr w:rsidR="00D80693" w14:paraId="2F42DA39" w14:textId="77777777" w:rsidTr="00D72320">
        <w:trPr>
          <w:cantSplit/>
          <w:jc w:val="center"/>
        </w:trPr>
        <w:tc>
          <w:tcPr>
            <w:tcW w:w="1035" w:type="dxa"/>
            <w:vMerge/>
            <w:tcBorders>
              <w:top w:val="single" w:sz="4" w:space="0" w:color="auto"/>
              <w:left w:val="single" w:sz="4" w:space="0" w:color="auto"/>
              <w:bottom w:val="single" w:sz="4" w:space="0" w:color="auto"/>
              <w:right w:val="single" w:sz="4" w:space="0" w:color="auto"/>
            </w:tcBorders>
            <w:shd w:val="clear" w:color="auto" w:fill="FFFFFF"/>
          </w:tcPr>
          <w:p w14:paraId="0ACF7CC0" w14:textId="77777777" w:rsidR="00D80693" w:rsidRPr="00AB437E" w:rsidRDefault="00D80693" w:rsidP="001928FA">
            <w:pPr>
              <w:adjustRightInd w:val="0"/>
              <w:spacing w:before="120"/>
              <w:rPr>
                <w:rFonts w:eastAsia="Calibri"/>
                <w:color w:val="000000"/>
              </w:rPr>
            </w:pPr>
          </w:p>
        </w:tc>
        <w:tc>
          <w:tcPr>
            <w:tcW w:w="2140" w:type="dxa"/>
            <w:tcBorders>
              <w:top w:val="single" w:sz="4" w:space="0" w:color="auto"/>
              <w:left w:val="single" w:sz="4" w:space="0" w:color="auto"/>
              <w:bottom w:val="single" w:sz="4" w:space="0" w:color="auto"/>
              <w:right w:val="single" w:sz="4" w:space="0" w:color="auto"/>
            </w:tcBorders>
            <w:shd w:val="clear" w:color="auto" w:fill="FFFFFF"/>
          </w:tcPr>
          <w:p w14:paraId="54F19A6E"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Les évaluations font que je n'aime pas aller à l'école</w:t>
            </w:r>
          </w:p>
        </w:tc>
        <w:tc>
          <w:tcPr>
            <w:tcW w:w="1215" w:type="dxa"/>
            <w:tcBorders>
              <w:top w:val="nil"/>
              <w:left w:val="single" w:sz="4" w:space="0" w:color="auto"/>
              <w:bottom w:val="nil"/>
              <w:right w:val="single" w:sz="4" w:space="0" w:color="auto"/>
            </w:tcBorders>
            <w:shd w:val="clear" w:color="auto" w:fill="FFFFFF"/>
            <w:vAlign w:val="center"/>
          </w:tcPr>
          <w:p w14:paraId="53BE4F24"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17</w:t>
            </w:r>
          </w:p>
        </w:tc>
        <w:tc>
          <w:tcPr>
            <w:tcW w:w="1275" w:type="dxa"/>
            <w:tcBorders>
              <w:top w:val="nil"/>
              <w:left w:val="single" w:sz="4" w:space="0" w:color="auto"/>
              <w:bottom w:val="nil"/>
              <w:right w:val="single" w:sz="4" w:space="0" w:color="auto"/>
            </w:tcBorders>
            <w:shd w:val="clear" w:color="auto" w:fill="FFFFFF"/>
            <w:vAlign w:val="center"/>
          </w:tcPr>
          <w:p w14:paraId="46EF0878"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3,4</w:t>
            </w:r>
          </w:p>
        </w:tc>
        <w:tc>
          <w:tcPr>
            <w:tcW w:w="1275" w:type="dxa"/>
            <w:tcBorders>
              <w:top w:val="nil"/>
              <w:left w:val="single" w:sz="4" w:space="0" w:color="auto"/>
              <w:bottom w:val="nil"/>
              <w:right w:val="single" w:sz="4" w:space="0" w:color="auto"/>
            </w:tcBorders>
            <w:shd w:val="clear" w:color="auto" w:fill="FFFFFF"/>
            <w:vAlign w:val="center"/>
          </w:tcPr>
          <w:p w14:paraId="5B24CF1D"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3,4</w:t>
            </w:r>
          </w:p>
        </w:tc>
        <w:tc>
          <w:tcPr>
            <w:tcW w:w="1276" w:type="dxa"/>
            <w:tcBorders>
              <w:top w:val="nil"/>
              <w:left w:val="single" w:sz="4" w:space="0" w:color="auto"/>
              <w:bottom w:val="nil"/>
              <w:right w:val="single" w:sz="4" w:space="0" w:color="auto"/>
            </w:tcBorders>
            <w:shd w:val="clear" w:color="auto" w:fill="FFFFFF"/>
            <w:vAlign w:val="center"/>
          </w:tcPr>
          <w:p w14:paraId="2E2A7E7A"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100,0</w:t>
            </w:r>
          </w:p>
        </w:tc>
      </w:tr>
      <w:tr w:rsidR="00D80693" w14:paraId="7C2E3C12" w14:textId="77777777" w:rsidTr="00D72320">
        <w:trPr>
          <w:cantSplit/>
          <w:jc w:val="center"/>
        </w:trPr>
        <w:tc>
          <w:tcPr>
            <w:tcW w:w="1035" w:type="dxa"/>
            <w:vMerge/>
            <w:tcBorders>
              <w:top w:val="single" w:sz="4" w:space="0" w:color="auto"/>
              <w:left w:val="single" w:sz="4" w:space="0" w:color="auto"/>
              <w:bottom w:val="single" w:sz="4" w:space="0" w:color="auto"/>
              <w:right w:val="single" w:sz="4" w:space="0" w:color="auto"/>
            </w:tcBorders>
            <w:shd w:val="clear" w:color="auto" w:fill="FFFFFF"/>
          </w:tcPr>
          <w:p w14:paraId="32BA969F" w14:textId="77777777" w:rsidR="00D80693" w:rsidRPr="00AB437E" w:rsidRDefault="00D80693" w:rsidP="001928FA">
            <w:pPr>
              <w:adjustRightInd w:val="0"/>
              <w:spacing w:before="120"/>
              <w:rPr>
                <w:rFonts w:eastAsia="Calibri"/>
                <w:color w:val="000000"/>
              </w:rPr>
            </w:pPr>
          </w:p>
        </w:tc>
        <w:tc>
          <w:tcPr>
            <w:tcW w:w="2140" w:type="dxa"/>
            <w:tcBorders>
              <w:top w:val="single" w:sz="4" w:space="0" w:color="auto"/>
              <w:left w:val="single" w:sz="4" w:space="0" w:color="auto"/>
              <w:bottom w:val="single" w:sz="4" w:space="0" w:color="auto"/>
              <w:right w:val="single" w:sz="4" w:space="0" w:color="auto"/>
            </w:tcBorders>
            <w:shd w:val="clear" w:color="auto" w:fill="FFFFFF"/>
          </w:tcPr>
          <w:p w14:paraId="3B312A67"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Total</w:t>
            </w:r>
          </w:p>
        </w:tc>
        <w:tc>
          <w:tcPr>
            <w:tcW w:w="1215" w:type="dxa"/>
            <w:tcBorders>
              <w:top w:val="nil"/>
              <w:left w:val="single" w:sz="4" w:space="0" w:color="auto"/>
              <w:bottom w:val="single" w:sz="4" w:space="0" w:color="auto"/>
              <w:right w:val="single" w:sz="4" w:space="0" w:color="auto"/>
            </w:tcBorders>
            <w:shd w:val="clear" w:color="auto" w:fill="FFFFFF"/>
            <w:vAlign w:val="center"/>
          </w:tcPr>
          <w:p w14:paraId="683486AF"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500</w:t>
            </w:r>
          </w:p>
        </w:tc>
        <w:tc>
          <w:tcPr>
            <w:tcW w:w="1275" w:type="dxa"/>
            <w:tcBorders>
              <w:top w:val="nil"/>
              <w:left w:val="single" w:sz="4" w:space="0" w:color="auto"/>
              <w:bottom w:val="single" w:sz="4" w:space="0" w:color="auto"/>
              <w:right w:val="single" w:sz="4" w:space="0" w:color="auto"/>
            </w:tcBorders>
            <w:shd w:val="clear" w:color="auto" w:fill="FFFFFF"/>
            <w:vAlign w:val="center"/>
          </w:tcPr>
          <w:p w14:paraId="421FDC8A"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100,0</w:t>
            </w:r>
          </w:p>
        </w:tc>
        <w:tc>
          <w:tcPr>
            <w:tcW w:w="1275" w:type="dxa"/>
            <w:tcBorders>
              <w:top w:val="nil"/>
              <w:left w:val="single" w:sz="4" w:space="0" w:color="auto"/>
              <w:bottom w:val="single" w:sz="4" w:space="0" w:color="auto"/>
              <w:right w:val="single" w:sz="4" w:space="0" w:color="auto"/>
            </w:tcBorders>
            <w:shd w:val="clear" w:color="auto" w:fill="FFFFFF"/>
            <w:vAlign w:val="center"/>
          </w:tcPr>
          <w:p w14:paraId="5B5C625D"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02366786" w14:textId="77777777" w:rsidR="00D80693" w:rsidRPr="00AB437E" w:rsidRDefault="00D80693" w:rsidP="001928FA">
            <w:pPr>
              <w:adjustRightInd w:val="0"/>
              <w:spacing w:before="120"/>
              <w:jc w:val="center"/>
              <w:rPr>
                <w:rFonts w:eastAsia="Calibri"/>
              </w:rPr>
            </w:pPr>
          </w:p>
        </w:tc>
      </w:tr>
    </w:tbl>
    <w:p w14:paraId="14C367D2" w14:textId="77777777" w:rsidR="00D80693" w:rsidRPr="008240D2" w:rsidRDefault="00D80693" w:rsidP="001928FA">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27728F46" w14:textId="77777777" w:rsidR="00D80693" w:rsidRPr="00AB437E" w:rsidRDefault="00D80693" w:rsidP="001928FA">
      <w:pPr>
        <w:adjustRightInd w:val="0"/>
        <w:spacing w:before="120"/>
        <w:rPr>
          <w:rFonts w:eastAsia="Calibri"/>
          <w:sz w:val="8"/>
          <w:szCs w:val="8"/>
        </w:rPr>
      </w:pPr>
    </w:p>
    <w:p w14:paraId="70EF3BCE" w14:textId="77777777" w:rsidR="00D80693" w:rsidRDefault="00D80693" w:rsidP="00F429F0">
      <w:pPr>
        <w:spacing w:before="120"/>
        <w:ind w:right="60"/>
        <w:jc w:val="both"/>
        <w:rPr>
          <w:sz w:val="24"/>
          <w:szCs w:val="24"/>
        </w:rPr>
      </w:pPr>
      <w:r w:rsidRPr="008240D2">
        <w:rPr>
          <w:rFonts w:cstheme="minorBidi"/>
          <w:sz w:val="24"/>
          <w:szCs w:val="24"/>
        </w:rPr>
        <w:t>L’écrasante majorité affirme que les évaluations sont un facteur justifi</w:t>
      </w:r>
      <w:r>
        <w:rPr>
          <w:rFonts w:cstheme="minorBidi"/>
          <w:sz w:val="24"/>
          <w:szCs w:val="24"/>
        </w:rPr>
        <w:t>ant</w:t>
      </w:r>
      <w:r w:rsidRPr="008240D2">
        <w:rPr>
          <w:rFonts w:cstheme="minorBidi"/>
          <w:sz w:val="24"/>
          <w:szCs w:val="24"/>
        </w:rPr>
        <w:t xml:space="preserve"> leur assiduité à l’école. Seule une minorité déclare que les évaluations inhibent leur volonté d’aller à l’école. De ce qui précède, l’on peut relever que les évaluations ont un impact positif sur l’assiduité des apprenants. Toutefois, quel est l’avis de ces derniers sur l’importance des évaluations pour la compréhension des cours ? </w:t>
      </w:r>
    </w:p>
    <w:p w14:paraId="6CB5BFB4" w14:textId="70113E4B" w:rsidR="00D80693" w:rsidRPr="00F429F0" w:rsidRDefault="00D80693" w:rsidP="00F429F0">
      <w:pPr>
        <w:pStyle w:val="Paragraphedeliste"/>
        <w:ind w:left="1287"/>
        <w:rPr>
          <w:b/>
          <w:bCs/>
          <w:i/>
          <w:iCs/>
          <w:sz w:val="24"/>
          <w:szCs w:val="24"/>
        </w:rPr>
      </w:pPr>
      <w:r w:rsidRPr="00F90857">
        <w:rPr>
          <w:rFonts w:cstheme="minorBidi"/>
          <w:b/>
          <w:bCs/>
          <w:i/>
          <w:iCs/>
          <w:sz w:val="24"/>
          <w:szCs w:val="24"/>
        </w:rPr>
        <w:t>2.1.4. Opinions des enquêtés sur l’importance des exercices pour l’apprentissage</w:t>
      </w:r>
    </w:p>
    <w:p w14:paraId="13884239" w14:textId="77777777" w:rsidR="00D80693" w:rsidRDefault="00D80693" w:rsidP="001928FA">
      <w:pPr>
        <w:spacing w:before="120"/>
        <w:ind w:right="60" w:firstLine="567"/>
        <w:jc w:val="both"/>
        <w:rPr>
          <w:rFonts w:eastAsia="Calibri"/>
          <w:sz w:val="24"/>
          <w:szCs w:val="24"/>
        </w:rPr>
      </w:pPr>
      <w:r w:rsidRPr="008240D2">
        <w:rPr>
          <w:rFonts w:eastAsia="Calibri"/>
          <w:sz w:val="24"/>
          <w:szCs w:val="24"/>
        </w:rPr>
        <w:t xml:space="preserve">L’avis des </w:t>
      </w:r>
      <w:r w:rsidRPr="00C1242E">
        <w:rPr>
          <w:rFonts w:cstheme="minorBidi"/>
          <w:sz w:val="24"/>
          <w:szCs w:val="24"/>
        </w:rPr>
        <w:t>enquêtés</w:t>
      </w:r>
      <w:r w:rsidRPr="008240D2">
        <w:rPr>
          <w:rFonts w:eastAsia="Calibri"/>
          <w:sz w:val="24"/>
          <w:szCs w:val="24"/>
        </w:rPr>
        <w:t xml:space="preserve"> sur l’importance des évaluations pour l’apprentissage est perceptible dans le tableau suivant.</w:t>
      </w:r>
    </w:p>
    <w:p w14:paraId="6D61327C" w14:textId="77777777" w:rsidR="00D80693" w:rsidRDefault="00D80693" w:rsidP="001928FA">
      <w:pPr>
        <w:spacing w:before="120"/>
        <w:ind w:right="60" w:firstLine="567"/>
        <w:jc w:val="both"/>
        <w:rPr>
          <w:color w:val="FF0000"/>
          <w:sz w:val="14"/>
          <w:szCs w:val="14"/>
        </w:rPr>
      </w:pPr>
    </w:p>
    <w:p w14:paraId="44DABE93" w14:textId="77777777" w:rsidR="00D80693" w:rsidRDefault="00D80693" w:rsidP="001928FA">
      <w:pPr>
        <w:spacing w:before="120"/>
        <w:ind w:right="60" w:firstLine="567"/>
        <w:jc w:val="both"/>
        <w:rPr>
          <w:color w:val="FF0000"/>
          <w:sz w:val="14"/>
          <w:szCs w:val="14"/>
        </w:rPr>
      </w:pPr>
    </w:p>
    <w:p w14:paraId="16CDED3D" w14:textId="77777777" w:rsidR="00D80693" w:rsidRDefault="00D80693" w:rsidP="001928FA">
      <w:pPr>
        <w:spacing w:before="120"/>
        <w:ind w:right="60" w:firstLine="567"/>
        <w:jc w:val="both"/>
        <w:rPr>
          <w:color w:val="FF0000"/>
          <w:sz w:val="14"/>
          <w:szCs w:val="14"/>
        </w:rPr>
      </w:pPr>
    </w:p>
    <w:p w14:paraId="7512FCD9" w14:textId="77777777" w:rsidR="00D80693" w:rsidRDefault="00D80693" w:rsidP="001928FA">
      <w:pPr>
        <w:spacing w:before="120"/>
        <w:ind w:right="60" w:firstLine="567"/>
        <w:jc w:val="both"/>
        <w:rPr>
          <w:color w:val="FF0000"/>
          <w:sz w:val="14"/>
          <w:szCs w:val="14"/>
        </w:rPr>
      </w:pPr>
    </w:p>
    <w:p w14:paraId="747AF9CE" w14:textId="77777777" w:rsidR="00D80693" w:rsidRPr="00C1242E" w:rsidRDefault="00D80693" w:rsidP="001928FA">
      <w:pPr>
        <w:spacing w:before="120"/>
        <w:ind w:right="60" w:firstLine="567"/>
        <w:jc w:val="both"/>
        <w:rPr>
          <w:color w:val="FF0000"/>
          <w:sz w:val="14"/>
          <w:szCs w:val="14"/>
        </w:rPr>
      </w:pPr>
    </w:p>
    <w:p w14:paraId="2CCE401C" w14:textId="77777777" w:rsidR="00D80693" w:rsidRPr="001F3123" w:rsidRDefault="00D80693" w:rsidP="001928FA">
      <w:pPr>
        <w:adjustRightInd w:val="0"/>
        <w:spacing w:before="120"/>
        <w:ind w:firstLine="1276"/>
        <w:rPr>
          <w:rFonts w:eastAsia="Calibri"/>
          <w:b/>
          <w:bCs/>
          <w:i/>
          <w:iCs/>
        </w:rPr>
      </w:pPr>
      <w:r w:rsidRPr="001F3123">
        <w:rPr>
          <w:rFonts w:eastAsia="Calibri"/>
          <w:b/>
          <w:bCs/>
          <w:i/>
          <w:iCs/>
        </w:rPr>
        <w:t>Tableau n°</w:t>
      </w:r>
      <w:r>
        <w:rPr>
          <w:rFonts w:eastAsia="Calibri"/>
          <w:b/>
          <w:bCs/>
          <w:i/>
          <w:iCs/>
        </w:rPr>
        <w:t>2</w:t>
      </w:r>
      <w:r w:rsidRPr="001F3123">
        <w:rPr>
          <w:rFonts w:eastAsia="Calibri"/>
          <w:b/>
          <w:bCs/>
          <w:i/>
          <w:iCs/>
        </w:rPr>
        <w:t xml:space="preserve"> : Importance des exercices pour la compréhension des cours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738"/>
        <w:gridCol w:w="1097"/>
        <w:gridCol w:w="1276"/>
        <w:gridCol w:w="1276"/>
        <w:gridCol w:w="1276"/>
      </w:tblGrid>
      <w:tr w:rsidR="00D80693" w14:paraId="3649F70B" w14:textId="77777777" w:rsidTr="00D72320">
        <w:trPr>
          <w:cantSplit/>
          <w:jc w:val="center"/>
        </w:trPr>
        <w:tc>
          <w:tcPr>
            <w:tcW w:w="2867" w:type="dxa"/>
            <w:gridSpan w:val="2"/>
            <w:shd w:val="clear" w:color="auto" w:fill="FFFFFF"/>
            <w:vAlign w:val="bottom"/>
          </w:tcPr>
          <w:p w14:paraId="7F7E37C7" w14:textId="77777777" w:rsidR="00D80693" w:rsidRPr="00AB437E" w:rsidRDefault="00D80693" w:rsidP="001928FA">
            <w:pPr>
              <w:adjustRightInd w:val="0"/>
              <w:spacing w:before="120"/>
              <w:rPr>
                <w:rFonts w:eastAsia="Calibri"/>
              </w:rPr>
            </w:pPr>
          </w:p>
        </w:tc>
        <w:tc>
          <w:tcPr>
            <w:tcW w:w="1097" w:type="dxa"/>
            <w:tcBorders>
              <w:bottom w:val="single" w:sz="4" w:space="0" w:color="auto"/>
            </w:tcBorders>
            <w:shd w:val="clear" w:color="auto" w:fill="FFFFFF"/>
            <w:vAlign w:val="bottom"/>
          </w:tcPr>
          <w:p w14:paraId="282EC3AE"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Fréquence</w:t>
            </w:r>
          </w:p>
        </w:tc>
        <w:tc>
          <w:tcPr>
            <w:tcW w:w="1276" w:type="dxa"/>
            <w:tcBorders>
              <w:bottom w:val="single" w:sz="4" w:space="0" w:color="auto"/>
            </w:tcBorders>
            <w:shd w:val="clear" w:color="auto" w:fill="FFFFFF"/>
            <w:vAlign w:val="bottom"/>
          </w:tcPr>
          <w:p w14:paraId="2515C3C1"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Pourcentage</w:t>
            </w:r>
          </w:p>
        </w:tc>
        <w:tc>
          <w:tcPr>
            <w:tcW w:w="1276" w:type="dxa"/>
            <w:tcBorders>
              <w:bottom w:val="single" w:sz="4" w:space="0" w:color="auto"/>
            </w:tcBorders>
            <w:shd w:val="clear" w:color="auto" w:fill="FFFFFF"/>
            <w:vAlign w:val="bottom"/>
          </w:tcPr>
          <w:p w14:paraId="4F0378E9"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Pourcentage valide</w:t>
            </w:r>
          </w:p>
        </w:tc>
        <w:tc>
          <w:tcPr>
            <w:tcW w:w="1276" w:type="dxa"/>
            <w:tcBorders>
              <w:bottom w:val="single" w:sz="4" w:space="0" w:color="auto"/>
            </w:tcBorders>
            <w:shd w:val="clear" w:color="auto" w:fill="FFFFFF"/>
            <w:vAlign w:val="bottom"/>
          </w:tcPr>
          <w:p w14:paraId="53426C84"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Pourcentage cumulé</w:t>
            </w:r>
          </w:p>
        </w:tc>
      </w:tr>
      <w:tr w:rsidR="00D80693" w14:paraId="2FBE3FCC" w14:textId="77777777" w:rsidTr="00D72320">
        <w:trPr>
          <w:cantSplit/>
          <w:jc w:val="center"/>
        </w:trPr>
        <w:tc>
          <w:tcPr>
            <w:tcW w:w="1129" w:type="dxa"/>
            <w:vMerge w:val="restart"/>
            <w:shd w:val="clear" w:color="auto" w:fill="FFFFFF"/>
          </w:tcPr>
          <w:p w14:paraId="4E973AD6" w14:textId="77777777" w:rsidR="00D80693" w:rsidRPr="00AB437E" w:rsidRDefault="00D80693" w:rsidP="001928FA">
            <w:pPr>
              <w:adjustRightInd w:val="0"/>
              <w:spacing w:before="120"/>
              <w:ind w:left="60" w:right="60"/>
              <w:rPr>
                <w:rFonts w:eastAsia="Calibri"/>
                <w:color w:val="000000"/>
              </w:rPr>
            </w:pPr>
          </w:p>
          <w:p w14:paraId="1AB8F56B" w14:textId="77777777" w:rsidR="00D80693" w:rsidRPr="00AB437E" w:rsidRDefault="00D80693" w:rsidP="001928FA">
            <w:pPr>
              <w:adjustRightInd w:val="0"/>
              <w:spacing w:before="120"/>
              <w:ind w:left="60" w:right="60"/>
              <w:rPr>
                <w:rFonts w:eastAsia="Calibri"/>
                <w:color w:val="000000"/>
              </w:rPr>
            </w:pPr>
          </w:p>
          <w:p w14:paraId="44ABBCE6"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Modalités</w:t>
            </w:r>
          </w:p>
        </w:tc>
        <w:tc>
          <w:tcPr>
            <w:tcW w:w="1738" w:type="dxa"/>
            <w:tcBorders>
              <w:right w:val="single" w:sz="4" w:space="0" w:color="auto"/>
            </w:tcBorders>
            <w:shd w:val="clear" w:color="auto" w:fill="FFFFFF"/>
          </w:tcPr>
          <w:p w14:paraId="0B7A91C9"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Pas du tout importants</w:t>
            </w:r>
          </w:p>
        </w:tc>
        <w:tc>
          <w:tcPr>
            <w:tcW w:w="1097" w:type="dxa"/>
            <w:tcBorders>
              <w:top w:val="single" w:sz="4" w:space="0" w:color="auto"/>
              <w:left w:val="single" w:sz="4" w:space="0" w:color="auto"/>
              <w:bottom w:val="nil"/>
              <w:right w:val="single" w:sz="4" w:space="0" w:color="auto"/>
            </w:tcBorders>
            <w:shd w:val="clear" w:color="auto" w:fill="FFFFFF"/>
            <w:vAlign w:val="center"/>
          </w:tcPr>
          <w:p w14:paraId="78377168"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02069520"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5193A74B"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2885CAB5"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w:t>
            </w:r>
          </w:p>
        </w:tc>
      </w:tr>
      <w:tr w:rsidR="00D80693" w14:paraId="5F19FE67" w14:textId="77777777" w:rsidTr="00D72320">
        <w:trPr>
          <w:cantSplit/>
          <w:jc w:val="center"/>
        </w:trPr>
        <w:tc>
          <w:tcPr>
            <w:tcW w:w="1129" w:type="dxa"/>
            <w:vMerge/>
            <w:shd w:val="clear" w:color="auto" w:fill="FFFFFF"/>
          </w:tcPr>
          <w:p w14:paraId="30A237DF" w14:textId="77777777" w:rsidR="00D80693" w:rsidRPr="00AB437E" w:rsidRDefault="00D80693" w:rsidP="001928FA">
            <w:pPr>
              <w:adjustRightInd w:val="0"/>
              <w:spacing w:before="120"/>
              <w:rPr>
                <w:rFonts w:eastAsia="Calibri"/>
                <w:color w:val="000000"/>
              </w:rPr>
            </w:pPr>
          </w:p>
        </w:tc>
        <w:tc>
          <w:tcPr>
            <w:tcW w:w="1738" w:type="dxa"/>
            <w:tcBorders>
              <w:right w:val="single" w:sz="4" w:space="0" w:color="auto"/>
            </w:tcBorders>
            <w:shd w:val="clear" w:color="auto" w:fill="FFFFFF"/>
          </w:tcPr>
          <w:p w14:paraId="5A4639C8"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Pas importants</w:t>
            </w:r>
          </w:p>
        </w:tc>
        <w:tc>
          <w:tcPr>
            <w:tcW w:w="1097" w:type="dxa"/>
            <w:tcBorders>
              <w:top w:val="nil"/>
              <w:left w:val="single" w:sz="4" w:space="0" w:color="auto"/>
              <w:bottom w:val="nil"/>
              <w:right w:val="single" w:sz="4" w:space="0" w:color="auto"/>
            </w:tcBorders>
            <w:shd w:val="clear" w:color="auto" w:fill="FFFFFF"/>
            <w:vAlign w:val="center"/>
          </w:tcPr>
          <w:p w14:paraId="53238A57"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13</w:t>
            </w:r>
          </w:p>
        </w:tc>
        <w:tc>
          <w:tcPr>
            <w:tcW w:w="1276" w:type="dxa"/>
            <w:tcBorders>
              <w:top w:val="nil"/>
              <w:left w:val="single" w:sz="4" w:space="0" w:color="auto"/>
              <w:bottom w:val="nil"/>
              <w:right w:val="single" w:sz="4" w:space="0" w:color="auto"/>
            </w:tcBorders>
            <w:shd w:val="clear" w:color="auto" w:fill="FFFFFF"/>
            <w:vAlign w:val="center"/>
          </w:tcPr>
          <w:p w14:paraId="157F1FE6"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2,6</w:t>
            </w:r>
          </w:p>
        </w:tc>
        <w:tc>
          <w:tcPr>
            <w:tcW w:w="1276" w:type="dxa"/>
            <w:tcBorders>
              <w:top w:val="nil"/>
              <w:left w:val="single" w:sz="4" w:space="0" w:color="auto"/>
              <w:bottom w:val="nil"/>
              <w:right w:val="single" w:sz="4" w:space="0" w:color="auto"/>
            </w:tcBorders>
            <w:shd w:val="clear" w:color="auto" w:fill="FFFFFF"/>
            <w:vAlign w:val="center"/>
          </w:tcPr>
          <w:p w14:paraId="48F76A6F"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2,6</w:t>
            </w:r>
          </w:p>
        </w:tc>
        <w:tc>
          <w:tcPr>
            <w:tcW w:w="1276" w:type="dxa"/>
            <w:tcBorders>
              <w:top w:val="nil"/>
              <w:left w:val="single" w:sz="4" w:space="0" w:color="auto"/>
              <w:bottom w:val="nil"/>
              <w:right w:val="single" w:sz="4" w:space="0" w:color="auto"/>
            </w:tcBorders>
            <w:shd w:val="clear" w:color="auto" w:fill="FFFFFF"/>
            <w:vAlign w:val="center"/>
          </w:tcPr>
          <w:p w14:paraId="56BB00C9"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2,8</w:t>
            </w:r>
          </w:p>
        </w:tc>
      </w:tr>
      <w:tr w:rsidR="00D80693" w14:paraId="0225B46E" w14:textId="77777777" w:rsidTr="00D72320">
        <w:trPr>
          <w:cantSplit/>
          <w:jc w:val="center"/>
        </w:trPr>
        <w:tc>
          <w:tcPr>
            <w:tcW w:w="1129" w:type="dxa"/>
            <w:vMerge/>
            <w:shd w:val="clear" w:color="auto" w:fill="FFFFFF"/>
          </w:tcPr>
          <w:p w14:paraId="03419807" w14:textId="77777777" w:rsidR="00D80693" w:rsidRPr="00AB437E" w:rsidRDefault="00D80693" w:rsidP="001928FA">
            <w:pPr>
              <w:adjustRightInd w:val="0"/>
              <w:spacing w:before="120"/>
              <w:rPr>
                <w:rFonts w:eastAsia="Calibri"/>
                <w:color w:val="000000"/>
              </w:rPr>
            </w:pPr>
          </w:p>
        </w:tc>
        <w:tc>
          <w:tcPr>
            <w:tcW w:w="1738" w:type="dxa"/>
            <w:tcBorders>
              <w:right w:val="single" w:sz="4" w:space="0" w:color="auto"/>
            </w:tcBorders>
            <w:shd w:val="clear" w:color="auto" w:fill="FFFFFF"/>
          </w:tcPr>
          <w:p w14:paraId="0671F985"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Importants</w:t>
            </w:r>
          </w:p>
        </w:tc>
        <w:tc>
          <w:tcPr>
            <w:tcW w:w="1097" w:type="dxa"/>
            <w:tcBorders>
              <w:top w:val="nil"/>
              <w:left w:val="single" w:sz="4" w:space="0" w:color="auto"/>
              <w:bottom w:val="nil"/>
              <w:right w:val="single" w:sz="4" w:space="0" w:color="auto"/>
            </w:tcBorders>
            <w:shd w:val="clear" w:color="auto" w:fill="FFFFFF"/>
            <w:vAlign w:val="center"/>
          </w:tcPr>
          <w:p w14:paraId="5D7E26E7"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120</w:t>
            </w:r>
          </w:p>
        </w:tc>
        <w:tc>
          <w:tcPr>
            <w:tcW w:w="1276" w:type="dxa"/>
            <w:tcBorders>
              <w:top w:val="nil"/>
              <w:left w:val="single" w:sz="4" w:space="0" w:color="auto"/>
              <w:bottom w:val="nil"/>
              <w:right w:val="single" w:sz="4" w:space="0" w:color="auto"/>
            </w:tcBorders>
            <w:shd w:val="clear" w:color="auto" w:fill="FFFFFF"/>
            <w:vAlign w:val="center"/>
          </w:tcPr>
          <w:p w14:paraId="4BA7569B"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24,0</w:t>
            </w:r>
          </w:p>
        </w:tc>
        <w:tc>
          <w:tcPr>
            <w:tcW w:w="1276" w:type="dxa"/>
            <w:tcBorders>
              <w:top w:val="nil"/>
              <w:left w:val="single" w:sz="4" w:space="0" w:color="auto"/>
              <w:bottom w:val="nil"/>
              <w:right w:val="single" w:sz="4" w:space="0" w:color="auto"/>
            </w:tcBorders>
            <w:shd w:val="clear" w:color="auto" w:fill="FFFFFF"/>
            <w:vAlign w:val="center"/>
          </w:tcPr>
          <w:p w14:paraId="6DB25C09"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24,0</w:t>
            </w:r>
          </w:p>
        </w:tc>
        <w:tc>
          <w:tcPr>
            <w:tcW w:w="1276" w:type="dxa"/>
            <w:tcBorders>
              <w:top w:val="nil"/>
              <w:left w:val="single" w:sz="4" w:space="0" w:color="auto"/>
              <w:bottom w:val="nil"/>
              <w:right w:val="single" w:sz="4" w:space="0" w:color="auto"/>
            </w:tcBorders>
            <w:shd w:val="clear" w:color="auto" w:fill="FFFFFF"/>
            <w:vAlign w:val="center"/>
          </w:tcPr>
          <w:p w14:paraId="6E81BC67"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26,8</w:t>
            </w:r>
          </w:p>
        </w:tc>
      </w:tr>
      <w:tr w:rsidR="00D80693" w14:paraId="4125A7A3" w14:textId="77777777" w:rsidTr="00D72320">
        <w:trPr>
          <w:cantSplit/>
          <w:jc w:val="center"/>
        </w:trPr>
        <w:tc>
          <w:tcPr>
            <w:tcW w:w="1129" w:type="dxa"/>
            <w:vMerge/>
            <w:shd w:val="clear" w:color="auto" w:fill="FFFFFF"/>
          </w:tcPr>
          <w:p w14:paraId="7B87A0EC" w14:textId="77777777" w:rsidR="00D80693" w:rsidRPr="00AB437E" w:rsidRDefault="00D80693" w:rsidP="001928FA">
            <w:pPr>
              <w:adjustRightInd w:val="0"/>
              <w:spacing w:before="120"/>
              <w:rPr>
                <w:rFonts w:eastAsia="Calibri"/>
                <w:color w:val="000000"/>
              </w:rPr>
            </w:pPr>
          </w:p>
        </w:tc>
        <w:tc>
          <w:tcPr>
            <w:tcW w:w="1738" w:type="dxa"/>
            <w:tcBorders>
              <w:right w:val="single" w:sz="4" w:space="0" w:color="auto"/>
            </w:tcBorders>
            <w:shd w:val="clear" w:color="auto" w:fill="FFFFFF"/>
          </w:tcPr>
          <w:p w14:paraId="1D356A16"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Très importants</w:t>
            </w:r>
          </w:p>
        </w:tc>
        <w:tc>
          <w:tcPr>
            <w:tcW w:w="1097" w:type="dxa"/>
            <w:tcBorders>
              <w:top w:val="nil"/>
              <w:left w:val="single" w:sz="4" w:space="0" w:color="auto"/>
              <w:bottom w:val="nil"/>
              <w:right w:val="single" w:sz="4" w:space="0" w:color="auto"/>
            </w:tcBorders>
            <w:shd w:val="clear" w:color="auto" w:fill="FFFFFF"/>
            <w:vAlign w:val="center"/>
          </w:tcPr>
          <w:p w14:paraId="25338B36"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366</w:t>
            </w:r>
          </w:p>
        </w:tc>
        <w:tc>
          <w:tcPr>
            <w:tcW w:w="1276" w:type="dxa"/>
            <w:tcBorders>
              <w:top w:val="nil"/>
              <w:left w:val="single" w:sz="4" w:space="0" w:color="auto"/>
              <w:bottom w:val="nil"/>
              <w:right w:val="single" w:sz="4" w:space="0" w:color="auto"/>
            </w:tcBorders>
            <w:shd w:val="clear" w:color="auto" w:fill="FFFFFF"/>
            <w:vAlign w:val="center"/>
          </w:tcPr>
          <w:p w14:paraId="45705974"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73,2</w:t>
            </w:r>
          </w:p>
        </w:tc>
        <w:tc>
          <w:tcPr>
            <w:tcW w:w="1276" w:type="dxa"/>
            <w:tcBorders>
              <w:top w:val="nil"/>
              <w:left w:val="single" w:sz="4" w:space="0" w:color="auto"/>
              <w:bottom w:val="nil"/>
              <w:right w:val="single" w:sz="4" w:space="0" w:color="auto"/>
            </w:tcBorders>
            <w:shd w:val="clear" w:color="auto" w:fill="FFFFFF"/>
            <w:vAlign w:val="center"/>
          </w:tcPr>
          <w:p w14:paraId="022491E2"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73,2</w:t>
            </w:r>
          </w:p>
        </w:tc>
        <w:tc>
          <w:tcPr>
            <w:tcW w:w="1276" w:type="dxa"/>
            <w:tcBorders>
              <w:top w:val="nil"/>
              <w:left w:val="single" w:sz="4" w:space="0" w:color="auto"/>
              <w:bottom w:val="nil"/>
              <w:right w:val="single" w:sz="4" w:space="0" w:color="auto"/>
            </w:tcBorders>
            <w:shd w:val="clear" w:color="auto" w:fill="FFFFFF"/>
            <w:vAlign w:val="center"/>
          </w:tcPr>
          <w:p w14:paraId="4FFD3D4E"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100,0</w:t>
            </w:r>
          </w:p>
        </w:tc>
      </w:tr>
      <w:tr w:rsidR="00D80693" w14:paraId="12472C83" w14:textId="77777777" w:rsidTr="00D72320">
        <w:trPr>
          <w:cantSplit/>
          <w:jc w:val="center"/>
        </w:trPr>
        <w:tc>
          <w:tcPr>
            <w:tcW w:w="1129" w:type="dxa"/>
            <w:vMerge/>
            <w:shd w:val="clear" w:color="auto" w:fill="FFFFFF"/>
          </w:tcPr>
          <w:p w14:paraId="5C9D01F0" w14:textId="77777777" w:rsidR="00D80693" w:rsidRPr="00AB437E" w:rsidRDefault="00D80693" w:rsidP="001928FA">
            <w:pPr>
              <w:adjustRightInd w:val="0"/>
              <w:spacing w:before="120"/>
              <w:rPr>
                <w:rFonts w:eastAsia="Calibri"/>
                <w:color w:val="000000"/>
              </w:rPr>
            </w:pPr>
          </w:p>
        </w:tc>
        <w:tc>
          <w:tcPr>
            <w:tcW w:w="1738" w:type="dxa"/>
            <w:tcBorders>
              <w:right w:val="single" w:sz="4" w:space="0" w:color="auto"/>
            </w:tcBorders>
            <w:shd w:val="clear" w:color="auto" w:fill="FFFFFF"/>
          </w:tcPr>
          <w:p w14:paraId="0E603958" w14:textId="77777777" w:rsidR="00D80693" w:rsidRPr="00AB437E" w:rsidRDefault="00D80693" w:rsidP="001928FA">
            <w:pPr>
              <w:adjustRightInd w:val="0"/>
              <w:spacing w:before="120"/>
              <w:ind w:left="60" w:right="60"/>
              <w:rPr>
                <w:rFonts w:eastAsia="Calibri"/>
                <w:color w:val="000000"/>
              </w:rPr>
            </w:pPr>
            <w:r w:rsidRPr="00AB437E">
              <w:rPr>
                <w:rFonts w:eastAsia="Calibri"/>
                <w:color w:val="000000"/>
              </w:rPr>
              <w:t>Total</w:t>
            </w:r>
          </w:p>
        </w:tc>
        <w:tc>
          <w:tcPr>
            <w:tcW w:w="1097" w:type="dxa"/>
            <w:tcBorders>
              <w:top w:val="nil"/>
              <w:left w:val="single" w:sz="4" w:space="0" w:color="auto"/>
              <w:bottom w:val="single" w:sz="4" w:space="0" w:color="auto"/>
              <w:right w:val="single" w:sz="4" w:space="0" w:color="auto"/>
            </w:tcBorders>
            <w:shd w:val="clear" w:color="auto" w:fill="FFFFFF"/>
            <w:vAlign w:val="center"/>
          </w:tcPr>
          <w:p w14:paraId="1C84A0B0"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500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271550DD"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77CBE85A" w14:textId="77777777" w:rsidR="00D80693" w:rsidRPr="00AB437E" w:rsidRDefault="00D80693" w:rsidP="001928FA">
            <w:pPr>
              <w:adjustRightInd w:val="0"/>
              <w:spacing w:before="120"/>
              <w:ind w:left="60" w:right="60"/>
              <w:jc w:val="center"/>
              <w:rPr>
                <w:rFonts w:eastAsia="Calibri"/>
                <w:color w:val="000000"/>
              </w:rPr>
            </w:pPr>
            <w:r w:rsidRPr="00AB437E">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649DBC21" w14:textId="77777777" w:rsidR="00D80693" w:rsidRPr="00AB437E" w:rsidRDefault="00D80693" w:rsidP="001928FA">
            <w:pPr>
              <w:adjustRightInd w:val="0"/>
              <w:spacing w:before="120"/>
              <w:jc w:val="center"/>
              <w:rPr>
                <w:rFonts w:eastAsia="Calibri"/>
              </w:rPr>
            </w:pPr>
          </w:p>
        </w:tc>
      </w:tr>
    </w:tbl>
    <w:p w14:paraId="4F834DFE" w14:textId="77777777" w:rsidR="00D80693" w:rsidRPr="008240D2" w:rsidRDefault="00D80693" w:rsidP="001928FA">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7B53F026" w14:textId="77777777" w:rsidR="00D80693" w:rsidRPr="00AB437E" w:rsidRDefault="00D80693" w:rsidP="001928FA">
      <w:pPr>
        <w:spacing w:before="120"/>
        <w:ind w:right="60" w:firstLine="567"/>
        <w:jc w:val="both"/>
        <w:rPr>
          <w:sz w:val="4"/>
          <w:szCs w:val="4"/>
        </w:rPr>
      </w:pPr>
    </w:p>
    <w:p w14:paraId="5E30CAB4" w14:textId="77777777" w:rsidR="00D80693" w:rsidRDefault="00D80693" w:rsidP="00F429F0">
      <w:pPr>
        <w:spacing w:before="120"/>
        <w:ind w:right="60"/>
        <w:jc w:val="both"/>
        <w:rPr>
          <w:sz w:val="24"/>
          <w:szCs w:val="24"/>
        </w:rPr>
      </w:pPr>
      <w:r w:rsidRPr="008240D2">
        <w:rPr>
          <w:rFonts w:cstheme="minorBidi"/>
          <w:sz w:val="24"/>
          <w:szCs w:val="24"/>
        </w:rPr>
        <w:t xml:space="preserve">Le tableau ci-dessus montre l’opinion des enquêtés sur l’importance des exercices pour la compréhension des cours. Il en ressort que </w:t>
      </w:r>
      <w:r>
        <w:rPr>
          <w:rFonts w:cstheme="minorBidi"/>
          <w:sz w:val="24"/>
          <w:szCs w:val="24"/>
        </w:rPr>
        <w:t>la quasi-totalité d</w:t>
      </w:r>
      <w:r w:rsidRPr="008240D2">
        <w:rPr>
          <w:rFonts w:cstheme="minorBidi"/>
          <w:sz w:val="24"/>
          <w:szCs w:val="24"/>
        </w:rPr>
        <w:t>es apprenants jugent les exercices, soit importants, soit très importants pour comprendre les cours</w:t>
      </w:r>
      <w:r>
        <w:rPr>
          <w:rFonts w:cstheme="minorBidi"/>
          <w:sz w:val="24"/>
          <w:szCs w:val="24"/>
        </w:rPr>
        <w:t xml:space="preserve"> et perçoivent l’évaluation comme </w:t>
      </w:r>
      <w:r w:rsidRPr="008240D2">
        <w:rPr>
          <w:rFonts w:cstheme="minorBidi"/>
          <w:sz w:val="24"/>
          <w:szCs w:val="24"/>
        </w:rPr>
        <w:t>un facteur important pour le développement de leurs compétences. Ainsi, seul</w:t>
      </w:r>
      <w:r>
        <w:rPr>
          <w:rFonts w:cstheme="minorBidi"/>
          <w:sz w:val="24"/>
          <w:szCs w:val="24"/>
        </w:rPr>
        <w:t>e</w:t>
      </w:r>
      <w:r w:rsidRPr="008240D2">
        <w:rPr>
          <w:rFonts w:cstheme="minorBidi"/>
          <w:sz w:val="24"/>
          <w:szCs w:val="24"/>
        </w:rPr>
        <w:t xml:space="preserve"> </w:t>
      </w:r>
      <w:r>
        <w:rPr>
          <w:rFonts w:cstheme="minorBidi"/>
          <w:sz w:val="24"/>
          <w:szCs w:val="24"/>
        </w:rPr>
        <w:t xml:space="preserve">une infime partie des enquêtés trouvent </w:t>
      </w:r>
      <w:r w:rsidRPr="008240D2">
        <w:rPr>
          <w:rFonts w:cstheme="minorBidi"/>
          <w:sz w:val="24"/>
          <w:szCs w:val="24"/>
        </w:rPr>
        <w:t xml:space="preserve">que les exercices ne sont </w:t>
      </w:r>
      <w:r>
        <w:rPr>
          <w:rFonts w:cstheme="minorBidi"/>
          <w:sz w:val="24"/>
          <w:szCs w:val="24"/>
        </w:rPr>
        <w:t xml:space="preserve">soit </w:t>
      </w:r>
      <w:r w:rsidRPr="008240D2">
        <w:rPr>
          <w:rFonts w:cstheme="minorBidi"/>
          <w:sz w:val="24"/>
          <w:szCs w:val="24"/>
        </w:rPr>
        <w:t>« pas importants »</w:t>
      </w:r>
      <w:r>
        <w:rPr>
          <w:rFonts w:cstheme="minorBidi"/>
          <w:sz w:val="24"/>
          <w:szCs w:val="24"/>
        </w:rPr>
        <w:t>, soit</w:t>
      </w:r>
      <w:r w:rsidRPr="008240D2">
        <w:rPr>
          <w:rFonts w:cstheme="minorBidi"/>
          <w:sz w:val="24"/>
          <w:szCs w:val="24"/>
        </w:rPr>
        <w:t xml:space="preserve"> « pas du tout importants » pour la compréhension des cours. </w:t>
      </w:r>
    </w:p>
    <w:p w14:paraId="10DD409F" w14:textId="77777777" w:rsidR="00D80693" w:rsidRDefault="00D80693" w:rsidP="001928FA">
      <w:pPr>
        <w:spacing w:before="120"/>
        <w:ind w:right="60"/>
        <w:jc w:val="both"/>
        <w:rPr>
          <w:sz w:val="24"/>
          <w:szCs w:val="24"/>
        </w:rPr>
      </w:pPr>
      <w:r w:rsidRPr="008240D2">
        <w:rPr>
          <w:rFonts w:cstheme="minorBidi"/>
          <w:sz w:val="24"/>
          <w:szCs w:val="24"/>
        </w:rPr>
        <w:t>De ce fait</w:t>
      </w:r>
      <w:r>
        <w:rPr>
          <w:rFonts w:cstheme="minorBidi"/>
          <w:sz w:val="24"/>
          <w:szCs w:val="24"/>
        </w:rPr>
        <w:t>,</w:t>
      </w:r>
      <w:r w:rsidRPr="008240D2">
        <w:rPr>
          <w:rFonts w:cstheme="minorBidi"/>
          <w:sz w:val="24"/>
          <w:szCs w:val="24"/>
        </w:rPr>
        <w:t xml:space="preserve"> l’on peut retenir que les élèves, dans leur quasi-totalité, ont conscience de l’importance des évaluations formatives pour la compréhension des cours. Pour autant, les apprenants traitent-ils les exercices qui leurs sont proposés ?</w:t>
      </w:r>
    </w:p>
    <w:p w14:paraId="1304D673" w14:textId="77777777" w:rsidR="00D80693" w:rsidRPr="00AB437E" w:rsidRDefault="00D80693" w:rsidP="001928FA">
      <w:pPr>
        <w:spacing w:before="120"/>
        <w:ind w:right="60"/>
        <w:jc w:val="both"/>
        <w:rPr>
          <w:sz w:val="10"/>
          <w:szCs w:val="10"/>
        </w:rPr>
      </w:pPr>
    </w:p>
    <w:p w14:paraId="3BA3C694" w14:textId="77777777" w:rsidR="00D80693" w:rsidRPr="00F90857" w:rsidRDefault="00D80693" w:rsidP="001928FA">
      <w:pPr>
        <w:pStyle w:val="Paragraphedeliste"/>
        <w:ind w:left="1287"/>
        <w:rPr>
          <w:b/>
          <w:bCs/>
          <w:i/>
          <w:iCs/>
          <w:sz w:val="24"/>
          <w:szCs w:val="24"/>
        </w:rPr>
      </w:pPr>
      <w:r w:rsidRPr="00F90857">
        <w:rPr>
          <w:rFonts w:cstheme="minorBidi"/>
          <w:b/>
          <w:bCs/>
          <w:i/>
          <w:iCs/>
          <w:sz w:val="24"/>
          <w:szCs w:val="24"/>
        </w:rPr>
        <w:t>2.1.5. Opinions des enquêtés sur leur fréquence de traitement des exercices</w:t>
      </w:r>
    </w:p>
    <w:p w14:paraId="1505FC93" w14:textId="77777777" w:rsidR="00D80693" w:rsidRDefault="00D80693" w:rsidP="001928FA">
      <w:pPr>
        <w:adjustRightInd w:val="0"/>
        <w:spacing w:before="120"/>
        <w:rPr>
          <w:rFonts w:eastAsia="Calibri"/>
          <w:sz w:val="24"/>
          <w:szCs w:val="24"/>
        </w:rPr>
      </w:pPr>
      <w:r w:rsidRPr="002C62F7">
        <w:rPr>
          <w:rFonts w:eastAsia="Calibri"/>
          <w:sz w:val="24"/>
          <w:szCs w:val="24"/>
        </w:rPr>
        <w:t xml:space="preserve">Le tableau suivant </w:t>
      </w:r>
      <w:r>
        <w:rPr>
          <w:rFonts w:eastAsia="Calibri"/>
          <w:sz w:val="24"/>
          <w:szCs w:val="24"/>
        </w:rPr>
        <w:t xml:space="preserve">montre avec quelle </w:t>
      </w:r>
      <w:r w:rsidRPr="002C62F7">
        <w:rPr>
          <w:rFonts w:eastAsia="Calibri"/>
          <w:sz w:val="24"/>
          <w:szCs w:val="24"/>
        </w:rPr>
        <w:t xml:space="preserve">fréquence </w:t>
      </w:r>
      <w:r>
        <w:rPr>
          <w:rFonts w:eastAsia="Calibri"/>
          <w:sz w:val="24"/>
          <w:szCs w:val="24"/>
        </w:rPr>
        <w:t xml:space="preserve">les apprenants </w:t>
      </w:r>
      <w:r w:rsidRPr="002C62F7">
        <w:rPr>
          <w:rFonts w:eastAsia="Calibri"/>
          <w:sz w:val="24"/>
          <w:szCs w:val="24"/>
        </w:rPr>
        <w:t>trai</w:t>
      </w:r>
      <w:r>
        <w:rPr>
          <w:rFonts w:eastAsia="Calibri"/>
          <w:sz w:val="24"/>
          <w:szCs w:val="24"/>
        </w:rPr>
        <w:t>t</w:t>
      </w:r>
      <w:r w:rsidRPr="002C62F7">
        <w:rPr>
          <w:rFonts w:eastAsia="Calibri"/>
          <w:sz w:val="24"/>
          <w:szCs w:val="24"/>
        </w:rPr>
        <w:t>ent</w:t>
      </w:r>
      <w:r>
        <w:rPr>
          <w:rFonts w:eastAsia="Calibri"/>
          <w:sz w:val="24"/>
          <w:szCs w:val="24"/>
        </w:rPr>
        <w:t xml:space="preserve"> les exercices.</w:t>
      </w:r>
    </w:p>
    <w:p w14:paraId="130F4A68" w14:textId="488DA62F" w:rsidR="00D80693" w:rsidRPr="001F3123" w:rsidRDefault="00D80693" w:rsidP="00F429F0">
      <w:pPr>
        <w:adjustRightInd w:val="0"/>
        <w:spacing w:before="120"/>
        <w:rPr>
          <w:rFonts w:eastAsia="Calibri"/>
          <w:b/>
          <w:bCs/>
          <w:i/>
          <w:iCs/>
        </w:rPr>
      </w:pPr>
      <w:r w:rsidRPr="002C62F7">
        <w:rPr>
          <w:rFonts w:eastAsia="Calibri"/>
          <w:sz w:val="24"/>
          <w:szCs w:val="24"/>
        </w:rPr>
        <w:t xml:space="preserve"> </w:t>
      </w:r>
      <w:r w:rsidRPr="001F3123">
        <w:rPr>
          <w:rFonts w:eastAsia="Calibri"/>
          <w:b/>
          <w:bCs/>
          <w:i/>
          <w:iCs/>
        </w:rPr>
        <w:t>Tableau n°</w:t>
      </w:r>
      <w:r>
        <w:rPr>
          <w:rFonts w:eastAsia="Calibri"/>
          <w:b/>
          <w:bCs/>
          <w:i/>
          <w:iCs/>
        </w:rPr>
        <w:t>3</w:t>
      </w:r>
      <w:r w:rsidRPr="001F3123">
        <w:rPr>
          <w:rFonts w:eastAsia="Calibri"/>
          <w:b/>
          <w:bCs/>
          <w:i/>
          <w:iCs/>
        </w:rPr>
        <w:t xml:space="preserve"> : Fréquence du traitement des exercices par les apprenants </w:t>
      </w:r>
    </w:p>
    <w:p w14:paraId="4CA6427C" w14:textId="77777777" w:rsidR="00D80693" w:rsidRPr="00AB437E" w:rsidRDefault="00D80693" w:rsidP="001928FA">
      <w:pPr>
        <w:adjustRightInd w:val="0"/>
        <w:spacing w:before="120"/>
        <w:rPr>
          <w:rFonts w:eastAsia="Calibri"/>
          <w:sz w:val="2"/>
          <w:szCs w:val="2"/>
        </w:rPr>
      </w:pPr>
    </w:p>
    <w:tbl>
      <w:tblPr>
        <w:tblW w:w="75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1"/>
        <w:gridCol w:w="969"/>
        <w:gridCol w:w="1155"/>
        <w:gridCol w:w="1297"/>
        <w:gridCol w:w="1439"/>
        <w:gridCol w:w="1375"/>
      </w:tblGrid>
      <w:tr w:rsidR="00D80693" w14:paraId="479D9193" w14:textId="77777777" w:rsidTr="00D72320">
        <w:trPr>
          <w:cantSplit/>
          <w:jc w:val="center"/>
        </w:trPr>
        <w:tc>
          <w:tcPr>
            <w:tcW w:w="224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516C8F" w14:textId="77777777" w:rsidR="00D80693" w:rsidRPr="00F70FCF" w:rsidRDefault="00D80693" w:rsidP="001928FA">
            <w:pPr>
              <w:adjustRightInd w:val="0"/>
              <w:spacing w:before="120"/>
              <w:rPr>
                <w:rFonts w:eastAsia="Calibri"/>
              </w:rPr>
            </w:pPr>
          </w:p>
        </w:tc>
        <w:tc>
          <w:tcPr>
            <w:tcW w:w="1155" w:type="dxa"/>
            <w:tcBorders>
              <w:top w:val="single" w:sz="4" w:space="0" w:color="auto"/>
              <w:left w:val="single" w:sz="4" w:space="0" w:color="auto"/>
              <w:bottom w:val="single" w:sz="4" w:space="0" w:color="auto"/>
              <w:right w:val="single" w:sz="4" w:space="0" w:color="auto"/>
            </w:tcBorders>
            <w:shd w:val="clear" w:color="auto" w:fill="FFFFFF"/>
            <w:vAlign w:val="bottom"/>
          </w:tcPr>
          <w:p w14:paraId="4BBE77C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Fréquence</w:t>
            </w:r>
          </w:p>
        </w:tc>
        <w:tc>
          <w:tcPr>
            <w:tcW w:w="1297" w:type="dxa"/>
            <w:tcBorders>
              <w:top w:val="single" w:sz="4" w:space="0" w:color="auto"/>
              <w:left w:val="single" w:sz="4" w:space="0" w:color="auto"/>
              <w:bottom w:val="single" w:sz="4" w:space="0" w:color="auto"/>
              <w:right w:val="single" w:sz="4" w:space="0" w:color="auto"/>
            </w:tcBorders>
            <w:shd w:val="clear" w:color="auto" w:fill="FFFFFF"/>
            <w:vAlign w:val="bottom"/>
          </w:tcPr>
          <w:p w14:paraId="6506C2B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bottom"/>
          </w:tcPr>
          <w:p w14:paraId="4F69F9F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valide</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bottom"/>
          </w:tcPr>
          <w:p w14:paraId="2FA77E1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cumulé</w:t>
            </w:r>
          </w:p>
        </w:tc>
      </w:tr>
      <w:tr w:rsidR="00D80693" w14:paraId="6A7FFB90" w14:textId="77777777" w:rsidTr="00D72320">
        <w:trPr>
          <w:cantSplit/>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FFFFFF"/>
          </w:tcPr>
          <w:p w14:paraId="02E67DFC" w14:textId="77777777" w:rsidR="00D80693" w:rsidRPr="00F70FCF" w:rsidRDefault="00D80693" w:rsidP="001928FA">
            <w:pPr>
              <w:adjustRightInd w:val="0"/>
              <w:spacing w:before="120"/>
              <w:ind w:left="60" w:right="60"/>
              <w:rPr>
                <w:rFonts w:eastAsia="Calibri"/>
                <w:color w:val="000000"/>
              </w:rPr>
            </w:pPr>
          </w:p>
          <w:p w14:paraId="5F7BEE42" w14:textId="77777777" w:rsidR="00D80693" w:rsidRPr="00F70FCF" w:rsidRDefault="00D80693" w:rsidP="001928FA">
            <w:pPr>
              <w:adjustRightInd w:val="0"/>
              <w:spacing w:before="120"/>
              <w:ind w:left="60" w:right="60"/>
              <w:rPr>
                <w:rFonts w:eastAsia="Calibri"/>
                <w:color w:val="000000"/>
              </w:rPr>
            </w:pPr>
          </w:p>
          <w:p w14:paraId="30703F49"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Modalités</w:t>
            </w: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5D388DD0"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Jamais</w:t>
            </w:r>
          </w:p>
        </w:tc>
        <w:tc>
          <w:tcPr>
            <w:tcW w:w="1155" w:type="dxa"/>
            <w:tcBorders>
              <w:top w:val="single" w:sz="4" w:space="0" w:color="auto"/>
              <w:left w:val="single" w:sz="4" w:space="0" w:color="auto"/>
              <w:bottom w:val="nil"/>
              <w:right w:val="single" w:sz="4" w:space="0" w:color="auto"/>
            </w:tcBorders>
            <w:shd w:val="clear" w:color="auto" w:fill="FFFFFF"/>
            <w:vAlign w:val="center"/>
          </w:tcPr>
          <w:p w14:paraId="5DA54A8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w:t>
            </w:r>
          </w:p>
        </w:tc>
        <w:tc>
          <w:tcPr>
            <w:tcW w:w="1297" w:type="dxa"/>
            <w:tcBorders>
              <w:top w:val="single" w:sz="4" w:space="0" w:color="auto"/>
              <w:left w:val="single" w:sz="4" w:space="0" w:color="auto"/>
              <w:bottom w:val="nil"/>
              <w:right w:val="single" w:sz="4" w:space="0" w:color="auto"/>
            </w:tcBorders>
            <w:shd w:val="clear" w:color="auto" w:fill="FFFFFF"/>
            <w:vAlign w:val="center"/>
          </w:tcPr>
          <w:p w14:paraId="2929722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w:t>
            </w:r>
          </w:p>
        </w:tc>
        <w:tc>
          <w:tcPr>
            <w:tcW w:w="1439" w:type="dxa"/>
            <w:tcBorders>
              <w:top w:val="single" w:sz="4" w:space="0" w:color="auto"/>
              <w:left w:val="single" w:sz="4" w:space="0" w:color="auto"/>
              <w:bottom w:val="nil"/>
              <w:right w:val="single" w:sz="4" w:space="0" w:color="auto"/>
            </w:tcBorders>
            <w:shd w:val="clear" w:color="auto" w:fill="FFFFFF"/>
            <w:vAlign w:val="center"/>
          </w:tcPr>
          <w:p w14:paraId="360C990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w:t>
            </w:r>
          </w:p>
        </w:tc>
        <w:tc>
          <w:tcPr>
            <w:tcW w:w="1375" w:type="dxa"/>
            <w:tcBorders>
              <w:top w:val="single" w:sz="4" w:space="0" w:color="auto"/>
              <w:left w:val="single" w:sz="4" w:space="0" w:color="auto"/>
              <w:bottom w:val="nil"/>
              <w:right w:val="single" w:sz="4" w:space="0" w:color="auto"/>
            </w:tcBorders>
            <w:shd w:val="clear" w:color="auto" w:fill="FFFFFF"/>
            <w:vAlign w:val="center"/>
          </w:tcPr>
          <w:p w14:paraId="1C57AC7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w:t>
            </w:r>
          </w:p>
        </w:tc>
      </w:tr>
      <w:tr w:rsidR="00D80693" w14:paraId="3084A30B" w14:textId="77777777" w:rsidTr="00D72320">
        <w:trPr>
          <w:cantSplit/>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FFFFFF"/>
          </w:tcPr>
          <w:p w14:paraId="4AE2B534" w14:textId="77777777" w:rsidR="00D80693" w:rsidRPr="00F70FCF" w:rsidRDefault="00D80693" w:rsidP="001928FA">
            <w:pPr>
              <w:adjustRightInd w:val="0"/>
              <w:spacing w:before="120"/>
              <w:rPr>
                <w:rFonts w:eastAsia="Calibri"/>
                <w:color w:val="000000"/>
              </w:rPr>
            </w:pP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764E6953"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Parfois</w:t>
            </w:r>
          </w:p>
        </w:tc>
        <w:tc>
          <w:tcPr>
            <w:tcW w:w="1155" w:type="dxa"/>
            <w:tcBorders>
              <w:top w:val="nil"/>
              <w:left w:val="single" w:sz="4" w:space="0" w:color="auto"/>
              <w:bottom w:val="nil"/>
              <w:right w:val="single" w:sz="4" w:space="0" w:color="auto"/>
            </w:tcBorders>
            <w:shd w:val="clear" w:color="auto" w:fill="FFFFFF"/>
            <w:vAlign w:val="center"/>
          </w:tcPr>
          <w:p w14:paraId="392B826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99</w:t>
            </w:r>
          </w:p>
        </w:tc>
        <w:tc>
          <w:tcPr>
            <w:tcW w:w="1297" w:type="dxa"/>
            <w:tcBorders>
              <w:top w:val="nil"/>
              <w:left w:val="single" w:sz="4" w:space="0" w:color="auto"/>
              <w:bottom w:val="nil"/>
              <w:right w:val="single" w:sz="4" w:space="0" w:color="auto"/>
            </w:tcBorders>
            <w:shd w:val="clear" w:color="auto" w:fill="FFFFFF"/>
            <w:vAlign w:val="center"/>
          </w:tcPr>
          <w:p w14:paraId="5536569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19,8</w:t>
            </w:r>
          </w:p>
        </w:tc>
        <w:tc>
          <w:tcPr>
            <w:tcW w:w="1439" w:type="dxa"/>
            <w:tcBorders>
              <w:top w:val="nil"/>
              <w:left w:val="single" w:sz="4" w:space="0" w:color="auto"/>
              <w:bottom w:val="nil"/>
              <w:right w:val="single" w:sz="4" w:space="0" w:color="auto"/>
            </w:tcBorders>
            <w:shd w:val="clear" w:color="auto" w:fill="FFFFFF"/>
            <w:vAlign w:val="center"/>
          </w:tcPr>
          <w:p w14:paraId="20A519B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19,8</w:t>
            </w:r>
          </w:p>
        </w:tc>
        <w:tc>
          <w:tcPr>
            <w:tcW w:w="1375" w:type="dxa"/>
            <w:tcBorders>
              <w:top w:val="nil"/>
              <w:left w:val="single" w:sz="4" w:space="0" w:color="auto"/>
              <w:bottom w:val="nil"/>
              <w:right w:val="single" w:sz="4" w:space="0" w:color="auto"/>
            </w:tcBorders>
            <w:shd w:val="clear" w:color="auto" w:fill="FFFFFF"/>
            <w:vAlign w:val="center"/>
          </w:tcPr>
          <w:p w14:paraId="78D8CED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22,4</w:t>
            </w:r>
          </w:p>
        </w:tc>
      </w:tr>
      <w:tr w:rsidR="00D80693" w14:paraId="757D3DFB" w14:textId="77777777" w:rsidTr="00D72320">
        <w:trPr>
          <w:cantSplit/>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FFFFFF"/>
          </w:tcPr>
          <w:p w14:paraId="6B6F9DA8" w14:textId="77777777" w:rsidR="00D80693" w:rsidRPr="00F70FCF" w:rsidRDefault="00D80693" w:rsidP="001928FA">
            <w:pPr>
              <w:adjustRightInd w:val="0"/>
              <w:spacing w:before="120"/>
              <w:rPr>
                <w:rFonts w:eastAsia="Calibri"/>
                <w:color w:val="000000"/>
              </w:rPr>
            </w:pP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34002CDE"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Souvent</w:t>
            </w:r>
          </w:p>
        </w:tc>
        <w:tc>
          <w:tcPr>
            <w:tcW w:w="1155" w:type="dxa"/>
            <w:tcBorders>
              <w:top w:val="nil"/>
              <w:left w:val="single" w:sz="4" w:space="0" w:color="auto"/>
              <w:bottom w:val="nil"/>
              <w:right w:val="single" w:sz="4" w:space="0" w:color="auto"/>
            </w:tcBorders>
            <w:shd w:val="clear" w:color="auto" w:fill="FFFFFF"/>
            <w:vAlign w:val="center"/>
          </w:tcPr>
          <w:p w14:paraId="05C61DC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262</w:t>
            </w:r>
          </w:p>
        </w:tc>
        <w:tc>
          <w:tcPr>
            <w:tcW w:w="1297" w:type="dxa"/>
            <w:tcBorders>
              <w:top w:val="nil"/>
              <w:left w:val="single" w:sz="4" w:space="0" w:color="auto"/>
              <w:bottom w:val="nil"/>
              <w:right w:val="single" w:sz="4" w:space="0" w:color="auto"/>
            </w:tcBorders>
            <w:shd w:val="clear" w:color="auto" w:fill="FFFFFF"/>
            <w:vAlign w:val="center"/>
          </w:tcPr>
          <w:p w14:paraId="1C71796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52,4</w:t>
            </w:r>
          </w:p>
        </w:tc>
        <w:tc>
          <w:tcPr>
            <w:tcW w:w="1439" w:type="dxa"/>
            <w:tcBorders>
              <w:top w:val="nil"/>
              <w:left w:val="single" w:sz="4" w:space="0" w:color="auto"/>
              <w:bottom w:val="nil"/>
              <w:right w:val="single" w:sz="4" w:space="0" w:color="auto"/>
            </w:tcBorders>
            <w:shd w:val="clear" w:color="auto" w:fill="FFFFFF"/>
            <w:vAlign w:val="center"/>
          </w:tcPr>
          <w:p w14:paraId="484AD53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52,4</w:t>
            </w:r>
          </w:p>
        </w:tc>
        <w:tc>
          <w:tcPr>
            <w:tcW w:w="1375" w:type="dxa"/>
            <w:tcBorders>
              <w:top w:val="nil"/>
              <w:left w:val="single" w:sz="4" w:space="0" w:color="auto"/>
              <w:bottom w:val="nil"/>
              <w:right w:val="single" w:sz="4" w:space="0" w:color="auto"/>
            </w:tcBorders>
            <w:shd w:val="clear" w:color="auto" w:fill="FFFFFF"/>
            <w:vAlign w:val="center"/>
          </w:tcPr>
          <w:p w14:paraId="79E230F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74,8</w:t>
            </w:r>
          </w:p>
        </w:tc>
      </w:tr>
      <w:tr w:rsidR="00D80693" w14:paraId="19E61B71" w14:textId="77777777" w:rsidTr="00D72320">
        <w:trPr>
          <w:cantSplit/>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FFFFFF"/>
          </w:tcPr>
          <w:p w14:paraId="60BFC6AF" w14:textId="77777777" w:rsidR="00D80693" w:rsidRPr="00F70FCF" w:rsidRDefault="00D80693" w:rsidP="001928FA">
            <w:pPr>
              <w:adjustRightInd w:val="0"/>
              <w:spacing w:before="120"/>
              <w:rPr>
                <w:rFonts w:eastAsia="Calibri"/>
                <w:color w:val="000000"/>
              </w:rPr>
            </w:pP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38361532"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Toujours</w:t>
            </w:r>
          </w:p>
        </w:tc>
        <w:tc>
          <w:tcPr>
            <w:tcW w:w="1155" w:type="dxa"/>
            <w:tcBorders>
              <w:top w:val="nil"/>
              <w:left w:val="single" w:sz="4" w:space="0" w:color="auto"/>
              <w:bottom w:val="nil"/>
              <w:right w:val="single" w:sz="4" w:space="0" w:color="auto"/>
            </w:tcBorders>
            <w:shd w:val="clear" w:color="auto" w:fill="FFFFFF"/>
            <w:vAlign w:val="center"/>
          </w:tcPr>
          <w:p w14:paraId="0DD7EF0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126</w:t>
            </w:r>
          </w:p>
        </w:tc>
        <w:tc>
          <w:tcPr>
            <w:tcW w:w="1297" w:type="dxa"/>
            <w:tcBorders>
              <w:top w:val="nil"/>
              <w:left w:val="single" w:sz="4" w:space="0" w:color="auto"/>
              <w:bottom w:val="nil"/>
              <w:right w:val="single" w:sz="4" w:space="0" w:color="auto"/>
            </w:tcBorders>
            <w:shd w:val="clear" w:color="auto" w:fill="FFFFFF"/>
            <w:vAlign w:val="center"/>
          </w:tcPr>
          <w:p w14:paraId="2FFA1E3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25,2</w:t>
            </w:r>
          </w:p>
        </w:tc>
        <w:tc>
          <w:tcPr>
            <w:tcW w:w="1439" w:type="dxa"/>
            <w:tcBorders>
              <w:top w:val="nil"/>
              <w:left w:val="single" w:sz="4" w:space="0" w:color="auto"/>
              <w:bottom w:val="nil"/>
              <w:right w:val="single" w:sz="4" w:space="0" w:color="auto"/>
            </w:tcBorders>
            <w:shd w:val="clear" w:color="auto" w:fill="FFFFFF"/>
            <w:vAlign w:val="center"/>
          </w:tcPr>
          <w:p w14:paraId="2966C83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25,2</w:t>
            </w:r>
          </w:p>
        </w:tc>
        <w:tc>
          <w:tcPr>
            <w:tcW w:w="1375" w:type="dxa"/>
            <w:tcBorders>
              <w:top w:val="nil"/>
              <w:left w:val="single" w:sz="4" w:space="0" w:color="auto"/>
              <w:bottom w:val="nil"/>
              <w:right w:val="single" w:sz="4" w:space="0" w:color="auto"/>
            </w:tcBorders>
            <w:shd w:val="clear" w:color="auto" w:fill="FFFFFF"/>
            <w:vAlign w:val="center"/>
          </w:tcPr>
          <w:p w14:paraId="671B35A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r>
      <w:tr w:rsidR="00D80693" w14:paraId="5132544C" w14:textId="77777777" w:rsidTr="00D72320">
        <w:trPr>
          <w:cantSplit/>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FFFFFF"/>
          </w:tcPr>
          <w:p w14:paraId="2BB77460" w14:textId="77777777" w:rsidR="00D80693" w:rsidRPr="00F70FCF" w:rsidRDefault="00D80693" w:rsidP="001928FA">
            <w:pPr>
              <w:adjustRightInd w:val="0"/>
              <w:spacing w:before="120"/>
              <w:rPr>
                <w:rFonts w:eastAsia="Calibri"/>
                <w:color w:val="000000"/>
              </w:rPr>
            </w:pPr>
          </w:p>
        </w:tc>
        <w:tc>
          <w:tcPr>
            <w:tcW w:w="967" w:type="dxa"/>
            <w:tcBorders>
              <w:top w:val="single" w:sz="4" w:space="0" w:color="auto"/>
              <w:left w:val="single" w:sz="4" w:space="0" w:color="auto"/>
              <w:bottom w:val="single" w:sz="4" w:space="0" w:color="auto"/>
              <w:right w:val="single" w:sz="4" w:space="0" w:color="auto"/>
            </w:tcBorders>
            <w:shd w:val="clear" w:color="auto" w:fill="FFFFFF"/>
          </w:tcPr>
          <w:p w14:paraId="37F854CD"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Total</w:t>
            </w:r>
          </w:p>
        </w:tc>
        <w:tc>
          <w:tcPr>
            <w:tcW w:w="1155" w:type="dxa"/>
            <w:tcBorders>
              <w:top w:val="nil"/>
              <w:left w:val="single" w:sz="4" w:space="0" w:color="auto"/>
              <w:bottom w:val="single" w:sz="4" w:space="0" w:color="auto"/>
              <w:right w:val="single" w:sz="4" w:space="0" w:color="auto"/>
            </w:tcBorders>
            <w:shd w:val="clear" w:color="auto" w:fill="FFFFFF"/>
            <w:vAlign w:val="center"/>
          </w:tcPr>
          <w:p w14:paraId="4CDA12B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500</w:t>
            </w:r>
          </w:p>
        </w:tc>
        <w:tc>
          <w:tcPr>
            <w:tcW w:w="1297" w:type="dxa"/>
            <w:tcBorders>
              <w:top w:val="nil"/>
              <w:left w:val="single" w:sz="4" w:space="0" w:color="auto"/>
              <w:bottom w:val="single" w:sz="4" w:space="0" w:color="auto"/>
              <w:right w:val="single" w:sz="4" w:space="0" w:color="auto"/>
            </w:tcBorders>
            <w:shd w:val="clear" w:color="auto" w:fill="FFFFFF"/>
            <w:vAlign w:val="center"/>
          </w:tcPr>
          <w:p w14:paraId="650CD2F1"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c>
          <w:tcPr>
            <w:tcW w:w="1439" w:type="dxa"/>
            <w:tcBorders>
              <w:top w:val="nil"/>
              <w:left w:val="single" w:sz="4" w:space="0" w:color="auto"/>
              <w:bottom w:val="single" w:sz="4" w:space="0" w:color="auto"/>
              <w:right w:val="single" w:sz="4" w:space="0" w:color="auto"/>
            </w:tcBorders>
            <w:shd w:val="clear" w:color="auto" w:fill="FFFFFF"/>
            <w:vAlign w:val="center"/>
          </w:tcPr>
          <w:p w14:paraId="380546E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c>
          <w:tcPr>
            <w:tcW w:w="1375" w:type="dxa"/>
            <w:tcBorders>
              <w:top w:val="nil"/>
              <w:left w:val="single" w:sz="4" w:space="0" w:color="auto"/>
              <w:bottom w:val="single" w:sz="4" w:space="0" w:color="auto"/>
              <w:right w:val="single" w:sz="4" w:space="0" w:color="auto"/>
            </w:tcBorders>
            <w:shd w:val="clear" w:color="auto" w:fill="FFFFFF"/>
            <w:vAlign w:val="center"/>
          </w:tcPr>
          <w:p w14:paraId="3D7F216E" w14:textId="77777777" w:rsidR="00D80693" w:rsidRPr="00F70FCF" w:rsidRDefault="00D80693" w:rsidP="001928FA">
            <w:pPr>
              <w:adjustRightInd w:val="0"/>
              <w:spacing w:before="120"/>
              <w:jc w:val="center"/>
              <w:rPr>
                <w:rFonts w:eastAsia="Calibri"/>
              </w:rPr>
            </w:pPr>
          </w:p>
        </w:tc>
      </w:tr>
    </w:tbl>
    <w:p w14:paraId="12D8D190" w14:textId="77777777" w:rsidR="00D80693" w:rsidRDefault="00D80693" w:rsidP="001928FA">
      <w:pPr>
        <w:adjustRightInd w:val="0"/>
        <w:spacing w:before="120"/>
        <w:jc w:val="center"/>
        <w:rPr>
          <w:rFonts w:eastAsia="Calibri"/>
          <w:i/>
          <w:iCs/>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22EC2EA5" w14:textId="77777777" w:rsidR="00D80693" w:rsidRPr="00C1242E" w:rsidRDefault="00D80693" w:rsidP="001928FA">
      <w:pPr>
        <w:adjustRightInd w:val="0"/>
        <w:spacing w:before="120"/>
        <w:jc w:val="center"/>
        <w:rPr>
          <w:rFonts w:eastAsia="Calibri"/>
          <w:sz w:val="10"/>
          <w:szCs w:val="10"/>
        </w:rPr>
      </w:pPr>
    </w:p>
    <w:p w14:paraId="59C645A8" w14:textId="77777777" w:rsidR="00D80693" w:rsidRDefault="00D80693" w:rsidP="00F429F0">
      <w:pPr>
        <w:spacing w:before="120"/>
        <w:ind w:right="60"/>
        <w:jc w:val="both"/>
        <w:rPr>
          <w:sz w:val="24"/>
          <w:szCs w:val="24"/>
        </w:rPr>
      </w:pPr>
      <w:r>
        <w:rPr>
          <w:rFonts w:cstheme="minorBidi"/>
          <w:sz w:val="24"/>
          <w:szCs w:val="24"/>
        </w:rPr>
        <w:t xml:space="preserve">Au regard du </w:t>
      </w:r>
      <w:r w:rsidRPr="008240D2">
        <w:rPr>
          <w:rFonts w:cstheme="minorBidi"/>
          <w:sz w:val="24"/>
          <w:szCs w:val="24"/>
        </w:rPr>
        <w:t>tableau précédent</w:t>
      </w:r>
      <w:r>
        <w:rPr>
          <w:rFonts w:cstheme="minorBidi"/>
          <w:sz w:val="24"/>
          <w:szCs w:val="24"/>
        </w:rPr>
        <w:t>, on note</w:t>
      </w:r>
      <w:r w:rsidRPr="008240D2">
        <w:rPr>
          <w:rFonts w:cstheme="minorBidi"/>
          <w:sz w:val="24"/>
          <w:szCs w:val="24"/>
        </w:rPr>
        <w:t xml:space="preserve"> que quoique la presque totalité des apprenants restent conscients de l’importance des exercices pour l’assimilation des cours, près du quart</w:t>
      </w:r>
      <w:r>
        <w:rPr>
          <w:rFonts w:cstheme="minorBidi"/>
          <w:sz w:val="24"/>
          <w:szCs w:val="24"/>
        </w:rPr>
        <w:t xml:space="preserve"> </w:t>
      </w:r>
      <w:r w:rsidRPr="008240D2">
        <w:rPr>
          <w:rFonts w:cstheme="minorBidi"/>
          <w:sz w:val="24"/>
          <w:szCs w:val="24"/>
        </w:rPr>
        <w:t>f</w:t>
      </w:r>
      <w:r>
        <w:rPr>
          <w:rFonts w:cstheme="minorBidi"/>
          <w:sz w:val="24"/>
          <w:szCs w:val="24"/>
        </w:rPr>
        <w:t>ai</w:t>
      </w:r>
      <w:r w:rsidRPr="008240D2">
        <w:rPr>
          <w:rFonts w:cstheme="minorBidi"/>
          <w:sz w:val="24"/>
          <w:szCs w:val="24"/>
        </w:rPr>
        <w:t xml:space="preserve">t peu fréquemment les exercices qui leurs sont proposés. Le tableau révèle également que seul le quart des enquêtés </w:t>
      </w:r>
      <w:proofErr w:type="gramStart"/>
      <w:r w:rsidRPr="008240D2">
        <w:rPr>
          <w:rFonts w:cstheme="minorBidi"/>
          <w:sz w:val="24"/>
          <w:szCs w:val="24"/>
        </w:rPr>
        <w:t>font</w:t>
      </w:r>
      <w:proofErr w:type="gramEnd"/>
      <w:r w:rsidRPr="008240D2">
        <w:rPr>
          <w:rFonts w:cstheme="minorBidi"/>
          <w:sz w:val="24"/>
          <w:szCs w:val="24"/>
        </w:rPr>
        <w:t xml:space="preserve"> toujours les exercices et que plus de la moitié</w:t>
      </w:r>
      <w:r>
        <w:rPr>
          <w:rFonts w:cstheme="minorBidi"/>
          <w:sz w:val="24"/>
          <w:szCs w:val="24"/>
        </w:rPr>
        <w:t xml:space="preserve"> </w:t>
      </w:r>
      <w:r w:rsidRPr="008240D2">
        <w:rPr>
          <w:rFonts w:cstheme="minorBidi"/>
          <w:sz w:val="24"/>
          <w:szCs w:val="24"/>
        </w:rPr>
        <w:t>les font souvent. De ce qui précède, l’on peut retenir que bien que reconnaissant en l’évaluation un impact certain pour la compréhension des cours, trois-quarts</w:t>
      </w:r>
      <w:r>
        <w:rPr>
          <w:rFonts w:cstheme="minorBidi"/>
          <w:sz w:val="24"/>
          <w:szCs w:val="24"/>
        </w:rPr>
        <w:t xml:space="preserve"> </w:t>
      </w:r>
      <w:r w:rsidRPr="008240D2">
        <w:rPr>
          <w:rFonts w:cstheme="minorBidi"/>
          <w:sz w:val="24"/>
          <w:szCs w:val="24"/>
        </w:rPr>
        <w:t>des apprenants ne s’y adonne</w:t>
      </w:r>
      <w:r>
        <w:rPr>
          <w:rFonts w:cstheme="minorBidi"/>
          <w:sz w:val="24"/>
          <w:szCs w:val="24"/>
        </w:rPr>
        <w:t>nt</w:t>
      </w:r>
      <w:r w:rsidRPr="008240D2">
        <w:rPr>
          <w:rFonts w:cstheme="minorBidi"/>
          <w:sz w:val="24"/>
          <w:szCs w:val="24"/>
        </w:rPr>
        <w:t xml:space="preserve"> pas toujours, mais surtout un-quart des enquêtés ont un rapport insuffisant avec les évaluations formatives. Toutefois, que recherche</w:t>
      </w:r>
      <w:r>
        <w:rPr>
          <w:rFonts w:cstheme="minorBidi"/>
          <w:sz w:val="24"/>
          <w:szCs w:val="24"/>
        </w:rPr>
        <w:t>nt-ils</w:t>
      </w:r>
      <w:r w:rsidRPr="008240D2">
        <w:rPr>
          <w:rFonts w:cstheme="minorBidi"/>
          <w:sz w:val="24"/>
          <w:szCs w:val="24"/>
        </w:rPr>
        <w:t xml:space="preserve"> généralement en </w:t>
      </w:r>
      <w:proofErr w:type="gramStart"/>
      <w:r w:rsidRPr="008240D2">
        <w:rPr>
          <w:rFonts w:cstheme="minorBidi"/>
          <w:sz w:val="24"/>
          <w:szCs w:val="24"/>
        </w:rPr>
        <w:t>faisant</w:t>
      </w:r>
      <w:proofErr w:type="gramEnd"/>
      <w:r w:rsidRPr="008240D2">
        <w:rPr>
          <w:rFonts w:cstheme="minorBidi"/>
          <w:sz w:val="24"/>
          <w:szCs w:val="24"/>
        </w:rPr>
        <w:t xml:space="preserve"> les exercices ?</w:t>
      </w:r>
    </w:p>
    <w:p w14:paraId="266B3671" w14:textId="77777777" w:rsidR="00D80693" w:rsidRPr="00302924" w:rsidRDefault="00D80693" w:rsidP="001928FA">
      <w:pPr>
        <w:spacing w:before="120"/>
        <w:ind w:right="60"/>
        <w:jc w:val="both"/>
        <w:rPr>
          <w:sz w:val="4"/>
          <w:szCs w:val="4"/>
        </w:rPr>
      </w:pPr>
    </w:p>
    <w:p w14:paraId="7B23B15A" w14:textId="77777777" w:rsidR="00D80693" w:rsidRPr="00F90857" w:rsidRDefault="00D80693" w:rsidP="001928FA">
      <w:pPr>
        <w:pStyle w:val="Paragraphedeliste"/>
        <w:ind w:left="1287"/>
        <w:rPr>
          <w:b/>
          <w:bCs/>
          <w:i/>
          <w:iCs/>
          <w:sz w:val="24"/>
          <w:szCs w:val="24"/>
        </w:rPr>
      </w:pPr>
      <w:r w:rsidRPr="00F90857">
        <w:rPr>
          <w:rFonts w:cstheme="minorBidi"/>
          <w:b/>
          <w:bCs/>
          <w:i/>
          <w:iCs/>
          <w:sz w:val="24"/>
          <w:szCs w:val="24"/>
        </w:rPr>
        <w:t xml:space="preserve">2.1.6. Opinions des enquêtés sur ce qui les motive à </w:t>
      </w:r>
      <w:proofErr w:type="gramStart"/>
      <w:r w:rsidRPr="00F90857">
        <w:rPr>
          <w:rFonts w:cstheme="minorBidi"/>
          <w:b/>
          <w:bCs/>
          <w:i/>
          <w:iCs/>
          <w:sz w:val="24"/>
          <w:szCs w:val="24"/>
        </w:rPr>
        <w:t>faire</w:t>
      </w:r>
      <w:proofErr w:type="gramEnd"/>
      <w:r w:rsidRPr="00F90857">
        <w:rPr>
          <w:rFonts w:cstheme="minorBidi"/>
          <w:b/>
          <w:bCs/>
          <w:i/>
          <w:iCs/>
          <w:sz w:val="24"/>
          <w:szCs w:val="24"/>
        </w:rPr>
        <w:t xml:space="preserve"> les exercices</w:t>
      </w:r>
    </w:p>
    <w:p w14:paraId="2357BDC3" w14:textId="77777777" w:rsidR="00D80693" w:rsidRDefault="00D80693" w:rsidP="001928FA">
      <w:pPr>
        <w:spacing w:before="120"/>
        <w:ind w:right="60"/>
        <w:jc w:val="both"/>
        <w:rPr>
          <w:sz w:val="24"/>
          <w:szCs w:val="24"/>
        </w:rPr>
      </w:pPr>
      <w:r w:rsidRPr="008240D2">
        <w:rPr>
          <w:rFonts w:cstheme="minorBidi"/>
          <w:sz w:val="24"/>
          <w:szCs w:val="24"/>
        </w:rPr>
        <w:t>Des quatre modalités proposées</w:t>
      </w:r>
      <w:r>
        <w:rPr>
          <w:rFonts w:cstheme="minorBidi"/>
          <w:sz w:val="24"/>
          <w:szCs w:val="24"/>
        </w:rPr>
        <w:t xml:space="preserve"> sur ce qui les motivent à </w:t>
      </w:r>
      <w:proofErr w:type="gramStart"/>
      <w:r>
        <w:rPr>
          <w:rFonts w:cstheme="minorBidi"/>
          <w:sz w:val="24"/>
          <w:szCs w:val="24"/>
        </w:rPr>
        <w:t>faire</w:t>
      </w:r>
      <w:proofErr w:type="gramEnd"/>
      <w:r>
        <w:rPr>
          <w:rFonts w:cstheme="minorBidi"/>
          <w:sz w:val="24"/>
          <w:szCs w:val="24"/>
        </w:rPr>
        <w:t xml:space="preserve"> les exercices, </w:t>
      </w:r>
      <w:r w:rsidRPr="008240D2">
        <w:rPr>
          <w:rFonts w:cstheme="minorBidi"/>
          <w:sz w:val="24"/>
          <w:szCs w:val="24"/>
        </w:rPr>
        <w:t>les apprenants ont répondu comme révélé par le tableau suivant.</w:t>
      </w:r>
    </w:p>
    <w:p w14:paraId="252D8623" w14:textId="77777777" w:rsidR="00D80693" w:rsidRPr="001F3123" w:rsidRDefault="00D80693" w:rsidP="001928FA">
      <w:pPr>
        <w:adjustRightInd w:val="0"/>
        <w:spacing w:before="120"/>
        <w:ind w:firstLine="1276"/>
        <w:rPr>
          <w:rFonts w:eastAsia="Calibri"/>
          <w:b/>
          <w:bCs/>
          <w:i/>
          <w:iCs/>
        </w:rPr>
      </w:pPr>
      <w:r w:rsidRPr="001F3123">
        <w:rPr>
          <w:rFonts w:eastAsia="Calibri"/>
          <w:b/>
          <w:bCs/>
          <w:i/>
          <w:iCs/>
        </w:rPr>
        <w:t>Tableau n°</w:t>
      </w:r>
      <w:r>
        <w:rPr>
          <w:rFonts w:eastAsia="Calibri"/>
          <w:b/>
          <w:bCs/>
          <w:i/>
          <w:iCs/>
        </w:rPr>
        <w:t>4</w:t>
      </w:r>
      <w:r w:rsidRPr="001F3123">
        <w:rPr>
          <w:rFonts w:eastAsia="Calibri"/>
          <w:b/>
          <w:bCs/>
          <w:i/>
          <w:iCs/>
        </w:rPr>
        <w:t xml:space="preserve"> : Ce que recherche l’élève en </w:t>
      </w:r>
      <w:proofErr w:type="gramStart"/>
      <w:r w:rsidRPr="001F3123">
        <w:rPr>
          <w:rFonts w:eastAsia="Calibri"/>
          <w:b/>
          <w:bCs/>
          <w:i/>
          <w:iCs/>
        </w:rPr>
        <w:t>faisant</w:t>
      </w:r>
      <w:proofErr w:type="gramEnd"/>
      <w:r w:rsidRPr="001F3123">
        <w:rPr>
          <w:rFonts w:eastAsia="Calibri"/>
          <w:b/>
          <w:bCs/>
          <w:i/>
          <w:iCs/>
        </w:rPr>
        <w:t xml:space="preserve"> les exercices</w:t>
      </w:r>
    </w:p>
    <w:p w14:paraId="5E7FB3E5" w14:textId="77777777" w:rsidR="00D80693" w:rsidRPr="00F70FCF" w:rsidRDefault="00D80693" w:rsidP="001928FA">
      <w:pPr>
        <w:adjustRightInd w:val="0"/>
        <w:spacing w:before="120"/>
        <w:rPr>
          <w:rFonts w:eastAsia="Calibri"/>
          <w:sz w:val="6"/>
          <w:szCs w:val="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5"/>
        <w:gridCol w:w="2663"/>
        <w:gridCol w:w="1119"/>
        <w:gridCol w:w="1417"/>
        <w:gridCol w:w="1276"/>
        <w:gridCol w:w="1276"/>
      </w:tblGrid>
      <w:tr w:rsidR="00D80693" w14:paraId="5037E5A7" w14:textId="77777777" w:rsidTr="00D72320">
        <w:trPr>
          <w:cantSplit/>
          <w:jc w:val="center"/>
        </w:trPr>
        <w:tc>
          <w:tcPr>
            <w:tcW w:w="3838" w:type="dxa"/>
            <w:gridSpan w:val="2"/>
            <w:shd w:val="clear" w:color="auto" w:fill="FFFFFF"/>
            <w:vAlign w:val="bottom"/>
          </w:tcPr>
          <w:p w14:paraId="64254775" w14:textId="77777777" w:rsidR="00D80693" w:rsidRPr="00F70FCF" w:rsidRDefault="00D80693" w:rsidP="001928FA">
            <w:pPr>
              <w:adjustRightInd w:val="0"/>
              <w:spacing w:before="120"/>
              <w:rPr>
                <w:rFonts w:eastAsia="Calibri"/>
              </w:rPr>
            </w:pPr>
          </w:p>
        </w:tc>
        <w:tc>
          <w:tcPr>
            <w:tcW w:w="1119" w:type="dxa"/>
            <w:tcBorders>
              <w:bottom w:val="single" w:sz="4" w:space="0" w:color="auto"/>
            </w:tcBorders>
            <w:shd w:val="clear" w:color="auto" w:fill="FFFFFF"/>
            <w:vAlign w:val="bottom"/>
          </w:tcPr>
          <w:p w14:paraId="05334998" w14:textId="77777777" w:rsidR="00D80693" w:rsidRPr="00F70FCF" w:rsidRDefault="00D80693" w:rsidP="001928FA">
            <w:pPr>
              <w:adjustRightInd w:val="0"/>
              <w:spacing w:before="120"/>
              <w:ind w:right="60"/>
              <w:jc w:val="center"/>
              <w:rPr>
                <w:rFonts w:eastAsia="Calibri"/>
                <w:color w:val="000000"/>
              </w:rPr>
            </w:pPr>
            <w:r w:rsidRPr="00F70FCF">
              <w:rPr>
                <w:rFonts w:eastAsia="Calibri"/>
                <w:color w:val="000000"/>
              </w:rPr>
              <w:t>Fréquence</w:t>
            </w:r>
          </w:p>
        </w:tc>
        <w:tc>
          <w:tcPr>
            <w:tcW w:w="1417" w:type="dxa"/>
            <w:tcBorders>
              <w:bottom w:val="single" w:sz="4" w:space="0" w:color="auto"/>
            </w:tcBorders>
            <w:shd w:val="clear" w:color="auto" w:fill="FFFFFF"/>
            <w:vAlign w:val="bottom"/>
          </w:tcPr>
          <w:p w14:paraId="1B9B09E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w:t>
            </w:r>
          </w:p>
        </w:tc>
        <w:tc>
          <w:tcPr>
            <w:tcW w:w="1276" w:type="dxa"/>
            <w:tcBorders>
              <w:bottom w:val="single" w:sz="4" w:space="0" w:color="auto"/>
            </w:tcBorders>
            <w:shd w:val="clear" w:color="auto" w:fill="FFFFFF"/>
            <w:vAlign w:val="bottom"/>
          </w:tcPr>
          <w:p w14:paraId="25D70FC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valide</w:t>
            </w:r>
          </w:p>
        </w:tc>
        <w:tc>
          <w:tcPr>
            <w:tcW w:w="1276" w:type="dxa"/>
            <w:tcBorders>
              <w:bottom w:val="single" w:sz="4" w:space="0" w:color="auto"/>
            </w:tcBorders>
            <w:shd w:val="clear" w:color="auto" w:fill="FFFFFF"/>
            <w:vAlign w:val="bottom"/>
          </w:tcPr>
          <w:p w14:paraId="4683FAC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cumulé</w:t>
            </w:r>
          </w:p>
        </w:tc>
      </w:tr>
      <w:tr w:rsidR="00D80693" w14:paraId="7F2565B0" w14:textId="77777777" w:rsidTr="00D72320">
        <w:trPr>
          <w:cantSplit/>
          <w:jc w:val="center"/>
        </w:trPr>
        <w:tc>
          <w:tcPr>
            <w:tcW w:w="1175" w:type="dxa"/>
            <w:vMerge w:val="restart"/>
            <w:shd w:val="clear" w:color="auto" w:fill="FFFFFF"/>
          </w:tcPr>
          <w:p w14:paraId="0B721734" w14:textId="77777777" w:rsidR="00D80693" w:rsidRPr="00F70FCF" w:rsidRDefault="00D80693" w:rsidP="001928FA">
            <w:pPr>
              <w:adjustRightInd w:val="0"/>
              <w:spacing w:before="120"/>
              <w:ind w:left="60" w:right="60"/>
              <w:jc w:val="center"/>
              <w:rPr>
                <w:rFonts w:eastAsia="Calibri"/>
                <w:color w:val="000000"/>
              </w:rPr>
            </w:pPr>
          </w:p>
          <w:p w14:paraId="32F0F012" w14:textId="77777777" w:rsidR="00D80693" w:rsidRPr="00F70FCF" w:rsidRDefault="00D80693" w:rsidP="001928FA">
            <w:pPr>
              <w:adjustRightInd w:val="0"/>
              <w:spacing w:before="120"/>
              <w:ind w:left="60" w:right="60"/>
              <w:jc w:val="center"/>
              <w:rPr>
                <w:rFonts w:eastAsia="Calibri"/>
                <w:color w:val="000000"/>
              </w:rPr>
            </w:pPr>
          </w:p>
          <w:p w14:paraId="6036B5A2" w14:textId="77777777" w:rsidR="00D80693" w:rsidRPr="00F70FCF" w:rsidRDefault="00D80693" w:rsidP="001928FA">
            <w:pPr>
              <w:adjustRightInd w:val="0"/>
              <w:spacing w:before="120"/>
              <w:ind w:left="60" w:right="60"/>
              <w:jc w:val="center"/>
              <w:rPr>
                <w:rFonts w:eastAsia="Calibri"/>
                <w:color w:val="000000"/>
              </w:rPr>
            </w:pPr>
          </w:p>
          <w:p w14:paraId="2DE2F28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Modalités</w:t>
            </w:r>
          </w:p>
        </w:tc>
        <w:tc>
          <w:tcPr>
            <w:tcW w:w="2663" w:type="dxa"/>
            <w:tcBorders>
              <w:right w:val="single" w:sz="4" w:space="0" w:color="auto"/>
            </w:tcBorders>
            <w:shd w:val="clear" w:color="auto" w:fill="FFFFFF"/>
          </w:tcPr>
          <w:p w14:paraId="767FD7DF"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 xml:space="preserve">Eviter d'être réprimandé par le professeur </w:t>
            </w:r>
          </w:p>
        </w:tc>
        <w:tc>
          <w:tcPr>
            <w:tcW w:w="1119" w:type="dxa"/>
            <w:tcBorders>
              <w:top w:val="single" w:sz="4" w:space="0" w:color="auto"/>
              <w:left w:val="single" w:sz="4" w:space="0" w:color="auto"/>
              <w:bottom w:val="nil"/>
              <w:right w:val="single" w:sz="4" w:space="0" w:color="auto"/>
            </w:tcBorders>
            <w:shd w:val="clear" w:color="auto" w:fill="FFFFFF"/>
            <w:vAlign w:val="center"/>
          </w:tcPr>
          <w:p w14:paraId="21897F3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28</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32E369D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5,6</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595FD0F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5,6</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4BE0839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5,6</w:t>
            </w:r>
          </w:p>
        </w:tc>
      </w:tr>
      <w:tr w:rsidR="00D80693" w14:paraId="0B7B08B7" w14:textId="77777777" w:rsidTr="00D72320">
        <w:trPr>
          <w:cantSplit/>
          <w:jc w:val="center"/>
        </w:trPr>
        <w:tc>
          <w:tcPr>
            <w:tcW w:w="1175" w:type="dxa"/>
            <w:vMerge/>
            <w:shd w:val="clear" w:color="auto" w:fill="FFFFFF"/>
          </w:tcPr>
          <w:p w14:paraId="58BAFA5C" w14:textId="77777777" w:rsidR="00D80693" w:rsidRPr="00F70FCF" w:rsidRDefault="00D80693" w:rsidP="001928FA">
            <w:pPr>
              <w:adjustRightInd w:val="0"/>
              <w:spacing w:before="120"/>
              <w:rPr>
                <w:rFonts w:eastAsia="Calibri"/>
                <w:color w:val="000000"/>
              </w:rPr>
            </w:pPr>
          </w:p>
        </w:tc>
        <w:tc>
          <w:tcPr>
            <w:tcW w:w="2663" w:type="dxa"/>
            <w:tcBorders>
              <w:right w:val="single" w:sz="4" w:space="0" w:color="auto"/>
            </w:tcBorders>
            <w:shd w:val="clear" w:color="auto" w:fill="FFFFFF"/>
          </w:tcPr>
          <w:p w14:paraId="18238B25"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Comprendre mieux les cours</w:t>
            </w:r>
          </w:p>
        </w:tc>
        <w:tc>
          <w:tcPr>
            <w:tcW w:w="1119" w:type="dxa"/>
            <w:tcBorders>
              <w:top w:val="nil"/>
              <w:left w:val="single" w:sz="4" w:space="0" w:color="auto"/>
              <w:bottom w:val="nil"/>
              <w:right w:val="single" w:sz="4" w:space="0" w:color="auto"/>
            </w:tcBorders>
            <w:shd w:val="clear" w:color="auto" w:fill="FFFFFF"/>
            <w:vAlign w:val="center"/>
          </w:tcPr>
          <w:p w14:paraId="269DB74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99</w:t>
            </w:r>
          </w:p>
        </w:tc>
        <w:tc>
          <w:tcPr>
            <w:tcW w:w="1417" w:type="dxa"/>
            <w:tcBorders>
              <w:top w:val="nil"/>
              <w:left w:val="single" w:sz="4" w:space="0" w:color="auto"/>
              <w:bottom w:val="nil"/>
              <w:right w:val="single" w:sz="4" w:space="0" w:color="auto"/>
            </w:tcBorders>
            <w:shd w:val="clear" w:color="auto" w:fill="FFFFFF"/>
            <w:vAlign w:val="center"/>
          </w:tcPr>
          <w:p w14:paraId="0B8BDD8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19,8</w:t>
            </w:r>
          </w:p>
        </w:tc>
        <w:tc>
          <w:tcPr>
            <w:tcW w:w="1276" w:type="dxa"/>
            <w:tcBorders>
              <w:top w:val="nil"/>
              <w:left w:val="single" w:sz="4" w:space="0" w:color="auto"/>
              <w:bottom w:val="nil"/>
              <w:right w:val="single" w:sz="4" w:space="0" w:color="auto"/>
            </w:tcBorders>
            <w:shd w:val="clear" w:color="auto" w:fill="FFFFFF"/>
            <w:vAlign w:val="center"/>
          </w:tcPr>
          <w:p w14:paraId="0FBF591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19,8</w:t>
            </w:r>
          </w:p>
        </w:tc>
        <w:tc>
          <w:tcPr>
            <w:tcW w:w="1276" w:type="dxa"/>
            <w:tcBorders>
              <w:top w:val="nil"/>
              <w:left w:val="single" w:sz="4" w:space="0" w:color="auto"/>
              <w:bottom w:val="nil"/>
              <w:right w:val="single" w:sz="4" w:space="0" w:color="auto"/>
            </w:tcBorders>
            <w:shd w:val="clear" w:color="auto" w:fill="FFFFFF"/>
            <w:vAlign w:val="center"/>
          </w:tcPr>
          <w:p w14:paraId="3ACAA72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25,4</w:t>
            </w:r>
          </w:p>
        </w:tc>
      </w:tr>
      <w:tr w:rsidR="00D80693" w14:paraId="53DF8214" w14:textId="77777777" w:rsidTr="00D72320">
        <w:trPr>
          <w:cantSplit/>
          <w:jc w:val="center"/>
        </w:trPr>
        <w:tc>
          <w:tcPr>
            <w:tcW w:w="1175" w:type="dxa"/>
            <w:vMerge/>
            <w:shd w:val="clear" w:color="auto" w:fill="FFFFFF"/>
          </w:tcPr>
          <w:p w14:paraId="0A0A18E5" w14:textId="77777777" w:rsidR="00D80693" w:rsidRPr="00F70FCF" w:rsidRDefault="00D80693" w:rsidP="001928FA">
            <w:pPr>
              <w:adjustRightInd w:val="0"/>
              <w:spacing w:before="120"/>
              <w:rPr>
                <w:rFonts w:eastAsia="Calibri"/>
                <w:color w:val="000000"/>
              </w:rPr>
            </w:pPr>
          </w:p>
        </w:tc>
        <w:tc>
          <w:tcPr>
            <w:tcW w:w="2663" w:type="dxa"/>
            <w:tcBorders>
              <w:right w:val="single" w:sz="4" w:space="0" w:color="auto"/>
            </w:tcBorders>
            <w:shd w:val="clear" w:color="auto" w:fill="FFFFFF"/>
          </w:tcPr>
          <w:p w14:paraId="4069B673"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Vérifier si j'ai bien compris les cours</w:t>
            </w:r>
          </w:p>
        </w:tc>
        <w:tc>
          <w:tcPr>
            <w:tcW w:w="1119" w:type="dxa"/>
            <w:tcBorders>
              <w:top w:val="nil"/>
              <w:left w:val="single" w:sz="4" w:space="0" w:color="auto"/>
              <w:bottom w:val="nil"/>
              <w:right w:val="single" w:sz="4" w:space="0" w:color="auto"/>
            </w:tcBorders>
            <w:shd w:val="clear" w:color="auto" w:fill="FFFFFF"/>
            <w:vAlign w:val="center"/>
          </w:tcPr>
          <w:p w14:paraId="3289288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217</w:t>
            </w:r>
          </w:p>
        </w:tc>
        <w:tc>
          <w:tcPr>
            <w:tcW w:w="1417" w:type="dxa"/>
            <w:tcBorders>
              <w:top w:val="nil"/>
              <w:left w:val="single" w:sz="4" w:space="0" w:color="auto"/>
              <w:bottom w:val="nil"/>
              <w:right w:val="single" w:sz="4" w:space="0" w:color="auto"/>
            </w:tcBorders>
            <w:shd w:val="clear" w:color="auto" w:fill="FFFFFF"/>
            <w:vAlign w:val="center"/>
          </w:tcPr>
          <w:p w14:paraId="52E4993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43,4</w:t>
            </w:r>
          </w:p>
        </w:tc>
        <w:tc>
          <w:tcPr>
            <w:tcW w:w="1276" w:type="dxa"/>
            <w:tcBorders>
              <w:top w:val="nil"/>
              <w:left w:val="single" w:sz="4" w:space="0" w:color="auto"/>
              <w:bottom w:val="nil"/>
              <w:right w:val="single" w:sz="4" w:space="0" w:color="auto"/>
            </w:tcBorders>
            <w:shd w:val="clear" w:color="auto" w:fill="FFFFFF"/>
            <w:vAlign w:val="center"/>
          </w:tcPr>
          <w:p w14:paraId="26D6821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43,4</w:t>
            </w:r>
          </w:p>
        </w:tc>
        <w:tc>
          <w:tcPr>
            <w:tcW w:w="1276" w:type="dxa"/>
            <w:tcBorders>
              <w:top w:val="nil"/>
              <w:left w:val="single" w:sz="4" w:space="0" w:color="auto"/>
              <w:bottom w:val="nil"/>
              <w:right w:val="single" w:sz="4" w:space="0" w:color="auto"/>
            </w:tcBorders>
            <w:shd w:val="clear" w:color="auto" w:fill="FFFFFF"/>
            <w:vAlign w:val="center"/>
          </w:tcPr>
          <w:p w14:paraId="0E4A4FA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68,8</w:t>
            </w:r>
          </w:p>
        </w:tc>
      </w:tr>
      <w:tr w:rsidR="00D80693" w14:paraId="10B3DFFA" w14:textId="77777777" w:rsidTr="00D72320">
        <w:trPr>
          <w:cantSplit/>
          <w:jc w:val="center"/>
        </w:trPr>
        <w:tc>
          <w:tcPr>
            <w:tcW w:w="1175" w:type="dxa"/>
            <w:vMerge/>
            <w:shd w:val="clear" w:color="auto" w:fill="FFFFFF"/>
          </w:tcPr>
          <w:p w14:paraId="408E1820" w14:textId="77777777" w:rsidR="00D80693" w:rsidRPr="00F70FCF" w:rsidRDefault="00D80693" w:rsidP="001928FA">
            <w:pPr>
              <w:adjustRightInd w:val="0"/>
              <w:spacing w:before="120"/>
              <w:rPr>
                <w:rFonts w:eastAsia="Calibri"/>
                <w:color w:val="000000"/>
              </w:rPr>
            </w:pPr>
          </w:p>
        </w:tc>
        <w:tc>
          <w:tcPr>
            <w:tcW w:w="2663" w:type="dxa"/>
            <w:tcBorders>
              <w:right w:val="single" w:sz="4" w:space="0" w:color="auto"/>
            </w:tcBorders>
            <w:shd w:val="clear" w:color="auto" w:fill="FFFFFF"/>
          </w:tcPr>
          <w:p w14:paraId="26405BD1"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Me préparer à faire les devoirs et les examens</w:t>
            </w:r>
          </w:p>
        </w:tc>
        <w:tc>
          <w:tcPr>
            <w:tcW w:w="1119" w:type="dxa"/>
            <w:tcBorders>
              <w:top w:val="nil"/>
              <w:left w:val="single" w:sz="4" w:space="0" w:color="auto"/>
              <w:bottom w:val="nil"/>
              <w:right w:val="single" w:sz="4" w:space="0" w:color="auto"/>
            </w:tcBorders>
            <w:shd w:val="clear" w:color="auto" w:fill="FFFFFF"/>
            <w:vAlign w:val="center"/>
          </w:tcPr>
          <w:p w14:paraId="0E0F32C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156</w:t>
            </w:r>
          </w:p>
        </w:tc>
        <w:tc>
          <w:tcPr>
            <w:tcW w:w="1417" w:type="dxa"/>
            <w:tcBorders>
              <w:top w:val="nil"/>
              <w:left w:val="single" w:sz="4" w:space="0" w:color="auto"/>
              <w:bottom w:val="nil"/>
              <w:right w:val="single" w:sz="4" w:space="0" w:color="auto"/>
            </w:tcBorders>
            <w:shd w:val="clear" w:color="auto" w:fill="FFFFFF"/>
            <w:vAlign w:val="center"/>
          </w:tcPr>
          <w:p w14:paraId="781AB0B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31,2</w:t>
            </w:r>
          </w:p>
        </w:tc>
        <w:tc>
          <w:tcPr>
            <w:tcW w:w="1276" w:type="dxa"/>
            <w:tcBorders>
              <w:top w:val="nil"/>
              <w:left w:val="single" w:sz="4" w:space="0" w:color="auto"/>
              <w:bottom w:val="nil"/>
              <w:right w:val="single" w:sz="4" w:space="0" w:color="auto"/>
            </w:tcBorders>
            <w:shd w:val="clear" w:color="auto" w:fill="FFFFFF"/>
            <w:vAlign w:val="center"/>
          </w:tcPr>
          <w:p w14:paraId="32FA227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31,2</w:t>
            </w:r>
          </w:p>
        </w:tc>
        <w:tc>
          <w:tcPr>
            <w:tcW w:w="1276" w:type="dxa"/>
            <w:tcBorders>
              <w:top w:val="nil"/>
              <w:left w:val="single" w:sz="4" w:space="0" w:color="auto"/>
              <w:bottom w:val="nil"/>
              <w:right w:val="single" w:sz="4" w:space="0" w:color="auto"/>
            </w:tcBorders>
            <w:shd w:val="clear" w:color="auto" w:fill="FFFFFF"/>
            <w:vAlign w:val="center"/>
          </w:tcPr>
          <w:p w14:paraId="4108FBE2"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r>
      <w:tr w:rsidR="00D80693" w14:paraId="09C4AC55" w14:textId="77777777" w:rsidTr="00D72320">
        <w:trPr>
          <w:cantSplit/>
          <w:jc w:val="center"/>
        </w:trPr>
        <w:tc>
          <w:tcPr>
            <w:tcW w:w="1175" w:type="dxa"/>
            <w:vMerge/>
            <w:shd w:val="clear" w:color="auto" w:fill="FFFFFF"/>
          </w:tcPr>
          <w:p w14:paraId="5FA42940" w14:textId="77777777" w:rsidR="00D80693" w:rsidRPr="00F70FCF" w:rsidRDefault="00D80693" w:rsidP="001928FA">
            <w:pPr>
              <w:adjustRightInd w:val="0"/>
              <w:spacing w:before="120"/>
              <w:rPr>
                <w:rFonts w:eastAsia="Calibri"/>
                <w:color w:val="000000"/>
              </w:rPr>
            </w:pPr>
          </w:p>
        </w:tc>
        <w:tc>
          <w:tcPr>
            <w:tcW w:w="2663" w:type="dxa"/>
            <w:tcBorders>
              <w:right w:val="single" w:sz="4" w:space="0" w:color="auto"/>
            </w:tcBorders>
            <w:shd w:val="clear" w:color="auto" w:fill="FFFFFF"/>
          </w:tcPr>
          <w:p w14:paraId="37CF5544"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Total</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806E374"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500</w:t>
            </w:r>
          </w:p>
        </w:tc>
        <w:tc>
          <w:tcPr>
            <w:tcW w:w="1417" w:type="dxa"/>
            <w:tcBorders>
              <w:top w:val="nil"/>
              <w:left w:val="single" w:sz="4" w:space="0" w:color="auto"/>
              <w:bottom w:val="single" w:sz="4" w:space="0" w:color="auto"/>
              <w:right w:val="single" w:sz="4" w:space="0" w:color="auto"/>
            </w:tcBorders>
            <w:shd w:val="clear" w:color="auto" w:fill="FFFFFF"/>
            <w:vAlign w:val="center"/>
          </w:tcPr>
          <w:p w14:paraId="2B509323"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4D296FD2"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49B3976A" w14:textId="77777777" w:rsidR="00D80693" w:rsidRPr="00F70FCF" w:rsidRDefault="00D80693" w:rsidP="001928FA">
            <w:pPr>
              <w:adjustRightInd w:val="0"/>
              <w:spacing w:before="120"/>
              <w:rPr>
                <w:rFonts w:eastAsia="Calibri"/>
              </w:rPr>
            </w:pPr>
          </w:p>
        </w:tc>
      </w:tr>
    </w:tbl>
    <w:p w14:paraId="5913DECB" w14:textId="77777777" w:rsidR="00D80693" w:rsidRPr="008240D2" w:rsidRDefault="00D80693" w:rsidP="001928FA">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6A56E823" w14:textId="77777777" w:rsidR="00D80693" w:rsidRPr="00BB1B5D" w:rsidRDefault="00D80693" w:rsidP="001928FA">
      <w:pPr>
        <w:adjustRightInd w:val="0"/>
        <w:spacing w:before="120"/>
        <w:rPr>
          <w:rFonts w:eastAsia="Calibri"/>
          <w:sz w:val="4"/>
          <w:szCs w:val="4"/>
        </w:rPr>
      </w:pPr>
    </w:p>
    <w:p w14:paraId="2314711D" w14:textId="77777777" w:rsidR="00D80693" w:rsidRDefault="00D80693" w:rsidP="00F429F0">
      <w:pPr>
        <w:spacing w:before="120"/>
        <w:ind w:right="60"/>
        <w:jc w:val="both"/>
        <w:rPr>
          <w:sz w:val="24"/>
          <w:szCs w:val="24"/>
        </w:rPr>
      </w:pPr>
      <w:r w:rsidRPr="008240D2">
        <w:rPr>
          <w:rFonts w:cstheme="minorBidi"/>
          <w:sz w:val="24"/>
          <w:szCs w:val="24"/>
        </w:rPr>
        <w:t xml:space="preserve">Le tableau </w:t>
      </w:r>
      <w:r>
        <w:rPr>
          <w:rFonts w:cstheme="minorBidi"/>
          <w:sz w:val="24"/>
          <w:szCs w:val="24"/>
        </w:rPr>
        <w:t>4</w:t>
      </w:r>
      <w:r w:rsidRPr="008240D2">
        <w:rPr>
          <w:rFonts w:cstheme="minorBidi"/>
          <w:sz w:val="24"/>
          <w:szCs w:val="24"/>
        </w:rPr>
        <w:t xml:space="preserve"> décrit l’objectif visé par l’élève en </w:t>
      </w:r>
      <w:proofErr w:type="gramStart"/>
      <w:r w:rsidRPr="008240D2">
        <w:rPr>
          <w:rFonts w:cstheme="minorBidi"/>
          <w:sz w:val="24"/>
          <w:szCs w:val="24"/>
        </w:rPr>
        <w:t>faisant</w:t>
      </w:r>
      <w:proofErr w:type="gramEnd"/>
      <w:r w:rsidRPr="008240D2">
        <w:rPr>
          <w:rFonts w:cstheme="minorBidi"/>
          <w:sz w:val="24"/>
          <w:szCs w:val="24"/>
        </w:rPr>
        <w:t xml:space="preserve"> ses exercices. Sur l’effectif inter</w:t>
      </w:r>
      <w:r>
        <w:rPr>
          <w:rFonts w:cstheme="minorBidi"/>
          <w:sz w:val="24"/>
          <w:szCs w:val="24"/>
        </w:rPr>
        <w:t>rog</w:t>
      </w:r>
      <w:r w:rsidRPr="008240D2">
        <w:rPr>
          <w:rFonts w:cstheme="minorBidi"/>
          <w:sz w:val="24"/>
          <w:szCs w:val="24"/>
        </w:rPr>
        <w:t>é, la majorité des apprenants</w:t>
      </w:r>
      <w:r>
        <w:rPr>
          <w:rFonts w:cstheme="minorBidi"/>
          <w:sz w:val="24"/>
          <w:szCs w:val="24"/>
        </w:rPr>
        <w:t xml:space="preserve"> </w:t>
      </w:r>
      <w:r w:rsidRPr="008240D2">
        <w:rPr>
          <w:rFonts w:cstheme="minorBidi"/>
          <w:sz w:val="24"/>
          <w:szCs w:val="24"/>
        </w:rPr>
        <w:t xml:space="preserve">déclarent </w:t>
      </w:r>
      <w:proofErr w:type="gramStart"/>
      <w:r w:rsidRPr="008240D2">
        <w:rPr>
          <w:rFonts w:cstheme="minorBidi"/>
          <w:sz w:val="24"/>
          <w:szCs w:val="24"/>
        </w:rPr>
        <w:t>faire</w:t>
      </w:r>
      <w:proofErr w:type="gramEnd"/>
      <w:r w:rsidRPr="008240D2">
        <w:rPr>
          <w:rFonts w:cstheme="minorBidi"/>
          <w:sz w:val="24"/>
          <w:szCs w:val="24"/>
        </w:rPr>
        <w:t xml:space="preserve"> les exercices pour vérifier s’ils ont bien compris les cours. S’ensuivent une proportion estimée à près du tiers qui affirme que l’objectif recherché est de se préparer à faire les devoirs et les examens et une autre, </w:t>
      </w:r>
      <w:r>
        <w:rPr>
          <w:rFonts w:cstheme="minorBidi"/>
          <w:sz w:val="24"/>
          <w:szCs w:val="24"/>
        </w:rPr>
        <w:t>le cinquième restant</w:t>
      </w:r>
      <w:r w:rsidRPr="008240D2">
        <w:rPr>
          <w:rFonts w:cstheme="minorBidi"/>
          <w:sz w:val="24"/>
          <w:szCs w:val="24"/>
        </w:rPr>
        <w:t xml:space="preserve">, qui estime </w:t>
      </w:r>
      <w:proofErr w:type="gramStart"/>
      <w:r w:rsidRPr="008240D2">
        <w:rPr>
          <w:rFonts w:cstheme="minorBidi"/>
          <w:sz w:val="24"/>
          <w:szCs w:val="24"/>
        </w:rPr>
        <w:t>faire</w:t>
      </w:r>
      <w:proofErr w:type="gramEnd"/>
      <w:r w:rsidRPr="008240D2">
        <w:rPr>
          <w:rFonts w:cstheme="minorBidi"/>
          <w:sz w:val="24"/>
          <w:szCs w:val="24"/>
        </w:rPr>
        <w:t xml:space="preserve"> les exercices, pour comprendre mieux les cours. En revanche, une </w:t>
      </w:r>
      <w:r>
        <w:rPr>
          <w:rFonts w:cstheme="minorBidi"/>
          <w:sz w:val="24"/>
          <w:szCs w:val="24"/>
        </w:rPr>
        <w:t xml:space="preserve">faible </w:t>
      </w:r>
      <w:r w:rsidRPr="008240D2">
        <w:rPr>
          <w:rFonts w:cstheme="minorBidi"/>
          <w:sz w:val="24"/>
          <w:szCs w:val="24"/>
        </w:rPr>
        <w:t>représentation</w:t>
      </w:r>
      <w:r>
        <w:rPr>
          <w:rFonts w:cstheme="minorBidi"/>
          <w:sz w:val="24"/>
          <w:szCs w:val="24"/>
        </w:rPr>
        <w:t xml:space="preserve"> </w:t>
      </w:r>
      <w:r w:rsidRPr="008240D2">
        <w:rPr>
          <w:rFonts w:cstheme="minorBidi"/>
          <w:sz w:val="24"/>
          <w:szCs w:val="24"/>
        </w:rPr>
        <w:t xml:space="preserve">affirme que l’objectif recherché premièrement par l’élève en </w:t>
      </w:r>
      <w:proofErr w:type="gramStart"/>
      <w:r w:rsidRPr="008240D2">
        <w:rPr>
          <w:rFonts w:cstheme="minorBidi"/>
          <w:sz w:val="24"/>
          <w:szCs w:val="24"/>
        </w:rPr>
        <w:t>faisant</w:t>
      </w:r>
      <w:proofErr w:type="gramEnd"/>
      <w:r w:rsidRPr="008240D2">
        <w:rPr>
          <w:rFonts w:cstheme="minorBidi"/>
          <w:sz w:val="24"/>
          <w:szCs w:val="24"/>
        </w:rPr>
        <w:t xml:space="preserve"> ses exercices est d’éviter d'être réprimandé par le professeur. </w:t>
      </w:r>
    </w:p>
    <w:p w14:paraId="62443CAD" w14:textId="77777777" w:rsidR="00D80693" w:rsidRDefault="00D80693" w:rsidP="001928FA">
      <w:pPr>
        <w:spacing w:before="120"/>
        <w:ind w:right="60"/>
        <w:jc w:val="both"/>
        <w:rPr>
          <w:sz w:val="24"/>
          <w:szCs w:val="24"/>
        </w:rPr>
      </w:pPr>
      <w:r w:rsidRPr="008240D2">
        <w:rPr>
          <w:rFonts w:cstheme="minorBidi"/>
          <w:sz w:val="24"/>
          <w:szCs w:val="24"/>
        </w:rPr>
        <w:t xml:space="preserve">De ce qui précède, l’on retient que les élèves </w:t>
      </w:r>
      <w:proofErr w:type="gramStart"/>
      <w:r w:rsidRPr="008240D2">
        <w:rPr>
          <w:rFonts w:cstheme="minorBidi"/>
          <w:sz w:val="24"/>
          <w:szCs w:val="24"/>
        </w:rPr>
        <w:t>font</w:t>
      </w:r>
      <w:proofErr w:type="gramEnd"/>
      <w:r w:rsidRPr="008240D2">
        <w:rPr>
          <w:rFonts w:cstheme="minorBidi"/>
          <w:sz w:val="24"/>
          <w:szCs w:val="24"/>
        </w:rPr>
        <w:t xml:space="preserve"> généralement les exercices non par contrainte, mais parce qu’ils espèrent en tirer des bénéfices pour leur apprentissage et leur réussite. Cependant, quel est le niveau de difficulté des exercices que les élèves font généralement.</w:t>
      </w:r>
    </w:p>
    <w:p w14:paraId="06ED4B30" w14:textId="77777777" w:rsidR="00D80693" w:rsidRPr="00F90857" w:rsidRDefault="00D80693" w:rsidP="001928FA">
      <w:pPr>
        <w:pStyle w:val="Paragraphedeliste"/>
        <w:ind w:left="1287"/>
        <w:rPr>
          <w:b/>
          <w:bCs/>
          <w:i/>
          <w:iCs/>
          <w:sz w:val="24"/>
          <w:szCs w:val="24"/>
        </w:rPr>
      </w:pPr>
      <w:r w:rsidRPr="00F90857">
        <w:rPr>
          <w:rFonts w:cstheme="minorBidi"/>
          <w:b/>
          <w:bCs/>
          <w:i/>
          <w:iCs/>
          <w:sz w:val="24"/>
          <w:szCs w:val="24"/>
        </w:rPr>
        <w:t xml:space="preserve">2.1.7. Opinions des enquêtés sur le niveau de difficulté des exercices faits </w:t>
      </w:r>
    </w:p>
    <w:p w14:paraId="586A3140" w14:textId="77777777" w:rsidR="00D80693" w:rsidRPr="004622E5" w:rsidRDefault="00D80693" w:rsidP="001928FA">
      <w:pPr>
        <w:adjustRightInd w:val="0"/>
        <w:spacing w:before="120"/>
        <w:rPr>
          <w:rFonts w:eastAsia="Calibri"/>
          <w:sz w:val="24"/>
          <w:szCs w:val="24"/>
        </w:rPr>
      </w:pPr>
      <w:r w:rsidRPr="004622E5">
        <w:rPr>
          <w:rFonts w:eastAsia="Calibri"/>
          <w:sz w:val="24"/>
          <w:szCs w:val="24"/>
        </w:rPr>
        <w:t>Le tableau qui suit informe sur le niveau de difficulté des exercices que traitent généralement les apprenants.</w:t>
      </w:r>
    </w:p>
    <w:p w14:paraId="7CF042A8" w14:textId="77777777" w:rsidR="00D80693" w:rsidRPr="001F3123" w:rsidRDefault="00D80693" w:rsidP="001928FA">
      <w:pPr>
        <w:adjustRightInd w:val="0"/>
        <w:spacing w:before="120"/>
        <w:ind w:firstLine="1276"/>
        <w:rPr>
          <w:rFonts w:eastAsia="Calibri"/>
          <w:b/>
          <w:bCs/>
          <w:i/>
          <w:iCs/>
        </w:rPr>
      </w:pPr>
      <w:r w:rsidRPr="001F3123">
        <w:rPr>
          <w:rFonts w:eastAsia="Calibri"/>
          <w:b/>
          <w:bCs/>
          <w:i/>
          <w:iCs/>
        </w:rPr>
        <w:t>Tableau n°</w:t>
      </w:r>
      <w:r>
        <w:rPr>
          <w:rFonts w:eastAsia="Calibri"/>
          <w:b/>
          <w:bCs/>
          <w:i/>
          <w:iCs/>
        </w:rPr>
        <w:t>5</w:t>
      </w:r>
      <w:r w:rsidRPr="001F3123">
        <w:rPr>
          <w:rFonts w:eastAsia="Calibri"/>
          <w:b/>
          <w:bCs/>
          <w:i/>
          <w:iCs/>
        </w:rPr>
        <w:t xml:space="preserve"> : Niveaux de difficulté des exercices faits généralement par les élèves</w:t>
      </w:r>
    </w:p>
    <w:p w14:paraId="283A2224" w14:textId="77777777" w:rsidR="00D80693" w:rsidRPr="00AB437E" w:rsidRDefault="00D80693" w:rsidP="001928FA">
      <w:pPr>
        <w:adjustRightInd w:val="0"/>
        <w:spacing w:before="120"/>
        <w:rPr>
          <w:rFonts w:eastAsia="Calibri"/>
          <w:sz w:val="6"/>
          <w:szCs w:val="6"/>
        </w:rPr>
      </w:pPr>
    </w:p>
    <w:tbl>
      <w:tblPr>
        <w:tblW w:w="83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8"/>
        <w:gridCol w:w="2411"/>
        <w:gridCol w:w="1134"/>
        <w:gridCol w:w="1244"/>
        <w:gridCol w:w="1276"/>
        <w:gridCol w:w="1276"/>
      </w:tblGrid>
      <w:tr w:rsidR="00D80693" w14:paraId="2428A1B9" w14:textId="77777777" w:rsidTr="00D72320">
        <w:trPr>
          <w:cantSplit/>
          <w:jc w:val="center"/>
        </w:trPr>
        <w:tc>
          <w:tcPr>
            <w:tcW w:w="342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C8356" w14:textId="77777777" w:rsidR="00D80693" w:rsidRPr="00F70FCF" w:rsidRDefault="00D80693" w:rsidP="001928FA">
            <w:pPr>
              <w:adjustRightInd w:val="0"/>
              <w:spacing w:before="120"/>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187664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Fréquence</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bottom"/>
          </w:tcPr>
          <w:p w14:paraId="426BFBE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3AA95C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valide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24174C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cumulé</w:t>
            </w:r>
          </w:p>
        </w:tc>
      </w:tr>
      <w:tr w:rsidR="00D80693" w14:paraId="7EC0B4D1" w14:textId="77777777" w:rsidTr="00D72320">
        <w:trPr>
          <w:cantSplit/>
          <w:jc w:val="center"/>
        </w:trPr>
        <w:tc>
          <w:tcPr>
            <w:tcW w:w="1018" w:type="dxa"/>
            <w:vMerge w:val="restart"/>
            <w:tcBorders>
              <w:top w:val="single" w:sz="4" w:space="0" w:color="auto"/>
              <w:left w:val="single" w:sz="4" w:space="0" w:color="auto"/>
              <w:bottom w:val="single" w:sz="4" w:space="0" w:color="auto"/>
              <w:right w:val="single" w:sz="4" w:space="0" w:color="auto"/>
            </w:tcBorders>
            <w:shd w:val="clear" w:color="auto" w:fill="FFFFFF"/>
          </w:tcPr>
          <w:p w14:paraId="45D103FC" w14:textId="77777777" w:rsidR="00D80693" w:rsidRPr="00F70FCF" w:rsidRDefault="00D80693" w:rsidP="001928FA">
            <w:pPr>
              <w:adjustRightInd w:val="0"/>
              <w:spacing w:before="120"/>
              <w:ind w:left="60" w:right="60"/>
              <w:rPr>
                <w:rFonts w:eastAsia="Calibri"/>
                <w:color w:val="000000"/>
              </w:rPr>
            </w:pPr>
          </w:p>
          <w:p w14:paraId="7E92B9DA" w14:textId="77777777" w:rsidR="00D80693" w:rsidRPr="00F70FCF" w:rsidRDefault="00D80693" w:rsidP="001928FA">
            <w:pPr>
              <w:adjustRightInd w:val="0"/>
              <w:spacing w:before="120"/>
              <w:ind w:left="60" w:right="60"/>
              <w:rPr>
                <w:rFonts w:eastAsia="Calibri"/>
                <w:color w:val="000000"/>
              </w:rPr>
            </w:pPr>
          </w:p>
          <w:p w14:paraId="5DF0E232" w14:textId="77777777" w:rsidR="00D80693" w:rsidRPr="00F70FCF" w:rsidRDefault="00D80693" w:rsidP="001928FA">
            <w:pPr>
              <w:adjustRightInd w:val="0"/>
              <w:spacing w:before="120"/>
              <w:ind w:left="60" w:right="60"/>
              <w:rPr>
                <w:rFonts w:eastAsia="Calibri"/>
                <w:color w:val="000000"/>
              </w:rPr>
            </w:pPr>
          </w:p>
          <w:p w14:paraId="7D2277B2"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Modalités</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14:paraId="2E56D835" w14:textId="77777777" w:rsidR="00D80693" w:rsidRPr="00F70FCF" w:rsidRDefault="00D80693" w:rsidP="001928FA">
            <w:pPr>
              <w:adjustRightInd w:val="0"/>
              <w:spacing w:before="120"/>
              <w:ind w:left="60" w:right="60" w:firstLine="5"/>
              <w:jc w:val="both"/>
              <w:rPr>
                <w:rFonts w:eastAsia="Calibri"/>
                <w:color w:val="000000"/>
              </w:rPr>
            </w:pPr>
            <w:proofErr w:type="gramStart"/>
            <w:r w:rsidRPr="00F70FCF">
              <w:rPr>
                <w:rFonts w:eastAsia="Calibri"/>
                <w:color w:val="000000"/>
              </w:rPr>
              <w:t>Je fais</w:t>
            </w:r>
            <w:proofErr w:type="gramEnd"/>
            <w:r w:rsidRPr="00F70FCF">
              <w:rPr>
                <w:rFonts w:eastAsia="Calibri"/>
                <w:color w:val="000000"/>
              </w:rPr>
              <w:t xml:space="preserve"> généralement les exercices que je comprends</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54B13C8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194</w:t>
            </w:r>
          </w:p>
        </w:tc>
        <w:tc>
          <w:tcPr>
            <w:tcW w:w="1244" w:type="dxa"/>
            <w:tcBorders>
              <w:top w:val="single" w:sz="4" w:space="0" w:color="auto"/>
              <w:left w:val="single" w:sz="4" w:space="0" w:color="auto"/>
              <w:bottom w:val="nil"/>
              <w:right w:val="single" w:sz="4" w:space="0" w:color="auto"/>
            </w:tcBorders>
            <w:shd w:val="clear" w:color="auto" w:fill="FFFFFF"/>
            <w:vAlign w:val="center"/>
          </w:tcPr>
          <w:p w14:paraId="2E6ACCC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37,0</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523E8C5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37,0</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449AB93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37,0</w:t>
            </w:r>
          </w:p>
        </w:tc>
      </w:tr>
      <w:tr w:rsidR="00D80693" w14:paraId="2C355FB7" w14:textId="77777777" w:rsidTr="00D72320">
        <w:trPr>
          <w:cantSplit/>
          <w:jc w:val="center"/>
        </w:trPr>
        <w:tc>
          <w:tcPr>
            <w:tcW w:w="1018" w:type="dxa"/>
            <w:vMerge/>
            <w:tcBorders>
              <w:top w:val="single" w:sz="4" w:space="0" w:color="auto"/>
              <w:left w:val="single" w:sz="4" w:space="0" w:color="auto"/>
              <w:bottom w:val="single" w:sz="4" w:space="0" w:color="auto"/>
              <w:right w:val="single" w:sz="4" w:space="0" w:color="auto"/>
            </w:tcBorders>
            <w:shd w:val="clear" w:color="auto" w:fill="FFFFFF"/>
          </w:tcPr>
          <w:p w14:paraId="41E5B275" w14:textId="77777777" w:rsidR="00D80693" w:rsidRPr="00F70FCF" w:rsidRDefault="00D80693" w:rsidP="001928FA">
            <w:pPr>
              <w:adjustRightInd w:val="0"/>
              <w:spacing w:before="120"/>
              <w:rPr>
                <w:rFonts w:eastAsia="Calibri"/>
                <w:color w:val="000000"/>
              </w:rPr>
            </w:pPr>
          </w:p>
        </w:tc>
        <w:tc>
          <w:tcPr>
            <w:tcW w:w="2411" w:type="dxa"/>
            <w:tcBorders>
              <w:top w:val="single" w:sz="4" w:space="0" w:color="auto"/>
              <w:left w:val="single" w:sz="4" w:space="0" w:color="auto"/>
              <w:bottom w:val="single" w:sz="4" w:space="0" w:color="auto"/>
              <w:right w:val="single" w:sz="4" w:space="0" w:color="auto"/>
            </w:tcBorders>
            <w:shd w:val="clear" w:color="auto" w:fill="FFFFFF"/>
          </w:tcPr>
          <w:p w14:paraId="23FC0826" w14:textId="77777777" w:rsidR="00D80693" w:rsidRPr="00F70FCF" w:rsidRDefault="00D80693" w:rsidP="001928FA">
            <w:pPr>
              <w:adjustRightInd w:val="0"/>
              <w:spacing w:before="120"/>
              <w:ind w:left="60" w:right="60"/>
              <w:jc w:val="both"/>
              <w:rPr>
                <w:rFonts w:eastAsia="Calibri"/>
                <w:color w:val="000000"/>
              </w:rPr>
            </w:pPr>
            <w:proofErr w:type="gramStart"/>
            <w:r w:rsidRPr="00F70FCF">
              <w:rPr>
                <w:rFonts w:eastAsia="Calibri"/>
                <w:color w:val="000000"/>
              </w:rPr>
              <w:t>Je fais</w:t>
            </w:r>
            <w:proofErr w:type="gramEnd"/>
            <w:r w:rsidRPr="00F70FCF">
              <w:rPr>
                <w:rFonts w:eastAsia="Calibri"/>
                <w:color w:val="000000"/>
              </w:rPr>
              <w:t xml:space="preserve"> généralement les exercices que je ne comprends pas</w:t>
            </w:r>
          </w:p>
        </w:tc>
        <w:tc>
          <w:tcPr>
            <w:tcW w:w="1134" w:type="dxa"/>
            <w:tcBorders>
              <w:top w:val="nil"/>
              <w:left w:val="single" w:sz="4" w:space="0" w:color="auto"/>
              <w:bottom w:val="nil"/>
              <w:right w:val="single" w:sz="4" w:space="0" w:color="auto"/>
            </w:tcBorders>
            <w:shd w:val="clear" w:color="auto" w:fill="FFFFFF"/>
            <w:vAlign w:val="center"/>
          </w:tcPr>
          <w:p w14:paraId="16D164E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39</w:t>
            </w:r>
          </w:p>
        </w:tc>
        <w:tc>
          <w:tcPr>
            <w:tcW w:w="1244" w:type="dxa"/>
            <w:tcBorders>
              <w:top w:val="nil"/>
              <w:left w:val="single" w:sz="4" w:space="0" w:color="auto"/>
              <w:bottom w:val="nil"/>
              <w:right w:val="single" w:sz="4" w:space="0" w:color="auto"/>
            </w:tcBorders>
            <w:shd w:val="clear" w:color="auto" w:fill="FFFFFF"/>
            <w:vAlign w:val="center"/>
          </w:tcPr>
          <w:p w14:paraId="7A180C1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7,8</w:t>
            </w:r>
          </w:p>
        </w:tc>
        <w:tc>
          <w:tcPr>
            <w:tcW w:w="1276" w:type="dxa"/>
            <w:tcBorders>
              <w:top w:val="nil"/>
              <w:left w:val="single" w:sz="4" w:space="0" w:color="auto"/>
              <w:bottom w:val="nil"/>
              <w:right w:val="single" w:sz="4" w:space="0" w:color="auto"/>
            </w:tcBorders>
            <w:shd w:val="clear" w:color="auto" w:fill="FFFFFF"/>
            <w:vAlign w:val="center"/>
          </w:tcPr>
          <w:p w14:paraId="0794ADF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7,8</w:t>
            </w:r>
          </w:p>
        </w:tc>
        <w:tc>
          <w:tcPr>
            <w:tcW w:w="1276" w:type="dxa"/>
            <w:tcBorders>
              <w:top w:val="nil"/>
              <w:left w:val="single" w:sz="4" w:space="0" w:color="auto"/>
              <w:bottom w:val="nil"/>
              <w:right w:val="single" w:sz="4" w:space="0" w:color="auto"/>
            </w:tcBorders>
            <w:shd w:val="clear" w:color="auto" w:fill="FFFFFF"/>
            <w:vAlign w:val="center"/>
          </w:tcPr>
          <w:p w14:paraId="6DE2ADE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44,8</w:t>
            </w:r>
          </w:p>
        </w:tc>
      </w:tr>
      <w:tr w:rsidR="00D80693" w14:paraId="69CA7635" w14:textId="77777777" w:rsidTr="00D72320">
        <w:trPr>
          <w:cantSplit/>
          <w:jc w:val="center"/>
        </w:trPr>
        <w:tc>
          <w:tcPr>
            <w:tcW w:w="1018" w:type="dxa"/>
            <w:vMerge/>
            <w:tcBorders>
              <w:top w:val="single" w:sz="4" w:space="0" w:color="auto"/>
              <w:left w:val="single" w:sz="4" w:space="0" w:color="auto"/>
              <w:bottom w:val="single" w:sz="4" w:space="0" w:color="auto"/>
              <w:right w:val="single" w:sz="4" w:space="0" w:color="auto"/>
            </w:tcBorders>
            <w:shd w:val="clear" w:color="auto" w:fill="FFFFFF"/>
          </w:tcPr>
          <w:p w14:paraId="16A5B458" w14:textId="77777777" w:rsidR="00D80693" w:rsidRPr="00F70FCF" w:rsidRDefault="00D80693" w:rsidP="001928FA">
            <w:pPr>
              <w:adjustRightInd w:val="0"/>
              <w:spacing w:before="120"/>
              <w:rPr>
                <w:rFonts w:eastAsia="Calibri"/>
                <w:color w:val="000000"/>
              </w:rPr>
            </w:pPr>
          </w:p>
        </w:tc>
        <w:tc>
          <w:tcPr>
            <w:tcW w:w="2411" w:type="dxa"/>
            <w:tcBorders>
              <w:top w:val="single" w:sz="4" w:space="0" w:color="auto"/>
              <w:left w:val="single" w:sz="4" w:space="0" w:color="auto"/>
              <w:bottom w:val="single" w:sz="4" w:space="0" w:color="auto"/>
              <w:right w:val="single" w:sz="4" w:space="0" w:color="auto"/>
            </w:tcBorders>
            <w:shd w:val="clear" w:color="auto" w:fill="FFFFFF"/>
          </w:tcPr>
          <w:p w14:paraId="6E0444AB" w14:textId="77777777" w:rsidR="00D80693" w:rsidRPr="00F70FCF" w:rsidRDefault="00D80693" w:rsidP="001928FA">
            <w:pPr>
              <w:adjustRightInd w:val="0"/>
              <w:spacing w:before="120"/>
              <w:ind w:left="60" w:right="60"/>
              <w:jc w:val="both"/>
              <w:rPr>
                <w:rFonts w:eastAsia="Calibri"/>
                <w:color w:val="000000"/>
              </w:rPr>
            </w:pPr>
            <w:r w:rsidRPr="00F70FCF">
              <w:rPr>
                <w:rFonts w:eastAsia="Calibri"/>
                <w:color w:val="000000"/>
              </w:rPr>
              <w:t>Je fais généralement tous les exercices</w:t>
            </w:r>
          </w:p>
        </w:tc>
        <w:tc>
          <w:tcPr>
            <w:tcW w:w="1134" w:type="dxa"/>
            <w:tcBorders>
              <w:top w:val="nil"/>
              <w:left w:val="single" w:sz="4" w:space="0" w:color="auto"/>
              <w:bottom w:val="nil"/>
              <w:right w:val="single" w:sz="4" w:space="0" w:color="auto"/>
            </w:tcBorders>
            <w:shd w:val="clear" w:color="auto" w:fill="FFFFFF"/>
            <w:vAlign w:val="center"/>
          </w:tcPr>
          <w:p w14:paraId="34CB56D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266</w:t>
            </w:r>
          </w:p>
        </w:tc>
        <w:tc>
          <w:tcPr>
            <w:tcW w:w="1244" w:type="dxa"/>
            <w:tcBorders>
              <w:top w:val="nil"/>
              <w:left w:val="single" w:sz="4" w:space="0" w:color="auto"/>
              <w:bottom w:val="nil"/>
              <w:right w:val="single" w:sz="4" w:space="0" w:color="auto"/>
            </w:tcBorders>
            <w:shd w:val="clear" w:color="auto" w:fill="FFFFFF"/>
            <w:vAlign w:val="center"/>
          </w:tcPr>
          <w:p w14:paraId="77D0818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53,2</w:t>
            </w:r>
          </w:p>
        </w:tc>
        <w:tc>
          <w:tcPr>
            <w:tcW w:w="1276" w:type="dxa"/>
            <w:tcBorders>
              <w:top w:val="nil"/>
              <w:left w:val="single" w:sz="4" w:space="0" w:color="auto"/>
              <w:bottom w:val="nil"/>
              <w:right w:val="single" w:sz="4" w:space="0" w:color="auto"/>
            </w:tcBorders>
            <w:shd w:val="clear" w:color="auto" w:fill="FFFFFF"/>
            <w:vAlign w:val="center"/>
          </w:tcPr>
          <w:p w14:paraId="1504F93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53,2</w:t>
            </w:r>
          </w:p>
        </w:tc>
        <w:tc>
          <w:tcPr>
            <w:tcW w:w="1276" w:type="dxa"/>
            <w:tcBorders>
              <w:top w:val="nil"/>
              <w:left w:val="single" w:sz="4" w:space="0" w:color="auto"/>
              <w:bottom w:val="nil"/>
              <w:right w:val="single" w:sz="4" w:space="0" w:color="auto"/>
            </w:tcBorders>
            <w:shd w:val="clear" w:color="auto" w:fill="FFFFFF"/>
            <w:vAlign w:val="center"/>
          </w:tcPr>
          <w:p w14:paraId="7AD8CA01"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r>
      <w:tr w:rsidR="00D80693" w14:paraId="295B229A" w14:textId="77777777" w:rsidTr="00D72320">
        <w:trPr>
          <w:cantSplit/>
          <w:jc w:val="center"/>
        </w:trPr>
        <w:tc>
          <w:tcPr>
            <w:tcW w:w="1018" w:type="dxa"/>
            <w:vMerge/>
            <w:tcBorders>
              <w:top w:val="single" w:sz="4" w:space="0" w:color="auto"/>
              <w:left w:val="single" w:sz="4" w:space="0" w:color="auto"/>
              <w:bottom w:val="single" w:sz="4" w:space="0" w:color="auto"/>
              <w:right w:val="single" w:sz="4" w:space="0" w:color="auto"/>
            </w:tcBorders>
            <w:shd w:val="clear" w:color="auto" w:fill="FFFFFF"/>
          </w:tcPr>
          <w:p w14:paraId="1725B42F" w14:textId="77777777" w:rsidR="00D80693" w:rsidRPr="00F70FCF" w:rsidRDefault="00D80693" w:rsidP="001928FA">
            <w:pPr>
              <w:adjustRightInd w:val="0"/>
              <w:spacing w:before="120"/>
              <w:rPr>
                <w:rFonts w:eastAsia="Calibri"/>
                <w:color w:val="000000"/>
              </w:rPr>
            </w:pPr>
          </w:p>
        </w:tc>
        <w:tc>
          <w:tcPr>
            <w:tcW w:w="2411" w:type="dxa"/>
            <w:tcBorders>
              <w:top w:val="single" w:sz="4" w:space="0" w:color="auto"/>
              <w:left w:val="single" w:sz="4" w:space="0" w:color="auto"/>
              <w:bottom w:val="single" w:sz="4" w:space="0" w:color="auto"/>
              <w:right w:val="single" w:sz="4" w:space="0" w:color="auto"/>
            </w:tcBorders>
            <w:shd w:val="clear" w:color="auto" w:fill="FFFFFF"/>
          </w:tcPr>
          <w:p w14:paraId="1C7E3C41" w14:textId="77777777" w:rsidR="00D80693" w:rsidRPr="00F70FCF" w:rsidRDefault="00D80693" w:rsidP="001928FA">
            <w:pPr>
              <w:adjustRightInd w:val="0"/>
              <w:spacing w:before="120"/>
              <w:ind w:left="60" w:right="60"/>
              <w:jc w:val="both"/>
              <w:rPr>
                <w:rFonts w:eastAsia="Calibri"/>
                <w:color w:val="000000"/>
              </w:rPr>
            </w:pPr>
            <w:r w:rsidRPr="00F70FCF">
              <w:rPr>
                <w:rFonts w:eastAsia="Calibri"/>
                <w:color w:val="000000"/>
              </w:rPr>
              <w:t>Total</w:t>
            </w:r>
          </w:p>
        </w:tc>
        <w:tc>
          <w:tcPr>
            <w:tcW w:w="1134" w:type="dxa"/>
            <w:tcBorders>
              <w:top w:val="nil"/>
              <w:left w:val="single" w:sz="4" w:space="0" w:color="auto"/>
              <w:bottom w:val="single" w:sz="4" w:space="0" w:color="auto"/>
              <w:right w:val="single" w:sz="4" w:space="0" w:color="auto"/>
            </w:tcBorders>
            <w:shd w:val="clear" w:color="auto" w:fill="FFFFFF"/>
            <w:vAlign w:val="center"/>
          </w:tcPr>
          <w:p w14:paraId="31DA408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500</w:t>
            </w:r>
          </w:p>
        </w:tc>
        <w:tc>
          <w:tcPr>
            <w:tcW w:w="1244" w:type="dxa"/>
            <w:tcBorders>
              <w:top w:val="nil"/>
              <w:left w:val="single" w:sz="4" w:space="0" w:color="auto"/>
              <w:bottom w:val="single" w:sz="4" w:space="0" w:color="auto"/>
              <w:right w:val="single" w:sz="4" w:space="0" w:color="auto"/>
            </w:tcBorders>
            <w:shd w:val="clear" w:color="auto" w:fill="FFFFFF"/>
            <w:vAlign w:val="center"/>
          </w:tcPr>
          <w:p w14:paraId="1CEAA71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711885E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c>
          <w:tcPr>
            <w:tcW w:w="1276" w:type="dxa"/>
            <w:tcBorders>
              <w:top w:val="nil"/>
              <w:left w:val="single" w:sz="4" w:space="0" w:color="auto"/>
              <w:bottom w:val="single" w:sz="4" w:space="0" w:color="auto"/>
              <w:right w:val="single" w:sz="4" w:space="0" w:color="auto"/>
            </w:tcBorders>
            <w:shd w:val="clear" w:color="auto" w:fill="FFFFFF"/>
            <w:vAlign w:val="center"/>
          </w:tcPr>
          <w:p w14:paraId="54D5CE60" w14:textId="77777777" w:rsidR="00D80693" w:rsidRPr="00F70FCF" w:rsidRDefault="00D80693" w:rsidP="001928FA">
            <w:pPr>
              <w:adjustRightInd w:val="0"/>
              <w:spacing w:before="120"/>
              <w:jc w:val="center"/>
              <w:rPr>
                <w:rFonts w:eastAsia="Calibri"/>
              </w:rPr>
            </w:pPr>
          </w:p>
        </w:tc>
      </w:tr>
    </w:tbl>
    <w:p w14:paraId="284B2CBD" w14:textId="77777777" w:rsidR="00D80693" w:rsidRPr="008240D2" w:rsidRDefault="00D80693" w:rsidP="001928FA">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67000A60" w14:textId="77777777" w:rsidR="00D80693" w:rsidRPr="00AB437E" w:rsidRDefault="00D80693" w:rsidP="001928FA">
      <w:pPr>
        <w:spacing w:before="120"/>
        <w:ind w:right="60" w:firstLine="567"/>
        <w:jc w:val="both"/>
        <w:rPr>
          <w:sz w:val="6"/>
          <w:szCs w:val="6"/>
        </w:rPr>
      </w:pPr>
    </w:p>
    <w:p w14:paraId="079AFC2A" w14:textId="77777777" w:rsidR="00D80693" w:rsidRDefault="00D80693" w:rsidP="00F429F0">
      <w:pPr>
        <w:spacing w:before="120"/>
        <w:ind w:right="60"/>
        <w:jc w:val="both"/>
        <w:rPr>
          <w:sz w:val="24"/>
          <w:szCs w:val="24"/>
        </w:rPr>
      </w:pPr>
      <w:bookmarkStart w:id="359" w:name="_Hlk196987046"/>
      <w:r w:rsidRPr="008240D2">
        <w:rPr>
          <w:rFonts w:cstheme="minorBidi"/>
          <w:sz w:val="24"/>
          <w:szCs w:val="24"/>
        </w:rPr>
        <w:t xml:space="preserve">La lecture du tableau </w:t>
      </w:r>
      <w:r>
        <w:rPr>
          <w:rFonts w:cstheme="minorBidi"/>
          <w:sz w:val="24"/>
          <w:szCs w:val="24"/>
        </w:rPr>
        <w:t>précédent</w:t>
      </w:r>
      <w:r w:rsidRPr="008240D2">
        <w:rPr>
          <w:rFonts w:cstheme="minorBidi"/>
          <w:sz w:val="24"/>
          <w:szCs w:val="24"/>
        </w:rPr>
        <w:t xml:space="preserve"> montre que la moitié des élèves affirment faire généralement tous les exercices quel que soit leur niveau de complexité. La moitié restante ne traite que, soit des exercices qu’elle comprend, soit ceux qu’elle ne comprend pas. </w:t>
      </w:r>
      <w:r>
        <w:rPr>
          <w:rFonts w:cstheme="minorBidi"/>
          <w:sz w:val="24"/>
          <w:szCs w:val="24"/>
        </w:rPr>
        <w:t>Toutefois dans cette proportion, seul moins du dixième</w:t>
      </w:r>
      <w:r w:rsidRPr="008240D2">
        <w:rPr>
          <w:rFonts w:cstheme="minorBidi"/>
          <w:sz w:val="24"/>
          <w:szCs w:val="24"/>
        </w:rPr>
        <w:t xml:space="preserve"> des répondants déclarent </w:t>
      </w:r>
      <w:proofErr w:type="gramStart"/>
      <w:r w:rsidRPr="008240D2">
        <w:rPr>
          <w:rFonts w:cstheme="minorBidi"/>
          <w:sz w:val="24"/>
          <w:szCs w:val="24"/>
        </w:rPr>
        <w:t>faire</w:t>
      </w:r>
      <w:proofErr w:type="gramEnd"/>
      <w:r w:rsidRPr="008240D2">
        <w:rPr>
          <w:rFonts w:cstheme="minorBidi"/>
          <w:sz w:val="24"/>
          <w:szCs w:val="24"/>
        </w:rPr>
        <w:t xml:space="preserve"> généralement les exercices qu’ils ne comprennent pas</w:t>
      </w:r>
      <w:r w:rsidRPr="00AB437E">
        <w:rPr>
          <w:rFonts w:cstheme="minorBidi"/>
          <w:sz w:val="24"/>
          <w:szCs w:val="24"/>
        </w:rPr>
        <w:t>. De ce fait, ils ne s’intéressent pas aux exercices qui leur sont accessibles.</w:t>
      </w:r>
      <w:r w:rsidRPr="008240D2">
        <w:rPr>
          <w:rFonts w:cstheme="minorBidi"/>
          <w:sz w:val="24"/>
          <w:szCs w:val="24"/>
        </w:rPr>
        <w:t xml:space="preserve"> Pour ces derniers, l’évaluation reste en mesure de les faire progresser, </w:t>
      </w:r>
      <w:r>
        <w:rPr>
          <w:rFonts w:cstheme="minorBidi"/>
          <w:sz w:val="24"/>
          <w:szCs w:val="24"/>
        </w:rPr>
        <w:t>d’</w:t>
      </w:r>
      <w:r w:rsidRPr="008240D2">
        <w:rPr>
          <w:rFonts w:cstheme="minorBidi"/>
          <w:sz w:val="24"/>
          <w:szCs w:val="24"/>
        </w:rPr>
        <w:t xml:space="preserve">acquérir des compétences nouvelles. </w:t>
      </w:r>
    </w:p>
    <w:p w14:paraId="5FC89153" w14:textId="77777777" w:rsidR="00D80693" w:rsidRDefault="00D80693" w:rsidP="00F429F0">
      <w:pPr>
        <w:spacing w:before="120"/>
        <w:ind w:right="60"/>
        <w:jc w:val="both"/>
        <w:rPr>
          <w:sz w:val="24"/>
          <w:szCs w:val="24"/>
        </w:rPr>
      </w:pPr>
      <w:r w:rsidRPr="008240D2">
        <w:rPr>
          <w:rFonts w:cstheme="minorBidi"/>
          <w:sz w:val="24"/>
          <w:szCs w:val="24"/>
        </w:rPr>
        <w:t xml:space="preserve">Quant aux </w:t>
      </w:r>
      <w:r>
        <w:rPr>
          <w:rFonts w:cstheme="minorBidi"/>
          <w:sz w:val="24"/>
          <w:szCs w:val="24"/>
        </w:rPr>
        <w:t>deux cinquièmes</w:t>
      </w:r>
      <w:r w:rsidRPr="008240D2">
        <w:rPr>
          <w:rFonts w:cstheme="minorBidi"/>
          <w:sz w:val="24"/>
          <w:szCs w:val="24"/>
        </w:rPr>
        <w:t xml:space="preserve"> restants, ils affirment </w:t>
      </w:r>
      <w:proofErr w:type="gramStart"/>
      <w:r w:rsidRPr="008240D2">
        <w:rPr>
          <w:rFonts w:cstheme="minorBidi"/>
          <w:sz w:val="24"/>
          <w:szCs w:val="24"/>
        </w:rPr>
        <w:t>faire</w:t>
      </w:r>
      <w:proofErr w:type="gramEnd"/>
      <w:r w:rsidRPr="008240D2">
        <w:rPr>
          <w:rFonts w:cstheme="minorBidi"/>
          <w:sz w:val="24"/>
          <w:szCs w:val="24"/>
        </w:rPr>
        <w:t xml:space="preserve"> généralement les exercices qu’ils comprennent. Ainsi, ces derniers avouent ne pas </w:t>
      </w:r>
      <w:proofErr w:type="gramStart"/>
      <w:r w:rsidRPr="008240D2">
        <w:rPr>
          <w:rFonts w:cstheme="minorBidi"/>
          <w:sz w:val="24"/>
          <w:szCs w:val="24"/>
        </w:rPr>
        <w:t>faire</w:t>
      </w:r>
      <w:proofErr w:type="gramEnd"/>
      <w:r w:rsidRPr="008240D2">
        <w:rPr>
          <w:rFonts w:cstheme="minorBidi"/>
          <w:sz w:val="24"/>
          <w:szCs w:val="24"/>
        </w:rPr>
        <w:t xml:space="preserve"> généralement les exercices qu’ils ne comprennent pas. </w:t>
      </w:r>
      <w:r w:rsidRPr="00AB437E">
        <w:rPr>
          <w:rFonts w:cstheme="minorBidi"/>
          <w:sz w:val="24"/>
          <w:szCs w:val="24"/>
        </w:rPr>
        <w:t xml:space="preserve">Cette situation révèle, pour ces derniers, </w:t>
      </w:r>
      <w:r>
        <w:rPr>
          <w:rFonts w:cstheme="minorBidi"/>
          <w:sz w:val="24"/>
          <w:szCs w:val="24"/>
        </w:rPr>
        <w:t xml:space="preserve">que </w:t>
      </w:r>
      <w:r w:rsidRPr="00AB437E">
        <w:rPr>
          <w:rFonts w:cstheme="minorBidi"/>
          <w:sz w:val="24"/>
          <w:szCs w:val="24"/>
        </w:rPr>
        <w:t xml:space="preserve">les évaluations peuvent certes permettre d’asseoir des compétences acquises, mais elles ne sont pas réellement contributives à l’acquisition de </w:t>
      </w:r>
      <w:r>
        <w:rPr>
          <w:rFonts w:cstheme="minorBidi"/>
          <w:sz w:val="24"/>
          <w:szCs w:val="24"/>
        </w:rPr>
        <w:t>nouvelles compétences</w:t>
      </w:r>
      <w:r w:rsidRPr="00AB437E">
        <w:rPr>
          <w:rFonts w:cstheme="minorBidi"/>
          <w:sz w:val="24"/>
          <w:szCs w:val="24"/>
        </w:rPr>
        <w:t xml:space="preserve">. La </w:t>
      </w:r>
      <w:r>
        <w:rPr>
          <w:rFonts w:cstheme="minorBidi"/>
          <w:sz w:val="24"/>
          <w:szCs w:val="24"/>
        </w:rPr>
        <w:t>figure</w:t>
      </w:r>
      <w:r w:rsidRPr="00AB437E">
        <w:rPr>
          <w:rFonts w:cstheme="minorBidi"/>
          <w:sz w:val="24"/>
          <w:szCs w:val="24"/>
        </w:rPr>
        <w:t xml:space="preserve"> suivante laisse transparaître quelque peu cette même conclusion.</w:t>
      </w:r>
    </w:p>
    <w:p w14:paraId="2CAA631E" w14:textId="77777777" w:rsidR="00D80693" w:rsidRDefault="00D80693" w:rsidP="001928FA">
      <w:pPr>
        <w:pStyle w:val="Paragraphedeliste"/>
        <w:ind w:left="1287"/>
        <w:rPr>
          <w:b/>
          <w:bCs/>
          <w:i/>
          <w:iCs/>
          <w:sz w:val="24"/>
          <w:szCs w:val="24"/>
        </w:rPr>
      </w:pPr>
      <w:r w:rsidRPr="00F90857">
        <w:rPr>
          <w:rFonts w:cstheme="minorBidi"/>
          <w:b/>
          <w:bCs/>
          <w:i/>
          <w:iCs/>
          <w:sz w:val="24"/>
          <w:szCs w:val="24"/>
        </w:rPr>
        <w:t>2.1.8. Opinions des enquêtés sur ce qu’ils font lorsqu’ils ont une mauvaise note</w:t>
      </w:r>
    </w:p>
    <w:p w14:paraId="1FA93EA8" w14:textId="77777777" w:rsidR="00D80693" w:rsidRPr="00B5233A" w:rsidRDefault="00D80693" w:rsidP="001928FA">
      <w:pPr>
        <w:spacing w:before="120"/>
        <w:jc w:val="both"/>
        <w:rPr>
          <w:color w:val="000000"/>
          <w:sz w:val="24"/>
          <w:szCs w:val="24"/>
        </w:rPr>
      </w:pPr>
      <w:r w:rsidRPr="00B5233A">
        <w:rPr>
          <w:rFonts w:cstheme="minorBidi"/>
          <w:color w:val="000000"/>
          <w:sz w:val="24"/>
          <w:szCs w:val="24"/>
        </w:rPr>
        <w:t>L’attitude des enquêtés à la réception d’une mauvaise note est présentée dans le tableau suivant</w:t>
      </w:r>
      <w:r>
        <w:rPr>
          <w:rFonts w:cstheme="minorBidi"/>
          <w:color w:val="000000"/>
          <w:sz w:val="24"/>
          <w:szCs w:val="24"/>
        </w:rPr>
        <w:t>.</w:t>
      </w:r>
    </w:p>
    <w:bookmarkEnd w:id="359"/>
    <w:p w14:paraId="3AD574D2" w14:textId="77777777" w:rsidR="00D80693" w:rsidRDefault="00D80693" w:rsidP="001928FA">
      <w:pPr>
        <w:adjustRightInd w:val="0"/>
        <w:spacing w:before="120"/>
        <w:jc w:val="center"/>
        <w:rPr>
          <w:rFonts w:eastAsia="Calibri"/>
          <w:i/>
          <w:iCs/>
        </w:rPr>
      </w:pPr>
      <w:r w:rsidRPr="001B64EC">
        <w:rPr>
          <w:noProof/>
        </w:rPr>
        <w:drawing>
          <wp:inline distT="0" distB="0" distL="0" distR="0" wp14:anchorId="67D31705" wp14:editId="282707EA">
            <wp:extent cx="2862263" cy="2103120"/>
            <wp:effectExtent l="0" t="0" r="0" b="0"/>
            <wp:docPr id="672129891" name="Image 3" descr="C:\Users\LENOVO\AppData\Local\Microsoft\Windows\INetCache\Content.Word\Nouvelle 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29891" name="Image 1" descr="C:\Users\LENOVO\AppData\Local\Microsoft\Windows\INetCache\Content.Word\Nouvelle image (4).png"/>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2875483" cy="2112834"/>
                    </a:xfrm>
                    <a:prstGeom prst="rect">
                      <a:avLst/>
                    </a:prstGeom>
                    <a:noFill/>
                    <a:ln>
                      <a:noFill/>
                    </a:ln>
                  </pic:spPr>
                </pic:pic>
              </a:graphicData>
            </a:graphic>
          </wp:inline>
        </w:drawing>
      </w:r>
    </w:p>
    <w:p w14:paraId="29EF6233" w14:textId="77777777" w:rsidR="00D80693" w:rsidRPr="004C41D4" w:rsidRDefault="00D80693" w:rsidP="001928FA">
      <w:pPr>
        <w:adjustRightInd w:val="0"/>
        <w:spacing w:before="120"/>
        <w:jc w:val="center"/>
        <w:rPr>
          <w:rFonts w:eastAsia="Calibri"/>
          <w:i/>
          <w:iCs/>
          <w:sz w:val="24"/>
          <w:szCs w:val="24"/>
        </w:rPr>
      </w:pPr>
      <w:r w:rsidRPr="004C41D4">
        <w:rPr>
          <w:rFonts w:eastAsia="Calibri"/>
          <w:i/>
          <w:iCs/>
          <w:sz w:val="24"/>
          <w:szCs w:val="24"/>
        </w:rPr>
        <w:t>Source : Enquête, avril-mai 2025</w:t>
      </w:r>
    </w:p>
    <w:p w14:paraId="5F97040F" w14:textId="77777777" w:rsidR="00D80693" w:rsidRPr="004C41D4" w:rsidRDefault="00D80693" w:rsidP="001928FA">
      <w:pPr>
        <w:spacing w:before="120"/>
        <w:ind w:left="567" w:hanging="567"/>
        <w:jc w:val="center"/>
        <w:rPr>
          <w:b/>
          <w:bCs/>
          <w:i/>
          <w:iCs/>
          <w:sz w:val="24"/>
          <w:szCs w:val="24"/>
        </w:rPr>
      </w:pPr>
      <w:r w:rsidRPr="004C41D4">
        <w:rPr>
          <w:b/>
          <w:bCs/>
          <w:sz w:val="24"/>
          <w:szCs w:val="24"/>
        </w:rPr>
        <w:t>Figure 3 :</w:t>
      </w:r>
      <w:r w:rsidRPr="004C41D4">
        <w:rPr>
          <w:rFonts w:eastAsia="Calibri"/>
          <w:b/>
          <w:bCs/>
          <w:i/>
          <w:iCs/>
          <w:sz w:val="24"/>
          <w:szCs w:val="24"/>
        </w:rPr>
        <w:t xml:space="preserve"> </w:t>
      </w:r>
      <w:r w:rsidRPr="004C41D4">
        <w:rPr>
          <w:b/>
          <w:bCs/>
          <w:i/>
          <w:iCs/>
          <w:sz w:val="24"/>
          <w:szCs w:val="24"/>
        </w:rPr>
        <w:t>Ce que l’élève fait généralement lorsqu’il a une mauvaise note</w:t>
      </w:r>
    </w:p>
    <w:p w14:paraId="3F83A2DE" w14:textId="77777777" w:rsidR="00D80693" w:rsidRPr="00302924" w:rsidRDefault="00D80693" w:rsidP="001928FA">
      <w:pPr>
        <w:spacing w:before="120"/>
        <w:ind w:right="60" w:firstLine="567"/>
        <w:jc w:val="both"/>
        <w:rPr>
          <w:sz w:val="2"/>
          <w:szCs w:val="2"/>
        </w:rPr>
      </w:pPr>
    </w:p>
    <w:p w14:paraId="380BFC4F" w14:textId="77777777" w:rsidR="00D80693" w:rsidRDefault="00D80693" w:rsidP="00F429F0">
      <w:pPr>
        <w:spacing w:before="120"/>
        <w:ind w:right="60"/>
        <w:jc w:val="both"/>
        <w:rPr>
          <w:sz w:val="24"/>
          <w:szCs w:val="24"/>
        </w:rPr>
      </w:pPr>
      <w:bookmarkStart w:id="360" w:name="_Hlk196987082"/>
      <w:r>
        <w:rPr>
          <w:rFonts w:cstheme="minorBidi"/>
          <w:sz w:val="24"/>
          <w:szCs w:val="24"/>
        </w:rPr>
        <w:t>L</w:t>
      </w:r>
      <w:r w:rsidRPr="008240D2">
        <w:rPr>
          <w:rFonts w:cstheme="minorBidi"/>
          <w:sz w:val="24"/>
          <w:szCs w:val="24"/>
        </w:rPr>
        <w:t>’opinion de l’élève sur ce qu’il fait généralement lorsqu’il a une mauvaise note</w:t>
      </w:r>
      <w:r>
        <w:rPr>
          <w:rFonts w:cstheme="minorBidi"/>
          <w:sz w:val="24"/>
          <w:szCs w:val="24"/>
        </w:rPr>
        <w:t xml:space="preserve"> est perceptible au travers de la figure </w:t>
      </w:r>
      <w:r w:rsidRPr="008240D2">
        <w:rPr>
          <w:rFonts w:cstheme="minorBidi"/>
          <w:sz w:val="24"/>
          <w:szCs w:val="24"/>
        </w:rPr>
        <w:t>précédent</w:t>
      </w:r>
      <w:r>
        <w:rPr>
          <w:rFonts w:cstheme="minorBidi"/>
          <w:sz w:val="24"/>
          <w:szCs w:val="24"/>
        </w:rPr>
        <w:t>e</w:t>
      </w:r>
      <w:r w:rsidRPr="008240D2">
        <w:rPr>
          <w:rFonts w:cstheme="minorBidi"/>
          <w:sz w:val="24"/>
          <w:szCs w:val="24"/>
        </w:rPr>
        <w:t xml:space="preserve">. Sur l’ensemble des enquêtés, </w:t>
      </w:r>
      <w:r>
        <w:rPr>
          <w:rFonts w:cstheme="minorBidi"/>
          <w:sz w:val="24"/>
          <w:szCs w:val="24"/>
        </w:rPr>
        <w:t>une forte</w:t>
      </w:r>
      <w:r w:rsidRPr="008240D2">
        <w:rPr>
          <w:rFonts w:cstheme="minorBidi"/>
          <w:sz w:val="24"/>
          <w:szCs w:val="24"/>
        </w:rPr>
        <w:t xml:space="preserve"> majorité soutient redoubler d’effort pour s’améliorer. Cependant, près du quart affirme passer à une autre leçon parce qu’il ne comprend pas celle-ci. La reprise des devoirs n’ayant pas marché semble ne pas être de l’habitude des apprenants comme en témoignent les données du </w:t>
      </w:r>
      <w:r>
        <w:rPr>
          <w:rFonts w:cstheme="minorBidi"/>
          <w:sz w:val="24"/>
          <w:szCs w:val="24"/>
        </w:rPr>
        <w:t xml:space="preserve">prochain </w:t>
      </w:r>
      <w:r w:rsidRPr="008240D2">
        <w:rPr>
          <w:rFonts w:cstheme="minorBidi"/>
          <w:sz w:val="24"/>
          <w:szCs w:val="24"/>
        </w:rPr>
        <w:t>tableau.</w:t>
      </w:r>
    </w:p>
    <w:p w14:paraId="3EDB3E7D" w14:textId="77777777" w:rsidR="00D80693" w:rsidRPr="000F7851" w:rsidRDefault="00D80693" w:rsidP="001928FA">
      <w:pPr>
        <w:spacing w:before="120"/>
        <w:ind w:right="60" w:firstLine="567"/>
        <w:jc w:val="both"/>
        <w:rPr>
          <w:sz w:val="14"/>
          <w:szCs w:val="14"/>
        </w:rPr>
      </w:pPr>
    </w:p>
    <w:p w14:paraId="7BF90870" w14:textId="77777777" w:rsidR="00D80693" w:rsidRPr="00F90857" w:rsidRDefault="00D80693" w:rsidP="001928FA">
      <w:pPr>
        <w:pStyle w:val="Paragraphedeliste"/>
        <w:tabs>
          <w:tab w:val="left" w:pos="1418"/>
        </w:tabs>
        <w:ind w:left="1287"/>
        <w:rPr>
          <w:b/>
          <w:bCs/>
          <w:i/>
          <w:iCs/>
          <w:sz w:val="24"/>
          <w:szCs w:val="24"/>
        </w:rPr>
      </w:pPr>
      <w:r w:rsidRPr="00F90857">
        <w:rPr>
          <w:rFonts w:cstheme="minorBidi"/>
          <w:b/>
          <w:bCs/>
          <w:i/>
          <w:iCs/>
          <w:sz w:val="24"/>
          <w:szCs w:val="24"/>
        </w:rPr>
        <w:t>2.1.9. Opinions des enquêtés sur la reprise des devoirs qui n’ont pas marché</w:t>
      </w:r>
    </w:p>
    <w:bookmarkEnd w:id="360"/>
    <w:p w14:paraId="1BC5B863" w14:textId="77777777" w:rsidR="00D80693" w:rsidRPr="00D4052A" w:rsidRDefault="00D80693" w:rsidP="00F429F0">
      <w:pPr>
        <w:spacing w:before="120"/>
        <w:ind w:right="60"/>
        <w:jc w:val="both"/>
        <w:rPr>
          <w:rFonts w:eastAsia="Calibri"/>
          <w:sz w:val="24"/>
          <w:szCs w:val="24"/>
        </w:rPr>
      </w:pPr>
      <w:r w:rsidRPr="00D4052A">
        <w:rPr>
          <w:rFonts w:eastAsia="Calibri"/>
          <w:sz w:val="24"/>
          <w:szCs w:val="24"/>
        </w:rPr>
        <w:t>Face aux devoirs qui n’ont pas été réussi</w:t>
      </w:r>
      <w:r>
        <w:rPr>
          <w:rFonts w:eastAsia="Calibri"/>
          <w:sz w:val="24"/>
          <w:szCs w:val="24"/>
        </w:rPr>
        <w:t>s</w:t>
      </w:r>
      <w:r w:rsidRPr="00D4052A">
        <w:rPr>
          <w:rFonts w:eastAsia="Calibri"/>
          <w:sz w:val="24"/>
          <w:szCs w:val="24"/>
        </w:rPr>
        <w:t xml:space="preserve">, les apprenants enquêtés adoptent différentes attitudes comme indiqué dans le tableau suivant. </w:t>
      </w:r>
    </w:p>
    <w:p w14:paraId="0B3F5FA5" w14:textId="77777777" w:rsidR="00D80693" w:rsidRDefault="00D80693" w:rsidP="001928FA">
      <w:pPr>
        <w:adjustRightInd w:val="0"/>
        <w:spacing w:before="120"/>
        <w:rPr>
          <w:rFonts w:eastAsia="Calibri"/>
          <w:b/>
          <w:bCs/>
          <w:i/>
          <w:iCs/>
        </w:rPr>
      </w:pPr>
    </w:p>
    <w:p w14:paraId="194500D4" w14:textId="77777777" w:rsidR="00D80693" w:rsidRPr="001F3123" w:rsidRDefault="00D80693" w:rsidP="001928FA">
      <w:pPr>
        <w:adjustRightInd w:val="0"/>
        <w:spacing w:before="120"/>
        <w:ind w:firstLine="1276"/>
        <w:rPr>
          <w:rFonts w:eastAsia="Calibri"/>
          <w:b/>
          <w:bCs/>
          <w:i/>
          <w:iCs/>
        </w:rPr>
      </w:pPr>
      <w:r w:rsidRPr="001F3123">
        <w:rPr>
          <w:rFonts w:eastAsia="Calibri"/>
          <w:b/>
          <w:bCs/>
          <w:i/>
          <w:iCs/>
        </w:rPr>
        <w:t>Tableau n°</w:t>
      </w:r>
      <w:r>
        <w:rPr>
          <w:rFonts w:eastAsia="Calibri"/>
          <w:b/>
          <w:bCs/>
          <w:i/>
          <w:iCs/>
        </w:rPr>
        <w:t>6</w:t>
      </w:r>
      <w:r w:rsidRPr="001F3123">
        <w:rPr>
          <w:rFonts w:eastAsia="Calibri"/>
          <w:b/>
          <w:bCs/>
          <w:i/>
          <w:iCs/>
        </w:rPr>
        <w:t xml:space="preserve"> : Reprise des devoirs qui n’ont pas marché</w:t>
      </w:r>
    </w:p>
    <w:p w14:paraId="073D8E39" w14:textId="77777777" w:rsidR="00D80693" w:rsidRPr="00F70FCF" w:rsidRDefault="00D80693" w:rsidP="001928FA">
      <w:pPr>
        <w:adjustRightInd w:val="0"/>
        <w:spacing w:before="120"/>
        <w:rPr>
          <w:rFonts w:eastAsia="Calibri"/>
          <w:sz w:val="4"/>
          <w:szCs w:val="4"/>
        </w:rPr>
      </w:pPr>
    </w:p>
    <w:tbl>
      <w:tblPr>
        <w:tblW w:w="78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993"/>
        <w:gridCol w:w="1418"/>
        <w:gridCol w:w="1345"/>
        <w:gridCol w:w="1348"/>
        <w:gridCol w:w="1487"/>
      </w:tblGrid>
      <w:tr w:rsidR="00D80693" w14:paraId="41B4B937" w14:textId="77777777" w:rsidTr="00D72320">
        <w:trPr>
          <w:cantSplit/>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F85E5F0" w14:textId="77777777" w:rsidR="00D80693" w:rsidRPr="00F70FCF" w:rsidRDefault="00D80693" w:rsidP="001928FA">
            <w:pPr>
              <w:adjustRightInd w:val="0"/>
              <w:spacing w:before="120"/>
              <w:rPr>
                <w:rFonts w:eastAsia="Calibr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ED3221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Fréquence</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bottom"/>
          </w:tcPr>
          <w:p w14:paraId="74CFE0D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w:t>
            </w:r>
          </w:p>
        </w:tc>
        <w:tc>
          <w:tcPr>
            <w:tcW w:w="1348" w:type="dxa"/>
            <w:tcBorders>
              <w:top w:val="single" w:sz="4" w:space="0" w:color="auto"/>
              <w:left w:val="single" w:sz="4" w:space="0" w:color="auto"/>
              <w:bottom w:val="single" w:sz="4" w:space="0" w:color="auto"/>
              <w:right w:val="single" w:sz="4" w:space="0" w:color="auto"/>
            </w:tcBorders>
            <w:shd w:val="clear" w:color="auto" w:fill="FFFFFF"/>
            <w:vAlign w:val="bottom"/>
          </w:tcPr>
          <w:p w14:paraId="65F25892"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valide</w:t>
            </w:r>
          </w:p>
        </w:tc>
        <w:tc>
          <w:tcPr>
            <w:tcW w:w="1487" w:type="dxa"/>
            <w:tcBorders>
              <w:top w:val="single" w:sz="4" w:space="0" w:color="auto"/>
              <w:left w:val="single" w:sz="4" w:space="0" w:color="auto"/>
              <w:bottom w:val="single" w:sz="4" w:space="0" w:color="auto"/>
              <w:right w:val="single" w:sz="4" w:space="0" w:color="auto"/>
            </w:tcBorders>
            <w:shd w:val="clear" w:color="auto" w:fill="FFFFFF"/>
            <w:vAlign w:val="bottom"/>
          </w:tcPr>
          <w:p w14:paraId="1D3CD49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Pourcentage cumulé</w:t>
            </w:r>
          </w:p>
        </w:tc>
      </w:tr>
      <w:tr w:rsidR="00D80693" w14:paraId="5EC16AFA" w14:textId="77777777" w:rsidTr="00D72320">
        <w:trPr>
          <w:cantSplit/>
          <w:jc w:val="center"/>
        </w:trPr>
        <w:tc>
          <w:tcPr>
            <w:tcW w:w="1270" w:type="dxa"/>
            <w:vMerge w:val="restart"/>
            <w:tcBorders>
              <w:top w:val="single" w:sz="4" w:space="0" w:color="auto"/>
              <w:left w:val="single" w:sz="4" w:space="0" w:color="auto"/>
              <w:bottom w:val="single" w:sz="4" w:space="0" w:color="auto"/>
              <w:right w:val="single" w:sz="4" w:space="0" w:color="auto"/>
            </w:tcBorders>
            <w:shd w:val="clear" w:color="auto" w:fill="FFFFFF"/>
          </w:tcPr>
          <w:p w14:paraId="4D323F55" w14:textId="77777777" w:rsidR="00D80693" w:rsidRPr="00F70FCF" w:rsidRDefault="00D80693" w:rsidP="001928FA">
            <w:pPr>
              <w:adjustRightInd w:val="0"/>
              <w:spacing w:before="120"/>
              <w:ind w:left="60" w:right="60"/>
              <w:rPr>
                <w:rFonts w:eastAsia="Calibri"/>
                <w:color w:val="000000"/>
              </w:rPr>
            </w:pPr>
          </w:p>
          <w:p w14:paraId="1BB47D3E" w14:textId="77777777" w:rsidR="00D80693" w:rsidRPr="00F70FCF" w:rsidRDefault="00D80693" w:rsidP="001928FA">
            <w:pPr>
              <w:adjustRightInd w:val="0"/>
              <w:spacing w:before="120"/>
              <w:ind w:left="60" w:right="60"/>
              <w:rPr>
                <w:rFonts w:eastAsia="Calibri"/>
                <w:color w:val="000000"/>
              </w:rPr>
            </w:pPr>
          </w:p>
          <w:p w14:paraId="7635736F"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Modalités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B9A6733"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Jamais</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D7615B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196</w:t>
            </w:r>
          </w:p>
        </w:tc>
        <w:tc>
          <w:tcPr>
            <w:tcW w:w="1345" w:type="dxa"/>
            <w:tcBorders>
              <w:top w:val="single" w:sz="4" w:space="0" w:color="auto"/>
              <w:left w:val="single" w:sz="4" w:space="0" w:color="auto"/>
              <w:bottom w:val="nil"/>
              <w:right w:val="single" w:sz="4" w:space="0" w:color="auto"/>
            </w:tcBorders>
            <w:shd w:val="clear" w:color="auto" w:fill="FFFFFF"/>
            <w:vAlign w:val="center"/>
          </w:tcPr>
          <w:p w14:paraId="662C405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39,2</w:t>
            </w:r>
          </w:p>
        </w:tc>
        <w:tc>
          <w:tcPr>
            <w:tcW w:w="1348" w:type="dxa"/>
            <w:tcBorders>
              <w:top w:val="single" w:sz="4" w:space="0" w:color="auto"/>
              <w:left w:val="single" w:sz="4" w:space="0" w:color="auto"/>
              <w:bottom w:val="nil"/>
              <w:right w:val="single" w:sz="4" w:space="0" w:color="auto"/>
            </w:tcBorders>
            <w:shd w:val="clear" w:color="auto" w:fill="FFFFFF"/>
            <w:vAlign w:val="center"/>
          </w:tcPr>
          <w:p w14:paraId="4AACECE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39,2</w:t>
            </w:r>
          </w:p>
        </w:tc>
        <w:tc>
          <w:tcPr>
            <w:tcW w:w="1487" w:type="dxa"/>
            <w:tcBorders>
              <w:top w:val="single" w:sz="4" w:space="0" w:color="auto"/>
              <w:left w:val="single" w:sz="4" w:space="0" w:color="auto"/>
              <w:bottom w:val="nil"/>
              <w:right w:val="single" w:sz="4" w:space="0" w:color="auto"/>
            </w:tcBorders>
            <w:shd w:val="clear" w:color="auto" w:fill="FFFFFF"/>
            <w:vAlign w:val="center"/>
          </w:tcPr>
          <w:p w14:paraId="6708FC3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39,2</w:t>
            </w:r>
          </w:p>
        </w:tc>
      </w:tr>
      <w:tr w:rsidR="00D80693" w14:paraId="760CD950" w14:textId="77777777" w:rsidTr="00D72320">
        <w:trPr>
          <w:cantSplit/>
          <w:jc w:val="center"/>
        </w:trPr>
        <w:tc>
          <w:tcPr>
            <w:tcW w:w="1270" w:type="dxa"/>
            <w:vMerge/>
            <w:tcBorders>
              <w:top w:val="single" w:sz="4" w:space="0" w:color="auto"/>
              <w:left w:val="single" w:sz="4" w:space="0" w:color="auto"/>
              <w:bottom w:val="single" w:sz="4" w:space="0" w:color="auto"/>
              <w:right w:val="single" w:sz="4" w:space="0" w:color="auto"/>
            </w:tcBorders>
            <w:shd w:val="clear" w:color="auto" w:fill="FFFFFF"/>
          </w:tcPr>
          <w:p w14:paraId="3D31E937" w14:textId="77777777" w:rsidR="00D80693" w:rsidRPr="00F70FCF" w:rsidRDefault="00D80693" w:rsidP="001928FA">
            <w:pPr>
              <w:adjustRightInd w:val="0"/>
              <w:spacing w:before="120"/>
              <w:rPr>
                <w:rFonts w:eastAsia="Calibri"/>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ECCA824"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Parfois</w:t>
            </w:r>
          </w:p>
        </w:tc>
        <w:tc>
          <w:tcPr>
            <w:tcW w:w="1418" w:type="dxa"/>
            <w:tcBorders>
              <w:top w:val="nil"/>
              <w:left w:val="single" w:sz="4" w:space="0" w:color="auto"/>
              <w:bottom w:val="nil"/>
              <w:right w:val="single" w:sz="4" w:space="0" w:color="auto"/>
            </w:tcBorders>
            <w:shd w:val="clear" w:color="auto" w:fill="FFFFFF"/>
            <w:vAlign w:val="center"/>
          </w:tcPr>
          <w:p w14:paraId="4C5B39A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130</w:t>
            </w:r>
          </w:p>
        </w:tc>
        <w:tc>
          <w:tcPr>
            <w:tcW w:w="1345" w:type="dxa"/>
            <w:tcBorders>
              <w:top w:val="nil"/>
              <w:left w:val="single" w:sz="4" w:space="0" w:color="auto"/>
              <w:bottom w:val="nil"/>
              <w:right w:val="single" w:sz="4" w:space="0" w:color="auto"/>
            </w:tcBorders>
            <w:shd w:val="clear" w:color="auto" w:fill="FFFFFF"/>
            <w:vAlign w:val="center"/>
          </w:tcPr>
          <w:p w14:paraId="62BFADE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26,0</w:t>
            </w:r>
          </w:p>
        </w:tc>
        <w:tc>
          <w:tcPr>
            <w:tcW w:w="1348" w:type="dxa"/>
            <w:tcBorders>
              <w:top w:val="nil"/>
              <w:left w:val="single" w:sz="4" w:space="0" w:color="auto"/>
              <w:bottom w:val="nil"/>
              <w:right w:val="single" w:sz="4" w:space="0" w:color="auto"/>
            </w:tcBorders>
            <w:shd w:val="clear" w:color="auto" w:fill="FFFFFF"/>
            <w:vAlign w:val="center"/>
          </w:tcPr>
          <w:p w14:paraId="6E8083B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26,0</w:t>
            </w:r>
          </w:p>
        </w:tc>
        <w:tc>
          <w:tcPr>
            <w:tcW w:w="1487" w:type="dxa"/>
            <w:tcBorders>
              <w:top w:val="nil"/>
              <w:left w:val="single" w:sz="4" w:space="0" w:color="auto"/>
              <w:bottom w:val="nil"/>
              <w:right w:val="single" w:sz="4" w:space="0" w:color="auto"/>
            </w:tcBorders>
            <w:shd w:val="clear" w:color="auto" w:fill="FFFFFF"/>
            <w:vAlign w:val="center"/>
          </w:tcPr>
          <w:p w14:paraId="534AC24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65,0</w:t>
            </w:r>
          </w:p>
        </w:tc>
      </w:tr>
      <w:tr w:rsidR="00D80693" w14:paraId="20D7F7CA" w14:textId="77777777" w:rsidTr="00D72320">
        <w:trPr>
          <w:cantSplit/>
          <w:jc w:val="center"/>
        </w:trPr>
        <w:tc>
          <w:tcPr>
            <w:tcW w:w="1270" w:type="dxa"/>
            <w:vMerge/>
            <w:tcBorders>
              <w:top w:val="single" w:sz="4" w:space="0" w:color="auto"/>
              <w:left w:val="single" w:sz="4" w:space="0" w:color="auto"/>
              <w:bottom w:val="single" w:sz="4" w:space="0" w:color="auto"/>
              <w:right w:val="single" w:sz="4" w:space="0" w:color="auto"/>
            </w:tcBorders>
            <w:shd w:val="clear" w:color="auto" w:fill="FFFFFF"/>
          </w:tcPr>
          <w:p w14:paraId="65F9CDFE" w14:textId="77777777" w:rsidR="00D80693" w:rsidRPr="00F70FCF" w:rsidRDefault="00D80693" w:rsidP="001928FA">
            <w:pPr>
              <w:adjustRightInd w:val="0"/>
              <w:spacing w:before="120"/>
              <w:rPr>
                <w:rFonts w:eastAsia="Calibri"/>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B6073E6"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Souvent</w:t>
            </w:r>
          </w:p>
        </w:tc>
        <w:tc>
          <w:tcPr>
            <w:tcW w:w="1418" w:type="dxa"/>
            <w:tcBorders>
              <w:top w:val="nil"/>
              <w:left w:val="single" w:sz="4" w:space="0" w:color="auto"/>
              <w:bottom w:val="nil"/>
              <w:right w:val="single" w:sz="4" w:space="0" w:color="auto"/>
            </w:tcBorders>
            <w:shd w:val="clear" w:color="auto" w:fill="FFFFFF"/>
            <w:vAlign w:val="center"/>
          </w:tcPr>
          <w:p w14:paraId="7E4B043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139</w:t>
            </w:r>
          </w:p>
        </w:tc>
        <w:tc>
          <w:tcPr>
            <w:tcW w:w="1345" w:type="dxa"/>
            <w:tcBorders>
              <w:top w:val="nil"/>
              <w:left w:val="single" w:sz="4" w:space="0" w:color="auto"/>
              <w:bottom w:val="nil"/>
              <w:right w:val="single" w:sz="4" w:space="0" w:color="auto"/>
            </w:tcBorders>
            <w:shd w:val="clear" w:color="auto" w:fill="FFFFFF"/>
            <w:vAlign w:val="center"/>
          </w:tcPr>
          <w:p w14:paraId="1EEE6F2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27,8</w:t>
            </w:r>
          </w:p>
        </w:tc>
        <w:tc>
          <w:tcPr>
            <w:tcW w:w="1348" w:type="dxa"/>
            <w:tcBorders>
              <w:top w:val="nil"/>
              <w:left w:val="single" w:sz="4" w:space="0" w:color="auto"/>
              <w:bottom w:val="nil"/>
              <w:right w:val="single" w:sz="4" w:space="0" w:color="auto"/>
            </w:tcBorders>
            <w:shd w:val="clear" w:color="auto" w:fill="FFFFFF"/>
            <w:vAlign w:val="center"/>
          </w:tcPr>
          <w:p w14:paraId="3C2B00A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27,8</w:t>
            </w:r>
          </w:p>
        </w:tc>
        <w:tc>
          <w:tcPr>
            <w:tcW w:w="1487" w:type="dxa"/>
            <w:tcBorders>
              <w:top w:val="nil"/>
              <w:left w:val="single" w:sz="4" w:space="0" w:color="auto"/>
              <w:bottom w:val="nil"/>
              <w:right w:val="single" w:sz="4" w:space="0" w:color="auto"/>
            </w:tcBorders>
            <w:shd w:val="clear" w:color="auto" w:fill="FFFFFF"/>
            <w:vAlign w:val="center"/>
          </w:tcPr>
          <w:p w14:paraId="58C536E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92,8</w:t>
            </w:r>
          </w:p>
        </w:tc>
      </w:tr>
      <w:tr w:rsidR="00D80693" w14:paraId="64E2A314" w14:textId="77777777" w:rsidTr="00D72320">
        <w:trPr>
          <w:cantSplit/>
          <w:jc w:val="center"/>
        </w:trPr>
        <w:tc>
          <w:tcPr>
            <w:tcW w:w="1270" w:type="dxa"/>
            <w:vMerge/>
            <w:tcBorders>
              <w:top w:val="single" w:sz="4" w:space="0" w:color="auto"/>
              <w:left w:val="single" w:sz="4" w:space="0" w:color="auto"/>
              <w:bottom w:val="single" w:sz="4" w:space="0" w:color="auto"/>
              <w:right w:val="single" w:sz="4" w:space="0" w:color="auto"/>
            </w:tcBorders>
            <w:shd w:val="clear" w:color="auto" w:fill="FFFFFF"/>
          </w:tcPr>
          <w:p w14:paraId="1849B8E2" w14:textId="77777777" w:rsidR="00D80693" w:rsidRPr="00F70FCF" w:rsidRDefault="00D80693" w:rsidP="001928FA">
            <w:pPr>
              <w:adjustRightInd w:val="0"/>
              <w:spacing w:before="120"/>
              <w:rPr>
                <w:rFonts w:eastAsia="Calibri"/>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F4667ED"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Toujours</w:t>
            </w:r>
          </w:p>
        </w:tc>
        <w:tc>
          <w:tcPr>
            <w:tcW w:w="1418" w:type="dxa"/>
            <w:tcBorders>
              <w:top w:val="nil"/>
              <w:left w:val="single" w:sz="4" w:space="0" w:color="auto"/>
              <w:bottom w:val="nil"/>
              <w:right w:val="single" w:sz="4" w:space="0" w:color="auto"/>
            </w:tcBorders>
            <w:shd w:val="clear" w:color="auto" w:fill="FFFFFF"/>
            <w:vAlign w:val="center"/>
          </w:tcPr>
          <w:p w14:paraId="2B0DE74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35</w:t>
            </w:r>
          </w:p>
        </w:tc>
        <w:tc>
          <w:tcPr>
            <w:tcW w:w="1345" w:type="dxa"/>
            <w:tcBorders>
              <w:top w:val="nil"/>
              <w:left w:val="single" w:sz="4" w:space="0" w:color="auto"/>
              <w:bottom w:val="nil"/>
              <w:right w:val="single" w:sz="4" w:space="0" w:color="auto"/>
            </w:tcBorders>
            <w:shd w:val="clear" w:color="auto" w:fill="FFFFFF"/>
            <w:vAlign w:val="center"/>
          </w:tcPr>
          <w:p w14:paraId="4F6E9C7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7,0</w:t>
            </w:r>
          </w:p>
        </w:tc>
        <w:tc>
          <w:tcPr>
            <w:tcW w:w="1348" w:type="dxa"/>
            <w:tcBorders>
              <w:top w:val="nil"/>
              <w:left w:val="single" w:sz="4" w:space="0" w:color="auto"/>
              <w:bottom w:val="nil"/>
              <w:right w:val="single" w:sz="4" w:space="0" w:color="auto"/>
            </w:tcBorders>
            <w:shd w:val="clear" w:color="auto" w:fill="FFFFFF"/>
            <w:vAlign w:val="center"/>
          </w:tcPr>
          <w:p w14:paraId="6176070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7,0</w:t>
            </w:r>
          </w:p>
        </w:tc>
        <w:tc>
          <w:tcPr>
            <w:tcW w:w="1487" w:type="dxa"/>
            <w:tcBorders>
              <w:top w:val="nil"/>
              <w:left w:val="single" w:sz="4" w:space="0" w:color="auto"/>
              <w:bottom w:val="nil"/>
              <w:right w:val="single" w:sz="4" w:space="0" w:color="auto"/>
            </w:tcBorders>
            <w:shd w:val="clear" w:color="auto" w:fill="FFFFFF"/>
            <w:vAlign w:val="center"/>
          </w:tcPr>
          <w:p w14:paraId="07F88A6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r>
      <w:tr w:rsidR="00D80693" w14:paraId="2686E3BD" w14:textId="77777777" w:rsidTr="00D72320">
        <w:trPr>
          <w:cantSplit/>
          <w:jc w:val="center"/>
        </w:trPr>
        <w:tc>
          <w:tcPr>
            <w:tcW w:w="1270" w:type="dxa"/>
            <w:vMerge/>
            <w:tcBorders>
              <w:top w:val="single" w:sz="4" w:space="0" w:color="auto"/>
              <w:left w:val="single" w:sz="4" w:space="0" w:color="auto"/>
              <w:bottom w:val="single" w:sz="4" w:space="0" w:color="auto"/>
              <w:right w:val="single" w:sz="4" w:space="0" w:color="auto"/>
            </w:tcBorders>
            <w:shd w:val="clear" w:color="auto" w:fill="FFFFFF"/>
          </w:tcPr>
          <w:p w14:paraId="6597144C" w14:textId="77777777" w:rsidR="00D80693" w:rsidRPr="00F70FCF" w:rsidRDefault="00D80693" w:rsidP="001928FA">
            <w:pPr>
              <w:adjustRightInd w:val="0"/>
              <w:spacing w:before="120"/>
              <w:rPr>
                <w:rFonts w:eastAsia="Calibri"/>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FF2A63C"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Total</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4AE04AF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500</w:t>
            </w:r>
          </w:p>
        </w:tc>
        <w:tc>
          <w:tcPr>
            <w:tcW w:w="1345" w:type="dxa"/>
            <w:tcBorders>
              <w:top w:val="nil"/>
              <w:left w:val="single" w:sz="4" w:space="0" w:color="auto"/>
              <w:bottom w:val="single" w:sz="4" w:space="0" w:color="auto"/>
              <w:right w:val="single" w:sz="4" w:space="0" w:color="auto"/>
            </w:tcBorders>
            <w:shd w:val="clear" w:color="auto" w:fill="FFFFFF"/>
            <w:vAlign w:val="center"/>
          </w:tcPr>
          <w:p w14:paraId="19A82F8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c>
          <w:tcPr>
            <w:tcW w:w="1348" w:type="dxa"/>
            <w:tcBorders>
              <w:top w:val="nil"/>
              <w:left w:val="single" w:sz="4" w:space="0" w:color="auto"/>
              <w:bottom w:val="single" w:sz="4" w:space="0" w:color="auto"/>
              <w:right w:val="single" w:sz="4" w:space="0" w:color="auto"/>
            </w:tcBorders>
            <w:shd w:val="clear" w:color="auto" w:fill="FFFFFF"/>
            <w:vAlign w:val="center"/>
          </w:tcPr>
          <w:p w14:paraId="64354E4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c>
          <w:tcPr>
            <w:tcW w:w="1487" w:type="dxa"/>
            <w:tcBorders>
              <w:top w:val="nil"/>
              <w:left w:val="single" w:sz="4" w:space="0" w:color="auto"/>
              <w:bottom w:val="single" w:sz="4" w:space="0" w:color="auto"/>
              <w:right w:val="single" w:sz="4" w:space="0" w:color="auto"/>
            </w:tcBorders>
            <w:shd w:val="clear" w:color="auto" w:fill="FFFFFF"/>
            <w:vAlign w:val="center"/>
          </w:tcPr>
          <w:p w14:paraId="6C08BEA6" w14:textId="77777777" w:rsidR="00D80693" w:rsidRPr="00F70FCF" w:rsidRDefault="00D80693" w:rsidP="001928FA">
            <w:pPr>
              <w:adjustRightInd w:val="0"/>
              <w:spacing w:before="120"/>
              <w:jc w:val="center"/>
              <w:rPr>
                <w:rFonts w:eastAsia="Calibri"/>
              </w:rPr>
            </w:pPr>
          </w:p>
        </w:tc>
      </w:tr>
    </w:tbl>
    <w:p w14:paraId="1FDB7FD6" w14:textId="77777777" w:rsidR="00D80693" w:rsidRPr="001F3123" w:rsidRDefault="00D80693" w:rsidP="001928FA">
      <w:pPr>
        <w:adjustRightInd w:val="0"/>
        <w:spacing w:before="120"/>
        <w:jc w:val="center"/>
        <w:rPr>
          <w:rFonts w:eastAsia="Calibri"/>
        </w:rPr>
      </w:pPr>
      <w:r w:rsidRPr="001F3123">
        <w:rPr>
          <w:rFonts w:eastAsia="Calibri"/>
          <w:i/>
          <w:iCs/>
        </w:rPr>
        <w:t>Source : Enquête, avril-mai 2025</w:t>
      </w:r>
    </w:p>
    <w:p w14:paraId="42C3F4BB" w14:textId="77777777" w:rsidR="00D80693" w:rsidRPr="00BB1B5D" w:rsidRDefault="00D80693" w:rsidP="001928FA">
      <w:pPr>
        <w:adjustRightInd w:val="0"/>
        <w:spacing w:before="120"/>
        <w:rPr>
          <w:rFonts w:eastAsia="Calibri"/>
          <w:sz w:val="4"/>
          <w:szCs w:val="4"/>
        </w:rPr>
      </w:pPr>
    </w:p>
    <w:p w14:paraId="7290886A" w14:textId="77777777" w:rsidR="00D80693" w:rsidRPr="008240D2" w:rsidRDefault="00D80693" w:rsidP="00F429F0">
      <w:pPr>
        <w:spacing w:before="120"/>
        <w:ind w:right="60"/>
        <w:jc w:val="both"/>
        <w:rPr>
          <w:sz w:val="24"/>
          <w:szCs w:val="24"/>
        </w:rPr>
      </w:pPr>
      <w:bookmarkStart w:id="361" w:name="_Hlk196987110"/>
      <w:r w:rsidRPr="008240D2">
        <w:rPr>
          <w:rFonts w:cstheme="minorBidi"/>
          <w:sz w:val="24"/>
          <w:szCs w:val="24"/>
        </w:rPr>
        <w:t xml:space="preserve">Sur la question de la reprise des devoirs qui n’ont pas marché, deux cinquièmes des apprenants enquêtés affirment ne jamais les reprendre. S’ajoute à ceux-ci plus </w:t>
      </w:r>
      <w:r>
        <w:rPr>
          <w:rFonts w:cstheme="minorBidi"/>
          <w:sz w:val="24"/>
          <w:szCs w:val="24"/>
        </w:rPr>
        <w:t>du</w:t>
      </w:r>
      <w:r w:rsidRPr="008240D2">
        <w:rPr>
          <w:rFonts w:cstheme="minorBidi"/>
          <w:sz w:val="24"/>
          <w:szCs w:val="24"/>
        </w:rPr>
        <w:t xml:space="preserve"> quart qui soutien</w:t>
      </w:r>
      <w:r>
        <w:rPr>
          <w:rFonts w:cstheme="minorBidi"/>
          <w:sz w:val="24"/>
          <w:szCs w:val="24"/>
        </w:rPr>
        <w:t>nen</w:t>
      </w:r>
      <w:r w:rsidRPr="008240D2">
        <w:rPr>
          <w:rFonts w:cstheme="minorBidi"/>
          <w:sz w:val="24"/>
          <w:szCs w:val="24"/>
        </w:rPr>
        <w:t>t ne reprendre ces devoirs que parfois. De ce fait, nous notons que deux tiers des enquêtés n’ont pas pour habitude de reprendre les devoirs qui n’ont pas marché. Le tiers restant affirme reprendre les devoirs soit souvent</w:t>
      </w:r>
      <w:r>
        <w:rPr>
          <w:rFonts w:cstheme="minorBidi"/>
          <w:sz w:val="24"/>
          <w:szCs w:val="24"/>
        </w:rPr>
        <w:t>,</w:t>
      </w:r>
      <w:r w:rsidRPr="008240D2">
        <w:rPr>
          <w:rFonts w:cstheme="minorBidi"/>
          <w:sz w:val="24"/>
          <w:szCs w:val="24"/>
        </w:rPr>
        <w:t xml:space="preserve"> soit toujours.</w:t>
      </w:r>
    </w:p>
    <w:p w14:paraId="2DCE4C96" w14:textId="77777777" w:rsidR="00D80693" w:rsidRPr="001F3123" w:rsidRDefault="00D80693" w:rsidP="001928FA">
      <w:pPr>
        <w:spacing w:before="120"/>
        <w:ind w:right="60" w:firstLine="708"/>
        <w:jc w:val="both"/>
        <w:rPr>
          <w:sz w:val="14"/>
          <w:szCs w:val="14"/>
        </w:rPr>
      </w:pPr>
    </w:p>
    <w:p w14:paraId="5E5CD68E" w14:textId="77777777" w:rsidR="00D80693" w:rsidRPr="00302924" w:rsidRDefault="00D80693" w:rsidP="001928FA">
      <w:pPr>
        <w:tabs>
          <w:tab w:val="left" w:pos="1418"/>
        </w:tabs>
        <w:spacing w:before="120"/>
        <w:ind w:left="1560" w:hanging="633"/>
        <w:jc w:val="both"/>
        <w:rPr>
          <w:b/>
          <w:bCs/>
          <w:color w:val="000000"/>
          <w:sz w:val="24"/>
          <w:szCs w:val="24"/>
        </w:rPr>
      </w:pPr>
      <w:r w:rsidRPr="00302924">
        <w:rPr>
          <w:rFonts w:cstheme="minorBidi"/>
          <w:b/>
          <w:bCs/>
          <w:color w:val="000000"/>
          <w:sz w:val="24"/>
          <w:szCs w:val="24"/>
        </w:rPr>
        <w:t>2.1.10. Synthèse sur les perceptions des apprenants sur l’évaluation et leur engagement à l’apprentissage</w:t>
      </w:r>
    </w:p>
    <w:p w14:paraId="2A9FEB0A" w14:textId="77777777" w:rsidR="00D80693" w:rsidRPr="006443F7" w:rsidRDefault="00D80693" w:rsidP="001928FA">
      <w:pPr>
        <w:spacing w:before="120"/>
        <w:ind w:right="60"/>
        <w:jc w:val="both"/>
        <w:rPr>
          <w:color w:val="EE0000"/>
          <w:sz w:val="2"/>
          <w:szCs w:val="2"/>
        </w:rPr>
      </w:pPr>
    </w:p>
    <w:p w14:paraId="5408B639" w14:textId="77777777" w:rsidR="00D80693" w:rsidRPr="00CE4A25" w:rsidRDefault="00D80693" w:rsidP="00F429F0">
      <w:pPr>
        <w:spacing w:before="120"/>
        <w:ind w:right="60"/>
        <w:jc w:val="both"/>
        <w:rPr>
          <w:sz w:val="24"/>
          <w:szCs w:val="24"/>
        </w:rPr>
      </w:pPr>
      <w:r w:rsidRPr="00CE4A25">
        <w:rPr>
          <w:rFonts w:cstheme="minorBidi"/>
          <w:sz w:val="24"/>
          <w:szCs w:val="24"/>
        </w:rPr>
        <w:t xml:space="preserve">L’étude montre qu’une </w:t>
      </w:r>
      <w:r>
        <w:rPr>
          <w:rFonts w:cstheme="minorBidi"/>
          <w:sz w:val="24"/>
          <w:szCs w:val="24"/>
        </w:rPr>
        <w:t xml:space="preserve">très </w:t>
      </w:r>
      <w:r w:rsidRPr="00CE4A25">
        <w:rPr>
          <w:rFonts w:cstheme="minorBidi"/>
          <w:sz w:val="24"/>
          <w:szCs w:val="24"/>
        </w:rPr>
        <w:t xml:space="preserve">large majorité des apprenants ont un rapport plutôt sympathique avec les études, mais, ils sont plus de deux tiers à redouter l’évaluation. La presque totalité des enquêtés reconnaissent, cependant, en l’évaluation formative, un facteur important pour le développement de leurs compétences. Ainsi, les élèves </w:t>
      </w:r>
      <w:proofErr w:type="gramStart"/>
      <w:r w:rsidRPr="00CE4A25">
        <w:rPr>
          <w:rFonts w:cstheme="minorBidi"/>
          <w:sz w:val="24"/>
          <w:szCs w:val="24"/>
        </w:rPr>
        <w:t>font</w:t>
      </w:r>
      <w:proofErr w:type="gramEnd"/>
      <w:r w:rsidRPr="00CE4A25">
        <w:rPr>
          <w:rFonts w:cstheme="minorBidi"/>
          <w:sz w:val="24"/>
          <w:szCs w:val="24"/>
        </w:rPr>
        <w:t xml:space="preserve"> généralement les exercices non par contrainte, mais parce qu’ils espèrent en tirer des bénéfices pour leur apprentissage et leur réussite. Toutefois, près du quart des apprenants font peu fréquemment les exercices qui leur sont proposés, et </w:t>
      </w:r>
      <w:r>
        <w:rPr>
          <w:rFonts w:cstheme="minorBidi"/>
          <w:sz w:val="24"/>
          <w:szCs w:val="24"/>
        </w:rPr>
        <w:t>plus du tiers</w:t>
      </w:r>
      <w:r w:rsidRPr="00CE4A25">
        <w:rPr>
          <w:rFonts w:cstheme="minorBidi"/>
          <w:sz w:val="24"/>
          <w:szCs w:val="24"/>
        </w:rPr>
        <w:t xml:space="preserve"> </w:t>
      </w:r>
      <w:proofErr w:type="gramStart"/>
      <w:r w:rsidRPr="00CE4A25">
        <w:rPr>
          <w:rFonts w:cstheme="minorBidi"/>
          <w:sz w:val="24"/>
          <w:szCs w:val="24"/>
        </w:rPr>
        <w:t>font</w:t>
      </w:r>
      <w:proofErr w:type="gramEnd"/>
      <w:r w:rsidRPr="00CE4A25">
        <w:rPr>
          <w:rFonts w:cstheme="minorBidi"/>
          <w:sz w:val="24"/>
          <w:szCs w:val="24"/>
        </w:rPr>
        <w:t xml:space="preserve"> généralement les exercices qu’ils comprennent. Cette situation révèle que, pour ces derniers, les évaluations peuvent certes permettre d’asseoir des compétences acquises, mais elles ne sont pas réellement contributives à l’acquisition de nouvelles compétences. Toutefois, l’évaluation apparaît pour l’écrasante majorité des enquêtés d’une importance de premier plan pour les études d’autant qu’elle est perçue comme un facteur qui justifie leur assiduité à l’école. Après la description des opinions des apprenants à l’égard de l’évaluation, nous abordons, l’influence des perceptions de l’évaluation sur l’engagement à l’apprentissage.</w:t>
      </w:r>
      <w:bookmarkEnd w:id="361"/>
    </w:p>
    <w:p w14:paraId="6D438F82" w14:textId="77777777" w:rsidR="00D80693" w:rsidRPr="00302924" w:rsidRDefault="00D80693" w:rsidP="001928FA">
      <w:pPr>
        <w:spacing w:before="120"/>
        <w:ind w:right="60" w:firstLine="567"/>
        <w:jc w:val="both"/>
        <w:rPr>
          <w:sz w:val="12"/>
          <w:szCs w:val="12"/>
        </w:rPr>
      </w:pPr>
    </w:p>
    <w:p w14:paraId="53E55028" w14:textId="77777777" w:rsidR="00D80693" w:rsidRPr="00302924" w:rsidRDefault="00D80693" w:rsidP="001928FA">
      <w:pPr>
        <w:spacing w:before="120"/>
        <w:ind w:right="60"/>
        <w:jc w:val="both"/>
        <w:rPr>
          <w:sz w:val="2"/>
          <w:szCs w:val="2"/>
        </w:rPr>
      </w:pPr>
    </w:p>
    <w:p w14:paraId="1F40F7F5" w14:textId="77777777" w:rsidR="00D80693" w:rsidRPr="00302924" w:rsidRDefault="00D80693" w:rsidP="001928FA">
      <w:pPr>
        <w:pStyle w:val="Paragraphedeliste"/>
        <w:widowControl/>
        <w:numPr>
          <w:ilvl w:val="1"/>
          <w:numId w:val="204"/>
        </w:numPr>
        <w:tabs>
          <w:tab w:val="left" w:pos="1418"/>
          <w:tab w:val="left" w:pos="1560"/>
        </w:tabs>
        <w:autoSpaceDE/>
        <w:autoSpaceDN/>
        <w:contextualSpacing/>
        <w:rPr>
          <w:b/>
          <w:bCs/>
          <w:sz w:val="24"/>
          <w:szCs w:val="24"/>
        </w:rPr>
      </w:pPr>
      <w:r w:rsidRPr="00302924">
        <w:rPr>
          <w:rFonts w:cstheme="minorBidi"/>
          <w:b/>
          <w:bCs/>
          <w:sz w:val="24"/>
          <w:szCs w:val="24"/>
        </w:rPr>
        <w:t>Influences des perceptions de l’évaluation sur l’engagement à l’apprentissage</w:t>
      </w:r>
    </w:p>
    <w:p w14:paraId="1A753B49" w14:textId="77777777" w:rsidR="00D80693" w:rsidRDefault="00D80693" w:rsidP="001928FA">
      <w:pPr>
        <w:tabs>
          <w:tab w:val="left" w:pos="1418"/>
          <w:tab w:val="left" w:pos="1560"/>
        </w:tabs>
        <w:spacing w:before="120"/>
        <w:jc w:val="both"/>
        <w:rPr>
          <w:sz w:val="24"/>
          <w:szCs w:val="24"/>
        </w:rPr>
      </w:pPr>
      <w:r>
        <w:rPr>
          <w:rFonts w:cstheme="minorBidi"/>
          <w:sz w:val="24"/>
          <w:szCs w:val="24"/>
        </w:rPr>
        <w:t xml:space="preserve">Les différents tableaux suivants nous présentent les liens entre les </w:t>
      </w:r>
      <w:r w:rsidRPr="00AB437E">
        <w:rPr>
          <w:rFonts w:cstheme="minorBidi"/>
          <w:sz w:val="24"/>
          <w:szCs w:val="24"/>
        </w:rPr>
        <w:t xml:space="preserve">perceptions de l’évaluation </w:t>
      </w:r>
      <w:r>
        <w:rPr>
          <w:rFonts w:cstheme="minorBidi"/>
          <w:sz w:val="24"/>
          <w:szCs w:val="24"/>
        </w:rPr>
        <w:t>et</w:t>
      </w:r>
      <w:r w:rsidRPr="00AB437E">
        <w:rPr>
          <w:rFonts w:cstheme="minorBidi"/>
          <w:sz w:val="24"/>
          <w:szCs w:val="24"/>
        </w:rPr>
        <w:t xml:space="preserve"> l’engagement </w:t>
      </w:r>
      <w:r>
        <w:rPr>
          <w:rFonts w:cstheme="minorBidi"/>
          <w:sz w:val="24"/>
          <w:szCs w:val="24"/>
        </w:rPr>
        <w:t xml:space="preserve">des apprenants </w:t>
      </w:r>
      <w:r w:rsidRPr="00AB437E">
        <w:rPr>
          <w:rFonts w:cstheme="minorBidi"/>
          <w:sz w:val="24"/>
          <w:szCs w:val="24"/>
        </w:rPr>
        <w:t>à l’apprentissage</w:t>
      </w:r>
      <w:r>
        <w:rPr>
          <w:rFonts w:cstheme="minorBidi"/>
          <w:sz w:val="24"/>
          <w:szCs w:val="24"/>
        </w:rPr>
        <w:t>.</w:t>
      </w:r>
    </w:p>
    <w:p w14:paraId="1E702BB9" w14:textId="77777777" w:rsidR="00D80693" w:rsidRPr="007E38C7" w:rsidRDefault="00D80693" w:rsidP="001928FA">
      <w:pPr>
        <w:pStyle w:val="Paragraphedeliste"/>
        <w:widowControl/>
        <w:numPr>
          <w:ilvl w:val="2"/>
          <w:numId w:val="204"/>
        </w:numPr>
        <w:tabs>
          <w:tab w:val="left" w:pos="1418"/>
          <w:tab w:val="left" w:pos="1560"/>
        </w:tabs>
        <w:autoSpaceDE/>
        <w:autoSpaceDN/>
        <w:contextualSpacing/>
        <w:rPr>
          <w:b/>
          <w:bCs/>
          <w:i/>
          <w:iCs/>
          <w:sz w:val="24"/>
          <w:szCs w:val="24"/>
        </w:rPr>
      </w:pPr>
      <w:r w:rsidRPr="00F90857">
        <w:rPr>
          <w:rFonts w:eastAsia="Calibri"/>
          <w:b/>
          <w:bCs/>
          <w:i/>
          <w:iCs/>
          <w:sz w:val="24"/>
          <w:szCs w:val="24"/>
        </w:rPr>
        <w:t>Lien entre la perception de l’importance des exercices et leur traitement pendant le cours</w:t>
      </w:r>
    </w:p>
    <w:p w14:paraId="504A27A1" w14:textId="77777777" w:rsidR="00D80693" w:rsidRDefault="00D80693" w:rsidP="00F429F0">
      <w:pPr>
        <w:tabs>
          <w:tab w:val="left" w:pos="1418"/>
          <w:tab w:val="left" w:pos="1560"/>
        </w:tabs>
        <w:spacing w:before="120"/>
        <w:jc w:val="both"/>
        <w:rPr>
          <w:sz w:val="24"/>
          <w:szCs w:val="24"/>
        </w:rPr>
      </w:pPr>
      <w:r w:rsidRPr="00080BFF">
        <w:rPr>
          <w:rFonts w:cstheme="minorBidi"/>
          <w:sz w:val="24"/>
          <w:szCs w:val="24"/>
        </w:rPr>
        <w:t xml:space="preserve">La perception de l’importance des exercices incline-t-elle les apprenants enquêtés à les traiter ? </w:t>
      </w:r>
      <w:r>
        <w:rPr>
          <w:rFonts w:cstheme="minorBidi"/>
          <w:sz w:val="24"/>
          <w:szCs w:val="24"/>
        </w:rPr>
        <w:t>L</w:t>
      </w:r>
      <w:r w:rsidRPr="00080BFF">
        <w:rPr>
          <w:rFonts w:cstheme="minorBidi"/>
          <w:sz w:val="24"/>
          <w:szCs w:val="24"/>
        </w:rPr>
        <w:t xml:space="preserve">e tableau suivant nous </w:t>
      </w:r>
      <w:r>
        <w:rPr>
          <w:rFonts w:cstheme="minorBidi"/>
          <w:sz w:val="24"/>
          <w:szCs w:val="24"/>
        </w:rPr>
        <w:t>situe sur cette question.</w:t>
      </w:r>
      <w:r w:rsidRPr="00080BFF">
        <w:rPr>
          <w:rFonts w:cstheme="minorBidi"/>
          <w:sz w:val="24"/>
          <w:szCs w:val="24"/>
        </w:rPr>
        <w:t xml:space="preserve">    </w:t>
      </w:r>
    </w:p>
    <w:p w14:paraId="47DF3A02" w14:textId="77777777" w:rsidR="00D80693" w:rsidRPr="00302924" w:rsidRDefault="00D80693" w:rsidP="001928FA">
      <w:pPr>
        <w:tabs>
          <w:tab w:val="left" w:pos="1418"/>
          <w:tab w:val="left" w:pos="1560"/>
        </w:tabs>
        <w:spacing w:before="120"/>
        <w:jc w:val="both"/>
        <w:rPr>
          <w:sz w:val="2"/>
          <w:szCs w:val="2"/>
        </w:rPr>
      </w:pPr>
    </w:p>
    <w:p w14:paraId="59C1357E" w14:textId="77777777" w:rsidR="00D80693" w:rsidRPr="001F3123" w:rsidRDefault="00D80693" w:rsidP="001928FA">
      <w:pPr>
        <w:adjustRightInd w:val="0"/>
        <w:spacing w:before="120"/>
        <w:ind w:left="2694" w:hanging="1418"/>
        <w:jc w:val="both"/>
        <w:rPr>
          <w:rFonts w:eastAsia="Calibri"/>
          <w:b/>
          <w:bCs/>
          <w:i/>
          <w:iCs/>
        </w:rPr>
      </w:pPr>
      <w:r w:rsidRPr="001F3123">
        <w:rPr>
          <w:rFonts w:eastAsia="Calibri"/>
          <w:b/>
          <w:bCs/>
          <w:i/>
          <w:iCs/>
        </w:rPr>
        <w:t>Tableau n°</w:t>
      </w:r>
      <w:r>
        <w:rPr>
          <w:rFonts w:eastAsia="Calibri"/>
          <w:b/>
          <w:bCs/>
          <w:i/>
          <w:iCs/>
        </w:rPr>
        <w:t>7</w:t>
      </w:r>
      <w:r w:rsidRPr="001F3123">
        <w:rPr>
          <w:rFonts w:eastAsia="Calibri"/>
          <w:b/>
          <w:bCs/>
          <w:i/>
          <w:iCs/>
        </w:rPr>
        <w:t> : Lien entre la perception de l’importance des exercices et leur traitement pendant le cours</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0"/>
        <w:gridCol w:w="1746"/>
        <w:gridCol w:w="1134"/>
        <w:gridCol w:w="922"/>
        <w:gridCol w:w="1204"/>
        <w:gridCol w:w="1063"/>
        <w:gridCol w:w="851"/>
      </w:tblGrid>
      <w:tr w:rsidR="00D80693" w14:paraId="07B355F4" w14:textId="77777777" w:rsidTr="00D72320">
        <w:trPr>
          <w:cantSplit/>
          <w:jc w:val="center"/>
        </w:trPr>
        <w:tc>
          <w:tcPr>
            <w:tcW w:w="3686" w:type="dxa"/>
            <w:gridSpan w:val="2"/>
            <w:vMerge w:val="restart"/>
            <w:shd w:val="clear" w:color="auto" w:fill="FFFFFF"/>
            <w:vAlign w:val="bottom"/>
          </w:tcPr>
          <w:p w14:paraId="642E09A6" w14:textId="77777777" w:rsidR="00D80693" w:rsidRPr="00F70FCF" w:rsidRDefault="00D80693" w:rsidP="001928FA">
            <w:pPr>
              <w:adjustRightInd w:val="0"/>
              <w:spacing w:before="120"/>
              <w:rPr>
                <w:rFonts w:eastAsia="Calibri"/>
              </w:rPr>
            </w:pPr>
          </w:p>
        </w:tc>
        <w:tc>
          <w:tcPr>
            <w:tcW w:w="4323" w:type="dxa"/>
            <w:gridSpan w:val="4"/>
            <w:shd w:val="clear" w:color="auto" w:fill="FFFFFF"/>
            <w:vAlign w:val="bottom"/>
          </w:tcPr>
          <w:p w14:paraId="55350E34" w14:textId="77777777" w:rsidR="00D80693" w:rsidRPr="00F70FCF" w:rsidRDefault="00D80693" w:rsidP="001928FA">
            <w:pPr>
              <w:adjustRightInd w:val="0"/>
              <w:spacing w:before="120"/>
              <w:ind w:left="152" w:right="60"/>
              <w:jc w:val="both"/>
              <w:rPr>
                <w:rFonts w:eastAsia="Calibri"/>
                <w:color w:val="000000"/>
              </w:rPr>
            </w:pPr>
            <w:r w:rsidRPr="00F70FCF">
              <w:rPr>
                <w:rFonts w:eastAsia="Calibri"/>
                <w:color w:val="000000"/>
              </w:rPr>
              <w:t>Pendant les cours, fais-tu les exercices que les enseignants te proposent ?</w:t>
            </w:r>
          </w:p>
        </w:tc>
        <w:tc>
          <w:tcPr>
            <w:tcW w:w="851" w:type="dxa"/>
            <w:vMerge w:val="restart"/>
            <w:shd w:val="clear" w:color="auto" w:fill="FFFFFF"/>
            <w:vAlign w:val="bottom"/>
          </w:tcPr>
          <w:p w14:paraId="6F6EC61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Total</w:t>
            </w:r>
          </w:p>
        </w:tc>
      </w:tr>
      <w:tr w:rsidR="00D80693" w14:paraId="6D90ED9B" w14:textId="77777777" w:rsidTr="00D72320">
        <w:trPr>
          <w:cantSplit/>
          <w:jc w:val="center"/>
        </w:trPr>
        <w:tc>
          <w:tcPr>
            <w:tcW w:w="3686" w:type="dxa"/>
            <w:gridSpan w:val="2"/>
            <w:vMerge/>
            <w:shd w:val="clear" w:color="auto" w:fill="FFFFFF"/>
            <w:vAlign w:val="bottom"/>
          </w:tcPr>
          <w:p w14:paraId="05F5183C" w14:textId="77777777" w:rsidR="00D80693" w:rsidRPr="00F70FCF" w:rsidRDefault="00D80693" w:rsidP="001928FA">
            <w:pPr>
              <w:adjustRightInd w:val="0"/>
              <w:spacing w:before="120"/>
              <w:rPr>
                <w:rFonts w:eastAsia="Calibri"/>
                <w:color w:val="000000"/>
              </w:rPr>
            </w:pPr>
          </w:p>
        </w:tc>
        <w:tc>
          <w:tcPr>
            <w:tcW w:w="1134" w:type="dxa"/>
            <w:shd w:val="clear" w:color="auto" w:fill="FFFFFF"/>
            <w:vAlign w:val="bottom"/>
          </w:tcPr>
          <w:p w14:paraId="26AF57D1"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Jamais</w:t>
            </w:r>
          </w:p>
        </w:tc>
        <w:tc>
          <w:tcPr>
            <w:tcW w:w="922" w:type="dxa"/>
            <w:shd w:val="clear" w:color="auto" w:fill="FFFFFF"/>
            <w:vAlign w:val="bottom"/>
          </w:tcPr>
          <w:p w14:paraId="2FC8B23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Parfois</w:t>
            </w:r>
          </w:p>
        </w:tc>
        <w:tc>
          <w:tcPr>
            <w:tcW w:w="1204" w:type="dxa"/>
            <w:shd w:val="clear" w:color="auto" w:fill="FFFFFF"/>
            <w:vAlign w:val="bottom"/>
          </w:tcPr>
          <w:p w14:paraId="416A824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Souvent</w:t>
            </w:r>
          </w:p>
        </w:tc>
        <w:tc>
          <w:tcPr>
            <w:tcW w:w="1063" w:type="dxa"/>
            <w:shd w:val="clear" w:color="auto" w:fill="FFFFFF"/>
            <w:vAlign w:val="bottom"/>
          </w:tcPr>
          <w:p w14:paraId="2E15FAB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Toujours</w:t>
            </w:r>
          </w:p>
        </w:tc>
        <w:tc>
          <w:tcPr>
            <w:tcW w:w="851" w:type="dxa"/>
            <w:vMerge/>
            <w:shd w:val="clear" w:color="auto" w:fill="FFFFFF"/>
            <w:vAlign w:val="bottom"/>
          </w:tcPr>
          <w:p w14:paraId="1C4065DF" w14:textId="77777777" w:rsidR="00D80693" w:rsidRPr="00F70FCF" w:rsidRDefault="00D80693" w:rsidP="001928FA">
            <w:pPr>
              <w:adjustRightInd w:val="0"/>
              <w:spacing w:before="120"/>
              <w:rPr>
                <w:rFonts w:eastAsia="Calibri"/>
                <w:color w:val="000000"/>
              </w:rPr>
            </w:pPr>
          </w:p>
        </w:tc>
      </w:tr>
      <w:tr w:rsidR="00D80693" w14:paraId="5060B3FB" w14:textId="77777777" w:rsidTr="00D72320">
        <w:trPr>
          <w:cantSplit/>
          <w:jc w:val="center"/>
        </w:trPr>
        <w:tc>
          <w:tcPr>
            <w:tcW w:w="1940" w:type="dxa"/>
            <w:vMerge w:val="restart"/>
            <w:shd w:val="clear" w:color="auto" w:fill="FFFFFF"/>
          </w:tcPr>
          <w:p w14:paraId="6BF84C17" w14:textId="77777777" w:rsidR="00D80693" w:rsidRPr="00F70FCF" w:rsidRDefault="00D80693" w:rsidP="001928FA">
            <w:pPr>
              <w:adjustRightInd w:val="0"/>
              <w:spacing w:before="120"/>
              <w:ind w:left="60" w:right="60"/>
              <w:rPr>
                <w:rFonts w:eastAsia="Calibri"/>
                <w:color w:val="000000"/>
              </w:rPr>
            </w:pPr>
          </w:p>
          <w:p w14:paraId="2F8C0711" w14:textId="77777777" w:rsidR="00D80693" w:rsidRPr="00F70FCF" w:rsidRDefault="00D80693" w:rsidP="001928FA">
            <w:pPr>
              <w:adjustRightInd w:val="0"/>
              <w:spacing w:before="120"/>
              <w:ind w:left="60" w:right="60" w:firstLine="356"/>
              <w:jc w:val="both"/>
              <w:rPr>
                <w:rFonts w:eastAsia="Calibri"/>
                <w:color w:val="000000"/>
              </w:rPr>
            </w:pPr>
            <w:r w:rsidRPr="00F70FCF">
              <w:rPr>
                <w:rFonts w:eastAsia="Calibri"/>
                <w:color w:val="000000"/>
              </w:rPr>
              <w:t>Penses-tu que ces exercices sont importants pour te faire comprendre les cours ?</w:t>
            </w:r>
          </w:p>
        </w:tc>
        <w:tc>
          <w:tcPr>
            <w:tcW w:w="1746" w:type="dxa"/>
            <w:vMerge w:val="restart"/>
            <w:shd w:val="clear" w:color="auto" w:fill="FFFFFF"/>
          </w:tcPr>
          <w:p w14:paraId="29F7E2A1"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Pas du tout importants</w:t>
            </w:r>
          </w:p>
        </w:tc>
        <w:tc>
          <w:tcPr>
            <w:tcW w:w="1134" w:type="dxa"/>
            <w:shd w:val="clear" w:color="auto" w:fill="FFFFFF"/>
            <w:vAlign w:val="center"/>
          </w:tcPr>
          <w:p w14:paraId="25BE10F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w:t>
            </w:r>
          </w:p>
        </w:tc>
        <w:tc>
          <w:tcPr>
            <w:tcW w:w="922" w:type="dxa"/>
            <w:shd w:val="clear" w:color="auto" w:fill="FFFFFF"/>
            <w:vAlign w:val="center"/>
          </w:tcPr>
          <w:p w14:paraId="079D520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w:t>
            </w:r>
          </w:p>
        </w:tc>
        <w:tc>
          <w:tcPr>
            <w:tcW w:w="1204" w:type="dxa"/>
            <w:shd w:val="clear" w:color="auto" w:fill="FFFFFF"/>
            <w:vAlign w:val="center"/>
          </w:tcPr>
          <w:p w14:paraId="395FE9B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w:t>
            </w:r>
          </w:p>
        </w:tc>
        <w:tc>
          <w:tcPr>
            <w:tcW w:w="1063" w:type="dxa"/>
            <w:shd w:val="clear" w:color="auto" w:fill="FFFFFF"/>
            <w:vAlign w:val="center"/>
          </w:tcPr>
          <w:p w14:paraId="2F97281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w:t>
            </w:r>
          </w:p>
        </w:tc>
        <w:tc>
          <w:tcPr>
            <w:tcW w:w="851" w:type="dxa"/>
            <w:shd w:val="clear" w:color="auto" w:fill="FFFFFF"/>
            <w:vAlign w:val="center"/>
          </w:tcPr>
          <w:p w14:paraId="54EAD7A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w:t>
            </w:r>
          </w:p>
        </w:tc>
      </w:tr>
      <w:tr w:rsidR="00D80693" w14:paraId="4898368B" w14:textId="77777777" w:rsidTr="00D72320">
        <w:trPr>
          <w:cantSplit/>
          <w:jc w:val="center"/>
        </w:trPr>
        <w:tc>
          <w:tcPr>
            <w:tcW w:w="1940" w:type="dxa"/>
            <w:vMerge/>
            <w:shd w:val="clear" w:color="auto" w:fill="FFFFFF"/>
          </w:tcPr>
          <w:p w14:paraId="28E57D80" w14:textId="77777777" w:rsidR="00D80693" w:rsidRPr="00F70FCF" w:rsidRDefault="00D80693" w:rsidP="001928FA">
            <w:pPr>
              <w:adjustRightInd w:val="0"/>
              <w:spacing w:before="120"/>
              <w:rPr>
                <w:rFonts w:eastAsia="Calibri"/>
                <w:color w:val="000000"/>
              </w:rPr>
            </w:pPr>
          </w:p>
        </w:tc>
        <w:tc>
          <w:tcPr>
            <w:tcW w:w="1746" w:type="dxa"/>
            <w:vMerge/>
            <w:shd w:val="clear" w:color="auto" w:fill="FFFFFF"/>
          </w:tcPr>
          <w:p w14:paraId="070C5EC3" w14:textId="77777777" w:rsidR="00D80693" w:rsidRPr="00F70FCF" w:rsidRDefault="00D80693" w:rsidP="001928FA">
            <w:pPr>
              <w:adjustRightInd w:val="0"/>
              <w:spacing w:before="120"/>
              <w:rPr>
                <w:rFonts w:eastAsia="Calibri"/>
                <w:color w:val="000000"/>
              </w:rPr>
            </w:pPr>
          </w:p>
        </w:tc>
        <w:tc>
          <w:tcPr>
            <w:tcW w:w="1134" w:type="dxa"/>
            <w:shd w:val="clear" w:color="auto" w:fill="FFFFFF"/>
            <w:vAlign w:val="center"/>
          </w:tcPr>
          <w:p w14:paraId="009C085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0,2%</w:t>
            </w:r>
          </w:p>
        </w:tc>
        <w:tc>
          <w:tcPr>
            <w:tcW w:w="922" w:type="dxa"/>
            <w:shd w:val="clear" w:color="auto" w:fill="FFFFFF"/>
            <w:vAlign w:val="center"/>
          </w:tcPr>
          <w:p w14:paraId="7CF9304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w:t>
            </w:r>
          </w:p>
        </w:tc>
        <w:tc>
          <w:tcPr>
            <w:tcW w:w="1204" w:type="dxa"/>
            <w:shd w:val="clear" w:color="auto" w:fill="FFFFFF"/>
            <w:vAlign w:val="center"/>
          </w:tcPr>
          <w:p w14:paraId="7EBEB80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w:t>
            </w:r>
          </w:p>
        </w:tc>
        <w:tc>
          <w:tcPr>
            <w:tcW w:w="1063" w:type="dxa"/>
            <w:shd w:val="clear" w:color="auto" w:fill="FFFFFF"/>
            <w:vAlign w:val="center"/>
          </w:tcPr>
          <w:p w14:paraId="75A63FC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w:t>
            </w:r>
          </w:p>
        </w:tc>
        <w:tc>
          <w:tcPr>
            <w:tcW w:w="851" w:type="dxa"/>
            <w:shd w:val="clear" w:color="auto" w:fill="FFFFFF"/>
            <w:vAlign w:val="center"/>
          </w:tcPr>
          <w:p w14:paraId="05E8A1E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0,2%</w:t>
            </w:r>
          </w:p>
        </w:tc>
      </w:tr>
      <w:tr w:rsidR="00D80693" w14:paraId="1D5150D1" w14:textId="77777777" w:rsidTr="00D72320">
        <w:trPr>
          <w:cantSplit/>
          <w:jc w:val="center"/>
        </w:trPr>
        <w:tc>
          <w:tcPr>
            <w:tcW w:w="1940" w:type="dxa"/>
            <w:vMerge/>
            <w:shd w:val="clear" w:color="auto" w:fill="FFFFFF"/>
          </w:tcPr>
          <w:p w14:paraId="1271569A" w14:textId="77777777" w:rsidR="00D80693" w:rsidRPr="00F70FCF" w:rsidRDefault="00D80693" w:rsidP="001928FA">
            <w:pPr>
              <w:adjustRightInd w:val="0"/>
              <w:spacing w:before="120"/>
              <w:rPr>
                <w:rFonts w:eastAsia="Calibri"/>
                <w:color w:val="000000"/>
              </w:rPr>
            </w:pPr>
          </w:p>
        </w:tc>
        <w:tc>
          <w:tcPr>
            <w:tcW w:w="1746" w:type="dxa"/>
            <w:vMerge w:val="restart"/>
            <w:shd w:val="clear" w:color="auto" w:fill="FFFFFF"/>
          </w:tcPr>
          <w:p w14:paraId="21141F33" w14:textId="77777777" w:rsidR="00D80693" w:rsidRPr="00F70FCF" w:rsidRDefault="00D80693" w:rsidP="001928FA">
            <w:pPr>
              <w:adjustRightInd w:val="0"/>
              <w:spacing w:before="120"/>
              <w:ind w:left="60" w:right="60"/>
              <w:rPr>
                <w:rFonts w:eastAsia="Calibri"/>
                <w:color w:val="000000"/>
              </w:rPr>
            </w:pPr>
          </w:p>
          <w:p w14:paraId="1BFDA56C"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Pas importants</w:t>
            </w:r>
          </w:p>
        </w:tc>
        <w:tc>
          <w:tcPr>
            <w:tcW w:w="1134" w:type="dxa"/>
            <w:shd w:val="clear" w:color="auto" w:fill="FFFFFF"/>
            <w:vAlign w:val="center"/>
          </w:tcPr>
          <w:p w14:paraId="6CBFD50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w:t>
            </w:r>
          </w:p>
        </w:tc>
        <w:tc>
          <w:tcPr>
            <w:tcW w:w="922" w:type="dxa"/>
            <w:shd w:val="clear" w:color="auto" w:fill="FFFFFF"/>
            <w:vAlign w:val="center"/>
          </w:tcPr>
          <w:p w14:paraId="165D7C7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w:t>
            </w:r>
          </w:p>
        </w:tc>
        <w:tc>
          <w:tcPr>
            <w:tcW w:w="1204" w:type="dxa"/>
            <w:shd w:val="clear" w:color="auto" w:fill="FFFFFF"/>
            <w:vAlign w:val="center"/>
          </w:tcPr>
          <w:p w14:paraId="1B7C96C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w:t>
            </w:r>
          </w:p>
        </w:tc>
        <w:tc>
          <w:tcPr>
            <w:tcW w:w="1063" w:type="dxa"/>
            <w:shd w:val="clear" w:color="auto" w:fill="FFFFFF"/>
            <w:vAlign w:val="center"/>
          </w:tcPr>
          <w:p w14:paraId="15B231C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w:t>
            </w:r>
          </w:p>
        </w:tc>
        <w:tc>
          <w:tcPr>
            <w:tcW w:w="851" w:type="dxa"/>
            <w:shd w:val="clear" w:color="auto" w:fill="FFFFFF"/>
            <w:vAlign w:val="center"/>
          </w:tcPr>
          <w:p w14:paraId="702D84E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w:t>
            </w:r>
          </w:p>
        </w:tc>
      </w:tr>
      <w:tr w:rsidR="00D80693" w14:paraId="1A505566" w14:textId="77777777" w:rsidTr="00D72320">
        <w:trPr>
          <w:cantSplit/>
          <w:jc w:val="center"/>
        </w:trPr>
        <w:tc>
          <w:tcPr>
            <w:tcW w:w="1940" w:type="dxa"/>
            <w:vMerge/>
            <w:shd w:val="clear" w:color="auto" w:fill="FFFFFF"/>
          </w:tcPr>
          <w:p w14:paraId="539617CC" w14:textId="77777777" w:rsidR="00D80693" w:rsidRPr="00F70FCF" w:rsidRDefault="00D80693" w:rsidP="001928FA">
            <w:pPr>
              <w:adjustRightInd w:val="0"/>
              <w:spacing w:before="120"/>
              <w:rPr>
                <w:rFonts w:eastAsia="Calibri"/>
                <w:color w:val="000000"/>
              </w:rPr>
            </w:pPr>
          </w:p>
        </w:tc>
        <w:tc>
          <w:tcPr>
            <w:tcW w:w="1746" w:type="dxa"/>
            <w:vMerge/>
            <w:shd w:val="clear" w:color="auto" w:fill="FFFFFF"/>
          </w:tcPr>
          <w:p w14:paraId="401BDDF4" w14:textId="77777777" w:rsidR="00D80693" w:rsidRPr="00F70FCF" w:rsidRDefault="00D80693" w:rsidP="001928FA">
            <w:pPr>
              <w:adjustRightInd w:val="0"/>
              <w:spacing w:before="120"/>
              <w:rPr>
                <w:rFonts w:eastAsia="Calibri"/>
                <w:color w:val="000000"/>
              </w:rPr>
            </w:pPr>
          </w:p>
        </w:tc>
        <w:tc>
          <w:tcPr>
            <w:tcW w:w="1134" w:type="dxa"/>
            <w:shd w:val="clear" w:color="auto" w:fill="FFFFFF"/>
            <w:vAlign w:val="center"/>
          </w:tcPr>
          <w:p w14:paraId="081EA24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0,2%</w:t>
            </w:r>
          </w:p>
        </w:tc>
        <w:tc>
          <w:tcPr>
            <w:tcW w:w="922" w:type="dxa"/>
            <w:shd w:val="clear" w:color="auto" w:fill="FFFFFF"/>
            <w:vAlign w:val="center"/>
          </w:tcPr>
          <w:p w14:paraId="1A43251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w:t>
            </w:r>
          </w:p>
        </w:tc>
        <w:tc>
          <w:tcPr>
            <w:tcW w:w="1204" w:type="dxa"/>
            <w:shd w:val="clear" w:color="auto" w:fill="FFFFFF"/>
            <w:vAlign w:val="center"/>
          </w:tcPr>
          <w:p w14:paraId="1CF3249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w:t>
            </w:r>
          </w:p>
        </w:tc>
        <w:tc>
          <w:tcPr>
            <w:tcW w:w="1063" w:type="dxa"/>
            <w:shd w:val="clear" w:color="auto" w:fill="FFFFFF"/>
            <w:vAlign w:val="center"/>
          </w:tcPr>
          <w:p w14:paraId="36CFC65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0,2%</w:t>
            </w:r>
          </w:p>
        </w:tc>
        <w:tc>
          <w:tcPr>
            <w:tcW w:w="851" w:type="dxa"/>
            <w:shd w:val="clear" w:color="auto" w:fill="FFFFFF"/>
            <w:vAlign w:val="center"/>
          </w:tcPr>
          <w:p w14:paraId="5BF9D43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w:t>
            </w:r>
          </w:p>
        </w:tc>
      </w:tr>
      <w:tr w:rsidR="00D80693" w14:paraId="4D618EB7" w14:textId="77777777" w:rsidTr="00D72320">
        <w:trPr>
          <w:cantSplit/>
          <w:jc w:val="center"/>
        </w:trPr>
        <w:tc>
          <w:tcPr>
            <w:tcW w:w="1940" w:type="dxa"/>
            <w:vMerge/>
            <w:shd w:val="clear" w:color="auto" w:fill="FFFFFF"/>
          </w:tcPr>
          <w:p w14:paraId="16E8DBBC" w14:textId="77777777" w:rsidR="00D80693" w:rsidRPr="00F70FCF" w:rsidRDefault="00D80693" w:rsidP="001928FA">
            <w:pPr>
              <w:adjustRightInd w:val="0"/>
              <w:spacing w:before="120"/>
              <w:rPr>
                <w:rFonts w:eastAsia="Calibri"/>
                <w:color w:val="000000"/>
              </w:rPr>
            </w:pPr>
          </w:p>
        </w:tc>
        <w:tc>
          <w:tcPr>
            <w:tcW w:w="1746" w:type="dxa"/>
            <w:vMerge w:val="restart"/>
            <w:shd w:val="clear" w:color="auto" w:fill="FFFFFF"/>
          </w:tcPr>
          <w:p w14:paraId="7E427F2E" w14:textId="77777777" w:rsidR="00D80693" w:rsidRPr="00F70FCF" w:rsidRDefault="00D80693" w:rsidP="001928FA">
            <w:pPr>
              <w:adjustRightInd w:val="0"/>
              <w:spacing w:before="120"/>
              <w:ind w:left="60" w:right="60"/>
              <w:rPr>
                <w:rFonts w:eastAsia="Calibri"/>
                <w:color w:val="000000"/>
              </w:rPr>
            </w:pPr>
          </w:p>
          <w:p w14:paraId="5815F747"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Importants</w:t>
            </w:r>
          </w:p>
        </w:tc>
        <w:tc>
          <w:tcPr>
            <w:tcW w:w="1134" w:type="dxa"/>
            <w:shd w:val="clear" w:color="auto" w:fill="FFFFFF"/>
            <w:vAlign w:val="center"/>
          </w:tcPr>
          <w:p w14:paraId="5DBC4A7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w:t>
            </w:r>
          </w:p>
        </w:tc>
        <w:tc>
          <w:tcPr>
            <w:tcW w:w="922" w:type="dxa"/>
            <w:shd w:val="clear" w:color="auto" w:fill="FFFFFF"/>
            <w:vAlign w:val="center"/>
          </w:tcPr>
          <w:p w14:paraId="1B8191B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30</w:t>
            </w:r>
          </w:p>
        </w:tc>
        <w:tc>
          <w:tcPr>
            <w:tcW w:w="1204" w:type="dxa"/>
            <w:shd w:val="clear" w:color="auto" w:fill="FFFFFF"/>
            <w:vAlign w:val="center"/>
          </w:tcPr>
          <w:p w14:paraId="54C1100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66</w:t>
            </w:r>
          </w:p>
        </w:tc>
        <w:tc>
          <w:tcPr>
            <w:tcW w:w="1063" w:type="dxa"/>
            <w:shd w:val="clear" w:color="auto" w:fill="FFFFFF"/>
            <w:vAlign w:val="center"/>
          </w:tcPr>
          <w:p w14:paraId="0D91770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21</w:t>
            </w:r>
          </w:p>
        </w:tc>
        <w:tc>
          <w:tcPr>
            <w:tcW w:w="851" w:type="dxa"/>
            <w:shd w:val="clear" w:color="auto" w:fill="FFFFFF"/>
            <w:vAlign w:val="center"/>
          </w:tcPr>
          <w:p w14:paraId="208FF2C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120</w:t>
            </w:r>
          </w:p>
        </w:tc>
      </w:tr>
      <w:tr w:rsidR="00D80693" w14:paraId="52FC01D3" w14:textId="77777777" w:rsidTr="00D72320">
        <w:trPr>
          <w:cantSplit/>
          <w:jc w:val="center"/>
        </w:trPr>
        <w:tc>
          <w:tcPr>
            <w:tcW w:w="1940" w:type="dxa"/>
            <w:vMerge/>
            <w:shd w:val="clear" w:color="auto" w:fill="FFFFFF"/>
          </w:tcPr>
          <w:p w14:paraId="32ACD4D4" w14:textId="77777777" w:rsidR="00D80693" w:rsidRPr="00F70FCF" w:rsidRDefault="00D80693" w:rsidP="001928FA">
            <w:pPr>
              <w:adjustRightInd w:val="0"/>
              <w:spacing w:before="120"/>
              <w:rPr>
                <w:rFonts w:eastAsia="Calibri"/>
                <w:color w:val="000000"/>
              </w:rPr>
            </w:pPr>
          </w:p>
        </w:tc>
        <w:tc>
          <w:tcPr>
            <w:tcW w:w="1746" w:type="dxa"/>
            <w:vMerge/>
            <w:shd w:val="clear" w:color="auto" w:fill="FFFFFF"/>
          </w:tcPr>
          <w:p w14:paraId="2B6D9465" w14:textId="77777777" w:rsidR="00D80693" w:rsidRPr="00F70FCF" w:rsidRDefault="00D80693" w:rsidP="001928FA">
            <w:pPr>
              <w:adjustRightInd w:val="0"/>
              <w:spacing w:before="120"/>
              <w:rPr>
                <w:rFonts w:eastAsia="Calibri"/>
                <w:color w:val="000000"/>
              </w:rPr>
            </w:pPr>
          </w:p>
        </w:tc>
        <w:tc>
          <w:tcPr>
            <w:tcW w:w="1134" w:type="dxa"/>
            <w:shd w:val="clear" w:color="auto" w:fill="FFFFFF"/>
            <w:vAlign w:val="center"/>
          </w:tcPr>
          <w:p w14:paraId="25E2B631"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0,6%</w:t>
            </w:r>
          </w:p>
        </w:tc>
        <w:tc>
          <w:tcPr>
            <w:tcW w:w="922" w:type="dxa"/>
            <w:shd w:val="clear" w:color="auto" w:fill="FFFFFF"/>
            <w:vAlign w:val="center"/>
          </w:tcPr>
          <w:p w14:paraId="057444E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6,0%</w:t>
            </w:r>
          </w:p>
        </w:tc>
        <w:tc>
          <w:tcPr>
            <w:tcW w:w="1204" w:type="dxa"/>
            <w:shd w:val="clear" w:color="auto" w:fill="FFFFFF"/>
            <w:vAlign w:val="center"/>
          </w:tcPr>
          <w:p w14:paraId="58850AB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13,2%</w:t>
            </w:r>
          </w:p>
        </w:tc>
        <w:tc>
          <w:tcPr>
            <w:tcW w:w="1063" w:type="dxa"/>
            <w:shd w:val="clear" w:color="auto" w:fill="FFFFFF"/>
            <w:vAlign w:val="center"/>
          </w:tcPr>
          <w:p w14:paraId="02FA024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4,2%</w:t>
            </w:r>
          </w:p>
        </w:tc>
        <w:tc>
          <w:tcPr>
            <w:tcW w:w="851" w:type="dxa"/>
            <w:shd w:val="clear" w:color="auto" w:fill="FFFFFF"/>
            <w:vAlign w:val="center"/>
          </w:tcPr>
          <w:p w14:paraId="4C361CC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24,0%</w:t>
            </w:r>
          </w:p>
        </w:tc>
      </w:tr>
      <w:tr w:rsidR="00D80693" w14:paraId="3FC147C7" w14:textId="77777777" w:rsidTr="00D72320">
        <w:trPr>
          <w:cantSplit/>
          <w:jc w:val="center"/>
        </w:trPr>
        <w:tc>
          <w:tcPr>
            <w:tcW w:w="1940" w:type="dxa"/>
            <w:vMerge/>
            <w:shd w:val="clear" w:color="auto" w:fill="FFFFFF"/>
          </w:tcPr>
          <w:p w14:paraId="28DED737" w14:textId="77777777" w:rsidR="00D80693" w:rsidRPr="00F70FCF" w:rsidRDefault="00D80693" w:rsidP="001928FA">
            <w:pPr>
              <w:adjustRightInd w:val="0"/>
              <w:spacing w:before="120"/>
              <w:rPr>
                <w:rFonts w:eastAsia="Calibri"/>
                <w:color w:val="000000"/>
              </w:rPr>
            </w:pPr>
          </w:p>
        </w:tc>
        <w:tc>
          <w:tcPr>
            <w:tcW w:w="1746" w:type="dxa"/>
            <w:vMerge w:val="restart"/>
            <w:shd w:val="clear" w:color="auto" w:fill="FFFFFF"/>
          </w:tcPr>
          <w:p w14:paraId="07F33179" w14:textId="77777777" w:rsidR="00D80693" w:rsidRPr="00F70FCF" w:rsidRDefault="00D80693" w:rsidP="001928FA">
            <w:pPr>
              <w:adjustRightInd w:val="0"/>
              <w:spacing w:before="120"/>
              <w:ind w:left="60" w:right="60"/>
              <w:rPr>
                <w:rFonts w:eastAsia="Calibri"/>
                <w:color w:val="000000"/>
              </w:rPr>
            </w:pPr>
          </w:p>
          <w:p w14:paraId="17BDB64B"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Très importants</w:t>
            </w:r>
          </w:p>
        </w:tc>
        <w:tc>
          <w:tcPr>
            <w:tcW w:w="1134" w:type="dxa"/>
            <w:shd w:val="clear" w:color="auto" w:fill="FFFFFF"/>
            <w:vAlign w:val="center"/>
          </w:tcPr>
          <w:p w14:paraId="64070BB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8</w:t>
            </w:r>
          </w:p>
        </w:tc>
        <w:tc>
          <w:tcPr>
            <w:tcW w:w="922" w:type="dxa"/>
            <w:shd w:val="clear" w:color="auto" w:fill="FFFFFF"/>
            <w:vAlign w:val="center"/>
          </w:tcPr>
          <w:p w14:paraId="7D59A60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63</w:t>
            </w:r>
          </w:p>
        </w:tc>
        <w:tc>
          <w:tcPr>
            <w:tcW w:w="1204" w:type="dxa"/>
            <w:shd w:val="clear" w:color="auto" w:fill="FFFFFF"/>
            <w:vAlign w:val="center"/>
          </w:tcPr>
          <w:p w14:paraId="7344258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191</w:t>
            </w:r>
          </w:p>
        </w:tc>
        <w:tc>
          <w:tcPr>
            <w:tcW w:w="1063" w:type="dxa"/>
            <w:shd w:val="clear" w:color="auto" w:fill="FFFFFF"/>
            <w:vAlign w:val="center"/>
          </w:tcPr>
          <w:p w14:paraId="185F852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103</w:t>
            </w:r>
          </w:p>
        </w:tc>
        <w:tc>
          <w:tcPr>
            <w:tcW w:w="851" w:type="dxa"/>
            <w:shd w:val="clear" w:color="auto" w:fill="FFFFFF"/>
            <w:vAlign w:val="center"/>
          </w:tcPr>
          <w:p w14:paraId="2384FBE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366</w:t>
            </w:r>
          </w:p>
        </w:tc>
      </w:tr>
      <w:tr w:rsidR="00D80693" w14:paraId="1EFAE5C8" w14:textId="77777777" w:rsidTr="00D72320">
        <w:trPr>
          <w:cantSplit/>
          <w:jc w:val="center"/>
        </w:trPr>
        <w:tc>
          <w:tcPr>
            <w:tcW w:w="1940" w:type="dxa"/>
            <w:vMerge/>
            <w:shd w:val="clear" w:color="auto" w:fill="FFFFFF"/>
          </w:tcPr>
          <w:p w14:paraId="74EB7C39" w14:textId="77777777" w:rsidR="00D80693" w:rsidRPr="00F70FCF" w:rsidRDefault="00D80693" w:rsidP="001928FA">
            <w:pPr>
              <w:adjustRightInd w:val="0"/>
              <w:spacing w:before="120"/>
              <w:rPr>
                <w:rFonts w:eastAsia="Calibri"/>
                <w:color w:val="000000"/>
              </w:rPr>
            </w:pPr>
          </w:p>
        </w:tc>
        <w:tc>
          <w:tcPr>
            <w:tcW w:w="1746" w:type="dxa"/>
            <w:vMerge/>
            <w:shd w:val="clear" w:color="auto" w:fill="FFFFFF"/>
          </w:tcPr>
          <w:p w14:paraId="09099C3C" w14:textId="77777777" w:rsidR="00D80693" w:rsidRPr="00F70FCF" w:rsidRDefault="00D80693" w:rsidP="001928FA">
            <w:pPr>
              <w:adjustRightInd w:val="0"/>
              <w:spacing w:before="120"/>
              <w:rPr>
                <w:rFonts w:eastAsia="Calibri"/>
                <w:color w:val="000000"/>
              </w:rPr>
            </w:pPr>
          </w:p>
        </w:tc>
        <w:tc>
          <w:tcPr>
            <w:tcW w:w="1134" w:type="dxa"/>
            <w:shd w:val="clear" w:color="auto" w:fill="FFFFFF"/>
            <w:vAlign w:val="center"/>
          </w:tcPr>
          <w:p w14:paraId="50BB514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1,6%</w:t>
            </w:r>
          </w:p>
        </w:tc>
        <w:tc>
          <w:tcPr>
            <w:tcW w:w="922" w:type="dxa"/>
            <w:shd w:val="clear" w:color="auto" w:fill="FFFFFF"/>
            <w:vAlign w:val="center"/>
          </w:tcPr>
          <w:p w14:paraId="3D2A2CC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12,6%</w:t>
            </w:r>
          </w:p>
        </w:tc>
        <w:tc>
          <w:tcPr>
            <w:tcW w:w="1204" w:type="dxa"/>
            <w:shd w:val="clear" w:color="auto" w:fill="FFFFFF"/>
            <w:vAlign w:val="center"/>
          </w:tcPr>
          <w:p w14:paraId="1605485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38,2%</w:t>
            </w:r>
          </w:p>
        </w:tc>
        <w:tc>
          <w:tcPr>
            <w:tcW w:w="1063" w:type="dxa"/>
            <w:shd w:val="clear" w:color="auto" w:fill="FFFFFF"/>
            <w:vAlign w:val="center"/>
          </w:tcPr>
          <w:p w14:paraId="63B49D8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20,6%</w:t>
            </w:r>
          </w:p>
        </w:tc>
        <w:tc>
          <w:tcPr>
            <w:tcW w:w="851" w:type="dxa"/>
            <w:shd w:val="clear" w:color="auto" w:fill="FFFFFF"/>
            <w:vAlign w:val="center"/>
          </w:tcPr>
          <w:p w14:paraId="230C03C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73,2%</w:t>
            </w:r>
          </w:p>
        </w:tc>
      </w:tr>
      <w:tr w:rsidR="00D80693" w14:paraId="371230E2" w14:textId="77777777" w:rsidTr="00D72320">
        <w:trPr>
          <w:cantSplit/>
          <w:jc w:val="center"/>
        </w:trPr>
        <w:tc>
          <w:tcPr>
            <w:tcW w:w="3686" w:type="dxa"/>
            <w:gridSpan w:val="2"/>
            <w:vMerge w:val="restart"/>
            <w:shd w:val="clear" w:color="auto" w:fill="FFFFFF"/>
          </w:tcPr>
          <w:p w14:paraId="1A4DEB5F" w14:textId="77777777" w:rsidR="00D80693" w:rsidRPr="00F70FCF" w:rsidRDefault="00D80693" w:rsidP="001928FA">
            <w:pPr>
              <w:adjustRightInd w:val="0"/>
              <w:spacing w:before="120"/>
              <w:ind w:left="60" w:right="60"/>
              <w:jc w:val="center"/>
              <w:rPr>
                <w:rFonts w:eastAsia="Calibri"/>
                <w:color w:val="000000"/>
              </w:rPr>
            </w:pPr>
          </w:p>
          <w:p w14:paraId="3A4B5A7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Total</w:t>
            </w:r>
          </w:p>
        </w:tc>
        <w:tc>
          <w:tcPr>
            <w:tcW w:w="1134" w:type="dxa"/>
            <w:shd w:val="clear" w:color="auto" w:fill="FFFFFF"/>
            <w:vAlign w:val="center"/>
          </w:tcPr>
          <w:p w14:paraId="77D9DDC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w:t>
            </w:r>
          </w:p>
        </w:tc>
        <w:tc>
          <w:tcPr>
            <w:tcW w:w="922" w:type="dxa"/>
            <w:shd w:val="clear" w:color="auto" w:fill="FFFFFF"/>
            <w:vAlign w:val="center"/>
          </w:tcPr>
          <w:p w14:paraId="7C1EA3C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99</w:t>
            </w:r>
          </w:p>
        </w:tc>
        <w:tc>
          <w:tcPr>
            <w:tcW w:w="1204" w:type="dxa"/>
            <w:shd w:val="clear" w:color="auto" w:fill="FFFFFF"/>
            <w:vAlign w:val="center"/>
          </w:tcPr>
          <w:p w14:paraId="3E7E5DB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262</w:t>
            </w:r>
          </w:p>
        </w:tc>
        <w:tc>
          <w:tcPr>
            <w:tcW w:w="1063" w:type="dxa"/>
            <w:shd w:val="clear" w:color="auto" w:fill="FFFFFF"/>
            <w:vAlign w:val="center"/>
          </w:tcPr>
          <w:p w14:paraId="10DE0D8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125</w:t>
            </w:r>
          </w:p>
        </w:tc>
        <w:tc>
          <w:tcPr>
            <w:tcW w:w="851" w:type="dxa"/>
            <w:shd w:val="clear" w:color="auto" w:fill="FFFFFF"/>
            <w:vAlign w:val="center"/>
          </w:tcPr>
          <w:p w14:paraId="31B99191"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500</w:t>
            </w:r>
          </w:p>
        </w:tc>
      </w:tr>
      <w:tr w:rsidR="00D80693" w14:paraId="5136BCFF" w14:textId="77777777" w:rsidTr="00D72320">
        <w:trPr>
          <w:cantSplit/>
          <w:jc w:val="center"/>
        </w:trPr>
        <w:tc>
          <w:tcPr>
            <w:tcW w:w="3686" w:type="dxa"/>
            <w:gridSpan w:val="2"/>
            <w:vMerge/>
            <w:shd w:val="clear" w:color="auto" w:fill="FFFFFF"/>
          </w:tcPr>
          <w:p w14:paraId="4FEA1356" w14:textId="77777777" w:rsidR="00D80693" w:rsidRPr="00F70FCF" w:rsidRDefault="00D80693" w:rsidP="001928FA">
            <w:pPr>
              <w:adjustRightInd w:val="0"/>
              <w:spacing w:before="120"/>
              <w:rPr>
                <w:rFonts w:eastAsia="Calibri"/>
                <w:color w:val="000000"/>
              </w:rPr>
            </w:pPr>
          </w:p>
        </w:tc>
        <w:tc>
          <w:tcPr>
            <w:tcW w:w="1134" w:type="dxa"/>
            <w:shd w:val="clear" w:color="auto" w:fill="FFFFFF"/>
            <w:vAlign w:val="center"/>
          </w:tcPr>
          <w:p w14:paraId="61F49DC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w:t>
            </w:r>
          </w:p>
        </w:tc>
        <w:tc>
          <w:tcPr>
            <w:tcW w:w="922" w:type="dxa"/>
            <w:shd w:val="clear" w:color="auto" w:fill="FFFFFF"/>
            <w:vAlign w:val="center"/>
          </w:tcPr>
          <w:p w14:paraId="0056162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19,8%</w:t>
            </w:r>
          </w:p>
        </w:tc>
        <w:tc>
          <w:tcPr>
            <w:tcW w:w="1204" w:type="dxa"/>
            <w:shd w:val="clear" w:color="auto" w:fill="FFFFFF"/>
            <w:vAlign w:val="center"/>
          </w:tcPr>
          <w:p w14:paraId="019D238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52,4%</w:t>
            </w:r>
          </w:p>
        </w:tc>
        <w:tc>
          <w:tcPr>
            <w:tcW w:w="1063" w:type="dxa"/>
            <w:shd w:val="clear" w:color="auto" w:fill="FFFFFF"/>
            <w:vAlign w:val="center"/>
          </w:tcPr>
          <w:p w14:paraId="046986F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25,0%</w:t>
            </w:r>
          </w:p>
        </w:tc>
        <w:tc>
          <w:tcPr>
            <w:tcW w:w="851" w:type="dxa"/>
            <w:shd w:val="clear" w:color="auto" w:fill="FFFFFF"/>
            <w:vAlign w:val="center"/>
          </w:tcPr>
          <w:p w14:paraId="5F6C1A3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r>
    </w:tbl>
    <w:p w14:paraId="3BFD56A2" w14:textId="77777777" w:rsidR="00D80693" w:rsidRPr="008240D2" w:rsidRDefault="00D80693" w:rsidP="001928FA">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00F15015" w14:textId="77777777" w:rsidR="00D80693" w:rsidRPr="00BB1B5D" w:rsidRDefault="00D80693" w:rsidP="001928FA">
      <w:pPr>
        <w:adjustRightInd w:val="0"/>
        <w:spacing w:before="120"/>
        <w:rPr>
          <w:rFonts w:eastAsia="Calibri"/>
          <w:sz w:val="2"/>
          <w:szCs w:val="2"/>
        </w:rPr>
      </w:pPr>
    </w:p>
    <w:p w14:paraId="4499F731" w14:textId="77777777" w:rsidR="00D80693" w:rsidRDefault="00D80693" w:rsidP="00F429F0">
      <w:pPr>
        <w:spacing w:before="120"/>
        <w:jc w:val="both"/>
        <w:rPr>
          <w:sz w:val="24"/>
          <w:szCs w:val="24"/>
        </w:rPr>
      </w:pPr>
      <w:r w:rsidRPr="00AB437E">
        <w:rPr>
          <w:rFonts w:cstheme="minorBidi"/>
          <w:sz w:val="24"/>
          <w:szCs w:val="24"/>
        </w:rPr>
        <w:t>Au regard du tableau</w:t>
      </w:r>
      <w:r>
        <w:rPr>
          <w:rFonts w:cstheme="minorBidi"/>
          <w:sz w:val="24"/>
          <w:szCs w:val="24"/>
        </w:rPr>
        <w:t xml:space="preserve"> croisé</w:t>
      </w:r>
      <w:r w:rsidRPr="00AB437E">
        <w:rPr>
          <w:rFonts w:cstheme="minorBidi"/>
          <w:sz w:val="24"/>
          <w:szCs w:val="24"/>
        </w:rPr>
        <w:t xml:space="preserve"> précédent, nous notons que plus les apprenants ont une perception favorable de l’importance des exercices pour la compréhension des cours, plus ceux-ci sont enclins à </w:t>
      </w:r>
      <w:proofErr w:type="gramStart"/>
      <w:r w:rsidRPr="00AB437E">
        <w:rPr>
          <w:rFonts w:cstheme="minorBidi"/>
          <w:sz w:val="24"/>
          <w:szCs w:val="24"/>
        </w:rPr>
        <w:t>faire</w:t>
      </w:r>
      <w:proofErr w:type="gramEnd"/>
      <w:r w:rsidRPr="00AB437E">
        <w:rPr>
          <w:rFonts w:cstheme="minorBidi"/>
          <w:sz w:val="24"/>
          <w:szCs w:val="24"/>
        </w:rPr>
        <w:t xml:space="preserve"> les exercices qui leur sont proposés.</w:t>
      </w:r>
      <w:r>
        <w:rPr>
          <w:rFonts w:cstheme="minorBidi"/>
          <w:sz w:val="24"/>
          <w:szCs w:val="24"/>
        </w:rPr>
        <w:t xml:space="preserve"> En effet, sur l’ensemble des apprenants qui </w:t>
      </w:r>
      <w:proofErr w:type="gramStart"/>
      <w:r>
        <w:rPr>
          <w:rFonts w:cstheme="minorBidi"/>
          <w:sz w:val="24"/>
          <w:szCs w:val="24"/>
        </w:rPr>
        <w:t>font</w:t>
      </w:r>
      <w:proofErr w:type="gramEnd"/>
      <w:r>
        <w:rPr>
          <w:rFonts w:cstheme="minorBidi"/>
          <w:sz w:val="24"/>
          <w:szCs w:val="24"/>
        </w:rPr>
        <w:t xml:space="preserve"> souvent les exercices, la moitié sont ceux qui les jugent importants ou très importants. Également, la quasi-totalité des apprenants qui </w:t>
      </w:r>
      <w:proofErr w:type="gramStart"/>
      <w:r>
        <w:rPr>
          <w:rFonts w:cstheme="minorBidi"/>
          <w:sz w:val="24"/>
          <w:szCs w:val="24"/>
        </w:rPr>
        <w:t>font</w:t>
      </w:r>
      <w:proofErr w:type="gramEnd"/>
      <w:r>
        <w:rPr>
          <w:rFonts w:cstheme="minorBidi"/>
          <w:sz w:val="24"/>
          <w:szCs w:val="24"/>
        </w:rPr>
        <w:t xml:space="preserve"> toujours les exercices, sont ceux qui les jugent importants ou très importants. Ainsi, on pourrait en déduire que la perception de l’importance des exercices incline davantage les apprenants à les traiter. Cette conclusion est confirmée par les tests suivants.</w:t>
      </w:r>
    </w:p>
    <w:p w14:paraId="61ACEA2B" w14:textId="77777777" w:rsidR="00D80693" w:rsidRPr="00AB437E" w:rsidRDefault="00D80693" w:rsidP="001928FA">
      <w:pPr>
        <w:spacing w:before="120"/>
        <w:jc w:val="both"/>
        <w:rPr>
          <w:color w:val="000000"/>
          <w:sz w:val="12"/>
          <w:szCs w:val="12"/>
        </w:rPr>
      </w:pPr>
    </w:p>
    <w:p w14:paraId="41A050FB" w14:textId="77777777" w:rsidR="00D80693" w:rsidRPr="001F3123" w:rsidRDefault="00D80693" w:rsidP="001928FA">
      <w:pPr>
        <w:adjustRightInd w:val="0"/>
        <w:spacing w:before="120"/>
        <w:ind w:left="2694" w:hanging="1418"/>
        <w:jc w:val="center"/>
        <w:rPr>
          <w:rFonts w:eastAsia="Calibri"/>
          <w:b/>
          <w:bCs/>
          <w:i/>
          <w:iCs/>
        </w:rPr>
      </w:pPr>
      <w:r w:rsidRPr="001F3123">
        <w:rPr>
          <w:rFonts w:eastAsia="Calibri"/>
          <w:b/>
          <w:bCs/>
          <w:i/>
          <w:iCs/>
        </w:rPr>
        <w:t>Tableau n°</w:t>
      </w:r>
      <w:r>
        <w:rPr>
          <w:rFonts w:eastAsia="Calibri"/>
          <w:b/>
          <w:bCs/>
          <w:i/>
          <w:iCs/>
        </w:rPr>
        <w:t>8</w:t>
      </w:r>
      <w:r w:rsidRPr="001F3123">
        <w:rPr>
          <w:rFonts w:eastAsia="Calibri"/>
          <w:b/>
          <w:bCs/>
          <w:i/>
          <w:iCs/>
        </w:rPr>
        <w:t> : Test Khi-deux</w:t>
      </w:r>
    </w:p>
    <w:tbl>
      <w:tblPr>
        <w:tblW w:w="70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57"/>
        <w:gridCol w:w="1030"/>
        <w:gridCol w:w="759"/>
        <w:gridCol w:w="1837"/>
      </w:tblGrid>
      <w:tr w:rsidR="00D80693" w14:paraId="3EA09BDA" w14:textId="77777777" w:rsidTr="00D72320">
        <w:trPr>
          <w:cantSplit/>
          <w:jc w:val="center"/>
        </w:trPr>
        <w:tc>
          <w:tcPr>
            <w:tcW w:w="3457" w:type="dxa"/>
            <w:tcBorders>
              <w:top w:val="single" w:sz="4" w:space="0" w:color="auto"/>
              <w:left w:val="single" w:sz="4" w:space="0" w:color="auto"/>
              <w:bottom w:val="single" w:sz="4" w:space="0" w:color="auto"/>
              <w:right w:val="single" w:sz="4" w:space="0" w:color="auto"/>
            </w:tcBorders>
            <w:shd w:val="clear" w:color="auto" w:fill="FFFFFF"/>
            <w:vAlign w:val="bottom"/>
          </w:tcPr>
          <w:p w14:paraId="3E4F9376" w14:textId="77777777" w:rsidR="00D80693" w:rsidRPr="00553F55" w:rsidRDefault="00D80693" w:rsidP="001928FA">
            <w:pPr>
              <w:adjustRightInd w:val="0"/>
              <w:spacing w:before="120"/>
              <w:rPr>
                <w:rFonts w:eastAsia="Calibri"/>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0DD8ED63"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Valeur</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bottom"/>
          </w:tcPr>
          <w:p w14:paraId="5617A86F" w14:textId="77777777" w:rsidR="00D80693" w:rsidRPr="00553F55" w:rsidRDefault="00D80693" w:rsidP="001928FA">
            <w:pPr>
              <w:adjustRightInd w:val="0"/>
              <w:spacing w:before="120"/>
              <w:ind w:left="60" w:right="60"/>
              <w:jc w:val="center"/>
              <w:rPr>
                <w:rFonts w:eastAsia="Calibri"/>
                <w:color w:val="000000"/>
              </w:rPr>
            </w:pPr>
            <w:proofErr w:type="gramStart"/>
            <w:r w:rsidRPr="00553F55">
              <w:rPr>
                <w:rFonts w:eastAsia="Calibri"/>
                <w:color w:val="000000"/>
              </w:rPr>
              <w:t>ddl</w:t>
            </w:r>
            <w:proofErr w:type="gramEnd"/>
          </w:p>
        </w:tc>
        <w:tc>
          <w:tcPr>
            <w:tcW w:w="1837" w:type="dxa"/>
            <w:tcBorders>
              <w:top w:val="single" w:sz="4" w:space="0" w:color="auto"/>
              <w:left w:val="single" w:sz="4" w:space="0" w:color="auto"/>
              <w:bottom w:val="single" w:sz="4" w:space="0" w:color="auto"/>
              <w:right w:val="single" w:sz="4" w:space="0" w:color="auto"/>
            </w:tcBorders>
            <w:shd w:val="clear" w:color="auto" w:fill="FFFFFF"/>
            <w:vAlign w:val="bottom"/>
          </w:tcPr>
          <w:p w14:paraId="64A59060" w14:textId="77777777" w:rsidR="00D80693" w:rsidRPr="00553F55" w:rsidRDefault="00D80693" w:rsidP="001928FA">
            <w:pPr>
              <w:adjustRightInd w:val="0"/>
              <w:spacing w:before="120"/>
              <w:ind w:left="60" w:right="60"/>
              <w:jc w:val="center"/>
              <w:rPr>
                <w:rFonts w:eastAsia="Calibri"/>
                <w:color w:val="000000"/>
              </w:rPr>
            </w:pPr>
            <w:proofErr w:type="spellStart"/>
            <w:r w:rsidRPr="00553F55">
              <w:rPr>
                <w:rFonts w:eastAsia="Calibri"/>
                <w:color w:val="000000"/>
              </w:rPr>
              <w:t>Sig</w:t>
            </w:r>
            <w:proofErr w:type="spellEnd"/>
            <w:r w:rsidRPr="00553F55">
              <w:rPr>
                <w:rFonts w:eastAsia="Calibri"/>
                <w:color w:val="000000"/>
              </w:rPr>
              <w:t xml:space="preserve">. </w:t>
            </w:r>
            <w:proofErr w:type="gramStart"/>
            <w:r w:rsidRPr="00553F55">
              <w:rPr>
                <w:rFonts w:eastAsia="Calibri"/>
                <w:color w:val="000000"/>
              </w:rPr>
              <w:t>approx</w:t>
            </w:r>
            <w:proofErr w:type="gramEnd"/>
            <w:r w:rsidRPr="00553F55">
              <w:rPr>
                <w:rFonts w:eastAsia="Calibri"/>
                <w:color w:val="000000"/>
              </w:rPr>
              <w:t>. (</w:t>
            </w:r>
            <w:proofErr w:type="gramStart"/>
            <w:r w:rsidRPr="00553F55">
              <w:rPr>
                <w:rFonts w:eastAsia="Calibri"/>
                <w:color w:val="000000"/>
              </w:rPr>
              <w:t>bilatérale</w:t>
            </w:r>
            <w:proofErr w:type="gramEnd"/>
            <w:r w:rsidRPr="00553F55">
              <w:rPr>
                <w:rFonts w:eastAsia="Calibri"/>
                <w:color w:val="000000"/>
              </w:rPr>
              <w:t>)</w:t>
            </w:r>
          </w:p>
        </w:tc>
      </w:tr>
      <w:tr w:rsidR="00D80693" w14:paraId="7B676985" w14:textId="77777777" w:rsidTr="00D72320">
        <w:trPr>
          <w:cantSplit/>
          <w:jc w:val="center"/>
        </w:trPr>
        <w:tc>
          <w:tcPr>
            <w:tcW w:w="3457" w:type="dxa"/>
            <w:tcBorders>
              <w:top w:val="single" w:sz="4" w:space="0" w:color="auto"/>
              <w:left w:val="single" w:sz="4" w:space="0" w:color="auto"/>
              <w:bottom w:val="nil"/>
              <w:right w:val="single" w:sz="4" w:space="0" w:color="auto"/>
            </w:tcBorders>
            <w:shd w:val="clear" w:color="auto" w:fill="FFFFFF"/>
          </w:tcPr>
          <w:p w14:paraId="3287C008" w14:textId="77777777" w:rsidR="00D80693" w:rsidRPr="00553F55" w:rsidRDefault="00D80693" w:rsidP="001928FA">
            <w:pPr>
              <w:adjustRightInd w:val="0"/>
              <w:spacing w:before="120"/>
              <w:ind w:left="60" w:right="60"/>
              <w:rPr>
                <w:rFonts w:eastAsia="Calibri"/>
                <w:color w:val="000000"/>
              </w:rPr>
            </w:pPr>
            <w:proofErr w:type="gramStart"/>
            <w:r w:rsidRPr="00553F55">
              <w:rPr>
                <w:rFonts w:eastAsia="Calibri"/>
                <w:color w:val="000000"/>
              </w:rPr>
              <w:t>khi</w:t>
            </w:r>
            <w:proofErr w:type="gramEnd"/>
            <w:r w:rsidRPr="00553F55">
              <w:rPr>
                <w:rFonts w:eastAsia="Calibri"/>
                <w:color w:val="000000"/>
              </w:rPr>
              <w:t>-deux de Pearson</w:t>
            </w:r>
          </w:p>
        </w:tc>
        <w:tc>
          <w:tcPr>
            <w:tcW w:w="1030" w:type="dxa"/>
            <w:tcBorders>
              <w:top w:val="single" w:sz="4" w:space="0" w:color="auto"/>
              <w:left w:val="single" w:sz="4" w:space="0" w:color="auto"/>
              <w:bottom w:val="nil"/>
              <w:right w:val="single" w:sz="4" w:space="0" w:color="auto"/>
            </w:tcBorders>
            <w:shd w:val="clear" w:color="auto" w:fill="FFFFFF"/>
            <w:vAlign w:val="center"/>
          </w:tcPr>
          <w:p w14:paraId="1CDEB179" w14:textId="77777777" w:rsidR="00D80693" w:rsidRPr="00553F55" w:rsidRDefault="00D80693" w:rsidP="001928FA">
            <w:pPr>
              <w:adjustRightInd w:val="0"/>
              <w:spacing w:before="120"/>
              <w:ind w:left="60" w:right="60"/>
              <w:jc w:val="right"/>
              <w:rPr>
                <w:rFonts w:eastAsia="Calibri"/>
                <w:color w:val="000000"/>
              </w:rPr>
            </w:pPr>
            <w:r w:rsidRPr="00553F55">
              <w:rPr>
                <w:rFonts w:eastAsia="Calibri"/>
                <w:color w:val="000000"/>
              </w:rPr>
              <w:t>53,147</w:t>
            </w:r>
            <w:r w:rsidRPr="00553F55">
              <w:rPr>
                <w:rFonts w:eastAsia="Calibri"/>
                <w:color w:val="000000"/>
                <w:vertAlign w:val="superscript"/>
              </w:rPr>
              <w:t>a</w:t>
            </w:r>
          </w:p>
        </w:tc>
        <w:tc>
          <w:tcPr>
            <w:tcW w:w="759" w:type="dxa"/>
            <w:tcBorders>
              <w:top w:val="single" w:sz="4" w:space="0" w:color="auto"/>
              <w:left w:val="single" w:sz="4" w:space="0" w:color="auto"/>
              <w:bottom w:val="nil"/>
              <w:right w:val="single" w:sz="4" w:space="0" w:color="auto"/>
            </w:tcBorders>
            <w:shd w:val="clear" w:color="auto" w:fill="FFFFFF"/>
            <w:vAlign w:val="center"/>
          </w:tcPr>
          <w:p w14:paraId="264B3C23"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12</w:t>
            </w:r>
          </w:p>
        </w:tc>
        <w:tc>
          <w:tcPr>
            <w:tcW w:w="1837" w:type="dxa"/>
            <w:tcBorders>
              <w:top w:val="single" w:sz="4" w:space="0" w:color="auto"/>
              <w:left w:val="single" w:sz="4" w:space="0" w:color="auto"/>
              <w:bottom w:val="nil"/>
              <w:right w:val="single" w:sz="4" w:space="0" w:color="auto"/>
            </w:tcBorders>
            <w:shd w:val="clear" w:color="auto" w:fill="FFFFFF"/>
            <w:vAlign w:val="center"/>
          </w:tcPr>
          <w:p w14:paraId="2F4EC1A3"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,000</w:t>
            </w:r>
          </w:p>
        </w:tc>
      </w:tr>
      <w:tr w:rsidR="00D80693" w14:paraId="418D0215" w14:textId="77777777" w:rsidTr="00D72320">
        <w:trPr>
          <w:cantSplit/>
          <w:jc w:val="center"/>
        </w:trPr>
        <w:tc>
          <w:tcPr>
            <w:tcW w:w="3457" w:type="dxa"/>
            <w:tcBorders>
              <w:top w:val="nil"/>
              <w:left w:val="single" w:sz="4" w:space="0" w:color="auto"/>
              <w:bottom w:val="nil"/>
              <w:right w:val="single" w:sz="4" w:space="0" w:color="auto"/>
            </w:tcBorders>
            <w:shd w:val="clear" w:color="auto" w:fill="FFFFFF"/>
          </w:tcPr>
          <w:p w14:paraId="49481551" w14:textId="77777777" w:rsidR="00D80693" w:rsidRPr="00553F55" w:rsidRDefault="00D80693" w:rsidP="001928FA">
            <w:pPr>
              <w:adjustRightInd w:val="0"/>
              <w:spacing w:before="120"/>
              <w:ind w:left="60" w:right="60"/>
              <w:rPr>
                <w:rFonts w:eastAsia="Calibri"/>
                <w:color w:val="000000"/>
              </w:rPr>
            </w:pPr>
            <w:r w:rsidRPr="00553F55">
              <w:rPr>
                <w:rFonts w:eastAsia="Calibri"/>
                <w:color w:val="000000"/>
              </w:rPr>
              <w:t>Rapport de vraisemblance</w:t>
            </w:r>
          </w:p>
        </w:tc>
        <w:tc>
          <w:tcPr>
            <w:tcW w:w="1030" w:type="dxa"/>
            <w:tcBorders>
              <w:top w:val="nil"/>
              <w:left w:val="single" w:sz="4" w:space="0" w:color="auto"/>
              <w:bottom w:val="nil"/>
              <w:right w:val="single" w:sz="4" w:space="0" w:color="auto"/>
            </w:tcBorders>
            <w:shd w:val="clear" w:color="auto" w:fill="FFFFFF"/>
            <w:vAlign w:val="center"/>
          </w:tcPr>
          <w:p w14:paraId="6D66A3F5" w14:textId="77777777" w:rsidR="00D80693" w:rsidRPr="00553F55" w:rsidRDefault="00D80693" w:rsidP="001928FA">
            <w:pPr>
              <w:adjustRightInd w:val="0"/>
              <w:spacing w:before="120"/>
              <w:ind w:left="60" w:right="60"/>
              <w:jc w:val="right"/>
              <w:rPr>
                <w:rFonts w:eastAsia="Calibri"/>
                <w:color w:val="000000"/>
              </w:rPr>
            </w:pPr>
            <w:r w:rsidRPr="00553F55">
              <w:rPr>
                <w:rFonts w:eastAsia="Calibri"/>
                <w:color w:val="000000"/>
              </w:rPr>
              <w:t>22,372</w:t>
            </w:r>
          </w:p>
        </w:tc>
        <w:tc>
          <w:tcPr>
            <w:tcW w:w="759" w:type="dxa"/>
            <w:tcBorders>
              <w:top w:val="nil"/>
              <w:left w:val="single" w:sz="4" w:space="0" w:color="auto"/>
              <w:bottom w:val="nil"/>
              <w:right w:val="single" w:sz="4" w:space="0" w:color="auto"/>
            </w:tcBorders>
            <w:shd w:val="clear" w:color="auto" w:fill="FFFFFF"/>
            <w:vAlign w:val="center"/>
          </w:tcPr>
          <w:p w14:paraId="15ACDE8D"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12</w:t>
            </w:r>
          </w:p>
        </w:tc>
        <w:tc>
          <w:tcPr>
            <w:tcW w:w="1837" w:type="dxa"/>
            <w:tcBorders>
              <w:top w:val="nil"/>
              <w:left w:val="single" w:sz="4" w:space="0" w:color="auto"/>
              <w:bottom w:val="nil"/>
              <w:right w:val="single" w:sz="4" w:space="0" w:color="auto"/>
            </w:tcBorders>
            <w:shd w:val="clear" w:color="auto" w:fill="FFFFFF"/>
            <w:vAlign w:val="center"/>
          </w:tcPr>
          <w:p w14:paraId="23E2741B"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,034</w:t>
            </w:r>
          </w:p>
        </w:tc>
      </w:tr>
      <w:tr w:rsidR="00D80693" w14:paraId="447F6622" w14:textId="77777777" w:rsidTr="00D72320">
        <w:trPr>
          <w:cantSplit/>
          <w:jc w:val="center"/>
        </w:trPr>
        <w:tc>
          <w:tcPr>
            <w:tcW w:w="3457" w:type="dxa"/>
            <w:tcBorders>
              <w:top w:val="nil"/>
              <w:left w:val="single" w:sz="4" w:space="0" w:color="auto"/>
              <w:bottom w:val="nil"/>
              <w:right w:val="single" w:sz="4" w:space="0" w:color="auto"/>
            </w:tcBorders>
            <w:shd w:val="clear" w:color="auto" w:fill="FFFFFF"/>
          </w:tcPr>
          <w:p w14:paraId="5995A40A" w14:textId="77777777" w:rsidR="00D80693" w:rsidRPr="00553F55" w:rsidRDefault="00D80693" w:rsidP="001928FA">
            <w:pPr>
              <w:adjustRightInd w:val="0"/>
              <w:spacing w:before="120"/>
              <w:ind w:left="60" w:right="60"/>
              <w:rPr>
                <w:rFonts w:eastAsia="Calibri"/>
                <w:color w:val="000000"/>
              </w:rPr>
            </w:pPr>
            <w:r w:rsidRPr="00553F55">
              <w:rPr>
                <w:rFonts w:eastAsia="Calibri"/>
                <w:color w:val="000000"/>
              </w:rPr>
              <w:t>Association linéaire par linéaire</w:t>
            </w:r>
          </w:p>
        </w:tc>
        <w:tc>
          <w:tcPr>
            <w:tcW w:w="1030" w:type="dxa"/>
            <w:tcBorders>
              <w:top w:val="nil"/>
              <w:left w:val="single" w:sz="4" w:space="0" w:color="auto"/>
              <w:bottom w:val="nil"/>
              <w:right w:val="single" w:sz="4" w:space="0" w:color="auto"/>
            </w:tcBorders>
            <w:shd w:val="clear" w:color="auto" w:fill="FFFFFF"/>
            <w:vAlign w:val="center"/>
          </w:tcPr>
          <w:p w14:paraId="5CC2E740" w14:textId="77777777" w:rsidR="00D80693" w:rsidRPr="00553F55" w:rsidRDefault="00D80693" w:rsidP="001928FA">
            <w:pPr>
              <w:adjustRightInd w:val="0"/>
              <w:spacing w:before="120"/>
              <w:ind w:left="60" w:right="60"/>
              <w:jc w:val="right"/>
              <w:rPr>
                <w:rFonts w:eastAsia="Calibri"/>
                <w:color w:val="000000"/>
              </w:rPr>
            </w:pPr>
            <w:r w:rsidRPr="00553F55">
              <w:rPr>
                <w:rFonts w:eastAsia="Calibri"/>
                <w:color w:val="000000"/>
              </w:rPr>
              <w:t>1,560</w:t>
            </w:r>
          </w:p>
        </w:tc>
        <w:tc>
          <w:tcPr>
            <w:tcW w:w="759" w:type="dxa"/>
            <w:tcBorders>
              <w:top w:val="nil"/>
              <w:left w:val="single" w:sz="4" w:space="0" w:color="auto"/>
              <w:bottom w:val="nil"/>
              <w:right w:val="single" w:sz="4" w:space="0" w:color="auto"/>
            </w:tcBorders>
            <w:shd w:val="clear" w:color="auto" w:fill="FFFFFF"/>
            <w:vAlign w:val="center"/>
          </w:tcPr>
          <w:p w14:paraId="3C2E775D"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1</w:t>
            </w:r>
          </w:p>
        </w:tc>
        <w:tc>
          <w:tcPr>
            <w:tcW w:w="1837" w:type="dxa"/>
            <w:tcBorders>
              <w:top w:val="nil"/>
              <w:left w:val="single" w:sz="4" w:space="0" w:color="auto"/>
              <w:bottom w:val="nil"/>
              <w:right w:val="single" w:sz="4" w:space="0" w:color="auto"/>
            </w:tcBorders>
            <w:shd w:val="clear" w:color="auto" w:fill="FFFFFF"/>
            <w:vAlign w:val="center"/>
          </w:tcPr>
          <w:p w14:paraId="5DA600F4" w14:textId="77777777" w:rsidR="00D80693" w:rsidRPr="00553F55" w:rsidRDefault="00D80693" w:rsidP="001928FA">
            <w:pPr>
              <w:adjustRightInd w:val="0"/>
              <w:spacing w:before="120"/>
              <w:ind w:left="60" w:right="60"/>
              <w:jc w:val="center"/>
              <w:rPr>
                <w:rFonts w:eastAsia="Calibri"/>
                <w:color w:val="000000"/>
              </w:rPr>
            </w:pPr>
            <w:r w:rsidRPr="00553F55">
              <w:rPr>
                <w:rFonts w:eastAsia="Calibri"/>
                <w:color w:val="000000"/>
              </w:rPr>
              <w:t>,212</w:t>
            </w:r>
          </w:p>
        </w:tc>
      </w:tr>
      <w:tr w:rsidR="00D80693" w14:paraId="0CF2B461" w14:textId="77777777" w:rsidTr="00D72320">
        <w:trPr>
          <w:cantSplit/>
          <w:jc w:val="center"/>
        </w:trPr>
        <w:tc>
          <w:tcPr>
            <w:tcW w:w="3457" w:type="dxa"/>
            <w:tcBorders>
              <w:top w:val="nil"/>
              <w:left w:val="single" w:sz="4" w:space="0" w:color="auto"/>
              <w:bottom w:val="single" w:sz="4" w:space="0" w:color="auto"/>
              <w:right w:val="single" w:sz="4" w:space="0" w:color="auto"/>
            </w:tcBorders>
            <w:shd w:val="clear" w:color="auto" w:fill="FFFFFF"/>
          </w:tcPr>
          <w:p w14:paraId="667E09DB" w14:textId="77777777" w:rsidR="00D80693" w:rsidRPr="00553F55" w:rsidRDefault="00D80693" w:rsidP="001928FA">
            <w:pPr>
              <w:adjustRightInd w:val="0"/>
              <w:spacing w:before="120"/>
              <w:ind w:left="60" w:right="60"/>
              <w:rPr>
                <w:rFonts w:eastAsia="Calibri"/>
                <w:color w:val="000000"/>
              </w:rPr>
            </w:pPr>
            <w:r w:rsidRPr="00553F55">
              <w:rPr>
                <w:rFonts w:eastAsia="Calibri"/>
                <w:color w:val="000000"/>
              </w:rPr>
              <w:t>N d'observations valides</w:t>
            </w:r>
          </w:p>
        </w:tc>
        <w:tc>
          <w:tcPr>
            <w:tcW w:w="1030" w:type="dxa"/>
            <w:tcBorders>
              <w:top w:val="nil"/>
              <w:left w:val="single" w:sz="4" w:space="0" w:color="auto"/>
              <w:bottom w:val="single" w:sz="4" w:space="0" w:color="auto"/>
              <w:right w:val="single" w:sz="4" w:space="0" w:color="auto"/>
            </w:tcBorders>
            <w:shd w:val="clear" w:color="auto" w:fill="FFFFFF"/>
            <w:vAlign w:val="center"/>
          </w:tcPr>
          <w:p w14:paraId="0C4CF8CB" w14:textId="77777777" w:rsidR="00D80693" w:rsidRPr="00553F55" w:rsidRDefault="00D80693" w:rsidP="001928FA">
            <w:pPr>
              <w:adjustRightInd w:val="0"/>
              <w:spacing w:before="120"/>
              <w:ind w:left="60" w:right="60"/>
              <w:jc w:val="right"/>
              <w:rPr>
                <w:rFonts w:eastAsia="Calibri"/>
                <w:color w:val="000000"/>
              </w:rPr>
            </w:pPr>
            <w:r w:rsidRPr="00553F55">
              <w:rPr>
                <w:rFonts w:eastAsia="Calibri"/>
                <w:color w:val="000000"/>
              </w:rPr>
              <w:t>500</w:t>
            </w:r>
          </w:p>
        </w:tc>
        <w:tc>
          <w:tcPr>
            <w:tcW w:w="759" w:type="dxa"/>
            <w:tcBorders>
              <w:top w:val="nil"/>
              <w:left w:val="single" w:sz="4" w:space="0" w:color="auto"/>
              <w:bottom w:val="single" w:sz="4" w:space="0" w:color="auto"/>
              <w:right w:val="single" w:sz="4" w:space="0" w:color="auto"/>
            </w:tcBorders>
            <w:shd w:val="clear" w:color="auto" w:fill="FFFFFF"/>
            <w:vAlign w:val="center"/>
          </w:tcPr>
          <w:p w14:paraId="7FF13C3D" w14:textId="77777777" w:rsidR="00D80693" w:rsidRPr="00553F55" w:rsidRDefault="00D80693" w:rsidP="001928FA">
            <w:pPr>
              <w:adjustRightInd w:val="0"/>
              <w:spacing w:before="120"/>
              <w:rPr>
                <w:rFonts w:eastAsia="Calibri"/>
              </w:rPr>
            </w:pPr>
          </w:p>
        </w:tc>
        <w:tc>
          <w:tcPr>
            <w:tcW w:w="1837" w:type="dxa"/>
            <w:tcBorders>
              <w:top w:val="nil"/>
              <w:left w:val="single" w:sz="4" w:space="0" w:color="auto"/>
              <w:bottom w:val="single" w:sz="4" w:space="0" w:color="auto"/>
              <w:right w:val="single" w:sz="4" w:space="0" w:color="auto"/>
            </w:tcBorders>
            <w:shd w:val="clear" w:color="auto" w:fill="FFFFFF"/>
            <w:vAlign w:val="center"/>
          </w:tcPr>
          <w:p w14:paraId="64A0EEB6" w14:textId="77777777" w:rsidR="00D80693" w:rsidRPr="00553F55" w:rsidRDefault="00D80693" w:rsidP="001928FA">
            <w:pPr>
              <w:adjustRightInd w:val="0"/>
              <w:spacing w:before="120"/>
              <w:rPr>
                <w:rFonts w:eastAsia="Calibri"/>
              </w:rPr>
            </w:pPr>
          </w:p>
        </w:tc>
      </w:tr>
      <w:tr w:rsidR="00D80693" w14:paraId="27791AD9" w14:textId="77777777" w:rsidTr="00D72320">
        <w:trPr>
          <w:cantSplit/>
          <w:jc w:val="center"/>
        </w:trPr>
        <w:tc>
          <w:tcPr>
            <w:tcW w:w="7083" w:type="dxa"/>
            <w:gridSpan w:val="4"/>
            <w:tcBorders>
              <w:top w:val="single" w:sz="4" w:space="0" w:color="auto"/>
              <w:left w:val="nil"/>
              <w:bottom w:val="nil"/>
              <w:right w:val="nil"/>
            </w:tcBorders>
            <w:shd w:val="clear" w:color="auto" w:fill="FFFFFF"/>
          </w:tcPr>
          <w:p w14:paraId="55FEB52B" w14:textId="77777777" w:rsidR="00D80693" w:rsidRPr="00553F55" w:rsidRDefault="00D80693" w:rsidP="001928FA">
            <w:pPr>
              <w:adjustRightInd w:val="0"/>
              <w:spacing w:before="120"/>
              <w:ind w:left="60" w:right="60"/>
              <w:rPr>
                <w:rFonts w:eastAsia="Calibri"/>
                <w:color w:val="000000"/>
              </w:rPr>
            </w:pPr>
            <w:r w:rsidRPr="00BB1B5D">
              <w:rPr>
                <w:rFonts w:eastAsia="Calibri"/>
                <w:color w:val="000000"/>
                <w:sz w:val="20"/>
                <w:szCs w:val="20"/>
              </w:rPr>
              <w:t>a. 12 cellules (60,0%) ont un effectif théorique inférieur à 5. L'effectif théorique minimum est de ,00.</w:t>
            </w:r>
          </w:p>
        </w:tc>
      </w:tr>
    </w:tbl>
    <w:p w14:paraId="6C07C3B5" w14:textId="77777777" w:rsidR="00D80693" w:rsidRDefault="00D80693" w:rsidP="001928FA">
      <w:pPr>
        <w:adjustRightInd w:val="0"/>
        <w:spacing w:before="120"/>
        <w:jc w:val="center"/>
        <w:rPr>
          <w:rFonts w:eastAsia="Calibri"/>
          <w:i/>
          <w:iCs/>
          <w:sz w:val="20"/>
          <w:szCs w:val="20"/>
        </w:rPr>
      </w:pPr>
      <w:r w:rsidRPr="000F7851">
        <w:rPr>
          <w:rFonts w:eastAsia="Calibri"/>
          <w:i/>
          <w:iCs/>
          <w:sz w:val="20"/>
          <w:szCs w:val="20"/>
        </w:rPr>
        <w:t>Source </w:t>
      </w:r>
      <w:r w:rsidRPr="000F7851">
        <w:rPr>
          <w:rFonts w:eastAsia="Calibri"/>
          <w:i/>
          <w:iCs/>
        </w:rPr>
        <w:t xml:space="preserve">: </w:t>
      </w:r>
      <w:r w:rsidRPr="000F7851">
        <w:rPr>
          <w:rFonts w:eastAsia="Calibri"/>
          <w:i/>
          <w:iCs/>
          <w:sz w:val="20"/>
          <w:szCs w:val="20"/>
        </w:rPr>
        <w:t>Enquête, avril-mai 2025</w:t>
      </w:r>
    </w:p>
    <w:p w14:paraId="76BFC9B6" w14:textId="71FE45B7" w:rsidR="00D80693" w:rsidRPr="00F429F0" w:rsidRDefault="00D80693" w:rsidP="00F429F0">
      <w:pPr>
        <w:spacing w:before="120"/>
        <w:jc w:val="both"/>
        <w:rPr>
          <w:rFonts w:eastAsia="Calibri"/>
          <w:bCs/>
          <w:color w:val="000000"/>
          <w:sz w:val="24"/>
          <w:szCs w:val="24"/>
          <w:lang w:eastAsia="fr-FR"/>
        </w:rPr>
      </w:pPr>
      <w:r w:rsidRPr="00CE3A66">
        <w:rPr>
          <w:rFonts w:eastAsia="Calibri"/>
          <w:bCs/>
          <w:color w:val="000000"/>
          <w:sz w:val="24"/>
          <w:szCs w:val="24"/>
          <w:lang w:eastAsia="fr-FR"/>
        </w:rPr>
        <w:t xml:space="preserve">On </w:t>
      </w:r>
      <w:r w:rsidRPr="00C1242E">
        <w:rPr>
          <w:rFonts w:cstheme="minorBidi"/>
          <w:sz w:val="24"/>
          <w:szCs w:val="24"/>
        </w:rPr>
        <w:t>note</w:t>
      </w:r>
      <w:r w:rsidRPr="00CE3A66">
        <w:rPr>
          <w:rFonts w:eastAsia="Calibri"/>
          <w:bCs/>
          <w:color w:val="000000"/>
          <w:sz w:val="24"/>
          <w:szCs w:val="24"/>
          <w:lang w:eastAsia="fr-FR"/>
        </w:rPr>
        <w:t>, dans le tableau précédent, que le pourcentage de cellules dont l’effectif théorique inférieur à 5 est supérieur à 25% (60% &gt; 25%). Ainsi, le test Khi deux n’apparait pas valide, toutefois, la p-value = 0,000 &lt; 0,05 indique que la relation est significative. Qu’en est-il des mesures asymétriques ?</w:t>
      </w:r>
    </w:p>
    <w:p w14:paraId="36AA39B6" w14:textId="77777777" w:rsidR="00D80693" w:rsidRPr="001F3123" w:rsidRDefault="00D80693" w:rsidP="001928FA">
      <w:pPr>
        <w:adjustRightInd w:val="0"/>
        <w:spacing w:before="120"/>
        <w:ind w:left="2694" w:hanging="1418"/>
        <w:jc w:val="center"/>
        <w:rPr>
          <w:rFonts w:eastAsia="Calibri"/>
          <w:b/>
          <w:bCs/>
          <w:i/>
          <w:iCs/>
        </w:rPr>
      </w:pPr>
      <w:r w:rsidRPr="001F3123">
        <w:rPr>
          <w:rFonts w:eastAsia="Calibri"/>
          <w:b/>
          <w:bCs/>
          <w:i/>
          <w:iCs/>
        </w:rPr>
        <w:t>Tableau n°</w:t>
      </w:r>
      <w:r>
        <w:rPr>
          <w:rFonts w:eastAsia="Calibri"/>
          <w:b/>
          <w:bCs/>
          <w:i/>
          <w:iCs/>
        </w:rPr>
        <w:t>9</w:t>
      </w:r>
      <w:r w:rsidRPr="001F3123">
        <w:rPr>
          <w:rFonts w:eastAsia="Calibri"/>
          <w:b/>
          <w:bCs/>
          <w:i/>
          <w:iCs/>
        </w:rPr>
        <w:t> : Mesures symétriques</w:t>
      </w:r>
    </w:p>
    <w:tbl>
      <w:tblPr>
        <w:tblW w:w="67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7"/>
        <w:gridCol w:w="981"/>
        <w:gridCol w:w="992"/>
        <w:gridCol w:w="2268"/>
      </w:tblGrid>
      <w:tr w:rsidR="00D80693" w14:paraId="734416ED" w14:textId="77777777" w:rsidTr="00D72320">
        <w:trPr>
          <w:cantSplit/>
          <w:trHeight w:val="42"/>
          <w:jc w:val="center"/>
        </w:trPr>
        <w:tc>
          <w:tcPr>
            <w:tcW w:w="35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B74D8DA" w14:textId="77777777" w:rsidR="00D80693" w:rsidRPr="00FE19A5" w:rsidRDefault="00D80693" w:rsidP="001928FA">
            <w:pPr>
              <w:adjustRightInd w:val="0"/>
              <w:spacing w:before="120"/>
              <w:rPr>
                <w:rFonts w:eastAsia="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0CB005F4"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Valeur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57E1248D"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Signification approx.</w:t>
            </w:r>
          </w:p>
        </w:tc>
      </w:tr>
      <w:tr w:rsidR="00D80693" w14:paraId="108B6833" w14:textId="77777777" w:rsidTr="00D72320">
        <w:trPr>
          <w:cantSplit/>
          <w:jc w:val="center"/>
        </w:trPr>
        <w:tc>
          <w:tcPr>
            <w:tcW w:w="2547" w:type="dxa"/>
            <w:vMerge w:val="restart"/>
            <w:tcBorders>
              <w:top w:val="single" w:sz="4" w:space="0" w:color="auto"/>
              <w:left w:val="single" w:sz="4" w:space="0" w:color="auto"/>
              <w:bottom w:val="nil"/>
              <w:right w:val="single" w:sz="4" w:space="0" w:color="auto"/>
            </w:tcBorders>
            <w:shd w:val="clear" w:color="auto" w:fill="FFFFFF"/>
          </w:tcPr>
          <w:p w14:paraId="16307CE8" w14:textId="77777777" w:rsidR="00D80693" w:rsidRPr="00FE19A5" w:rsidRDefault="00D80693" w:rsidP="001928FA">
            <w:pPr>
              <w:adjustRightInd w:val="0"/>
              <w:spacing w:before="120"/>
              <w:ind w:left="60" w:right="60"/>
              <w:rPr>
                <w:rFonts w:eastAsia="Calibri"/>
                <w:color w:val="000000"/>
              </w:rPr>
            </w:pPr>
            <w:r w:rsidRPr="00FE19A5">
              <w:rPr>
                <w:rFonts w:eastAsia="Calibri"/>
                <w:color w:val="000000"/>
              </w:rPr>
              <w:t>Nominal par Nominal</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D349F08" w14:textId="77777777" w:rsidR="00D80693" w:rsidRPr="00FE19A5" w:rsidRDefault="00D80693" w:rsidP="001928FA">
            <w:pPr>
              <w:adjustRightInd w:val="0"/>
              <w:spacing w:before="120"/>
              <w:ind w:left="60" w:right="60"/>
              <w:rPr>
                <w:rFonts w:eastAsia="Calibri"/>
                <w:color w:val="000000"/>
              </w:rPr>
            </w:pPr>
            <w:r w:rsidRPr="00FE19A5">
              <w:rPr>
                <w:rFonts w:eastAsia="Calibri"/>
                <w:color w:val="000000"/>
              </w:rPr>
              <w:t>Phi</w:t>
            </w:r>
          </w:p>
        </w:tc>
        <w:tc>
          <w:tcPr>
            <w:tcW w:w="992" w:type="dxa"/>
            <w:tcBorders>
              <w:top w:val="single" w:sz="4" w:space="0" w:color="auto"/>
              <w:left w:val="single" w:sz="4" w:space="0" w:color="auto"/>
              <w:bottom w:val="nil"/>
              <w:right w:val="single" w:sz="4" w:space="0" w:color="auto"/>
            </w:tcBorders>
            <w:shd w:val="clear" w:color="auto" w:fill="FFFFFF"/>
            <w:vAlign w:val="center"/>
          </w:tcPr>
          <w:p w14:paraId="46C5CC13"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,326</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2D32CA66"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,000</w:t>
            </w:r>
          </w:p>
        </w:tc>
      </w:tr>
      <w:tr w:rsidR="00D80693" w14:paraId="4BC8EFC9" w14:textId="77777777" w:rsidTr="00D72320">
        <w:trPr>
          <w:cantSplit/>
          <w:jc w:val="center"/>
        </w:trPr>
        <w:tc>
          <w:tcPr>
            <w:tcW w:w="2547" w:type="dxa"/>
            <w:vMerge/>
            <w:tcBorders>
              <w:top w:val="single" w:sz="16" w:space="0" w:color="000000"/>
              <w:left w:val="single" w:sz="4" w:space="0" w:color="auto"/>
              <w:bottom w:val="nil"/>
              <w:right w:val="single" w:sz="4" w:space="0" w:color="auto"/>
            </w:tcBorders>
            <w:shd w:val="clear" w:color="auto" w:fill="FFFFFF"/>
          </w:tcPr>
          <w:p w14:paraId="4F292865" w14:textId="77777777" w:rsidR="00D80693" w:rsidRPr="00FE19A5" w:rsidRDefault="00D80693" w:rsidP="001928FA">
            <w:pPr>
              <w:adjustRightInd w:val="0"/>
              <w:spacing w:before="120"/>
              <w:rPr>
                <w:rFonts w:eastAsia="Calibri"/>
                <w:color w:val="00000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78FF898C" w14:textId="77777777" w:rsidR="00D80693" w:rsidRPr="00FE19A5" w:rsidRDefault="00D80693" w:rsidP="001928FA">
            <w:pPr>
              <w:adjustRightInd w:val="0"/>
              <w:spacing w:before="120"/>
              <w:ind w:left="60" w:right="60"/>
              <w:rPr>
                <w:rFonts w:eastAsia="Calibri"/>
                <w:color w:val="000000"/>
              </w:rPr>
            </w:pPr>
            <w:r w:rsidRPr="00FE19A5">
              <w:rPr>
                <w:rFonts w:eastAsia="Calibri"/>
                <w:color w:val="000000"/>
              </w:rPr>
              <w:t>V de Cramer</w:t>
            </w:r>
          </w:p>
        </w:tc>
        <w:tc>
          <w:tcPr>
            <w:tcW w:w="992" w:type="dxa"/>
            <w:tcBorders>
              <w:top w:val="nil"/>
              <w:left w:val="single" w:sz="4" w:space="0" w:color="auto"/>
              <w:bottom w:val="nil"/>
              <w:right w:val="single" w:sz="4" w:space="0" w:color="auto"/>
            </w:tcBorders>
            <w:shd w:val="clear" w:color="auto" w:fill="FFFFFF"/>
            <w:vAlign w:val="center"/>
          </w:tcPr>
          <w:p w14:paraId="7E4CBE69"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,188</w:t>
            </w:r>
          </w:p>
        </w:tc>
        <w:tc>
          <w:tcPr>
            <w:tcW w:w="2268" w:type="dxa"/>
            <w:tcBorders>
              <w:top w:val="nil"/>
              <w:left w:val="single" w:sz="4" w:space="0" w:color="auto"/>
              <w:bottom w:val="nil"/>
              <w:right w:val="single" w:sz="4" w:space="0" w:color="auto"/>
            </w:tcBorders>
            <w:shd w:val="clear" w:color="auto" w:fill="FFFFFF"/>
            <w:vAlign w:val="center"/>
          </w:tcPr>
          <w:p w14:paraId="6131BA67"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,000</w:t>
            </w:r>
          </w:p>
        </w:tc>
      </w:tr>
      <w:tr w:rsidR="00D80693" w14:paraId="3BE96F5D" w14:textId="77777777" w:rsidTr="00D72320">
        <w:trPr>
          <w:cantSplit/>
          <w:jc w:val="center"/>
        </w:trPr>
        <w:tc>
          <w:tcPr>
            <w:tcW w:w="2547" w:type="dxa"/>
            <w:tcBorders>
              <w:top w:val="nil"/>
              <w:left w:val="single" w:sz="4" w:space="0" w:color="auto"/>
              <w:bottom w:val="single" w:sz="4" w:space="0" w:color="auto"/>
              <w:right w:val="single" w:sz="4" w:space="0" w:color="auto"/>
            </w:tcBorders>
            <w:shd w:val="clear" w:color="auto" w:fill="FFFFFF"/>
          </w:tcPr>
          <w:p w14:paraId="76A3E136" w14:textId="77777777" w:rsidR="00D80693" w:rsidRPr="00FE19A5" w:rsidRDefault="00D80693" w:rsidP="001928FA">
            <w:pPr>
              <w:adjustRightInd w:val="0"/>
              <w:spacing w:before="120"/>
              <w:ind w:left="60" w:right="60"/>
              <w:rPr>
                <w:rFonts w:eastAsia="Calibri"/>
                <w:color w:val="000000"/>
              </w:rPr>
            </w:pPr>
            <w:r w:rsidRPr="00FE19A5">
              <w:rPr>
                <w:rFonts w:eastAsia="Calibri"/>
                <w:color w:val="000000"/>
              </w:rPr>
              <w:t>N d'observations valides</w:t>
            </w:r>
          </w:p>
        </w:tc>
        <w:tc>
          <w:tcPr>
            <w:tcW w:w="979" w:type="dxa"/>
            <w:tcBorders>
              <w:top w:val="nil"/>
              <w:left w:val="single" w:sz="4" w:space="0" w:color="auto"/>
              <w:bottom w:val="single" w:sz="4" w:space="0" w:color="auto"/>
              <w:right w:val="single" w:sz="4" w:space="0" w:color="auto"/>
            </w:tcBorders>
            <w:shd w:val="clear" w:color="auto" w:fill="FFFFFF"/>
          </w:tcPr>
          <w:p w14:paraId="0803C3BD" w14:textId="77777777" w:rsidR="00D80693" w:rsidRPr="00FE19A5" w:rsidRDefault="00D80693" w:rsidP="001928FA">
            <w:pPr>
              <w:adjustRightInd w:val="0"/>
              <w:spacing w:before="120"/>
              <w:ind w:right="60"/>
              <w:rPr>
                <w:rFonts w:eastAsia="Calibri"/>
                <w:color w:val="000000"/>
              </w:rPr>
            </w:pPr>
          </w:p>
        </w:tc>
        <w:tc>
          <w:tcPr>
            <w:tcW w:w="992" w:type="dxa"/>
            <w:tcBorders>
              <w:top w:val="nil"/>
              <w:left w:val="single" w:sz="4" w:space="0" w:color="auto"/>
              <w:bottom w:val="single" w:sz="4" w:space="0" w:color="auto"/>
              <w:right w:val="single" w:sz="4" w:space="0" w:color="auto"/>
            </w:tcBorders>
            <w:shd w:val="clear" w:color="auto" w:fill="FFFFFF"/>
            <w:vAlign w:val="center"/>
          </w:tcPr>
          <w:p w14:paraId="1378EB86" w14:textId="77777777" w:rsidR="00D80693" w:rsidRPr="00FE19A5" w:rsidRDefault="00D80693" w:rsidP="001928FA">
            <w:pPr>
              <w:adjustRightInd w:val="0"/>
              <w:spacing w:before="120"/>
              <w:ind w:left="60" w:right="60"/>
              <w:jc w:val="center"/>
              <w:rPr>
                <w:rFonts w:eastAsia="Calibri"/>
                <w:color w:val="000000"/>
              </w:rPr>
            </w:pPr>
            <w:r w:rsidRPr="00FE19A5">
              <w:rPr>
                <w:rFonts w:eastAsia="Calibri"/>
                <w:color w:val="000000"/>
              </w:rPr>
              <w:t>500</w:t>
            </w:r>
          </w:p>
        </w:tc>
        <w:tc>
          <w:tcPr>
            <w:tcW w:w="2268" w:type="dxa"/>
            <w:tcBorders>
              <w:top w:val="nil"/>
              <w:left w:val="single" w:sz="4" w:space="0" w:color="auto"/>
              <w:bottom w:val="single" w:sz="4" w:space="0" w:color="auto"/>
              <w:right w:val="single" w:sz="4" w:space="0" w:color="auto"/>
            </w:tcBorders>
            <w:shd w:val="clear" w:color="auto" w:fill="FFFFFF"/>
            <w:vAlign w:val="center"/>
          </w:tcPr>
          <w:p w14:paraId="20F0408F" w14:textId="77777777" w:rsidR="00D80693" w:rsidRPr="00FE19A5" w:rsidRDefault="00D80693" w:rsidP="001928FA">
            <w:pPr>
              <w:adjustRightInd w:val="0"/>
              <w:spacing w:before="120"/>
              <w:jc w:val="center"/>
              <w:rPr>
                <w:rFonts w:eastAsia="Calibri"/>
              </w:rPr>
            </w:pPr>
          </w:p>
        </w:tc>
      </w:tr>
    </w:tbl>
    <w:p w14:paraId="05620C38" w14:textId="77777777" w:rsidR="00D80693" w:rsidRDefault="00D80693" w:rsidP="001928FA">
      <w:pPr>
        <w:adjustRightInd w:val="0"/>
        <w:spacing w:before="120"/>
        <w:jc w:val="center"/>
        <w:rPr>
          <w:rFonts w:eastAsia="Calibri"/>
          <w:i/>
          <w:iCs/>
        </w:rPr>
      </w:pPr>
      <w:r w:rsidRPr="008240D2">
        <w:rPr>
          <w:rFonts w:eastAsia="Calibri"/>
          <w:bCs/>
          <w:color w:val="000000"/>
          <w:sz w:val="24"/>
          <w:szCs w:val="24"/>
          <w:lang w:eastAsia="fr-FR"/>
        </w:rPr>
        <w:tab/>
      </w: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5D0C2E51" w14:textId="05F54C28" w:rsidR="00D80693" w:rsidRPr="00F429F0" w:rsidRDefault="00D80693" w:rsidP="00F429F0">
      <w:pPr>
        <w:spacing w:before="120"/>
        <w:jc w:val="both"/>
        <w:rPr>
          <w:rFonts w:eastAsia="Calibri"/>
          <w:bCs/>
          <w:color w:val="000000"/>
          <w:sz w:val="24"/>
          <w:szCs w:val="24"/>
          <w:lang w:eastAsia="fr-FR"/>
        </w:rPr>
      </w:pPr>
      <w:r w:rsidRPr="00CE3A66">
        <w:rPr>
          <w:rFonts w:eastAsia="Calibri"/>
          <w:bCs/>
          <w:color w:val="000000"/>
          <w:sz w:val="24"/>
          <w:szCs w:val="24"/>
          <w:lang w:eastAsia="fr-FR"/>
        </w:rPr>
        <w:t>En considérant le rapport de vraisemblance, la relation apparait significative, car la p-value = 0,034 est inférieure à 0,05. En revanche, on remarque que la valeur de V de Cramer (V= 0,188) indique que ce lien est plutôt faible. Le lien entre le comportement adopté par l’élève et ses sentiments à l’égard des évaluations a été également analysé.</w:t>
      </w:r>
    </w:p>
    <w:p w14:paraId="0B7AB89F" w14:textId="0C70B048" w:rsidR="00D80693" w:rsidRPr="00F429F0" w:rsidRDefault="00D80693" w:rsidP="00F429F0">
      <w:pPr>
        <w:pStyle w:val="Paragraphedeliste"/>
        <w:widowControl/>
        <w:numPr>
          <w:ilvl w:val="2"/>
          <w:numId w:val="204"/>
        </w:numPr>
        <w:tabs>
          <w:tab w:val="left" w:pos="567"/>
        </w:tabs>
        <w:adjustRightInd w:val="0"/>
        <w:contextualSpacing/>
        <w:rPr>
          <w:rFonts w:eastAsia="Calibri"/>
          <w:b/>
          <w:i/>
          <w:iCs/>
          <w:sz w:val="24"/>
          <w:szCs w:val="24"/>
        </w:rPr>
      </w:pPr>
      <w:r w:rsidRPr="00F90857">
        <w:rPr>
          <w:rFonts w:eastAsia="Calibri"/>
          <w:b/>
          <w:i/>
          <w:iCs/>
          <w:color w:val="000000"/>
          <w:sz w:val="24"/>
          <w:szCs w:val="24"/>
          <w:lang w:eastAsia="fr-FR"/>
        </w:rPr>
        <w:t>Lien entre</w:t>
      </w:r>
      <w:r w:rsidRPr="00F90857">
        <w:rPr>
          <w:rFonts w:eastAsia="Calibri"/>
          <w:b/>
          <w:i/>
          <w:iCs/>
          <w:sz w:val="24"/>
          <w:szCs w:val="24"/>
        </w:rPr>
        <w:t xml:space="preserve"> comportements </w:t>
      </w:r>
      <w:r>
        <w:rPr>
          <w:rFonts w:eastAsia="Calibri"/>
          <w:b/>
          <w:i/>
          <w:iCs/>
          <w:sz w:val="24"/>
          <w:szCs w:val="24"/>
        </w:rPr>
        <w:t xml:space="preserve">adoptés du fait des évaluations </w:t>
      </w:r>
      <w:r w:rsidRPr="00F90857">
        <w:rPr>
          <w:rFonts w:eastAsia="Calibri"/>
          <w:b/>
          <w:i/>
          <w:iCs/>
          <w:sz w:val="24"/>
          <w:szCs w:val="24"/>
        </w:rPr>
        <w:t>et sentiments à l’égard de l’évaluation</w:t>
      </w:r>
    </w:p>
    <w:p w14:paraId="7E09720A" w14:textId="77777777" w:rsidR="00D80693" w:rsidRDefault="00D80693" w:rsidP="00F429F0">
      <w:pPr>
        <w:tabs>
          <w:tab w:val="left" w:pos="567"/>
        </w:tabs>
        <w:adjustRightInd w:val="0"/>
        <w:spacing w:before="120"/>
        <w:jc w:val="both"/>
        <w:rPr>
          <w:rFonts w:eastAsia="Calibri"/>
          <w:bCs/>
          <w:color w:val="000000"/>
          <w:sz w:val="24"/>
          <w:szCs w:val="24"/>
          <w:lang w:eastAsia="fr-FR"/>
        </w:rPr>
      </w:pPr>
      <w:r w:rsidRPr="00CE3A66">
        <w:rPr>
          <w:rFonts w:eastAsia="Calibri"/>
          <w:bCs/>
          <w:color w:val="000000"/>
          <w:sz w:val="24"/>
          <w:szCs w:val="24"/>
          <w:lang w:eastAsia="fr-FR"/>
        </w:rPr>
        <w:t>Le tableau suivant indique le</w:t>
      </w:r>
      <w:r w:rsidRPr="00CE3A66">
        <w:rPr>
          <w:rFonts w:eastAsia="Calibri"/>
          <w:b/>
          <w:i/>
          <w:iCs/>
          <w:color w:val="000000"/>
          <w:sz w:val="24"/>
          <w:szCs w:val="24"/>
          <w:lang w:eastAsia="fr-FR"/>
        </w:rPr>
        <w:t xml:space="preserve"> </w:t>
      </w:r>
      <w:r w:rsidRPr="00CE3A66">
        <w:rPr>
          <w:rFonts w:eastAsia="Calibri"/>
          <w:bCs/>
          <w:color w:val="000000"/>
          <w:sz w:val="24"/>
          <w:szCs w:val="24"/>
          <w:lang w:eastAsia="fr-FR"/>
        </w:rPr>
        <w:t>lien entre le comportement adopté par l’élève et ses sentiments à l’égard des évaluations.</w:t>
      </w:r>
    </w:p>
    <w:p w14:paraId="5DC6D61E" w14:textId="38E69EC6" w:rsidR="00D80693" w:rsidRPr="001F3123" w:rsidRDefault="00D80693" w:rsidP="00F429F0">
      <w:pPr>
        <w:adjustRightInd w:val="0"/>
        <w:spacing w:before="120"/>
        <w:jc w:val="both"/>
        <w:rPr>
          <w:rFonts w:eastAsia="Calibri"/>
          <w:b/>
          <w:bCs/>
          <w:i/>
          <w:iCs/>
        </w:rPr>
      </w:pPr>
      <w:r w:rsidRPr="001F3123">
        <w:rPr>
          <w:rFonts w:eastAsia="Calibri"/>
          <w:b/>
          <w:bCs/>
          <w:i/>
          <w:iCs/>
        </w:rPr>
        <w:t>Tableau n°1</w:t>
      </w:r>
      <w:r>
        <w:rPr>
          <w:rFonts w:eastAsia="Calibri"/>
          <w:b/>
          <w:bCs/>
          <w:i/>
          <w:iCs/>
        </w:rPr>
        <w:t>0</w:t>
      </w:r>
      <w:r w:rsidRPr="001F3123">
        <w:rPr>
          <w:rFonts w:eastAsia="Calibri"/>
          <w:b/>
          <w:bCs/>
          <w:i/>
          <w:iCs/>
        </w:rPr>
        <w:t xml:space="preserve"> : Lien</w:t>
      </w:r>
      <w:r>
        <w:rPr>
          <w:rFonts w:eastAsia="Calibri"/>
          <w:b/>
          <w:bCs/>
          <w:i/>
          <w:iCs/>
        </w:rPr>
        <w:t>s</w:t>
      </w:r>
      <w:r w:rsidRPr="001F3123">
        <w:rPr>
          <w:rFonts w:eastAsia="Calibri"/>
          <w:b/>
          <w:bCs/>
          <w:i/>
          <w:iCs/>
        </w:rPr>
        <w:t xml:space="preserve"> entre comportements et sentiments</w:t>
      </w:r>
      <w:r>
        <w:rPr>
          <w:rFonts w:eastAsia="Calibri"/>
          <w:b/>
          <w:bCs/>
          <w:i/>
          <w:iCs/>
        </w:rPr>
        <w:t xml:space="preserve"> à l’égard</w:t>
      </w:r>
      <w:r w:rsidRPr="001F3123">
        <w:rPr>
          <w:rFonts w:eastAsia="Calibri"/>
          <w:b/>
          <w:bCs/>
          <w:i/>
          <w:iCs/>
        </w:rPr>
        <w:t xml:space="preserve"> de l’évaluation</w:t>
      </w:r>
    </w:p>
    <w:p w14:paraId="30111AEF" w14:textId="77777777" w:rsidR="00D80693" w:rsidRPr="000F7851" w:rsidRDefault="00D80693" w:rsidP="001928FA">
      <w:pPr>
        <w:adjustRightInd w:val="0"/>
        <w:spacing w:before="120"/>
        <w:rPr>
          <w:rFonts w:eastAsia="Calibri"/>
          <w:sz w:val="4"/>
          <w:szCs w:val="4"/>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9"/>
        <w:gridCol w:w="2547"/>
        <w:gridCol w:w="1276"/>
        <w:gridCol w:w="1134"/>
        <w:gridCol w:w="1412"/>
        <w:gridCol w:w="851"/>
      </w:tblGrid>
      <w:tr w:rsidR="00D80693" w14:paraId="1FBD06AA" w14:textId="77777777" w:rsidTr="00D72320">
        <w:trPr>
          <w:cantSplit/>
          <w:jc w:val="center"/>
        </w:trPr>
        <w:tc>
          <w:tcPr>
            <w:tcW w:w="4106"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1B431B18" w14:textId="77777777" w:rsidR="00D80693" w:rsidRPr="008C6788" w:rsidRDefault="00D80693" w:rsidP="001928FA">
            <w:pPr>
              <w:adjustRightInd w:val="0"/>
              <w:spacing w:before="120"/>
              <w:rPr>
                <w:rFonts w:eastAsia="Calibri"/>
              </w:rPr>
            </w:pPr>
          </w:p>
        </w:tc>
        <w:tc>
          <w:tcPr>
            <w:tcW w:w="382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8731A24" w14:textId="77777777" w:rsidR="00D80693" w:rsidRPr="008C6788" w:rsidRDefault="00D80693" w:rsidP="001928FA">
            <w:pPr>
              <w:adjustRightInd w:val="0"/>
              <w:spacing w:before="120"/>
              <w:ind w:left="146" w:right="60"/>
              <w:jc w:val="both"/>
              <w:rPr>
                <w:rFonts w:eastAsia="Calibri"/>
                <w:color w:val="000000"/>
              </w:rPr>
            </w:pPr>
            <w:r w:rsidRPr="008C6788">
              <w:rPr>
                <w:rFonts w:eastAsia="Calibri"/>
                <w:color w:val="000000"/>
              </w:rPr>
              <w:t>Quel sentiment éprouves-tu généralement pour les évaluations ?</w:t>
            </w:r>
          </w:p>
        </w:tc>
        <w:tc>
          <w:tcPr>
            <w:tcW w:w="851" w:type="dxa"/>
            <w:vMerge w:val="restart"/>
            <w:tcBorders>
              <w:top w:val="single" w:sz="4" w:space="0" w:color="auto"/>
              <w:left w:val="single" w:sz="4" w:space="0" w:color="auto"/>
              <w:right w:val="single" w:sz="4" w:space="0" w:color="auto"/>
            </w:tcBorders>
            <w:shd w:val="clear" w:color="auto" w:fill="FFFFFF"/>
            <w:vAlign w:val="bottom"/>
          </w:tcPr>
          <w:p w14:paraId="72BEE0A5"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Total</w:t>
            </w:r>
          </w:p>
        </w:tc>
      </w:tr>
      <w:tr w:rsidR="00D80693" w14:paraId="4314C09B" w14:textId="77777777" w:rsidTr="00D72320">
        <w:trPr>
          <w:cantSplit/>
          <w:jc w:val="center"/>
        </w:trPr>
        <w:tc>
          <w:tcPr>
            <w:tcW w:w="4106" w:type="dxa"/>
            <w:gridSpan w:val="2"/>
            <w:vMerge/>
            <w:tcBorders>
              <w:top w:val="single" w:sz="16" w:space="0" w:color="000000"/>
              <w:left w:val="single" w:sz="4" w:space="0" w:color="auto"/>
              <w:bottom w:val="single" w:sz="4" w:space="0" w:color="auto"/>
              <w:right w:val="single" w:sz="4" w:space="0" w:color="auto"/>
            </w:tcBorders>
            <w:shd w:val="clear" w:color="auto" w:fill="FFFFFF"/>
            <w:vAlign w:val="bottom"/>
          </w:tcPr>
          <w:p w14:paraId="31B570D0" w14:textId="77777777" w:rsidR="00D80693" w:rsidRPr="008C6788" w:rsidRDefault="00D80693" w:rsidP="001928FA">
            <w:pPr>
              <w:adjustRightInd w:val="0"/>
              <w:spacing w:before="120"/>
              <w:rPr>
                <w:rFonts w:eastAsia="Calibri"/>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8B5B93A"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Je crains les évaluations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E8F9B7F"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J'aime les évaluations</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bottom"/>
          </w:tcPr>
          <w:p w14:paraId="364D1E2B" w14:textId="77777777" w:rsidR="00D80693" w:rsidRPr="008C6788" w:rsidRDefault="00D80693" w:rsidP="001928FA">
            <w:pPr>
              <w:adjustRightInd w:val="0"/>
              <w:spacing w:before="120"/>
              <w:ind w:left="60" w:right="60"/>
              <w:jc w:val="center"/>
              <w:rPr>
                <w:rFonts w:eastAsia="Calibri"/>
                <w:color w:val="000000"/>
                <w:highlight w:val="yellow"/>
              </w:rPr>
            </w:pPr>
            <w:r w:rsidRPr="008C6788">
              <w:rPr>
                <w:rFonts w:eastAsia="Calibri"/>
                <w:color w:val="000000"/>
              </w:rPr>
              <w:t>Je déteste les évaluations</w:t>
            </w:r>
          </w:p>
        </w:tc>
        <w:tc>
          <w:tcPr>
            <w:tcW w:w="851" w:type="dxa"/>
            <w:vMerge/>
            <w:tcBorders>
              <w:top w:val="single" w:sz="16" w:space="0" w:color="000000"/>
              <w:left w:val="single" w:sz="4" w:space="0" w:color="auto"/>
              <w:bottom w:val="single" w:sz="4" w:space="0" w:color="auto"/>
              <w:right w:val="single" w:sz="4" w:space="0" w:color="auto"/>
            </w:tcBorders>
            <w:shd w:val="clear" w:color="auto" w:fill="FFFFFF"/>
            <w:vAlign w:val="bottom"/>
          </w:tcPr>
          <w:p w14:paraId="478B38F4" w14:textId="77777777" w:rsidR="00D80693" w:rsidRPr="008C6788" w:rsidRDefault="00D80693" w:rsidP="001928FA">
            <w:pPr>
              <w:adjustRightInd w:val="0"/>
              <w:spacing w:before="120"/>
              <w:rPr>
                <w:rFonts w:eastAsia="Calibri"/>
                <w:color w:val="000000"/>
              </w:rPr>
            </w:pPr>
          </w:p>
        </w:tc>
      </w:tr>
      <w:tr w:rsidR="00D80693" w14:paraId="42E16AD6" w14:textId="77777777" w:rsidTr="00D72320">
        <w:trPr>
          <w:cantSplit/>
          <w:jc w:val="center"/>
        </w:trPr>
        <w:tc>
          <w:tcPr>
            <w:tcW w:w="1559" w:type="dxa"/>
            <w:vMerge w:val="restart"/>
            <w:tcBorders>
              <w:top w:val="single" w:sz="4" w:space="0" w:color="auto"/>
              <w:left w:val="single" w:sz="4" w:space="0" w:color="auto"/>
              <w:right w:val="single" w:sz="4" w:space="0" w:color="auto"/>
            </w:tcBorders>
            <w:shd w:val="clear" w:color="auto" w:fill="FFFFFF"/>
          </w:tcPr>
          <w:p w14:paraId="0E2DDD98" w14:textId="77777777" w:rsidR="00D80693" w:rsidRPr="008C6788" w:rsidRDefault="00D80693" w:rsidP="001928FA">
            <w:pPr>
              <w:adjustRightInd w:val="0"/>
              <w:spacing w:before="120"/>
              <w:ind w:left="60" w:right="60"/>
              <w:jc w:val="both"/>
              <w:rPr>
                <w:rFonts w:eastAsia="Calibri"/>
                <w:color w:val="000000"/>
              </w:rPr>
            </w:pPr>
            <w:r w:rsidRPr="008C6788">
              <w:rPr>
                <w:rFonts w:eastAsia="Calibri"/>
                <w:color w:val="000000"/>
              </w:rPr>
              <w:t>Quels comportements adoptes-tu du fait des évaluations ?</w:t>
            </w:r>
          </w:p>
        </w:tc>
        <w:tc>
          <w:tcPr>
            <w:tcW w:w="2547" w:type="dxa"/>
            <w:vMerge w:val="restart"/>
            <w:tcBorders>
              <w:top w:val="single" w:sz="4" w:space="0" w:color="auto"/>
              <w:left w:val="single" w:sz="4" w:space="0" w:color="auto"/>
              <w:right w:val="single" w:sz="4" w:space="0" w:color="auto"/>
            </w:tcBorders>
            <w:shd w:val="clear" w:color="auto" w:fill="FFFFFF"/>
          </w:tcPr>
          <w:p w14:paraId="109AB72F" w14:textId="77777777" w:rsidR="00D80693" w:rsidRPr="008C6788" w:rsidRDefault="00D80693" w:rsidP="001928FA">
            <w:pPr>
              <w:adjustRightInd w:val="0"/>
              <w:spacing w:before="120"/>
              <w:ind w:left="60" w:right="60"/>
              <w:jc w:val="both"/>
              <w:rPr>
                <w:rFonts w:eastAsia="Calibri"/>
                <w:color w:val="000000"/>
              </w:rPr>
            </w:pPr>
            <w:r w:rsidRPr="008C6788">
              <w:rPr>
                <w:rFonts w:eastAsia="Calibri"/>
                <w:color w:val="000000"/>
              </w:rPr>
              <w:t>Les évaluations me poussent à être toujours présent</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1A724AF0"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312</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2DB189E4"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152</w:t>
            </w:r>
          </w:p>
        </w:tc>
        <w:tc>
          <w:tcPr>
            <w:tcW w:w="1412" w:type="dxa"/>
            <w:vMerge w:val="restart"/>
            <w:tcBorders>
              <w:top w:val="single" w:sz="4" w:space="0" w:color="auto"/>
              <w:left w:val="single" w:sz="4" w:space="0" w:color="auto"/>
              <w:right w:val="single" w:sz="4" w:space="0" w:color="auto"/>
            </w:tcBorders>
            <w:shd w:val="clear" w:color="auto" w:fill="FFFFFF"/>
            <w:vAlign w:val="center"/>
          </w:tcPr>
          <w:p w14:paraId="0F03CC38"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19</w:t>
            </w:r>
          </w:p>
          <w:p w14:paraId="1FBE3266" w14:textId="77777777" w:rsidR="00D80693" w:rsidRPr="008C6788" w:rsidRDefault="00D80693" w:rsidP="001928FA">
            <w:pPr>
              <w:adjustRightInd w:val="0"/>
              <w:spacing w:before="120"/>
              <w:ind w:left="60" w:right="60"/>
              <w:jc w:val="center"/>
              <w:rPr>
                <w:rFonts w:eastAsia="Calibri"/>
                <w:color w:val="000000"/>
                <w:highlight w:val="yellow"/>
              </w:rPr>
            </w:pPr>
            <w:r w:rsidRPr="008C6788">
              <w:rPr>
                <w:rFonts w:eastAsia="Calibri"/>
                <w:color w:val="000000"/>
              </w:rPr>
              <w:t>3,8%</w:t>
            </w:r>
          </w:p>
        </w:tc>
        <w:tc>
          <w:tcPr>
            <w:tcW w:w="851" w:type="dxa"/>
            <w:tcBorders>
              <w:top w:val="single" w:sz="4" w:space="0" w:color="auto"/>
              <w:left w:val="single" w:sz="4" w:space="0" w:color="auto"/>
              <w:bottom w:val="nil"/>
              <w:right w:val="single" w:sz="4" w:space="0" w:color="auto"/>
            </w:tcBorders>
            <w:shd w:val="clear" w:color="auto" w:fill="FFFFFF"/>
            <w:vAlign w:val="center"/>
          </w:tcPr>
          <w:p w14:paraId="5EA0336B"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483</w:t>
            </w:r>
          </w:p>
        </w:tc>
      </w:tr>
      <w:tr w:rsidR="00D80693" w14:paraId="4CFB050D" w14:textId="77777777" w:rsidTr="00D72320">
        <w:trPr>
          <w:cantSplit/>
          <w:jc w:val="center"/>
        </w:trPr>
        <w:tc>
          <w:tcPr>
            <w:tcW w:w="1559" w:type="dxa"/>
            <w:vMerge/>
            <w:tcBorders>
              <w:top w:val="single" w:sz="16" w:space="0" w:color="000000"/>
              <w:left w:val="single" w:sz="4" w:space="0" w:color="auto"/>
              <w:right w:val="single" w:sz="4" w:space="0" w:color="auto"/>
            </w:tcBorders>
            <w:shd w:val="clear" w:color="auto" w:fill="FFFFFF"/>
          </w:tcPr>
          <w:p w14:paraId="5CCC5AD9" w14:textId="77777777" w:rsidR="00D80693" w:rsidRPr="008C6788" w:rsidRDefault="00D80693" w:rsidP="001928FA">
            <w:pPr>
              <w:adjustRightInd w:val="0"/>
              <w:spacing w:before="120"/>
              <w:jc w:val="both"/>
              <w:rPr>
                <w:rFonts w:eastAsia="Calibri"/>
                <w:color w:val="000000"/>
              </w:rPr>
            </w:pPr>
          </w:p>
        </w:tc>
        <w:tc>
          <w:tcPr>
            <w:tcW w:w="2547" w:type="dxa"/>
            <w:vMerge/>
            <w:tcBorders>
              <w:top w:val="single" w:sz="16" w:space="0" w:color="000000"/>
              <w:left w:val="single" w:sz="4" w:space="0" w:color="auto"/>
              <w:bottom w:val="single" w:sz="4" w:space="0" w:color="auto"/>
              <w:right w:val="single" w:sz="4" w:space="0" w:color="auto"/>
            </w:tcBorders>
            <w:shd w:val="clear" w:color="auto" w:fill="FFFFFF"/>
          </w:tcPr>
          <w:p w14:paraId="26C61F22" w14:textId="77777777" w:rsidR="00D80693" w:rsidRPr="008C6788" w:rsidRDefault="00D80693" w:rsidP="001928FA">
            <w:pPr>
              <w:adjustRightInd w:val="0"/>
              <w:spacing w:before="120"/>
              <w:jc w:val="both"/>
              <w:rPr>
                <w:rFonts w:eastAsia="Calibri"/>
                <w:color w:val="000000"/>
              </w:rPr>
            </w:pPr>
          </w:p>
        </w:tc>
        <w:tc>
          <w:tcPr>
            <w:tcW w:w="1276" w:type="dxa"/>
            <w:tcBorders>
              <w:top w:val="nil"/>
              <w:left w:val="single" w:sz="4" w:space="0" w:color="auto"/>
              <w:bottom w:val="single" w:sz="4" w:space="0" w:color="auto"/>
              <w:right w:val="single" w:sz="4" w:space="0" w:color="auto"/>
            </w:tcBorders>
            <w:shd w:val="clear" w:color="auto" w:fill="FFFFFF"/>
            <w:vAlign w:val="center"/>
          </w:tcPr>
          <w:p w14:paraId="19A52F33"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62,4%</w:t>
            </w:r>
          </w:p>
        </w:tc>
        <w:tc>
          <w:tcPr>
            <w:tcW w:w="1134" w:type="dxa"/>
            <w:tcBorders>
              <w:top w:val="nil"/>
              <w:left w:val="single" w:sz="4" w:space="0" w:color="auto"/>
              <w:bottom w:val="single" w:sz="4" w:space="0" w:color="auto"/>
              <w:right w:val="single" w:sz="4" w:space="0" w:color="auto"/>
            </w:tcBorders>
            <w:shd w:val="clear" w:color="auto" w:fill="FFFFFF"/>
            <w:vAlign w:val="center"/>
          </w:tcPr>
          <w:p w14:paraId="711074D1"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30,4%</w:t>
            </w:r>
          </w:p>
        </w:tc>
        <w:tc>
          <w:tcPr>
            <w:tcW w:w="1412" w:type="dxa"/>
            <w:vMerge/>
            <w:tcBorders>
              <w:left w:val="single" w:sz="4" w:space="0" w:color="auto"/>
              <w:bottom w:val="single" w:sz="4" w:space="0" w:color="auto"/>
              <w:right w:val="single" w:sz="4" w:space="0" w:color="auto"/>
            </w:tcBorders>
            <w:shd w:val="clear" w:color="auto" w:fill="FFFFFF"/>
            <w:vAlign w:val="center"/>
          </w:tcPr>
          <w:p w14:paraId="1F5E6619" w14:textId="77777777" w:rsidR="00D80693" w:rsidRPr="008C6788" w:rsidRDefault="00D80693" w:rsidP="001928FA">
            <w:pPr>
              <w:adjustRightInd w:val="0"/>
              <w:spacing w:before="120"/>
              <w:ind w:left="60" w:right="60"/>
              <w:jc w:val="center"/>
              <w:rPr>
                <w:rFonts w:eastAsia="Calibri"/>
                <w:color w:val="000000"/>
                <w:highlight w:val="yellow"/>
              </w:rPr>
            </w:pPr>
          </w:p>
        </w:tc>
        <w:tc>
          <w:tcPr>
            <w:tcW w:w="851" w:type="dxa"/>
            <w:tcBorders>
              <w:top w:val="nil"/>
              <w:left w:val="single" w:sz="4" w:space="0" w:color="auto"/>
              <w:bottom w:val="single" w:sz="4" w:space="0" w:color="auto"/>
              <w:right w:val="single" w:sz="4" w:space="0" w:color="auto"/>
            </w:tcBorders>
            <w:shd w:val="clear" w:color="auto" w:fill="FFFFFF"/>
            <w:vAlign w:val="center"/>
          </w:tcPr>
          <w:p w14:paraId="037F7D6A"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96,6%</w:t>
            </w:r>
          </w:p>
        </w:tc>
      </w:tr>
      <w:tr w:rsidR="00D80693" w14:paraId="26147C6B" w14:textId="77777777" w:rsidTr="00D72320">
        <w:trPr>
          <w:cantSplit/>
          <w:trHeight w:val="314"/>
          <w:jc w:val="center"/>
        </w:trPr>
        <w:tc>
          <w:tcPr>
            <w:tcW w:w="1559" w:type="dxa"/>
            <w:vMerge/>
            <w:tcBorders>
              <w:top w:val="single" w:sz="16" w:space="0" w:color="000000"/>
              <w:left w:val="single" w:sz="4" w:space="0" w:color="auto"/>
              <w:bottom w:val="single" w:sz="4" w:space="0" w:color="auto"/>
              <w:right w:val="single" w:sz="4" w:space="0" w:color="auto"/>
            </w:tcBorders>
            <w:shd w:val="clear" w:color="auto" w:fill="FFFFFF"/>
          </w:tcPr>
          <w:p w14:paraId="54FDB0BE" w14:textId="77777777" w:rsidR="00D80693" w:rsidRPr="008C6788" w:rsidRDefault="00D80693" w:rsidP="001928FA">
            <w:pPr>
              <w:adjustRightInd w:val="0"/>
              <w:spacing w:before="120"/>
              <w:jc w:val="both"/>
              <w:rPr>
                <w:rFonts w:eastAsia="Calibri"/>
                <w:color w:val="000000"/>
              </w:rPr>
            </w:pPr>
          </w:p>
        </w:tc>
        <w:tc>
          <w:tcPr>
            <w:tcW w:w="2547" w:type="dxa"/>
            <w:tcBorders>
              <w:top w:val="single" w:sz="4" w:space="0" w:color="auto"/>
              <w:left w:val="single" w:sz="4" w:space="0" w:color="auto"/>
              <w:bottom w:val="single" w:sz="4" w:space="0" w:color="auto"/>
              <w:right w:val="single" w:sz="4" w:space="0" w:color="auto"/>
            </w:tcBorders>
            <w:shd w:val="clear" w:color="auto" w:fill="FFFFFF"/>
          </w:tcPr>
          <w:p w14:paraId="23724DE1" w14:textId="77777777" w:rsidR="00D80693" w:rsidRPr="008C6788" w:rsidRDefault="00D80693" w:rsidP="001928FA">
            <w:pPr>
              <w:adjustRightInd w:val="0"/>
              <w:spacing w:before="120"/>
              <w:ind w:left="60" w:right="60"/>
              <w:jc w:val="both"/>
              <w:rPr>
                <w:rFonts w:eastAsia="Calibri"/>
                <w:color w:val="000000"/>
              </w:rPr>
            </w:pPr>
            <w:r w:rsidRPr="008C6788">
              <w:rPr>
                <w:rFonts w:eastAsia="Calibri"/>
                <w:color w:val="000000"/>
              </w:rPr>
              <w:t>Les évaluations font que je n'aime pas aller à l'école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2276F1"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9</w:t>
            </w:r>
          </w:p>
          <w:p w14:paraId="0C3A0353"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9E3FBA"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w:t>
            </w:r>
          </w:p>
          <w:p w14:paraId="59FF7B5D"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0,2%</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tcPr>
          <w:p w14:paraId="392C92DA"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7</w:t>
            </w:r>
          </w:p>
          <w:p w14:paraId="7E0A7688" w14:textId="77777777" w:rsidR="00D80693" w:rsidRPr="008C6788" w:rsidRDefault="00D80693" w:rsidP="001928FA">
            <w:pPr>
              <w:adjustRightInd w:val="0"/>
              <w:spacing w:before="120"/>
              <w:ind w:left="60" w:right="60"/>
              <w:jc w:val="center"/>
              <w:rPr>
                <w:rFonts w:eastAsia="Calibri"/>
                <w:color w:val="000000"/>
                <w:highlight w:val="yellow"/>
              </w:rPr>
            </w:pPr>
            <w:r w:rsidRPr="008C6788">
              <w:rPr>
                <w:rFonts w:eastAsia="Calibri"/>
                <w:color w:val="000000"/>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272283A"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17</w:t>
            </w:r>
          </w:p>
          <w:p w14:paraId="207E3DC5"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3,4%</w:t>
            </w:r>
          </w:p>
        </w:tc>
      </w:tr>
      <w:tr w:rsidR="00D80693" w14:paraId="4690B0D3" w14:textId="77777777" w:rsidTr="00D72320">
        <w:trPr>
          <w:cantSplit/>
          <w:jc w:val="center"/>
        </w:trPr>
        <w:tc>
          <w:tcPr>
            <w:tcW w:w="4106" w:type="dxa"/>
            <w:gridSpan w:val="2"/>
            <w:vMerge w:val="restart"/>
            <w:tcBorders>
              <w:top w:val="single" w:sz="4" w:space="0" w:color="auto"/>
              <w:left w:val="single" w:sz="4" w:space="0" w:color="auto"/>
              <w:bottom w:val="nil"/>
              <w:right w:val="single" w:sz="4" w:space="0" w:color="auto"/>
            </w:tcBorders>
            <w:shd w:val="clear" w:color="auto" w:fill="FFFFFF"/>
          </w:tcPr>
          <w:p w14:paraId="7AF5E424" w14:textId="77777777" w:rsidR="00D80693" w:rsidRPr="008C6788" w:rsidRDefault="00D80693" w:rsidP="001928FA">
            <w:pPr>
              <w:adjustRightInd w:val="0"/>
              <w:spacing w:before="120"/>
              <w:ind w:right="60"/>
              <w:rPr>
                <w:rFonts w:eastAsia="Calibri"/>
                <w:color w:val="000000"/>
              </w:rPr>
            </w:pPr>
          </w:p>
          <w:p w14:paraId="463E4006" w14:textId="77777777" w:rsidR="00D80693" w:rsidRPr="008C6788" w:rsidRDefault="00D80693" w:rsidP="001928FA">
            <w:pPr>
              <w:adjustRightInd w:val="0"/>
              <w:spacing w:before="120"/>
              <w:ind w:right="60"/>
              <w:jc w:val="center"/>
              <w:rPr>
                <w:rFonts w:eastAsia="Calibri"/>
                <w:color w:val="000000"/>
              </w:rPr>
            </w:pPr>
            <w:r w:rsidRPr="008C6788">
              <w:rPr>
                <w:rFonts w:eastAsia="Calibri"/>
                <w:color w:val="000000"/>
              </w:rPr>
              <w:t>Total</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5D2B0543"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321</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5675C86F"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153</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973624"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26</w:t>
            </w:r>
          </w:p>
          <w:p w14:paraId="670511E4" w14:textId="77777777" w:rsidR="00D80693" w:rsidRPr="008C6788" w:rsidRDefault="00D80693" w:rsidP="001928FA">
            <w:pPr>
              <w:adjustRightInd w:val="0"/>
              <w:spacing w:before="120"/>
              <w:ind w:left="60" w:right="60"/>
              <w:jc w:val="center"/>
              <w:rPr>
                <w:rFonts w:eastAsia="Calibri"/>
                <w:color w:val="000000"/>
                <w:highlight w:val="yellow"/>
              </w:rPr>
            </w:pPr>
            <w:r w:rsidRPr="008C6788">
              <w:rPr>
                <w:rFonts w:eastAsia="Calibri"/>
                <w:color w:val="000000"/>
              </w:rPr>
              <w:t>5,2%</w:t>
            </w:r>
          </w:p>
        </w:tc>
        <w:tc>
          <w:tcPr>
            <w:tcW w:w="851" w:type="dxa"/>
            <w:tcBorders>
              <w:top w:val="single" w:sz="4" w:space="0" w:color="auto"/>
              <w:left w:val="single" w:sz="4" w:space="0" w:color="auto"/>
              <w:bottom w:val="nil"/>
              <w:right w:val="single" w:sz="4" w:space="0" w:color="auto"/>
            </w:tcBorders>
            <w:shd w:val="clear" w:color="auto" w:fill="FFFFFF"/>
            <w:vAlign w:val="center"/>
          </w:tcPr>
          <w:p w14:paraId="488C39C2"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500</w:t>
            </w:r>
          </w:p>
        </w:tc>
      </w:tr>
      <w:tr w:rsidR="00D80693" w14:paraId="73E0F920" w14:textId="77777777" w:rsidTr="00D72320">
        <w:trPr>
          <w:cantSplit/>
          <w:jc w:val="center"/>
        </w:trPr>
        <w:tc>
          <w:tcPr>
            <w:tcW w:w="4106" w:type="dxa"/>
            <w:gridSpan w:val="2"/>
            <w:vMerge/>
            <w:tcBorders>
              <w:top w:val="nil"/>
              <w:left w:val="single" w:sz="4" w:space="0" w:color="auto"/>
              <w:bottom w:val="single" w:sz="4" w:space="0" w:color="auto"/>
              <w:right w:val="single" w:sz="4" w:space="0" w:color="auto"/>
            </w:tcBorders>
            <w:shd w:val="clear" w:color="auto" w:fill="FFFFFF"/>
          </w:tcPr>
          <w:p w14:paraId="37DC7754" w14:textId="77777777" w:rsidR="00D80693" w:rsidRPr="008C6788" w:rsidRDefault="00D80693" w:rsidP="001928FA">
            <w:pPr>
              <w:adjustRightInd w:val="0"/>
              <w:spacing w:before="120"/>
              <w:rPr>
                <w:rFonts w:eastAsia="Calibri"/>
                <w:color w:val="000000"/>
              </w:rPr>
            </w:pPr>
          </w:p>
        </w:tc>
        <w:tc>
          <w:tcPr>
            <w:tcW w:w="1276" w:type="dxa"/>
            <w:tcBorders>
              <w:top w:val="nil"/>
              <w:left w:val="single" w:sz="4" w:space="0" w:color="auto"/>
              <w:bottom w:val="single" w:sz="4" w:space="0" w:color="auto"/>
              <w:right w:val="single" w:sz="4" w:space="0" w:color="auto"/>
            </w:tcBorders>
            <w:shd w:val="clear" w:color="auto" w:fill="FFFFFF"/>
            <w:vAlign w:val="center"/>
          </w:tcPr>
          <w:p w14:paraId="1FDAA1D7"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64,2%</w:t>
            </w:r>
          </w:p>
        </w:tc>
        <w:tc>
          <w:tcPr>
            <w:tcW w:w="1134" w:type="dxa"/>
            <w:tcBorders>
              <w:top w:val="nil"/>
              <w:left w:val="single" w:sz="4" w:space="0" w:color="auto"/>
              <w:bottom w:val="single" w:sz="4" w:space="0" w:color="auto"/>
              <w:right w:val="single" w:sz="4" w:space="0" w:color="auto"/>
            </w:tcBorders>
            <w:shd w:val="clear" w:color="auto" w:fill="FFFFFF"/>
            <w:vAlign w:val="center"/>
          </w:tcPr>
          <w:p w14:paraId="217F8428"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30,6%</w:t>
            </w:r>
          </w:p>
        </w:tc>
        <w:tc>
          <w:tcPr>
            <w:tcW w:w="1412" w:type="dxa"/>
            <w:vMerge/>
            <w:tcBorders>
              <w:top w:val="nil"/>
              <w:left w:val="single" w:sz="4" w:space="0" w:color="auto"/>
              <w:bottom w:val="single" w:sz="4" w:space="0" w:color="auto"/>
              <w:right w:val="single" w:sz="4" w:space="0" w:color="auto"/>
            </w:tcBorders>
            <w:shd w:val="clear" w:color="auto" w:fill="FFFFFF"/>
            <w:vAlign w:val="center"/>
          </w:tcPr>
          <w:p w14:paraId="33FDBE36" w14:textId="77777777" w:rsidR="00D80693" w:rsidRPr="008C6788" w:rsidRDefault="00D80693" w:rsidP="001928FA">
            <w:pPr>
              <w:adjustRightInd w:val="0"/>
              <w:spacing w:before="120"/>
              <w:ind w:left="60" w:right="60"/>
              <w:jc w:val="center"/>
              <w:rPr>
                <w:rFonts w:eastAsia="Calibri"/>
                <w:color w:val="000000"/>
                <w:highlight w:val="yellow"/>
              </w:rPr>
            </w:pPr>
          </w:p>
        </w:tc>
        <w:tc>
          <w:tcPr>
            <w:tcW w:w="851" w:type="dxa"/>
            <w:tcBorders>
              <w:top w:val="nil"/>
              <w:left w:val="single" w:sz="4" w:space="0" w:color="auto"/>
              <w:bottom w:val="single" w:sz="4" w:space="0" w:color="auto"/>
              <w:right w:val="single" w:sz="4" w:space="0" w:color="auto"/>
            </w:tcBorders>
            <w:shd w:val="clear" w:color="auto" w:fill="FFFFFF"/>
            <w:vAlign w:val="center"/>
          </w:tcPr>
          <w:p w14:paraId="2876E2A1"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100,0%</w:t>
            </w:r>
          </w:p>
        </w:tc>
      </w:tr>
    </w:tbl>
    <w:p w14:paraId="18C23B23" w14:textId="77777777" w:rsidR="00D80693" w:rsidRDefault="00D80693" w:rsidP="001928FA">
      <w:pPr>
        <w:adjustRightInd w:val="0"/>
        <w:spacing w:before="120"/>
        <w:jc w:val="center"/>
        <w:rPr>
          <w:rFonts w:eastAsia="Calibri"/>
          <w:i/>
          <w:iCs/>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6E636097" w14:textId="77777777" w:rsidR="00D80693" w:rsidRPr="001F3123" w:rsidRDefault="00D80693" w:rsidP="001928FA">
      <w:pPr>
        <w:adjustRightInd w:val="0"/>
        <w:spacing w:before="120"/>
        <w:jc w:val="center"/>
        <w:rPr>
          <w:rFonts w:eastAsia="Calibri"/>
          <w:sz w:val="10"/>
          <w:szCs w:val="10"/>
        </w:rPr>
      </w:pPr>
    </w:p>
    <w:p w14:paraId="757D6781" w14:textId="77777777" w:rsidR="00D80693" w:rsidRDefault="00D80693" w:rsidP="00F429F0">
      <w:pPr>
        <w:spacing w:before="120"/>
        <w:jc w:val="both"/>
        <w:rPr>
          <w:rFonts w:eastAsia="Calibri"/>
          <w:bCs/>
          <w:color w:val="000000"/>
          <w:sz w:val="24"/>
          <w:szCs w:val="24"/>
          <w:lang w:eastAsia="fr-FR"/>
        </w:rPr>
      </w:pPr>
      <w:r w:rsidRPr="008240D2">
        <w:rPr>
          <w:rFonts w:eastAsia="Calibri"/>
          <w:bCs/>
          <w:color w:val="000000"/>
          <w:sz w:val="24"/>
          <w:szCs w:val="24"/>
          <w:lang w:eastAsia="fr-FR"/>
        </w:rPr>
        <w:t>Le tableau de contingence des variables « comportements</w:t>
      </w:r>
      <w:r>
        <w:rPr>
          <w:rFonts w:eastAsia="Calibri"/>
          <w:bCs/>
          <w:color w:val="000000"/>
          <w:sz w:val="24"/>
          <w:szCs w:val="24"/>
          <w:lang w:eastAsia="fr-FR"/>
        </w:rPr>
        <w:t xml:space="preserve"> </w:t>
      </w:r>
      <w:r w:rsidRPr="008240D2">
        <w:rPr>
          <w:rFonts w:eastAsia="Calibri"/>
          <w:bCs/>
          <w:color w:val="000000"/>
          <w:sz w:val="24"/>
          <w:szCs w:val="24"/>
          <w:lang w:eastAsia="fr-FR"/>
        </w:rPr>
        <w:t>adopt</w:t>
      </w:r>
      <w:r>
        <w:rPr>
          <w:rFonts w:eastAsia="Calibri"/>
          <w:bCs/>
          <w:color w:val="000000"/>
          <w:sz w:val="24"/>
          <w:szCs w:val="24"/>
          <w:lang w:eastAsia="fr-FR"/>
        </w:rPr>
        <w:t>és</w:t>
      </w:r>
      <w:r w:rsidRPr="008240D2">
        <w:rPr>
          <w:rFonts w:eastAsia="Calibri"/>
          <w:bCs/>
          <w:color w:val="000000"/>
          <w:sz w:val="24"/>
          <w:szCs w:val="24"/>
          <w:lang w:eastAsia="fr-FR"/>
        </w:rPr>
        <w:t xml:space="preserve"> du fait des évaluations » et « sentiments de l’élève </w:t>
      </w:r>
      <w:r>
        <w:rPr>
          <w:rFonts w:eastAsia="Calibri"/>
          <w:bCs/>
          <w:color w:val="000000"/>
          <w:sz w:val="24"/>
          <w:szCs w:val="24"/>
          <w:lang w:eastAsia="fr-FR"/>
        </w:rPr>
        <w:t xml:space="preserve">à l’égard des </w:t>
      </w:r>
      <w:r w:rsidRPr="008240D2">
        <w:rPr>
          <w:rFonts w:eastAsia="Calibri"/>
          <w:bCs/>
          <w:color w:val="000000"/>
          <w:sz w:val="24"/>
          <w:szCs w:val="24"/>
          <w:lang w:eastAsia="fr-FR"/>
        </w:rPr>
        <w:t>évaluations » montre</w:t>
      </w:r>
      <w:r>
        <w:rPr>
          <w:rFonts w:eastAsia="Calibri"/>
          <w:bCs/>
          <w:color w:val="000000"/>
          <w:sz w:val="24"/>
          <w:szCs w:val="24"/>
          <w:lang w:eastAsia="fr-FR"/>
        </w:rPr>
        <w:t xml:space="preserve"> que les apprenants qui affirment détester les évaluations restent cependant majoritairement assidus à l’école. Aussi, la presque totalité de ceux qui affirment craindre les évaluations restent assidus à l’école tout comme ceux qui aiment généralement les évaluations.</w:t>
      </w:r>
    </w:p>
    <w:p w14:paraId="66F8BA5E" w14:textId="77777777" w:rsidR="00D80693" w:rsidRDefault="00D80693" w:rsidP="001928FA">
      <w:pPr>
        <w:shd w:val="clear" w:color="auto" w:fill="FFFFFF" w:themeFill="background1"/>
        <w:adjustRightInd w:val="0"/>
        <w:spacing w:before="120"/>
        <w:jc w:val="both"/>
        <w:rPr>
          <w:rFonts w:eastAsia="Calibri"/>
          <w:bCs/>
          <w:color w:val="000000"/>
          <w:sz w:val="24"/>
          <w:szCs w:val="24"/>
          <w:lang w:eastAsia="fr-FR"/>
        </w:rPr>
      </w:pPr>
      <w:r>
        <w:rPr>
          <w:rFonts w:eastAsia="Calibri"/>
          <w:bCs/>
          <w:color w:val="000000"/>
          <w:sz w:val="24"/>
          <w:szCs w:val="24"/>
          <w:lang w:eastAsia="fr-FR"/>
        </w:rPr>
        <w:t>De ce qui précède, l’on peut retenir que plus les élèves ont un rapport sympathique avec l’évaluation, plus ils sont assidus en classe. Cette conclusion est corroborée par les tests suivants.</w:t>
      </w:r>
    </w:p>
    <w:p w14:paraId="6F12A7C0" w14:textId="77777777" w:rsidR="00D80693" w:rsidRPr="00302924" w:rsidRDefault="00D80693" w:rsidP="001928FA">
      <w:pPr>
        <w:shd w:val="clear" w:color="auto" w:fill="FFFFFF" w:themeFill="background1"/>
        <w:adjustRightInd w:val="0"/>
        <w:spacing w:before="120"/>
        <w:ind w:firstLine="567"/>
        <w:jc w:val="both"/>
        <w:rPr>
          <w:rFonts w:eastAsia="Calibri"/>
          <w:bCs/>
          <w:color w:val="000000"/>
          <w:sz w:val="10"/>
          <w:szCs w:val="10"/>
          <w:lang w:eastAsia="fr-FR"/>
        </w:rPr>
      </w:pPr>
      <w:r>
        <w:rPr>
          <w:rFonts w:eastAsia="Calibri"/>
          <w:bCs/>
          <w:color w:val="000000"/>
          <w:sz w:val="24"/>
          <w:szCs w:val="24"/>
          <w:lang w:eastAsia="fr-FR"/>
        </w:rPr>
        <w:t xml:space="preserve">     </w:t>
      </w:r>
      <w:r w:rsidRPr="008240D2">
        <w:rPr>
          <w:rFonts w:eastAsia="Calibri"/>
          <w:bCs/>
          <w:color w:val="000000"/>
          <w:sz w:val="24"/>
          <w:szCs w:val="24"/>
          <w:lang w:eastAsia="fr-FR"/>
        </w:rPr>
        <w:t xml:space="preserve"> </w:t>
      </w:r>
    </w:p>
    <w:p w14:paraId="39BA5767" w14:textId="77777777" w:rsidR="00D80693" w:rsidRPr="001F3123" w:rsidRDefault="00D80693" w:rsidP="001928FA">
      <w:pPr>
        <w:adjustRightInd w:val="0"/>
        <w:spacing w:before="120"/>
        <w:ind w:left="2694" w:hanging="1418"/>
        <w:jc w:val="center"/>
        <w:rPr>
          <w:rFonts w:eastAsia="Calibri"/>
          <w:b/>
          <w:bCs/>
          <w:i/>
          <w:iCs/>
        </w:rPr>
      </w:pPr>
      <w:r w:rsidRPr="001F3123">
        <w:rPr>
          <w:rFonts w:eastAsia="Calibri"/>
          <w:b/>
          <w:bCs/>
          <w:i/>
          <w:iCs/>
        </w:rPr>
        <w:t>Tableau n°1</w:t>
      </w:r>
      <w:r>
        <w:rPr>
          <w:rFonts w:eastAsia="Calibri"/>
          <w:b/>
          <w:bCs/>
          <w:i/>
          <w:iCs/>
        </w:rPr>
        <w:t>1</w:t>
      </w:r>
      <w:r w:rsidRPr="001F3123">
        <w:rPr>
          <w:rFonts w:eastAsia="Calibri"/>
          <w:b/>
          <w:bCs/>
          <w:i/>
          <w:iCs/>
        </w:rPr>
        <w:t xml:space="preserve"> : Test du Khi-deux</w:t>
      </w:r>
    </w:p>
    <w:tbl>
      <w:tblPr>
        <w:tblW w:w="66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0"/>
        <w:gridCol w:w="1030"/>
        <w:gridCol w:w="1030"/>
        <w:gridCol w:w="1278"/>
      </w:tblGrid>
      <w:tr w:rsidR="00D80693" w14:paraId="10CF2669" w14:textId="77777777" w:rsidTr="00D72320">
        <w:trPr>
          <w:cantSplit/>
          <w:trHeight w:val="88"/>
          <w:jc w:val="center"/>
        </w:trPr>
        <w:tc>
          <w:tcPr>
            <w:tcW w:w="3320" w:type="dxa"/>
            <w:tcBorders>
              <w:top w:val="single" w:sz="4" w:space="0" w:color="auto"/>
              <w:left w:val="single" w:sz="4" w:space="0" w:color="auto"/>
              <w:bottom w:val="single" w:sz="4" w:space="0" w:color="auto"/>
              <w:right w:val="single" w:sz="4" w:space="0" w:color="auto"/>
            </w:tcBorders>
            <w:shd w:val="clear" w:color="auto" w:fill="FFFFFF"/>
            <w:vAlign w:val="bottom"/>
          </w:tcPr>
          <w:p w14:paraId="3CB7DE90" w14:textId="77777777" w:rsidR="00D80693" w:rsidRPr="00BB1B5D" w:rsidRDefault="00D80693" w:rsidP="001928FA">
            <w:pPr>
              <w:spacing w:before="120"/>
              <w:rPr>
                <w:rFonts w:eastAsia="Calibri"/>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74E21379"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Valeur</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20120F02" w14:textId="77777777" w:rsidR="00D80693" w:rsidRPr="008C6788" w:rsidRDefault="00D80693" w:rsidP="001928FA">
            <w:pPr>
              <w:adjustRightInd w:val="0"/>
              <w:spacing w:before="120"/>
              <w:ind w:left="60" w:right="60"/>
              <w:jc w:val="center"/>
              <w:rPr>
                <w:rFonts w:eastAsia="Calibri"/>
                <w:color w:val="000000"/>
              </w:rPr>
            </w:pPr>
            <w:proofErr w:type="gramStart"/>
            <w:r w:rsidRPr="008C6788">
              <w:rPr>
                <w:rFonts w:eastAsia="Calibri"/>
                <w:color w:val="000000"/>
              </w:rPr>
              <w:t>ddl</w:t>
            </w:r>
            <w:proofErr w:type="gramEnd"/>
          </w:p>
        </w:tc>
        <w:tc>
          <w:tcPr>
            <w:tcW w:w="1278" w:type="dxa"/>
            <w:tcBorders>
              <w:top w:val="single" w:sz="4" w:space="0" w:color="auto"/>
              <w:left w:val="single" w:sz="4" w:space="0" w:color="auto"/>
              <w:bottom w:val="single" w:sz="4" w:space="0" w:color="auto"/>
              <w:right w:val="single" w:sz="4" w:space="0" w:color="auto"/>
            </w:tcBorders>
            <w:shd w:val="clear" w:color="auto" w:fill="FFFFFF"/>
            <w:vAlign w:val="bottom"/>
          </w:tcPr>
          <w:p w14:paraId="6FD6718D" w14:textId="77777777" w:rsidR="00D80693" w:rsidRPr="008C6788" w:rsidRDefault="00D80693" w:rsidP="001928FA">
            <w:pPr>
              <w:adjustRightInd w:val="0"/>
              <w:spacing w:before="120"/>
              <w:ind w:left="60" w:right="60"/>
              <w:jc w:val="center"/>
              <w:rPr>
                <w:rFonts w:eastAsia="Calibri"/>
                <w:color w:val="000000"/>
              </w:rPr>
            </w:pPr>
            <w:proofErr w:type="spellStart"/>
            <w:r w:rsidRPr="008C6788">
              <w:rPr>
                <w:rFonts w:eastAsia="Calibri"/>
                <w:color w:val="000000"/>
              </w:rPr>
              <w:t>Sig</w:t>
            </w:r>
            <w:proofErr w:type="spellEnd"/>
            <w:r w:rsidRPr="008C6788">
              <w:rPr>
                <w:rFonts w:eastAsia="Calibri"/>
                <w:color w:val="000000"/>
              </w:rPr>
              <w:t xml:space="preserve">. </w:t>
            </w:r>
            <w:proofErr w:type="gramStart"/>
            <w:r w:rsidRPr="008C6788">
              <w:rPr>
                <w:rFonts w:eastAsia="Calibri"/>
                <w:color w:val="000000"/>
              </w:rPr>
              <w:t>approx</w:t>
            </w:r>
            <w:proofErr w:type="gramEnd"/>
            <w:r w:rsidRPr="008C6788">
              <w:rPr>
                <w:rFonts w:eastAsia="Calibri"/>
                <w:color w:val="000000"/>
              </w:rPr>
              <w:t>. (</w:t>
            </w:r>
            <w:proofErr w:type="gramStart"/>
            <w:r w:rsidRPr="008C6788">
              <w:rPr>
                <w:rFonts w:eastAsia="Calibri"/>
                <w:color w:val="000000"/>
              </w:rPr>
              <w:t>bilatérale</w:t>
            </w:r>
            <w:proofErr w:type="gramEnd"/>
            <w:r w:rsidRPr="008C6788">
              <w:rPr>
                <w:rFonts w:eastAsia="Calibri"/>
                <w:color w:val="000000"/>
              </w:rPr>
              <w:t>)</w:t>
            </w:r>
          </w:p>
        </w:tc>
      </w:tr>
      <w:tr w:rsidR="00D80693" w14:paraId="6826D8B4" w14:textId="77777777" w:rsidTr="00D72320">
        <w:trPr>
          <w:cantSplit/>
          <w:jc w:val="center"/>
        </w:trPr>
        <w:tc>
          <w:tcPr>
            <w:tcW w:w="3320" w:type="dxa"/>
            <w:tcBorders>
              <w:top w:val="single" w:sz="4" w:space="0" w:color="auto"/>
              <w:left w:val="single" w:sz="4" w:space="0" w:color="auto"/>
              <w:bottom w:val="nil"/>
              <w:right w:val="single" w:sz="4" w:space="0" w:color="auto"/>
            </w:tcBorders>
            <w:shd w:val="clear" w:color="auto" w:fill="FFFFFF"/>
          </w:tcPr>
          <w:p w14:paraId="76014B1B" w14:textId="77777777" w:rsidR="00D80693" w:rsidRPr="00302924" w:rsidRDefault="00D80693" w:rsidP="001928FA">
            <w:pPr>
              <w:adjustRightInd w:val="0"/>
              <w:spacing w:before="120"/>
              <w:ind w:left="60" w:right="60"/>
              <w:rPr>
                <w:rFonts w:eastAsia="Calibri"/>
                <w:color w:val="000000"/>
              </w:rPr>
            </w:pPr>
            <w:proofErr w:type="gramStart"/>
            <w:r w:rsidRPr="008C6788">
              <w:rPr>
                <w:rFonts w:eastAsia="Calibri"/>
                <w:color w:val="000000"/>
              </w:rPr>
              <w:t>khi</w:t>
            </w:r>
            <w:proofErr w:type="gramEnd"/>
            <w:r w:rsidRPr="008C6788">
              <w:rPr>
                <w:rFonts w:eastAsia="Calibri"/>
                <w:color w:val="000000"/>
              </w:rPr>
              <w:t>-deux de Pearson</w:t>
            </w:r>
          </w:p>
        </w:tc>
        <w:tc>
          <w:tcPr>
            <w:tcW w:w="1030" w:type="dxa"/>
            <w:tcBorders>
              <w:top w:val="single" w:sz="4" w:space="0" w:color="auto"/>
              <w:left w:val="single" w:sz="4" w:space="0" w:color="auto"/>
              <w:bottom w:val="nil"/>
              <w:right w:val="single" w:sz="4" w:space="0" w:color="auto"/>
            </w:tcBorders>
            <w:shd w:val="clear" w:color="auto" w:fill="FFFFFF"/>
            <w:vAlign w:val="center"/>
          </w:tcPr>
          <w:p w14:paraId="2AAB3728" w14:textId="77777777" w:rsidR="00D80693" w:rsidRPr="008C6788" w:rsidRDefault="00D80693" w:rsidP="001928FA">
            <w:pPr>
              <w:adjustRightInd w:val="0"/>
              <w:spacing w:before="120"/>
              <w:ind w:left="60" w:right="60"/>
              <w:jc w:val="right"/>
              <w:rPr>
                <w:rFonts w:eastAsia="Calibri"/>
                <w:color w:val="000000"/>
              </w:rPr>
            </w:pPr>
            <w:r w:rsidRPr="008C6788">
              <w:rPr>
                <w:rFonts w:eastAsia="Calibri"/>
                <w:color w:val="000000"/>
              </w:rPr>
              <w:t>85,424</w:t>
            </w:r>
            <w:r w:rsidRPr="008C6788">
              <w:rPr>
                <w:rFonts w:eastAsia="Calibri"/>
                <w:color w:val="000000"/>
                <w:vertAlign w:val="superscript"/>
              </w:rPr>
              <w:t>a</w:t>
            </w:r>
          </w:p>
        </w:tc>
        <w:tc>
          <w:tcPr>
            <w:tcW w:w="1030" w:type="dxa"/>
            <w:tcBorders>
              <w:top w:val="single" w:sz="4" w:space="0" w:color="auto"/>
              <w:left w:val="single" w:sz="4" w:space="0" w:color="auto"/>
              <w:bottom w:val="nil"/>
              <w:right w:val="single" w:sz="4" w:space="0" w:color="auto"/>
            </w:tcBorders>
            <w:shd w:val="clear" w:color="auto" w:fill="FFFFFF"/>
            <w:vAlign w:val="center"/>
          </w:tcPr>
          <w:p w14:paraId="056FC630"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12</w:t>
            </w:r>
          </w:p>
        </w:tc>
        <w:tc>
          <w:tcPr>
            <w:tcW w:w="1278" w:type="dxa"/>
            <w:tcBorders>
              <w:top w:val="single" w:sz="4" w:space="0" w:color="auto"/>
              <w:left w:val="single" w:sz="4" w:space="0" w:color="auto"/>
              <w:bottom w:val="nil"/>
              <w:right w:val="single" w:sz="4" w:space="0" w:color="auto"/>
            </w:tcBorders>
            <w:shd w:val="clear" w:color="auto" w:fill="FFFFFF"/>
            <w:vAlign w:val="center"/>
          </w:tcPr>
          <w:p w14:paraId="2C12CBF2"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,000</w:t>
            </w:r>
          </w:p>
        </w:tc>
      </w:tr>
      <w:tr w:rsidR="00D80693" w14:paraId="1A0FF2BC" w14:textId="77777777" w:rsidTr="00D72320">
        <w:trPr>
          <w:cantSplit/>
          <w:jc w:val="center"/>
        </w:trPr>
        <w:tc>
          <w:tcPr>
            <w:tcW w:w="3320" w:type="dxa"/>
            <w:tcBorders>
              <w:top w:val="nil"/>
              <w:left w:val="single" w:sz="4" w:space="0" w:color="auto"/>
              <w:bottom w:val="nil"/>
              <w:right w:val="single" w:sz="4" w:space="0" w:color="auto"/>
            </w:tcBorders>
            <w:shd w:val="clear" w:color="auto" w:fill="FFFFFF"/>
          </w:tcPr>
          <w:p w14:paraId="355470C5" w14:textId="77777777" w:rsidR="00D80693" w:rsidRPr="008C6788" w:rsidRDefault="00D80693" w:rsidP="001928FA">
            <w:pPr>
              <w:adjustRightInd w:val="0"/>
              <w:spacing w:before="120"/>
              <w:ind w:left="60" w:right="60"/>
              <w:rPr>
                <w:rFonts w:eastAsia="Calibri"/>
                <w:color w:val="000000"/>
              </w:rPr>
            </w:pPr>
            <w:r w:rsidRPr="008C6788">
              <w:rPr>
                <w:rFonts w:eastAsia="Calibri"/>
                <w:color w:val="000000"/>
              </w:rPr>
              <w:t>Rapport de vraisemblance</w:t>
            </w:r>
          </w:p>
        </w:tc>
        <w:tc>
          <w:tcPr>
            <w:tcW w:w="1030" w:type="dxa"/>
            <w:tcBorders>
              <w:top w:val="nil"/>
              <w:left w:val="single" w:sz="4" w:space="0" w:color="auto"/>
              <w:bottom w:val="nil"/>
              <w:right w:val="single" w:sz="4" w:space="0" w:color="auto"/>
            </w:tcBorders>
            <w:shd w:val="clear" w:color="auto" w:fill="FFFFFF"/>
            <w:vAlign w:val="center"/>
          </w:tcPr>
          <w:p w14:paraId="03770751" w14:textId="77777777" w:rsidR="00D80693" w:rsidRPr="008C6788" w:rsidRDefault="00D80693" w:rsidP="001928FA">
            <w:pPr>
              <w:adjustRightInd w:val="0"/>
              <w:spacing w:before="120"/>
              <w:ind w:left="60" w:right="60"/>
              <w:jc w:val="right"/>
              <w:rPr>
                <w:rFonts w:eastAsia="Calibri"/>
                <w:color w:val="000000"/>
              </w:rPr>
            </w:pPr>
            <w:r w:rsidRPr="008C6788">
              <w:rPr>
                <w:rFonts w:eastAsia="Calibri"/>
                <w:color w:val="000000"/>
              </w:rPr>
              <w:t>31,415</w:t>
            </w:r>
          </w:p>
        </w:tc>
        <w:tc>
          <w:tcPr>
            <w:tcW w:w="1030" w:type="dxa"/>
            <w:tcBorders>
              <w:top w:val="nil"/>
              <w:left w:val="single" w:sz="4" w:space="0" w:color="auto"/>
              <w:bottom w:val="nil"/>
              <w:right w:val="single" w:sz="4" w:space="0" w:color="auto"/>
            </w:tcBorders>
            <w:shd w:val="clear" w:color="auto" w:fill="FFFFFF"/>
            <w:vAlign w:val="center"/>
          </w:tcPr>
          <w:p w14:paraId="0860686D"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12</w:t>
            </w:r>
          </w:p>
        </w:tc>
        <w:tc>
          <w:tcPr>
            <w:tcW w:w="1278" w:type="dxa"/>
            <w:tcBorders>
              <w:top w:val="nil"/>
              <w:left w:val="single" w:sz="4" w:space="0" w:color="auto"/>
              <w:bottom w:val="nil"/>
              <w:right w:val="single" w:sz="4" w:space="0" w:color="auto"/>
            </w:tcBorders>
            <w:shd w:val="clear" w:color="auto" w:fill="FFFFFF"/>
            <w:vAlign w:val="center"/>
          </w:tcPr>
          <w:p w14:paraId="7592C156"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,002</w:t>
            </w:r>
          </w:p>
        </w:tc>
      </w:tr>
      <w:tr w:rsidR="00D80693" w14:paraId="196F1673" w14:textId="77777777" w:rsidTr="00D72320">
        <w:trPr>
          <w:cantSplit/>
          <w:trHeight w:val="70"/>
          <w:jc w:val="center"/>
        </w:trPr>
        <w:tc>
          <w:tcPr>
            <w:tcW w:w="3320" w:type="dxa"/>
            <w:tcBorders>
              <w:top w:val="nil"/>
              <w:left w:val="single" w:sz="4" w:space="0" w:color="auto"/>
              <w:bottom w:val="nil"/>
              <w:right w:val="single" w:sz="4" w:space="0" w:color="auto"/>
            </w:tcBorders>
            <w:shd w:val="clear" w:color="auto" w:fill="FFFFFF"/>
          </w:tcPr>
          <w:p w14:paraId="70DFDEC0" w14:textId="77777777" w:rsidR="00D80693" w:rsidRPr="008C6788" w:rsidRDefault="00D80693" w:rsidP="001928FA">
            <w:pPr>
              <w:adjustRightInd w:val="0"/>
              <w:spacing w:before="120"/>
              <w:ind w:left="60" w:right="60"/>
              <w:rPr>
                <w:rFonts w:eastAsia="Calibri"/>
                <w:color w:val="000000"/>
              </w:rPr>
            </w:pPr>
            <w:r w:rsidRPr="008C6788">
              <w:rPr>
                <w:rFonts w:eastAsia="Calibri"/>
                <w:color w:val="000000"/>
              </w:rPr>
              <w:t>Association linéaire par linéaire</w:t>
            </w:r>
          </w:p>
        </w:tc>
        <w:tc>
          <w:tcPr>
            <w:tcW w:w="1030" w:type="dxa"/>
            <w:tcBorders>
              <w:top w:val="nil"/>
              <w:left w:val="single" w:sz="4" w:space="0" w:color="auto"/>
              <w:bottom w:val="nil"/>
              <w:right w:val="single" w:sz="4" w:space="0" w:color="auto"/>
            </w:tcBorders>
            <w:shd w:val="clear" w:color="auto" w:fill="FFFFFF"/>
            <w:vAlign w:val="center"/>
          </w:tcPr>
          <w:p w14:paraId="57715E64" w14:textId="77777777" w:rsidR="00D80693" w:rsidRPr="008C6788" w:rsidRDefault="00D80693" w:rsidP="001928FA">
            <w:pPr>
              <w:adjustRightInd w:val="0"/>
              <w:spacing w:before="120"/>
              <w:ind w:left="60" w:right="60"/>
              <w:jc w:val="right"/>
              <w:rPr>
                <w:rFonts w:eastAsia="Calibri"/>
                <w:color w:val="000000"/>
              </w:rPr>
            </w:pPr>
            <w:r w:rsidRPr="008C6788">
              <w:rPr>
                <w:rFonts w:eastAsia="Calibri"/>
                <w:color w:val="000000"/>
              </w:rPr>
              <w:t>7,679</w:t>
            </w:r>
          </w:p>
        </w:tc>
        <w:tc>
          <w:tcPr>
            <w:tcW w:w="1030" w:type="dxa"/>
            <w:tcBorders>
              <w:top w:val="nil"/>
              <w:left w:val="single" w:sz="4" w:space="0" w:color="auto"/>
              <w:bottom w:val="nil"/>
              <w:right w:val="single" w:sz="4" w:space="0" w:color="auto"/>
            </w:tcBorders>
            <w:shd w:val="clear" w:color="auto" w:fill="FFFFFF"/>
            <w:vAlign w:val="center"/>
          </w:tcPr>
          <w:p w14:paraId="333EF8DF"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1</w:t>
            </w:r>
          </w:p>
        </w:tc>
        <w:tc>
          <w:tcPr>
            <w:tcW w:w="1278" w:type="dxa"/>
            <w:tcBorders>
              <w:top w:val="nil"/>
              <w:left w:val="single" w:sz="4" w:space="0" w:color="auto"/>
              <w:bottom w:val="nil"/>
              <w:right w:val="single" w:sz="4" w:space="0" w:color="auto"/>
            </w:tcBorders>
            <w:shd w:val="clear" w:color="auto" w:fill="FFFFFF"/>
            <w:vAlign w:val="center"/>
          </w:tcPr>
          <w:p w14:paraId="11DE54FD" w14:textId="77777777" w:rsidR="00D80693" w:rsidRPr="008C6788" w:rsidRDefault="00D80693" w:rsidP="001928FA">
            <w:pPr>
              <w:adjustRightInd w:val="0"/>
              <w:spacing w:before="120"/>
              <w:ind w:left="60" w:right="60"/>
              <w:jc w:val="center"/>
              <w:rPr>
                <w:rFonts w:eastAsia="Calibri"/>
                <w:color w:val="000000"/>
              </w:rPr>
            </w:pPr>
            <w:r w:rsidRPr="008C6788">
              <w:rPr>
                <w:rFonts w:eastAsia="Calibri"/>
                <w:color w:val="000000"/>
              </w:rPr>
              <w:t>,006</w:t>
            </w:r>
          </w:p>
        </w:tc>
      </w:tr>
      <w:tr w:rsidR="00D80693" w14:paraId="0FBA6965" w14:textId="77777777" w:rsidTr="00D72320">
        <w:trPr>
          <w:cantSplit/>
          <w:jc w:val="center"/>
        </w:trPr>
        <w:tc>
          <w:tcPr>
            <w:tcW w:w="3320" w:type="dxa"/>
            <w:tcBorders>
              <w:top w:val="nil"/>
              <w:left w:val="single" w:sz="4" w:space="0" w:color="auto"/>
              <w:bottom w:val="single" w:sz="4" w:space="0" w:color="auto"/>
              <w:right w:val="single" w:sz="4" w:space="0" w:color="auto"/>
            </w:tcBorders>
            <w:shd w:val="clear" w:color="auto" w:fill="FFFFFF"/>
          </w:tcPr>
          <w:p w14:paraId="55BCF784" w14:textId="77777777" w:rsidR="00D80693" w:rsidRPr="008C6788" w:rsidRDefault="00D80693" w:rsidP="001928FA">
            <w:pPr>
              <w:adjustRightInd w:val="0"/>
              <w:spacing w:before="120"/>
              <w:ind w:left="60" w:right="60"/>
              <w:rPr>
                <w:rFonts w:eastAsia="Calibri"/>
                <w:color w:val="000000"/>
              </w:rPr>
            </w:pPr>
            <w:r w:rsidRPr="008C6788">
              <w:rPr>
                <w:rFonts w:eastAsia="Calibri"/>
                <w:color w:val="000000"/>
              </w:rPr>
              <w:t>N d'observations valides</w:t>
            </w:r>
          </w:p>
        </w:tc>
        <w:tc>
          <w:tcPr>
            <w:tcW w:w="1030" w:type="dxa"/>
            <w:tcBorders>
              <w:top w:val="nil"/>
              <w:left w:val="single" w:sz="4" w:space="0" w:color="auto"/>
              <w:bottom w:val="single" w:sz="4" w:space="0" w:color="auto"/>
              <w:right w:val="single" w:sz="4" w:space="0" w:color="auto"/>
            </w:tcBorders>
            <w:shd w:val="clear" w:color="auto" w:fill="FFFFFF"/>
            <w:vAlign w:val="center"/>
          </w:tcPr>
          <w:p w14:paraId="4D707691" w14:textId="77777777" w:rsidR="00D80693" w:rsidRPr="008C6788" w:rsidRDefault="00D80693" w:rsidP="001928FA">
            <w:pPr>
              <w:adjustRightInd w:val="0"/>
              <w:spacing w:before="120"/>
              <w:ind w:left="60" w:right="60"/>
              <w:jc w:val="right"/>
              <w:rPr>
                <w:rFonts w:eastAsia="Calibri"/>
                <w:color w:val="000000"/>
              </w:rPr>
            </w:pPr>
            <w:r w:rsidRPr="008C6788">
              <w:rPr>
                <w:rFonts w:eastAsia="Calibri"/>
                <w:color w:val="000000"/>
              </w:rPr>
              <w:t>500</w:t>
            </w:r>
          </w:p>
        </w:tc>
        <w:tc>
          <w:tcPr>
            <w:tcW w:w="1030" w:type="dxa"/>
            <w:tcBorders>
              <w:top w:val="nil"/>
              <w:left w:val="single" w:sz="4" w:space="0" w:color="auto"/>
              <w:bottom w:val="single" w:sz="4" w:space="0" w:color="auto"/>
              <w:right w:val="single" w:sz="4" w:space="0" w:color="auto"/>
            </w:tcBorders>
            <w:shd w:val="clear" w:color="auto" w:fill="FFFFFF"/>
            <w:vAlign w:val="center"/>
          </w:tcPr>
          <w:p w14:paraId="6E817CED" w14:textId="77777777" w:rsidR="00D80693" w:rsidRPr="008C6788" w:rsidRDefault="00D80693" w:rsidP="001928FA">
            <w:pPr>
              <w:adjustRightInd w:val="0"/>
              <w:spacing w:before="120"/>
              <w:rPr>
                <w:rFonts w:eastAsia="Calibri"/>
              </w:rPr>
            </w:pPr>
          </w:p>
        </w:tc>
        <w:tc>
          <w:tcPr>
            <w:tcW w:w="1278" w:type="dxa"/>
            <w:tcBorders>
              <w:top w:val="nil"/>
              <w:left w:val="single" w:sz="4" w:space="0" w:color="auto"/>
              <w:bottom w:val="single" w:sz="4" w:space="0" w:color="auto"/>
              <w:right w:val="single" w:sz="4" w:space="0" w:color="auto"/>
            </w:tcBorders>
            <w:shd w:val="clear" w:color="auto" w:fill="FFFFFF"/>
            <w:vAlign w:val="center"/>
          </w:tcPr>
          <w:p w14:paraId="78A291A5" w14:textId="77777777" w:rsidR="00D80693" w:rsidRPr="008C6788" w:rsidRDefault="00D80693" w:rsidP="001928FA">
            <w:pPr>
              <w:adjustRightInd w:val="0"/>
              <w:spacing w:before="120"/>
              <w:rPr>
                <w:rFonts w:eastAsia="Calibri"/>
              </w:rPr>
            </w:pPr>
          </w:p>
        </w:tc>
      </w:tr>
      <w:tr w:rsidR="00D80693" w14:paraId="67342283" w14:textId="77777777" w:rsidTr="00D72320">
        <w:trPr>
          <w:cantSplit/>
          <w:jc w:val="center"/>
        </w:trPr>
        <w:tc>
          <w:tcPr>
            <w:tcW w:w="6658" w:type="dxa"/>
            <w:gridSpan w:val="4"/>
            <w:tcBorders>
              <w:top w:val="single" w:sz="4" w:space="0" w:color="auto"/>
              <w:left w:val="nil"/>
              <w:bottom w:val="nil"/>
              <w:right w:val="nil"/>
            </w:tcBorders>
            <w:shd w:val="clear" w:color="auto" w:fill="FFFFFF"/>
          </w:tcPr>
          <w:p w14:paraId="7D6A044E" w14:textId="77777777" w:rsidR="00D80693" w:rsidRPr="008C6788" w:rsidRDefault="00D80693" w:rsidP="001928FA">
            <w:pPr>
              <w:adjustRightInd w:val="0"/>
              <w:spacing w:before="120"/>
              <w:ind w:left="60" w:right="60"/>
              <w:rPr>
                <w:rFonts w:eastAsia="Calibri"/>
                <w:i/>
                <w:iCs/>
                <w:color w:val="000000"/>
              </w:rPr>
            </w:pPr>
            <w:r w:rsidRPr="00BB1B5D">
              <w:rPr>
                <w:rFonts w:eastAsia="Calibri"/>
                <w:i/>
                <w:iCs/>
                <w:color w:val="000000"/>
                <w:sz w:val="20"/>
                <w:szCs w:val="20"/>
              </w:rPr>
              <w:t>a. 16 cellules (80,0%) ont un effectif théorique inférieur à 5. L'effectif théorique minimum est de ,00.</w:t>
            </w:r>
          </w:p>
        </w:tc>
      </w:tr>
    </w:tbl>
    <w:p w14:paraId="561CF74C" w14:textId="77777777" w:rsidR="00D80693" w:rsidRDefault="00D80693" w:rsidP="001928FA">
      <w:pPr>
        <w:adjustRightInd w:val="0"/>
        <w:spacing w:before="120"/>
        <w:jc w:val="center"/>
        <w:rPr>
          <w:rFonts w:eastAsia="Calibri"/>
          <w:i/>
          <w:iCs/>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3047F42E" w14:textId="77777777" w:rsidR="00D80693" w:rsidRPr="00302924" w:rsidRDefault="00D80693" w:rsidP="001928FA">
      <w:pPr>
        <w:adjustRightInd w:val="0"/>
        <w:spacing w:before="120"/>
        <w:jc w:val="center"/>
        <w:rPr>
          <w:rFonts w:eastAsia="Calibri"/>
          <w:i/>
          <w:iCs/>
          <w:sz w:val="2"/>
          <w:szCs w:val="2"/>
        </w:rPr>
      </w:pPr>
    </w:p>
    <w:p w14:paraId="0D4330CF" w14:textId="77777777" w:rsidR="00F429F0" w:rsidRDefault="00D80693" w:rsidP="00F429F0">
      <w:pPr>
        <w:spacing w:before="120"/>
        <w:jc w:val="both"/>
        <w:rPr>
          <w:rFonts w:eastAsia="Calibri"/>
          <w:bCs/>
          <w:color w:val="000000"/>
          <w:sz w:val="24"/>
          <w:szCs w:val="24"/>
          <w:lang w:eastAsia="fr-FR"/>
        </w:rPr>
      </w:pPr>
      <w:r w:rsidRPr="00CE3A66">
        <w:rPr>
          <w:rFonts w:eastAsia="Calibri"/>
          <w:bCs/>
          <w:color w:val="000000"/>
          <w:sz w:val="24"/>
          <w:szCs w:val="24"/>
          <w:lang w:eastAsia="fr-FR"/>
        </w:rPr>
        <w:t xml:space="preserve">Le tableau précédent </w:t>
      </w:r>
      <w:r w:rsidRPr="00C1242E">
        <w:rPr>
          <w:rFonts w:eastAsia="Calibri"/>
          <w:bCs/>
          <w:color w:val="000000"/>
          <w:sz w:val="24"/>
          <w:szCs w:val="24"/>
          <w:lang w:eastAsia="fr-FR"/>
        </w:rPr>
        <w:t>présente</w:t>
      </w:r>
      <w:r w:rsidRPr="00CE3A66">
        <w:rPr>
          <w:rFonts w:eastAsia="Calibri"/>
          <w:bCs/>
          <w:color w:val="000000"/>
          <w:sz w:val="24"/>
          <w:szCs w:val="24"/>
          <w:lang w:eastAsia="fr-FR"/>
        </w:rPr>
        <w:t xml:space="preserve"> un pourcentage de cellules dont l’effectif théorique inférieur à 5 est supérieur à 25% (80% &gt; 25%).  Le test Khi deux n’est donc pas valide. Toutefois, la p-value = 0,000 &lt; 0,05 indique que la relation est significative. En considérant le test du rapport de vraisemblance, la relation apparait significative, car la p-value = 0,002 est inférieure à 0,05. Qu’en est-il des mesures asymétriques ?</w:t>
      </w:r>
    </w:p>
    <w:p w14:paraId="707A1249" w14:textId="002457A6" w:rsidR="00D80693" w:rsidRPr="001F3123" w:rsidRDefault="00D80693" w:rsidP="00F429F0">
      <w:pPr>
        <w:spacing w:before="120"/>
        <w:jc w:val="both"/>
        <w:rPr>
          <w:rFonts w:eastAsia="Calibri"/>
          <w:b/>
          <w:bCs/>
          <w:i/>
          <w:iCs/>
        </w:rPr>
      </w:pPr>
      <w:r w:rsidRPr="001F3123">
        <w:rPr>
          <w:rFonts w:eastAsia="Calibri"/>
          <w:b/>
          <w:bCs/>
          <w:i/>
          <w:iCs/>
        </w:rPr>
        <w:t>Tableau n°1</w:t>
      </w:r>
      <w:r>
        <w:rPr>
          <w:rFonts w:eastAsia="Calibri"/>
          <w:b/>
          <w:bCs/>
          <w:i/>
          <w:iCs/>
        </w:rPr>
        <w:t>2</w:t>
      </w:r>
      <w:r w:rsidRPr="001F3123">
        <w:rPr>
          <w:rFonts w:eastAsia="Calibri"/>
          <w:b/>
          <w:bCs/>
          <w:i/>
          <w:iCs/>
        </w:rPr>
        <w:t xml:space="preserve"> : Mesures symétriques</w:t>
      </w:r>
    </w:p>
    <w:tbl>
      <w:tblPr>
        <w:tblW w:w="75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2"/>
        <w:gridCol w:w="2345"/>
        <w:gridCol w:w="1180"/>
        <w:gridCol w:w="1361"/>
      </w:tblGrid>
      <w:tr w:rsidR="00D80693" w14:paraId="65184550" w14:textId="77777777" w:rsidTr="00D72320">
        <w:trPr>
          <w:cantSplit/>
          <w:trHeight w:val="221"/>
          <w:jc w:val="center"/>
        </w:trPr>
        <w:tc>
          <w:tcPr>
            <w:tcW w:w="496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61C75A1" w14:textId="77777777" w:rsidR="00D80693" w:rsidRPr="00F70FCF" w:rsidRDefault="00D80693" w:rsidP="001928FA">
            <w:pPr>
              <w:adjustRightInd w:val="0"/>
              <w:spacing w:before="120"/>
              <w:rPr>
                <w:rFonts w:eastAsia="Calibri"/>
              </w:rPr>
            </w:pPr>
          </w:p>
        </w:tc>
        <w:tc>
          <w:tcPr>
            <w:tcW w:w="1180" w:type="dxa"/>
            <w:tcBorders>
              <w:top w:val="single" w:sz="4" w:space="0" w:color="auto"/>
              <w:left w:val="single" w:sz="4" w:space="0" w:color="auto"/>
              <w:bottom w:val="single" w:sz="4" w:space="0" w:color="auto"/>
              <w:right w:val="single" w:sz="4" w:space="0" w:color="auto"/>
            </w:tcBorders>
            <w:shd w:val="clear" w:color="auto" w:fill="FFFFFF"/>
            <w:vAlign w:val="bottom"/>
          </w:tcPr>
          <w:p w14:paraId="5CD965B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Valeur</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bottom"/>
          </w:tcPr>
          <w:p w14:paraId="1B213C7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Signification approx.</w:t>
            </w:r>
          </w:p>
        </w:tc>
      </w:tr>
      <w:tr w:rsidR="00D80693" w14:paraId="2F7CF735" w14:textId="77777777" w:rsidTr="00D72320">
        <w:trPr>
          <w:cantSplit/>
          <w:jc w:val="center"/>
        </w:trPr>
        <w:tc>
          <w:tcPr>
            <w:tcW w:w="2622" w:type="dxa"/>
            <w:vMerge w:val="restart"/>
            <w:tcBorders>
              <w:top w:val="single" w:sz="4" w:space="0" w:color="auto"/>
              <w:left w:val="single" w:sz="4" w:space="0" w:color="auto"/>
              <w:bottom w:val="nil"/>
              <w:right w:val="nil"/>
            </w:tcBorders>
            <w:shd w:val="clear" w:color="auto" w:fill="FFFFFF"/>
          </w:tcPr>
          <w:p w14:paraId="6F2809D7"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Nominal par Nominal</w:t>
            </w:r>
          </w:p>
        </w:tc>
        <w:tc>
          <w:tcPr>
            <w:tcW w:w="2345" w:type="dxa"/>
            <w:tcBorders>
              <w:top w:val="single" w:sz="4" w:space="0" w:color="auto"/>
              <w:left w:val="nil"/>
              <w:bottom w:val="nil"/>
              <w:right w:val="single" w:sz="4" w:space="0" w:color="auto"/>
            </w:tcBorders>
            <w:shd w:val="clear" w:color="auto" w:fill="FFFFFF"/>
          </w:tcPr>
          <w:p w14:paraId="6E0E8001"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Phi</w:t>
            </w:r>
          </w:p>
        </w:tc>
        <w:tc>
          <w:tcPr>
            <w:tcW w:w="1180" w:type="dxa"/>
            <w:tcBorders>
              <w:top w:val="single" w:sz="4" w:space="0" w:color="auto"/>
              <w:left w:val="single" w:sz="4" w:space="0" w:color="auto"/>
              <w:bottom w:val="nil"/>
              <w:right w:val="single" w:sz="4" w:space="0" w:color="auto"/>
            </w:tcBorders>
            <w:shd w:val="clear" w:color="auto" w:fill="FFFFFF"/>
            <w:vAlign w:val="center"/>
          </w:tcPr>
          <w:p w14:paraId="3D518CC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,413</w:t>
            </w:r>
          </w:p>
        </w:tc>
        <w:tc>
          <w:tcPr>
            <w:tcW w:w="1361" w:type="dxa"/>
            <w:tcBorders>
              <w:top w:val="single" w:sz="4" w:space="0" w:color="auto"/>
              <w:left w:val="single" w:sz="4" w:space="0" w:color="auto"/>
              <w:bottom w:val="nil"/>
              <w:right w:val="single" w:sz="4" w:space="0" w:color="auto"/>
            </w:tcBorders>
            <w:shd w:val="clear" w:color="auto" w:fill="FFFFFF"/>
            <w:vAlign w:val="center"/>
          </w:tcPr>
          <w:p w14:paraId="7C9306E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40CFA7A5" w14:textId="77777777" w:rsidTr="00D72320">
        <w:trPr>
          <w:cantSplit/>
          <w:jc w:val="center"/>
        </w:trPr>
        <w:tc>
          <w:tcPr>
            <w:tcW w:w="2622" w:type="dxa"/>
            <w:vMerge/>
            <w:tcBorders>
              <w:top w:val="single" w:sz="16" w:space="0" w:color="000000"/>
              <w:left w:val="single" w:sz="4" w:space="0" w:color="auto"/>
              <w:bottom w:val="nil"/>
              <w:right w:val="nil"/>
            </w:tcBorders>
            <w:shd w:val="clear" w:color="auto" w:fill="FFFFFF"/>
          </w:tcPr>
          <w:p w14:paraId="682468B8" w14:textId="77777777" w:rsidR="00D80693" w:rsidRPr="00F70FCF" w:rsidRDefault="00D80693" w:rsidP="001928FA">
            <w:pPr>
              <w:adjustRightInd w:val="0"/>
              <w:spacing w:before="120"/>
              <w:rPr>
                <w:rFonts w:eastAsia="Calibri"/>
                <w:color w:val="000000"/>
              </w:rPr>
            </w:pPr>
          </w:p>
        </w:tc>
        <w:tc>
          <w:tcPr>
            <w:tcW w:w="2345" w:type="dxa"/>
            <w:tcBorders>
              <w:top w:val="nil"/>
              <w:left w:val="nil"/>
              <w:bottom w:val="nil"/>
              <w:right w:val="single" w:sz="4" w:space="0" w:color="auto"/>
            </w:tcBorders>
            <w:shd w:val="clear" w:color="auto" w:fill="FFFFFF"/>
          </w:tcPr>
          <w:p w14:paraId="57D24B16"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V de Cramer</w:t>
            </w:r>
          </w:p>
        </w:tc>
        <w:tc>
          <w:tcPr>
            <w:tcW w:w="1180" w:type="dxa"/>
            <w:tcBorders>
              <w:top w:val="nil"/>
              <w:left w:val="single" w:sz="4" w:space="0" w:color="auto"/>
              <w:bottom w:val="nil"/>
              <w:right w:val="single" w:sz="4" w:space="0" w:color="auto"/>
            </w:tcBorders>
            <w:shd w:val="clear" w:color="auto" w:fill="FFFFFF"/>
            <w:vAlign w:val="center"/>
          </w:tcPr>
          <w:p w14:paraId="3997689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,239</w:t>
            </w:r>
          </w:p>
        </w:tc>
        <w:tc>
          <w:tcPr>
            <w:tcW w:w="1361" w:type="dxa"/>
            <w:tcBorders>
              <w:top w:val="nil"/>
              <w:left w:val="single" w:sz="4" w:space="0" w:color="auto"/>
              <w:bottom w:val="nil"/>
              <w:right w:val="single" w:sz="4" w:space="0" w:color="auto"/>
            </w:tcBorders>
            <w:shd w:val="clear" w:color="auto" w:fill="FFFFFF"/>
            <w:vAlign w:val="center"/>
          </w:tcPr>
          <w:p w14:paraId="0093CA9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5131B6D6" w14:textId="77777777" w:rsidTr="00D72320">
        <w:trPr>
          <w:cantSplit/>
          <w:jc w:val="center"/>
        </w:trPr>
        <w:tc>
          <w:tcPr>
            <w:tcW w:w="2622" w:type="dxa"/>
            <w:vMerge/>
            <w:tcBorders>
              <w:top w:val="single" w:sz="16" w:space="0" w:color="000000"/>
              <w:left w:val="single" w:sz="4" w:space="0" w:color="auto"/>
              <w:bottom w:val="nil"/>
              <w:right w:val="nil"/>
            </w:tcBorders>
            <w:shd w:val="clear" w:color="auto" w:fill="FFFFFF"/>
          </w:tcPr>
          <w:p w14:paraId="795F45E6" w14:textId="77777777" w:rsidR="00D80693" w:rsidRPr="00F70FCF" w:rsidRDefault="00D80693" w:rsidP="001928FA">
            <w:pPr>
              <w:adjustRightInd w:val="0"/>
              <w:spacing w:before="120"/>
              <w:rPr>
                <w:rFonts w:eastAsia="Calibri"/>
                <w:color w:val="000000"/>
              </w:rPr>
            </w:pPr>
          </w:p>
        </w:tc>
        <w:tc>
          <w:tcPr>
            <w:tcW w:w="2345" w:type="dxa"/>
            <w:tcBorders>
              <w:top w:val="nil"/>
              <w:left w:val="nil"/>
              <w:bottom w:val="nil"/>
              <w:right w:val="single" w:sz="4" w:space="0" w:color="auto"/>
            </w:tcBorders>
            <w:shd w:val="clear" w:color="auto" w:fill="FFFFFF"/>
          </w:tcPr>
          <w:p w14:paraId="57096F81"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Coefficient de contingence</w:t>
            </w:r>
          </w:p>
        </w:tc>
        <w:tc>
          <w:tcPr>
            <w:tcW w:w="1180" w:type="dxa"/>
            <w:tcBorders>
              <w:top w:val="nil"/>
              <w:left w:val="single" w:sz="4" w:space="0" w:color="auto"/>
              <w:bottom w:val="nil"/>
              <w:right w:val="single" w:sz="4" w:space="0" w:color="auto"/>
            </w:tcBorders>
            <w:shd w:val="clear" w:color="auto" w:fill="FFFFFF"/>
            <w:vAlign w:val="center"/>
          </w:tcPr>
          <w:p w14:paraId="200797E2"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,382</w:t>
            </w:r>
          </w:p>
        </w:tc>
        <w:tc>
          <w:tcPr>
            <w:tcW w:w="1361" w:type="dxa"/>
            <w:tcBorders>
              <w:top w:val="nil"/>
              <w:left w:val="single" w:sz="4" w:space="0" w:color="auto"/>
              <w:bottom w:val="nil"/>
              <w:right w:val="single" w:sz="4" w:space="0" w:color="auto"/>
            </w:tcBorders>
            <w:shd w:val="clear" w:color="auto" w:fill="FFFFFF"/>
            <w:vAlign w:val="center"/>
          </w:tcPr>
          <w:p w14:paraId="5E5A81C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31FAB84D" w14:textId="77777777" w:rsidTr="00D72320">
        <w:trPr>
          <w:cantSplit/>
          <w:jc w:val="center"/>
        </w:trPr>
        <w:tc>
          <w:tcPr>
            <w:tcW w:w="2622" w:type="dxa"/>
            <w:tcBorders>
              <w:top w:val="nil"/>
              <w:left w:val="single" w:sz="4" w:space="0" w:color="auto"/>
              <w:bottom w:val="nil"/>
              <w:right w:val="nil"/>
            </w:tcBorders>
            <w:shd w:val="clear" w:color="auto" w:fill="FFFFFF"/>
          </w:tcPr>
          <w:p w14:paraId="7B402022"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Intervalle par Intervalle</w:t>
            </w:r>
          </w:p>
        </w:tc>
        <w:tc>
          <w:tcPr>
            <w:tcW w:w="2345" w:type="dxa"/>
            <w:tcBorders>
              <w:top w:val="nil"/>
              <w:left w:val="nil"/>
              <w:bottom w:val="nil"/>
              <w:right w:val="single" w:sz="4" w:space="0" w:color="auto"/>
            </w:tcBorders>
            <w:shd w:val="clear" w:color="auto" w:fill="FFFFFF"/>
          </w:tcPr>
          <w:p w14:paraId="661DA3DF"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R de Pearson</w:t>
            </w:r>
          </w:p>
        </w:tc>
        <w:tc>
          <w:tcPr>
            <w:tcW w:w="1180" w:type="dxa"/>
            <w:tcBorders>
              <w:top w:val="nil"/>
              <w:left w:val="single" w:sz="4" w:space="0" w:color="auto"/>
              <w:bottom w:val="nil"/>
              <w:right w:val="single" w:sz="4" w:space="0" w:color="auto"/>
            </w:tcBorders>
            <w:shd w:val="clear" w:color="auto" w:fill="FFFFFF"/>
            <w:vAlign w:val="center"/>
          </w:tcPr>
          <w:p w14:paraId="1A24950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,124</w:t>
            </w:r>
          </w:p>
        </w:tc>
        <w:tc>
          <w:tcPr>
            <w:tcW w:w="1361" w:type="dxa"/>
            <w:tcBorders>
              <w:top w:val="nil"/>
              <w:left w:val="single" w:sz="4" w:space="0" w:color="auto"/>
              <w:bottom w:val="nil"/>
              <w:right w:val="single" w:sz="4" w:space="0" w:color="auto"/>
            </w:tcBorders>
            <w:shd w:val="clear" w:color="auto" w:fill="FFFFFF"/>
            <w:vAlign w:val="center"/>
          </w:tcPr>
          <w:p w14:paraId="0876006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,005</w:t>
            </w:r>
            <w:r w:rsidRPr="00F70FCF">
              <w:rPr>
                <w:rFonts w:eastAsia="Calibri"/>
                <w:color w:val="000000"/>
                <w:vertAlign w:val="superscript"/>
              </w:rPr>
              <w:t>c</w:t>
            </w:r>
          </w:p>
        </w:tc>
      </w:tr>
      <w:tr w:rsidR="00D80693" w14:paraId="0AFFFC58" w14:textId="77777777" w:rsidTr="00D72320">
        <w:trPr>
          <w:cantSplit/>
          <w:jc w:val="center"/>
        </w:trPr>
        <w:tc>
          <w:tcPr>
            <w:tcW w:w="2622" w:type="dxa"/>
            <w:tcBorders>
              <w:top w:val="nil"/>
              <w:left w:val="single" w:sz="4" w:space="0" w:color="auto"/>
              <w:bottom w:val="nil"/>
              <w:right w:val="nil"/>
            </w:tcBorders>
            <w:shd w:val="clear" w:color="auto" w:fill="FFFFFF"/>
          </w:tcPr>
          <w:p w14:paraId="7A7D3AFC"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Ordinal par Ordinal</w:t>
            </w:r>
          </w:p>
        </w:tc>
        <w:tc>
          <w:tcPr>
            <w:tcW w:w="2345" w:type="dxa"/>
            <w:tcBorders>
              <w:top w:val="nil"/>
              <w:left w:val="nil"/>
              <w:bottom w:val="nil"/>
              <w:right w:val="single" w:sz="4" w:space="0" w:color="auto"/>
            </w:tcBorders>
            <w:shd w:val="clear" w:color="auto" w:fill="FFFFFF"/>
          </w:tcPr>
          <w:p w14:paraId="314CCDA8"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Corrélation de Spearman</w:t>
            </w:r>
          </w:p>
        </w:tc>
        <w:tc>
          <w:tcPr>
            <w:tcW w:w="1180" w:type="dxa"/>
            <w:tcBorders>
              <w:top w:val="nil"/>
              <w:left w:val="single" w:sz="4" w:space="0" w:color="auto"/>
              <w:bottom w:val="nil"/>
              <w:right w:val="single" w:sz="4" w:space="0" w:color="auto"/>
            </w:tcBorders>
            <w:shd w:val="clear" w:color="auto" w:fill="FFFFFF"/>
            <w:vAlign w:val="center"/>
          </w:tcPr>
          <w:p w14:paraId="6A7A867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,092</w:t>
            </w:r>
          </w:p>
        </w:tc>
        <w:tc>
          <w:tcPr>
            <w:tcW w:w="1361" w:type="dxa"/>
            <w:tcBorders>
              <w:top w:val="nil"/>
              <w:left w:val="single" w:sz="4" w:space="0" w:color="auto"/>
              <w:bottom w:val="nil"/>
              <w:right w:val="single" w:sz="4" w:space="0" w:color="auto"/>
            </w:tcBorders>
            <w:shd w:val="clear" w:color="auto" w:fill="FFFFFF"/>
            <w:vAlign w:val="center"/>
          </w:tcPr>
          <w:p w14:paraId="7985544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,041</w:t>
            </w:r>
            <w:r w:rsidRPr="00F70FCF">
              <w:rPr>
                <w:rFonts w:eastAsia="Calibri"/>
                <w:color w:val="000000"/>
                <w:vertAlign w:val="superscript"/>
              </w:rPr>
              <w:t>c</w:t>
            </w:r>
          </w:p>
        </w:tc>
      </w:tr>
      <w:tr w:rsidR="00D80693" w14:paraId="0EF812E5" w14:textId="77777777" w:rsidTr="00D72320">
        <w:trPr>
          <w:cantSplit/>
          <w:jc w:val="center"/>
        </w:trPr>
        <w:tc>
          <w:tcPr>
            <w:tcW w:w="4967" w:type="dxa"/>
            <w:gridSpan w:val="2"/>
            <w:tcBorders>
              <w:top w:val="nil"/>
              <w:left w:val="single" w:sz="4" w:space="0" w:color="auto"/>
              <w:bottom w:val="single" w:sz="4" w:space="0" w:color="auto"/>
              <w:right w:val="single" w:sz="4" w:space="0" w:color="auto"/>
            </w:tcBorders>
            <w:shd w:val="clear" w:color="auto" w:fill="FFFFFF"/>
          </w:tcPr>
          <w:p w14:paraId="198084E0"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N d'observations valides</w:t>
            </w:r>
          </w:p>
        </w:tc>
        <w:tc>
          <w:tcPr>
            <w:tcW w:w="1180" w:type="dxa"/>
            <w:tcBorders>
              <w:top w:val="nil"/>
              <w:left w:val="single" w:sz="4" w:space="0" w:color="auto"/>
              <w:bottom w:val="single" w:sz="4" w:space="0" w:color="auto"/>
              <w:right w:val="single" w:sz="4" w:space="0" w:color="auto"/>
            </w:tcBorders>
            <w:shd w:val="clear" w:color="auto" w:fill="FFFFFF"/>
            <w:vAlign w:val="center"/>
          </w:tcPr>
          <w:p w14:paraId="7276551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500</w:t>
            </w:r>
          </w:p>
        </w:tc>
        <w:tc>
          <w:tcPr>
            <w:tcW w:w="1361" w:type="dxa"/>
            <w:tcBorders>
              <w:top w:val="nil"/>
              <w:left w:val="single" w:sz="4" w:space="0" w:color="auto"/>
              <w:bottom w:val="single" w:sz="4" w:space="0" w:color="auto"/>
              <w:right w:val="single" w:sz="4" w:space="0" w:color="auto"/>
            </w:tcBorders>
            <w:shd w:val="clear" w:color="auto" w:fill="FFFFFF"/>
            <w:vAlign w:val="center"/>
          </w:tcPr>
          <w:p w14:paraId="40AB841D" w14:textId="77777777" w:rsidR="00D80693" w:rsidRPr="00F70FCF" w:rsidRDefault="00D80693" w:rsidP="001928FA">
            <w:pPr>
              <w:adjustRightInd w:val="0"/>
              <w:spacing w:before="120"/>
              <w:rPr>
                <w:rFonts w:eastAsia="Calibri"/>
              </w:rPr>
            </w:pPr>
          </w:p>
        </w:tc>
      </w:tr>
    </w:tbl>
    <w:p w14:paraId="5DF9A42C" w14:textId="77777777" w:rsidR="00D80693" w:rsidRPr="008240D2" w:rsidRDefault="00D80693" w:rsidP="001928FA">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71018722" w14:textId="5F156623" w:rsidR="00D80693" w:rsidRPr="00CE3A66" w:rsidRDefault="00D80693" w:rsidP="00F429F0">
      <w:pPr>
        <w:spacing w:before="120"/>
        <w:jc w:val="both"/>
        <w:rPr>
          <w:rFonts w:eastAsia="Calibri"/>
          <w:bCs/>
          <w:color w:val="000000"/>
          <w:sz w:val="24"/>
          <w:szCs w:val="24"/>
          <w:lang w:eastAsia="fr-FR"/>
        </w:rPr>
      </w:pPr>
      <w:r w:rsidRPr="00CE3A66">
        <w:rPr>
          <w:rFonts w:eastAsia="Calibri"/>
          <w:bCs/>
          <w:color w:val="000000"/>
          <w:sz w:val="24"/>
          <w:szCs w:val="24"/>
          <w:lang w:eastAsia="fr-FR"/>
        </w:rPr>
        <w:t>Dans ce tableau, la valeur de V de Cramer (V= 0,239) indique un lien modéré entre les variables. Ainsi, le lien entre le sentiment de l’élève pour l’évaluation et son assiduité en classe apparait plutôt modéré. Par ailleurs, la relation entre l’amour pour les études et le sentiment éprouvé pour les évaluations a été analysée.</w:t>
      </w:r>
    </w:p>
    <w:p w14:paraId="30099F9D" w14:textId="77777777" w:rsidR="00D80693" w:rsidRDefault="00D80693" w:rsidP="001928FA">
      <w:pPr>
        <w:pStyle w:val="Paragraphedeliste"/>
        <w:widowControl/>
        <w:numPr>
          <w:ilvl w:val="2"/>
          <w:numId w:val="204"/>
        </w:numPr>
        <w:shd w:val="clear" w:color="auto" w:fill="FFFFFF" w:themeFill="background1"/>
        <w:adjustRightInd w:val="0"/>
        <w:contextualSpacing/>
        <w:rPr>
          <w:rFonts w:eastAsia="Calibri"/>
          <w:b/>
          <w:i/>
          <w:iCs/>
          <w:color w:val="000000"/>
          <w:sz w:val="24"/>
          <w:szCs w:val="24"/>
          <w:lang w:eastAsia="fr-FR"/>
        </w:rPr>
      </w:pPr>
      <w:r w:rsidRPr="00F90857">
        <w:rPr>
          <w:rFonts w:eastAsia="Calibri"/>
          <w:b/>
          <w:i/>
          <w:iCs/>
          <w:color w:val="000000"/>
          <w:sz w:val="24"/>
          <w:szCs w:val="24"/>
          <w:lang w:eastAsia="fr-FR"/>
        </w:rPr>
        <w:t>Lien entre amour pour les études et sentiment à l’égard de l’évaluation</w:t>
      </w:r>
    </w:p>
    <w:p w14:paraId="4E0F5725" w14:textId="023D9A06" w:rsidR="00D80693" w:rsidRPr="00F429F0" w:rsidRDefault="00D80693" w:rsidP="00F429F0">
      <w:pPr>
        <w:shd w:val="clear" w:color="auto" w:fill="FFFFFF" w:themeFill="background1"/>
        <w:adjustRightInd w:val="0"/>
        <w:rPr>
          <w:rFonts w:eastAsia="Calibri"/>
          <w:bCs/>
          <w:color w:val="000000"/>
          <w:sz w:val="24"/>
          <w:szCs w:val="24"/>
          <w:lang w:eastAsia="fr-FR"/>
        </w:rPr>
      </w:pPr>
      <w:r w:rsidRPr="00F429F0">
        <w:rPr>
          <w:rFonts w:eastAsia="Calibri"/>
          <w:bCs/>
          <w:color w:val="000000"/>
          <w:sz w:val="24"/>
          <w:szCs w:val="24"/>
          <w:lang w:eastAsia="fr-FR"/>
        </w:rPr>
        <w:t>Le lien entre l’amour pour les études et le sentiment éprouvé pour les évaluations est perceptible dans les tableaux suivants.</w:t>
      </w:r>
    </w:p>
    <w:p w14:paraId="32F65139" w14:textId="77777777" w:rsidR="00D80693" w:rsidRPr="001F3123" w:rsidRDefault="00D80693" w:rsidP="001928FA">
      <w:pPr>
        <w:adjustRightInd w:val="0"/>
        <w:spacing w:before="120"/>
        <w:ind w:left="2977" w:hanging="1701"/>
        <w:rPr>
          <w:rFonts w:eastAsia="Calibri"/>
          <w:b/>
          <w:bCs/>
          <w:i/>
          <w:iCs/>
        </w:rPr>
      </w:pPr>
      <w:r w:rsidRPr="001F3123">
        <w:rPr>
          <w:rFonts w:eastAsia="Calibri"/>
          <w:b/>
          <w:bCs/>
          <w:i/>
          <w:iCs/>
        </w:rPr>
        <w:t xml:space="preserve">     Tableau n°1</w:t>
      </w:r>
      <w:r>
        <w:rPr>
          <w:rFonts w:eastAsia="Calibri"/>
          <w:b/>
          <w:bCs/>
          <w:i/>
          <w:iCs/>
        </w:rPr>
        <w:t>3</w:t>
      </w:r>
      <w:r w:rsidRPr="001F3123">
        <w:rPr>
          <w:rFonts w:eastAsia="Calibri"/>
          <w:b/>
          <w:bCs/>
          <w:i/>
          <w:iCs/>
        </w:rPr>
        <w:t xml:space="preserve"> : Relation entre aimer généralement étudier et le sentiment qu’éprouve   généralement l’élève pour les évaluations</w:t>
      </w:r>
    </w:p>
    <w:tbl>
      <w:tblPr>
        <w:tblW w:w="76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1"/>
        <w:gridCol w:w="1278"/>
        <w:gridCol w:w="1229"/>
        <w:gridCol w:w="1461"/>
        <w:gridCol w:w="1563"/>
        <w:gridCol w:w="6"/>
        <w:gridCol w:w="842"/>
      </w:tblGrid>
      <w:tr w:rsidR="00D80693" w14:paraId="08A58611" w14:textId="77777777" w:rsidTr="00D72320">
        <w:trPr>
          <w:cantSplit/>
          <w:jc w:val="center"/>
        </w:trPr>
        <w:tc>
          <w:tcPr>
            <w:tcW w:w="2550"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2E96D871" w14:textId="77777777" w:rsidR="00D80693" w:rsidRPr="00F70FCF" w:rsidRDefault="00D80693" w:rsidP="001928FA">
            <w:pPr>
              <w:adjustRightInd w:val="0"/>
              <w:spacing w:before="120"/>
              <w:rPr>
                <w:rFonts w:eastAsia="Calibri"/>
              </w:rPr>
            </w:pPr>
          </w:p>
        </w:tc>
        <w:tc>
          <w:tcPr>
            <w:tcW w:w="4261" w:type="dxa"/>
            <w:gridSpan w:val="4"/>
            <w:tcBorders>
              <w:top w:val="single" w:sz="4" w:space="0" w:color="auto"/>
              <w:left w:val="single" w:sz="4" w:space="0" w:color="auto"/>
              <w:bottom w:val="single" w:sz="2" w:space="0" w:color="auto"/>
              <w:right w:val="single" w:sz="4" w:space="0" w:color="auto"/>
            </w:tcBorders>
            <w:shd w:val="clear" w:color="auto" w:fill="FFFFFF"/>
            <w:vAlign w:val="bottom"/>
          </w:tcPr>
          <w:p w14:paraId="6BFA2DA2" w14:textId="77777777" w:rsidR="00D80693" w:rsidRPr="00F70FCF" w:rsidRDefault="00D80693" w:rsidP="001928FA">
            <w:pPr>
              <w:adjustRightInd w:val="0"/>
              <w:spacing w:before="120"/>
              <w:ind w:left="143" w:right="60"/>
              <w:jc w:val="both"/>
              <w:rPr>
                <w:rFonts w:eastAsia="Calibri"/>
                <w:color w:val="000000"/>
              </w:rPr>
            </w:pPr>
            <w:r w:rsidRPr="00F70FCF">
              <w:rPr>
                <w:rFonts w:eastAsia="Calibri"/>
                <w:color w:val="000000"/>
              </w:rPr>
              <w:t>Quel sentiment éprouves-tu généralement pour les évaluations ?</w:t>
            </w:r>
          </w:p>
        </w:tc>
        <w:tc>
          <w:tcPr>
            <w:tcW w:w="839" w:type="dxa"/>
            <w:tcBorders>
              <w:top w:val="single" w:sz="4" w:space="0" w:color="auto"/>
              <w:left w:val="single" w:sz="4" w:space="0" w:color="auto"/>
              <w:bottom w:val="single" w:sz="2" w:space="0" w:color="auto"/>
              <w:right w:val="single" w:sz="4" w:space="0" w:color="auto"/>
            </w:tcBorders>
            <w:shd w:val="clear" w:color="auto" w:fill="FFFFFF"/>
            <w:vAlign w:val="bottom"/>
          </w:tcPr>
          <w:p w14:paraId="77B57DB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Total</w:t>
            </w:r>
          </w:p>
        </w:tc>
      </w:tr>
      <w:tr w:rsidR="00D80693" w14:paraId="76AA44E8" w14:textId="77777777" w:rsidTr="00D72320">
        <w:trPr>
          <w:cantSplit/>
          <w:jc w:val="center"/>
        </w:trPr>
        <w:tc>
          <w:tcPr>
            <w:tcW w:w="2550" w:type="dxa"/>
            <w:gridSpan w:val="2"/>
            <w:vMerge/>
            <w:tcBorders>
              <w:top w:val="single" w:sz="16" w:space="0" w:color="000000"/>
              <w:left w:val="single" w:sz="4" w:space="0" w:color="auto"/>
              <w:bottom w:val="single" w:sz="4" w:space="0" w:color="auto"/>
              <w:right w:val="single" w:sz="4" w:space="0" w:color="auto"/>
            </w:tcBorders>
            <w:shd w:val="clear" w:color="auto" w:fill="FFFFFF"/>
            <w:vAlign w:val="bottom"/>
          </w:tcPr>
          <w:p w14:paraId="5114FBE3" w14:textId="77777777" w:rsidR="00D80693" w:rsidRPr="00F70FCF" w:rsidRDefault="00D80693" w:rsidP="001928FA">
            <w:pPr>
              <w:adjustRightInd w:val="0"/>
              <w:spacing w:before="120"/>
              <w:rPr>
                <w:rFonts w:eastAsia="Calibri"/>
                <w:color w:val="000000"/>
              </w:rPr>
            </w:pPr>
          </w:p>
        </w:tc>
        <w:tc>
          <w:tcPr>
            <w:tcW w:w="1229" w:type="dxa"/>
            <w:tcBorders>
              <w:top w:val="single" w:sz="2" w:space="0" w:color="auto"/>
              <w:left w:val="single" w:sz="4" w:space="0" w:color="auto"/>
              <w:bottom w:val="single" w:sz="4" w:space="0" w:color="auto"/>
              <w:right w:val="single" w:sz="4" w:space="0" w:color="auto"/>
            </w:tcBorders>
            <w:shd w:val="clear" w:color="auto" w:fill="FFFFFF"/>
            <w:vAlign w:val="bottom"/>
          </w:tcPr>
          <w:p w14:paraId="2D1018C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Je crains les évaluations</w:t>
            </w:r>
          </w:p>
        </w:tc>
        <w:tc>
          <w:tcPr>
            <w:tcW w:w="1462" w:type="dxa"/>
            <w:tcBorders>
              <w:top w:val="single" w:sz="2" w:space="0" w:color="auto"/>
              <w:left w:val="single" w:sz="4" w:space="0" w:color="auto"/>
              <w:bottom w:val="single" w:sz="4" w:space="0" w:color="auto"/>
              <w:right w:val="single" w:sz="4" w:space="0" w:color="auto"/>
            </w:tcBorders>
            <w:shd w:val="clear" w:color="auto" w:fill="FFFFFF"/>
            <w:vAlign w:val="bottom"/>
          </w:tcPr>
          <w:p w14:paraId="5D93073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J'aime les évaluations</w:t>
            </w:r>
          </w:p>
        </w:tc>
        <w:tc>
          <w:tcPr>
            <w:tcW w:w="1564" w:type="dxa"/>
            <w:tcBorders>
              <w:top w:val="single" w:sz="2" w:space="0" w:color="auto"/>
              <w:left w:val="single" w:sz="4" w:space="0" w:color="auto"/>
              <w:bottom w:val="single" w:sz="4" w:space="0" w:color="auto"/>
              <w:right w:val="single" w:sz="4" w:space="0" w:color="auto"/>
            </w:tcBorders>
            <w:shd w:val="clear" w:color="auto" w:fill="FFFFFF"/>
            <w:vAlign w:val="bottom"/>
          </w:tcPr>
          <w:p w14:paraId="6C88DE6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Je déteste les évaluations</w:t>
            </w:r>
          </w:p>
        </w:tc>
        <w:tc>
          <w:tcPr>
            <w:tcW w:w="845" w:type="dxa"/>
            <w:gridSpan w:val="2"/>
            <w:tcBorders>
              <w:top w:val="single" w:sz="2" w:space="0" w:color="auto"/>
              <w:left w:val="single" w:sz="4" w:space="0" w:color="auto"/>
              <w:bottom w:val="single" w:sz="4" w:space="0" w:color="auto"/>
              <w:right w:val="single" w:sz="4" w:space="0" w:color="auto"/>
            </w:tcBorders>
            <w:shd w:val="clear" w:color="auto" w:fill="FFFFFF"/>
            <w:vAlign w:val="bottom"/>
          </w:tcPr>
          <w:p w14:paraId="59C85D25" w14:textId="77777777" w:rsidR="00D80693" w:rsidRPr="00F70FCF" w:rsidRDefault="00D80693" w:rsidP="001928FA">
            <w:pPr>
              <w:adjustRightInd w:val="0"/>
              <w:spacing w:before="120"/>
              <w:rPr>
                <w:rFonts w:eastAsia="Calibri"/>
                <w:color w:val="000000"/>
              </w:rPr>
            </w:pPr>
          </w:p>
        </w:tc>
      </w:tr>
      <w:tr w:rsidR="00D80693" w14:paraId="15622285" w14:textId="77777777" w:rsidTr="00D72320">
        <w:trPr>
          <w:cantSplit/>
          <w:trHeight w:val="47"/>
          <w:jc w:val="center"/>
        </w:trPr>
        <w:tc>
          <w:tcPr>
            <w:tcW w:w="1271" w:type="dxa"/>
            <w:vMerge w:val="restart"/>
            <w:tcBorders>
              <w:top w:val="single" w:sz="4" w:space="0" w:color="auto"/>
              <w:left w:val="single" w:sz="4" w:space="0" w:color="auto"/>
              <w:right w:val="single" w:sz="4" w:space="0" w:color="auto"/>
            </w:tcBorders>
            <w:shd w:val="clear" w:color="auto" w:fill="FFFFFF"/>
          </w:tcPr>
          <w:p w14:paraId="7D226AC5" w14:textId="77777777" w:rsidR="00D80693" w:rsidRPr="00F70FCF" w:rsidRDefault="00D80693" w:rsidP="001928FA">
            <w:pPr>
              <w:adjustRightInd w:val="0"/>
              <w:spacing w:before="120"/>
              <w:ind w:left="60" w:right="60"/>
              <w:rPr>
                <w:rFonts w:eastAsia="Calibri"/>
                <w:color w:val="000000"/>
              </w:rPr>
            </w:pPr>
          </w:p>
          <w:p w14:paraId="2C66F663" w14:textId="77777777" w:rsidR="00D80693" w:rsidRPr="00F70FCF" w:rsidRDefault="00D80693" w:rsidP="001928FA">
            <w:pPr>
              <w:adjustRightInd w:val="0"/>
              <w:spacing w:before="120"/>
              <w:ind w:left="60" w:right="60"/>
              <w:rPr>
                <w:rFonts w:eastAsia="Calibri"/>
                <w:color w:val="000000"/>
              </w:rPr>
            </w:pPr>
          </w:p>
          <w:p w14:paraId="05070052" w14:textId="77777777" w:rsidR="00D80693" w:rsidRPr="00F70FCF" w:rsidRDefault="00D80693" w:rsidP="001928FA">
            <w:pPr>
              <w:adjustRightInd w:val="0"/>
              <w:spacing w:before="120"/>
              <w:ind w:left="60" w:right="60"/>
              <w:rPr>
                <w:rFonts w:eastAsia="Calibri"/>
                <w:color w:val="000000"/>
              </w:rPr>
            </w:pPr>
          </w:p>
          <w:p w14:paraId="78A400C9"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Aimes-tu généralement étudier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14:paraId="46BF054C"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Pas du tout</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293B0C3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w:t>
            </w:r>
          </w:p>
        </w:tc>
        <w:tc>
          <w:tcPr>
            <w:tcW w:w="1462" w:type="dxa"/>
            <w:tcBorders>
              <w:top w:val="single" w:sz="4" w:space="0" w:color="auto"/>
              <w:left w:val="single" w:sz="4" w:space="0" w:color="auto"/>
              <w:bottom w:val="nil"/>
              <w:right w:val="single" w:sz="4" w:space="0" w:color="auto"/>
            </w:tcBorders>
            <w:shd w:val="clear" w:color="auto" w:fill="FFFFFF"/>
            <w:vAlign w:val="center"/>
          </w:tcPr>
          <w:p w14:paraId="594FE75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w:t>
            </w:r>
          </w:p>
        </w:tc>
        <w:tc>
          <w:tcPr>
            <w:tcW w:w="1564" w:type="dxa"/>
            <w:tcBorders>
              <w:top w:val="single" w:sz="4" w:space="0" w:color="auto"/>
              <w:left w:val="single" w:sz="4" w:space="0" w:color="auto"/>
              <w:bottom w:val="nil"/>
              <w:right w:val="single" w:sz="4" w:space="0" w:color="auto"/>
            </w:tcBorders>
            <w:shd w:val="clear" w:color="auto" w:fill="FFFFFF"/>
            <w:vAlign w:val="center"/>
          </w:tcPr>
          <w:p w14:paraId="696A6372"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w:t>
            </w:r>
          </w:p>
        </w:tc>
        <w:tc>
          <w:tcPr>
            <w:tcW w:w="848" w:type="dxa"/>
            <w:gridSpan w:val="2"/>
            <w:tcBorders>
              <w:top w:val="single" w:sz="4" w:space="0" w:color="auto"/>
              <w:left w:val="single" w:sz="4" w:space="0" w:color="auto"/>
              <w:bottom w:val="nil"/>
              <w:right w:val="single" w:sz="4" w:space="0" w:color="auto"/>
            </w:tcBorders>
            <w:shd w:val="clear" w:color="auto" w:fill="FFFFFF"/>
            <w:vAlign w:val="center"/>
          </w:tcPr>
          <w:p w14:paraId="3175F5C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19</w:t>
            </w:r>
          </w:p>
        </w:tc>
      </w:tr>
      <w:tr w:rsidR="00D80693" w14:paraId="28CF12D3" w14:textId="77777777" w:rsidTr="00D72320">
        <w:trPr>
          <w:cantSplit/>
          <w:jc w:val="center"/>
        </w:trPr>
        <w:tc>
          <w:tcPr>
            <w:tcW w:w="1271" w:type="dxa"/>
            <w:vMerge/>
            <w:tcBorders>
              <w:left w:val="single" w:sz="4" w:space="0" w:color="auto"/>
              <w:right w:val="single" w:sz="4" w:space="0" w:color="auto"/>
            </w:tcBorders>
            <w:shd w:val="clear" w:color="auto" w:fill="FFFFFF"/>
          </w:tcPr>
          <w:p w14:paraId="70D2F246" w14:textId="77777777" w:rsidR="00D80693" w:rsidRPr="00F70FCF" w:rsidRDefault="00D80693" w:rsidP="001928FA">
            <w:pPr>
              <w:adjustRightInd w:val="0"/>
              <w:spacing w:before="120"/>
              <w:rPr>
                <w:rFonts w:eastAsia="Calibri"/>
                <w:color w:val="000000"/>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Pr>
          <w:p w14:paraId="67A55CD7" w14:textId="77777777" w:rsidR="00D80693" w:rsidRPr="00F70FCF" w:rsidRDefault="00D80693" w:rsidP="001928FA">
            <w:pPr>
              <w:adjustRightInd w:val="0"/>
              <w:spacing w:before="120"/>
              <w:rPr>
                <w:rFonts w:eastAsia="Calibri"/>
                <w:color w:val="000000"/>
              </w:rPr>
            </w:pPr>
          </w:p>
        </w:tc>
        <w:tc>
          <w:tcPr>
            <w:tcW w:w="1229" w:type="dxa"/>
            <w:tcBorders>
              <w:top w:val="nil"/>
              <w:left w:val="single" w:sz="4" w:space="0" w:color="auto"/>
              <w:bottom w:val="single" w:sz="4" w:space="0" w:color="auto"/>
              <w:right w:val="single" w:sz="4" w:space="0" w:color="auto"/>
            </w:tcBorders>
            <w:shd w:val="clear" w:color="auto" w:fill="FFFFFF"/>
            <w:vAlign w:val="center"/>
          </w:tcPr>
          <w:p w14:paraId="4DE7963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1,8%</w:t>
            </w:r>
          </w:p>
        </w:tc>
        <w:tc>
          <w:tcPr>
            <w:tcW w:w="1462" w:type="dxa"/>
            <w:tcBorders>
              <w:top w:val="nil"/>
              <w:left w:val="single" w:sz="4" w:space="0" w:color="auto"/>
              <w:bottom w:val="single" w:sz="4" w:space="0" w:color="auto"/>
              <w:right w:val="single" w:sz="4" w:space="0" w:color="auto"/>
            </w:tcBorders>
            <w:shd w:val="clear" w:color="auto" w:fill="FFFFFF"/>
            <w:vAlign w:val="center"/>
          </w:tcPr>
          <w:p w14:paraId="487AD4A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0,8%</w:t>
            </w:r>
          </w:p>
        </w:tc>
        <w:tc>
          <w:tcPr>
            <w:tcW w:w="1564" w:type="dxa"/>
            <w:tcBorders>
              <w:top w:val="nil"/>
              <w:left w:val="single" w:sz="4" w:space="0" w:color="auto"/>
              <w:bottom w:val="single" w:sz="4" w:space="0" w:color="auto"/>
              <w:right w:val="single" w:sz="4" w:space="0" w:color="auto"/>
            </w:tcBorders>
            <w:shd w:val="clear" w:color="auto" w:fill="FFFFFF"/>
            <w:vAlign w:val="center"/>
          </w:tcPr>
          <w:p w14:paraId="2B3E1E7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1,2%</w:t>
            </w:r>
          </w:p>
        </w:tc>
        <w:tc>
          <w:tcPr>
            <w:tcW w:w="848" w:type="dxa"/>
            <w:gridSpan w:val="2"/>
            <w:tcBorders>
              <w:top w:val="nil"/>
              <w:left w:val="single" w:sz="4" w:space="0" w:color="auto"/>
              <w:bottom w:val="single" w:sz="4" w:space="0" w:color="auto"/>
              <w:right w:val="single" w:sz="4" w:space="0" w:color="auto"/>
            </w:tcBorders>
            <w:shd w:val="clear" w:color="auto" w:fill="FFFFFF"/>
            <w:vAlign w:val="center"/>
          </w:tcPr>
          <w:p w14:paraId="0923430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3,8%</w:t>
            </w:r>
          </w:p>
        </w:tc>
      </w:tr>
      <w:tr w:rsidR="00D80693" w14:paraId="7F19C81E" w14:textId="77777777" w:rsidTr="00D72320">
        <w:trPr>
          <w:cantSplit/>
          <w:jc w:val="center"/>
        </w:trPr>
        <w:tc>
          <w:tcPr>
            <w:tcW w:w="1271" w:type="dxa"/>
            <w:vMerge/>
            <w:tcBorders>
              <w:left w:val="single" w:sz="4" w:space="0" w:color="auto"/>
              <w:right w:val="single" w:sz="4" w:space="0" w:color="auto"/>
            </w:tcBorders>
            <w:shd w:val="clear" w:color="auto" w:fill="FFFFFF"/>
          </w:tcPr>
          <w:p w14:paraId="2B11F3BB" w14:textId="77777777" w:rsidR="00D80693" w:rsidRPr="00F70FCF" w:rsidRDefault="00D80693" w:rsidP="001928FA">
            <w:pPr>
              <w:adjustRightInd w:val="0"/>
              <w:spacing w:before="120"/>
              <w:rPr>
                <w:rFonts w:eastAsia="Calibri"/>
                <w:color w:val="00000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14:paraId="6AC026EC"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Parfois</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68A20B5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55</w:t>
            </w:r>
          </w:p>
        </w:tc>
        <w:tc>
          <w:tcPr>
            <w:tcW w:w="1462" w:type="dxa"/>
            <w:tcBorders>
              <w:top w:val="single" w:sz="4" w:space="0" w:color="auto"/>
              <w:left w:val="single" w:sz="4" w:space="0" w:color="auto"/>
              <w:bottom w:val="nil"/>
              <w:right w:val="single" w:sz="4" w:space="0" w:color="auto"/>
            </w:tcBorders>
            <w:shd w:val="clear" w:color="auto" w:fill="FFFFFF"/>
            <w:vAlign w:val="center"/>
          </w:tcPr>
          <w:p w14:paraId="2B9A001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w:t>
            </w:r>
          </w:p>
        </w:tc>
        <w:tc>
          <w:tcPr>
            <w:tcW w:w="1564" w:type="dxa"/>
            <w:tcBorders>
              <w:top w:val="single" w:sz="4" w:space="0" w:color="auto"/>
              <w:left w:val="single" w:sz="4" w:space="0" w:color="auto"/>
              <w:bottom w:val="nil"/>
              <w:right w:val="single" w:sz="4" w:space="0" w:color="auto"/>
            </w:tcBorders>
            <w:shd w:val="clear" w:color="auto" w:fill="FFFFFF"/>
            <w:vAlign w:val="center"/>
          </w:tcPr>
          <w:p w14:paraId="4E034DDF"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w:t>
            </w:r>
          </w:p>
        </w:tc>
        <w:tc>
          <w:tcPr>
            <w:tcW w:w="848" w:type="dxa"/>
            <w:gridSpan w:val="2"/>
            <w:tcBorders>
              <w:top w:val="single" w:sz="4" w:space="0" w:color="auto"/>
              <w:left w:val="single" w:sz="4" w:space="0" w:color="auto"/>
              <w:bottom w:val="nil"/>
              <w:right w:val="single" w:sz="4" w:space="0" w:color="auto"/>
            </w:tcBorders>
            <w:shd w:val="clear" w:color="auto" w:fill="FFFFFF"/>
            <w:vAlign w:val="center"/>
          </w:tcPr>
          <w:p w14:paraId="6FCF4F1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72</w:t>
            </w:r>
          </w:p>
        </w:tc>
      </w:tr>
      <w:tr w:rsidR="00D80693" w14:paraId="2E375302" w14:textId="77777777" w:rsidTr="00D72320">
        <w:trPr>
          <w:cantSplit/>
          <w:jc w:val="center"/>
        </w:trPr>
        <w:tc>
          <w:tcPr>
            <w:tcW w:w="1271" w:type="dxa"/>
            <w:vMerge/>
            <w:tcBorders>
              <w:left w:val="single" w:sz="4" w:space="0" w:color="auto"/>
              <w:right w:val="single" w:sz="4" w:space="0" w:color="auto"/>
            </w:tcBorders>
            <w:shd w:val="clear" w:color="auto" w:fill="FFFFFF"/>
          </w:tcPr>
          <w:p w14:paraId="1B1F31E5" w14:textId="77777777" w:rsidR="00D80693" w:rsidRPr="00F70FCF" w:rsidRDefault="00D80693" w:rsidP="001928FA">
            <w:pPr>
              <w:adjustRightInd w:val="0"/>
              <w:spacing w:before="120"/>
              <w:rPr>
                <w:rFonts w:eastAsia="Calibri"/>
                <w:color w:val="000000"/>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Pr>
          <w:p w14:paraId="16C9CF92" w14:textId="77777777" w:rsidR="00D80693" w:rsidRPr="00F70FCF" w:rsidRDefault="00D80693" w:rsidP="001928FA">
            <w:pPr>
              <w:adjustRightInd w:val="0"/>
              <w:spacing w:before="120"/>
              <w:rPr>
                <w:rFonts w:eastAsia="Calibri"/>
                <w:color w:val="000000"/>
              </w:rPr>
            </w:pPr>
          </w:p>
        </w:tc>
        <w:tc>
          <w:tcPr>
            <w:tcW w:w="1229" w:type="dxa"/>
            <w:tcBorders>
              <w:top w:val="nil"/>
              <w:left w:val="single" w:sz="4" w:space="0" w:color="auto"/>
              <w:bottom w:val="single" w:sz="4" w:space="0" w:color="auto"/>
              <w:right w:val="single" w:sz="4" w:space="0" w:color="auto"/>
            </w:tcBorders>
            <w:shd w:val="clear" w:color="auto" w:fill="FFFFFF"/>
            <w:vAlign w:val="center"/>
          </w:tcPr>
          <w:p w14:paraId="572CE26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11,0%</w:t>
            </w:r>
          </w:p>
        </w:tc>
        <w:tc>
          <w:tcPr>
            <w:tcW w:w="1462" w:type="dxa"/>
            <w:tcBorders>
              <w:top w:val="nil"/>
              <w:left w:val="single" w:sz="4" w:space="0" w:color="auto"/>
              <w:bottom w:val="single" w:sz="4" w:space="0" w:color="auto"/>
              <w:right w:val="single" w:sz="4" w:space="0" w:color="auto"/>
            </w:tcBorders>
            <w:shd w:val="clear" w:color="auto" w:fill="FFFFFF"/>
            <w:vAlign w:val="center"/>
          </w:tcPr>
          <w:p w14:paraId="6FF6D632"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2,0%</w:t>
            </w:r>
          </w:p>
        </w:tc>
        <w:tc>
          <w:tcPr>
            <w:tcW w:w="1564" w:type="dxa"/>
            <w:tcBorders>
              <w:top w:val="nil"/>
              <w:left w:val="single" w:sz="4" w:space="0" w:color="auto"/>
              <w:bottom w:val="single" w:sz="4" w:space="0" w:color="auto"/>
              <w:right w:val="single" w:sz="4" w:space="0" w:color="auto"/>
            </w:tcBorders>
            <w:shd w:val="clear" w:color="auto" w:fill="FFFFFF"/>
            <w:vAlign w:val="center"/>
          </w:tcPr>
          <w:p w14:paraId="6B84264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1,4%</w:t>
            </w:r>
          </w:p>
        </w:tc>
        <w:tc>
          <w:tcPr>
            <w:tcW w:w="848" w:type="dxa"/>
            <w:gridSpan w:val="2"/>
            <w:tcBorders>
              <w:top w:val="nil"/>
              <w:left w:val="single" w:sz="4" w:space="0" w:color="auto"/>
              <w:bottom w:val="single" w:sz="4" w:space="0" w:color="auto"/>
              <w:right w:val="single" w:sz="4" w:space="0" w:color="auto"/>
            </w:tcBorders>
            <w:shd w:val="clear" w:color="auto" w:fill="FFFFFF"/>
            <w:vAlign w:val="center"/>
          </w:tcPr>
          <w:p w14:paraId="47BCB9F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14,4%</w:t>
            </w:r>
          </w:p>
        </w:tc>
      </w:tr>
      <w:tr w:rsidR="00D80693" w14:paraId="5431147B" w14:textId="77777777" w:rsidTr="00D72320">
        <w:trPr>
          <w:cantSplit/>
          <w:trHeight w:val="516"/>
          <w:jc w:val="center"/>
        </w:trPr>
        <w:tc>
          <w:tcPr>
            <w:tcW w:w="1271" w:type="dxa"/>
            <w:vMerge/>
            <w:tcBorders>
              <w:left w:val="single" w:sz="4" w:space="0" w:color="auto"/>
              <w:right w:val="single" w:sz="4" w:space="0" w:color="auto"/>
            </w:tcBorders>
            <w:shd w:val="clear" w:color="auto" w:fill="FFFFFF"/>
          </w:tcPr>
          <w:p w14:paraId="1B784D7E" w14:textId="77777777" w:rsidR="00D80693" w:rsidRPr="00F70FCF" w:rsidRDefault="00D80693" w:rsidP="001928FA">
            <w:pPr>
              <w:adjustRightInd w:val="0"/>
              <w:spacing w:before="120"/>
              <w:rPr>
                <w:rFonts w:eastAsia="Calibri"/>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141A579"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Souvent</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7E7616D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169</w:t>
            </w:r>
          </w:p>
          <w:p w14:paraId="1356B73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33,8%</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tcPr>
          <w:p w14:paraId="00C021C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67</w:t>
            </w:r>
          </w:p>
          <w:p w14:paraId="65DCDD35"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13,4%</w:t>
            </w:r>
          </w:p>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tcPr>
          <w:p w14:paraId="651F152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11</w:t>
            </w:r>
          </w:p>
          <w:p w14:paraId="747AF80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2,2%</w:t>
            </w: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8AA26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247</w:t>
            </w:r>
          </w:p>
          <w:p w14:paraId="5D850C2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49,4%</w:t>
            </w:r>
          </w:p>
        </w:tc>
      </w:tr>
      <w:tr w:rsidR="00D80693" w14:paraId="031EA63D" w14:textId="77777777" w:rsidTr="00D72320">
        <w:trPr>
          <w:cantSplit/>
          <w:trHeight w:val="103"/>
          <w:jc w:val="center"/>
        </w:trPr>
        <w:tc>
          <w:tcPr>
            <w:tcW w:w="1271" w:type="dxa"/>
            <w:vMerge/>
            <w:tcBorders>
              <w:left w:val="single" w:sz="4" w:space="0" w:color="auto"/>
              <w:bottom w:val="single" w:sz="4" w:space="0" w:color="auto"/>
              <w:right w:val="single" w:sz="4" w:space="0" w:color="auto"/>
            </w:tcBorders>
            <w:shd w:val="clear" w:color="auto" w:fill="FFFFFF"/>
          </w:tcPr>
          <w:p w14:paraId="79EB8F5E" w14:textId="77777777" w:rsidR="00D80693" w:rsidRPr="00F70FCF" w:rsidRDefault="00D80693" w:rsidP="001928FA">
            <w:pPr>
              <w:adjustRightInd w:val="0"/>
              <w:spacing w:before="120"/>
              <w:ind w:left="60" w:right="60"/>
              <w:jc w:val="center"/>
              <w:rPr>
                <w:rFonts w:eastAsia="Calibri"/>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E7FD70"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Toujours</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4AF287E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88</w:t>
            </w:r>
          </w:p>
          <w:p w14:paraId="555591E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17,6%</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tcPr>
          <w:p w14:paraId="4ECBEA1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72</w:t>
            </w:r>
          </w:p>
          <w:p w14:paraId="7FE1638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14,4%</w:t>
            </w:r>
          </w:p>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tcPr>
          <w:p w14:paraId="04B3273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w:t>
            </w:r>
          </w:p>
          <w:p w14:paraId="67F3B98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0,4%</w:t>
            </w: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2230E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162</w:t>
            </w:r>
          </w:p>
          <w:p w14:paraId="16BA4611"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32,4%</w:t>
            </w:r>
          </w:p>
        </w:tc>
      </w:tr>
      <w:tr w:rsidR="00D80693" w14:paraId="115D5C14" w14:textId="77777777" w:rsidTr="00D72320">
        <w:trPr>
          <w:cantSplit/>
          <w:jc w:val="center"/>
        </w:trPr>
        <w:tc>
          <w:tcPr>
            <w:tcW w:w="2550" w:type="dxa"/>
            <w:gridSpan w:val="2"/>
            <w:vMerge w:val="restart"/>
            <w:tcBorders>
              <w:top w:val="single" w:sz="4" w:space="0" w:color="auto"/>
              <w:left w:val="single" w:sz="4" w:space="0" w:color="auto"/>
              <w:bottom w:val="single" w:sz="16" w:space="0" w:color="000000"/>
              <w:right w:val="single" w:sz="4" w:space="0" w:color="auto"/>
            </w:tcBorders>
            <w:shd w:val="clear" w:color="auto" w:fill="FFFFFF"/>
          </w:tcPr>
          <w:p w14:paraId="49DC1E25"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Total</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1C7D3CD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321</w:t>
            </w:r>
          </w:p>
        </w:tc>
        <w:tc>
          <w:tcPr>
            <w:tcW w:w="1462" w:type="dxa"/>
            <w:tcBorders>
              <w:top w:val="single" w:sz="4" w:space="0" w:color="auto"/>
              <w:left w:val="single" w:sz="4" w:space="0" w:color="auto"/>
              <w:bottom w:val="nil"/>
              <w:right w:val="single" w:sz="4" w:space="0" w:color="auto"/>
            </w:tcBorders>
            <w:shd w:val="clear" w:color="auto" w:fill="FFFFFF"/>
            <w:vAlign w:val="center"/>
          </w:tcPr>
          <w:p w14:paraId="0B932AC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153</w:t>
            </w:r>
          </w:p>
        </w:tc>
        <w:tc>
          <w:tcPr>
            <w:tcW w:w="1564" w:type="dxa"/>
            <w:vMerge w:val="restart"/>
            <w:tcBorders>
              <w:top w:val="single" w:sz="4" w:space="0" w:color="auto"/>
              <w:left w:val="single" w:sz="4" w:space="0" w:color="auto"/>
              <w:right w:val="single" w:sz="4" w:space="0" w:color="auto"/>
            </w:tcBorders>
            <w:shd w:val="clear" w:color="auto" w:fill="FFFFFF"/>
            <w:vAlign w:val="center"/>
          </w:tcPr>
          <w:p w14:paraId="27DD73C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26</w:t>
            </w:r>
          </w:p>
          <w:p w14:paraId="75B0794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5,2%</w:t>
            </w:r>
          </w:p>
        </w:tc>
        <w:tc>
          <w:tcPr>
            <w:tcW w:w="845" w:type="dxa"/>
            <w:gridSpan w:val="2"/>
            <w:tcBorders>
              <w:top w:val="single" w:sz="4" w:space="0" w:color="auto"/>
              <w:left w:val="single" w:sz="4" w:space="0" w:color="auto"/>
              <w:bottom w:val="nil"/>
              <w:right w:val="single" w:sz="4" w:space="0" w:color="auto"/>
            </w:tcBorders>
            <w:shd w:val="clear" w:color="auto" w:fill="FFFFFF"/>
            <w:vAlign w:val="center"/>
          </w:tcPr>
          <w:p w14:paraId="0E2A8C8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500</w:t>
            </w:r>
          </w:p>
        </w:tc>
      </w:tr>
      <w:tr w:rsidR="00D80693" w14:paraId="74B34F7E" w14:textId="77777777" w:rsidTr="00D72320">
        <w:trPr>
          <w:cantSplit/>
          <w:jc w:val="center"/>
        </w:trPr>
        <w:tc>
          <w:tcPr>
            <w:tcW w:w="2550" w:type="dxa"/>
            <w:gridSpan w:val="2"/>
            <w:vMerge/>
            <w:tcBorders>
              <w:top w:val="nil"/>
              <w:left w:val="single" w:sz="4" w:space="0" w:color="auto"/>
              <w:bottom w:val="single" w:sz="4" w:space="0" w:color="auto"/>
              <w:right w:val="single" w:sz="4" w:space="0" w:color="auto"/>
            </w:tcBorders>
            <w:shd w:val="clear" w:color="auto" w:fill="FFFFFF"/>
          </w:tcPr>
          <w:p w14:paraId="45A2209D" w14:textId="77777777" w:rsidR="00D80693" w:rsidRPr="00F70FCF" w:rsidRDefault="00D80693" w:rsidP="001928FA">
            <w:pPr>
              <w:adjustRightInd w:val="0"/>
              <w:spacing w:before="120"/>
              <w:rPr>
                <w:rFonts w:eastAsia="Calibri"/>
                <w:color w:val="000000"/>
              </w:rPr>
            </w:pPr>
          </w:p>
        </w:tc>
        <w:tc>
          <w:tcPr>
            <w:tcW w:w="1229" w:type="dxa"/>
            <w:tcBorders>
              <w:top w:val="nil"/>
              <w:left w:val="single" w:sz="4" w:space="0" w:color="auto"/>
              <w:bottom w:val="single" w:sz="4" w:space="0" w:color="auto"/>
              <w:right w:val="single" w:sz="4" w:space="0" w:color="auto"/>
            </w:tcBorders>
            <w:shd w:val="clear" w:color="auto" w:fill="FFFFFF"/>
            <w:vAlign w:val="center"/>
          </w:tcPr>
          <w:p w14:paraId="77CA0D7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64,2%</w:t>
            </w:r>
          </w:p>
        </w:tc>
        <w:tc>
          <w:tcPr>
            <w:tcW w:w="1462" w:type="dxa"/>
            <w:tcBorders>
              <w:top w:val="nil"/>
              <w:left w:val="single" w:sz="4" w:space="0" w:color="auto"/>
              <w:bottom w:val="single" w:sz="4" w:space="0" w:color="auto"/>
              <w:right w:val="single" w:sz="4" w:space="0" w:color="auto"/>
            </w:tcBorders>
            <w:shd w:val="clear" w:color="auto" w:fill="FFFFFF"/>
            <w:vAlign w:val="center"/>
          </w:tcPr>
          <w:p w14:paraId="1D734D5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30,6%</w:t>
            </w:r>
          </w:p>
        </w:tc>
        <w:tc>
          <w:tcPr>
            <w:tcW w:w="1564" w:type="dxa"/>
            <w:vMerge/>
            <w:tcBorders>
              <w:left w:val="single" w:sz="4" w:space="0" w:color="auto"/>
              <w:bottom w:val="single" w:sz="4" w:space="0" w:color="auto"/>
              <w:right w:val="single" w:sz="4" w:space="0" w:color="auto"/>
            </w:tcBorders>
            <w:shd w:val="clear" w:color="auto" w:fill="FFFFFF"/>
            <w:vAlign w:val="center"/>
          </w:tcPr>
          <w:p w14:paraId="6B6A1A87" w14:textId="77777777" w:rsidR="00D80693" w:rsidRPr="00F70FCF" w:rsidRDefault="00D80693" w:rsidP="001928FA">
            <w:pPr>
              <w:adjustRightInd w:val="0"/>
              <w:spacing w:before="120"/>
              <w:ind w:left="60" w:right="60"/>
              <w:jc w:val="center"/>
              <w:rPr>
                <w:rFonts w:eastAsia="Calibri"/>
                <w:color w:val="000000"/>
              </w:rPr>
            </w:pPr>
          </w:p>
        </w:tc>
        <w:tc>
          <w:tcPr>
            <w:tcW w:w="845" w:type="dxa"/>
            <w:gridSpan w:val="2"/>
            <w:tcBorders>
              <w:top w:val="nil"/>
              <w:left w:val="single" w:sz="4" w:space="0" w:color="auto"/>
              <w:bottom w:val="single" w:sz="4" w:space="0" w:color="auto"/>
              <w:right w:val="single" w:sz="4" w:space="0" w:color="auto"/>
            </w:tcBorders>
            <w:shd w:val="clear" w:color="auto" w:fill="FFFFFF"/>
            <w:vAlign w:val="center"/>
          </w:tcPr>
          <w:p w14:paraId="6088A1C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100,0%</w:t>
            </w:r>
          </w:p>
        </w:tc>
      </w:tr>
    </w:tbl>
    <w:p w14:paraId="230FBABE" w14:textId="4F486B5F" w:rsidR="00D80693" w:rsidRPr="00F429F0" w:rsidRDefault="00D80693" w:rsidP="00F429F0">
      <w:pPr>
        <w:adjustRightInd w:val="0"/>
        <w:spacing w:before="120"/>
        <w:jc w:val="center"/>
        <w:rPr>
          <w:rFonts w:eastAsia="Calibri"/>
          <w:sz w:val="24"/>
          <w:szCs w:val="24"/>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697A69A2" w14:textId="2A9AE162" w:rsidR="00D80693" w:rsidRPr="00AD2C69" w:rsidRDefault="00D80693" w:rsidP="00F429F0">
      <w:pPr>
        <w:spacing w:before="120"/>
        <w:jc w:val="both"/>
        <w:rPr>
          <w:color w:val="000000"/>
          <w:sz w:val="10"/>
          <w:szCs w:val="10"/>
        </w:rPr>
      </w:pPr>
      <w:r w:rsidRPr="008240D2">
        <w:rPr>
          <w:rFonts w:cstheme="minorBidi"/>
          <w:color w:val="000000"/>
          <w:sz w:val="24"/>
          <w:szCs w:val="24"/>
        </w:rPr>
        <w:t xml:space="preserve">Le </w:t>
      </w:r>
      <w:r w:rsidRPr="00C1242E">
        <w:rPr>
          <w:rFonts w:eastAsia="Calibri"/>
          <w:bCs/>
          <w:color w:val="000000"/>
          <w:sz w:val="24"/>
          <w:szCs w:val="24"/>
          <w:lang w:eastAsia="fr-FR"/>
        </w:rPr>
        <w:t>tableau</w:t>
      </w:r>
      <w:r w:rsidRPr="008240D2">
        <w:rPr>
          <w:rFonts w:cstheme="minorBidi"/>
          <w:color w:val="000000"/>
          <w:sz w:val="24"/>
          <w:szCs w:val="24"/>
        </w:rPr>
        <w:t xml:space="preserve"> de contingence des variables « aimer généralement étudier » et « sentiment qu’éprouve généralement l’élève pour les évaluations » montre que la perception faite d’aimer généralement étudier, varie en fonction du sentiment qu’éprouve généralement l’élève pour les évaluations. </w:t>
      </w:r>
      <w:r>
        <w:rPr>
          <w:rFonts w:eastAsia="Calibri"/>
          <w:bCs/>
          <w:color w:val="000000"/>
          <w:sz w:val="24"/>
          <w:szCs w:val="24"/>
          <w:lang w:eastAsia="fr-FR"/>
        </w:rPr>
        <w:t>Sur l’ensemble des apprenants qui affirment détester les évaluations, la moitié affirment aimer « souvent » ou « toujours » étudier. Quant à ceux qui affirment craindre les évaluations, on note que les quatre cinquièmes affirment aimer généralement soit « souvent » soit « toujours » étudier. Pour ceux qui aiment généralement les évaluations, la quasi-totalité aiment soit « souvent » soit « toujours » étudier.</w:t>
      </w:r>
      <w:r w:rsidR="00F429F0">
        <w:rPr>
          <w:rFonts w:eastAsia="Calibri"/>
          <w:bCs/>
          <w:color w:val="000000"/>
          <w:sz w:val="24"/>
          <w:szCs w:val="24"/>
          <w:lang w:eastAsia="fr-FR"/>
        </w:rPr>
        <w:t xml:space="preserve"> </w:t>
      </w:r>
      <w:r>
        <w:rPr>
          <w:rFonts w:eastAsia="Calibri"/>
          <w:bCs/>
          <w:color w:val="000000"/>
          <w:sz w:val="24"/>
          <w:szCs w:val="24"/>
          <w:lang w:eastAsia="fr-FR"/>
        </w:rPr>
        <w:t>De ce qui précède, l’on peut retenir que plus les élèves ont un rapport sympathique avec l’évaluation, plus ils aiment étudier. Toutefois, les tests confirment-ils ce lien ?</w:t>
      </w:r>
    </w:p>
    <w:p w14:paraId="18336B9B" w14:textId="77777777" w:rsidR="00D80693" w:rsidRPr="001F3123" w:rsidRDefault="00D80693" w:rsidP="001928FA">
      <w:pPr>
        <w:adjustRightInd w:val="0"/>
        <w:spacing w:before="120"/>
        <w:ind w:left="2694" w:hanging="1418"/>
        <w:jc w:val="center"/>
        <w:rPr>
          <w:rFonts w:eastAsia="Calibri"/>
          <w:b/>
          <w:bCs/>
          <w:i/>
          <w:iCs/>
        </w:rPr>
      </w:pPr>
      <w:r w:rsidRPr="001F3123">
        <w:rPr>
          <w:rFonts w:eastAsia="Calibri"/>
          <w:b/>
          <w:bCs/>
          <w:i/>
          <w:iCs/>
        </w:rPr>
        <w:t>Tableau n°1</w:t>
      </w:r>
      <w:r>
        <w:rPr>
          <w:rFonts w:eastAsia="Calibri"/>
          <w:b/>
          <w:bCs/>
          <w:i/>
          <w:iCs/>
        </w:rPr>
        <w:t>4</w:t>
      </w:r>
      <w:r w:rsidRPr="001F3123">
        <w:rPr>
          <w:rFonts w:eastAsia="Calibri"/>
          <w:b/>
          <w:bCs/>
          <w:i/>
          <w:iCs/>
        </w:rPr>
        <w:t xml:space="preserve"> : Test du Khi-deux</w:t>
      </w:r>
    </w:p>
    <w:p w14:paraId="07B3E78A" w14:textId="77777777" w:rsidR="00D80693" w:rsidRPr="00AB437E" w:rsidRDefault="00D80693" w:rsidP="001928FA">
      <w:pPr>
        <w:spacing w:before="120"/>
        <w:ind w:firstLine="567"/>
        <w:jc w:val="both"/>
        <w:rPr>
          <w:color w:val="000000"/>
          <w:sz w:val="6"/>
          <w:szCs w:val="6"/>
        </w:rPr>
      </w:pPr>
    </w:p>
    <w:tbl>
      <w:tblPr>
        <w:tblW w:w="83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79"/>
        <w:gridCol w:w="1336"/>
        <w:gridCol w:w="560"/>
        <w:gridCol w:w="3084"/>
      </w:tblGrid>
      <w:tr w:rsidR="00D80693" w14:paraId="396D74B0" w14:textId="77777777" w:rsidTr="00F429F0">
        <w:trPr>
          <w:cantSplit/>
          <w:trHeight w:val="422"/>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vAlign w:val="bottom"/>
          </w:tcPr>
          <w:p w14:paraId="1BC63E86" w14:textId="77777777" w:rsidR="00D80693" w:rsidRPr="00F70FCF" w:rsidRDefault="00D80693" w:rsidP="001928FA">
            <w:pPr>
              <w:adjustRightInd w:val="0"/>
              <w:spacing w:before="120"/>
              <w:rPr>
                <w:rFonts w:eastAsia="Calibri"/>
              </w:rPr>
            </w:pP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14:paraId="1F5966A9"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Valeur</w:t>
            </w:r>
          </w:p>
        </w:tc>
        <w:tc>
          <w:tcPr>
            <w:tcW w:w="560" w:type="dxa"/>
            <w:tcBorders>
              <w:top w:val="single" w:sz="4" w:space="0" w:color="auto"/>
              <w:left w:val="single" w:sz="4" w:space="0" w:color="auto"/>
              <w:bottom w:val="single" w:sz="4" w:space="0" w:color="auto"/>
              <w:right w:val="single" w:sz="4" w:space="0" w:color="auto"/>
            </w:tcBorders>
            <w:shd w:val="clear" w:color="auto" w:fill="FFFFFF"/>
            <w:vAlign w:val="bottom"/>
          </w:tcPr>
          <w:p w14:paraId="43C41BEA" w14:textId="77777777" w:rsidR="00D80693" w:rsidRPr="00F70FCF" w:rsidRDefault="00D80693" w:rsidP="001928FA">
            <w:pPr>
              <w:adjustRightInd w:val="0"/>
              <w:spacing w:before="120"/>
              <w:ind w:left="60" w:right="60"/>
              <w:jc w:val="center"/>
              <w:rPr>
                <w:rFonts w:eastAsia="Calibri"/>
                <w:color w:val="000000"/>
              </w:rPr>
            </w:pPr>
            <w:proofErr w:type="gramStart"/>
            <w:r w:rsidRPr="00F70FCF">
              <w:rPr>
                <w:rFonts w:eastAsia="Calibri"/>
                <w:color w:val="000000"/>
              </w:rPr>
              <w:t>ddl</w:t>
            </w:r>
            <w:proofErr w:type="gramEnd"/>
          </w:p>
        </w:tc>
        <w:tc>
          <w:tcPr>
            <w:tcW w:w="3084" w:type="dxa"/>
            <w:tcBorders>
              <w:top w:val="single" w:sz="4" w:space="0" w:color="auto"/>
              <w:left w:val="single" w:sz="4" w:space="0" w:color="auto"/>
              <w:bottom w:val="single" w:sz="4" w:space="0" w:color="auto"/>
              <w:right w:val="single" w:sz="4" w:space="0" w:color="auto"/>
            </w:tcBorders>
            <w:shd w:val="clear" w:color="auto" w:fill="FFFFFF"/>
            <w:vAlign w:val="bottom"/>
          </w:tcPr>
          <w:p w14:paraId="556FB487" w14:textId="77777777" w:rsidR="00D80693" w:rsidRPr="00F70FCF" w:rsidRDefault="00D80693" w:rsidP="001928FA">
            <w:pPr>
              <w:adjustRightInd w:val="0"/>
              <w:spacing w:before="120"/>
              <w:ind w:left="60" w:right="60"/>
              <w:jc w:val="center"/>
              <w:rPr>
                <w:rFonts w:eastAsia="Calibri"/>
                <w:color w:val="000000"/>
              </w:rPr>
            </w:pPr>
            <w:proofErr w:type="spellStart"/>
            <w:r w:rsidRPr="00F70FCF">
              <w:rPr>
                <w:rFonts w:eastAsia="Calibri"/>
                <w:color w:val="000000"/>
              </w:rPr>
              <w:t>Sig</w:t>
            </w:r>
            <w:proofErr w:type="spellEnd"/>
            <w:r w:rsidRPr="00F70FCF">
              <w:rPr>
                <w:rFonts w:eastAsia="Calibri"/>
                <w:color w:val="000000"/>
              </w:rPr>
              <w:t xml:space="preserve">. </w:t>
            </w:r>
            <w:proofErr w:type="gramStart"/>
            <w:r w:rsidRPr="00F70FCF">
              <w:rPr>
                <w:rFonts w:eastAsia="Calibri"/>
                <w:color w:val="000000"/>
              </w:rPr>
              <w:t>approx</w:t>
            </w:r>
            <w:proofErr w:type="gramEnd"/>
            <w:r w:rsidRPr="00F70FCF">
              <w:rPr>
                <w:rFonts w:eastAsia="Calibri"/>
                <w:color w:val="000000"/>
              </w:rPr>
              <w:t>. (</w:t>
            </w:r>
            <w:proofErr w:type="gramStart"/>
            <w:r w:rsidRPr="00F70FCF">
              <w:rPr>
                <w:rFonts w:eastAsia="Calibri"/>
                <w:color w:val="000000"/>
              </w:rPr>
              <w:t>bilatérale</w:t>
            </w:r>
            <w:proofErr w:type="gramEnd"/>
            <w:r w:rsidRPr="00F70FCF">
              <w:rPr>
                <w:rFonts w:eastAsia="Calibri"/>
                <w:color w:val="000000"/>
              </w:rPr>
              <w:t>)</w:t>
            </w:r>
          </w:p>
        </w:tc>
      </w:tr>
      <w:tr w:rsidR="00D80693" w14:paraId="21B8338C" w14:textId="77777777" w:rsidTr="00F429F0">
        <w:trPr>
          <w:cantSplit/>
          <w:trHeight w:val="210"/>
          <w:jc w:val="center"/>
        </w:trPr>
        <w:tc>
          <w:tcPr>
            <w:tcW w:w="3379" w:type="dxa"/>
            <w:tcBorders>
              <w:top w:val="single" w:sz="4" w:space="0" w:color="auto"/>
              <w:left w:val="single" w:sz="4" w:space="0" w:color="auto"/>
              <w:bottom w:val="nil"/>
              <w:right w:val="single" w:sz="4" w:space="0" w:color="auto"/>
            </w:tcBorders>
            <w:shd w:val="clear" w:color="auto" w:fill="FFFFFF"/>
          </w:tcPr>
          <w:p w14:paraId="37224F04" w14:textId="77777777" w:rsidR="00D80693" w:rsidRPr="00F70FCF" w:rsidRDefault="00D80693" w:rsidP="001928FA">
            <w:pPr>
              <w:adjustRightInd w:val="0"/>
              <w:spacing w:before="120"/>
              <w:ind w:left="60" w:right="60"/>
              <w:rPr>
                <w:rFonts w:eastAsia="Calibri"/>
                <w:color w:val="000000"/>
              </w:rPr>
            </w:pPr>
            <w:proofErr w:type="gramStart"/>
            <w:r w:rsidRPr="00F70FCF">
              <w:rPr>
                <w:rFonts w:eastAsia="Calibri"/>
                <w:color w:val="000000"/>
              </w:rPr>
              <w:t>khi</w:t>
            </w:r>
            <w:proofErr w:type="gramEnd"/>
            <w:r w:rsidRPr="00F70FCF">
              <w:rPr>
                <w:rFonts w:eastAsia="Calibri"/>
                <w:color w:val="000000"/>
              </w:rPr>
              <w:t>-deux de Pearson</w:t>
            </w:r>
          </w:p>
        </w:tc>
        <w:tc>
          <w:tcPr>
            <w:tcW w:w="1336" w:type="dxa"/>
            <w:tcBorders>
              <w:top w:val="single" w:sz="4" w:space="0" w:color="auto"/>
              <w:left w:val="single" w:sz="4" w:space="0" w:color="auto"/>
              <w:bottom w:val="nil"/>
              <w:right w:val="single" w:sz="4" w:space="0" w:color="auto"/>
            </w:tcBorders>
            <w:shd w:val="clear" w:color="auto" w:fill="FFFFFF"/>
            <w:vAlign w:val="center"/>
          </w:tcPr>
          <w:p w14:paraId="3A3E2671"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60,032</w:t>
            </w:r>
            <w:r w:rsidRPr="00F70FCF">
              <w:rPr>
                <w:rFonts w:eastAsia="Calibri"/>
                <w:color w:val="000000"/>
                <w:vertAlign w:val="superscript"/>
              </w:rPr>
              <w:t>a</w:t>
            </w:r>
          </w:p>
        </w:tc>
        <w:tc>
          <w:tcPr>
            <w:tcW w:w="560" w:type="dxa"/>
            <w:tcBorders>
              <w:top w:val="single" w:sz="4" w:space="0" w:color="auto"/>
              <w:left w:val="single" w:sz="4" w:space="0" w:color="auto"/>
              <w:bottom w:val="nil"/>
              <w:right w:val="single" w:sz="4" w:space="0" w:color="auto"/>
            </w:tcBorders>
            <w:shd w:val="clear" w:color="auto" w:fill="FFFFFF"/>
            <w:vAlign w:val="center"/>
          </w:tcPr>
          <w:p w14:paraId="7D559CA8"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w:t>
            </w:r>
          </w:p>
        </w:tc>
        <w:tc>
          <w:tcPr>
            <w:tcW w:w="3084" w:type="dxa"/>
            <w:tcBorders>
              <w:top w:val="single" w:sz="4" w:space="0" w:color="auto"/>
              <w:left w:val="single" w:sz="4" w:space="0" w:color="auto"/>
              <w:bottom w:val="nil"/>
              <w:right w:val="single" w:sz="4" w:space="0" w:color="auto"/>
            </w:tcBorders>
            <w:shd w:val="clear" w:color="auto" w:fill="FFFFFF"/>
            <w:vAlign w:val="center"/>
          </w:tcPr>
          <w:p w14:paraId="5867D08A"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5DA3302B" w14:textId="77777777" w:rsidTr="00F429F0">
        <w:trPr>
          <w:cantSplit/>
          <w:trHeight w:val="210"/>
          <w:jc w:val="center"/>
        </w:trPr>
        <w:tc>
          <w:tcPr>
            <w:tcW w:w="3379" w:type="dxa"/>
            <w:tcBorders>
              <w:top w:val="nil"/>
              <w:left w:val="single" w:sz="4" w:space="0" w:color="auto"/>
              <w:bottom w:val="nil"/>
              <w:right w:val="single" w:sz="4" w:space="0" w:color="auto"/>
            </w:tcBorders>
            <w:shd w:val="clear" w:color="auto" w:fill="FFFFFF"/>
          </w:tcPr>
          <w:p w14:paraId="329E4D8A"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Rapport de vraisemblance</w:t>
            </w:r>
          </w:p>
        </w:tc>
        <w:tc>
          <w:tcPr>
            <w:tcW w:w="1336" w:type="dxa"/>
            <w:tcBorders>
              <w:top w:val="nil"/>
              <w:left w:val="single" w:sz="4" w:space="0" w:color="auto"/>
              <w:bottom w:val="nil"/>
              <w:right w:val="single" w:sz="4" w:space="0" w:color="auto"/>
            </w:tcBorders>
            <w:shd w:val="clear" w:color="auto" w:fill="FFFFFF"/>
            <w:vAlign w:val="center"/>
          </w:tcPr>
          <w:p w14:paraId="7E116C23"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47,590</w:t>
            </w:r>
          </w:p>
        </w:tc>
        <w:tc>
          <w:tcPr>
            <w:tcW w:w="560" w:type="dxa"/>
            <w:tcBorders>
              <w:top w:val="nil"/>
              <w:left w:val="single" w:sz="4" w:space="0" w:color="auto"/>
              <w:bottom w:val="nil"/>
              <w:right w:val="single" w:sz="4" w:space="0" w:color="auto"/>
            </w:tcBorders>
            <w:shd w:val="clear" w:color="auto" w:fill="FFFFFF"/>
            <w:vAlign w:val="center"/>
          </w:tcPr>
          <w:p w14:paraId="7D6E861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9</w:t>
            </w:r>
          </w:p>
        </w:tc>
        <w:tc>
          <w:tcPr>
            <w:tcW w:w="3084" w:type="dxa"/>
            <w:tcBorders>
              <w:top w:val="nil"/>
              <w:left w:val="single" w:sz="4" w:space="0" w:color="auto"/>
              <w:bottom w:val="nil"/>
              <w:right w:val="single" w:sz="4" w:space="0" w:color="auto"/>
            </w:tcBorders>
            <w:shd w:val="clear" w:color="auto" w:fill="FFFFFF"/>
            <w:vAlign w:val="center"/>
          </w:tcPr>
          <w:p w14:paraId="141AA7C7"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4CF4B035" w14:textId="77777777" w:rsidTr="00F429F0">
        <w:trPr>
          <w:cantSplit/>
          <w:trHeight w:val="413"/>
          <w:jc w:val="center"/>
        </w:trPr>
        <w:tc>
          <w:tcPr>
            <w:tcW w:w="3379" w:type="dxa"/>
            <w:tcBorders>
              <w:top w:val="nil"/>
              <w:left w:val="single" w:sz="4" w:space="0" w:color="auto"/>
              <w:bottom w:val="nil"/>
              <w:right w:val="single" w:sz="4" w:space="0" w:color="auto"/>
            </w:tcBorders>
            <w:shd w:val="clear" w:color="auto" w:fill="FFFFFF"/>
          </w:tcPr>
          <w:p w14:paraId="587BC846"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Association linéaire par linéaire</w:t>
            </w:r>
          </w:p>
        </w:tc>
        <w:tc>
          <w:tcPr>
            <w:tcW w:w="1336" w:type="dxa"/>
            <w:tcBorders>
              <w:top w:val="nil"/>
              <w:left w:val="single" w:sz="4" w:space="0" w:color="auto"/>
              <w:bottom w:val="nil"/>
              <w:right w:val="single" w:sz="4" w:space="0" w:color="auto"/>
            </w:tcBorders>
            <w:shd w:val="clear" w:color="auto" w:fill="FFFFFF"/>
            <w:vAlign w:val="center"/>
          </w:tcPr>
          <w:p w14:paraId="1FBEF96D"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,019</w:t>
            </w:r>
          </w:p>
        </w:tc>
        <w:tc>
          <w:tcPr>
            <w:tcW w:w="560" w:type="dxa"/>
            <w:tcBorders>
              <w:top w:val="nil"/>
              <w:left w:val="single" w:sz="4" w:space="0" w:color="auto"/>
              <w:bottom w:val="nil"/>
              <w:right w:val="single" w:sz="4" w:space="0" w:color="auto"/>
            </w:tcBorders>
            <w:shd w:val="clear" w:color="auto" w:fill="FFFFFF"/>
            <w:vAlign w:val="center"/>
          </w:tcPr>
          <w:p w14:paraId="7C7395D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1</w:t>
            </w:r>
          </w:p>
        </w:tc>
        <w:tc>
          <w:tcPr>
            <w:tcW w:w="3084" w:type="dxa"/>
            <w:tcBorders>
              <w:top w:val="nil"/>
              <w:left w:val="single" w:sz="4" w:space="0" w:color="auto"/>
              <w:bottom w:val="nil"/>
              <w:right w:val="single" w:sz="4" w:space="0" w:color="auto"/>
            </w:tcBorders>
            <w:shd w:val="clear" w:color="auto" w:fill="FFFFFF"/>
            <w:vAlign w:val="center"/>
          </w:tcPr>
          <w:p w14:paraId="7947A79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,891</w:t>
            </w:r>
          </w:p>
        </w:tc>
      </w:tr>
      <w:tr w:rsidR="00D80693" w14:paraId="09419CDE" w14:textId="77777777" w:rsidTr="00F429F0">
        <w:trPr>
          <w:cantSplit/>
          <w:trHeight w:val="210"/>
          <w:jc w:val="center"/>
        </w:trPr>
        <w:tc>
          <w:tcPr>
            <w:tcW w:w="3379" w:type="dxa"/>
            <w:tcBorders>
              <w:top w:val="nil"/>
              <w:left w:val="single" w:sz="4" w:space="0" w:color="auto"/>
              <w:bottom w:val="single" w:sz="4" w:space="0" w:color="auto"/>
              <w:right w:val="single" w:sz="4" w:space="0" w:color="auto"/>
            </w:tcBorders>
            <w:shd w:val="clear" w:color="auto" w:fill="FFFFFF"/>
          </w:tcPr>
          <w:p w14:paraId="6218BA31"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N d'observations valides</w:t>
            </w:r>
          </w:p>
        </w:tc>
        <w:tc>
          <w:tcPr>
            <w:tcW w:w="1336" w:type="dxa"/>
            <w:tcBorders>
              <w:top w:val="nil"/>
              <w:left w:val="single" w:sz="4" w:space="0" w:color="auto"/>
              <w:bottom w:val="single" w:sz="4" w:space="0" w:color="auto"/>
              <w:right w:val="single" w:sz="4" w:space="0" w:color="auto"/>
            </w:tcBorders>
            <w:shd w:val="clear" w:color="auto" w:fill="FFFFFF"/>
            <w:vAlign w:val="center"/>
          </w:tcPr>
          <w:p w14:paraId="69ABDAF1" w14:textId="77777777" w:rsidR="00D80693" w:rsidRPr="00F70FCF" w:rsidRDefault="00D80693" w:rsidP="001928FA">
            <w:pPr>
              <w:adjustRightInd w:val="0"/>
              <w:spacing w:before="120"/>
              <w:ind w:left="60" w:right="60"/>
              <w:jc w:val="right"/>
              <w:rPr>
                <w:rFonts w:eastAsia="Calibri"/>
                <w:color w:val="000000"/>
              </w:rPr>
            </w:pPr>
            <w:r w:rsidRPr="00F70FCF">
              <w:rPr>
                <w:rFonts w:eastAsia="Calibri"/>
                <w:color w:val="000000"/>
              </w:rPr>
              <w:t>500</w:t>
            </w:r>
          </w:p>
        </w:tc>
        <w:tc>
          <w:tcPr>
            <w:tcW w:w="560" w:type="dxa"/>
            <w:tcBorders>
              <w:top w:val="nil"/>
              <w:left w:val="single" w:sz="4" w:space="0" w:color="auto"/>
              <w:bottom w:val="single" w:sz="4" w:space="0" w:color="auto"/>
              <w:right w:val="single" w:sz="4" w:space="0" w:color="auto"/>
            </w:tcBorders>
            <w:shd w:val="clear" w:color="auto" w:fill="FFFFFF"/>
            <w:vAlign w:val="center"/>
          </w:tcPr>
          <w:p w14:paraId="00FB3409" w14:textId="77777777" w:rsidR="00D80693" w:rsidRPr="00F70FCF" w:rsidRDefault="00D80693" w:rsidP="001928FA">
            <w:pPr>
              <w:adjustRightInd w:val="0"/>
              <w:spacing w:before="120"/>
              <w:rPr>
                <w:rFonts w:eastAsia="Calibri"/>
              </w:rPr>
            </w:pPr>
          </w:p>
        </w:tc>
        <w:tc>
          <w:tcPr>
            <w:tcW w:w="3084" w:type="dxa"/>
            <w:tcBorders>
              <w:top w:val="nil"/>
              <w:left w:val="single" w:sz="4" w:space="0" w:color="auto"/>
              <w:bottom w:val="single" w:sz="4" w:space="0" w:color="auto"/>
              <w:right w:val="single" w:sz="4" w:space="0" w:color="auto"/>
            </w:tcBorders>
            <w:shd w:val="clear" w:color="auto" w:fill="FFFFFF"/>
            <w:vAlign w:val="center"/>
          </w:tcPr>
          <w:p w14:paraId="4007E0A3" w14:textId="77777777" w:rsidR="00D80693" w:rsidRPr="00F70FCF" w:rsidRDefault="00D80693" w:rsidP="001928FA">
            <w:pPr>
              <w:adjustRightInd w:val="0"/>
              <w:spacing w:before="120"/>
              <w:rPr>
                <w:rFonts w:eastAsia="Calibri"/>
              </w:rPr>
            </w:pPr>
          </w:p>
        </w:tc>
      </w:tr>
      <w:tr w:rsidR="00D80693" w14:paraId="687797F2" w14:textId="77777777" w:rsidTr="00F429F0">
        <w:trPr>
          <w:cantSplit/>
          <w:trHeight w:val="75"/>
          <w:jc w:val="center"/>
        </w:trPr>
        <w:tc>
          <w:tcPr>
            <w:tcW w:w="8359" w:type="dxa"/>
            <w:gridSpan w:val="4"/>
            <w:tcBorders>
              <w:top w:val="single" w:sz="4" w:space="0" w:color="auto"/>
              <w:left w:val="nil"/>
              <w:bottom w:val="nil"/>
              <w:right w:val="nil"/>
            </w:tcBorders>
            <w:shd w:val="clear" w:color="auto" w:fill="FFFFFF"/>
          </w:tcPr>
          <w:p w14:paraId="352BB2D0" w14:textId="77777777" w:rsidR="00D80693" w:rsidRPr="00F70FCF" w:rsidRDefault="00D80693" w:rsidP="001928FA">
            <w:pPr>
              <w:adjustRightInd w:val="0"/>
              <w:spacing w:before="120"/>
              <w:ind w:left="60" w:right="60"/>
              <w:rPr>
                <w:rFonts w:eastAsia="Calibri"/>
                <w:i/>
                <w:iCs/>
                <w:color w:val="000000"/>
              </w:rPr>
            </w:pPr>
            <w:r w:rsidRPr="000F7851">
              <w:rPr>
                <w:rFonts w:eastAsia="Calibri"/>
                <w:i/>
                <w:iCs/>
                <w:color w:val="000000"/>
                <w:sz w:val="20"/>
                <w:szCs w:val="20"/>
              </w:rPr>
              <w:t>a. 6 cellules (37,5%) ont un effectif théorique inférieur à 5. L'effectif théorique minimum est de ,04.</w:t>
            </w:r>
          </w:p>
        </w:tc>
      </w:tr>
    </w:tbl>
    <w:p w14:paraId="4F0D1C91" w14:textId="77777777" w:rsidR="00D80693" w:rsidRDefault="00D80693" w:rsidP="001928FA">
      <w:pPr>
        <w:adjustRightInd w:val="0"/>
        <w:spacing w:before="120"/>
        <w:jc w:val="center"/>
        <w:rPr>
          <w:rFonts w:eastAsia="Calibri"/>
          <w:i/>
          <w:iCs/>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450DD7F8" w14:textId="77777777" w:rsidR="00D80693" w:rsidRPr="00CE3A66" w:rsidRDefault="00D80693" w:rsidP="001928FA">
      <w:pPr>
        <w:spacing w:before="120"/>
        <w:ind w:firstLine="567"/>
        <w:jc w:val="both"/>
        <w:rPr>
          <w:rFonts w:eastAsia="Calibri"/>
          <w:i/>
          <w:iCs/>
          <w:color w:val="000000"/>
        </w:rPr>
      </w:pPr>
      <w:r w:rsidRPr="00CE3A66">
        <w:rPr>
          <w:rFonts w:eastAsia="Calibri"/>
          <w:bCs/>
          <w:color w:val="000000"/>
          <w:sz w:val="24"/>
          <w:szCs w:val="24"/>
          <w:lang w:eastAsia="fr-FR"/>
        </w:rPr>
        <w:t>Le tableau précédent montre que le pourcentage de cellules dont l’effectif théorique inférieur à 5 est supérieur à 25% (37,5% &gt; 25%).  Le test Khi deux n’est donc pas valide, toutefois la p-value = 0,000 &lt; 0,05 indique la relation est significative. En plus, en considérant le test du rapport de vraisemblance, la relation apparait significative, car la p-value = 0,002 est inférieure à 0,05.</w:t>
      </w:r>
      <w:r w:rsidRPr="00CE3A66">
        <w:rPr>
          <w:rFonts w:eastAsia="Calibri"/>
          <w:i/>
          <w:iCs/>
          <w:color w:val="000000"/>
        </w:rPr>
        <w:t xml:space="preserve"> </w:t>
      </w:r>
      <w:r w:rsidRPr="00CE3A66">
        <w:rPr>
          <w:rFonts w:eastAsia="Calibri"/>
          <w:bCs/>
          <w:color w:val="000000"/>
          <w:sz w:val="24"/>
          <w:szCs w:val="24"/>
          <w:lang w:eastAsia="fr-FR"/>
        </w:rPr>
        <w:t>Qu’en est-il des mesures asymétriques ?</w:t>
      </w:r>
    </w:p>
    <w:p w14:paraId="3F55A04B" w14:textId="77777777" w:rsidR="00D80693" w:rsidRPr="000F7851" w:rsidRDefault="00D80693" w:rsidP="001928FA">
      <w:pPr>
        <w:adjustRightInd w:val="0"/>
        <w:spacing w:before="120"/>
        <w:ind w:left="2694" w:hanging="1418"/>
        <w:jc w:val="center"/>
        <w:rPr>
          <w:rFonts w:eastAsia="Calibri"/>
          <w:b/>
          <w:bCs/>
          <w:i/>
          <w:iCs/>
          <w:sz w:val="6"/>
          <w:szCs w:val="6"/>
        </w:rPr>
      </w:pPr>
    </w:p>
    <w:p w14:paraId="52F32DA5" w14:textId="77777777" w:rsidR="00D80693" w:rsidRPr="001F3123" w:rsidRDefault="00D80693" w:rsidP="001928FA">
      <w:pPr>
        <w:adjustRightInd w:val="0"/>
        <w:spacing w:before="120"/>
        <w:ind w:left="2694" w:hanging="1418"/>
        <w:jc w:val="center"/>
        <w:rPr>
          <w:rFonts w:eastAsia="Calibri"/>
          <w:b/>
          <w:bCs/>
          <w:i/>
          <w:iCs/>
        </w:rPr>
      </w:pPr>
      <w:r w:rsidRPr="001F3123">
        <w:rPr>
          <w:rFonts w:eastAsia="Calibri"/>
          <w:b/>
          <w:bCs/>
          <w:i/>
          <w:iCs/>
        </w:rPr>
        <w:t>Tableau n°</w:t>
      </w:r>
      <w:r>
        <w:rPr>
          <w:rFonts w:eastAsia="Calibri"/>
          <w:b/>
          <w:bCs/>
          <w:i/>
          <w:iCs/>
        </w:rPr>
        <w:t>15</w:t>
      </w:r>
      <w:r w:rsidRPr="001F3123">
        <w:rPr>
          <w:rFonts w:eastAsia="Calibri"/>
          <w:b/>
          <w:bCs/>
          <w:i/>
          <w:iCs/>
        </w:rPr>
        <w:t xml:space="preserve"> : Mesures symétriques</w:t>
      </w:r>
    </w:p>
    <w:tbl>
      <w:tblPr>
        <w:tblW w:w="68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1"/>
        <w:gridCol w:w="1637"/>
        <w:gridCol w:w="950"/>
        <w:gridCol w:w="2051"/>
      </w:tblGrid>
      <w:tr w:rsidR="00D80693" w14:paraId="6EA4212A" w14:textId="77777777" w:rsidTr="00D72320">
        <w:trPr>
          <w:cantSplit/>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62AE8F5" w14:textId="77777777" w:rsidR="00D80693" w:rsidRPr="00F70FCF" w:rsidRDefault="00D80693" w:rsidP="001928FA">
            <w:pPr>
              <w:adjustRightInd w:val="0"/>
              <w:spacing w:before="120"/>
              <w:rPr>
                <w:rFonts w:eastAsia="Calibri"/>
              </w:rPr>
            </w:pP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14:paraId="4737ECEC"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Valeur</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bottom"/>
          </w:tcPr>
          <w:p w14:paraId="4789057B"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Signification approx.</w:t>
            </w:r>
          </w:p>
        </w:tc>
      </w:tr>
      <w:tr w:rsidR="00D80693" w14:paraId="1108596A" w14:textId="77777777" w:rsidTr="00D72320">
        <w:trPr>
          <w:cantSplit/>
          <w:jc w:val="center"/>
        </w:trPr>
        <w:tc>
          <w:tcPr>
            <w:tcW w:w="2191" w:type="dxa"/>
            <w:vMerge w:val="restart"/>
            <w:tcBorders>
              <w:top w:val="single" w:sz="4" w:space="0" w:color="auto"/>
              <w:left w:val="single" w:sz="4" w:space="0" w:color="auto"/>
              <w:bottom w:val="nil"/>
              <w:right w:val="nil"/>
            </w:tcBorders>
            <w:shd w:val="clear" w:color="auto" w:fill="FFFFFF"/>
          </w:tcPr>
          <w:p w14:paraId="29992E29"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Nominal par Nominal</w:t>
            </w:r>
          </w:p>
        </w:tc>
        <w:tc>
          <w:tcPr>
            <w:tcW w:w="1637" w:type="dxa"/>
            <w:tcBorders>
              <w:top w:val="single" w:sz="4" w:space="0" w:color="auto"/>
              <w:left w:val="nil"/>
              <w:bottom w:val="nil"/>
              <w:right w:val="single" w:sz="4" w:space="0" w:color="auto"/>
            </w:tcBorders>
            <w:shd w:val="clear" w:color="auto" w:fill="FFFFFF"/>
          </w:tcPr>
          <w:p w14:paraId="748CB5EE"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Phi</w:t>
            </w:r>
          </w:p>
        </w:tc>
        <w:tc>
          <w:tcPr>
            <w:tcW w:w="950" w:type="dxa"/>
            <w:vMerge w:val="restart"/>
            <w:tcBorders>
              <w:top w:val="single" w:sz="4" w:space="0" w:color="auto"/>
              <w:left w:val="single" w:sz="4" w:space="0" w:color="auto"/>
              <w:right w:val="single" w:sz="4" w:space="0" w:color="auto"/>
            </w:tcBorders>
            <w:shd w:val="clear" w:color="auto" w:fill="FFFFFF"/>
            <w:vAlign w:val="center"/>
          </w:tcPr>
          <w:p w14:paraId="552C5FE6"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,347</w:t>
            </w:r>
          </w:p>
          <w:p w14:paraId="2267DEE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,200</w:t>
            </w:r>
          </w:p>
          <w:p w14:paraId="05DE6643"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,327</w:t>
            </w:r>
          </w:p>
          <w:p w14:paraId="4005C9DE"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-,006</w:t>
            </w:r>
          </w:p>
          <w:p w14:paraId="391E25F6" w14:textId="77777777" w:rsidR="00D80693" w:rsidRPr="00F70FCF" w:rsidRDefault="00D80693" w:rsidP="001928FA">
            <w:pPr>
              <w:adjustRightInd w:val="0"/>
              <w:spacing w:before="120"/>
              <w:jc w:val="center"/>
              <w:rPr>
                <w:rFonts w:eastAsia="Calibri"/>
              </w:rPr>
            </w:pPr>
            <w:r w:rsidRPr="00F70FCF">
              <w:rPr>
                <w:rFonts w:eastAsia="Calibri"/>
                <w:color w:val="000000"/>
              </w:rPr>
              <w:t>500</w:t>
            </w:r>
          </w:p>
        </w:tc>
        <w:tc>
          <w:tcPr>
            <w:tcW w:w="2051" w:type="dxa"/>
            <w:tcBorders>
              <w:top w:val="single" w:sz="4" w:space="0" w:color="auto"/>
              <w:left w:val="single" w:sz="4" w:space="0" w:color="auto"/>
              <w:bottom w:val="nil"/>
              <w:right w:val="single" w:sz="4" w:space="0" w:color="auto"/>
            </w:tcBorders>
            <w:shd w:val="clear" w:color="auto" w:fill="FFFFFF"/>
            <w:vAlign w:val="center"/>
          </w:tcPr>
          <w:p w14:paraId="54A31FD0"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46E1F41F" w14:textId="77777777" w:rsidTr="00D72320">
        <w:trPr>
          <w:cantSplit/>
          <w:jc w:val="center"/>
        </w:trPr>
        <w:tc>
          <w:tcPr>
            <w:tcW w:w="2191" w:type="dxa"/>
            <w:vMerge/>
            <w:tcBorders>
              <w:top w:val="single" w:sz="16" w:space="0" w:color="000000"/>
              <w:left w:val="single" w:sz="4" w:space="0" w:color="auto"/>
              <w:bottom w:val="nil"/>
              <w:right w:val="nil"/>
            </w:tcBorders>
            <w:shd w:val="clear" w:color="auto" w:fill="FFFFFF"/>
          </w:tcPr>
          <w:p w14:paraId="085AEBBD" w14:textId="77777777" w:rsidR="00D80693" w:rsidRPr="00F70FCF" w:rsidRDefault="00D80693" w:rsidP="001928FA">
            <w:pPr>
              <w:adjustRightInd w:val="0"/>
              <w:spacing w:before="120"/>
              <w:rPr>
                <w:rFonts w:eastAsia="Calibri"/>
                <w:color w:val="000000"/>
              </w:rPr>
            </w:pPr>
          </w:p>
        </w:tc>
        <w:tc>
          <w:tcPr>
            <w:tcW w:w="1637" w:type="dxa"/>
            <w:tcBorders>
              <w:top w:val="nil"/>
              <w:left w:val="nil"/>
              <w:bottom w:val="nil"/>
              <w:right w:val="single" w:sz="4" w:space="0" w:color="auto"/>
            </w:tcBorders>
            <w:shd w:val="clear" w:color="auto" w:fill="FFFFFF"/>
          </w:tcPr>
          <w:p w14:paraId="231255ED"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V de Cramer</w:t>
            </w:r>
          </w:p>
        </w:tc>
        <w:tc>
          <w:tcPr>
            <w:tcW w:w="950" w:type="dxa"/>
            <w:vMerge/>
            <w:tcBorders>
              <w:left w:val="single" w:sz="4" w:space="0" w:color="auto"/>
              <w:right w:val="single" w:sz="4" w:space="0" w:color="auto"/>
            </w:tcBorders>
            <w:shd w:val="clear" w:color="auto" w:fill="FFFFFF"/>
            <w:vAlign w:val="center"/>
          </w:tcPr>
          <w:p w14:paraId="11773BA5" w14:textId="77777777" w:rsidR="00D80693" w:rsidRPr="00F70FCF" w:rsidRDefault="00D80693" w:rsidP="001928FA">
            <w:pPr>
              <w:adjustRightInd w:val="0"/>
              <w:spacing w:before="120"/>
              <w:rPr>
                <w:rFonts w:eastAsia="Calibri"/>
              </w:rPr>
            </w:pPr>
          </w:p>
        </w:tc>
        <w:tc>
          <w:tcPr>
            <w:tcW w:w="2051" w:type="dxa"/>
            <w:tcBorders>
              <w:top w:val="nil"/>
              <w:left w:val="single" w:sz="4" w:space="0" w:color="auto"/>
              <w:bottom w:val="nil"/>
              <w:right w:val="single" w:sz="4" w:space="0" w:color="auto"/>
            </w:tcBorders>
            <w:shd w:val="clear" w:color="auto" w:fill="FFFFFF"/>
            <w:vAlign w:val="center"/>
          </w:tcPr>
          <w:p w14:paraId="2637D48D"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1672AE7B" w14:textId="77777777" w:rsidTr="00D72320">
        <w:trPr>
          <w:cantSplit/>
          <w:jc w:val="center"/>
        </w:trPr>
        <w:tc>
          <w:tcPr>
            <w:tcW w:w="2191" w:type="dxa"/>
            <w:vMerge/>
            <w:tcBorders>
              <w:top w:val="single" w:sz="16" w:space="0" w:color="000000"/>
              <w:left w:val="single" w:sz="4" w:space="0" w:color="auto"/>
              <w:bottom w:val="nil"/>
              <w:right w:val="nil"/>
            </w:tcBorders>
            <w:shd w:val="clear" w:color="auto" w:fill="FFFFFF"/>
          </w:tcPr>
          <w:p w14:paraId="655F2D5D" w14:textId="77777777" w:rsidR="00D80693" w:rsidRPr="00F70FCF" w:rsidRDefault="00D80693" w:rsidP="001928FA">
            <w:pPr>
              <w:adjustRightInd w:val="0"/>
              <w:spacing w:before="120"/>
              <w:rPr>
                <w:rFonts w:eastAsia="Calibri"/>
                <w:color w:val="000000"/>
              </w:rPr>
            </w:pPr>
          </w:p>
        </w:tc>
        <w:tc>
          <w:tcPr>
            <w:tcW w:w="1637" w:type="dxa"/>
            <w:tcBorders>
              <w:top w:val="nil"/>
              <w:left w:val="nil"/>
              <w:bottom w:val="nil"/>
              <w:right w:val="single" w:sz="4" w:space="0" w:color="auto"/>
            </w:tcBorders>
            <w:shd w:val="clear" w:color="auto" w:fill="FFFFFF"/>
          </w:tcPr>
          <w:p w14:paraId="0F5C3C67"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Coefficient de contingence</w:t>
            </w:r>
          </w:p>
        </w:tc>
        <w:tc>
          <w:tcPr>
            <w:tcW w:w="950" w:type="dxa"/>
            <w:vMerge/>
            <w:tcBorders>
              <w:left w:val="single" w:sz="4" w:space="0" w:color="auto"/>
              <w:right w:val="single" w:sz="4" w:space="0" w:color="auto"/>
            </w:tcBorders>
            <w:shd w:val="clear" w:color="auto" w:fill="FFFFFF"/>
            <w:vAlign w:val="center"/>
          </w:tcPr>
          <w:p w14:paraId="6085F94F" w14:textId="77777777" w:rsidR="00D80693" w:rsidRPr="00F70FCF" w:rsidRDefault="00D80693" w:rsidP="001928FA">
            <w:pPr>
              <w:adjustRightInd w:val="0"/>
              <w:spacing w:before="120"/>
              <w:rPr>
                <w:rFonts w:eastAsia="Calibri"/>
              </w:rPr>
            </w:pPr>
          </w:p>
        </w:tc>
        <w:tc>
          <w:tcPr>
            <w:tcW w:w="2051" w:type="dxa"/>
            <w:tcBorders>
              <w:top w:val="nil"/>
              <w:left w:val="single" w:sz="4" w:space="0" w:color="auto"/>
              <w:bottom w:val="nil"/>
              <w:right w:val="single" w:sz="4" w:space="0" w:color="auto"/>
            </w:tcBorders>
            <w:shd w:val="clear" w:color="auto" w:fill="FFFFFF"/>
            <w:vAlign w:val="center"/>
          </w:tcPr>
          <w:p w14:paraId="0EBA26E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,000</w:t>
            </w:r>
          </w:p>
        </w:tc>
      </w:tr>
      <w:tr w:rsidR="00D80693" w14:paraId="7AA85580" w14:textId="77777777" w:rsidTr="00D72320">
        <w:trPr>
          <w:cantSplit/>
          <w:trHeight w:val="34"/>
          <w:jc w:val="center"/>
        </w:trPr>
        <w:tc>
          <w:tcPr>
            <w:tcW w:w="2191" w:type="dxa"/>
            <w:tcBorders>
              <w:top w:val="nil"/>
              <w:left w:val="single" w:sz="4" w:space="0" w:color="auto"/>
              <w:bottom w:val="nil"/>
              <w:right w:val="nil"/>
            </w:tcBorders>
            <w:shd w:val="clear" w:color="auto" w:fill="FFFFFF"/>
          </w:tcPr>
          <w:p w14:paraId="489C5A42"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Intervalle par Intervalle</w:t>
            </w:r>
          </w:p>
        </w:tc>
        <w:tc>
          <w:tcPr>
            <w:tcW w:w="1637" w:type="dxa"/>
            <w:tcBorders>
              <w:top w:val="nil"/>
              <w:left w:val="nil"/>
              <w:bottom w:val="nil"/>
              <w:right w:val="single" w:sz="4" w:space="0" w:color="auto"/>
            </w:tcBorders>
            <w:shd w:val="clear" w:color="auto" w:fill="FFFFFF"/>
          </w:tcPr>
          <w:p w14:paraId="313F6AF2"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R de Pearson</w:t>
            </w:r>
          </w:p>
        </w:tc>
        <w:tc>
          <w:tcPr>
            <w:tcW w:w="950" w:type="dxa"/>
            <w:vMerge/>
            <w:tcBorders>
              <w:left w:val="single" w:sz="4" w:space="0" w:color="auto"/>
              <w:right w:val="single" w:sz="4" w:space="0" w:color="auto"/>
            </w:tcBorders>
            <w:shd w:val="clear" w:color="auto" w:fill="FFFFFF"/>
            <w:vAlign w:val="center"/>
          </w:tcPr>
          <w:p w14:paraId="68F69F00" w14:textId="77777777" w:rsidR="00D80693" w:rsidRPr="00F70FCF" w:rsidRDefault="00D80693" w:rsidP="001928FA">
            <w:pPr>
              <w:adjustRightInd w:val="0"/>
              <w:spacing w:before="120"/>
              <w:rPr>
                <w:rFonts w:eastAsia="Calibri"/>
                <w:color w:val="000000"/>
              </w:rPr>
            </w:pPr>
          </w:p>
        </w:tc>
        <w:tc>
          <w:tcPr>
            <w:tcW w:w="2051" w:type="dxa"/>
            <w:tcBorders>
              <w:top w:val="nil"/>
              <w:left w:val="single" w:sz="4" w:space="0" w:color="auto"/>
              <w:bottom w:val="nil"/>
              <w:right w:val="single" w:sz="4" w:space="0" w:color="auto"/>
            </w:tcBorders>
            <w:shd w:val="clear" w:color="auto" w:fill="FFFFFF"/>
            <w:vAlign w:val="center"/>
          </w:tcPr>
          <w:p w14:paraId="583EC214" w14:textId="77777777" w:rsidR="00D80693" w:rsidRPr="00F70FCF" w:rsidRDefault="00D80693" w:rsidP="001928FA">
            <w:pPr>
              <w:adjustRightInd w:val="0"/>
              <w:spacing w:before="120"/>
              <w:ind w:left="60" w:right="60"/>
              <w:jc w:val="center"/>
              <w:rPr>
                <w:rFonts w:eastAsia="Calibri"/>
                <w:color w:val="000000"/>
              </w:rPr>
            </w:pPr>
            <w:r w:rsidRPr="00F70FCF">
              <w:rPr>
                <w:rFonts w:eastAsia="Calibri"/>
                <w:color w:val="000000"/>
              </w:rPr>
              <w:t>,891</w:t>
            </w:r>
            <w:r w:rsidRPr="00F70FCF">
              <w:rPr>
                <w:rFonts w:eastAsia="Calibri"/>
                <w:color w:val="000000"/>
                <w:vertAlign w:val="superscript"/>
              </w:rPr>
              <w:t>c</w:t>
            </w:r>
          </w:p>
        </w:tc>
      </w:tr>
      <w:tr w:rsidR="00D80693" w14:paraId="26B7C455" w14:textId="77777777" w:rsidTr="00D72320">
        <w:trPr>
          <w:cantSplit/>
          <w:jc w:val="center"/>
        </w:trPr>
        <w:tc>
          <w:tcPr>
            <w:tcW w:w="3828" w:type="dxa"/>
            <w:gridSpan w:val="2"/>
            <w:tcBorders>
              <w:top w:val="nil"/>
              <w:left w:val="single" w:sz="4" w:space="0" w:color="auto"/>
              <w:bottom w:val="single" w:sz="4" w:space="0" w:color="auto"/>
              <w:right w:val="single" w:sz="4" w:space="0" w:color="auto"/>
            </w:tcBorders>
            <w:shd w:val="clear" w:color="auto" w:fill="FFFFFF"/>
          </w:tcPr>
          <w:p w14:paraId="26E50058" w14:textId="77777777" w:rsidR="00D80693" w:rsidRPr="00F70FCF" w:rsidRDefault="00D80693" w:rsidP="001928FA">
            <w:pPr>
              <w:adjustRightInd w:val="0"/>
              <w:spacing w:before="120"/>
              <w:ind w:left="60" w:right="60"/>
              <w:rPr>
                <w:rFonts w:eastAsia="Calibri"/>
                <w:color w:val="000000"/>
              </w:rPr>
            </w:pPr>
            <w:r w:rsidRPr="00F70FCF">
              <w:rPr>
                <w:rFonts w:eastAsia="Calibri"/>
                <w:color w:val="000000"/>
              </w:rPr>
              <w:t>N d'observations valides</w:t>
            </w:r>
          </w:p>
        </w:tc>
        <w:tc>
          <w:tcPr>
            <w:tcW w:w="950" w:type="dxa"/>
            <w:vMerge/>
            <w:tcBorders>
              <w:left w:val="single" w:sz="4" w:space="0" w:color="auto"/>
              <w:bottom w:val="single" w:sz="4" w:space="0" w:color="auto"/>
              <w:right w:val="single" w:sz="4" w:space="0" w:color="auto"/>
            </w:tcBorders>
            <w:shd w:val="clear" w:color="auto" w:fill="FFFFFF"/>
            <w:vAlign w:val="center"/>
          </w:tcPr>
          <w:p w14:paraId="3A4AF8BA" w14:textId="77777777" w:rsidR="00D80693" w:rsidRPr="00F70FCF" w:rsidRDefault="00D80693" w:rsidP="001928FA">
            <w:pPr>
              <w:adjustRightInd w:val="0"/>
              <w:spacing w:before="120"/>
              <w:rPr>
                <w:rFonts w:eastAsia="Calibri"/>
              </w:rPr>
            </w:pPr>
          </w:p>
        </w:tc>
        <w:tc>
          <w:tcPr>
            <w:tcW w:w="2051" w:type="dxa"/>
            <w:tcBorders>
              <w:top w:val="nil"/>
              <w:left w:val="single" w:sz="4" w:space="0" w:color="auto"/>
              <w:bottom w:val="single" w:sz="4" w:space="0" w:color="auto"/>
              <w:right w:val="single" w:sz="4" w:space="0" w:color="auto"/>
            </w:tcBorders>
            <w:shd w:val="clear" w:color="auto" w:fill="FFFFFF"/>
            <w:vAlign w:val="center"/>
          </w:tcPr>
          <w:p w14:paraId="6934B95B" w14:textId="77777777" w:rsidR="00D80693" w:rsidRPr="00F70FCF" w:rsidRDefault="00D80693" w:rsidP="001928FA">
            <w:pPr>
              <w:adjustRightInd w:val="0"/>
              <w:spacing w:before="120"/>
              <w:rPr>
                <w:rFonts w:eastAsia="Calibri"/>
              </w:rPr>
            </w:pPr>
          </w:p>
        </w:tc>
      </w:tr>
      <w:tr w:rsidR="00D80693" w14:paraId="0AA9C991" w14:textId="77777777" w:rsidTr="00D72320">
        <w:trPr>
          <w:cantSplit/>
          <w:jc w:val="center"/>
        </w:trPr>
        <w:tc>
          <w:tcPr>
            <w:tcW w:w="6829" w:type="dxa"/>
            <w:gridSpan w:val="4"/>
            <w:tcBorders>
              <w:top w:val="single" w:sz="4" w:space="0" w:color="auto"/>
              <w:left w:val="nil"/>
              <w:bottom w:val="nil"/>
              <w:right w:val="nil"/>
            </w:tcBorders>
            <w:shd w:val="clear" w:color="auto" w:fill="FFFFFF"/>
          </w:tcPr>
          <w:p w14:paraId="72F3B669" w14:textId="77777777" w:rsidR="00D80693" w:rsidRPr="000F7851" w:rsidRDefault="00D80693" w:rsidP="001928FA">
            <w:pPr>
              <w:adjustRightInd w:val="0"/>
              <w:spacing w:before="120"/>
              <w:ind w:left="60" w:right="60"/>
              <w:rPr>
                <w:rFonts w:eastAsia="Calibri"/>
                <w:i/>
                <w:iCs/>
                <w:color w:val="000000"/>
                <w:sz w:val="20"/>
                <w:szCs w:val="20"/>
              </w:rPr>
            </w:pPr>
            <w:r w:rsidRPr="000F7851">
              <w:rPr>
                <w:rFonts w:eastAsia="Calibri"/>
                <w:i/>
                <w:iCs/>
                <w:color w:val="000000"/>
                <w:sz w:val="20"/>
                <w:szCs w:val="20"/>
              </w:rPr>
              <w:t>a. L'hypothèse nulle n'étant pas considérée.</w:t>
            </w:r>
          </w:p>
        </w:tc>
      </w:tr>
      <w:tr w:rsidR="00D80693" w14:paraId="4331EA1D" w14:textId="77777777" w:rsidTr="00D72320">
        <w:trPr>
          <w:cantSplit/>
          <w:jc w:val="center"/>
        </w:trPr>
        <w:tc>
          <w:tcPr>
            <w:tcW w:w="6829" w:type="dxa"/>
            <w:gridSpan w:val="4"/>
            <w:tcBorders>
              <w:top w:val="nil"/>
              <w:left w:val="nil"/>
              <w:bottom w:val="nil"/>
              <w:right w:val="nil"/>
            </w:tcBorders>
            <w:shd w:val="clear" w:color="auto" w:fill="FFFFFF"/>
          </w:tcPr>
          <w:p w14:paraId="2EA6770D" w14:textId="77777777" w:rsidR="00D80693" w:rsidRPr="000F7851" w:rsidRDefault="00D80693" w:rsidP="001928FA">
            <w:pPr>
              <w:adjustRightInd w:val="0"/>
              <w:spacing w:before="120"/>
              <w:ind w:left="60" w:right="60"/>
              <w:rPr>
                <w:rFonts w:eastAsia="Calibri"/>
                <w:i/>
                <w:iCs/>
                <w:color w:val="000000"/>
                <w:sz w:val="20"/>
                <w:szCs w:val="20"/>
              </w:rPr>
            </w:pPr>
            <w:r w:rsidRPr="000F7851">
              <w:rPr>
                <w:rFonts w:eastAsia="Calibri"/>
                <w:i/>
                <w:iCs/>
                <w:color w:val="000000"/>
                <w:sz w:val="20"/>
                <w:szCs w:val="20"/>
              </w:rPr>
              <w:t>b. Utilisation de l'erreur asymptotique standard en envisageant l'hypothèse nulle.</w:t>
            </w:r>
          </w:p>
        </w:tc>
      </w:tr>
    </w:tbl>
    <w:p w14:paraId="6CEF43CF" w14:textId="77777777" w:rsidR="00D80693" w:rsidRDefault="00D80693" w:rsidP="001928FA">
      <w:pPr>
        <w:adjustRightInd w:val="0"/>
        <w:spacing w:before="120"/>
        <w:jc w:val="center"/>
        <w:rPr>
          <w:rFonts w:eastAsia="Calibri"/>
          <w:i/>
          <w:iCs/>
        </w:rPr>
      </w:pPr>
      <w:r w:rsidRPr="00F70FCF">
        <w:rPr>
          <w:rFonts w:eastAsia="Calibri"/>
          <w:i/>
          <w:iCs/>
        </w:rPr>
        <w:t>Source </w:t>
      </w:r>
      <w:r w:rsidRPr="008240D2">
        <w:rPr>
          <w:rFonts w:eastAsia="Calibri"/>
          <w:i/>
          <w:iCs/>
          <w:sz w:val="24"/>
          <w:szCs w:val="24"/>
        </w:rPr>
        <w:t xml:space="preserve">: </w:t>
      </w:r>
      <w:r w:rsidRPr="00F70FCF">
        <w:rPr>
          <w:rFonts w:eastAsia="Calibri"/>
          <w:i/>
          <w:iCs/>
        </w:rPr>
        <w:t xml:space="preserve">Enquête, </w:t>
      </w:r>
      <w:r>
        <w:rPr>
          <w:rFonts w:eastAsia="Calibri"/>
          <w:i/>
          <w:iCs/>
        </w:rPr>
        <w:t>avril-</w:t>
      </w:r>
      <w:r w:rsidRPr="00F70FCF">
        <w:rPr>
          <w:rFonts w:eastAsia="Calibri"/>
          <w:i/>
          <w:iCs/>
        </w:rPr>
        <w:t>mai 202</w:t>
      </w:r>
      <w:r>
        <w:rPr>
          <w:rFonts w:eastAsia="Calibri"/>
          <w:i/>
          <w:iCs/>
        </w:rPr>
        <w:t>5</w:t>
      </w:r>
    </w:p>
    <w:p w14:paraId="32093DE8" w14:textId="77777777" w:rsidR="00D80693" w:rsidRPr="00FE19A5" w:rsidRDefault="00D80693" w:rsidP="001928FA">
      <w:pPr>
        <w:adjustRightInd w:val="0"/>
        <w:spacing w:before="120"/>
        <w:jc w:val="center"/>
        <w:rPr>
          <w:rFonts w:eastAsia="Calibri"/>
          <w:sz w:val="10"/>
          <w:szCs w:val="10"/>
        </w:rPr>
      </w:pPr>
    </w:p>
    <w:p w14:paraId="2798C1BA" w14:textId="77777777" w:rsidR="00D80693" w:rsidRPr="00223DF2" w:rsidRDefault="00D80693" w:rsidP="00F429F0">
      <w:pPr>
        <w:spacing w:before="120"/>
        <w:jc w:val="both"/>
        <w:rPr>
          <w:rFonts w:eastAsia="Calibri"/>
          <w:i/>
          <w:iCs/>
          <w:color w:val="000000"/>
        </w:rPr>
      </w:pPr>
      <w:bookmarkStart w:id="362" w:name="_Hlk197011889"/>
      <w:r w:rsidRPr="00223DF2">
        <w:rPr>
          <w:rFonts w:eastAsia="Calibri"/>
          <w:bCs/>
          <w:color w:val="000000"/>
          <w:sz w:val="24"/>
          <w:szCs w:val="24"/>
          <w:lang w:eastAsia="fr-FR"/>
        </w:rPr>
        <w:t>Dans le précédent tableau, la valeur de V de Cramer (V= 0,347) indique un lien est plutôt modéré entre les variables. Ainsi, nous pouvons noter qu’il existe un lien significatif modéré entre l’amour pour les études et le sentiment de l’élève à l’égard des évaluations.</w:t>
      </w:r>
    </w:p>
    <w:bookmarkEnd w:id="362"/>
    <w:p w14:paraId="2A4CCB3F" w14:textId="77777777" w:rsidR="00D80693" w:rsidRDefault="00D80693" w:rsidP="001928FA">
      <w:pPr>
        <w:adjustRightInd w:val="0"/>
        <w:spacing w:before="120"/>
        <w:jc w:val="both"/>
        <w:rPr>
          <w:rFonts w:eastAsia="Calibri"/>
          <w:sz w:val="14"/>
          <w:szCs w:val="14"/>
        </w:rPr>
      </w:pPr>
    </w:p>
    <w:p w14:paraId="5F1DFF16" w14:textId="77777777" w:rsidR="00D80693" w:rsidRPr="00F90857" w:rsidRDefault="00D80693" w:rsidP="001928FA">
      <w:pPr>
        <w:pStyle w:val="Paragraphedeliste"/>
        <w:widowControl/>
        <w:numPr>
          <w:ilvl w:val="2"/>
          <w:numId w:val="205"/>
        </w:numPr>
        <w:autoSpaceDE/>
        <w:autoSpaceDN/>
        <w:contextualSpacing/>
        <w:rPr>
          <w:rFonts w:eastAsia="Calibri"/>
          <w:b/>
          <w:bCs/>
          <w:i/>
          <w:iCs/>
          <w:color w:val="000000"/>
          <w:sz w:val="24"/>
          <w:szCs w:val="24"/>
        </w:rPr>
      </w:pPr>
      <w:r w:rsidRPr="00F90857">
        <w:rPr>
          <w:rFonts w:eastAsia="Calibri"/>
          <w:b/>
          <w:bCs/>
          <w:i/>
          <w:iCs/>
          <w:color w:val="000000"/>
          <w:sz w:val="24"/>
          <w:szCs w:val="24"/>
        </w:rPr>
        <w:t xml:space="preserve">Synthèse sur les liens entre le regard des apprenants </w:t>
      </w:r>
      <w:r>
        <w:rPr>
          <w:rFonts w:eastAsia="Calibri"/>
          <w:b/>
          <w:bCs/>
          <w:i/>
          <w:iCs/>
          <w:color w:val="000000"/>
          <w:sz w:val="24"/>
          <w:szCs w:val="24"/>
        </w:rPr>
        <w:t xml:space="preserve">porté </w:t>
      </w:r>
      <w:r w:rsidRPr="00F90857">
        <w:rPr>
          <w:rFonts w:eastAsia="Calibri"/>
          <w:b/>
          <w:bCs/>
          <w:i/>
          <w:iCs/>
          <w:color w:val="000000"/>
          <w:sz w:val="24"/>
          <w:szCs w:val="24"/>
        </w:rPr>
        <w:t>sur l’évaluation et leur engagement à l’apprentissage</w:t>
      </w:r>
    </w:p>
    <w:p w14:paraId="1CCFC89C" w14:textId="77777777" w:rsidR="00D80693" w:rsidRDefault="00D80693" w:rsidP="00F429F0">
      <w:pPr>
        <w:spacing w:before="120"/>
        <w:jc w:val="both"/>
        <w:rPr>
          <w:rFonts w:eastAsia="Calibri"/>
          <w:bCs/>
          <w:color w:val="000000"/>
          <w:sz w:val="24"/>
          <w:szCs w:val="24"/>
          <w:lang w:eastAsia="fr-FR"/>
        </w:rPr>
      </w:pPr>
      <w:r w:rsidRPr="00D27846">
        <w:rPr>
          <w:rFonts w:cstheme="minorBidi"/>
          <w:color w:val="000000"/>
          <w:sz w:val="24"/>
          <w:szCs w:val="24"/>
        </w:rPr>
        <w:t xml:space="preserve">La </w:t>
      </w:r>
      <w:r w:rsidRPr="00C1242E">
        <w:rPr>
          <w:rFonts w:eastAsia="Calibri"/>
          <w:bCs/>
          <w:color w:val="000000"/>
          <w:sz w:val="24"/>
          <w:szCs w:val="24"/>
          <w:lang w:eastAsia="fr-FR"/>
        </w:rPr>
        <w:t>présente</w:t>
      </w:r>
      <w:r w:rsidRPr="00D27846">
        <w:rPr>
          <w:rFonts w:cstheme="minorBidi"/>
          <w:color w:val="000000"/>
          <w:sz w:val="24"/>
          <w:szCs w:val="24"/>
        </w:rPr>
        <w:t xml:space="preserve"> étude a montré qu’il existe des liens entre </w:t>
      </w:r>
      <w:r w:rsidRPr="00D27846">
        <w:rPr>
          <w:rFonts w:eastAsia="Calibri"/>
          <w:bCs/>
          <w:color w:val="000000"/>
          <w:sz w:val="24"/>
          <w:szCs w:val="24"/>
        </w:rPr>
        <w:t xml:space="preserve">les perceptions des apprenants à l’égard de l’évaluation de </w:t>
      </w:r>
      <w:r w:rsidRPr="00D27846">
        <w:rPr>
          <w:rFonts w:eastAsia="Calibri"/>
          <w:color w:val="000000"/>
          <w:sz w:val="24"/>
          <w:szCs w:val="24"/>
        </w:rPr>
        <w:t xml:space="preserve">leurs apprentissages et leur engagement à l’apprentissage. Ainsi, les résultats ont montré un lien significatif mais plutôt faible entre </w:t>
      </w:r>
      <w:r w:rsidRPr="00D27846">
        <w:rPr>
          <w:rFonts w:cstheme="minorBidi"/>
          <w:color w:val="000000"/>
          <w:sz w:val="24"/>
          <w:szCs w:val="24"/>
        </w:rPr>
        <w:t>la perception de l’importance des exercices par les élèves et leur engagement à les traiter. En effet, plus les élèves perçoivent l’importance des évaluations formatives pour leurs apprentissages, plus ils s’engagent à les faire. Aussi, un</w:t>
      </w:r>
      <w:r w:rsidRPr="00D27846">
        <w:rPr>
          <w:rFonts w:eastAsia="Calibri"/>
          <w:bCs/>
          <w:color w:val="000000"/>
          <w:sz w:val="24"/>
          <w:szCs w:val="24"/>
          <w:lang w:eastAsia="fr-FR"/>
        </w:rPr>
        <w:t xml:space="preserve"> lien significatif mais modéré a-t-il été observé entre le sentiment que l’élève éprouve pour l’évaluation et son assiduité en classe. </w:t>
      </w:r>
      <w:r w:rsidRPr="00D27846">
        <w:rPr>
          <w:rFonts w:eastAsia="Calibri"/>
          <w:bCs/>
          <w:color w:val="000000"/>
          <w:sz w:val="24"/>
          <w:szCs w:val="24"/>
        </w:rPr>
        <w:t xml:space="preserve">Les résultats montrent ainsi que </w:t>
      </w:r>
      <w:r w:rsidRPr="00D27846">
        <w:rPr>
          <w:rFonts w:eastAsia="Calibri"/>
          <w:bCs/>
          <w:color w:val="000000"/>
          <w:sz w:val="24"/>
          <w:szCs w:val="24"/>
          <w:lang w:eastAsia="fr-FR"/>
        </w:rPr>
        <w:t>plus les élèves ont un rapport sympathique avec l’évaluation, plus ils sont assidus en classe. En d’autres termes les évaluations les poussent à l’assiduité en classe.</w:t>
      </w:r>
      <w:r w:rsidRPr="00D27846">
        <w:rPr>
          <w:rFonts w:eastAsia="Calibri"/>
          <w:color w:val="000000"/>
          <w:sz w:val="24"/>
          <w:szCs w:val="24"/>
        </w:rPr>
        <w:t xml:space="preserve"> </w:t>
      </w:r>
      <w:r w:rsidRPr="00D27846">
        <w:rPr>
          <w:rFonts w:eastAsia="Calibri"/>
          <w:bCs/>
          <w:color w:val="000000"/>
          <w:sz w:val="24"/>
          <w:szCs w:val="24"/>
          <w:lang w:eastAsia="fr-FR"/>
        </w:rPr>
        <w:t xml:space="preserve">Enfin, l’étude a montré également un lien significatif mais modéré entre l’amour des élèves pour les études et leurs sentiments à l’égard des évaluations. En fait, plus les élèves aiment étudier, plus ils développent de la sympathie pour les évaluations. </w:t>
      </w:r>
    </w:p>
    <w:p w14:paraId="11563F71" w14:textId="77777777" w:rsidR="00D80693" w:rsidRPr="00C1242E" w:rsidRDefault="00D80693" w:rsidP="001928FA">
      <w:pPr>
        <w:pStyle w:val="Paragraphedeliste"/>
        <w:ind w:left="851"/>
        <w:rPr>
          <w:rFonts w:eastAsia="Calibri"/>
          <w:b/>
          <w:bCs/>
          <w:sz w:val="24"/>
          <w:szCs w:val="24"/>
        </w:rPr>
      </w:pPr>
      <w:r w:rsidRPr="00C1242E">
        <w:rPr>
          <w:rFonts w:eastAsia="Calibri"/>
          <w:b/>
          <w:bCs/>
          <w:sz w:val="24"/>
          <w:szCs w:val="24"/>
        </w:rPr>
        <w:t xml:space="preserve">3. Discussion </w:t>
      </w:r>
    </w:p>
    <w:p w14:paraId="2902717D" w14:textId="77777777" w:rsidR="00D80693" w:rsidRDefault="00D80693" w:rsidP="00F429F0">
      <w:pPr>
        <w:spacing w:before="120"/>
        <w:jc w:val="both"/>
        <w:rPr>
          <w:rFonts w:eastAsia="Calibri"/>
          <w:bCs/>
          <w:color w:val="000000"/>
          <w:sz w:val="24"/>
          <w:szCs w:val="24"/>
          <w:lang w:eastAsia="fr-FR"/>
        </w:rPr>
      </w:pPr>
      <w:r w:rsidRPr="000759CD">
        <w:rPr>
          <w:rFonts w:eastAsia="Calibri"/>
          <w:bCs/>
          <w:color w:val="000000"/>
          <w:sz w:val="24"/>
          <w:szCs w:val="24"/>
          <w:lang w:eastAsia="fr-FR"/>
        </w:rPr>
        <w:t xml:space="preserve">La </w:t>
      </w:r>
      <w:r w:rsidRPr="00C1242E">
        <w:rPr>
          <w:rFonts w:eastAsia="Calibri"/>
          <w:bCs/>
          <w:color w:val="000000"/>
          <w:sz w:val="24"/>
          <w:szCs w:val="24"/>
          <w:lang w:eastAsia="fr-FR"/>
        </w:rPr>
        <w:t>recherche</w:t>
      </w:r>
      <w:r w:rsidRPr="000759CD">
        <w:rPr>
          <w:rFonts w:eastAsia="Calibri"/>
          <w:bCs/>
          <w:color w:val="000000"/>
          <w:sz w:val="24"/>
          <w:szCs w:val="24"/>
          <w:lang w:eastAsia="fr-FR"/>
        </w:rPr>
        <w:t xml:space="preserve"> présentée poursuivait deux objectifs. D’une part, </w:t>
      </w:r>
      <w:r w:rsidRPr="000F7851">
        <w:rPr>
          <w:rFonts w:eastAsia="Calibri"/>
          <w:bCs/>
          <w:color w:val="000000"/>
          <w:sz w:val="24"/>
          <w:szCs w:val="24"/>
          <w:lang w:eastAsia="fr-FR"/>
        </w:rPr>
        <w:t>analyser les perceptions de l’évaluation</w:t>
      </w:r>
      <w:r>
        <w:rPr>
          <w:rFonts w:eastAsia="Calibri"/>
          <w:bCs/>
          <w:color w:val="000000"/>
          <w:sz w:val="24"/>
          <w:szCs w:val="24"/>
          <w:lang w:eastAsia="fr-FR"/>
        </w:rPr>
        <w:t xml:space="preserve"> </w:t>
      </w:r>
      <w:r w:rsidRPr="000F7851">
        <w:rPr>
          <w:rFonts w:eastAsia="Calibri"/>
          <w:bCs/>
          <w:color w:val="000000"/>
          <w:sz w:val="24"/>
          <w:szCs w:val="24"/>
          <w:lang w:eastAsia="fr-FR"/>
        </w:rPr>
        <w:t xml:space="preserve">chez les élèves du secondaire général </w:t>
      </w:r>
      <w:r>
        <w:rPr>
          <w:rFonts w:eastAsia="Calibri"/>
          <w:bCs/>
          <w:color w:val="000000"/>
          <w:sz w:val="24"/>
          <w:szCs w:val="24"/>
          <w:lang w:eastAsia="fr-FR"/>
        </w:rPr>
        <w:t>ainsi que leur engagement à l’apprentissage, et, d’autre part,</w:t>
      </w:r>
      <w:r w:rsidRPr="000F7851">
        <w:rPr>
          <w:rFonts w:eastAsia="Calibri"/>
          <w:bCs/>
          <w:color w:val="000000"/>
          <w:sz w:val="24"/>
          <w:szCs w:val="24"/>
          <w:lang w:eastAsia="fr-FR"/>
        </w:rPr>
        <w:t xml:space="preserve"> vérifier </w:t>
      </w:r>
      <w:r>
        <w:rPr>
          <w:rFonts w:eastAsia="Calibri"/>
          <w:bCs/>
          <w:color w:val="000000"/>
          <w:sz w:val="24"/>
          <w:szCs w:val="24"/>
          <w:lang w:eastAsia="fr-FR"/>
        </w:rPr>
        <w:t>les liens entre les deux variables précitées</w:t>
      </w:r>
      <w:r w:rsidRPr="000F7851">
        <w:rPr>
          <w:rFonts w:eastAsia="Calibri"/>
          <w:bCs/>
          <w:color w:val="000000"/>
          <w:sz w:val="24"/>
          <w:szCs w:val="24"/>
          <w:lang w:eastAsia="fr-FR"/>
        </w:rPr>
        <w:t xml:space="preserve">. Les analyses effectuées ont mis en évidence différentes </w:t>
      </w:r>
      <w:r>
        <w:rPr>
          <w:rFonts w:eastAsia="Calibri"/>
          <w:bCs/>
          <w:color w:val="000000"/>
          <w:sz w:val="24"/>
          <w:szCs w:val="24"/>
          <w:lang w:eastAsia="fr-FR"/>
        </w:rPr>
        <w:t xml:space="preserve">perceptions de </w:t>
      </w:r>
      <w:r w:rsidRPr="000F7851">
        <w:rPr>
          <w:rFonts w:eastAsia="Calibri"/>
          <w:bCs/>
          <w:color w:val="000000"/>
          <w:sz w:val="24"/>
          <w:szCs w:val="24"/>
          <w:lang w:eastAsia="fr-FR"/>
        </w:rPr>
        <w:t>l’évaluation chez les élèves et</w:t>
      </w:r>
      <w:r>
        <w:rPr>
          <w:rFonts w:eastAsia="Calibri"/>
          <w:bCs/>
          <w:color w:val="000000"/>
          <w:sz w:val="24"/>
          <w:szCs w:val="24"/>
          <w:lang w:eastAsia="fr-FR"/>
        </w:rPr>
        <w:t xml:space="preserve"> leur lien avec leur engagement à l’apprentissage.</w:t>
      </w:r>
    </w:p>
    <w:p w14:paraId="5DC8857A" w14:textId="77777777" w:rsidR="00D80693" w:rsidRPr="00E05A16" w:rsidRDefault="00D80693" w:rsidP="001928FA">
      <w:pPr>
        <w:pStyle w:val="Paragraphedeliste"/>
        <w:widowControl/>
        <w:numPr>
          <w:ilvl w:val="1"/>
          <w:numId w:val="206"/>
        </w:numPr>
        <w:autoSpaceDE/>
        <w:autoSpaceDN/>
        <w:ind w:right="60"/>
        <w:contextualSpacing/>
        <w:rPr>
          <w:b/>
          <w:bCs/>
          <w:sz w:val="24"/>
          <w:szCs w:val="24"/>
        </w:rPr>
      </w:pPr>
      <w:r>
        <w:rPr>
          <w:rFonts w:cstheme="minorBidi"/>
          <w:b/>
          <w:bCs/>
          <w:sz w:val="24"/>
          <w:szCs w:val="24"/>
        </w:rPr>
        <w:t xml:space="preserve"> </w:t>
      </w:r>
      <w:r w:rsidRPr="00E05A16">
        <w:rPr>
          <w:rFonts w:cstheme="minorBidi"/>
          <w:b/>
          <w:bCs/>
          <w:sz w:val="24"/>
          <w:szCs w:val="24"/>
        </w:rPr>
        <w:t>Perceptions et attitudes de l’élève à l’égard de l’évaluation</w:t>
      </w:r>
    </w:p>
    <w:p w14:paraId="7C465B1B" w14:textId="77777777" w:rsidR="00D80693" w:rsidRPr="00E43A05" w:rsidRDefault="00D80693" w:rsidP="00F429F0">
      <w:pPr>
        <w:spacing w:before="120"/>
        <w:jc w:val="both"/>
        <w:rPr>
          <w:color w:val="FF0000"/>
          <w:sz w:val="24"/>
          <w:szCs w:val="24"/>
        </w:rPr>
      </w:pPr>
      <w:r w:rsidRPr="008240D2">
        <w:rPr>
          <w:rFonts w:cstheme="minorBidi"/>
          <w:sz w:val="24"/>
          <w:szCs w:val="24"/>
        </w:rPr>
        <w:t xml:space="preserve">L’étude </w:t>
      </w:r>
      <w:r>
        <w:rPr>
          <w:rFonts w:cstheme="minorBidi"/>
          <w:sz w:val="24"/>
          <w:szCs w:val="24"/>
        </w:rPr>
        <w:t>a révélé plusieurs perceptions développées par les élèves au sujet de l’évaluation. D’une part, dans une forte majorité</w:t>
      </w:r>
      <w:r w:rsidRPr="008240D2">
        <w:rPr>
          <w:rFonts w:cstheme="minorBidi"/>
          <w:sz w:val="24"/>
          <w:szCs w:val="24"/>
        </w:rPr>
        <w:t xml:space="preserve"> (81,8%)</w:t>
      </w:r>
      <w:r>
        <w:rPr>
          <w:rFonts w:cstheme="minorBidi"/>
          <w:sz w:val="24"/>
          <w:szCs w:val="24"/>
        </w:rPr>
        <w:t xml:space="preserve"> les </w:t>
      </w:r>
      <w:r w:rsidRPr="008240D2">
        <w:rPr>
          <w:rFonts w:cstheme="minorBidi"/>
          <w:sz w:val="24"/>
          <w:szCs w:val="24"/>
        </w:rPr>
        <w:t xml:space="preserve">apprenants ont </w:t>
      </w:r>
      <w:r>
        <w:rPr>
          <w:rFonts w:cstheme="minorBidi"/>
          <w:sz w:val="24"/>
          <w:szCs w:val="24"/>
        </w:rPr>
        <w:t xml:space="preserve">montré </w:t>
      </w:r>
      <w:r w:rsidRPr="008240D2">
        <w:rPr>
          <w:rFonts w:cstheme="minorBidi"/>
          <w:sz w:val="24"/>
          <w:szCs w:val="24"/>
        </w:rPr>
        <w:t>un rapport plutôt sympathique avec les études</w:t>
      </w:r>
      <w:r>
        <w:rPr>
          <w:rFonts w:cstheme="minorBidi"/>
          <w:sz w:val="24"/>
          <w:szCs w:val="24"/>
        </w:rPr>
        <w:t>.</w:t>
      </w:r>
      <w:r w:rsidRPr="008240D2">
        <w:rPr>
          <w:rFonts w:cstheme="minorBidi"/>
          <w:sz w:val="24"/>
          <w:szCs w:val="24"/>
        </w:rPr>
        <w:t xml:space="preserve"> </w:t>
      </w:r>
      <w:r>
        <w:rPr>
          <w:rFonts w:cstheme="minorBidi"/>
          <w:sz w:val="24"/>
          <w:szCs w:val="24"/>
        </w:rPr>
        <w:t xml:space="preserve">En effet, </w:t>
      </w:r>
      <w:r w:rsidRPr="00AB437E">
        <w:rPr>
          <w:rFonts w:cstheme="minorBidi"/>
          <w:sz w:val="24"/>
          <w:szCs w:val="24"/>
        </w:rPr>
        <w:t>l’évaluation apparaît</w:t>
      </w:r>
      <w:r>
        <w:rPr>
          <w:rFonts w:cstheme="minorBidi"/>
          <w:sz w:val="24"/>
          <w:szCs w:val="24"/>
        </w:rPr>
        <w:t>,</w:t>
      </w:r>
      <w:r w:rsidRPr="00AB437E">
        <w:rPr>
          <w:rFonts w:cstheme="minorBidi"/>
          <w:sz w:val="24"/>
          <w:szCs w:val="24"/>
        </w:rPr>
        <w:t xml:space="preserve"> pour l’écrasante majorité des enquêtés (96,6%)</w:t>
      </w:r>
      <w:r>
        <w:rPr>
          <w:rFonts w:cstheme="minorBidi"/>
          <w:sz w:val="24"/>
          <w:szCs w:val="24"/>
        </w:rPr>
        <w:t>,</w:t>
      </w:r>
      <w:r w:rsidRPr="00AB437E">
        <w:rPr>
          <w:rFonts w:cstheme="minorBidi"/>
          <w:sz w:val="24"/>
          <w:szCs w:val="24"/>
        </w:rPr>
        <w:t xml:space="preserve"> d’une importance de premier plan pour les études d’autant qu’elle est perçue comme un facteur qui justifie leur assiduité à l’école.</w:t>
      </w:r>
      <w:r>
        <w:rPr>
          <w:rFonts w:cstheme="minorBidi"/>
          <w:color w:val="FF0000"/>
          <w:sz w:val="24"/>
          <w:szCs w:val="24"/>
        </w:rPr>
        <w:t xml:space="preserve"> </w:t>
      </w:r>
      <w:r>
        <w:rPr>
          <w:rFonts w:cstheme="minorBidi"/>
          <w:sz w:val="24"/>
          <w:szCs w:val="24"/>
        </w:rPr>
        <w:t>Cependant</w:t>
      </w:r>
      <w:r w:rsidRPr="008240D2">
        <w:rPr>
          <w:rFonts w:cstheme="minorBidi"/>
          <w:sz w:val="24"/>
          <w:szCs w:val="24"/>
        </w:rPr>
        <w:t xml:space="preserve">, ils sont </w:t>
      </w:r>
      <w:r>
        <w:rPr>
          <w:rFonts w:cstheme="minorBidi"/>
          <w:sz w:val="24"/>
          <w:szCs w:val="24"/>
        </w:rPr>
        <w:t xml:space="preserve">presqu’aussi nombreux, </w:t>
      </w:r>
      <w:r w:rsidRPr="008240D2">
        <w:rPr>
          <w:rFonts w:cstheme="minorBidi"/>
          <w:sz w:val="24"/>
          <w:szCs w:val="24"/>
        </w:rPr>
        <w:t>plus de deux tiers (69,4%)</w:t>
      </w:r>
      <w:r>
        <w:rPr>
          <w:rFonts w:cstheme="minorBidi"/>
          <w:sz w:val="24"/>
          <w:szCs w:val="24"/>
        </w:rPr>
        <w:t>,</w:t>
      </w:r>
      <w:r w:rsidRPr="008240D2">
        <w:rPr>
          <w:rFonts w:cstheme="minorBidi"/>
          <w:sz w:val="24"/>
          <w:szCs w:val="24"/>
        </w:rPr>
        <w:t xml:space="preserve"> à redouter l’évaluation</w:t>
      </w:r>
      <w:r>
        <w:rPr>
          <w:rFonts w:cstheme="minorBidi"/>
          <w:sz w:val="24"/>
          <w:szCs w:val="24"/>
        </w:rPr>
        <w:t xml:space="preserve">, quoique la reconnaissant </w:t>
      </w:r>
      <w:r w:rsidRPr="005946F6">
        <w:rPr>
          <w:rFonts w:cstheme="minorBidi"/>
          <w:color w:val="000000"/>
          <w:sz w:val="24"/>
          <w:szCs w:val="24"/>
        </w:rPr>
        <w:t xml:space="preserve">comme un facteur important pour le développement de leurs compétences. </w:t>
      </w:r>
      <w:r w:rsidRPr="005946F6">
        <w:rPr>
          <w:rFonts w:eastAsia="Calibri"/>
          <w:color w:val="000000"/>
          <w:sz w:val="24"/>
          <w:szCs w:val="24"/>
        </w:rPr>
        <w:t>C</w:t>
      </w:r>
      <w:r>
        <w:rPr>
          <w:rFonts w:eastAsia="Calibri"/>
          <w:sz w:val="24"/>
          <w:szCs w:val="24"/>
        </w:rPr>
        <w:t xml:space="preserve">ette conclusion rejoint celles </w:t>
      </w:r>
      <w:r w:rsidRPr="00462525">
        <w:rPr>
          <w:rFonts w:eastAsia="Calibri"/>
          <w:sz w:val="24"/>
          <w:szCs w:val="24"/>
        </w:rPr>
        <w:t xml:space="preserve">de Dessus et Lemaire </w:t>
      </w:r>
      <w:r>
        <w:rPr>
          <w:rFonts w:eastAsia="Calibri"/>
          <w:sz w:val="24"/>
          <w:szCs w:val="24"/>
        </w:rPr>
        <w:t>(</w:t>
      </w:r>
      <w:r w:rsidRPr="00462525">
        <w:rPr>
          <w:rFonts w:eastAsia="Calibri"/>
          <w:sz w:val="24"/>
          <w:szCs w:val="24"/>
        </w:rPr>
        <w:t>2004</w:t>
      </w:r>
      <w:r>
        <w:rPr>
          <w:rFonts w:eastAsia="Calibri"/>
          <w:sz w:val="24"/>
          <w:szCs w:val="24"/>
        </w:rPr>
        <w:t xml:space="preserve">) et de </w:t>
      </w:r>
      <w:r w:rsidRPr="00462525">
        <w:rPr>
          <w:rFonts w:eastAsia="Calibri"/>
          <w:sz w:val="24"/>
          <w:szCs w:val="24"/>
        </w:rPr>
        <w:t xml:space="preserve">Van der Maren et Loye, N. </w:t>
      </w:r>
      <w:r>
        <w:rPr>
          <w:rFonts w:eastAsia="Calibri"/>
          <w:sz w:val="24"/>
          <w:szCs w:val="24"/>
        </w:rPr>
        <w:t>(</w:t>
      </w:r>
      <w:r w:rsidRPr="00462525">
        <w:rPr>
          <w:rFonts w:eastAsia="Calibri"/>
          <w:sz w:val="24"/>
          <w:szCs w:val="24"/>
        </w:rPr>
        <w:t>2010)</w:t>
      </w:r>
      <w:r>
        <w:rPr>
          <w:rFonts w:eastAsia="Calibri"/>
          <w:sz w:val="24"/>
          <w:szCs w:val="24"/>
        </w:rPr>
        <w:t xml:space="preserve"> qui ont montré que </w:t>
      </w:r>
      <w:r w:rsidRPr="00462525">
        <w:rPr>
          <w:rFonts w:eastAsia="Calibri"/>
          <w:sz w:val="24"/>
          <w:szCs w:val="24"/>
        </w:rPr>
        <w:t>l’évaluation n’est pas très bien perçue par les premiers acteurs du processus enseignement-apprentissage que sont les enseignants et les élèves.</w:t>
      </w:r>
    </w:p>
    <w:p w14:paraId="32221910" w14:textId="77777777" w:rsidR="00D80693" w:rsidRPr="007F587B" w:rsidRDefault="00D80693" w:rsidP="001928FA">
      <w:pPr>
        <w:spacing w:before="120"/>
        <w:jc w:val="both"/>
        <w:rPr>
          <w:rFonts w:eastAsia="Calibri"/>
          <w:sz w:val="24"/>
          <w:szCs w:val="24"/>
        </w:rPr>
      </w:pPr>
      <w:r>
        <w:rPr>
          <w:rFonts w:cstheme="minorBidi"/>
          <w:sz w:val="24"/>
          <w:szCs w:val="24"/>
        </w:rPr>
        <w:t>D’autre part, s</w:t>
      </w:r>
      <w:r w:rsidRPr="00A937CF">
        <w:rPr>
          <w:rFonts w:cstheme="minorBidi"/>
          <w:sz w:val="24"/>
          <w:szCs w:val="24"/>
        </w:rPr>
        <w:t xml:space="preserve">ur la question de la reprise des devoirs, </w:t>
      </w:r>
      <w:r>
        <w:rPr>
          <w:rFonts w:cstheme="minorBidi"/>
          <w:sz w:val="24"/>
          <w:szCs w:val="24"/>
        </w:rPr>
        <w:t xml:space="preserve">l’étude a révélé </w:t>
      </w:r>
      <w:r w:rsidRPr="00A937CF">
        <w:rPr>
          <w:rFonts w:cstheme="minorBidi"/>
          <w:sz w:val="24"/>
          <w:szCs w:val="24"/>
        </w:rPr>
        <w:t xml:space="preserve">que deux tiers (2/3) des enquêtés n’ont pas pour habitude de reprendre les devoirs qui n’ont pas marché. </w:t>
      </w:r>
      <w:r>
        <w:rPr>
          <w:rFonts w:eastAsia="Calibri"/>
          <w:sz w:val="24"/>
          <w:szCs w:val="24"/>
        </w:rPr>
        <w:t xml:space="preserve">Cette position des apprenants rejoint celle constatée par </w:t>
      </w:r>
      <w:r w:rsidRPr="008240D2">
        <w:rPr>
          <w:rFonts w:eastAsia="Calibri"/>
          <w:sz w:val="24"/>
          <w:szCs w:val="24"/>
        </w:rPr>
        <w:t>Roberge (2009)</w:t>
      </w:r>
      <w:r>
        <w:rPr>
          <w:rFonts w:eastAsia="Calibri"/>
          <w:sz w:val="24"/>
          <w:szCs w:val="24"/>
        </w:rPr>
        <w:t xml:space="preserve"> dans ses travaux sur </w:t>
      </w:r>
      <w:r w:rsidRPr="008240D2">
        <w:rPr>
          <w:rFonts w:eastAsia="Calibri"/>
          <w:sz w:val="24"/>
          <w:szCs w:val="24"/>
        </w:rPr>
        <w:t xml:space="preserve">les comportements des apprenants face à leurs </w:t>
      </w:r>
      <w:r>
        <w:rPr>
          <w:rFonts w:eastAsia="Calibri"/>
          <w:sz w:val="24"/>
          <w:szCs w:val="24"/>
        </w:rPr>
        <w:t>product</w:t>
      </w:r>
      <w:r w:rsidRPr="008240D2">
        <w:rPr>
          <w:rFonts w:eastAsia="Calibri"/>
          <w:sz w:val="24"/>
          <w:szCs w:val="24"/>
        </w:rPr>
        <w:t>ions écrites déjà corrigées</w:t>
      </w:r>
      <w:r>
        <w:rPr>
          <w:rFonts w:eastAsia="Calibri"/>
          <w:sz w:val="24"/>
          <w:szCs w:val="24"/>
        </w:rPr>
        <w:t xml:space="preserve">. Elle </w:t>
      </w:r>
      <w:r w:rsidRPr="008240D2">
        <w:rPr>
          <w:rFonts w:eastAsia="Calibri"/>
          <w:sz w:val="24"/>
          <w:szCs w:val="24"/>
        </w:rPr>
        <w:t>explique qu’après la correction</w:t>
      </w:r>
      <w:r>
        <w:rPr>
          <w:rFonts w:eastAsia="Calibri"/>
          <w:sz w:val="24"/>
          <w:szCs w:val="24"/>
        </w:rPr>
        <w:t>,</w:t>
      </w:r>
      <w:r w:rsidRPr="008240D2">
        <w:rPr>
          <w:rFonts w:eastAsia="Calibri"/>
          <w:sz w:val="24"/>
          <w:szCs w:val="24"/>
        </w:rPr>
        <w:t xml:space="preserve"> </w:t>
      </w:r>
      <w:r>
        <w:rPr>
          <w:rFonts w:eastAsia="Calibri"/>
          <w:sz w:val="24"/>
          <w:szCs w:val="24"/>
        </w:rPr>
        <w:t>les apprenants adoptent divers</w:t>
      </w:r>
      <w:r w:rsidRPr="008240D2">
        <w:rPr>
          <w:rFonts w:eastAsia="Calibri"/>
          <w:sz w:val="24"/>
          <w:szCs w:val="24"/>
        </w:rPr>
        <w:t xml:space="preserve"> comportements</w:t>
      </w:r>
      <w:r>
        <w:rPr>
          <w:rFonts w:eastAsia="Calibri"/>
          <w:sz w:val="24"/>
          <w:szCs w:val="24"/>
        </w:rPr>
        <w:t>. Toutefois, ces derniers ont plus tendance à</w:t>
      </w:r>
      <w:r w:rsidRPr="008240D2">
        <w:rPr>
          <w:rFonts w:eastAsia="Calibri"/>
          <w:sz w:val="24"/>
          <w:szCs w:val="24"/>
        </w:rPr>
        <w:t xml:space="preserve"> s’intéresse</w:t>
      </w:r>
      <w:r>
        <w:rPr>
          <w:rFonts w:eastAsia="Calibri"/>
          <w:sz w:val="24"/>
          <w:szCs w:val="24"/>
        </w:rPr>
        <w:t>r</w:t>
      </w:r>
      <w:r w:rsidRPr="008240D2">
        <w:rPr>
          <w:rFonts w:eastAsia="Calibri"/>
          <w:sz w:val="24"/>
          <w:szCs w:val="24"/>
        </w:rPr>
        <w:t xml:space="preserve"> à la note qu’aux commentaires formulés sur les copies</w:t>
      </w:r>
      <w:r>
        <w:rPr>
          <w:rFonts w:eastAsia="Calibri"/>
          <w:sz w:val="24"/>
          <w:szCs w:val="24"/>
        </w:rPr>
        <w:t>, à</w:t>
      </w:r>
      <w:r w:rsidRPr="008240D2">
        <w:rPr>
          <w:rFonts w:eastAsia="Calibri"/>
          <w:sz w:val="24"/>
          <w:szCs w:val="24"/>
        </w:rPr>
        <w:t xml:space="preserve"> observe</w:t>
      </w:r>
      <w:r>
        <w:rPr>
          <w:rFonts w:eastAsia="Calibri"/>
          <w:sz w:val="24"/>
          <w:szCs w:val="24"/>
        </w:rPr>
        <w:t>r</w:t>
      </w:r>
      <w:r w:rsidRPr="008240D2">
        <w:rPr>
          <w:rFonts w:eastAsia="Calibri"/>
          <w:sz w:val="24"/>
          <w:szCs w:val="24"/>
        </w:rPr>
        <w:t xml:space="preserve"> leurs notes pour se comparer avec leurs camarades de classe</w:t>
      </w:r>
      <w:r>
        <w:rPr>
          <w:rFonts w:eastAsia="Calibri"/>
          <w:sz w:val="24"/>
          <w:szCs w:val="24"/>
        </w:rPr>
        <w:t xml:space="preserve">. Aussi, pour </w:t>
      </w:r>
      <w:r w:rsidRPr="008240D2">
        <w:rPr>
          <w:rFonts w:eastAsia="Calibri"/>
          <w:sz w:val="24"/>
          <w:szCs w:val="24"/>
        </w:rPr>
        <w:t>Roberge (2009)</w:t>
      </w:r>
      <w:r>
        <w:rPr>
          <w:rFonts w:eastAsia="Calibri"/>
          <w:sz w:val="24"/>
          <w:szCs w:val="24"/>
        </w:rPr>
        <w:t xml:space="preserve">, les élèves </w:t>
      </w:r>
      <w:r w:rsidRPr="008240D2">
        <w:rPr>
          <w:rFonts w:eastAsia="Calibri"/>
          <w:sz w:val="24"/>
          <w:szCs w:val="24"/>
        </w:rPr>
        <w:t>ne comprennent</w:t>
      </w:r>
      <w:r>
        <w:rPr>
          <w:rFonts w:eastAsia="Calibri"/>
          <w:sz w:val="24"/>
          <w:szCs w:val="24"/>
        </w:rPr>
        <w:t>-ils</w:t>
      </w:r>
      <w:r w:rsidRPr="008240D2">
        <w:rPr>
          <w:rFonts w:eastAsia="Calibri"/>
          <w:sz w:val="24"/>
          <w:szCs w:val="24"/>
        </w:rPr>
        <w:t xml:space="preserve"> pas tout le temps les commentaires</w:t>
      </w:r>
      <w:r>
        <w:rPr>
          <w:rFonts w:eastAsia="Calibri"/>
          <w:sz w:val="24"/>
          <w:szCs w:val="24"/>
        </w:rPr>
        <w:t>,</w:t>
      </w:r>
      <w:r w:rsidRPr="008240D2">
        <w:rPr>
          <w:rFonts w:eastAsia="Calibri"/>
          <w:sz w:val="24"/>
          <w:szCs w:val="24"/>
        </w:rPr>
        <w:t xml:space="preserve"> car ils peuvent être ambigus et ils croient que </w:t>
      </w:r>
      <w:r>
        <w:rPr>
          <w:rFonts w:eastAsia="Calibri"/>
          <w:sz w:val="24"/>
          <w:szCs w:val="24"/>
        </w:rPr>
        <w:t>ceux-ci</w:t>
      </w:r>
      <w:r w:rsidRPr="008240D2">
        <w:rPr>
          <w:rFonts w:eastAsia="Calibri"/>
          <w:sz w:val="24"/>
          <w:szCs w:val="24"/>
        </w:rPr>
        <w:t xml:space="preserve"> jugent la personne plutôt que le texte.</w:t>
      </w:r>
      <w:r>
        <w:rPr>
          <w:rFonts w:cstheme="minorBidi"/>
          <w:sz w:val="24"/>
          <w:szCs w:val="24"/>
        </w:rPr>
        <w:t xml:space="preserve"> Or, la reprise des devoirs appelée révision en activité rédactionnelle est identifiée comme exerçant un fort impact pour la progression des apprenants.  </w:t>
      </w:r>
      <w:r w:rsidRPr="0012310D">
        <w:rPr>
          <w:rFonts w:eastAsia="Calibri"/>
          <w:sz w:val="24"/>
          <w:szCs w:val="24"/>
        </w:rPr>
        <w:t>En effet, les résultats d’une recherche menée par Bisaillon</w:t>
      </w:r>
      <w:r>
        <w:rPr>
          <w:rFonts w:eastAsia="Calibri"/>
          <w:sz w:val="24"/>
          <w:szCs w:val="24"/>
        </w:rPr>
        <w:t xml:space="preserve"> (1991)</w:t>
      </w:r>
      <w:r w:rsidRPr="0012310D">
        <w:rPr>
          <w:rFonts w:eastAsia="Calibri"/>
          <w:sz w:val="24"/>
          <w:szCs w:val="24"/>
        </w:rPr>
        <w:t xml:space="preserve"> auprès d’élèves du secondaire ont abouti à la conclusion qu’enseigner des stratégies de révision des textes contribue</w:t>
      </w:r>
      <w:r>
        <w:rPr>
          <w:rFonts w:eastAsia="Calibri"/>
          <w:sz w:val="24"/>
          <w:szCs w:val="24"/>
        </w:rPr>
        <w:t>,</w:t>
      </w:r>
      <w:r w:rsidRPr="0012310D">
        <w:rPr>
          <w:rFonts w:eastAsia="Calibri"/>
          <w:sz w:val="24"/>
          <w:szCs w:val="24"/>
        </w:rPr>
        <w:t xml:space="preserve"> de manière efficace</w:t>
      </w:r>
      <w:r>
        <w:rPr>
          <w:rFonts w:eastAsia="Calibri"/>
          <w:sz w:val="24"/>
          <w:szCs w:val="24"/>
        </w:rPr>
        <w:t>,</w:t>
      </w:r>
      <w:r w:rsidRPr="0012310D">
        <w:rPr>
          <w:rFonts w:eastAsia="Calibri"/>
          <w:sz w:val="24"/>
          <w:szCs w:val="24"/>
        </w:rPr>
        <w:t xml:space="preserve"> au développement de leurs compétences</w:t>
      </w:r>
      <w:r>
        <w:rPr>
          <w:rFonts w:eastAsia="Calibri"/>
          <w:sz w:val="24"/>
          <w:szCs w:val="24"/>
        </w:rPr>
        <w:t xml:space="preserve"> en production écrite. Se pose alors la question de l’outillage des enseignants</w:t>
      </w:r>
      <w:r w:rsidRPr="00821074">
        <w:rPr>
          <w:rFonts w:eastAsia="Calibri"/>
          <w:sz w:val="24"/>
          <w:szCs w:val="24"/>
        </w:rPr>
        <w:t xml:space="preserve"> </w:t>
      </w:r>
      <w:r>
        <w:rPr>
          <w:rFonts w:eastAsia="Calibri"/>
          <w:sz w:val="24"/>
          <w:szCs w:val="24"/>
        </w:rPr>
        <w:t xml:space="preserve">en évaluation qui devrait non seulement assurer la qualité des annotations (feedbacks), qui reste essentielle pour l’apprentissage </w:t>
      </w:r>
      <w:r w:rsidRPr="008240D2">
        <w:rPr>
          <w:rFonts w:eastAsia="Calibri"/>
          <w:sz w:val="24"/>
          <w:szCs w:val="24"/>
        </w:rPr>
        <w:t>(Calone &amp; Fontaine, 2023)</w:t>
      </w:r>
      <w:r>
        <w:rPr>
          <w:rFonts w:eastAsia="Calibri"/>
          <w:sz w:val="24"/>
          <w:szCs w:val="24"/>
        </w:rPr>
        <w:t>, mais aussi proposer aux apprenants la nécessité de reprendre les exercices pour asseoir ou consolider leurs acquis. Toutefois, a</w:t>
      </w:r>
      <w:r w:rsidRPr="008240D2">
        <w:rPr>
          <w:rFonts w:eastAsia="Calibri"/>
          <w:sz w:val="24"/>
          <w:szCs w:val="24"/>
        </w:rPr>
        <w:t>u-delà de la forme d</w:t>
      </w:r>
      <w:r>
        <w:rPr>
          <w:rFonts w:eastAsia="Calibri"/>
          <w:sz w:val="24"/>
          <w:szCs w:val="24"/>
        </w:rPr>
        <w:t>u</w:t>
      </w:r>
      <w:r w:rsidRPr="008240D2">
        <w:rPr>
          <w:rFonts w:eastAsia="Calibri"/>
          <w:sz w:val="24"/>
          <w:szCs w:val="24"/>
        </w:rPr>
        <w:t xml:space="preserve"> feedback </w:t>
      </w:r>
      <w:r>
        <w:rPr>
          <w:rFonts w:eastAsia="Calibri"/>
          <w:sz w:val="24"/>
          <w:szCs w:val="24"/>
        </w:rPr>
        <w:t>comme soutien à</w:t>
      </w:r>
      <w:r w:rsidRPr="008240D2">
        <w:rPr>
          <w:rFonts w:eastAsia="Calibri"/>
          <w:sz w:val="24"/>
          <w:szCs w:val="24"/>
        </w:rPr>
        <w:t xml:space="preserve"> l’apprentissage, le contexte dans lequel il est formulé </w:t>
      </w:r>
      <w:r>
        <w:rPr>
          <w:rFonts w:eastAsia="Calibri"/>
          <w:sz w:val="24"/>
          <w:szCs w:val="24"/>
        </w:rPr>
        <w:t>r</w:t>
      </w:r>
      <w:r w:rsidRPr="008240D2">
        <w:rPr>
          <w:rFonts w:eastAsia="Calibri"/>
          <w:sz w:val="24"/>
          <w:szCs w:val="24"/>
        </w:rPr>
        <w:t>est</w:t>
      </w:r>
      <w:r>
        <w:rPr>
          <w:rFonts w:eastAsia="Calibri"/>
          <w:sz w:val="24"/>
          <w:szCs w:val="24"/>
        </w:rPr>
        <w:t>e</w:t>
      </w:r>
      <w:r w:rsidRPr="008240D2">
        <w:rPr>
          <w:rFonts w:eastAsia="Calibri"/>
          <w:sz w:val="24"/>
          <w:szCs w:val="24"/>
        </w:rPr>
        <w:t xml:space="preserve"> essentiel. Un feedback constructif ne le sera réellement que dans un système</w:t>
      </w:r>
      <w:r>
        <w:rPr>
          <w:rFonts w:eastAsia="Calibri"/>
          <w:sz w:val="24"/>
          <w:szCs w:val="24"/>
        </w:rPr>
        <w:t xml:space="preserve"> </w:t>
      </w:r>
      <w:r w:rsidRPr="008240D2">
        <w:rPr>
          <w:rFonts w:eastAsia="Calibri"/>
          <w:sz w:val="24"/>
          <w:szCs w:val="24"/>
        </w:rPr>
        <w:t>scolaire où l’évaluation</w:t>
      </w:r>
      <w:r>
        <w:rPr>
          <w:rFonts w:eastAsia="Calibri"/>
          <w:sz w:val="24"/>
          <w:szCs w:val="24"/>
        </w:rPr>
        <w:t xml:space="preserve">, </w:t>
      </w:r>
      <w:r w:rsidRPr="008240D2">
        <w:rPr>
          <w:rFonts w:eastAsia="Calibri"/>
          <w:sz w:val="24"/>
          <w:szCs w:val="24"/>
        </w:rPr>
        <w:t>comme soutien à l’apprentissage</w:t>
      </w:r>
      <w:r>
        <w:rPr>
          <w:rFonts w:eastAsia="Calibri"/>
          <w:sz w:val="24"/>
          <w:szCs w:val="24"/>
        </w:rPr>
        <w:t>,</w:t>
      </w:r>
      <w:r w:rsidRPr="008240D2">
        <w:rPr>
          <w:rFonts w:eastAsia="Calibri"/>
          <w:sz w:val="24"/>
          <w:szCs w:val="24"/>
        </w:rPr>
        <w:t xml:space="preserve"> est privilégiée, où les erreurs ont toute leur place (Calone &amp; Fontaine, 2023)</w:t>
      </w:r>
      <w:r>
        <w:rPr>
          <w:rFonts w:eastAsia="Calibri"/>
          <w:sz w:val="24"/>
          <w:szCs w:val="24"/>
        </w:rPr>
        <w:t>, où les mauvais résultats ne sont pas perçus comme des échecs mais des appels à l’aide de l’apprenant. L’enseignant reste ainsi interpellé dans sa conduite quotidienne de l’évaluation. Dans d’autres approches, notamment didactiques de l’évaluation,</w:t>
      </w:r>
      <w:r w:rsidRPr="004A107F">
        <w:rPr>
          <w:rFonts w:eastAsia="Calibri" w:cstheme="minorBidi"/>
          <w:sz w:val="24"/>
          <w:szCs w:val="24"/>
        </w:rPr>
        <w:t xml:space="preserve"> certains chercheurs mettent également en évidence que les élèves tentent de décrypter et de comprendre les intentions de l’enseignant (Chevallard, 1986 ; Schubauer-Leoni, 1991). De facto</w:t>
      </w:r>
      <w:r>
        <w:rPr>
          <w:rFonts w:eastAsia="Calibri" w:cstheme="minorBidi"/>
          <w:sz w:val="24"/>
          <w:szCs w:val="24"/>
        </w:rPr>
        <w:t>,</w:t>
      </w:r>
      <w:r w:rsidRPr="004A107F">
        <w:rPr>
          <w:rFonts w:eastAsia="Calibri" w:cstheme="minorBidi"/>
          <w:sz w:val="24"/>
          <w:szCs w:val="24"/>
        </w:rPr>
        <w:t> ces travaux explorent une hypothèse</w:t>
      </w:r>
      <w:r w:rsidRPr="00ED6323">
        <w:rPr>
          <w:rFonts w:eastAsia="Calibri" w:cstheme="minorBidi"/>
          <w:sz w:val="24"/>
          <w:szCs w:val="24"/>
        </w:rPr>
        <w:t xml:space="preserve"> qui, à la réflexion, mériterait davantage d’attention et d’investigation</w:t>
      </w:r>
      <w:r>
        <w:rPr>
          <w:rFonts w:eastAsia="Calibri" w:cstheme="minorBidi"/>
          <w:sz w:val="24"/>
          <w:szCs w:val="24"/>
        </w:rPr>
        <w:t xml:space="preserve">, </w:t>
      </w:r>
      <w:r w:rsidRPr="00ED6323">
        <w:rPr>
          <w:rFonts w:eastAsia="Calibri" w:cstheme="minorBidi"/>
          <w:sz w:val="24"/>
          <w:szCs w:val="24"/>
        </w:rPr>
        <w:t xml:space="preserve">vu l’importance de l’évaluation dans la vie quotidienne des classes et leur rôle crucial dans le destin scolaire des élèves, il est logique de supposer que ceux-ci s’efforcent de saisir les conceptions et intentions de leur enseignant afin de mieux répondre à ses attentes </w:t>
      </w:r>
      <w:r w:rsidRPr="007D3904">
        <w:rPr>
          <w:rFonts w:eastAsia="Calibri" w:cstheme="minorBidi"/>
          <w:sz w:val="24"/>
          <w:szCs w:val="24"/>
        </w:rPr>
        <w:t>(</w:t>
      </w:r>
      <w:proofErr w:type="spellStart"/>
      <w:r w:rsidRPr="007D3904">
        <w:rPr>
          <w:rFonts w:eastAsia="Calibri" w:cstheme="minorBidi"/>
          <w:sz w:val="24"/>
          <w:szCs w:val="24"/>
        </w:rPr>
        <w:t>Crahay</w:t>
      </w:r>
      <w:proofErr w:type="spellEnd"/>
      <w:r w:rsidRPr="007D3904">
        <w:rPr>
          <w:rFonts w:eastAsia="Calibri" w:cstheme="minorBidi"/>
          <w:sz w:val="24"/>
          <w:szCs w:val="24"/>
        </w:rPr>
        <w:t>, 2006, 2009</w:t>
      </w:r>
      <w:r w:rsidRPr="00ED6323">
        <w:rPr>
          <w:rFonts w:eastAsia="Calibri" w:cstheme="minorBidi"/>
          <w:sz w:val="24"/>
          <w:szCs w:val="24"/>
        </w:rPr>
        <w:t>). Dans ce processus, les élèves ne seraient cependant pas de simples récepteurs des signaux provenant de l’environnement de la classe.</w:t>
      </w:r>
    </w:p>
    <w:p w14:paraId="63A617F1" w14:textId="77777777" w:rsidR="00D80693" w:rsidRDefault="00D80693" w:rsidP="001928FA">
      <w:pPr>
        <w:spacing w:before="120"/>
        <w:jc w:val="both"/>
        <w:rPr>
          <w:rFonts w:eastAsia="Calibri"/>
          <w:sz w:val="24"/>
          <w:szCs w:val="24"/>
        </w:rPr>
      </w:pPr>
      <w:r w:rsidRPr="004A107F">
        <w:rPr>
          <w:rFonts w:eastAsia="Calibri" w:cstheme="minorBidi"/>
          <w:sz w:val="24"/>
          <w:szCs w:val="24"/>
        </w:rPr>
        <w:t>Mottier (2006, 2007),</w:t>
      </w:r>
      <w:r w:rsidRPr="00ED6323">
        <w:rPr>
          <w:rFonts w:eastAsia="Calibri" w:cstheme="minorBidi"/>
          <w:sz w:val="24"/>
          <w:szCs w:val="24"/>
        </w:rPr>
        <w:t xml:space="preserve"> </w:t>
      </w:r>
      <w:r>
        <w:rPr>
          <w:rFonts w:eastAsia="Calibri" w:cstheme="minorBidi"/>
          <w:sz w:val="24"/>
          <w:szCs w:val="24"/>
        </w:rPr>
        <w:t xml:space="preserve">affirme que </w:t>
      </w:r>
      <w:r w:rsidRPr="00ED6323">
        <w:rPr>
          <w:rFonts w:eastAsia="Calibri" w:cstheme="minorBidi"/>
          <w:sz w:val="24"/>
          <w:szCs w:val="24"/>
        </w:rPr>
        <w:t xml:space="preserve">cette question doit être explorée pour pouvoir comprendre les dynamiques interactives sous-jacentes aux situations évaluatives en classe et pour pouvoir considérer que l’évaluation en classe est un acte de participation à une communauté de pratique véhiculant des valeurs, significations et normes tendant vers la construction d’une compréhension commune. Bien plus, il paraît difficile de supposer, comme le font notamment </w:t>
      </w:r>
      <w:r w:rsidRPr="007D3904">
        <w:rPr>
          <w:rFonts w:eastAsia="Calibri" w:cstheme="minorBidi"/>
          <w:sz w:val="24"/>
          <w:szCs w:val="24"/>
        </w:rPr>
        <w:t>Ames et Archer (1988),</w:t>
      </w:r>
      <w:r w:rsidRPr="00ED6323">
        <w:rPr>
          <w:rFonts w:eastAsia="Calibri" w:cstheme="minorBidi"/>
          <w:sz w:val="24"/>
          <w:szCs w:val="24"/>
        </w:rPr>
        <w:t xml:space="preserve"> que les pratiques d’évaluation des enseignants affectent les élèves, si ceux-ci n’appréhendent pas correctement les intentions évaluatives de leur enseignant.</w:t>
      </w:r>
    </w:p>
    <w:p w14:paraId="47E101C1" w14:textId="77777777" w:rsidR="00D80693" w:rsidRPr="00302924" w:rsidRDefault="00D80693" w:rsidP="001928FA">
      <w:pPr>
        <w:spacing w:before="120"/>
        <w:jc w:val="both"/>
        <w:rPr>
          <w:rFonts w:eastAsia="Calibri"/>
          <w:sz w:val="2"/>
          <w:szCs w:val="2"/>
        </w:rPr>
      </w:pPr>
    </w:p>
    <w:p w14:paraId="1E0D36BC" w14:textId="77777777" w:rsidR="00D80693" w:rsidRPr="00B36F75" w:rsidRDefault="00D80693" w:rsidP="001928FA">
      <w:pPr>
        <w:pStyle w:val="Paragraphedeliste"/>
        <w:widowControl/>
        <w:numPr>
          <w:ilvl w:val="1"/>
          <w:numId w:val="206"/>
        </w:numPr>
        <w:shd w:val="clear" w:color="auto" w:fill="FFFFFF" w:themeFill="background1"/>
        <w:adjustRightInd w:val="0"/>
        <w:contextualSpacing/>
        <w:rPr>
          <w:rFonts w:eastAsia="Calibri"/>
          <w:b/>
          <w:color w:val="000000"/>
          <w:sz w:val="24"/>
          <w:szCs w:val="24"/>
          <w:lang w:eastAsia="fr-FR"/>
        </w:rPr>
      </w:pPr>
      <w:r>
        <w:rPr>
          <w:rFonts w:eastAsia="Calibri"/>
          <w:b/>
          <w:color w:val="000000"/>
          <w:sz w:val="24"/>
          <w:szCs w:val="24"/>
          <w:lang w:eastAsia="fr-FR"/>
        </w:rPr>
        <w:t xml:space="preserve"> Evaluation et motivation à l’apprentissage </w:t>
      </w:r>
    </w:p>
    <w:p w14:paraId="319C5597" w14:textId="77777777" w:rsidR="00D80693" w:rsidRDefault="00D80693" w:rsidP="00F429F0">
      <w:pPr>
        <w:spacing w:before="120"/>
        <w:jc w:val="both"/>
        <w:rPr>
          <w:rFonts w:eastAsia="Calibri"/>
          <w:sz w:val="24"/>
          <w:szCs w:val="24"/>
        </w:rPr>
      </w:pPr>
      <w:r w:rsidRPr="00B10971">
        <w:rPr>
          <w:rFonts w:cstheme="minorBidi"/>
          <w:sz w:val="24"/>
          <w:szCs w:val="24"/>
        </w:rPr>
        <w:t xml:space="preserve">La présente étude a montré qu’il existe des liens entre l’évaluation et la motivation des élèves à l’apprentissage. D’abord, parce que l’évaluation influence leur assiduité </w:t>
      </w:r>
      <w:proofErr w:type="spellStart"/>
      <w:r w:rsidRPr="00B10971">
        <w:rPr>
          <w:rFonts w:cstheme="minorBidi"/>
          <w:sz w:val="24"/>
          <w:szCs w:val="24"/>
        </w:rPr>
        <w:t>au</w:t>
      </w:r>
      <w:proofErr w:type="spellEnd"/>
      <w:r w:rsidRPr="00B10971">
        <w:rPr>
          <w:rFonts w:cstheme="minorBidi"/>
          <w:sz w:val="24"/>
          <w:szCs w:val="24"/>
        </w:rPr>
        <w:t xml:space="preserve"> cours, mais aussi que </w:t>
      </w:r>
      <w:r w:rsidRPr="00B10971">
        <w:rPr>
          <w:rFonts w:eastAsia="Calibri"/>
          <w:sz w:val="24"/>
          <w:szCs w:val="24"/>
        </w:rPr>
        <w:t xml:space="preserve">les résultats indiquent un lien significatif quoique faible entre </w:t>
      </w:r>
      <w:r w:rsidRPr="00B10971">
        <w:rPr>
          <w:rFonts w:cstheme="minorBidi"/>
          <w:sz w:val="24"/>
          <w:szCs w:val="24"/>
        </w:rPr>
        <w:t xml:space="preserve">la perception de l’importance des exercices par les élèves et leur engagement à les traiter. Pourtant l’évaluation est redoutée par plus de deux tiers des apprenants. Se pose alors la nécessité d’agir pour modifier les perceptions des élèves sur les évaluations en les présentant sur un jour qui inspire confiance, qui valorise l’effort fait et qui encourage pour ce qui reste à faire. Ainsi, l’évaluation ne devra plus être source de stress, d’anxiété, de manque d’estime de soi. L’enseignant y a, de ce fait, un rôle important à jouer, car, seul, l’élève ne pourrait atteindre ce niveau de motivation. </w:t>
      </w:r>
      <w:r w:rsidRPr="00B10971">
        <w:rPr>
          <w:sz w:val="24"/>
          <w:szCs w:val="24"/>
        </w:rPr>
        <w:t>E</w:t>
      </w:r>
      <w:r w:rsidRPr="00B10971">
        <w:rPr>
          <w:rFonts w:eastAsia="Calibri"/>
          <w:sz w:val="24"/>
          <w:szCs w:val="24"/>
        </w:rPr>
        <w:t>n effet</w:t>
      </w:r>
      <w:r w:rsidRPr="00B10971">
        <w:rPr>
          <w:rFonts w:eastAsia="Calibri"/>
          <w:spacing w:val="-2"/>
          <w:sz w:val="24"/>
          <w:szCs w:val="24"/>
        </w:rPr>
        <w:t xml:space="preserve">, selon </w:t>
      </w:r>
      <w:r w:rsidRPr="00B10971">
        <w:rPr>
          <w:rFonts w:eastAsia="Calibri"/>
          <w:sz w:val="24"/>
          <w:szCs w:val="24"/>
        </w:rPr>
        <w:t>Carré (1999),</w:t>
      </w:r>
      <w:r w:rsidRPr="00B10971">
        <w:rPr>
          <w:rFonts w:eastAsia="Calibri"/>
          <w:spacing w:val="-2"/>
          <w:sz w:val="24"/>
          <w:szCs w:val="24"/>
        </w:rPr>
        <w:t xml:space="preserve"> </w:t>
      </w:r>
      <w:r w:rsidRPr="00B10971">
        <w:rPr>
          <w:rFonts w:eastAsia="Calibri"/>
          <w:sz w:val="24"/>
          <w:szCs w:val="24"/>
        </w:rPr>
        <w:t>lorsque</w:t>
      </w:r>
      <w:r w:rsidRPr="00B10971">
        <w:rPr>
          <w:rFonts w:eastAsia="Calibri"/>
          <w:spacing w:val="-2"/>
          <w:sz w:val="24"/>
          <w:szCs w:val="24"/>
        </w:rPr>
        <w:t xml:space="preserve"> </w:t>
      </w:r>
      <w:r w:rsidRPr="00B10971">
        <w:rPr>
          <w:rFonts w:eastAsia="Calibri"/>
          <w:sz w:val="24"/>
          <w:szCs w:val="24"/>
        </w:rPr>
        <w:t>la</w:t>
      </w:r>
      <w:r w:rsidRPr="00B10971">
        <w:rPr>
          <w:rFonts w:eastAsia="Calibri"/>
          <w:spacing w:val="-3"/>
          <w:sz w:val="24"/>
          <w:szCs w:val="24"/>
        </w:rPr>
        <w:t xml:space="preserve"> </w:t>
      </w:r>
      <w:r w:rsidRPr="00B10971">
        <w:rPr>
          <w:rFonts w:eastAsia="Calibri"/>
          <w:sz w:val="24"/>
          <w:szCs w:val="24"/>
        </w:rPr>
        <w:t>motivation</w:t>
      </w:r>
      <w:r w:rsidRPr="00B10971">
        <w:rPr>
          <w:rFonts w:eastAsia="Calibri"/>
          <w:spacing w:val="-3"/>
          <w:sz w:val="24"/>
          <w:szCs w:val="24"/>
        </w:rPr>
        <w:t xml:space="preserve"> </w:t>
      </w:r>
      <w:r w:rsidRPr="00B10971">
        <w:rPr>
          <w:rFonts w:eastAsia="Calibri"/>
          <w:sz w:val="24"/>
          <w:szCs w:val="24"/>
        </w:rPr>
        <w:t>est</w:t>
      </w:r>
      <w:r w:rsidRPr="00B10971">
        <w:rPr>
          <w:rFonts w:eastAsia="Calibri"/>
          <w:spacing w:val="-3"/>
          <w:sz w:val="24"/>
          <w:szCs w:val="24"/>
        </w:rPr>
        <w:t xml:space="preserve"> </w:t>
      </w:r>
      <w:r w:rsidRPr="00B10971">
        <w:rPr>
          <w:rFonts w:eastAsia="Calibri"/>
          <w:sz w:val="24"/>
          <w:szCs w:val="24"/>
        </w:rPr>
        <w:t>exclusivement</w:t>
      </w:r>
      <w:r w:rsidRPr="00B10971">
        <w:rPr>
          <w:rFonts w:eastAsia="Calibri"/>
          <w:spacing w:val="-1"/>
          <w:sz w:val="24"/>
          <w:szCs w:val="24"/>
        </w:rPr>
        <w:t xml:space="preserve"> </w:t>
      </w:r>
      <w:r w:rsidRPr="00B10971">
        <w:rPr>
          <w:rFonts w:eastAsia="Calibri"/>
          <w:sz w:val="24"/>
          <w:szCs w:val="24"/>
        </w:rPr>
        <w:t>intrinsèque, l’individu</w:t>
      </w:r>
      <w:r w:rsidRPr="00B10971">
        <w:rPr>
          <w:rFonts w:eastAsia="Calibri"/>
          <w:spacing w:val="-5"/>
          <w:sz w:val="24"/>
          <w:szCs w:val="24"/>
        </w:rPr>
        <w:t xml:space="preserve"> </w:t>
      </w:r>
      <w:r w:rsidRPr="00B10971">
        <w:rPr>
          <w:rFonts w:eastAsia="Calibri"/>
          <w:sz w:val="24"/>
          <w:szCs w:val="24"/>
        </w:rPr>
        <w:t>n’agit</w:t>
      </w:r>
      <w:r w:rsidRPr="00B10971">
        <w:rPr>
          <w:rFonts w:eastAsia="Calibri"/>
          <w:spacing w:val="-3"/>
          <w:sz w:val="24"/>
          <w:szCs w:val="24"/>
        </w:rPr>
        <w:t xml:space="preserve"> </w:t>
      </w:r>
      <w:r w:rsidRPr="00B10971">
        <w:rPr>
          <w:rFonts w:eastAsia="Calibri"/>
          <w:sz w:val="24"/>
          <w:szCs w:val="24"/>
        </w:rPr>
        <w:t>que</w:t>
      </w:r>
      <w:r w:rsidRPr="00B10971">
        <w:rPr>
          <w:rFonts w:eastAsia="Calibri"/>
          <w:spacing w:val="-8"/>
          <w:sz w:val="24"/>
          <w:szCs w:val="24"/>
        </w:rPr>
        <w:t xml:space="preserve"> </w:t>
      </w:r>
      <w:r w:rsidRPr="00B10971">
        <w:rPr>
          <w:rFonts w:eastAsia="Calibri"/>
          <w:sz w:val="24"/>
          <w:szCs w:val="24"/>
        </w:rPr>
        <w:t>pour</w:t>
      </w:r>
      <w:r w:rsidRPr="00B10971">
        <w:rPr>
          <w:rFonts w:eastAsia="Calibri"/>
          <w:spacing w:val="-5"/>
          <w:sz w:val="24"/>
          <w:szCs w:val="24"/>
        </w:rPr>
        <w:t xml:space="preserve"> </w:t>
      </w:r>
      <w:r w:rsidRPr="00B10971">
        <w:rPr>
          <w:rFonts w:eastAsia="Calibri"/>
          <w:sz w:val="24"/>
          <w:szCs w:val="24"/>
        </w:rPr>
        <w:t>le</w:t>
      </w:r>
      <w:r w:rsidRPr="00B10971">
        <w:rPr>
          <w:rFonts w:eastAsia="Calibri"/>
          <w:spacing w:val="-4"/>
          <w:sz w:val="24"/>
          <w:szCs w:val="24"/>
        </w:rPr>
        <w:t xml:space="preserve"> </w:t>
      </w:r>
      <w:r w:rsidRPr="00B10971">
        <w:rPr>
          <w:rFonts w:eastAsia="Calibri"/>
          <w:sz w:val="24"/>
          <w:szCs w:val="24"/>
        </w:rPr>
        <w:t>plaisir</w:t>
      </w:r>
      <w:r w:rsidRPr="00B10971">
        <w:rPr>
          <w:rFonts w:eastAsia="Calibri"/>
          <w:spacing w:val="-5"/>
          <w:sz w:val="24"/>
          <w:szCs w:val="24"/>
        </w:rPr>
        <w:t xml:space="preserve"> </w:t>
      </w:r>
      <w:r w:rsidRPr="00B10971">
        <w:rPr>
          <w:rFonts w:eastAsia="Calibri"/>
          <w:sz w:val="24"/>
          <w:szCs w:val="24"/>
        </w:rPr>
        <w:t>de</w:t>
      </w:r>
      <w:r w:rsidRPr="00B10971">
        <w:rPr>
          <w:rFonts w:eastAsia="Calibri"/>
          <w:spacing w:val="-8"/>
          <w:sz w:val="24"/>
          <w:szCs w:val="24"/>
        </w:rPr>
        <w:t xml:space="preserve"> </w:t>
      </w:r>
      <w:r w:rsidRPr="00B10971">
        <w:rPr>
          <w:rFonts w:eastAsia="Calibri"/>
          <w:sz w:val="24"/>
          <w:szCs w:val="24"/>
        </w:rPr>
        <w:t>pratiquer</w:t>
      </w:r>
      <w:r w:rsidRPr="00B10971">
        <w:rPr>
          <w:rFonts w:eastAsia="Calibri"/>
          <w:spacing w:val="-8"/>
          <w:sz w:val="24"/>
          <w:szCs w:val="24"/>
        </w:rPr>
        <w:t xml:space="preserve"> </w:t>
      </w:r>
      <w:r w:rsidRPr="00B10971">
        <w:rPr>
          <w:rFonts w:eastAsia="Calibri"/>
          <w:sz w:val="24"/>
          <w:szCs w:val="24"/>
        </w:rPr>
        <w:t>l’activité,</w:t>
      </w:r>
      <w:r w:rsidRPr="00B10971">
        <w:rPr>
          <w:rFonts w:eastAsia="Calibri"/>
          <w:spacing w:val="-5"/>
          <w:sz w:val="24"/>
          <w:szCs w:val="24"/>
        </w:rPr>
        <w:t xml:space="preserve"> </w:t>
      </w:r>
      <w:r w:rsidRPr="00B10971">
        <w:rPr>
          <w:rFonts w:eastAsia="Calibri"/>
          <w:sz w:val="24"/>
          <w:szCs w:val="24"/>
        </w:rPr>
        <w:t>le</w:t>
      </w:r>
      <w:r w:rsidRPr="00B10971">
        <w:rPr>
          <w:rFonts w:eastAsia="Calibri"/>
          <w:spacing w:val="-4"/>
          <w:sz w:val="24"/>
          <w:szCs w:val="24"/>
        </w:rPr>
        <w:t xml:space="preserve"> </w:t>
      </w:r>
      <w:r w:rsidRPr="00B10971">
        <w:rPr>
          <w:rFonts w:eastAsia="Calibri"/>
          <w:sz w:val="24"/>
          <w:szCs w:val="24"/>
        </w:rPr>
        <w:t>manque</w:t>
      </w:r>
      <w:r w:rsidRPr="00B10971">
        <w:rPr>
          <w:rFonts w:eastAsia="Calibri"/>
          <w:spacing w:val="-8"/>
          <w:sz w:val="24"/>
          <w:szCs w:val="24"/>
        </w:rPr>
        <w:t xml:space="preserve"> </w:t>
      </w:r>
      <w:r w:rsidRPr="00B10971">
        <w:rPr>
          <w:rFonts w:eastAsia="Calibri"/>
          <w:sz w:val="24"/>
          <w:szCs w:val="24"/>
        </w:rPr>
        <w:t>d’engagement</w:t>
      </w:r>
      <w:r w:rsidRPr="00B10971">
        <w:rPr>
          <w:rFonts w:eastAsia="Calibri"/>
          <w:spacing w:val="-5"/>
          <w:sz w:val="24"/>
          <w:szCs w:val="24"/>
        </w:rPr>
        <w:t xml:space="preserve"> </w:t>
      </w:r>
      <w:r w:rsidRPr="00B10971">
        <w:rPr>
          <w:rFonts w:eastAsia="Calibri"/>
          <w:sz w:val="24"/>
          <w:szCs w:val="24"/>
        </w:rPr>
        <w:t>est</w:t>
      </w:r>
      <w:r w:rsidRPr="00B10971">
        <w:rPr>
          <w:rFonts w:eastAsia="Calibri"/>
          <w:spacing w:val="-5"/>
          <w:sz w:val="24"/>
          <w:szCs w:val="24"/>
        </w:rPr>
        <w:t xml:space="preserve"> </w:t>
      </w:r>
      <w:r w:rsidRPr="00B10971">
        <w:rPr>
          <w:rFonts w:eastAsia="Calibri"/>
          <w:sz w:val="24"/>
          <w:szCs w:val="24"/>
        </w:rPr>
        <w:t>fort</w:t>
      </w:r>
      <w:r w:rsidRPr="00B10971">
        <w:rPr>
          <w:rFonts w:eastAsia="Calibri"/>
          <w:spacing w:val="-4"/>
          <w:sz w:val="24"/>
          <w:szCs w:val="24"/>
        </w:rPr>
        <w:t xml:space="preserve"> </w:t>
      </w:r>
      <w:r w:rsidRPr="00B10971">
        <w:rPr>
          <w:rFonts w:eastAsia="Calibri"/>
          <w:spacing w:val="-5"/>
          <w:sz w:val="24"/>
          <w:szCs w:val="24"/>
        </w:rPr>
        <w:t>(70</w:t>
      </w:r>
      <w:r w:rsidRPr="00B10971">
        <w:rPr>
          <w:rFonts w:eastAsia="Calibri"/>
          <w:sz w:val="24"/>
          <w:szCs w:val="24"/>
        </w:rPr>
        <w:t xml:space="preserve">% des individus dans ce cas abandonnent). Ainsi, la motivation </w:t>
      </w:r>
      <w:r>
        <w:rPr>
          <w:rFonts w:eastAsia="Calibri"/>
          <w:sz w:val="24"/>
          <w:szCs w:val="24"/>
        </w:rPr>
        <w:t>ne doit pas être qu’intrinsèque, elle doit également être extrinsèque et l’enseignant y a un rôle à jouer.</w:t>
      </w:r>
    </w:p>
    <w:p w14:paraId="558C3FF8" w14:textId="77777777" w:rsidR="00D80693" w:rsidRPr="00711028" w:rsidRDefault="00D80693" w:rsidP="00F429F0">
      <w:pPr>
        <w:spacing w:before="120"/>
        <w:ind w:right="141"/>
        <w:jc w:val="both"/>
        <w:rPr>
          <w:sz w:val="24"/>
          <w:szCs w:val="24"/>
          <w14:ligatures w14:val="standardContextual"/>
        </w:rPr>
      </w:pPr>
      <w:r>
        <w:rPr>
          <w:sz w:val="24"/>
          <w:szCs w:val="24"/>
          <w14:ligatures w14:val="standardContextual"/>
        </w:rPr>
        <w:t>Dans cette perspective</w:t>
      </w:r>
      <w:r w:rsidRPr="00AB437E">
        <w:rPr>
          <w:sz w:val="24"/>
          <w:szCs w:val="24"/>
          <w14:ligatures w14:val="standardContextual"/>
        </w:rPr>
        <w:t xml:space="preserve">, Bear, Minke, &amp; Manning (2002), </w:t>
      </w:r>
      <w:r>
        <w:rPr>
          <w:sz w:val="24"/>
          <w:szCs w:val="24"/>
          <w14:ligatures w14:val="standardContextual"/>
        </w:rPr>
        <w:t>s</w:t>
      </w:r>
      <w:r w:rsidRPr="00AB437E">
        <w:rPr>
          <w:sz w:val="24"/>
          <w:szCs w:val="24"/>
          <w14:ligatures w14:val="standardContextual"/>
        </w:rPr>
        <w:t>outiennent</w:t>
      </w:r>
      <w:r>
        <w:rPr>
          <w:sz w:val="24"/>
          <w:szCs w:val="24"/>
          <w14:ligatures w14:val="standardContextual"/>
        </w:rPr>
        <w:t>-ils</w:t>
      </w:r>
      <w:r w:rsidRPr="00AB437E">
        <w:rPr>
          <w:sz w:val="24"/>
          <w:szCs w:val="24"/>
          <w14:ligatures w14:val="standardContextual"/>
        </w:rPr>
        <w:t xml:space="preserve"> que la motivation des élèves rencontrant des difficultés d’apprentissage</w:t>
      </w:r>
      <w:r>
        <w:rPr>
          <w:sz w:val="24"/>
          <w:szCs w:val="24"/>
          <w14:ligatures w14:val="standardContextual"/>
        </w:rPr>
        <w:t>,</w:t>
      </w:r>
      <w:r w:rsidRPr="00AB437E">
        <w:rPr>
          <w:sz w:val="24"/>
          <w:szCs w:val="24"/>
          <w14:ligatures w14:val="standardContextual"/>
        </w:rPr>
        <w:t xml:space="preserve"> est un défi important pour toute personne qui enseigne ou qui offre des services à ces élèves.</w:t>
      </w:r>
      <w:r>
        <w:rPr>
          <w:sz w:val="24"/>
          <w:szCs w:val="24"/>
          <w14:ligatures w14:val="standardContextual"/>
        </w:rPr>
        <w:t xml:space="preserve"> </w:t>
      </w:r>
      <w:r w:rsidRPr="00AB437E">
        <w:rPr>
          <w:sz w:val="24"/>
          <w:szCs w:val="24"/>
          <w14:ligatures w14:val="standardContextual"/>
        </w:rPr>
        <w:t>Faisant face à des difficultés à mettre en place des stratégies ou des comportements qui leur permettent d’apprendre au même rythme que les autres élèves dans une ou plusieurs matières scolaires, ces élèves en viennent souvent à être découragés et à se percevoir comme incompétents. En effet, des recherches indiquent que les élèves rencontrant des difficultés d’apprentissage sont plus susceptibles d’entretenir une perception indiquant qu’ils sont plus ou moins bons à l’école.</w:t>
      </w:r>
      <w:r>
        <w:rPr>
          <w:sz w:val="24"/>
          <w:szCs w:val="24"/>
          <w14:ligatures w14:val="standardContextual"/>
        </w:rPr>
        <w:t xml:space="preserve"> </w:t>
      </w:r>
      <w:r w:rsidRPr="00711028">
        <w:rPr>
          <w:sz w:val="24"/>
          <w:szCs w:val="24"/>
          <w14:ligatures w14:val="standardContextual"/>
        </w:rPr>
        <w:t>De plus, ces élèves tendent à attribuer leurs difficultés à des déficits personnels et certains d’entre eux en viennent même à penser que lorsqu’ils réussissent, cela n’a rien à voir avec les efforts qu’ils ont déployés, mais plutôt à la chance</w:t>
      </w:r>
      <w:r>
        <w:rPr>
          <w:sz w:val="24"/>
          <w:szCs w:val="24"/>
          <w14:ligatures w14:val="standardContextual"/>
        </w:rPr>
        <w:t xml:space="preserve"> </w:t>
      </w:r>
      <w:r w:rsidRPr="00711028">
        <w:rPr>
          <w:sz w:val="24"/>
          <w:szCs w:val="24"/>
          <w14:ligatures w14:val="standardContextual"/>
        </w:rPr>
        <w:t>(</w:t>
      </w:r>
      <w:proofErr w:type="spellStart"/>
      <w:r w:rsidRPr="00020176">
        <w:rPr>
          <w:sz w:val="24"/>
          <w:szCs w:val="24"/>
          <w14:ligatures w14:val="standardContextual"/>
        </w:rPr>
        <w:t>Sideridis</w:t>
      </w:r>
      <w:proofErr w:type="spellEnd"/>
      <w:r w:rsidRPr="00020176">
        <w:rPr>
          <w:sz w:val="24"/>
          <w:szCs w:val="24"/>
          <w14:ligatures w14:val="standardContextual"/>
        </w:rPr>
        <w:t>, 2009</w:t>
      </w:r>
      <w:r w:rsidRPr="00711028">
        <w:rPr>
          <w:sz w:val="24"/>
          <w:szCs w:val="24"/>
          <w14:ligatures w14:val="standardContextual"/>
        </w:rPr>
        <w:t>).</w:t>
      </w:r>
    </w:p>
    <w:p w14:paraId="007EFD31" w14:textId="77777777" w:rsidR="00D80693" w:rsidRPr="00B10971" w:rsidRDefault="00D80693" w:rsidP="001928FA">
      <w:pPr>
        <w:shd w:val="clear" w:color="auto" w:fill="FFFFFF"/>
        <w:spacing w:before="120"/>
        <w:jc w:val="both"/>
        <w:rPr>
          <w:sz w:val="24"/>
          <w:szCs w:val="24"/>
          <w:lang w:eastAsia="fr-FR"/>
        </w:rPr>
      </w:pPr>
      <w:r>
        <w:rPr>
          <w:sz w:val="24"/>
          <w:szCs w:val="24"/>
          <w:lang w:eastAsia="fr-FR"/>
        </w:rPr>
        <w:t>Mais p</w:t>
      </w:r>
      <w:r w:rsidRPr="00B10971">
        <w:rPr>
          <w:sz w:val="24"/>
          <w:szCs w:val="24"/>
          <w:lang w:eastAsia="fr-FR"/>
        </w:rPr>
        <w:t>our Anderman &amp; Anderman, 1999 ; Chouinard, 2002 ; Crooks, 1988 ; Galand &amp; Grégoire, 2000</w:t>
      </w:r>
      <w:r>
        <w:rPr>
          <w:sz w:val="24"/>
          <w:szCs w:val="24"/>
          <w:lang w:eastAsia="fr-FR"/>
        </w:rPr>
        <w:t>,</w:t>
      </w:r>
      <w:r w:rsidRPr="00B10971">
        <w:rPr>
          <w:sz w:val="24"/>
          <w:szCs w:val="24"/>
          <w:lang w:eastAsia="fr-FR"/>
        </w:rPr>
        <w:t xml:space="preserve"> qui se prononcent sur les pratiques évaluatives et les dynamiques motivationnelles, les pratiques évaluatives normatives génèrent des buts de performance, mais aussi d’évitement, provoquent l’anxiété, la baisse de la perception de compétences scolaires et amènent les élèves à évaluer leurs capacités et non pas l’état de leurs connaissances. En revanche, dans des classes dans lesquelles les enseignants visent le développement des compétences de tous les élèves, ces dernières adoptent davantage des buts d’apprentissage (Maîtrise-Approche), sont moins anxieux et s’investissent plus dans les activités scolaires.</w:t>
      </w:r>
    </w:p>
    <w:p w14:paraId="50F82B0E" w14:textId="77777777" w:rsidR="00D80693" w:rsidRDefault="00D80693" w:rsidP="00F429F0">
      <w:pPr>
        <w:spacing w:before="120"/>
        <w:rPr>
          <w:rFonts w:eastAsia="Calibri"/>
          <w:b/>
          <w:bCs/>
          <w:sz w:val="28"/>
          <w:szCs w:val="28"/>
        </w:rPr>
      </w:pPr>
      <w:r w:rsidRPr="006443F7">
        <w:rPr>
          <w:rFonts w:eastAsia="Calibri"/>
          <w:b/>
          <w:bCs/>
          <w:sz w:val="28"/>
          <w:szCs w:val="28"/>
        </w:rPr>
        <w:t>Conclusion</w:t>
      </w:r>
    </w:p>
    <w:p w14:paraId="5B988DFD" w14:textId="77777777" w:rsidR="00D80693" w:rsidRPr="00A30B8D" w:rsidRDefault="00D80693" w:rsidP="00F429F0">
      <w:pPr>
        <w:spacing w:before="120"/>
        <w:ind w:right="141"/>
        <w:jc w:val="both"/>
        <w:rPr>
          <w:sz w:val="24"/>
          <w:szCs w:val="24"/>
          <w14:ligatures w14:val="standardContextual"/>
        </w:rPr>
      </w:pPr>
      <w:r w:rsidRPr="00C1242E">
        <w:rPr>
          <w:sz w:val="24"/>
          <w:szCs w:val="24"/>
          <w14:ligatures w14:val="standardContextual"/>
        </w:rPr>
        <w:t>Cette</w:t>
      </w:r>
      <w:r w:rsidRPr="008240D2">
        <w:rPr>
          <w:color w:val="000000"/>
          <w:sz w:val="24"/>
          <w:szCs w:val="24"/>
          <w14:ligatures w14:val="standardContextual"/>
        </w:rPr>
        <w:t xml:space="preserve"> étude</w:t>
      </w:r>
      <w:r>
        <w:rPr>
          <w:color w:val="000000"/>
          <w:sz w:val="24"/>
          <w:szCs w:val="24"/>
          <w14:ligatures w14:val="standardContextual"/>
        </w:rPr>
        <w:t xml:space="preserve"> a </w:t>
      </w:r>
      <w:r w:rsidRPr="008240D2">
        <w:rPr>
          <w:color w:val="000000"/>
          <w:sz w:val="24"/>
          <w:szCs w:val="24"/>
          <w14:ligatures w14:val="standardContextual"/>
        </w:rPr>
        <w:t>a</w:t>
      </w:r>
      <w:r w:rsidRPr="008240D2">
        <w:rPr>
          <w:sz w:val="24"/>
          <w:szCs w:val="24"/>
          <w14:ligatures w14:val="standardContextual"/>
        </w:rPr>
        <w:t>nalys</w:t>
      </w:r>
      <w:r>
        <w:rPr>
          <w:sz w:val="24"/>
          <w:szCs w:val="24"/>
          <w14:ligatures w14:val="standardContextual"/>
        </w:rPr>
        <w:t>é</w:t>
      </w:r>
      <w:r w:rsidRPr="008240D2">
        <w:rPr>
          <w:sz w:val="24"/>
          <w:szCs w:val="24"/>
          <w14:ligatures w14:val="standardContextual"/>
        </w:rPr>
        <w:t xml:space="preserve"> les perceptions de l’évaluation chez les élèves du secondaire général et leur impact sur leur engagement à l’apprentissage.</w:t>
      </w:r>
      <w:r w:rsidRPr="008240D2">
        <w:rPr>
          <w:color w:val="000000"/>
          <w:sz w:val="24"/>
          <w:szCs w:val="24"/>
          <w14:ligatures w14:val="standardContextual"/>
        </w:rPr>
        <w:t xml:space="preserve"> </w:t>
      </w:r>
      <w:r w:rsidRPr="008240D2">
        <w:rPr>
          <w:sz w:val="24"/>
          <w:szCs w:val="24"/>
          <w14:ligatures w14:val="standardContextual"/>
        </w:rPr>
        <w:t xml:space="preserve">L’étude </w:t>
      </w:r>
      <w:r w:rsidRPr="00AB437E">
        <w:rPr>
          <w:sz w:val="24"/>
          <w:szCs w:val="24"/>
          <w14:ligatures w14:val="standardContextual"/>
        </w:rPr>
        <w:t>descriptive de type</w:t>
      </w:r>
      <w:r>
        <w:rPr>
          <w:sz w:val="24"/>
          <w:szCs w:val="24"/>
          <w14:ligatures w14:val="standardContextual"/>
        </w:rPr>
        <w:t xml:space="preserve"> quantitatif a été </w:t>
      </w:r>
      <w:r w:rsidRPr="008240D2">
        <w:rPr>
          <w:sz w:val="24"/>
          <w:szCs w:val="24"/>
          <w14:ligatures w14:val="standardContextual"/>
        </w:rPr>
        <w:t>menée auprès d’un échantillon de 500 apprenants</w:t>
      </w:r>
      <w:r>
        <w:rPr>
          <w:sz w:val="24"/>
          <w:szCs w:val="24"/>
          <w14:ligatures w14:val="standardContextual"/>
        </w:rPr>
        <w:t xml:space="preserve"> qui ont répondu à un questionnaire. </w:t>
      </w:r>
      <w:r w:rsidRPr="00A30B8D">
        <w:rPr>
          <w:sz w:val="24"/>
          <w:szCs w:val="24"/>
          <w14:ligatures w14:val="standardContextual"/>
        </w:rPr>
        <w:t>Les résultats montrent que la presque totalité des enquêtés reconnaissent en l’évaluation formative un facteur important pour le développement de leurs compétences quoiqu’ils soient également nombreux</w:t>
      </w:r>
      <w:r>
        <w:rPr>
          <w:sz w:val="24"/>
          <w:szCs w:val="24"/>
          <w14:ligatures w14:val="standardContextual"/>
        </w:rPr>
        <w:t xml:space="preserve">, </w:t>
      </w:r>
      <w:r w:rsidRPr="00A30B8D">
        <w:rPr>
          <w:sz w:val="24"/>
          <w:szCs w:val="24"/>
          <w14:ligatures w14:val="standardContextual"/>
        </w:rPr>
        <w:t xml:space="preserve">ceux qui n’ont pas une perception favorable de l’évaluation. Aussi, la plupart les élèves font-ils généralement les exercices non par contrainte, mais parce qu’ils espèrent en tirer des bénéfices pour leur apprentissage et leur réussite. Toutefois, près du quart des apprenants font peu fréquemment les exercices qui leur sont proposés, et </w:t>
      </w:r>
      <w:r>
        <w:rPr>
          <w:sz w:val="24"/>
          <w:szCs w:val="24"/>
          <w14:ligatures w14:val="standardContextual"/>
        </w:rPr>
        <w:t xml:space="preserve">plus du quart </w:t>
      </w:r>
      <w:proofErr w:type="gramStart"/>
      <w:r w:rsidRPr="00A30B8D">
        <w:rPr>
          <w:sz w:val="24"/>
          <w:szCs w:val="24"/>
          <w14:ligatures w14:val="standardContextual"/>
        </w:rPr>
        <w:t>f</w:t>
      </w:r>
      <w:r>
        <w:rPr>
          <w:sz w:val="24"/>
          <w:szCs w:val="24"/>
          <w14:ligatures w14:val="standardContextual"/>
        </w:rPr>
        <w:t>ait</w:t>
      </w:r>
      <w:proofErr w:type="gramEnd"/>
      <w:r w:rsidRPr="00A30B8D">
        <w:rPr>
          <w:sz w:val="24"/>
          <w:szCs w:val="24"/>
          <w14:ligatures w14:val="standardContextual"/>
        </w:rPr>
        <w:t xml:space="preserve"> généralement les exercices qu’ils comprennent. Cette situation révèle que, pour ces derniers, qui représentent près de deux cinquièmes (2/5) des enquêtés, les évaluations peuvent certes permettre d’asseoir des compétences acquises, mais elles ne sont pas réellement contributives à l’acquisition de nouvelles. </w:t>
      </w:r>
    </w:p>
    <w:p w14:paraId="068C199A" w14:textId="77777777" w:rsidR="00D80693" w:rsidRDefault="00D80693" w:rsidP="001928FA">
      <w:pPr>
        <w:spacing w:before="120"/>
        <w:jc w:val="both"/>
        <w:rPr>
          <w:rFonts w:eastAsia="Calibri"/>
          <w:bCs/>
          <w:color w:val="000000"/>
          <w:sz w:val="24"/>
          <w:szCs w:val="24"/>
          <w:lang w:eastAsia="fr-FR"/>
        </w:rPr>
      </w:pPr>
      <w:r>
        <w:rPr>
          <w:rFonts w:cstheme="minorBidi"/>
          <w:color w:val="000000"/>
          <w:sz w:val="24"/>
          <w:szCs w:val="24"/>
        </w:rPr>
        <w:t xml:space="preserve">Aussi, les résultats de la </w:t>
      </w:r>
      <w:r w:rsidRPr="00D27846">
        <w:rPr>
          <w:rFonts w:cstheme="minorBidi"/>
          <w:color w:val="000000"/>
          <w:sz w:val="24"/>
          <w:szCs w:val="24"/>
        </w:rPr>
        <w:t xml:space="preserve">présente étude </w:t>
      </w:r>
      <w:r>
        <w:rPr>
          <w:rFonts w:cstheme="minorBidi"/>
          <w:color w:val="000000"/>
          <w:sz w:val="24"/>
          <w:szCs w:val="24"/>
        </w:rPr>
        <w:t>ont-ils</w:t>
      </w:r>
      <w:r w:rsidRPr="00D27846">
        <w:rPr>
          <w:rFonts w:cstheme="minorBidi"/>
          <w:color w:val="000000"/>
          <w:sz w:val="24"/>
          <w:szCs w:val="24"/>
        </w:rPr>
        <w:t xml:space="preserve"> montré qu’il existe des liens entre </w:t>
      </w:r>
      <w:r w:rsidRPr="00D27846">
        <w:rPr>
          <w:rFonts w:eastAsia="Calibri"/>
          <w:bCs/>
          <w:color w:val="000000"/>
          <w:sz w:val="24"/>
          <w:szCs w:val="24"/>
        </w:rPr>
        <w:t xml:space="preserve">les perceptions des apprenants à l’égard de l’évaluation de </w:t>
      </w:r>
      <w:r w:rsidRPr="00D27846">
        <w:rPr>
          <w:rFonts w:eastAsia="Calibri"/>
          <w:color w:val="000000"/>
          <w:sz w:val="24"/>
          <w:szCs w:val="24"/>
        </w:rPr>
        <w:t xml:space="preserve">leurs apprentissages et leur engagement à l’apprentissage. Ainsi, les résultats ont montré un lien significatif mais plutôt faible entre </w:t>
      </w:r>
      <w:r w:rsidRPr="00D27846">
        <w:rPr>
          <w:rFonts w:cstheme="minorBidi"/>
          <w:color w:val="000000"/>
          <w:sz w:val="24"/>
          <w:szCs w:val="24"/>
        </w:rPr>
        <w:t>la perception de l’importance des exercices par les élèves et leur engagement à les traiter. Aussi, un</w:t>
      </w:r>
      <w:r w:rsidRPr="00D27846">
        <w:rPr>
          <w:rFonts w:eastAsia="Calibri"/>
          <w:bCs/>
          <w:color w:val="000000"/>
          <w:sz w:val="24"/>
          <w:szCs w:val="24"/>
          <w:lang w:eastAsia="fr-FR"/>
        </w:rPr>
        <w:t xml:space="preserve"> lien significatif mais modéré a-t-il été observé entre le sentiment que l’élève éprouve pour l’évaluation et son assiduité en classe. </w:t>
      </w:r>
      <w:r w:rsidRPr="00D27846">
        <w:rPr>
          <w:rFonts w:eastAsia="Calibri"/>
          <w:bCs/>
          <w:color w:val="000000"/>
          <w:sz w:val="24"/>
          <w:szCs w:val="24"/>
        </w:rPr>
        <w:t xml:space="preserve">Les résultats montrent ainsi que </w:t>
      </w:r>
      <w:r w:rsidRPr="00D27846">
        <w:rPr>
          <w:rFonts w:eastAsia="Calibri"/>
          <w:bCs/>
          <w:color w:val="000000"/>
          <w:sz w:val="24"/>
          <w:szCs w:val="24"/>
          <w:lang w:eastAsia="fr-FR"/>
        </w:rPr>
        <w:t xml:space="preserve">les évaluations poussent à l’assiduité </w:t>
      </w:r>
      <w:r>
        <w:rPr>
          <w:rFonts w:eastAsia="Calibri"/>
          <w:bCs/>
          <w:color w:val="000000"/>
          <w:sz w:val="24"/>
          <w:szCs w:val="24"/>
          <w:lang w:eastAsia="fr-FR"/>
        </w:rPr>
        <w:t xml:space="preserve">des élèves </w:t>
      </w:r>
      <w:r w:rsidRPr="00D27846">
        <w:rPr>
          <w:rFonts w:eastAsia="Calibri"/>
          <w:bCs/>
          <w:color w:val="000000"/>
          <w:sz w:val="24"/>
          <w:szCs w:val="24"/>
          <w:lang w:eastAsia="fr-FR"/>
        </w:rPr>
        <w:t>en classe.</w:t>
      </w:r>
      <w:r w:rsidRPr="00D27846">
        <w:rPr>
          <w:rFonts w:eastAsia="Calibri"/>
          <w:color w:val="000000"/>
          <w:sz w:val="24"/>
          <w:szCs w:val="24"/>
        </w:rPr>
        <w:t xml:space="preserve"> </w:t>
      </w:r>
      <w:r w:rsidRPr="00D27846">
        <w:rPr>
          <w:rFonts w:eastAsia="Calibri"/>
          <w:bCs/>
          <w:color w:val="000000"/>
          <w:sz w:val="24"/>
          <w:szCs w:val="24"/>
          <w:lang w:eastAsia="fr-FR"/>
        </w:rPr>
        <w:t>Enfin, l’étude a montré également un lien significatif mais modéré entre l’amour des élèves pour les études et leurs sentiments à l’égard des évaluations. En fait, plus les élèves aiment étudier, plus ils développent de la sympathie pour les évaluations.</w:t>
      </w:r>
      <w:r>
        <w:rPr>
          <w:rFonts w:eastAsia="Calibri"/>
          <w:bCs/>
          <w:color w:val="000000"/>
          <w:sz w:val="24"/>
          <w:szCs w:val="24"/>
          <w:lang w:eastAsia="fr-FR"/>
        </w:rPr>
        <w:t xml:space="preserve"> </w:t>
      </w:r>
    </w:p>
    <w:p w14:paraId="7E7CFF87" w14:textId="3FF91A68" w:rsidR="00D80693" w:rsidRPr="00F429F0" w:rsidRDefault="00D80693" w:rsidP="00F429F0">
      <w:pPr>
        <w:spacing w:before="120"/>
        <w:jc w:val="both"/>
        <w:rPr>
          <w:rFonts w:eastAsia="Calibri"/>
          <w:b/>
          <w:bCs/>
          <w:sz w:val="28"/>
          <w:szCs w:val="28"/>
        </w:rPr>
      </w:pPr>
      <w:r w:rsidRPr="00F429F0">
        <w:rPr>
          <w:rFonts w:eastAsia="Calibri"/>
          <w:bCs/>
          <w:color w:val="000000"/>
          <w:sz w:val="28"/>
          <w:szCs w:val="28"/>
          <w:lang w:eastAsia="fr-FR"/>
        </w:rPr>
        <w:t xml:space="preserve"> </w:t>
      </w:r>
      <w:r w:rsidRPr="00F429F0">
        <w:rPr>
          <w:rFonts w:eastAsia="Calibri"/>
          <w:b/>
          <w:bCs/>
          <w:sz w:val="28"/>
          <w:szCs w:val="28"/>
        </w:rPr>
        <w:t>Références bibliographiques</w:t>
      </w:r>
    </w:p>
    <w:p w14:paraId="1C63C96B" w14:textId="77777777" w:rsidR="00D80693" w:rsidRDefault="00D80693" w:rsidP="00F429F0">
      <w:pPr>
        <w:spacing w:before="120"/>
        <w:ind w:left="851" w:hanging="851"/>
        <w:jc w:val="both"/>
        <w:rPr>
          <w:rFonts w:eastAsia="Calibri"/>
          <w:sz w:val="24"/>
          <w:szCs w:val="24"/>
        </w:rPr>
      </w:pPr>
      <w:r w:rsidRPr="00B556D7">
        <w:rPr>
          <w:rFonts w:eastAsia="Calibri"/>
          <w:sz w:val="24"/>
          <w:szCs w:val="24"/>
        </w:rPr>
        <w:t xml:space="preserve">Allal, L. &amp; Mottier Lopez, L. (2005). </w:t>
      </w:r>
      <w:r w:rsidRPr="00B556D7">
        <w:rPr>
          <w:rFonts w:eastAsia="Calibri"/>
          <w:i/>
          <w:iCs/>
          <w:sz w:val="24"/>
          <w:szCs w:val="24"/>
        </w:rPr>
        <w:t xml:space="preserve">L’évaluation formative de l’apprentissage </w:t>
      </w:r>
      <w:r w:rsidRPr="00B556D7">
        <w:rPr>
          <w:rFonts w:eastAsia="Calibri"/>
          <w:sz w:val="24"/>
          <w:szCs w:val="24"/>
        </w:rPr>
        <w:t>: revue de publications en langue française. Dans OCDE, L’évaluation formative : pour un meilleur apprentissage dans les classes secondaires, Éditions OCDE/CERI (265-290).</w:t>
      </w:r>
    </w:p>
    <w:p w14:paraId="26DF719B" w14:textId="77777777" w:rsidR="00D80693" w:rsidRPr="00C1242E" w:rsidRDefault="00D80693" w:rsidP="00F429F0">
      <w:pPr>
        <w:shd w:val="clear" w:color="auto" w:fill="FFFFFF"/>
        <w:spacing w:before="120"/>
        <w:ind w:left="851" w:hanging="851"/>
        <w:jc w:val="both"/>
        <w:rPr>
          <w:color w:val="000000"/>
          <w:sz w:val="24"/>
          <w:szCs w:val="24"/>
          <w:lang w:val="en-US" w:eastAsia="fr-FR"/>
        </w:rPr>
      </w:pPr>
      <w:r w:rsidRPr="00B556D7">
        <w:rPr>
          <w:color w:val="000000"/>
          <w:sz w:val="24"/>
          <w:szCs w:val="24"/>
          <w:lang w:val="en-US" w:eastAsia="fr-FR"/>
        </w:rPr>
        <w:t xml:space="preserve">Ames, C. &amp; Archer, J. (1988). </w:t>
      </w:r>
      <w:r w:rsidRPr="00C43C6C">
        <w:rPr>
          <w:i/>
          <w:iCs/>
          <w:color w:val="000000"/>
          <w:sz w:val="24"/>
          <w:szCs w:val="24"/>
          <w:lang w:val="en-US" w:eastAsia="fr-FR"/>
        </w:rPr>
        <w:t xml:space="preserve">« Achievement goals in the classroom: Student’s learning strategies and motivation </w:t>
      </w:r>
      <w:proofErr w:type="gramStart"/>
      <w:r w:rsidRPr="00C43C6C">
        <w:rPr>
          <w:i/>
          <w:iCs/>
          <w:color w:val="000000"/>
          <w:sz w:val="24"/>
          <w:szCs w:val="24"/>
          <w:lang w:val="en-US" w:eastAsia="fr-FR"/>
        </w:rPr>
        <w:t>processes »</w:t>
      </w:r>
      <w:r w:rsidRPr="00B556D7">
        <w:rPr>
          <w:color w:val="000000"/>
          <w:sz w:val="24"/>
          <w:szCs w:val="24"/>
          <w:lang w:val="en-US" w:eastAsia="fr-FR"/>
        </w:rPr>
        <w:t>.</w:t>
      </w:r>
      <w:proofErr w:type="gramEnd"/>
      <w:r w:rsidRPr="00B556D7">
        <w:rPr>
          <w:color w:val="000000"/>
          <w:sz w:val="24"/>
          <w:szCs w:val="24"/>
          <w:lang w:val="en-US" w:eastAsia="fr-FR"/>
        </w:rPr>
        <w:t> </w:t>
      </w:r>
      <w:r w:rsidRPr="00C1242E">
        <w:rPr>
          <w:i/>
          <w:iCs/>
          <w:color w:val="000000"/>
          <w:sz w:val="24"/>
          <w:szCs w:val="24"/>
          <w:lang w:val="en-US" w:eastAsia="fr-FR"/>
        </w:rPr>
        <w:t>Journal of Educational Psychology, 80</w:t>
      </w:r>
      <w:r w:rsidRPr="00C1242E">
        <w:rPr>
          <w:color w:val="000000"/>
          <w:sz w:val="24"/>
          <w:szCs w:val="24"/>
          <w:lang w:val="en-US" w:eastAsia="fr-FR"/>
        </w:rPr>
        <w:t>(3), p. 260-267.</w:t>
      </w:r>
      <w:r w:rsidRPr="00C1242E">
        <w:rPr>
          <w:color w:val="000000"/>
          <w:sz w:val="24"/>
          <w:szCs w:val="24"/>
          <w:lang w:val="en-US" w:eastAsia="fr-FR"/>
        </w:rPr>
        <w:br/>
      </w:r>
      <w:proofErr w:type="gramStart"/>
      <w:r w:rsidRPr="00C1242E">
        <w:rPr>
          <w:color w:val="000000"/>
          <w:sz w:val="24"/>
          <w:szCs w:val="24"/>
          <w:lang w:val="en-US" w:eastAsia="fr-FR"/>
        </w:rPr>
        <w:t>DOI :</w:t>
      </w:r>
      <w:proofErr w:type="gramEnd"/>
      <w:r w:rsidRPr="00C1242E">
        <w:rPr>
          <w:color w:val="000000"/>
          <w:sz w:val="24"/>
          <w:szCs w:val="24"/>
          <w:lang w:val="en-US" w:eastAsia="fr-FR"/>
        </w:rPr>
        <w:t> </w:t>
      </w:r>
      <w:hyperlink r:id="rId180" w:history="1">
        <w:r w:rsidRPr="00C1242E">
          <w:rPr>
            <w:color w:val="000000"/>
            <w:sz w:val="24"/>
            <w:szCs w:val="24"/>
            <w:lang w:val="en-US" w:eastAsia="fr-FR"/>
          </w:rPr>
          <w:t>10.1037/0022-0663.80.3.260</w:t>
        </w:r>
      </w:hyperlink>
      <w:r w:rsidRPr="00C1242E">
        <w:rPr>
          <w:color w:val="000000"/>
          <w:sz w:val="24"/>
          <w:szCs w:val="24"/>
          <w:lang w:val="en-US" w:eastAsia="fr-FR"/>
        </w:rPr>
        <w:t>.</w:t>
      </w:r>
    </w:p>
    <w:p w14:paraId="1C4A88C2" w14:textId="77777777" w:rsidR="00D80693" w:rsidRPr="00B556D7" w:rsidRDefault="00D80693" w:rsidP="00F429F0">
      <w:pPr>
        <w:shd w:val="clear" w:color="auto" w:fill="FFFFFF"/>
        <w:spacing w:before="120"/>
        <w:ind w:left="851" w:hanging="851"/>
        <w:jc w:val="both"/>
        <w:rPr>
          <w:color w:val="000000"/>
          <w:sz w:val="24"/>
          <w:szCs w:val="24"/>
          <w:lang w:val="en-US" w:eastAsia="fr-FR"/>
        </w:rPr>
      </w:pPr>
      <w:r w:rsidRPr="00B556D7">
        <w:rPr>
          <w:color w:val="000000"/>
          <w:sz w:val="24"/>
          <w:szCs w:val="24"/>
          <w:lang w:val="en-US" w:eastAsia="fr-FR"/>
        </w:rPr>
        <w:t xml:space="preserve">Anderman, L. H., &amp; Anderman, E. M. (1999). </w:t>
      </w:r>
      <w:r w:rsidRPr="00C1242E">
        <w:rPr>
          <w:i/>
          <w:iCs/>
          <w:color w:val="000000"/>
          <w:sz w:val="24"/>
          <w:szCs w:val="24"/>
          <w:lang w:val="en-US" w:eastAsia="fr-FR"/>
        </w:rPr>
        <w:t>Social predictors of changes in students' achievement goal orientations</w:t>
      </w:r>
      <w:r w:rsidRPr="00C1242E">
        <w:rPr>
          <w:color w:val="000000"/>
          <w:sz w:val="24"/>
          <w:szCs w:val="24"/>
          <w:lang w:val="en-US" w:eastAsia="fr-FR"/>
        </w:rPr>
        <w:t>. </w:t>
      </w:r>
      <w:r w:rsidRPr="00B556D7">
        <w:rPr>
          <w:i/>
          <w:iCs/>
          <w:color w:val="000000"/>
          <w:sz w:val="24"/>
          <w:szCs w:val="24"/>
          <w:lang w:val="en-US" w:eastAsia="fr-FR"/>
        </w:rPr>
        <w:t>Contemporary Educational Psychology, 24</w:t>
      </w:r>
      <w:r w:rsidRPr="00B556D7">
        <w:rPr>
          <w:color w:val="000000"/>
          <w:sz w:val="24"/>
          <w:szCs w:val="24"/>
          <w:lang w:val="en-US" w:eastAsia="fr-FR"/>
        </w:rPr>
        <w:t>, 21-37.</w:t>
      </w:r>
    </w:p>
    <w:p w14:paraId="60BF845D" w14:textId="77777777" w:rsidR="00D80693" w:rsidRPr="00B556D7" w:rsidRDefault="00D80693" w:rsidP="00F429F0">
      <w:pPr>
        <w:spacing w:before="120"/>
        <w:ind w:left="851" w:hanging="851"/>
        <w:jc w:val="both"/>
        <w:rPr>
          <w:rFonts w:eastAsia="Calibri"/>
          <w:sz w:val="24"/>
          <w:szCs w:val="24"/>
        </w:rPr>
      </w:pPr>
      <w:r w:rsidRPr="00B556D7">
        <w:rPr>
          <w:rFonts w:eastAsia="Calibri"/>
          <w:sz w:val="24"/>
          <w:szCs w:val="24"/>
          <w:lang w:val="en-US"/>
        </w:rPr>
        <w:t xml:space="preserve">Bear, G.-G., Minke, K. M., &amp; Manning, M. A. (2002). </w:t>
      </w:r>
      <w:r w:rsidRPr="00C1242E">
        <w:rPr>
          <w:rFonts w:eastAsia="Calibri"/>
          <w:i/>
          <w:iCs/>
          <w:sz w:val="24"/>
          <w:szCs w:val="24"/>
          <w:lang w:val="en-US"/>
        </w:rPr>
        <w:t xml:space="preserve">Self-concept of students with learning disabilities: A meta-analysis. </w:t>
      </w:r>
      <w:r w:rsidRPr="00C43C6C">
        <w:rPr>
          <w:rFonts w:eastAsia="Calibri"/>
          <w:i/>
          <w:iCs/>
          <w:sz w:val="24"/>
          <w:szCs w:val="24"/>
        </w:rPr>
        <w:t xml:space="preserve">School Psychology </w:t>
      </w:r>
      <w:proofErr w:type="spellStart"/>
      <w:r w:rsidRPr="00C43C6C">
        <w:rPr>
          <w:rFonts w:eastAsia="Calibri"/>
          <w:i/>
          <w:iCs/>
          <w:sz w:val="24"/>
          <w:szCs w:val="24"/>
        </w:rPr>
        <w:t>Review</w:t>
      </w:r>
      <w:proofErr w:type="spellEnd"/>
      <w:r w:rsidRPr="00B556D7">
        <w:rPr>
          <w:rFonts w:eastAsia="Calibri"/>
          <w:i/>
          <w:iCs/>
          <w:sz w:val="24"/>
          <w:szCs w:val="24"/>
        </w:rPr>
        <w:t>,</w:t>
      </w:r>
      <w:r w:rsidRPr="00B556D7">
        <w:rPr>
          <w:rFonts w:eastAsia="Calibri"/>
          <w:b/>
          <w:bCs/>
          <w:i/>
          <w:iCs/>
          <w:sz w:val="24"/>
          <w:szCs w:val="24"/>
        </w:rPr>
        <w:t xml:space="preserve"> 31</w:t>
      </w:r>
      <w:r w:rsidRPr="00B556D7">
        <w:rPr>
          <w:rFonts w:eastAsia="Calibri"/>
          <w:sz w:val="24"/>
          <w:szCs w:val="24"/>
        </w:rPr>
        <w:t>(3), 405-427.</w:t>
      </w:r>
    </w:p>
    <w:p w14:paraId="4773D32C" w14:textId="77777777" w:rsidR="00D80693" w:rsidRDefault="00D80693" w:rsidP="00F429F0">
      <w:pPr>
        <w:spacing w:before="120"/>
        <w:ind w:left="851" w:hanging="851"/>
        <w:jc w:val="both"/>
        <w:rPr>
          <w:rFonts w:eastAsia="Calibri"/>
          <w:sz w:val="24"/>
          <w:szCs w:val="24"/>
        </w:rPr>
      </w:pPr>
      <w:r w:rsidRPr="00B556D7">
        <w:rPr>
          <w:rFonts w:eastAsia="Calibri"/>
          <w:sz w:val="24"/>
          <w:szCs w:val="24"/>
        </w:rPr>
        <w:t>Bercier-</w:t>
      </w:r>
      <w:proofErr w:type="spellStart"/>
      <w:r w:rsidRPr="00B556D7">
        <w:rPr>
          <w:rFonts w:eastAsia="Calibri"/>
          <w:sz w:val="24"/>
          <w:szCs w:val="24"/>
        </w:rPr>
        <w:t>Larivière</w:t>
      </w:r>
      <w:proofErr w:type="spellEnd"/>
      <w:r w:rsidRPr="00B556D7">
        <w:rPr>
          <w:rFonts w:eastAsia="Calibri"/>
          <w:sz w:val="24"/>
          <w:szCs w:val="24"/>
        </w:rPr>
        <w:t xml:space="preserve">, M. &amp; Forgette-Giroux, R. (1995). </w:t>
      </w:r>
      <w:r w:rsidRPr="00C43C6C">
        <w:rPr>
          <w:rFonts w:eastAsia="Calibri"/>
          <w:i/>
          <w:iCs/>
          <w:sz w:val="24"/>
          <w:szCs w:val="24"/>
        </w:rPr>
        <w:t>L’évaluation des apprentissages telle que perçue par des élèves de 6e, 7e et 8e années</w:t>
      </w:r>
      <w:r w:rsidRPr="00B556D7">
        <w:rPr>
          <w:rFonts w:eastAsia="Calibri"/>
          <w:sz w:val="24"/>
          <w:szCs w:val="24"/>
        </w:rPr>
        <w:t>. Mesure et évaluation en éducation, 18(1), 37–58. https://doi.org/10.7202/1092794ar.</w:t>
      </w:r>
    </w:p>
    <w:p w14:paraId="5E106471" w14:textId="77777777" w:rsidR="00D80693" w:rsidRPr="00B556D7" w:rsidRDefault="00D80693" w:rsidP="00F429F0">
      <w:pPr>
        <w:spacing w:before="120"/>
        <w:ind w:left="851" w:hanging="851"/>
        <w:jc w:val="both"/>
        <w:rPr>
          <w:rFonts w:eastAsia="Calibri"/>
          <w:sz w:val="24"/>
          <w:szCs w:val="24"/>
        </w:rPr>
      </w:pPr>
      <w:r w:rsidRPr="004826E9">
        <w:rPr>
          <w:rFonts w:eastAsia="Calibri" w:cstheme="minorBidi"/>
          <w:bCs/>
          <w:sz w:val="24"/>
          <w:szCs w:val="24"/>
        </w:rPr>
        <w:t>Bisaillon, J. (1991).</w:t>
      </w:r>
      <w:r w:rsidRPr="004D0333">
        <w:rPr>
          <w:rFonts w:eastAsia="Calibri" w:cstheme="minorBidi"/>
          <w:sz w:val="24"/>
          <w:szCs w:val="24"/>
        </w:rPr>
        <w:t xml:space="preserve"> </w:t>
      </w:r>
      <w:r w:rsidRPr="00127C7B">
        <w:rPr>
          <w:rFonts w:eastAsia="Calibri" w:cstheme="minorBidi"/>
          <w:i/>
          <w:iCs/>
          <w:sz w:val="24"/>
          <w:szCs w:val="24"/>
        </w:rPr>
        <w:t>Les Stratégies de révision comme objet d’enseignement</w:t>
      </w:r>
      <w:r w:rsidRPr="004D0333">
        <w:rPr>
          <w:rFonts w:eastAsia="Calibri" w:cstheme="minorBidi"/>
          <w:sz w:val="24"/>
          <w:szCs w:val="24"/>
        </w:rPr>
        <w:t>. Enjeux, 22. 39- 54.</w:t>
      </w:r>
    </w:p>
    <w:p w14:paraId="75C9F5CD" w14:textId="77777777" w:rsidR="00D80693" w:rsidRDefault="00D80693" w:rsidP="00F429F0">
      <w:pPr>
        <w:spacing w:before="120"/>
        <w:ind w:left="851" w:hanging="851"/>
        <w:jc w:val="both"/>
        <w:rPr>
          <w:rFonts w:eastAsia="Calibri"/>
          <w:sz w:val="24"/>
          <w:szCs w:val="24"/>
        </w:rPr>
      </w:pPr>
      <w:r w:rsidRPr="00B556D7">
        <w:rPr>
          <w:rFonts w:eastAsia="Calibri"/>
          <w:sz w:val="24"/>
          <w:szCs w:val="24"/>
        </w:rPr>
        <w:t xml:space="preserve">Calone, A. &amp; Fontaine, D. (2023). </w:t>
      </w:r>
      <w:r w:rsidRPr="00C43C6C">
        <w:rPr>
          <w:rFonts w:eastAsia="Calibri"/>
          <w:i/>
          <w:iCs/>
          <w:sz w:val="24"/>
          <w:szCs w:val="24"/>
        </w:rPr>
        <w:t>L’impact des différents types de feedbacks en contexte scolaire</w:t>
      </w:r>
      <w:r w:rsidRPr="00B556D7">
        <w:rPr>
          <w:rFonts w:eastAsia="Calibri"/>
          <w:sz w:val="24"/>
          <w:szCs w:val="24"/>
        </w:rPr>
        <w:t>,</w:t>
      </w:r>
      <w:r>
        <w:rPr>
          <w:rFonts w:eastAsia="Calibri"/>
          <w:sz w:val="24"/>
          <w:szCs w:val="24"/>
        </w:rPr>
        <w:t xml:space="preserve"> </w:t>
      </w:r>
      <w:proofErr w:type="spellStart"/>
      <w:r w:rsidRPr="00B556D7">
        <w:rPr>
          <w:rFonts w:eastAsia="Calibri"/>
          <w:sz w:val="24"/>
          <w:szCs w:val="24"/>
        </w:rPr>
        <w:t>Cnesco</w:t>
      </w:r>
      <w:proofErr w:type="spellEnd"/>
      <w:r w:rsidRPr="00B556D7">
        <w:rPr>
          <w:rFonts w:eastAsia="Calibri"/>
          <w:sz w:val="24"/>
          <w:szCs w:val="24"/>
        </w:rPr>
        <w:t>- Cnam.</w:t>
      </w:r>
    </w:p>
    <w:p w14:paraId="5718BB9D" w14:textId="77777777" w:rsidR="00D80693" w:rsidRPr="00B556D7" w:rsidRDefault="00D80693" w:rsidP="00F429F0">
      <w:pPr>
        <w:spacing w:before="120"/>
        <w:ind w:left="851" w:right="141" w:hanging="851"/>
        <w:jc w:val="both"/>
        <w:rPr>
          <w:sz w:val="24"/>
          <w:szCs w:val="24"/>
          <w14:ligatures w14:val="standardContextual"/>
        </w:rPr>
      </w:pPr>
      <w:r w:rsidRPr="00B556D7">
        <w:rPr>
          <w:sz w:val="24"/>
          <w:szCs w:val="24"/>
          <w14:ligatures w14:val="standardContextual"/>
        </w:rPr>
        <w:t xml:space="preserve">Carré, Ph. (1998). </w:t>
      </w:r>
      <w:r w:rsidRPr="00C43C6C">
        <w:rPr>
          <w:i/>
          <w:iCs/>
          <w:sz w:val="24"/>
          <w:szCs w:val="24"/>
          <w14:ligatures w14:val="standardContextual"/>
        </w:rPr>
        <w:t>« Motifs et dynamiques d’engagement en formation »</w:t>
      </w:r>
      <w:r w:rsidRPr="00B556D7">
        <w:rPr>
          <w:sz w:val="24"/>
          <w:szCs w:val="24"/>
          <w14:ligatures w14:val="standardContextual"/>
        </w:rPr>
        <w:t xml:space="preserve">, in </w:t>
      </w:r>
      <w:r w:rsidRPr="00B556D7">
        <w:rPr>
          <w:i/>
          <w:iCs/>
          <w:sz w:val="24"/>
          <w:szCs w:val="24"/>
          <w14:ligatures w14:val="standardContextual"/>
        </w:rPr>
        <w:t>Education Permanente</w:t>
      </w:r>
      <w:r w:rsidRPr="00B556D7">
        <w:rPr>
          <w:sz w:val="24"/>
          <w:szCs w:val="24"/>
          <w14:ligatures w14:val="standardContextual"/>
        </w:rPr>
        <w:t>, 136,119-131.</w:t>
      </w:r>
    </w:p>
    <w:p w14:paraId="0625014D" w14:textId="77777777" w:rsidR="00D80693" w:rsidRPr="00B556D7" w:rsidRDefault="00D80693" w:rsidP="00F429F0">
      <w:pPr>
        <w:spacing w:before="120"/>
        <w:ind w:left="851" w:hanging="851"/>
        <w:jc w:val="both"/>
        <w:rPr>
          <w:rFonts w:eastAsia="Calibri"/>
          <w:sz w:val="24"/>
          <w:szCs w:val="24"/>
        </w:rPr>
      </w:pPr>
      <w:r w:rsidRPr="00C1242E">
        <w:rPr>
          <w:rFonts w:eastAsia="Calibri"/>
          <w:sz w:val="24"/>
          <w:szCs w:val="24"/>
        </w:rPr>
        <w:t xml:space="preserve">Carré, Ph. </w:t>
      </w:r>
      <w:r w:rsidRPr="00B556D7">
        <w:rPr>
          <w:rFonts w:eastAsia="Calibri"/>
          <w:sz w:val="24"/>
          <w:szCs w:val="24"/>
        </w:rPr>
        <w:t xml:space="preserve">(2020). </w:t>
      </w:r>
      <w:r w:rsidRPr="00B556D7">
        <w:rPr>
          <w:rFonts w:eastAsia="Calibri"/>
          <w:i/>
          <w:iCs/>
          <w:sz w:val="24"/>
          <w:szCs w:val="24"/>
        </w:rPr>
        <w:t>Pourquoi et comment les adultes apprennent. De la formation à l’</w:t>
      </w:r>
      <w:proofErr w:type="spellStart"/>
      <w:r w:rsidRPr="00B556D7">
        <w:rPr>
          <w:rFonts w:eastAsia="Calibri"/>
          <w:i/>
          <w:iCs/>
          <w:sz w:val="24"/>
          <w:szCs w:val="24"/>
        </w:rPr>
        <w:t>apprenance</w:t>
      </w:r>
      <w:proofErr w:type="spellEnd"/>
      <w:r w:rsidRPr="00B556D7">
        <w:rPr>
          <w:rFonts w:eastAsia="Calibri"/>
          <w:i/>
          <w:iCs/>
          <w:sz w:val="24"/>
          <w:szCs w:val="24"/>
        </w:rPr>
        <w:t xml:space="preserve">. </w:t>
      </w:r>
      <w:r w:rsidRPr="00B556D7">
        <w:rPr>
          <w:rFonts w:eastAsia="Calibri"/>
          <w:sz w:val="24"/>
          <w:szCs w:val="24"/>
        </w:rPr>
        <w:t>Paris : Dunod, 295 pages. ISBN : 978-2-10-079877-3.</w:t>
      </w:r>
    </w:p>
    <w:p w14:paraId="71B36934" w14:textId="77777777" w:rsidR="00D80693" w:rsidRPr="00B556D7" w:rsidRDefault="00D80693" w:rsidP="00F429F0">
      <w:pPr>
        <w:spacing w:before="120"/>
        <w:ind w:left="851" w:hanging="851"/>
        <w:jc w:val="both"/>
        <w:rPr>
          <w:rFonts w:eastAsia="Calibri"/>
          <w:sz w:val="24"/>
          <w:szCs w:val="24"/>
        </w:rPr>
      </w:pPr>
      <w:r w:rsidRPr="00B556D7">
        <w:rPr>
          <w:rFonts w:eastAsia="Calibri"/>
          <w:i/>
          <w:iCs/>
          <w:sz w:val="24"/>
          <w:szCs w:val="24"/>
        </w:rPr>
        <w:t xml:space="preserve">Carré, </w:t>
      </w:r>
      <w:proofErr w:type="gramStart"/>
      <w:r w:rsidRPr="00B556D7">
        <w:rPr>
          <w:rFonts w:eastAsia="Calibri"/>
          <w:i/>
          <w:iCs/>
          <w:sz w:val="24"/>
          <w:szCs w:val="24"/>
        </w:rPr>
        <w:t>Ph.(</w:t>
      </w:r>
      <w:proofErr w:type="gramEnd"/>
      <w:r w:rsidRPr="00B556D7">
        <w:rPr>
          <w:rFonts w:eastAsia="Calibri"/>
          <w:i/>
          <w:iCs/>
          <w:sz w:val="24"/>
          <w:szCs w:val="24"/>
        </w:rPr>
        <w:t xml:space="preserve">2001). De la motivation à la formation : « L’engagement des adultes en formation et ses formes de légitimation », </w:t>
      </w:r>
      <w:proofErr w:type="spellStart"/>
      <w:r w:rsidRPr="00B556D7">
        <w:rPr>
          <w:rFonts w:eastAsia="Calibri"/>
          <w:sz w:val="24"/>
          <w:szCs w:val="24"/>
        </w:rPr>
        <w:t>L’Harmattan</w:t>
      </w:r>
      <w:proofErr w:type="spellEnd"/>
      <w:r w:rsidRPr="00B556D7">
        <w:rPr>
          <w:rFonts w:eastAsia="Calibri"/>
          <w:sz w:val="24"/>
          <w:szCs w:val="24"/>
        </w:rPr>
        <w:t>, 136, Paris, (</w:t>
      </w:r>
      <w:proofErr w:type="spellStart"/>
      <w:r w:rsidRPr="00B556D7">
        <w:rPr>
          <w:rFonts w:eastAsia="Calibri"/>
          <w:sz w:val="24"/>
          <w:szCs w:val="24"/>
        </w:rPr>
        <w:t>Dir</w:t>
      </w:r>
      <w:proofErr w:type="spellEnd"/>
      <w:r w:rsidRPr="00B556D7">
        <w:rPr>
          <w:rFonts w:eastAsia="Calibri"/>
          <w:sz w:val="24"/>
          <w:szCs w:val="24"/>
        </w:rPr>
        <w:t>.), 96p.</w:t>
      </w:r>
    </w:p>
    <w:p w14:paraId="3B70DB57" w14:textId="77777777" w:rsidR="00F429F0" w:rsidRDefault="00D80693" w:rsidP="00F429F0">
      <w:pPr>
        <w:shd w:val="clear" w:color="auto" w:fill="FFFFFF"/>
        <w:spacing w:before="120"/>
        <w:ind w:left="851" w:hanging="851"/>
        <w:jc w:val="both"/>
        <w:rPr>
          <w:color w:val="000000"/>
          <w:sz w:val="24"/>
          <w:szCs w:val="24"/>
          <w:lang w:val="en-US" w:eastAsia="fr-FR"/>
        </w:rPr>
      </w:pPr>
      <w:r w:rsidRPr="00B556D7">
        <w:rPr>
          <w:color w:val="000000"/>
          <w:sz w:val="24"/>
          <w:szCs w:val="24"/>
          <w:lang w:eastAsia="fr-FR"/>
        </w:rPr>
        <w:t xml:space="preserve">Chevallard, Y. (1986). </w:t>
      </w:r>
      <w:r w:rsidRPr="00C43C6C">
        <w:rPr>
          <w:i/>
          <w:iCs/>
          <w:color w:val="000000"/>
          <w:sz w:val="24"/>
          <w:szCs w:val="24"/>
          <w:lang w:eastAsia="fr-FR"/>
        </w:rPr>
        <w:t>« Vers une analyse didactique des faits d’évaluation »</w:t>
      </w:r>
      <w:r w:rsidRPr="00B556D7">
        <w:rPr>
          <w:color w:val="000000"/>
          <w:sz w:val="24"/>
          <w:szCs w:val="24"/>
          <w:lang w:eastAsia="fr-FR"/>
        </w:rPr>
        <w:t>. In J.-M. De Ketele, </w:t>
      </w:r>
      <w:r w:rsidRPr="00B556D7">
        <w:rPr>
          <w:i/>
          <w:iCs/>
          <w:color w:val="000000"/>
          <w:sz w:val="24"/>
          <w:szCs w:val="24"/>
          <w:lang w:eastAsia="fr-FR"/>
        </w:rPr>
        <w:t>L’évaluation. Approche descriptive ou prescriptive</w:t>
      </w:r>
      <w:r w:rsidRPr="00B556D7">
        <w:rPr>
          <w:color w:val="000000"/>
          <w:sz w:val="24"/>
          <w:szCs w:val="24"/>
          <w:lang w:eastAsia="fr-FR"/>
        </w:rPr>
        <w:t>. </w:t>
      </w:r>
      <w:proofErr w:type="gramStart"/>
      <w:r w:rsidRPr="00C1242E">
        <w:rPr>
          <w:color w:val="000000"/>
          <w:sz w:val="24"/>
          <w:szCs w:val="24"/>
          <w:lang w:val="en-US" w:eastAsia="fr-FR"/>
        </w:rPr>
        <w:t>Bruxelles :</w:t>
      </w:r>
      <w:proofErr w:type="gramEnd"/>
      <w:r w:rsidRPr="00C1242E">
        <w:rPr>
          <w:color w:val="000000"/>
          <w:sz w:val="24"/>
          <w:szCs w:val="24"/>
          <w:lang w:val="en-US" w:eastAsia="fr-FR"/>
        </w:rPr>
        <w:t xml:space="preserve"> De Boeck, 31-59.</w:t>
      </w:r>
    </w:p>
    <w:p w14:paraId="16AA5C23" w14:textId="077F5873" w:rsidR="00D80693" w:rsidRPr="00C1242E" w:rsidRDefault="00D80693" w:rsidP="00F429F0">
      <w:pPr>
        <w:shd w:val="clear" w:color="auto" w:fill="FFFFFF"/>
        <w:spacing w:before="120"/>
        <w:ind w:left="851" w:hanging="851"/>
        <w:jc w:val="both"/>
        <w:rPr>
          <w:color w:val="000000"/>
          <w:sz w:val="24"/>
          <w:szCs w:val="24"/>
          <w:lang w:val="en-US" w:eastAsia="fr-FR"/>
        </w:rPr>
      </w:pPr>
      <w:r w:rsidRPr="00C1242E">
        <w:rPr>
          <w:color w:val="000000"/>
          <w:sz w:val="24"/>
          <w:szCs w:val="24"/>
          <w:lang w:val="en-US" w:eastAsia="fr-FR"/>
        </w:rPr>
        <w:t>Chouinard, R. (2002). </w:t>
      </w:r>
      <w:proofErr w:type="spellStart"/>
      <w:r w:rsidRPr="00C1242E">
        <w:rPr>
          <w:i/>
          <w:iCs/>
          <w:color w:val="000000"/>
          <w:sz w:val="24"/>
          <w:szCs w:val="24"/>
          <w:lang w:val="en-US" w:eastAsia="fr-FR"/>
        </w:rPr>
        <w:t>Evaluer</w:t>
      </w:r>
      <w:proofErr w:type="spellEnd"/>
      <w:r w:rsidRPr="00C1242E">
        <w:rPr>
          <w:i/>
          <w:iCs/>
          <w:color w:val="000000"/>
          <w:sz w:val="24"/>
          <w:szCs w:val="24"/>
          <w:lang w:val="en-US" w:eastAsia="fr-FR"/>
        </w:rPr>
        <w:t xml:space="preserve"> sans </w:t>
      </w:r>
      <w:proofErr w:type="spellStart"/>
      <w:r w:rsidRPr="00C1242E">
        <w:rPr>
          <w:i/>
          <w:iCs/>
          <w:color w:val="000000"/>
          <w:sz w:val="24"/>
          <w:szCs w:val="24"/>
          <w:lang w:val="en-US" w:eastAsia="fr-FR"/>
        </w:rPr>
        <w:t>décourager</w:t>
      </w:r>
      <w:proofErr w:type="spellEnd"/>
      <w:r w:rsidRPr="00C1242E">
        <w:rPr>
          <w:color w:val="000000"/>
          <w:sz w:val="24"/>
          <w:szCs w:val="24"/>
          <w:lang w:val="en-US" w:eastAsia="fr-FR"/>
        </w:rPr>
        <w:t xml:space="preserve">. </w:t>
      </w:r>
      <w:proofErr w:type="spellStart"/>
      <w:r w:rsidRPr="00C1242E">
        <w:rPr>
          <w:color w:val="000000"/>
          <w:sz w:val="24"/>
          <w:szCs w:val="24"/>
          <w:lang w:val="en-US" w:eastAsia="fr-FR"/>
        </w:rPr>
        <w:t>Consulté</w:t>
      </w:r>
      <w:proofErr w:type="spellEnd"/>
      <w:r w:rsidRPr="00C1242E">
        <w:rPr>
          <w:color w:val="000000"/>
          <w:sz w:val="24"/>
          <w:szCs w:val="24"/>
          <w:lang w:val="en-US" w:eastAsia="fr-FR"/>
        </w:rPr>
        <w:t xml:space="preserve"> </w:t>
      </w:r>
      <w:proofErr w:type="gramStart"/>
      <w:r w:rsidRPr="00C1242E">
        <w:rPr>
          <w:color w:val="000000"/>
          <w:sz w:val="24"/>
          <w:szCs w:val="24"/>
          <w:lang w:val="en-US" w:eastAsia="fr-FR"/>
        </w:rPr>
        <w:t>in :</w:t>
      </w:r>
      <w:proofErr w:type="gramEnd"/>
      <w:r w:rsidRPr="00C1242E">
        <w:rPr>
          <w:color w:val="000000"/>
          <w:sz w:val="24"/>
          <w:szCs w:val="24"/>
          <w:lang w:val="en-US" w:eastAsia="fr-FR"/>
        </w:rPr>
        <w:br/>
        <w:t>http://www.csdm.qc.ca/regroupement3/viescol/pedagogie/implantation/documents/eval-sans decourager.pdf.</w:t>
      </w:r>
    </w:p>
    <w:p w14:paraId="4F10FC89" w14:textId="77777777" w:rsidR="00D80693" w:rsidRPr="00B556D7" w:rsidRDefault="00D80693" w:rsidP="00F429F0">
      <w:pPr>
        <w:spacing w:before="120"/>
        <w:ind w:left="851" w:hanging="851"/>
        <w:jc w:val="both"/>
        <w:rPr>
          <w:rFonts w:eastAsia="Calibri"/>
          <w:sz w:val="24"/>
          <w:szCs w:val="24"/>
        </w:rPr>
      </w:pPr>
      <w:r w:rsidRPr="00B556D7">
        <w:rPr>
          <w:rFonts w:eastAsia="Calibri"/>
          <w:sz w:val="24"/>
          <w:szCs w:val="24"/>
        </w:rPr>
        <w:t xml:space="preserve">CONFEMEN et MEN, 2012, </w:t>
      </w:r>
      <w:r w:rsidRPr="00C43C6C">
        <w:rPr>
          <w:rFonts w:eastAsia="Calibri"/>
          <w:i/>
          <w:iCs/>
          <w:sz w:val="24"/>
          <w:szCs w:val="24"/>
        </w:rPr>
        <w:t>« Évaluation diagnostique de l’école primaire : pistes d’actions pour une amélioration de la qualité »</w:t>
      </w:r>
      <w:r w:rsidRPr="00B556D7">
        <w:rPr>
          <w:rFonts w:eastAsia="Calibri"/>
          <w:sz w:val="24"/>
          <w:szCs w:val="24"/>
        </w:rPr>
        <w:t>, in Rapport PASEC Côte d’Ivoire, 110 p.</w:t>
      </w:r>
    </w:p>
    <w:p w14:paraId="0C1DB615" w14:textId="77777777" w:rsidR="00D80693" w:rsidRPr="00B556D7" w:rsidRDefault="00D80693" w:rsidP="00F429F0">
      <w:pPr>
        <w:shd w:val="clear" w:color="auto" w:fill="FFFFFF"/>
        <w:spacing w:before="120"/>
        <w:ind w:left="851" w:hanging="851"/>
        <w:jc w:val="both"/>
        <w:rPr>
          <w:color w:val="000000"/>
          <w:sz w:val="24"/>
          <w:szCs w:val="24"/>
          <w:lang w:eastAsia="fr-FR"/>
        </w:rPr>
      </w:pPr>
      <w:proofErr w:type="spellStart"/>
      <w:r w:rsidRPr="00B556D7">
        <w:rPr>
          <w:color w:val="000000"/>
          <w:sz w:val="24"/>
          <w:szCs w:val="24"/>
          <w:lang w:eastAsia="fr-FR"/>
        </w:rPr>
        <w:t>Crahay</w:t>
      </w:r>
      <w:proofErr w:type="spellEnd"/>
      <w:r w:rsidRPr="00B556D7">
        <w:rPr>
          <w:color w:val="000000"/>
          <w:sz w:val="24"/>
          <w:szCs w:val="24"/>
          <w:lang w:eastAsia="fr-FR"/>
        </w:rPr>
        <w:t>, M. (2006). </w:t>
      </w:r>
      <w:r w:rsidRPr="00C43C6C">
        <w:rPr>
          <w:i/>
          <w:iCs/>
          <w:color w:val="000000"/>
          <w:sz w:val="24"/>
          <w:szCs w:val="24"/>
          <w:lang w:eastAsia="fr-FR"/>
        </w:rPr>
        <w:t>Un bilan des recherches processus-produit. L’enseignement peut-il contribuer à l’apprentissage des élèves et, si oui, comment ?</w:t>
      </w:r>
      <w:r w:rsidRPr="00B556D7">
        <w:rPr>
          <w:color w:val="000000"/>
          <w:sz w:val="24"/>
          <w:szCs w:val="24"/>
          <w:lang w:eastAsia="fr-FR"/>
        </w:rPr>
        <w:t> Genève : Université de Genève.</w:t>
      </w:r>
    </w:p>
    <w:p w14:paraId="062DBED2" w14:textId="77777777" w:rsidR="00D80693" w:rsidRPr="00C1242E" w:rsidRDefault="00D80693" w:rsidP="00F429F0">
      <w:pPr>
        <w:shd w:val="clear" w:color="auto" w:fill="FFFFFF"/>
        <w:spacing w:before="120"/>
        <w:ind w:left="851" w:hanging="851"/>
        <w:jc w:val="both"/>
        <w:rPr>
          <w:color w:val="000000"/>
          <w:sz w:val="24"/>
          <w:szCs w:val="24"/>
          <w:lang w:val="en-US" w:eastAsia="fr-FR"/>
        </w:rPr>
      </w:pPr>
      <w:proofErr w:type="spellStart"/>
      <w:r w:rsidRPr="00B556D7">
        <w:rPr>
          <w:color w:val="000000"/>
          <w:sz w:val="24"/>
          <w:szCs w:val="24"/>
          <w:lang w:eastAsia="fr-FR"/>
        </w:rPr>
        <w:t>Crahay</w:t>
      </w:r>
      <w:proofErr w:type="spellEnd"/>
      <w:r w:rsidRPr="00B556D7">
        <w:rPr>
          <w:color w:val="000000"/>
          <w:sz w:val="24"/>
          <w:szCs w:val="24"/>
          <w:lang w:eastAsia="fr-FR"/>
        </w:rPr>
        <w:t xml:space="preserve">, M. (2009). </w:t>
      </w:r>
      <w:r w:rsidRPr="00C43C6C">
        <w:rPr>
          <w:i/>
          <w:iCs/>
          <w:color w:val="000000"/>
          <w:sz w:val="24"/>
          <w:szCs w:val="24"/>
          <w:lang w:eastAsia="fr-FR"/>
        </w:rPr>
        <w:t>« Articuler l’évaluation en classe et le pilotage des systèmes, est-ce possible ? »</w:t>
      </w:r>
      <w:r w:rsidRPr="00B556D7">
        <w:rPr>
          <w:color w:val="000000"/>
          <w:sz w:val="24"/>
          <w:szCs w:val="24"/>
          <w:lang w:eastAsia="fr-FR"/>
        </w:rPr>
        <w:t xml:space="preserve"> In L, Mottier Lopez &amp; M. </w:t>
      </w:r>
      <w:proofErr w:type="spellStart"/>
      <w:r w:rsidRPr="00B556D7">
        <w:rPr>
          <w:color w:val="000000"/>
          <w:sz w:val="24"/>
          <w:szCs w:val="24"/>
          <w:lang w:eastAsia="fr-FR"/>
        </w:rPr>
        <w:t>Crahay</w:t>
      </w:r>
      <w:proofErr w:type="spellEnd"/>
      <w:r w:rsidRPr="00B556D7">
        <w:rPr>
          <w:color w:val="000000"/>
          <w:sz w:val="24"/>
          <w:szCs w:val="24"/>
          <w:lang w:eastAsia="fr-FR"/>
        </w:rPr>
        <w:t xml:space="preserve">, Évaluation en tension. Entre la régulation des apprentissages et le pilotage des systèmes. </w:t>
      </w:r>
      <w:proofErr w:type="gramStart"/>
      <w:r w:rsidRPr="00C1242E">
        <w:rPr>
          <w:color w:val="000000"/>
          <w:sz w:val="24"/>
          <w:szCs w:val="24"/>
          <w:lang w:val="en-US" w:eastAsia="fr-FR"/>
        </w:rPr>
        <w:t>Bruxelles :</w:t>
      </w:r>
      <w:proofErr w:type="gramEnd"/>
      <w:r w:rsidRPr="00C1242E">
        <w:rPr>
          <w:color w:val="000000"/>
          <w:sz w:val="24"/>
          <w:szCs w:val="24"/>
          <w:lang w:val="en-US" w:eastAsia="fr-FR"/>
        </w:rPr>
        <w:t xml:space="preserve"> De Boeck, p. 233-251.</w:t>
      </w:r>
    </w:p>
    <w:p w14:paraId="6B3DAD0F" w14:textId="77777777" w:rsidR="00D80693" w:rsidRPr="00B556D7" w:rsidRDefault="00D80693" w:rsidP="00F429F0">
      <w:pPr>
        <w:shd w:val="clear" w:color="auto" w:fill="FFFFFF"/>
        <w:spacing w:before="120"/>
        <w:ind w:left="851" w:hanging="851"/>
        <w:jc w:val="both"/>
        <w:rPr>
          <w:rFonts w:eastAsia="Calibri"/>
          <w:sz w:val="24"/>
          <w:szCs w:val="24"/>
          <w:lang w:val="en-US"/>
        </w:rPr>
      </w:pPr>
      <w:r w:rsidRPr="00C1242E">
        <w:rPr>
          <w:color w:val="000000"/>
          <w:sz w:val="24"/>
          <w:szCs w:val="24"/>
          <w:lang w:val="en-US" w:eastAsia="fr-FR"/>
        </w:rPr>
        <w:t xml:space="preserve">Crooks, T. J. (1988). </w:t>
      </w:r>
      <w:r w:rsidRPr="00C1242E">
        <w:rPr>
          <w:i/>
          <w:iCs/>
          <w:color w:val="000000"/>
          <w:sz w:val="24"/>
          <w:szCs w:val="24"/>
          <w:lang w:val="en-US" w:eastAsia="fr-FR"/>
        </w:rPr>
        <w:t>The impact of classroom evaluation practices on students</w:t>
      </w:r>
      <w:r w:rsidRPr="00C1242E">
        <w:rPr>
          <w:color w:val="000000"/>
          <w:sz w:val="24"/>
          <w:szCs w:val="24"/>
          <w:lang w:val="en-US" w:eastAsia="fr-FR"/>
        </w:rPr>
        <w:t>. </w:t>
      </w:r>
      <w:r w:rsidRPr="00B556D7">
        <w:rPr>
          <w:i/>
          <w:iCs/>
          <w:color w:val="000000"/>
          <w:sz w:val="24"/>
          <w:szCs w:val="24"/>
          <w:lang w:val="en-US" w:eastAsia="fr-FR"/>
        </w:rPr>
        <w:t>Review of Educational Research, 58</w:t>
      </w:r>
      <w:r w:rsidRPr="00B556D7">
        <w:rPr>
          <w:color w:val="000000"/>
          <w:sz w:val="24"/>
          <w:szCs w:val="24"/>
          <w:lang w:val="en-US" w:eastAsia="fr-FR"/>
        </w:rPr>
        <w:t>, 438-481,</w:t>
      </w:r>
      <w:r w:rsidRPr="00B556D7">
        <w:rPr>
          <w:rFonts w:eastAsia="Calibri"/>
          <w:i/>
          <w:iCs/>
          <w:sz w:val="24"/>
          <w:szCs w:val="24"/>
          <w:lang w:val="en-US"/>
        </w:rPr>
        <w:t xml:space="preserve"> </w:t>
      </w:r>
      <w:r w:rsidRPr="00B556D7">
        <w:rPr>
          <w:rFonts w:eastAsia="Calibri"/>
          <w:sz w:val="24"/>
          <w:szCs w:val="24"/>
          <w:lang w:val="en-US"/>
        </w:rPr>
        <w:t>https://doi.org/10.3102/00346543058004438.</w:t>
      </w:r>
    </w:p>
    <w:p w14:paraId="02520EDE" w14:textId="77777777" w:rsidR="00D80693" w:rsidRPr="00B556D7" w:rsidRDefault="00D80693" w:rsidP="00F429F0">
      <w:pPr>
        <w:spacing w:before="120"/>
        <w:ind w:left="851" w:hanging="851"/>
        <w:jc w:val="both"/>
        <w:rPr>
          <w:rFonts w:eastAsia="Calibri"/>
          <w:sz w:val="24"/>
          <w:szCs w:val="24"/>
        </w:rPr>
      </w:pPr>
      <w:r w:rsidRPr="00C1242E">
        <w:rPr>
          <w:rFonts w:eastAsia="Calibri"/>
          <w:sz w:val="24"/>
          <w:szCs w:val="24"/>
          <w:lang w:val="en-US"/>
        </w:rPr>
        <w:t xml:space="preserve">Dessus, P. &amp; Lemaire, B.  Vernier, A. (2004). </w:t>
      </w:r>
      <w:r w:rsidRPr="00C43C6C">
        <w:rPr>
          <w:rFonts w:eastAsia="Calibri"/>
          <w:i/>
          <w:iCs/>
          <w:sz w:val="24"/>
          <w:szCs w:val="24"/>
          <w:lang w:val="en-US"/>
        </w:rPr>
        <w:t>Proceedings of the 3rd International</w:t>
      </w:r>
      <w:r w:rsidRPr="00B556D7">
        <w:rPr>
          <w:rFonts w:eastAsia="Calibri"/>
          <w:sz w:val="24"/>
          <w:szCs w:val="24"/>
          <w:lang w:val="en-US"/>
        </w:rPr>
        <w:t xml:space="preserve"> ... </w:t>
      </w:r>
      <w:r w:rsidRPr="00B556D7">
        <w:rPr>
          <w:rFonts w:eastAsia="Calibri"/>
          <w:sz w:val="24"/>
          <w:szCs w:val="24"/>
        </w:rPr>
        <w:t>Dunod, 62.</w:t>
      </w:r>
    </w:p>
    <w:p w14:paraId="25A85B31" w14:textId="77777777" w:rsidR="00D80693" w:rsidRPr="00B556D7" w:rsidRDefault="00D80693" w:rsidP="00F429F0">
      <w:pPr>
        <w:spacing w:before="120"/>
        <w:ind w:left="851" w:hanging="851"/>
        <w:jc w:val="both"/>
        <w:rPr>
          <w:rFonts w:eastAsia="Calibri"/>
          <w:sz w:val="24"/>
          <w:szCs w:val="24"/>
        </w:rPr>
      </w:pPr>
      <w:r w:rsidRPr="00B556D7">
        <w:rPr>
          <w:rFonts w:eastAsia="Calibri"/>
          <w:sz w:val="24"/>
          <w:szCs w:val="24"/>
        </w:rPr>
        <w:t xml:space="preserve">Élisabeth, I., </w:t>
      </w:r>
      <w:proofErr w:type="spellStart"/>
      <w:r w:rsidRPr="00B556D7">
        <w:rPr>
          <w:rFonts w:eastAsia="Calibri"/>
          <w:sz w:val="24"/>
          <w:szCs w:val="24"/>
        </w:rPr>
        <w:t>Gianreto</w:t>
      </w:r>
      <w:proofErr w:type="spellEnd"/>
      <w:r w:rsidRPr="00B556D7">
        <w:rPr>
          <w:rFonts w:eastAsia="Calibri"/>
          <w:sz w:val="24"/>
          <w:szCs w:val="24"/>
        </w:rPr>
        <w:t xml:space="preserve">, P. et Marcel, M. (2011). </w:t>
      </w:r>
      <w:r w:rsidRPr="00C43C6C">
        <w:rPr>
          <w:rFonts w:eastAsia="Calibri"/>
          <w:i/>
          <w:iCs/>
          <w:sz w:val="24"/>
          <w:szCs w:val="24"/>
        </w:rPr>
        <w:t>Positionnements des enseignants et des élèves du primaire face à l’évaluation : une convergence existe-t-elle ?</w:t>
      </w:r>
      <w:r w:rsidRPr="00B556D7">
        <w:rPr>
          <w:rFonts w:eastAsia="Calibri"/>
          <w:sz w:val="24"/>
          <w:szCs w:val="24"/>
        </w:rPr>
        <w:t xml:space="preserve"> </w:t>
      </w:r>
      <w:r w:rsidRPr="00B556D7">
        <w:rPr>
          <w:rFonts w:eastAsia="Calibri"/>
          <w:i/>
          <w:iCs/>
          <w:sz w:val="24"/>
          <w:szCs w:val="24"/>
        </w:rPr>
        <w:t>Revue Française de pédagogie</w:t>
      </w:r>
      <w:r w:rsidRPr="00B556D7">
        <w:rPr>
          <w:rFonts w:eastAsia="Calibri"/>
          <w:sz w:val="24"/>
          <w:szCs w:val="24"/>
        </w:rPr>
        <w:t>, 176, 5-26, mis en ligne le 15 septembre 2015, consulté le 09 septembre 2025 URL : http://journals.openedition.org/rfp/3362.</w:t>
      </w:r>
    </w:p>
    <w:p w14:paraId="2D2EDE28" w14:textId="77777777" w:rsidR="00D80693" w:rsidRPr="00B556D7" w:rsidRDefault="00D80693" w:rsidP="00F429F0">
      <w:pPr>
        <w:shd w:val="clear" w:color="auto" w:fill="FFFFFF"/>
        <w:spacing w:before="120"/>
        <w:ind w:left="851" w:hanging="851"/>
        <w:jc w:val="both"/>
        <w:rPr>
          <w:color w:val="000000"/>
          <w:sz w:val="24"/>
          <w:szCs w:val="24"/>
          <w:lang w:eastAsia="fr-FR"/>
        </w:rPr>
      </w:pPr>
      <w:r w:rsidRPr="00B556D7">
        <w:rPr>
          <w:color w:val="000000"/>
          <w:sz w:val="24"/>
          <w:szCs w:val="24"/>
          <w:lang w:eastAsia="fr-FR"/>
        </w:rPr>
        <w:t xml:space="preserve">Galand, B. &amp; Grégoire, J. (2000). </w:t>
      </w:r>
      <w:r w:rsidRPr="00C43C6C">
        <w:rPr>
          <w:i/>
          <w:iCs/>
          <w:color w:val="000000"/>
          <w:sz w:val="24"/>
          <w:szCs w:val="24"/>
          <w:lang w:eastAsia="fr-FR"/>
        </w:rPr>
        <w:t>L'impact des pratiques scolaires d'évaluation sur les motivations et le concept de soi</w:t>
      </w:r>
      <w:r w:rsidRPr="00B556D7">
        <w:rPr>
          <w:color w:val="000000"/>
          <w:sz w:val="24"/>
          <w:szCs w:val="24"/>
          <w:lang w:eastAsia="fr-FR"/>
        </w:rPr>
        <w:t>. </w:t>
      </w:r>
      <w:r w:rsidRPr="00B556D7">
        <w:rPr>
          <w:i/>
          <w:iCs/>
          <w:color w:val="000000"/>
          <w:sz w:val="24"/>
          <w:szCs w:val="24"/>
          <w:lang w:eastAsia="fr-FR"/>
        </w:rPr>
        <w:t>L'Orientation Scolaire et Professionnelle</w:t>
      </w:r>
      <w:r w:rsidRPr="00B556D7">
        <w:rPr>
          <w:color w:val="000000"/>
          <w:sz w:val="24"/>
          <w:szCs w:val="24"/>
          <w:lang w:eastAsia="fr-FR"/>
        </w:rPr>
        <w:t>, </w:t>
      </w:r>
      <w:r w:rsidRPr="00B556D7">
        <w:rPr>
          <w:i/>
          <w:iCs/>
          <w:color w:val="000000"/>
          <w:sz w:val="24"/>
          <w:szCs w:val="24"/>
          <w:lang w:eastAsia="fr-FR"/>
        </w:rPr>
        <w:t>29</w:t>
      </w:r>
      <w:r w:rsidRPr="00B556D7">
        <w:rPr>
          <w:color w:val="000000"/>
          <w:sz w:val="24"/>
          <w:szCs w:val="24"/>
          <w:lang w:eastAsia="fr-FR"/>
        </w:rPr>
        <w:t>, 431-452.</w:t>
      </w:r>
    </w:p>
    <w:p w14:paraId="3F26A741" w14:textId="77777777" w:rsidR="00F429F0" w:rsidRDefault="00D80693" w:rsidP="00F429F0">
      <w:pPr>
        <w:shd w:val="clear" w:color="auto" w:fill="FFFFFF"/>
        <w:spacing w:before="120"/>
        <w:ind w:left="851" w:hanging="851"/>
        <w:jc w:val="both"/>
        <w:rPr>
          <w:color w:val="000000"/>
          <w:sz w:val="24"/>
          <w:szCs w:val="24"/>
          <w:lang w:eastAsia="fr-FR"/>
        </w:rPr>
      </w:pPr>
      <w:r w:rsidRPr="00B556D7">
        <w:rPr>
          <w:color w:val="000000"/>
          <w:sz w:val="24"/>
          <w:szCs w:val="24"/>
          <w:lang w:eastAsia="fr-FR"/>
        </w:rPr>
        <w:t xml:space="preserve">Galand, B., Philippot, P.&amp; Frenay, M. (2006). </w:t>
      </w:r>
      <w:r w:rsidRPr="00C43C6C">
        <w:rPr>
          <w:i/>
          <w:iCs/>
          <w:color w:val="000000"/>
          <w:sz w:val="24"/>
          <w:szCs w:val="24"/>
          <w:lang w:eastAsia="fr-FR"/>
        </w:rPr>
        <w:t>Structure de buts, relations enseignants-élèves et adaptation scolaire des élèves : une analyse multi-niveau</w:t>
      </w:r>
      <w:r w:rsidRPr="00B556D7">
        <w:rPr>
          <w:color w:val="000000"/>
          <w:sz w:val="24"/>
          <w:szCs w:val="24"/>
          <w:lang w:eastAsia="fr-FR"/>
        </w:rPr>
        <w:t>. </w:t>
      </w:r>
      <w:r w:rsidRPr="00B556D7">
        <w:rPr>
          <w:i/>
          <w:iCs/>
          <w:color w:val="000000"/>
          <w:sz w:val="24"/>
          <w:szCs w:val="24"/>
          <w:lang w:eastAsia="fr-FR"/>
        </w:rPr>
        <w:t>Revue Française de Pédagogie, (155)</w:t>
      </w:r>
      <w:r w:rsidRPr="00B556D7">
        <w:rPr>
          <w:color w:val="000000"/>
          <w:sz w:val="24"/>
          <w:szCs w:val="24"/>
          <w:lang w:eastAsia="fr-FR"/>
        </w:rPr>
        <w:t>, 57-72.</w:t>
      </w:r>
    </w:p>
    <w:p w14:paraId="3787E63B" w14:textId="3B5ECE8C" w:rsidR="00D80693" w:rsidRPr="00B556D7" w:rsidRDefault="00D80693" w:rsidP="00F429F0">
      <w:pPr>
        <w:shd w:val="clear" w:color="auto" w:fill="FFFFFF"/>
        <w:spacing w:before="120"/>
        <w:ind w:left="851" w:hanging="851"/>
        <w:jc w:val="both"/>
        <w:rPr>
          <w:color w:val="000000"/>
          <w:sz w:val="24"/>
          <w:szCs w:val="24"/>
          <w:lang w:eastAsia="fr-FR"/>
        </w:rPr>
      </w:pPr>
      <w:r w:rsidRPr="00B556D7">
        <w:rPr>
          <w:rFonts w:eastAsia="Calibri"/>
          <w:sz w:val="24"/>
          <w:szCs w:val="24"/>
        </w:rPr>
        <w:t xml:space="preserve">Giordan, A., De Vecchi, G. (1987). </w:t>
      </w:r>
      <w:r w:rsidRPr="00C43C6C">
        <w:rPr>
          <w:rFonts w:eastAsia="Calibri"/>
          <w:i/>
          <w:iCs/>
          <w:sz w:val="24"/>
          <w:szCs w:val="24"/>
        </w:rPr>
        <w:t>Aux origines du savoir, des conceptions des apprenants aux concepts</w:t>
      </w:r>
      <w:r w:rsidRPr="00B556D7">
        <w:rPr>
          <w:rFonts w:eastAsia="Calibri"/>
          <w:sz w:val="24"/>
          <w:szCs w:val="24"/>
        </w:rPr>
        <w:t>, les éditions OVADIA,</w:t>
      </w:r>
      <w:r w:rsidRPr="00B556D7">
        <w:rPr>
          <w:color w:val="000000"/>
          <w:sz w:val="24"/>
          <w:szCs w:val="24"/>
          <w:lang w:eastAsia="fr-FR"/>
        </w:rPr>
        <w:t xml:space="preserve"> http://www.leseditionsovadia.com</w:t>
      </w:r>
    </w:p>
    <w:p w14:paraId="3292342C" w14:textId="3F92EB97" w:rsidR="00D80693" w:rsidRPr="00B556D7" w:rsidRDefault="00D80693" w:rsidP="00F429F0">
      <w:pPr>
        <w:shd w:val="clear" w:color="auto" w:fill="FFFFFF"/>
        <w:spacing w:before="120"/>
        <w:ind w:left="851" w:hanging="851"/>
        <w:jc w:val="both"/>
        <w:rPr>
          <w:color w:val="000000"/>
          <w:sz w:val="24"/>
          <w:szCs w:val="24"/>
          <w:lang w:eastAsia="fr-FR"/>
        </w:rPr>
      </w:pPr>
      <w:proofErr w:type="spellStart"/>
      <w:r w:rsidRPr="00B556D7">
        <w:rPr>
          <w:color w:val="000000"/>
          <w:sz w:val="24"/>
          <w:szCs w:val="24"/>
          <w:lang w:eastAsia="fr-FR"/>
        </w:rPr>
        <w:t>Issaieva</w:t>
      </w:r>
      <w:proofErr w:type="spellEnd"/>
      <w:r w:rsidRPr="00B556D7">
        <w:rPr>
          <w:color w:val="000000"/>
          <w:sz w:val="24"/>
          <w:szCs w:val="24"/>
          <w:lang w:eastAsia="fr-FR"/>
        </w:rPr>
        <w:t xml:space="preserve">, E., (2008), </w:t>
      </w:r>
      <w:r w:rsidRPr="00C43C6C">
        <w:rPr>
          <w:i/>
          <w:iCs/>
          <w:color w:val="000000"/>
          <w:sz w:val="24"/>
          <w:szCs w:val="24"/>
          <w:lang w:eastAsia="fr-FR"/>
        </w:rPr>
        <w:t>Comment élèves et enseignants perçoivent l’évaluation scolaire ?</w:t>
      </w:r>
      <w:r w:rsidRPr="00B556D7">
        <w:rPr>
          <w:color w:val="000000"/>
          <w:sz w:val="24"/>
          <w:szCs w:val="24"/>
          <w:lang w:eastAsia="fr-FR"/>
        </w:rPr>
        <w:t xml:space="preserve"> </w:t>
      </w:r>
      <w:r w:rsidRPr="00C43C6C">
        <w:rPr>
          <w:i/>
          <w:iCs/>
          <w:color w:val="000000"/>
          <w:sz w:val="24"/>
          <w:szCs w:val="24"/>
          <w:lang w:eastAsia="fr-FR"/>
        </w:rPr>
        <w:t>Comment les élèves interprètent l’opinion de l’enseignant en matière d’évaluation ?</w:t>
      </w:r>
      <w:r w:rsidRPr="00B556D7">
        <w:rPr>
          <w:color w:val="000000"/>
          <w:sz w:val="24"/>
          <w:szCs w:val="24"/>
          <w:lang w:eastAsia="fr-FR"/>
        </w:rPr>
        <w:t> Actes du 20è colloque de l'ADMEE-Europe, Université de Genève. [</w:t>
      </w:r>
      <w:proofErr w:type="gramStart"/>
      <w:r w:rsidRPr="00B556D7">
        <w:rPr>
          <w:color w:val="000000"/>
          <w:sz w:val="24"/>
          <w:szCs w:val="24"/>
          <w:lang w:eastAsia="fr-FR"/>
        </w:rPr>
        <w:t>https://plone.unige.ch/sites/admee08/communications-individuelles/v-a3/v-a3-3</w:t>
      </w:r>
      <w:proofErr w:type="gramEnd"/>
      <w:r w:rsidRPr="00B556D7">
        <w:rPr>
          <w:color w:val="000000"/>
          <w:sz w:val="24"/>
          <w:szCs w:val="24"/>
          <w:lang w:eastAsia="fr-FR"/>
        </w:rPr>
        <w:t>.</w:t>
      </w:r>
    </w:p>
    <w:p w14:paraId="4387E477" w14:textId="77777777" w:rsidR="00D80693" w:rsidRPr="00B556D7" w:rsidRDefault="00D80693" w:rsidP="00F429F0">
      <w:pPr>
        <w:spacing w:before="120"/>
        <w:ind w:left="851" w:hanging="851"/>
        <w:jc w:val="both"/>
        <w:rPr>
          <w:rFonts w:eastAsia="Calibri"/>
          <w:i/>
          <w:iCs/>
          <w:sz w:val="24"/>
          <w:szCs w:val="24"/>
        </w:rPr>
      </w:pPr>
      <w:r w:rsidRPr="00B556D7">
        <w:rPr>
          <w:rFonts w:eastAsia="Calibri"/>
          <w:sz w:val="24"/>
          <w:szCs w:val="24"/>
        </w:rPr>
        <w:t xml:space="preserve">Laurent, R., Dessus, P., &amp; </w:t>
      </w:r>
      <w:proofErr w:type="spellStart"/>
      <w:r w:rsidRPr="00B556D7">
        <w:rPr>
          <w:rFonts w:eastAsia="Calibri"/>
          <w:sz w:val="24"/>
          <w:szCs w:val="24"/>
        </w:rPr>
        <w:t>Vaufreydaz</w:t>
      </w:r>
      <w:proofErr w:type="spellEnd"/>
      <w:r w:rsidRPr="00B556D7">
        <w:rPr>
          <w:rFonts w:eastAsia="Calibri"/>
          <w:sz w:val="24"/>
          <w:szCs w:val="24"/>
        </w:rPr>
        <w:t>, D. (2022)</w:t>
      </w:r>
      <w:r w:rsidRPr="00B556D7">
        <w:rPr>
          <w:rFonts w:eastAsia="Calibri"/>
          <w:i/>
          <w:iCs/>
          <w:sz w:val="24"/>
          <w:szCs w:val="24"/>
        </w:rPr>
        <w:t xml:space="preserve">. </w:t>
      </w:r>
      <w:r w:rsidRPr="00770243">
        <w:rPr>
          <w:rFonts w:eastAsia="Calibri"/>
          <w:i/>
          <w:iCs/>
          <w:sz w:val="24"/>
          <w:szCs w:val="24"/>
        </w:rPr>
        <w:t>Analyser automatiquement les signaux de l'enseignement : Une approche d'apprentissage social fondée sur les preuves</w:t>
      </w:r>
      <w:r w:rsidRPr="00B556D7">
        <w:rPr>
          <w:rFonts w:eastAsia="Calibri"/>
          <w:sz w:val="24"/>
          <w:szCs w:val="24"/>
        </w:rPr>
        <w:t>. A.N.A.E. Approche Neuropsychologique Des Apprentissages Chez l'Enfant</w:t>
      </w:r>
      <w:r w:rsidRPr="00B556D7">
        <w:rPr>
          <w:rFonts w:eastAsia="Calibri"/>
          <w:i/>
          <w:iCs/>
          <w:sz w:val="24"/>
          <w:szCs w:val="24"/>
        </w:rPr>
        <w:t>, 176, 29-36.</w:t>
      </w:r>
    </w:p>
    <w:p w14:paraId="778E62B5" w14:textId="77777777" w:rsidR="00D80693" w:rsidRPr="00B556D7" w:rsidRDefault="00D80693" w:rsidP="00F429F0">
      <w:pPr>
        <w:spacing w:before="120"/>
        <w:ind w:left="851" w:hanging="851"/>
        <w:jc w:val="both"/>
        <w:rPr>
          <w:rFonts w:eastAsia="Calibri"/>
          <w:sz w:val="24"/>
          <w:szCs w:val="24"/>
        </w:rPr>
      </w:pPr>
      <w:r w:rsidRPr="00B556D7">
        <w:rPr>
          <w:rFonts w:eastAsia="Calibri"/>
          <w:sz w:val="24"/>
          <w:szCs w:val="24"/>
        </w:rPr>
        <w:t xml:space="preserve">MENETFP &amp; MESRS-C.I. (2017). </w:t>
      </w:r>
      <w:r w:rsidRPr="009726F6">
        <w:rPr>
          <w:rFonts w:eastAsia="Calibri"/>
          <w:i/>
          <w:iCs/>
          <w:sz w:val="24"/>
          <w:szCs w:val="24"/>
        </w:rPr>
        <w:t xml:space="preserve">Plan sectoriel éducation/formation : </w:t>
      </w:r>
      <w:proofErr w:type="spellStart"/>
      <w:r w:rsidRPr="009726F6">
        <w:rPr>
          <w:rFonts w:eastAsia="Calibri"/>
          <w:i/>
          <w:iCs/>
          <w:sz w:val="24"/>
          <w:szCs w:val="24"/>
        </w:rPr>
        <w:t>Task</w:t>
      </w:r>
      <w:proofErr w:type="spellEnd"/>
      <w:r w:rsidRPr="009726F6">
        <w:rPr>
          <w:rFonts w:eastAsia="Calibri"/>
          <w:i/>
          <w:iCs/>
          <w:sz w:val="24"/>
          <w:szCs w:val="24"/>
        </w:rPr>
        <w:t xml:space="preserve"> force 2016-2025.</w:t>
      </w:r>
    </w:p>
    <w:p w14:paraId="380D9080" w14:textId="77777777" w:rsidR="00F429F0" w:rsidRDefault="00D80693" w:rsidP="00F429F0">
      <w:pPr>
        <w:spacing w:before="120"/>
        <w:ind w:left="851" w:hanging="851"/>
        <w:jc w:val="both"/>
        <w:rPr>
          <w:rFonts w:eastAsia="Calibri"/>
          <w:sz w:val="24"/>
          <w:szCs w:val="24"/>
          <w:lang w:val="en-US"/>
        </w:rPr>
      </w:pPr>
      <w:r w:rsidRPr="00B556D7">
        <w:rPr>
          <w:rFonts w:eastAsia="Calibri"/>
          <w:sz w:val="24"/>
          <w:szCs w:val="24"/>
        </w:rPr>
        <w:t>Moison, A., Poisson, D., Carre, Ph., Tremblay, N.</w:t>
      </w:r>
      <w:r>
        <w:rPr>
          <w:rFonts w:eastAsia="Calibri"/>
          <w:sz w:val="24"/>
          <w:szCs w:val="24"/>
        </w:rPr>
        <w:t xml:space="preserve"> </w:t>
      </w:r>
      <w:r w:rsidRPr="00B556D7">
        <w:rPr>
          <w:rFonts w:eastAsia="Calibri"/>
          <w:sz w:val="24"/>
          <w:szCs w:val="24"/>
        </w:rPr>
        <w:t>A.</w:t>
      </w:r>
      <w:r>
        <w:rPr>
          <w:rFonts w:eastAsia="Calibri"/>
          <w:sz w:val="24"/>
          <w:szCs w:val="24"/>
        </w:rPr>
        <w:t xml:space="preserve"> </w:t>
      </w:r>
      <w:r w:rsidRPr="00B556D7">
        <w:rPr>
          <w:rFonts w:eastAsia="Calibri"/>
          <w:sz w:val="24"/>
          <w:szCs w:val="24"/>
        </w:rPr>
        <w:t xml:space="preserve">(1999). </w:t>
      </w:r>
      <w:proofErr w:type="spellStart"/>
      <w:r w:rsidRPr="009726F6">
        <w:rPr>
          <w:rFonts w:eastAsia="Calibri"/>
          <w:i/>
          <w:iCs/>
          <w:sz w:val="24"/>
          <w:szCs w:val="24"/>
          <w:lang w:val="en-US"/>
        </w:rPr>
        <w:t>L'autoformation</w:t>
      </w:r>
      <w:proofErr w:type="spellEnd"/>
      <w:r w:rsidRPr="009726F6">
        <w:rPr>
          <w:rFonts w:eastAsia="Calibri"/>
          <w:i/>
          <w:iCs/>
          <w:sz w:val="24"/>
          <w:szCs w:val="24"/>
          <w:lang w:val="en-US"/>
        </w:rPr>
        <w:t xml:space="preserve">, </w:t>
      </w:r>
      <w:proofErr w:type="spellStart"/>
      <w:r w:rsidRPr="009726F6">
        <w:rPr>
          <w:rFonts w:eastAsia="Calibri"/>
          <w:i/>
          <w:iCs/>
          <w:sz w:val="24"/>
          <w:szCs w:val="24"/>
          <w:lang w:val="en-US"/>
        </w:rPr>
        <w:t>psychopedagogie</w:t>
      </w:r>
      <w:proofErr w:type="spellEnd"/>
      <w:r w:rsidRPr="009726F6">
        <w:rPr>
          <w:rFonts w:eastAsia="Calibri"/>
          <w:i/>
          <w:iCs/>
          <w:sz w:val="24"/>
          <w:szCs w:val="24"/>
          <w:lang w:val="en-US"/>
        </w:rPr>
        <w:t xml:space="preserve">, </w:t>
      </w:r>
      <w:proofErr w:type="spellStart"/>
      <w:r w:rsidRPr="009726F6">
        <w:rPr>
          <w:rFonts w:eastAsia="Calibri"/>
          <w:i/>
          <w:iCs/>
          <w:sz w:val="24"/>
          <w:szCs w:val="24"/>
          <w:lang w:val="en-US"/>
        </w:rPr>
        <w:t>ingenierie</w:t>
      </w:r>
      <w:proofErr w:type="spellEnd"/>
      <w:r w:rsidRPr="009726F6">
        <w:rPr>
          <w:rFonts w:eastAsia="Calibri"/>
          <w:i/>
          <w:iCs/>
          <w:sz w:val="24"/>
          <w:szCs w:val="24"/>
          <w:lang w:val="en-US"/>
        </w:rPr>
        <w:t xml:space="preserve">, </w:t>
      </w:r>
      <w:proofErr w:type="spellStart"/>
      <w:r w:rsidRPr="009726F6">
        <w:rPr>
          <w:rFonts w:eastAsia="Calibri"/>
          <w:i/>
          <w:iCs/>
          <w:sz w:val="24"/>
          <w:szCs w:val="24"/>
          <w:lang w:val="en-US"/>
        </w:rPr>
        <w:t>sociologie</w:t>
      </w:r>
      <w:proofErr w:type="spellEnd"/>
      <w:r w:rsidRPr="009726F6">
        <w:rPr>
          <w:rFonts w:eastAsia="Calibri"/>
          <w:i/>
          <w:iCs/>
          <w:sz w:val="24"/>
          <w:szCs w:val="24"/>
          <w:lang w:val="en-US"/>
        </w:rPr>
        <w:t>.</w:t>
      </w:r>
      <w:r w:rsidRPr="00B556D7">
        <w:rPr>
          <w:rFonts w:eastAsia="Calibri"/>
          <w:sz w:val="24"/>
          <w:szCs w:val="24"/>
          <w:lang w:val="en-US"/>
        </w:rPr>
        <w:t xml:space="preserve"> </w:t>
      </w:r>
      <w:hyperlink r:id="rId181" w:history="1">
        <w:r w:rsidRPr="009726F6">
          <w:rPr>
            <w:rFonts w:eastAsia="Calibri"/>
            <w:i/>
            <w:iCs/>
            <w:sz w:val="24"/>
            <w:szCs w:val="24"/>
            <w:lang w:val="en-US"/>
          </w:rPr>
          <w:t>The Canadian Journal for the Study of Adult Education</w:t>
        </w:r>
      </w:hyperlink>
      <w:r w:rsidRPr="00B556D7">
        <w:rPr>
          <w:rFonts w:eastAsia="Calibri"/>
          <w:sz w:val="24"/>
          <w:szCs w:val="24"/>
          <w:lang w:val="en-US"/>
        </w:rPr>
        <w:t xml:space="preserve">, Toronto, </w:t>
      </w:r>
      <w:hyperlink r:id="rId182" w:tooltip="Cliquez ici pour rechercher d'autres éléments de ce numéro" w:history="1">
        <w:r w:rsidRPr="00B556D7">
          <w:rPr>
            <w:rFonts w:eastAsia="Calibri"/>
            <w:sz w:val="24"/>
            <w:szCs w:val="24"/>
            <w:lang w:val="en-US"/>
          </w:rPr>
          <w:t>13 (1), </w:t>
        </w:r>
      </w:hyperlink>
      <w:r w:rsidRPr="00B556D7">
        <w:rPr>
          <w:rFonts w:eastAsia="Calibri"/>
          <w:sz w:val="24"/>
          <w:szCs w:val="24"/>
          <w:lang w:val="en-US"/>
        </w:rPr>
        <w:t xml:space="preserve"> (May 1999): 80-84. </w:t>
      </w:r>
    </w:p>
    <w:p w14:paraId="0E31C5FD" w14:textId="393EC4B8" w:rsidR="00D80693" w:rsidRPr="00F429F0" w:rsidRDefault="00D80693" w:rsidP="00F429F0">
      <w:pPr>
        <w:spacing w:before="120"/>
        <w:ind w:left="851" w:hanging="851"/>
        <w:jc w:val="both"/>
        <w:rPr>
          <w:rFonts w:eastAsia="Calibri"/>
          <w:sz w:val="24"/>
          <w:szCs w:val="24"/>
          <w:lang w:val="en-US"/>
        </w:rPr>
      </w:pPr>
      <w:r w:rsidRPr="00B556D7">
        <w:rPr>
          <w:rFonts w:eastAsia="Calibri"/>
          <w:sz w:val="24"/>
          <w:szCs w:val="24"/>
        </w:rPr>
        <w:t xml:space="preserve">Morrissette, J. (2010). </w:t>
      </w:r>
      <w:r w:rsidRPr="009726F6">
        <w:rPr>
          <w:rFonts w:eastAsia="Calibri"/>
          <w:i/>
          <w:iCs/>
          <w:sz w:val="24"/>
          <w:szCs w:val="24"/>
        </w:rPr>
        <w:t>Manières de faire l’évaluation formative des apprentissages.</w:t>
      </w:r>
      <w:r w:rsidRPr="00B556D7">
        <w:rPr>
          <w:rFonts w:eastAsia="Calibri"/>
          <w:sz w:val="24"/>
          <w:szCs w:val="24"/>
        </w:rPr>
        <w:t xml:space="preserve"> Sarrebruck, Allemagne : Éditions universitaires européennes. Diane Leduc.</w:t>
      </w:r>
    </w:p>
    <w:p w14:paraId="60680595" w14:textId="77777777" w:rsidR="00D80693" w:rsidRPr="00B556D7" w:rsidRDefault="00D80693" w:rsidP="00F429F0">
      <w:pPr>
        <w:shd w:val="clear" w:color="auto" w:fill="FFFFFF"/>
        <w:spacing w:before="120"/>
        <w:ind w:left="851" w:hanging="851"/>
        <w:jc w:val="both"/>
        <w:rPr>
          <w:color w:val="000000"/>
          <w:sz w:val="24"/>
          <w:szCs w:val="24"/>
          <w:lang w:eastAsia="fr-FR"/>
        </w:rPr>
      </w:pPr>
      <w:r w:rsidRPr="00B556D7">
        <w:rPr>
          <w:color w:val="000000"/>
          <w:sz w:val="24"/>
          <w:szCs w:val="24"/>
          <w:lang w:eastAsia="fr-FR"/>
        </w:rPr>
        <w:t>Mottier, L.L. &amp; </w:t>
      </w:r>
      <w:proofErr w:type="spellStart"/>
      <w:r w:rsidRPr="00B556D7">
        <w:rPr>
          <w:color w:val="000000"/>
          <w:sz w:val="24"/>
          <w:szCs w:val="24"/>
          <w:lang w:eastAsia="fr-FR"/>
        </w:rPr>
        <w:t>Crahay</w:t>
      </w:r>
      <w:proofErr w:type="spellEnd"/>
      <w:r w:rsidRPr="00B556D7">
        <w:rPr>
          <w:color w:val="000000"/>
          <w:sz w:val="24"/>
          <w:szCs w:val="24"/>
          <w:lang w:eastAsia="fr-FR"/>
        </w:rPr>
        <w:t>, M. (2009). </w:t>
      </w:r>
      <w:r w:rsidRPr="00B556D7">
        <w:rPr>
          <w:i/>
          <w:iCs/>
          <w:color w:val="000000"/>
          <w:sz w:val="24"/>
          <w:szCs w:val="24"/>
          <w:lang w:eastAsia="fr-FR"/>
        </w:rPr>
        <w:t>Évaluation en tension. Entre la régulation des apprentissages et le pilotage des systèmes</w:t>
      </w:r>
      <w:r w:rsidRPr="00B556D7">
        <w:rPr>
          <w:color w:val="000000"/>
          <w:sz w:val="24"/>
          <w:szCs w:val="24"/>
          <w:lang w:eastAsia="fr-FR"/>
        </w:rPr>
        <w:t>. Bruxelles, De Boeck.</w:t>
      </w:r>
    </w:p>
    <w:p w14:paraId="680FC13F" w14:textId="77777777" w:rsidR="00D80693" w:rsidRPr="00C1242E" w:rsidRDefault="00D80693" w:rsidP="00F429F0">
      <w:pPr>
        <w:shd w:val="clear" w:color="auto" w:fill="FFFFFF"/>
        <w:spacing w:before="120"/>
        <w:ind w:left="851" w:hanging="851"/>
        <w:jc w:val="both"/>
        <w:rPr>
          <w:color w:val="000000"/>
          <w:sz w:val="24"/>
          <w:szCs w:val="24"/>
          <w:lang w:val="en-US" w:eastAsia="fr-FR"/>
        </w:rPr>
      </w:pPr>
      <w:r w:rsidRPr="00B556D7">
        <w:rPr>
          <w:color w:val="000000"/>
          <w:sz w:val="24"/>
          <w:szCs w:val="24"/>
          <w:lang w:eastAsia="fr-FR"/>
        </w:rPr>
        <w:t xml:space="preserve">Mottier, L.L. (2006). </w:t>
      </w:r>
      <w:r w:rsidRPr="009726F6">
        <w:rPr>
          <w:i/>
          <w:iCs/>
          <w:color w:val="000000"/>
          <w:sz w:val="24"/>
          <w:szCs w:val="24"/>
          <w:lang w:eastAsia="fr-FR"/>
        </w:rPr>
        <w:t>« L’évaluation située des apprentissages : le rôle fondamental de la médiation sociale ».</w:t>
      </w:r>
      <w:r w:rsidRPr="00B556D7">
        <w:rPr>
          <w:color w:val="000000"/>
          <w:sz w:val="24"/>
          <w:szCs w:val="24"/>
          <w:lang w:eastAsia="fr-FR"/>
        </w:rPr>
        <w:t xml:space="preserve"> In G. Figari &amp; L. Mottier Lopez, </w:t>
      </w:r>
      <w:r w:rsidRPr="009726F6">
        <w:rPr>
          <w:i/>
          <w:iCs/>
          <w:color w:val="000000"/>
          <w:sz w:val="24"/>
          <w:szCs w:val="24"/>
          <w:lang w:eastAsia="fr-FR"/>
        </w:rPr>
        <w:t>Recherche sur l’évaluation en éducation. Problématiques, méthodologies et épistémologie (20 ans de travaux autour de l’ADMEE-Europe).</w:t>
      </w:r>
      <w:r w:rsidRPr="00B556D7">
        <w:rPr>
          <w:color w:val="000000"/>
          <w:sz w:val="24"/>
          <w:szCs w:val="24"/>
          <w:lang w:eastAsia="fr-FR"/>
        </w:rPr>
        <w:t xml:space="preserve"> </w:t>
      </w:r>
      <w:proofErr w:type="gramStart"/>
      <w:r w:rsidRPr="00C1242E">
        <w:rPr>
          <w:color w:val="000000"/>
          <w:sz w:val="24"/>
          <w:szCs w:val="24"/>
          <w:lang w:val="en-US" w:eastAsia="fr-FR"/>
        </w:rPr>
        <w:t>Paris :</w:t>
      </w:r>
      <w:proofErr w:type="gramEnd"/>
      <w:r w:rsidRPr="00C1242E">
        <w:rPr>
          <w:color w:val="000000"/>
          <w:sz w:val="24"/>
          <w:szCs w:val="24"/>
          <w:lang w:val="en-US" w:eastAsia="fr-FR"/>
        </w:rPr>
        <w:t xml:space="preserve"> </w:t>
      </w:r>
      <w:proofErr w:type="spellStart"/>
      <w:r w:rsidRPr="00C1242E">
        <w:rPr>
          <w:color w:val="000000"/>
          <w:sz w:val="24"/>
          <w:szCs w:val="24"/>
          <w:lang w:val="en-US" w:eastAsia="fr-FR"/>
        </w:rPr>
        <w:t>L’Harmattan</w:t>
      </w:r>
      <w:proofErr w:type="spellEnd"/>
      <w:r w:rsidRPr="00C1242E">
        <w:rPr>
          <w:color w:val="000000"/>
          <w:sz w:val="24"/>
          <w:szCs w:val="24"/>
          <w:lang w:val="en-US" w:eastAsia="fr-FR"/>
        </w:rPr>
        <w:t>, (82-89).</w:t>
      </w:r>
    </w:p>
    <w:p w14:paraId="194F3742" w14:textId="77777777" w:rsidR="00D80693" w:rsidRPr="00B556D7" w:rsidRDefault="00D80693" w:rsidP="00F429F0">
      <w:pPr>
        <w:shd w:val="clear" w:color="auto" w:fill="FFFFFF"/>
        <w:spacing w:before="120"/>
        <w:ind w:left="851" w:hanging="851"/>
        <w:jc w:val="both"/>
        <w:rPr>
          <w:color w:val="000000"/>
          <w:sz w:val="24"/>
          <w:szCs w:val="24"/>
          <w:lang w:eastAsia="fr-FR"/>
        </w:rPr>
      </w:pPr>
      <w:r w:rsidRPr="00B556D7">
        <w:rPr>
          <w:color w:val="000000"/>
          <w:sz w:val="24"/>
          <w:szCs w:val="24"/>
          <w:lang w:val="en-US" w:eastAsia="fr-FR"/>
        </w:rPr>
        <w:t xml:space="preserve">Nicholls, J.G. (1984). </w:t>
      </w:r>
      <w:r w:rsidRPr="009726F6">
        <w:rPr>
          <w:i/>
          <w:iCs/>
          <w:color w:val="000000"/>
          <w:sz w:val="24"/>
          <w:szCs w:val="24"/>
          <w:lang w:val="en-US" w:eastAsia="fr-FR"/>
        </w:rPr>
        <w:t>Achievement motivation: conception of ability, subjective experience, task choice, and performance.</w:t>
      </w:r>
      <w:r w:rsidRPr="00B556D7">
        <w:rPr>
          <w:color w:val="000000"/>
          <w:sz w:val="24"/>
          <w:szCs w:val="24"/>
          <w:lang w:val="en-US" w:eastAsia="fr-FR"/>
        </w:rPr>
        <w:t> </w:t>
      </w:r>
      <w:proofErr w:type="spellStart"/>
      <w:r w:rsidRPr="00B556D7">
        <w:rPr>
          <w:i/>
          <w:iCs/>
          <w:color w:val="000000"/>
          <w:sz w:val="24"/>
          <w:szCs w:val="24"/>
          <w:lang w:eastAsia="fr-FR"/>
        </w:rPr>
        <w:t>Psychological</w:t>
      </w:r>
      <w:proofErr w:type="spellEnd"/>
      <w:r w:rsidRPr="00B556D7">
        <w:rPr>
          <w:i/>
          <w:iCs/>
          <w:color w:val="000000"/>
          <w:sz w:val="24"/>
          <w:szCs w:val="24"/>
          <w:lang w:eastAsia="fr-FR"/>
        </w:rPr>
        <w:t> </w:t>
      </w:r>
      <w:proofErr w:type="spellStart"/>
      <w:r w:rsidRPr="00B556D7">
        <w:rPr>
          <w:i/>
          <w:iCs/>
          <w:color w:val="000000"/>
          <w:sz w:val="24"/>
          <w:szCs w:val="24"/>
          <w:lang w:eastAsia="fr-FR"/>
        </w:rPr>
        <w:t>Review</w:t>
      </w:r>
      <w:proofErr w:type="spellEnd"/>
      <w:r w:rsidRPr="00B556D7">
        <w:rPr>
          <w:color w:val="000000"/>
          <w:sz w:val="24"/>
          <w:szCs w:val="24"/>
          <w:lang w:eastAsia="fr-FR"/>
        </w:rPr>
        <w:t>, 91(3), 328–346.</w:t>
      </w:r>
    </w:p>
    <w:p w14:paraId="32112C3A" w14:textId="77777777" w:rsidR="00D80693" w:rsidRPr="00B556D7" w:rsidRDefault="00D80693" w:rsidP="00F429F0">
      <w:pPr>
        <w:spacing w:before="120"/>
        <w:ind w:left="851" w:hanging="851"/>
        <w:jc w:val="both"/>
        <w:rPr>
          <w:rFonts w:eastAsia="Calibri"/>
          <w:sz w:val="24"/>
          <w:szCs w:val="24"/>
        </w:rPr>
      </w:pPr>
      <w:r w:rsidRPr="00B556D7">
        <w:rPr>
          <w:rFonts w:eastAsia="Calibri"/>
          <w:sz w:val="24"/>
          <w:szCs w:val="24"/>
        </w:rPr>
        <w:t xml:space="preserve">Roberge, J. (2009). </w:t>
      </w:r>
      <w:r w:rsidRPr="009726F6">
        <w:rPr>
          <w:rFonts w:eastAsia="Calibri"/>
          <w:i/>
          <w:iCs/>
          <w:sz w:val="24"/>
          <w:szCs w:val="24"/>
        </w:rPr>
        <w:t>Entre les murs de François Dégaudeau</w:t>
      </w:r>
      <w:r w:rsidRPr="00B556D7">
        <w:rPr>
          <w:rFonts w:eastAsia="Calibri"/>
          <w:sz w:val="24"/>
          <w:szCs w:val="24"/>
        </w:rPr>
        <w:t>, Erudit, Montréal, Québec français, (155), 21-21.</w:t>
      </w:r>
    </w:p>
    <w:p w14:paraId="71E45370" w14:textId="77777777" w:rsidR="00D80693" w:rsidRPr="00B556D7" w:rsidRDefault="00D80693" w:rsidP="00F429F0">
      <w:pPr>
        <w:shd w:val="clear" w:color="auto" w:fill="FFFFFF"/>
        <w:spacing w:before="120"/>
        <w:ind w:left="851" w:hanging="851"/>
        <w:jc w:val="both"/>
        <w:rPr>
          <w:color w:val="000000"/>
          <w:sz w:val="24"/>
          <w:szCs w:val="24"/>
          <w:lang w:eastAsia="fr-FR"/>
        </w:rPr>
      </w:pPr>
      <w:r w:rsidRPr="00B556D7">
        <w:rPr>
          <w:color w:val="000000"/>
          <w:sz w:val="24"/>
          <w:szCs w:val="24"/>
          <w:lang w:eastAsia="fr-FR"/>
        </w:rPr>
        <w:t xml:space="preserve">Schubauer-Leoni, M.-L. (1991). </w:t>
      </w:r>
      <w:r w:rsidRPr="009726F6">
        <w:rPr>
          <w:i/>
          <w:iCs/>
          <w:color w:val="000000"/>
          <w:sz w:val="24"/>
          <w:szCs w:val="24"/>
          <w:lang w:eastAsia="fr-FR"/>
        </w:rPr>
        <w:t>« L’évaluation didactique : une affaire contractuelle ».</w:t>
      </w:r>
      <w:r w:rsidRPr="00B556D7">
        <w:rPr>
          <w:color w:val="000000"/>
          <w:sz w:val="24"/>
          <w:szCs w:val="24"/>
          <w:lang w:eastAsia="fr-FR"/>
        </w:rPr>
        <w:t xml:space="preserve"> In J. Weiss, </w:t>
      </w:r>
      <w:r w:rsidRPr="00B556D7">
        <w:rPr>
          <w:i/>
          <w:iCs/>
          <w:color w:val="000000"/>
          <w:sz w:val="24"/>
          <w:szCs w:val="24"/>
          <w:lang w:eastAsia="fr-FR"/>
        </w:rPr>
        <w:t>L’évaluation : problème de communication</w:t>
      </w:r>
      <w:r w:rsidRPr="00B556D7">
        <w:rPr>
          <w:color w:val="000000"/>
          <w:sz w:val="24"/>
          <w:szCs w:val="24"/>
          <w:lang w:eastAsia="fr-FR"/>
        </w:rPr>
        <w:t xml:space="preserve">. </w:t>
      </w:r>
      <w:proofErr w:type="spellStart"/>
      <w:r w:rsidRPr="00B556D7">
        <w:rPr>
          <w:color w:val="000000"/>
          <w:sz w:val="24"/>
          <w:szCs w:val="24"/>
          <w:lang w:eastAsia="fr-FR"/>
        </w:rPr>
        <w:t>Cousset</w:t>
      </w:r>
      <w:proofErr w:type="spellEnd"/>
      <w:r w:rsidRPr="00B556D7">
        <w:rPr>
          <w:color w:val="000000"/>
          <w:sz w:val="24"/>
          <w:szCs w:val="24"/>
          <w:lang w:eastAsia="fr-FR"/>
        </w:rPr>
        <w:t> : Delval, 79-95.</w:t>
      </w:r>
    </w:p>
    <w:p w14:paraId="4C1745BF" w14:textId="77777777" w:rsidR="00D80693" w:rsidRPr="00B556D7" w:rsidRDefault="00D80693" w:rsidP="00F429F0">
      <w:pPr>
        <w:shd w:val="clear" w:color="auto" w:fill="FFFFFF"/>
        <w:spacing w:before="120"/>
        <w:ind w:left="851" w:hanging="851"/>
        <w:jc w:val="both"/>
        <w:rPr>
          <w:color w:val="000000"/>
          <w:sz w:val="24"/>
          <w:szCs w:val="24"/>
          <w:lang w:eastAsia="fr-FR"/>
        </w:rPr>
      </w:pPr>
      <w:proofErr w:type="spellStart"/>
      <w:r w:rsidRPr="0065773E">
        <w:rPr>
          <w:color w:val="000000"/>
          <w:sz w:val="24"/>
          <w:szCs w:val="24"/>
          <w:lang w:eastAsia="fr-FR"/>
        </w:rPr>
        <w:t>Sideridis</w:t>
      </w:r>
      <w:proofErr w:type="spellEnd"/>
      <w:r w:rsidRPr="0065773E">
        <w:rPr>
          <w:color w:val="000000"/>
          <w:sz w:val="24"/>
          <w:szCs w:val="24"/>
          <w:lang w:eastAsia="fr-FR"/>
        </w:rPr>
        <w:t xml:space="preserve">, G.D. (2009). </w:t>
      </w:r>
      <w:r w:rsidRPr="00C1242E">
        <w:rPr>
          <w:i/>
          <w:iCs/>
          <w:color w:val="000000"/>
          <w:sz w:val="24"/>
          <w:szCs w:val="24"/>
          <w:lang w:val="en-US" w:eastAsia="fr-FR"/>
        </w:rPr>
        <w:t>Motivation and learning disabilities: Past, present, and future.</w:t>
      </w:r>
      <w:r w:rsidRPr="00C1242E">
        <w:rPr>
          <w:color w:val="000000"/>
          <w:sz w:val="24"/>
          <w:szCs w:val="24"/>
          <w:lang w:val="en-US" w:eastAsia="fr-FR"/>
        </w:rPr>
        <w:t xml:space="preserve"> In K. R. Wentzel &amp; A. Wigfield (Eds.), </w:t>
      </w:r>
      <w:r w:rsidRPr="00C1242E">
        <w:rPr>
          <w:i/>
          <w:iCs/>
          <w:color w:val="000000"/>
          <w:sz w:val="24"/>
          <w:szCs w:val="24"/>
          <w:lang w:val="en-US" w:eastAsia="fr-FR"/>
        </w:rPr>
        <w:t>Handbook of motivation at school</w:t>
      </w:r>
      <w:r w:rsidRPr="00C1242E">
        <w:rPr>
          <w:color w:val="000000"/>
          <w:sz w:val="24"/>
          <w:szCs w:val="24"/>
          <w:lang w:val="en-US" w:eastAsia="fr-FR"/>
        </w:rPr>
        <w:t xml:space="preserve">, (605-625). </w:t>
      </w:r>
      <w:r w:rsidRPr="00B556D7">
        <w:rPr>
          <w:color w:val="000000"/>
          <w:sz w:val="24"/>
          <w:szCs w:val="24"/>
          <w:lang w:eastAsia="fr-FR"/>
        </w:rPr>
        <w:t>Routledge.</w:t>
      </w:r>
    </w:p>
    <w:p w14:paraId="085B445C" w14:textId="77777777" w:rsidR="00D80693" w:rsidRDefault="00D80693" w:rsidP="00F429F0">
      <w:pPr>
        <w:spacing w:before="120"/>
        <w:ind w:left="851" w:hanging="851"/>
        <w:jc w:val="both"/>
        <w:rPr>
          <w:rFonts w:eastAsia="Calibri"/>
          <w:i/>
          <w:iCs/>
          <w:sz w:val="24"/>
          <w:szCs w:val="24"/>
        </w:rPr>
      </w:pPr>
      <w:r w:rsidRPr="00B556D7">
        <w:rPr>
          <w:rFonts w:eastAsia="Calibri"/>
          <w:sz w:val="24"/>
          <w:szCs w:val="24"/>
        </w:rPr>
        <w:t xml:space="preserve">Stiggins (2010). </w:t>
      </w:r>
      <w:r w:rsidRPr="009726F6">
        <w:rPr>
          <w:rFonts w:eastAsia="Calibri"/>
          <w:i/>
          <w:iCs/>
          <w:sz w:val="24"/>
          <w:szCs w:val="24"/>
        </w:rPr>
        <w:t xml:space="preserve">Essential Formative </w:t>
      </w:r>
      <w:proofErr w:type="spellStart"/>
      <w:r w:rsidRPr="009726F6">
        <w:rPr>
          <w:rFonts w:eastAsia="Calibri"/>
          <w:i/>
          <w:iCs/>
          <w:sz w:val="24"/>
          <w:szCs w:val="24"/>
        </w:rPr>
        <w:t>Assessment</w:t>
      </w:r>
      <w:proofErr w:type="spellEnd"/>
      <w:r w:rsidRPr="009726F6">
        <w:rPr>
          <w:rFonts w:eastAsia="Calibri"/>
          <w:i/>
          <w:iCs/>
          <w:sz w:val="24"/>
          <w:szCs w:val="24"/>
        </w:rPr>
        <w:t xml:space="preserve"> </w:t>
      </w:r>
      <w:proofErr w:type="spellStart"/>
      <w:r w:rsidRPr="009726F6">
        <w:rPr>
          <w:rFonts w:eastAsia="Calibri"/>
          <w:i/>
          <w:iCs/>
          <w:sz w:val="24"/>
          <w:szCs w:val="24"/>
        </w:rPr>
        <w:t>Competencies</w:t>
      </w:r>
      <w:proofErr w:type="spellEnd"/>
      <w:r w:rsidRPr="009726F6">
        <w:rPr>
          <w:rFonts w:eastAsia="Calibri"/>
          <w:i/>
          <w:iCs/>
          <w:sz w:val="24"/>
          <w:szCs w:val="24"/>
        </w:rPr>
        <w:t xml:space="preserve"> for </w:t>
      </w:r>
      <w:proofErr w:type="spellStart"/>
      <w:r w:rsidRPr="009726F6">
        <w:rPr>
          <w:rFonts w:eastAsia="Calibri"/>
          <w:i/>
          <w:iCs/>
          <w:sz w:val="24"/>
          <w:szCs w:val="24"/>
        </w:rPr>
        <w:t>Teachers</w:t>
      </w:r>
      <w:proofErr w:type="spellEnd"/>
      <w:r w:rsidRPr="009726F6">
        <w:rPr>
          <w:rFonts w:eastAsia="Calibri"/>
          <w:i/>
          <w:iCs/>
          <w:sz w:val="24"/>
          <w:szCs w:val="24"/>
        </w:rPr>
        <w:t xml:space="preserve"> and School Leaders"</w:t>
      </w:r>
      <w:r w:rsidRPr="00B556D7">
        <w:rPr>
          <w:rFonts w:eastAsia="Calibri"/>
          <w:sz w:val="24"/>
          <w:szCs w:val="24"/>
        </w:rPr>
        <w:t xml:space="preserve"> (Compétences essentielles en évaluation formative pour les enseignants et les leaders scolaires), publié dans l'ouvrage </w:t>
      </w:r>
      <w:proofErr w:type="spellStart"/>
      <w:r w:rsidRPr="009726F6">
        <w:rPr>
          <w:rFonts w:eastAsia="Calibri"/>
          <w:i/>
          <w:iCs/>
          <w:sz w:val="24"/>
          <w:szCs w:val="24"/>
        </w:rPr>
        <w:t>Handbook</w:t>
      </w:r>
      <w:proofErr w:type="spellEnd"/>
      <w:r w:rsidRPr="009726F6">
        <w:rPr>
          <w:rFonts w:eastAsia="Calibri"/>
          <w:i/>
          <w:iCs/>
          <w:sz w:val="24"/>
          <w:szCs w:val="24"/>
        </w:rPr>
        <w:t xml:space="preserve"> of Formative </w:t>
      </w:r>
      <w:proofErr w:type="spellStart"/>
      <w:r w:rsidRPr="009726F6">
        <w:rPr>
          <w:rFonts w:eastAsia="Calibri"/>
          <w:i/>
          <w:iCs/>
          <w:sz w:val="24"/>
          <w:szCs w:val="24"/>
        </w:rPr>
        <w:t>Assessment</w:t>
      </w:r>
      <w:proofErr w:type="spellEnd"/>
      <w:r w:rsidRPr="009726F6">
        <w:rPr>
          <w:rFonts w:eastAsia="Calibri"/>
          <w:i/>
          <w:iCs/>
          <w:sz w:val="24"/>
          <w:szCs w:val="24"/>
        </w:rPr>
        <w:t>.</w:t>
      </w:r>
    </w:p>
    <w:p w14:paraId="0D272F58" w14:textId="77777777" w:rsidR="00D80693" w:rsidRPr="00C1242E" w:rsidRDefault="00D80693" w:rsidP="00F429F0">
      <w:pPr>
        <w:spacing w:before="120"/>
        <w:ind w:left="851" w:hanging="851"/>
        <w:jc w:val="both"/>
        <w:rPr>
          <w:rFonts w:eastAsia="Calibri"/>
          <w:sz w:val="24"/>
          <w:szCs w:val="24"/>
          <w:lang w:val="en-US"/>
        </w:rPr>
      </w:pPr>
      <w:bookmarkStart w:id="363" w:name="_Hlk102905956"/>
      <w:r w:rsidRPr="00C1242E">
        <w:rPr>
          <w:rFonts w:eastAsia="Calibri" w:cstheme="minorBidi"/>
          <w:bCs/>
          <w:sz w:val="24"/>
          <w:szCs w:val="24"/>
          <w:lang w:val="en-US"/>
        </w:rPr>
        <w:t xml:space="preserve">Tyler, R. W. (1986). </w:t>
      </w:r>
      <w:r w:rsidRPr="00C1242E">
        <w:rPr>
          <w:rFonts w:eastAsia="Calibri" w:cstheme="minorBidi"/>
          <w:i/>
          <w:iCs/>
          <w:sz w:val="24"/>
          <w:szCs w:val="24"/>
          <w:lang w:val="en-US"/>
        </w:rPr>
        <w:t>Changing concepts of educational evaluation</w:t>
      </w:r>
      <w:r w:rsidRPr="00C1242E">
        <w:rPr>
          <w:rFonts w:eastAsia="Calibri" w:cstheme="minorBidi"/>
          <w:sz w:val="24"/>
          <w:szCs w:val="24"/>
          <w:lang w:val="en-US"/>
        </w:rPr>
        <w:t xml:space="preserve">. International Journal of </w:t>
      </w:r>
      <w:r w:rsidRPr="00CC60B8">
        <w:rPr>
          <w:rFonts w:eastAsia="Calibri"/>
          <w:sz w:val="24"/>
          <w:szCs w:val="24"/>
          <w:lang w:val="en-US"/>
        </w:rPr>
        <w:t>Educational</w:t>
      </w:r>
      <w:r w:rsidRPr="00C1242E">
        <w:rPr>
          <w:rFonts w:eastAsia="Calibri" w:cstheme="minorBidi"/>
          <w:sz w:val="24"/>
          <w:szCs w:val="24"/>
          <w:lang w:val="en-US"/>
        </w:rPr>
        <w:t xml:space="preserve"> Research, 10 (1), 1-113.</w:t>
      </w:r>
    </w:p>
    <w:bookmarkEnd w:id="363"/>
    <w:p w14:paraId="1FBC4D6C" w14:textId="77777777" w:rsidR="00D80693" w:rsidRPr="0065773E" w:rsidRDefault="00D80693" w:rsidP="00F429F0">
      <w:pPr>
        <w:spacing w:before="120"/>
        <w:ind w:left="851" w:hanging="851"/>
        <w:jc w:val="both"/>
        <w:rPr>
          <w:rFonts w:eastAsia="Calibri"/>
          <w:sz w:val="24"/>
          <w:szCs w:val="24"/>
        </w:rPr>
      </w:pPr>
      <w:r w:rsidRPr="00F429F0">
        <w:rPr>
          <w:rFonts w:eastAsia="Calibri"/>
          <w:sz w:val="24"/>
          <w:szCs w:val="24"/>
        </w:rPr>
        <w:t xml:space="preserve">Van der Maren et Loye, N. (2011). </w:t>
      </w:r>
      <w:r w:rsidRPr="009726F6">
        <w:rPr>
          <w:rFonts w:eastAsia="Calibri"/>
          <w:i/>
          <w:iCs/>
          <w:sz w:val="24"/>
          <w:szCs w:val="24"/>
        </w:rPr>
        <w:t>A propos des difficultés de l’évaluation des compétences.</w:t>
      </w:r>
      <w:r w:rsidRPr="00B556D7">
        <w:rPr>
          <w:rFonts w:eastAsia="Calibri"/>
          <w:sz w:val="24"/>
          <w:szCs w:val="24"/>
        </w:rPr>
        <w:t xml:space="preserve"> </w:t>
      </w:r>
      <w:r w:rsidRPr="0065773E">
        <w:rPr>
          <w:rFonts w:eastAsia="Calibri"/>
          <w:sz w:val="24"/>
          <w:szCs w:val="24"/>
        </w:rPr>
        <w:t xml:space="preserve">Réflexions critiques, </w:t>
      </w:r>
      <w:r w:rsidRPr="0065773E">
        <w:rPr>
          <w:rFonts w:eastAsia="Calibri"/>
          <w:i/>
          <w:iCs/>
          <w:sz w:val="24"/>
          <w:szCs w:val="24"/>
        </w:rPr>
        <w:t>Education-Science et Société</w:t>
      </w:r>
      <w:r w:rsidRPr="0065773E">
        <w:rPr>
          <w:rFonts w:eastAsia="Calibri"/>
          <w:sz w:val="24"/>
          <w:szCs w:val="24"/>
        </w:rPr>
        <w:t>, (40-53)</w:t>
      </w:r>
    </w:p>
    <w:p w14:paraId="15F2E860" w14:textId="77777777" w:rsidR="00D80693" w:rsidRDefault="00D80693" w:rsidP="00F429F0">
      <w:pPr>
        <w:spacing w:before="120"/>
        <w:ind w:left="851" w:hanging="851"/>
        <w:jc w:val="both"/>
        <w:rPr>
          <w:rFonts w:ascii="Tahoma" w:hAnsi="Tahoma" w:cs="Tahoma"/>
          <w:color w:val="333333"/>
          <w:sz w:val="18"/>
          <w:szCs w:val="18"/>
          <w:highlight w:val="lightGray"/>
          <w:lang w:eastAsia="fr-FR"/>
        </w:rPr>
      </w:pPr>
    </w:p>
    <w:p w14:paraId="22C970EF" w14:textId="77777777" w:rsidR="00D80693" w:rsidRPr="00FC6DC5" w:rsidRDefault="00D80693" w:rsidP="00F429F0">
      <w:pPr>
        <w:spacing w:before="120"/>
        <w:ind w:left="851" w:hanging="851"/>
        <w:jc w:val="both"/>
        <w:rPr>
          <w:rFonts w:eastAsia="Calibri"/>
          <w:sz w:val="16"/>
          <w:szCs w:val="16"/>
          <w:highlight w:val="green"/>
        </w:rPr>
      </w:pPr>
    </w:p>
    <w:p w14:paraId="24FE544C" w14:textId="77777777" w:rsidR="00D80693" w:rsidRDefault="00D80693" w:rsidP="00F429F0">
      <w:pPr>
        <w:spacing w:before="120"/>
        <w:ind w:left="851" w:hanging="851"/>
        <w:jc w:val="both"/>
        <w:rPr>
          <w:rFonts w:ascii="Tahoma" w:hAnsi="Tahoma" w:cs="Tahoma"/>
          <w:color w:val="333333"/>
          <w:sz w:val="18"/>
          <w:szCs w:val="18"/>
          <w:highlight w:val="lightGray"/>
          <w:lang w:eastAsia="fr-FR"/>
        </w:rPr>
      </w:pPr>
    </w:p>
    <w:p w14:paraId="4BF4A86C" w14:textId="77777777" w:rsidR="00D80693" w:rsidRDefault="00D80693" w:rsidP="00F429F0">
      <w:pPr>
        <w:spacing w:before="120"/>
        <w:ind w:left="851" w:hanging="851"/>
        <w:jc w:val="both"/>
        <w:rPr>
          <w:rFonts w:eastAsia="Calibri"/>
          <w:sz w:val="24"/>
          <w:szCs w:val="24"/>
        </w:rPr>
      </w:pPr>
    </w:p>
    <w:p w14:paraId="03EE15A6" w14:textId="77777777" w:rsidR="00D80693" w:rsidRPr="00F55444" w:rsidRDefault="00D80693" w:rsidP="00F429F0">
      <w:pPr>
        <w:spacing w:before="120"/>
        <w:ind w:left="851" w:hanging="851"/>
        <w:rPr>
          <w:rFonts w:eastAsia="Calibri"/>
          <w:color w:val="EE0000"/>
        </w:rPr>
        <w:sectPr w:rsidR="00D80693" w:rsidRPr="00F55444" w:rsidSect="001928FA">
          <w:pgSz w:w="12242" w:h="15842"/>
          <w:pgMar w:top="1417" w:right="1417" w:bottom="1417" w:left="1418" w:header="709" w:footer="708" w:gutter="0"/>
          <w:cols w:space="720"/>
          <w:noEndnote/>
        </w:sectPr>
      </w:pPr>
    </w:p>
    <w:p w14:paraId="5FC12FAF" w14:textId="326E52CB" w:rsidR="00D80693" w:rsidRPr="00F429F0" w:rsidRDefault="00F429F0" w:rsidP="00F429F0">
      <w:pPr>
        <w:pStyle w:val="Titre1"/>
        <w:spacing w:before="120"/>
        <w:ind w:left="164"/>
        <w:rPr>
          <w:rFonts w:eastAsia="Calibri"/>
          <w:i/>
          <w:iCs/>
        </w:rPr>
      </w:pPr>
      <w:bookmarkStart w:id="364" w:name="_Toc219272596"/>
      <w:r w:rsidRPr="00F429F0">
        <w:rPr>
          <w:rFonts w:eastAsiaTheme="minorHAnsi"/>
          <w:i/>
          <w:iCs/>
        </w:rPr>
        <w:t>Analyse théorique du concept de l'éducation inclusive : perspectives et limites</w:t>
      </w:r>
      <w:bookmarkEnd w:id="364"/>
    </w:p>
    <w:p w14:paraId="114F3720" w14:textId="140373E5" w:rsidR="00D80693" w:rsidRPr="00F429F0" w:rsidRDefault="00F429F0" w:rsidP="00F429F0">
      <w:pPr>
        <w:pStyle w:val="Titre1"/>
        <w:spacing w:before="120"/>
        <w:ind w:left="164"/>
        <w:rPr>
          <w:rFonts w:eastAsia="Calibri"/>
        </w:rPr>
      </w:pPr>
      <w:bookmarkStart w:id="365" w:name="_Toc219272597"/>
      <w:proofErr w:type="spellStart"/>
      <w:r w:rsidRPr="00F429F0">
        <w:rPr>
          <w:rFonts w:eastAsiaTheme="minorHAnsi"/>
        </w:rPr>
        <w:t>Nomansou</w:t>
      </w:r>
      <w:proofErr w:type="spellEnd"/>
      <w:r w:rsidRPr="00F429F0">
        <w:rPr>
          <w:rFonts w:eastAsiaTheme="minorHAnsi"/>
        </w:rPr>
        <w:t xml:space="preserve"> Serge </w:t>
      </w:r>
      <w:r w:rsidRPr="00F429F0">
        <w:rPr>
          <w:rFonts w:eastAsiaTheme="minorHAnsi"/>
        </w:rPr>
        <w:t>BAH</w:t>
      </w:r>
      <w:r w:rsidR="00D80693" w:rsidRPr="00F429F0">
        <w:rPr>
          <w:rFonts w:eastAsiaTheme="minorHAnsi"/>
        </w:rPr>
        <w:t xml:space="preserve">, </w:t>
      </w:r>
      <w:r w:rsidRPr="00F429F0">
        <w:rPr>
          <w:rFonts w:eastAsiaTheme="minorHAnsi"/>
        </w:rPr>
        <w:t xml:space="preserve">Kobena Séverin </w:t>
      </w:r>
      <w:r w:rsidRPr="00F429F0">
        <w:rPr>
          <w:rFonts w:eastAsiaTheme="minorHAnsi"/>
        </w:rPr>
        <w:t>GBOKO</w:t>
      </w:r>
      <w:bookmarkEnd w:id="365"/>
    </w:p>
    <w:p w14:paraId="3B114662" w14:textId="77777777" w:rsidR="00570B74" w:rsidRDefault="00570B74" w:rsidP="00D80693">
      <w:pPr>
        <w:spacing w:line="276" w:lineRule="auto"/>
        <w:jc w:val="both"/>
        <w:rPr>
          <w:rFonts w:eastAsiaTheme="minorHAnsi"/>
          <w:b/>
          <w:iCs/>
          <w:sz w:val="24"/>
          <w:szCs w:val="24"/>
        </w:rPr>
      </w:pPr>
      <w:bookmarkStart w:id="366" w:name="_Hlk190406137"/>
    </w:p>
    <w:p w14:paraId="27028558" w14:textId="2C32FC99" w:rsidR="00D80693" w:rsidRPr="00F429F0" w:rsidRDefault="00D80693" w:rsidP="00D80693">
      <w:pPr>
        <w:spacing w:line="276" w:lineRule="auto"/>
        <w:jc w:val="both"/>
        <w:rPr>
          <w:rFonts w:eastAsia="Calibri"/>
          <w:iCs/>
          <w:sz w:val="24"/>
          <w:szCs w:val="24"/>
        </w:rPr>
      </w:pPr>
      <w:r w:rsidRPr="00F429F0">
        <w:rPr>
          <w:rFonts w:eastAsiaTheme="minorHAnsi"/>
          <w:b/>
          <w:iCs/>
          <w:sz w:val="24"/>
          <w:szCs w:val="24"/>
        </w:rPr>
        <w:t xml:space="preserve">Résumé </w:t>
      </w:r>
    </w:p>
    <w:bookmarkEnd w:id="366"/>
    <w:p w14:paraId="26C235B8" w14:textId="77777777" w:rsidR="00D80693" w:rsidRDefault="00D80693" w:rsidP="00D80693">
      <w:pPr>
        <w:jc w:val="both"/>
        <w:rPr>
          <w:rFonts w:eastAsia="Calibri"/>
          <w:sz w:val="24"/>
          <w:szCs w:val="24"/>
        </w:rPr>
      </w:pPr>
      <w:r>
        <w:rPr>
          <w:rFonts w:eastAsia="Calibri"/>
          <w:sz w:val="24"/>
          <w:szCs w:val="24"/>
        </w:rPr>
        <w:t>L’éducation inclusive s’impose comme un paradigme central dans les politiques éducatives contemporaines. Fondée sur une approche humaniste de l’équité et de la justice sociale, elle vise à garantir la participation de tous les apprenants, quelles que soient leurs différences. Cet article propose une analyse théorique du concept d’éducation inclusive en s’appuyant sur les principales contributions conceptuelles et normatives. Il explore ses caractéristiques et dimensions, ses implications pédagogiques et ses perspectives de transformation du système éducatif. L’analyse met également en évidence limites structurelles, sémantiques et institutionnelles de sa mise en œuvre. L’éducation inclusive apparaît ainsi comme une construction théorique ambitieuse, mais encore fragilisée par des tensions entre idéaux éthiques et réalités pratiques.</w:t>
      </w:r>
    </w:p>
    <w:p w14:paraId="25737019" w14:textId="77777777" w:rsidR="00F429F0" w:rsidRDefault="00F429F0" w:rsidP="00D80693">
      <w:pPr>
        <w:jc w:val="both"/>
        <w:rPr>
          <w:rFonts w:eastAsia="Calibri"/>
          <w:sz w:val="24"/>
          <w:szCs w:val="24"/>
        </w:rPr>
      </w:pPr>
    </w:p>
    <w:p w14:paraId="0393A8E4" w14:textId="77777777" w:rsidR="00D80693" w:rsidRDefault="00D80693" w:rsidP="00D80693">
      <w:pPr>
        <w:jc w:val="both"/>
        <w:rPr>
          <w:rFonts w:eastAsia="Calibri"/>
          <w:sz w:val="24"/>
          <w:szCs w:val="24"/>
        </w:rPr>
      </w:pPr>
      <w:r w:rsidRPr="00F429F0">
        <w:rPr>
          <w:rFonts w:eastAsia="Calibri"/>
          <w:b/>
          <w:bCs/>
          <w:sz w:val="24"/>
          <w:szCs w:val="24"/>
        </w:rPr>
        <w:t>Mots-clés :</w:t>
      </w:r>
      <w:r>
        <w:rPr>
          <w:rFonts w:eastAsia="Calibri"/>
          <w:sz w:val="24"/>
          <w:szCs w:val="24"/>
        </w:rPr>
        <w:t xml:space="preserve"> Analyse théorique, éducation inclusive, équité, justice sociale, politiques éducatives.</w:t>
      </w:r>
    </w:p>
    <w:p w14:paraId="00052C41" w14:textId="77777777" w:rsidR="00F429F0" w:rsidRDefault="00F429F0" w:rsidP="00D80693">
      <w:pPr>
        <w:jc w:val="both"/>
        <w:rPr>
          <w:rFonts w:eastAsia="Calibri"/>
          <w:sz w:val="24"/>
          <w:szCs w:val="24"/>
        </w:rPr>
      </w:pPr>
    </w:p>
    <w:p w14:paraId="30574FF7" w14:textId="0FCD2AB3" w:rsidR="00570B74" w:rsidRPr="00570B74" w:rsidRDefault="00D80693" w:rsidP="00570B74">
      <w:pPr>
        <w:spacing w:line="276" w:lineRule="auto"/>
        <w:jc w:val="both"/>
        <w:rPr>
          <w:rFonts w:eastAsia="Calibri"/>
          <w:b/>
          <w:iCs/>
          <w:sz w:val="24"/>
          <w:szCs w:val="24"/>
          <w:lang w:val="en-US"/>
        </w:rPr>
      </w:pPr>
      <w:r w:rsidRPr="00F429F0">
        <w:rPr>
          <w:rFonts w:eastAsiaTheme="minorHAnsi"/>
          <w:b/>
          <w:iCs/>
          <w:sz w:val="24"/>
          <w:szCs w:val="24"/>
          <w:lang w:val="en-US"/>
        </w:rPr>
        <w:t>Abstract</w:t>
      </w:r>
    </w:p>
    <w:p w14:paraId="1AF8A547" w14:textId="002541BB" w:rsidR="00D80693" w:rsidRPr="00570B74" w:rsidRDefault="00D80693" w:rsidP="00D80693">
      <w:pPr>
        <w:jc w:val="both"/>
        <w:rPr>
          <w:rFonts w:eastAsia="Calibri"/>
          <w:sz w:val="24"/>
          <w:szCs w:val="24"/>
        </w:rPr>
      </w:pPr>
      <w:r w:rsidRPr="00570B74">
        <w:rPr>
          <w:rFonts w:eastAsia="Calibri"/>
          <w:sz w:val="24"/>
          <w:szCs w:val="24"/>
          <w:lang w:val="en-US"/>
        </w:rPr>
        <w:t xml:space="preserve">Inclusive education is established as a central paradigm in contemporary educational policies. </w:t>
      </w:r>
      <w:r w:rsidRPr="00570B74">
        <w:rPr>
          <w:rFonts w:eastAsia="Calibri"/>
          <w:sz w:val="24"/>
          <w:szCs w:val="24"/>
        </w:rPr>
        <w:t xml:space="preserve">Based on a </w:t>
      </w:r>
      <w:proofErr w:type="spellStart"/>
      <w:r w:rsidRPr="00570B74">
        <w:rPr>
          <w:rFonts w:eastAsia="Calibri"/>
          <w:sz w:val="24"/>
          <w:szCs w:val="24"/>
        </w:rPr>
        <w:t>humanistic</w:t>
      </w:r>
      <w:proofErr w:type="spellEnd"/>
      <w:r w:rsidRPr="00570B74">
        <w:rPr>
          <w:rFonts w:eastAsia="Calibri"/>
          <w:sz w:val="24"/>
          <w:szCs w:val="24"/>
        </w:rPr>
        <w:t xml:space="preserve"> approach to equity and social justice, it aims to ensure the participation of all learners, regardless of their differences. This article offers a theoretical analysis of the concept of inclusive education, drawing on major conceptual and normative contributions. It explores its characteristics and dimensions, its pedagogical implications, and its potential for transforming the educational system. The analysis also highlights structural, semantic, and institutional limitations in its implementation. Inclusive education thus appears as an ambitious theoretical </w:t>
      </w:r>
      <w:proofErr w:type="gramStart"/>
      <w:r w:rsidRPr="00570B74">
        <w:rPr>
          <w:rFonts w:eastAsia="Calibri"/>
          <w:sz w:val="24"/>
          <w:szCs w:val="24"/>
        </w:rPr>
        <w:t>construct, yet</w:t>
      </w:r>
      <w:proofErr w:type="gramEnd"/>
      <w:r w:rsidRPr="00570B74">
        <w:rPr>
          <w:rFonts w:eastAsia="Calibri"/>
          <w:sz w:val="24"/>
          <w:szCs w:val="24"/>
        </w:rPr>
        <w:t xml:space="preserve"> still weakened by tensions between ethical ideals and practical realities.</w:t>
      </w:r>
    </w:p>
    <w:p w14:paraId="5525545B" w14:textId="77777777" w:rsidR="00570B74" w:rsidRDefault="00570B74" w:rsidP="00D80693">
      <w:pPr>
        <w:jc w:val="both"/>
        <w:rPr>
          <w:rFonts w:eastAsia="sans-serif"/>
          <w:color w:val="111111"/>
          <w:sz w:val="24"/>
          <w:szCs w:val="24"/>
          <w:lang w:val="en-US"/>
        </w:rPr>
      </w:pPr>
    </w:p>
    <w:p w14:paraId="4FE94B0A" w14:textId="77777777" w:rsidR="00D80693" w:rsidRDefault="00D80693" w:rsidP="00D80693">
      <w:pPr>
        <w:spacing w:line="276" w:lineRule="auto"/>
        <w:jc w:val="both"/>
        <w:rPr>
          <w:rFonts w:eastAsia="sans-serif"/>
          <w:color w:val="111111"/>
          <w:sz w:val="24"/>
          <w:szCs w:val="24"/>
          <w:lang w:val="en-US"/>
        </w:rPr>
      </w:pPr>
      <w:r w:rsidRPr="00570B74">
        <w:rPr>
          <w:rFonts w:eastAsia="sans-serif"/>
          <w:b/>
          <w:bCs/>
          <w:color w:val="111111"/>
          <w:sz w:val="24"/>
          <w:szCs w:val="24"/>
          <w:lang w:val="en-US"/>
        </w:rPr>
        <w:t>Keywords:</w:t>
      </w:r>
      <w:r>
        <w:rPr>
          <w:rFonts w:eastAsia="sans-serif"/>
          <w:color w:val="111111"/>
          <w:sz w:val="24"/>
          <w:szCs w:val="24"/>
          <w:lang w:val="en-US"/>
        </w:rPr>
        <w:t xml:space="preserve"> Theoretical analysis, inclusive education, equity, social justice, educational policies.</w:t>
      </w:r>
    </w:p>
    <w:p w14:paraId="43F0ABF4" w14:textId="77777777" w:rsidR="00D80693" w:rsidRDefault="00D80693" w:rsidP="00D80693">
      <w:pPr>
        <w:spacing w:line="276" w:lineRule="auto"/>
        <w:jc w:val="both"/>
        <w:rPr>
          <w:rFonts w:eastAsia="sans-serif"/>
          <w:color w:val="111111"/>
          <w:sz w:val="24"/>
          <w:szCs w:val="24"/>
          <w:lang w:val="en-US"/>
        </w:rPr>
      </w:pPr>
    </w:p>
    <w:p w14:paraId="03018A02" w14:textId="77777777" w:rsidR="00D80693" w:rsidRDefault="00D80693" w:rsidP="00D80693">
      <w:pPr>
        <w:spacing w:line="276" w:lineRule="auto"/>
        <w:jc w:val="both"/>
        <w:rPr>
          <w:rFonts w:eastAsia="sans-serif"/>
          <w:color w:val="111111"/>
          <w:sz w:val="24"/>
          <w:szCs w:val="24"/>
          <w:lang w:val="en-US"/>
        </w:rPr>
      </w:pPr>
    </w:p>
    <w:p w14:paraId="6D182473" w14:textId="77777777" w:rsidR="00D80693" w:rsidRDefault="00D80693" w:rsidP="00D80693">
      <w:pPr>
        <w:spacing w:line="276" w:lineRule="auto"/>
        <w:jc w:val="both"/>
        <w:rPr>
          <w:rFonts w:eastAsia="sans-serif"/>
          <w:color w:val="111111"/>
          <w:sz w:val="24"/>
          <w:szCs w:val="24"/>
          <w:lang w:val="en-US"/>
        </w:rPr>
      </w:pPr>
    </w:p>
    <w:p w14:paraId="523B32AF" w14:textId="77777777" w:rsidR="00D80693" w:rsidRDefault="00D80693" w:rsidP="00D80693">
      <w:pPr>
        <w:spacing w:line="276" w:lineRule="auto"/>
        <w:jc w:val="both"/>
        <w:rPr>
          <w:rFonts w:eastAsia="sans-serif"/>
          <w:color w:val="111111"/>
          <w:sz w:val="24"/>
          <w:szCs w:val="24"/>
          <w:lang w:val="en-US"/>
        </w:rPr>
      </w:pPr>
    </w:p>
    <w:p w14:paraId="44144B80" w14:textId="77777777" w:rsidR="00D80693" w:rsidRDefault="00D80693" w:rsidP="00D80693">
      <w:pPr>
        <w:spacing w:line="276" w:lineRule="auto"/>
        <w:jc w:val="both"/>
        <w:rPr>
          <w:rFonts w:eastAsia="sans-serif"/>
          <w:color w:val="111111"/>
          <w:sz w:val="24"/>
          <w:szCs w:val="24"/>
          <w:lang w:val="en-US"/>
        </w:rPr>
      </w:pPr>
    </w:p>
    <w:p w14:paraId="59A144DD" w14:textId="77777777" w:rsidR="00D80693" w:rsidRDefault="00D80693" w:rsidP="00D80693">
      <w:pPr>
        <w:rPr>
          <w:rFonts w:eastAsia="Calibri"/>
          <w:b/>
          <w:bCs/>
          <w:sz w:val="28"/>
          <w:szCs w:val="28"/>
          <w:lang w:val="en-US"/>
        </w:rPr>
      </w:pPr>
    </w:p>
    <w:p w14:paraId="1ADBCA8C" w14:textId="77777777" w:rsidR="00D80693" w:rsidRDefault="00D80693" w:rsidP="00D80693">
      <w:pPr>
        <w:rPr>
          <w:rFonts w:eastAsia="Calibri"/>
          <w:b/>
          <w:bCs/>
          <w:sz w:val="28"/>
          <w:szCs w:val="28"/>
          <w:lang w:val="en-US"/>
        </w:rPr>
      </w:pPr>
    </w:p>
    <w:p w14:paraId="7CF624CA" w14:textId="77777777" w:rsidR="00D80693" w:rsidRDefault="00D80693" w:rsidP="00D80693">
      <w:pPr>
        <w:rPr>
          <w:rFonts w:eastAsia="Calibri"/>
          <w:b/>
          <w:bCs/>
          <w:sz w:val="28"/>
          <w:szCs w:val="28"/>
          <w:lang w:val="en-US"/>
        </w:rPr>
      </w:pPr>
    </w:p>
    <w:p w14:paraId="0AC5C211" w14:textId="77777777" w:rsidR="00570B74" w:rsidRDefault="00570B74">
      <w:pPr>
        <w:rPr>
          <w:rFonts w:eastAsia="Calibri"/>
          <w:b/>
          <w:bCs/>
          <w:sz w:val="28"/>
          <w:szCs w:val="28"/>
        </w:rPr>
      </w:pPr>
      <w:r>
        <w:rPr>
          <w:rFonts w:eastAsia="Calibri"/>
          <w:b/>
          <w:bCs/>
          <w:sz w:val="28"/>
          <w:szCs w:val="28"/>
        </w:rPr>
        <w:br w:type="page"/>
      </w:r>
    </w:p>
    <w:p w14:paraId="09EE419D" w14:textId="4CEBBD30" w:rsidR="00D80693" w:rsidRDefault="00D80693" w:rsidP="00570B74">
      <w:pPr>
        <w:spacing w:before="120"/>
        <w:rPr>
          <w:rFonts w:eastAsia="Calibri"/>
          <w:b/>
          <w:bCs/>
          <w:sz w:val="28"/>
          <w:szCs w:val="28"/>
        </w:rPr>
      </w:pPr>
      <w:r>
        <w:rPr>
          <w:rFonts w:eastAsia="Calibri"/>
          <w:b/>
          <w:bCs/>
          <w:sz w:val="28"/>
          <w:szCs w:val="28"/>
        </w:rPr>
        <w:t>Introduction</w:t>
      </w:r>
    </w:p>
    <w:p w14:paraId="1457CAA0" w14:textId="77777777" w:rsidR="00D80693" w:rsidRDefault="00D80693" w:rsidP="00570B74">
      <w:pPr>
        <w:spacing w:before="120"/>
        <w:jc w:val="both"/>
        <w:rPr>
          <w:rFonts w:eastAsia="Calibri"/>
          <w:sz w:val="24"/>
          <w:szCs w:val="24"/>
        </w:rPr>
      </w:pPr>
      <w:r>
        <w:rPr>
          <w:rFonts w:eastAsiaTheme="minorHAnsi"/>
          <w:sz w:val="24"/>
          <w:szCs w:val="24"/>
        </w:rPr>
        <w:t>Face aux profondes mutations pédagogiques, l’éducation inclusive s’impose comme une composante fondamentale des programmes de développement du capital humain</w:t>
      </w:r>
      <w:r>
        <w:rPr>
          <w:rFonts w:eastAsia="Calibri"/>
          <w:sz w:val="24"/>
          <w:szCs w:val="24"/>
        </w:rPr>
        <w:t>.  De fait, L’UNESCO (2005) définit l’éducation inclusive comme</w:t>
      </w:r>
      <w:r>
        <w:rPr>
          <w:rFonts w:eastAsiaTheme="minorHAnsi"/>
          <w:sz w:val="24"/>
          <w:szCs w:val="24"/>
        </w:rPr>
        <w:t> « le processus d’identification et de réponse à la diversité des besoins de tous les élèves grâce à une plus grande participation à l’apprentissage, aux cultures et aux communautés, et à réduire l’exclusion dans l’éducation ». Elle</w:t>
      </w:r>
      <w:r>
        <w:rPr>
          <w:rFonts w:eastAsia="Calibri"/>
          <w:sz w:val="24"/>
          <w:szCs w:val="24"/>
        </w:rPr>
        <w:t xml:space="preserve"> est basée sur le principe que chaque enfant a des caractéristiques, des intérêts, des capacités et des besoins d’apprentissage différents et que ce devraient être les systèmes éducatifs et les programmes éducatifs qui sont conçus, adaptés à leurs différents besoins.</w:t>
      </w:r>
      <w:r>
        <w:rPr>
          <w:rFonts w:eastAsiaTheme="minorHAnsi"/>
          <w:sz w:val="24"/>
          <w:szCs w:val="24"/>
        </w:rPr>
        <w:t xml:space="preserve"> </w:t>
      </w:r>
      <w:r>
        <w:rPr>
          <w:rFonts w:eastAsia="Calibri"/>
          <w:sz w:val="24"/>
          <w:szCs w:val="24"/>
        </w:rPr>
        <w:t xml:space="preserve">L’éducation inclusive est un modèle d’éducation qui vise à répondre aux besoins de tous les enfants, jeunes et adultes, en particulier compte tenu des cas dans lesquels il peut y avoir un risque d’exclusion sociale ainsi que de garantir l’accès à une éducation de qualité, avec des chances égales, juste et équitable pour tous.  </w:t>
      </w:r>
    </w:p>
    <w:p w14:paraId="07052482" w14:textId="77777777" w:rsidR="00D80693" w:rsidRDefault="00D80693" w:rsidP="00570B74">
      <w:pPr>
        <w:spacing w:before="120"/>
        <w:jc w:val="both"/>
        <w:rPr>
          <w:rFonts w:eastAsia="Calibri"/>
          <w:sz w:val="24"/>
          <w:szCs w:val="24"/>
        </w:rPr>
      </w:pPr>
      <w:r>
        <w:rPr>
          <w:rFonts w:eastAsia="Calibri"/>
          <w:sz w:val="24"/>
          <w:szCs w:val="24"/>
        </w:rPr>
        <w:t xml:space="preserve">Selon les données de l’UNESCO (2020), il y a actuellement plus de 262 millions d’enfants et de jeunes non scolarisés, et 6 sur 10 n’ont pas acquis, après plusieurs années d’études, les compétences de base de la lecture, de l’écriture et du calcul, ce qui perpétue la pauvreté et la marginalisation. Loin d’être une question marginale sur la manière dont certains élèves peuvent être intégrés dans le courant dominant, il s’agit de réfléchir à la manière de transformer les systèmes éducatifs au niveau mondial pour répondre à la diversité et aux besoins des élèves. L’éducation inclusive implique un droit à l’éducation. Ce droit reconnaît à tous les enfants la capacité à apprendre dans une atmosphère équitable. Une attention particulière est accordée à tous les apprenants sans distinction de sexe, de race et de religion. Selon les données de Handicap international (2018), plus de 264 millions d’enfants et de jeunes n’ont pas accès à l’école ou sont déscolarisés. Un tiers d’entre eux sont handicapés. Ils constituent donc le plus large groupe d’enfants hors école. Très souvent, même lorsque l’accès à l’école leur est possible, leur maintien s’avère difficile du fait des contraintes imposées par l’environnement qui ne prend pas, ou pas suffisamment en compte leurs besoins spécifiques. </w:t>
      </w:r>
    </w:p>
    <w:p w14:paraId="6B565488" w14:textId="77777777" w:rsidR="00D80693" w:rsidRDefault="00D80693" w:rsidP="00570B74">
      <w:pPr>
        <w:spacing w:before="120"/>
        <w:jc w:val="both"/>
        <w:rPr>
          <w:rFonts w:eastAsia="Calibri"/>
          <w:sz w:val="24"/>
          <w:szCs w:val="24"/>
        </w:rPr>
      </w:pPr>
      <w:r>
        <w:rPr>
          <w:rFonts w:eastAsia="Calibri"/>
          <w:sz w:val="24"/>
          <w:szCs w:val="24"/>
        </w:rPr>
        <w:t>À l’évidence, il est question de plus en plus de promotion d’une école pour tous (EPT). Par exemple, les résultats préliminaires des consultations des états généraux de l’éducation nationale et de l’alphabétisation (EGENA) en Côte d’Ivoire, tenues le 19 juillet 2021, plaide dans la piste d’action 1 pour des « Écoles inclusives, équitables, sûres et saines ». Une école inclusive commande de donner une chance à chaque enfant d’avoir accès à l’école. Depuis, une loi a été votée dans ce sens sur la « la scolarisation obligatoire » par l’état ivoirien en 2015.</w:t>
      </w:r>
    </w:p>
    <w:p w14:paraId="69F5E648" w14:textId="77777777" w:rsidR="00D80693" w:rsidRDefault="00D80693" w:rsidP="00570B74">
      <w:pPr>
        <w:spacing w:before="120"/>
        <w:jc w:val="both"/>
        <w:rPr>
          <w:rFonts w:eastAsia="Calibri"/>
          <w:sz w:val="24"/>
          <w:szCs w:val="24"/>
        </w:rPr>
      </w:pPr>
      <w:r>
        <w:rPr>
          <w:rFonts w:eastAsia="Calibri"/>
          <w:sz w:val="24"/>
          <w:szCs w:val="24"/>
        </w:rPr>
        <w:t xml:space="preserve">D’ailleurs, </w:t>
      </w:r>
      <w:bookmarkStart w:id="367" w:name="_Hlk214966488"/>
      <w:r>
        <w:rPr>
          <w:rFonts w:eastAsia="Calibri"/>
          <w:sz w:val="24"/>
          <w:szCs w:val="24"/>
        </w:rPr>
        <w:t xml:space="preserve">l’Objectif de développement durable n°4 vise à garantir une éducation inclusive, équitable et de qualité, et à promouvoir l’apprentissage tout au long de la vie pour tous les individus, quel que soit leur âge, leur sexe, leur origine sociale ou leur condition (ONU, 2015). </w:t>
      </w:r>
      <w:bookmarkEnd w:id="367"/>
      <w:r>
        <w:rPr>
          <w:rFonts w:eastAsia="Calibri"/>
          <w:sz w:val="24"/>
          <w:szCs w:val="24"/>
        </w:rPr>
        <w:t>Au fond, elle incarne la volonté des systèmes éducatifs de garantir à chaque apprenant le droit de participer pleinement à la vie scolaire, indépendamment de ses caractéristiques physiques, sociales, culturelles ou cognitives.</w:t>
      </w:r>
    </w:p>
    <w:p w14:paraId="1990422F" w14:textId="77777777" w:rsidR="00D80693" w:rsidRDefault="00D80693" w:rsidP="00570B74">
      <w:pPr>
        <w:spacing w:before="120"/>
        <w:jc w:val="both"/>
        <w:rPr>
          <w:rFonts w:eastAsia="Calibri"/>
          <w:sz w:val="24"/>
          <w:szCs w:val="24"/>
        </w:rPr>
      </w:pPr>
      <w:r>
        <w:rPr>
          <w:rFonts w:eastAsia="Calibri"/>
          <w:sz w:val="24"/>
          <w:szCs w:val="24"/>
        </w:rPr>
        <w:t>Malgré les avancées discursives et institutionnelles, la traduction concrète du principe d’inclusion reste problématique. L’éducation inclusive, censée représenter une école ouverte à tous, se heurte à des tensions multiples : entre les idéaux éthiques de justice et d’équité, et les réalités structurelles des systèmes éducatifs ; entre une conception universaliste de l’école et la prise en compte des singularités individuelles. Ainsi donc comment l’éducation inclusive, en tant que concept théorique et principe éducatif, peut-elle concilier son ambition universaliste d’équité et de participation avec les contraintes institutionnelles, pédagogiques et sociales qui limitent sa mise en œuvre effective ?</w:t>
      </w:r>
    </w:p>
    <w:p w14:paraId="4E47B960" w14:textId="77777777" w:rsidR="00D80693" w:rsidRDefault="00D80693" w:rsidP="00570B74">
      <w:pPr>
        <w:spacing w:before="120"/>
        <w:jc w:val="both"/>
        <w:rPr>
          <w:rFonts w:eastAsia="Calibri"/>
          <w:sz w:val="24"/>
          <w:szCs w:val="24"/>
        </w:rPr>
      </w:pPr>
      <w:r>
        <w:rPr>
          <w:rFonts w:eastAsia="Calibri" w:cstheme="minorBidi"/>
          <w:sz w:val="24"/>
          <w:szCs w:val="24"/>
        </w:rPr>
        <w:t>Cette interrogation suppose d’analyser l’éducation inclusive non pas seulement comme une politique d’intégration, mais comme un cadre de pensée critique sur la manière dont les systèmes éducatifs construisent la normalité, la différence et la réussite.</w:t>
      </w:r>
    </w:p>
    <w:p w14:paraId="309F6979" w14:textId="77777777" w:rsidR="00D80693" w:rsidRDefault="00D80693" w:rsidP="00570B74">
      <w:pPr>
        <w:spacing w:before="120"/>
        <w:jc w:val="both"/>
        <w:rPr>
          <w:rFonts w:eastAsia="Calibri"/>
          <w:sz w:val="24"/>
          <w:szCs w:val="24"/>
        </w:rPr>
      </w:pPr>
      <w:r>
        <w:rPr>
          <w:rFonts w:eastAsiaTheme="minorHAnsi"/>
          <w:sz w:val="24"/>
          <w:szCs w:val="24"/>
        </w:rPr>
        <w:t>L’objectif de cet article est d’examiner, à partir d’une analyse théorique, la consistance conceptuelle de l’éducation inclusive en élucidant ses caractéristiques et dimensions, ses perspectives, mais aussi les limites qui entravent sa mise en œuvre réelle.</w:t>
      </w:r>
    </w:p>
    <w:p w14:paraId="6E9E1960" w14:textId="77777777" w:rsidR="00D80693" w:rsidRDefault="00D80693" w:rsidP="00570B74">
      <w:pPr>
        <w:spacing w:before="120"/>
        <w:jc w:val="both"/>
        <w:rPr>
          <w:rFonts w:eastAsia="Calibri"/>
          <w:sz w:val="24"/>
          <w:szCs w:val="24"/>
        </w:rPr>
      </w:pPr>
      <w:r>
        <w:rPr>
          <w:rFonts w:eastAsiaTheme="minorHAnsi"/>
          <w:sz w:val="24"/>
          <w:szCs w:val="24"/>
        </w:rPr>
        <w:t>La particularité de cette étude repose sur une inversion théorique qui révèle que contrairement à l’intégration scolaire (adaptation de l’élève à l’école), l’inclusion quant à elle transforme l’école pour qu’elle soit accessible à tous (</w:t>
      </w:r>
      <w:proofErr w:type="spellStart"/>
      <w:r>
        <w:rPr>
          <w:rFonts w:eastAsiaTheme="minorHAnsi"/>
          <w:sz w:val="24"/>
          <w:szCs w:val="24"/>
        </w:rPr>
        <w:t>Ainscow</w:t>
      </w:r>
      <w:proofErr w:type="spellEnd"/>
      <w:r>
        <w:rPr>
          <w:rFonts w:eastAsiaTheme="minorHAnsi"/>
          <w:sz w:val="24"/>
          <w:szCs w:val="24"/>
        </w:rPr>
        <w:t xml:space="preserve"> &amp; Booth, 2002). Ce changement paradigmatique repose sur une conception élargie de la théorie de la justice éducative. Selon Rawls (1971), la justice sociale consiste à garantir l’égalité des chances dans un cadre institutionnel équitable. Cette approche est prolongée par la théorie des capabilités de Sen (1999), pour qui la justice réside dans la capacité effective des individus à exercer leurs libertés et à participer à la société. L’éducation inclusive s’inscrit ainsi dans une perspective éthique et politique de développement humain.</w:t>
      </w:r>
    </w:p>
    <w:p w14:paraId="42407096" w14:textId="77777777" w:rsidR="00D80693" w:rsidRDefault="00D80693" w:rsidP="00570B74">
      <w:pPr>
        <w:spacing w:before="120"/>
        <w:jc w:val="both"/>
        <w:rPr>
          <w:rFonts w:eastAsia="Calibri"/>
          <w:sz w:val="24"/>
          <w:szCs w:val="24"/>
        </w:rPr>
      </w:pPr>
      <w:r>
        <w:rPr>
          <w:rFonts w:eastAsia="Calibri"/>
          <w:sz w:val="24"/>
          <w:szCs w:val="24"/>
        </w:rPr>
        <w:t>Dans cette étude qui se veut théorique, nous présenterons dans un premier temps le cadre conceptuel et l’évolution de l’éducation inclusive. Dans un deuxième temps, nous dégagerons les dimensions de l’éducation inclusive</w:t>
      </w:r>
      <w:r>
        <w:rPr>
          <w:rFonts w:eastAsia="Calibri"/>
          <w:color w:val="EE0000"/>
          <w:sz w:val="24"/>
          <w:szCs w:val="24"/>
        </w:rPr>
        <w:t xml:space="preserve"> </w:t>
      </w:r>
      <w:r>
        <w:rPr>
          <w:rFonts w:eastAsia="Calibri"/>
          <w:sz w:val="24"/>
          <w:szCs w:val="24"/>
        </w:rPr>
        <w:t xml:space="preserve">et les caractéristiques de l’éducation inclusive. Dans un troisième temps, nous aborderons les perspectives et les limites de l’éducation inclusive. </w:t>
      </w:r>
    </w:p>
    <w:p w14:paraId="3D2BF5F2" w14:textId="77777777" w:rsidR="00D80693" w:rsidRDefault="00D80693" w:rsidP="00570B74">
      <w:pPr>
        <w:pStyle w:val="Paragraphedeliste"/>
        <w:widowControl/>
        <w:numPr>
          <w:ilvl w:val="0"/>
          <w:numId w:val="207"/>
        </w:numPr>
        <w:autoSpaceDE/>
        <w:autoSpaceDN/>
        <w:rPr>
          <w:rFonts w:eastAsia="Calibri"/>
          <w:b/>
          <w:bCs/>
          <w:sz w:val="28"/>
          <w:szCs w:val="28"/>
        </w:rPr>
      </w:pPr>
      <w:r>
        <w:rPr>
          <w:rFonts w:eastAsia="Calibri"/>
          <w:b/>
          <w:bCs/>
          <w:sz w:val="28"/>
          <w:szCs w:val="28"/>
        </w:rPr>
        <w:t xml:space="preserve">Cadre conceptuel et évolution du concept de l’éducation inclusive </w:t>
      </w:r>
    </w:p>
    <w:p w14:paraId="0C32499C" w14:textId="77777777" w:rsidR="00D80693" w:rsidRDefault="00D80693" w:rsidP="00570B74">
      <w:pPr>
        <w:pStyle w:val="Paragraphedeliste"/>
        <w:widowControl/>
        <w:numPr>
          <w:ilvl w:val="1"/>
          <w:numId w:val="207"/>
        </w:numPr>
        <w:autoSpaceDE/>
        <w:autoSpaceDN/>
        <w:rPr>
          <w:rFonts w:eastAsia="Calibri"/>
          <w:b/>
          <w:bCs/>
          <w:sz w:val="24"/>
          <w:szCs w:val="24"/>
        </w:rPr>
      </w:pPr>
      <w:r>
        <w:rPr>
          <w:rFonts w:eastAsia="Calibri"/>
          <w:b/>
          <w:bCs/>
          <w:sz w:val="24"/>
          <w:szCs w:val="24"/>
        </w:rPr>
        <w:t xml:space="preserve"> Évolution du concept de l’éducation inclusive</w:t>
      </w:r>
    </w:p>
    <w:p w14:paraId="003E9255" w14:textId="77777777" w:rsidR="00D80693" w:rsidRDefault="00D80693" w:rsidP="00570B74">
      <w:pPr>
        <w:spacing w:before="120"/>
        <w:jc w:val="both"/>
        <w:rPr>
          <w:rFonts w:eastAsia="Calibri"/>
          <w:sz w:val="24"/>
          <w:szCs w:val="24"/>
        </w:rPr>
      </w:pPr>
      <w:r>
        <w:rPr>
          <w:rFonts w:eastAsia="Calibri"/>
          <w:sz w:val="24"/>
          <w:szCs w:val="24"/>
        </w:rPr>
        <w:t xml:space="preserve">L’histoire de l’éducation inclusive s’étale sur trois périodes que sont : l'époque d'isolement et de ségrégation, l'époque de la spécialisation des services et l'époque du mouvement de l'intégration sociale et de l'éducation inclusive. </w:t>
      </w:r>
    </w:p>
    <w:p w14:paraId="7B80843E" w14:textId="77777777" w:rsidR="00D80693" w:rsidRDefault="00D80693" w:rsidP="00570B74">
      <w:pPr>
        <w:spacing w:before="120"/>
        <w:jc w:val="both"/>
        <w:rPr>
          <w:rFonts w:eastAsia="Calibri"/>
          <w:sz w:val="24"/>
          <w:szCs w:val="24"/>
        </w:rPr>
      </w:pPr>
      <w:r>
        <w:rPr>
          <w:rFonts w:eastAsia="Calibri"/>
          <w:sz w:val="24"/>
          <w:szCs w:val="24"/>
        </w:rPr>
        <w:t>Avant la Deuxième Guerre mondiale, les enfants vivant avec des différences comme les </w:t>
      </w:r>
      <w:hyperlink r:id="rId183" w:history="1">
        <w:r>
          <w:rPr>
            <w:rFonts w:eastAsia="Calibri"/>
            <w:color w:val="000000"/>
            <w:sz w:val="24"/>
            <w:szCs w:val="24"/>
          </w:rPr>
          <w:t>handicaps</w:t>
        </w:r>
      </w:hyperlink>
      <w:r>
        <w:rPr>
          <w:rFonts w:eastAsia="Calibri"/>
          <w:color w:val="000000"/>
          <w:sz w:val="24"/>
          <w:szCs w:val="24"/>
        </w:rPr>
        <w:t> </w:t>
      </w:r>
      <w:r>
        <w:rPr>
          <w:rFonts w:eastAsia="Calibri"/>
          <w:sz w:val="24"/>
          <w:szCs w:val="24"/>
        </w:rPr>
        <w:t xml:space="preserve">étaient généralement cachés par leurs parents et tenus à l'écart de leur communauté et des services. À cette époque, les services spécialisés n'existaient pas. Les données scientifiques sur les maladies et les handicaps étaient absents. Les crèches étaient les seuls lieux qui accueillaient les enfants abandonnés ou ayant besoin d'un substitut familial en raison des diverses difficultés des familles à assumer leur rôle éducatif : difficultés liées à la maladie, à la mortalité, etc. </w:t>
      </w:r>
    </w:p>
    <w:p w14:paraId="0C5E35AA" w14:textId="77777777" w:rsidR="00D80693" w:rsidRDefault="00D80693" w:rsidP="00570B74">
      <w:pPr>
        <w:spacing w:before="120"/>
        <w:jc w:val="both"/>
        <w:rPr>
          <w:rFonts w:eastAsia="Calibri"/>
          <w:sz w:val="24"/>
          <w:szCs w:val="24"/>
        </w:rPr>
      </w:pPr>
      <w:r>
        <w:rPr>
          <w:rFonts w:eastAsia="Calibri"/>
          <w:sz w:val="24"/>
          <w:szCs w:val="24"/>
        </w:rPr>
        <w:t>Après la seconde guerre mondiale, les chercheurs et spécialistes dans le domaine médical ont été les premiers à s'intéresser et à comprendre les problématiques des enfants ayant des différences comme les </w:t>
      </w:r>
      <w:hyperlink r:id="rId184" w:history="1">
        <w:r>
          <w:rPr>
            <w:rFonts w:eastAsia="Calibri"/>
            <w:color w:val="000000"/>
            <w:sz w:val="24"/>
            <w:szCs w:val="24"/>
          </w:rPr>
          <w:t>déficiences</w:t>
        </w:r>
      </w:hyperlink>
      <w:r>
        <w:rPr>
          <w:rFonts w:eastAsia="Calibri"/>
          <w:color w:val="000000"/>
          <w:sz w:val="24"/>
          <w:szCs w:val="24"/>
        </w:rPr>
        <w:t> </w:t>
      </w:r>
      <w:r>
        <w:rPr>
          <w:rFonts w:eastAsia="Calibri"/>
          <w:sz w:val="24"/>
          <w:szCs w:val="24"/>
        </w:rPr>
        <w:t xml:space="preserve">ou les handicaps. Ces périodes ont permis le développement des connaissances et des services spécialisés aux différentes clientèles d'enfants. D'autres secteurs d'activités de la santé et des services sociaux se sont développés : psychologie, psychiatrie, services sociaux, services médicaux spécialisés comme l'orthophonie, la physiothérapie ou l'ergothérapie pour ne donner que quelques exemples. À ces époques, les services spécialisés ont connu un développement fulgurant : hôpitaux spécialisés, centres d'accueil, centres spécialisés de stimulation précoce, écoles spécialisées ou classes spéciales. </w:t>
      </w:r>
    </w:p>
    <w:p w14:paraId="153D7548" w14:textId="77777777" w:rsidR="00D80693" w:rsidRDefault="00D80693" w:rsidP="00570B74">
      <w:pPr>
        <w:spacing w:before="120"/>
        <w:jc w:val="both"/>
        <w:rPr>
          <w:rFonts w:eastAsia="Calibri"/>
          <w:b/>
          <w:bCs/>
          <w:sz w:val="24"/>
          <w:szCs w:val="24"/>
        </w:rPr>
      </w:pPr>
      <w:r>
        <w:rPr>
          <w:rFonts w:eastAsia="Calibri"/>
          <w:sz w:val="24"/>
          <w:szCs w:val="24"/>
        </w:rPr>
        <w:t>La fin du vingtième siècle, l'approche socio-philosophique de la normalisation, de l'intégration sociale, de la valorisation des rôles sociaux et de l'éducation inclusive a permis de démontrer les effets sociaux négatifs des services ségrégués. Ces conceptions de normalisation et d'intégration prennent leur origine dans le mouvement de la désinstitutionalisation et de l'élimination des écoles spécialisées. Cette approche a suscité des changements dans la conception, l'analyse et la compréhension de ces problématiques et aussi dans la façon d'offrir des services. La base socio-philosophique de ces différentes conceptions est essentiellement la même. Elle prône le développement du plein potentiel des personnes dans son milieu de vie, incluant celles vivant avec une déficience ou un handicap.</w:t>
      </w:r>
    </w:p>
    <w:p w14:paraId="71C8F94F" w14:textId="77777777" w:rsidR="00D80693" w:rsidRDefault="00D80693" w:rsidP="00570B74">
      <w:pPr>
        <w:pStyle w:val="Paragraphedeliste"/>
        <w:widowControl/>
        <w:numPr>
          <w:ilvl w:val="1"/>
          <w:numId w:val="207"/>
        </w:numPr>
        <w:autoSpaceDE/>
        <w:autoSpaceDN/>
        <w:rPr>
          <w:rFonts w:eastAsia="Calibri"/>
          <w:b/>
          <w:bCs/>
          <w:sz w:val="24"/>
          <w:szCs w:val="24"/>
        </w:rPr>
      </w:pPr>
      <w:r>
        <w:rPr>
          <w:rFonts w:eastAsia="Calibri"/>
          <w:b/>
          <w:bCs/>
          <w:sz w:val="24"/>
          <w:szCs w:val="24"/>
        </w:rPr>
        <w:t xml:space="preserve"> Clarification du concept de l’éducation inclusive </w:t>
      </w:r>
    </w:p>
    <w:p w14:paraId="461147B5" w14:textId="77777777" w:rsidR="00D80693" w:rsidRDefault="00D80693" w:rsidP="00570B74">
      <w:pPr>
        <w:spacing w:before="120"/>
        <w:jc w:val="both"/>
        <w:rPr>
          <w:rFonts w:eastAsia="Calibri"/>
          <w:sz w:val="24"/>
          <w:szCs w:val="24"/>
        </w:rPr>
      </w:pPr>
      <w:r>
        <w:rPr>
          <w:rFonts w:eastAsia="Calibri"/>
          <w:sz w:val="24"/>
          <w:szCs w:val="24"/>
        </w:rPr>
        <w:t>Pour soutenir notre réflexion, nous allons nous appuyer sur ce concept clé de notre recherche qu’est l’éducation inclusive. Elle est conçue comme un processus permanent et continu visant, entre autres, à transformer les environnements d'apprentissage afin de soutenir la présence, la participation et l’apprentissage de tous les élèves, garantissant ainsi l'équité et l'égalité des chances de succès pour toutes et tous (</w:t>
      </w:r>
      <w:proofErr w:type="spellStart"/>
      <w:r>
        <w:rPr>
          <w:rFonts w:eastAsia="Calibri"/>
          <w:sz w:val="24"/>
          <w:szCs w:val="24"/>
        </w:rPr>
        <w:t>Ainscow</w:t>
      </w:r>
      <w:proofErr w:type="spellEnd"/>
      <w:r>
        <w:rPr>
          <w:rFonts w:eastAsia="Calibri"/>
          <w:sz w:val="24"/>
          <w:szCs w:val="24"/>
        </w:rPr>
        <w:t xml:space="preserve">, 2005 ; </w:t>
      </w:r>
      <w:proofErr w:type="spellStart"/>
      <w:r>
        <w:rPr>
          <w:rFonts w:eastAsia="Calibri"/>
          <w:sz w:val="24"/>
          <w:szCs w:val="24"/>
        </w:rPr>
        <w:t>Ainscow</w:t>
      </w:r>
      <w:proofErr w:type="spellEnd"/>
      <w:r>
        <w:rPr>
          <w:rFonts w:eastAsia="Calibri"/>
          <w:sz w:val="24"/>
          <w:szCs w:val="24"/>
        </w:rPr>
        <w:t xml:space="preserve"> et Miles, 2008). Ainsi, les élèves peuvent vivre plusieurs formes d’exclusion bien qu’étant physiquement intégrés (</w:t>
      </w:r>
      <w:proofErr w:type="spellStart"/>
      <w:r>
        <w:rPr>
          <w:rFonts w:eastAsia="Calibri"/>
          <w:sz w:val="24"/>
          <w:szCs w:val="24"/>
        </w:rPr>
        <w:t>Gremion</w:t>
      </w:r>
      <w:proofErr w:type="spellEnd"/>
      <w:r>
        <w:rPr>
          <w:rFonts w:eastAsia="Calibri"/>
          <w:sz w:val="24"/>
          <w:szCs w:val="24"/>
        </w:rPr>
        <w:t xml:space="preserve"> et </w:t>
      </w:r>
      <w:proofErr w:type="spellStart"/>
      <w:r>
        <w:rPr>
          <w:rFonts w:eastAsia="Calibri"/>
          <w:sz w:val="24"/>
          <w:szCs w:val="24"/>
        </w:rPr>
        <w:t>Paratte</w:t>
      </w:r>
      <w:proofErr w:type="spellEnd"/>
      <w:r>
        <w:rPr>
          <w:rFonts w:eastAsia="Calibri"/>
          <w:sz w:val="24"/>
          <w:szCs w:val="24"/>
        </w:rPr>
        <w:t xml:space="preserve">, 2009) lorsqu’on assure leur présence sans soutenir leur participation et leur apprentissage au sein de la classe. Intersectionnalité et inclusion vont de pair puisque lorsque l’on pense à un environnement scolaire inclusif, on ne peut pas envisager les différents marqueurs de diversité de l’élève d'une manière séparée ; on doit prendre en considération l'imbrication de différents marqueurs de diversité et de rapports sociaux (Constantin et al., 2022). </w:t>
      </w:r>
    </w:p>
    <w:p w14:paraId="1FF8B5E9" w14:textId="77777777" w:rsidR="00D80693" w:rsidRDefault="00D80693" w:rsidP="00570B74">
      <w:pPr>
        <w:spacing w:before="120"/>
        <w:jc w:val="both"/>
        <w:rPr>
          <w:rFonts w:eastAsia="Calibri"/>
          <w:sz w:val="24"/>
          <w:szCs w:val="24"/>
        </w:rPr>
      </w:pPr>
      <w:r>
        <w:rPr>
          <w:rFonts w:eastAsia="Calibri"/>
          <w:sz w:val="24"/>
          <w:szCs w:val="24"/>
        </w:rPr>
        <w:t xml:space="preserve">Plusieurs recensions des écrits portant sur l’éducation inclusive ont déjà été produites et permettent de brosser un portrait de ces recherches. Amor et </w:t>
      </w:r>
      <w:r>
        <w:rPr>
          <w:rFonts w:eastAsia="Calibri"/>
          <w:i/>
          <w:iCs/>
          <w:sz w:val="24"/>
          <w:szCs w:val="24"/>
        </w:rPr>
        <w:t>al.</w:t>
      </w:r>
      <w:r>
        <w:rPr>
          <w:rFonts w:eastAsia="Calibri"/>
          <w:sz w:val="24"/>
          <w:szCs w:val="24"/>
        </w:rPr>
        <w:t xml:space="preserve"> (2019) identifient six catégories de recherches portant sur l’éducation inclusive, soit les recherches théoriques, descriptives, portant sur les attitudes, recension des écrits, interventions ainsi que des recherches jugées non inclusives. Hernández-Torrano et al. (2022), quant à eux, soulèvent une augmentation des recherches sur l’éducation inclusive depuis la déclaration de Salamanque.  Ainsi la notion de l’éducation inclusive renvoie à la responsabilité et l’adaptation de la diversité de tous les élèves incombe en premier lieu aux systèmes éducatifs et aux établissements scolaires qui doivent agir pour réduire les obstacles à l'apprentissage et à la participation (Bélanger et Duchesne, 2010 ; UNESCO, 2000). </w:t>
      </w:r>
    </w:p>
    <w:p w14:paraId="2367663E" w14:textId="77777777" w:rsidR="00D80693" w:rsidRDefault="00D80693" w:rsidP="00570B74">
      <w:pPr>
        <w:spacing w:before="120"/>
        <w:jc w:val="both"/>
        <w:rPr>
          <w:rFonts w:eastAsia="Calibri"/>
          <w:sz w:val="24"/>
          <w:szCs w:val="24"/>
        </w:rPr>
      </w:pPr>
      <w:r>
        <w:rPr>
          <w:rFonts w:eastAsia="Calibri"/>
          <w:sz w:val="24"/>
          <w:szCs w:val="24"/>
        </w:rPr>
        <w:t>Dans cette logique, l’éducation inclusive est perçue comme un processus et continu visant, entre autres, à transformer les environnements d'apprentissage afin de soutenir la présence, la participation et l’apprentissage de tous les élèves, garantissant ainsi l'équité et l'égalité des chances de succès pour toutes et tous (</w:t>
      </w:r>
      <w:proofErr w:type="spellStart"/>
      <w:r>
        <w:rPr>
          <w:rFonts w:eastAsia="Calibri"/>
          <w:sz w:val="24"/>
          <w:szCs w:val="24"/>
        </w:rPr>
        <w:t>Ainscow</w:t>
      </w:r>
      <w:proofErr w:type="spellEnd"/>
      <w:r>
        <w:rPr>
          <w:rFonts w:eastAsia="Calibri"/>
          <w:sz w:val="24"/>
          <w:szCs w:val="24"/>
        </w:rPr>
        <w:t xml:space="preserve">, 2005 ; </w:t>
      </w:r>
      <w:proofErr w:type="spellStart"/>
      <w:r>
        <w:rPr>
          <w:rFonts w:eastAsia="Calibri"/>
          <w:sz w:val="24"/>
          <w:szCs w:val="24"/>
        </w:rPr>
        <w:t>Ainscow</w:t>
      </w:r>
      <w:proofErr w:type="spellEnd"/>
      <w:r>
        <w:rPr>
          <w:rFonts w:eastAsia="Calibri"/>
          <w:sz w:val="24"/>
          <w:szCs w:val="24"/>
        </w:rPr>
        <w:t xml:space="preserve"> et Miles, 2008 ; Potvin, 2020). De la sorte, il existe plusieurs formes d’exclusion à savoir :  L’exclusion officielle et l’exclusion insidieuse. En effet, l’exclusion officielle se réfère à l’excommunication religieuse, la mise à l'écart de la société par une autorité, ou encore l'exclusion de preuves en justice. </w:t>
      </w:r>
    </w:p>
    <w:p w14:paraId="50CA0DA6" w14:textId="77777777" w:rsidR="00D80693" w:rsidRDefault="00D80693" w:rsidP="00570B74">
      <w:pPr>
        <w:spacing w:before="120"/>
        <w:jc w:val="both"/>
        <w:rPr>
          <w:rFonts w:eastAsia="Calibri"/>
          <w:sz w:val="24"/>
          <w:szCs w:val="24"/>
        </w:rPr>
      </w:pPr>
      <w:r>
        <w:rPr>
          <w:rFonts w:eastAsia="Calibri"/>
          <w:sz w:val="24"/>
          <w:szCs w:val="24"/>
        </w:rPr>
        <w:t>Quant à l’exclusion insidieuse, il s’agit de celle qui décrit une forme d'exclusion plus subtile et moins visible que l'exclusion directe ou formelle. Elle se manifeste souvent à travers des barrières invisibles qui limitent l'accès aux ressources, à la participation sociale et à la reconnaissance. Elle est due à des facteurs tels que la pauvreté, le racisme ou le manque d'éducation. </w:t>
      </w:r>
    </w:p>
    <w:p w14:paraId="727A6AD3" w14:textId="77777777" w:rsidR="00D80693" w:rsidRDefault="00D80693" w:rsidP="00570B74">
      <w:pPr>
        <w:spacing w:before="120"/>
        <w:jc w:val="both"/>
        <w:rPr>
          <w:rFonts w:eastAsia="Calibri"/>
          <w:sz w:val="24"/>
          <w:szCs w:val="24"/>
        </w:rPr>
      </w:pPr>
      <w:r>
        <w:rPr>
          <w:rFonts w:eastAsia="Calibri"/>
          <w:sz w:val="24"/>
          <w:szCs w:val="24"/>
        </w:rPr>
        <w:t>Pour mieux appréhender le concept de l’éducation inclusive il faut identifier les dimensions et caractéristiques du concept de l’éducation inclusive.</w:t>
      </w:r>
    </w:p>
    <w:p w14:paraId="5D611278" w14:textId="77777777" w:rsidR="00D80693" w:rsidRDefault="00D80693" w:rsidP="00570B74">
      <w:pPr>
        <w:spacing w:before="120"/>
        <w:jc w:val="both"/>
        <w:rPr>
          <w:rFonts w:eastAsia="Calibri"/>
          <w:b/>
          <w:bCs/>
          <w:sz w:val="28"/>
          <w:szCs w:val="28"/>
        </w:rPr>
      </w:pPr>
      <w:r>
        <w:rPr>
          <w:rFonts w:eastAsia="Calibri"/>
          <w:b/>
          <w:bCs/>
          <w:sz w:val="28"/>
          <w:szCs w:val="28"/>
        </w:rPr>
        <w:t xml:space="preserve">2. Les caractéristiques et dimensions de l’éducation inclusive  </w:t>
      </w:r>
    </w:p>
    <w:p w14:paraId="700E5C22" w14:textId="77777777" w:rsidR="00D80693" w:rsidRDefault="00D80693" w:rsidP="00570B74">
      <w:pPr>
        <w:spacing w:before="120"/>
        <w:jc w:val="both"/>
        <w:rPr>
          <w:rFonts w:eastAsia="Calibri"/>
          <w:sz w:val="24"/>
          <w:szCs w:val="24"/>
        </w:rPr>
      </w:pPr>
      <w:r>
        <w:rPr>
          <w:rFonts w:eastAsia="Calibri"/>
          <w:sz w:val="24"/>
          <w:szCs w:val="24"/>
        </w:rPr>
        <w:t>Dans cette partie, nous aborderons les caractéristiques et les dimensions de l’éducation inclusive.</w:t>
      </w:r>
    </w:p>
    <w:p w14:paraId="71F17CAF" w14:textId="77777777" w:rsidR="00D80693" w:rsidRDefault="00D80693" w:rsidP="00570B74">
      <w:pPr>
        <w:spacing w:before="120"/>
        <w:jc w:val="both"/>
        <w:rPr>
          <w:rFonts w:eastAsia="Calibri"/>
          <w:b/>
          <w:bCs/>
          <w:sz w:val="24"/>
          <w:szCs w:val="24"/>
        </w:rPr>
      </w:pPr>
      <w:r>
        <w:rPr>
          <w:rFonts w:eastAsia="Calibri"/>
          <w:b/>
          <w:bCs/>
          <w:sz w:val="24"/>
          <w:szCs w:val="24"/>
        </w:rPr>
        <w:t xml:space="preserve">2.1. Les caractéristiques de l’éducation inclusive </w:t>
      </w:r>
    </w:p>
    <w:p w14:paraId="58493AFC" w14:textId="77777777" w:rsidR="00D80693" w:rsidRDefault="00D80693" w:rsidP="00570B74">
      <w:pPr>
        <w:tabs>
          <w:tab w:val="left" w:pos="2450"/>
        </w:tabs>
        <w:spacing w:before="120"/>
        <w:jc w:val="both"/>
        <w:rPr>
          <w:rFonts w:eastAsia="Calibri"/>
          <w:sz w:val="24"/>
          <w:szCs w:val="24"/>
        </w:rPr>
      </w:pPr>
      <w:r>
        <w:rPr>
          <w:rFonts w:eastAsiaTheme="minorHAnsi"/>
          <w:sz w:val="24"/>
          <w:szCs w:val="24"/>
        </w:rPr>
        <w:t>Sur son site Internet, l'UNICEF (2025) fait les déclarations suivantes sur l'éducation inclusive : « … L'éducation inclusive signifie que tous les enfants sont dans les mêmes classes, dans les mêmes écoles. Cela signifie de réelles possibilités d'apprentissage pour les groupes qui ont traditionnellement été exclus - non seulement les enfants en situation de handicap, mais aussi les locuteurs de langues minoritaires. Au niveau de l'école, les enseignant(es) doivent être formé(es), les bâtiments doivent être réaménagés et les élèves doivent recevoir du matériel pédagogique accessible. Au niveau communautaire, il faut s'attaquer à la stigmatisation et à la discrimination et sensibiliser les individus aux avantages de l'éducation inclusive ». </w:t>
      </w:r>
      <w:r>
        <w:rPr>
          <w:rFonts w:eastAsia="Calibri"/>
          <w:sz w:val="24"/>
          <w:szCs w:val="24"/>
        </w:rPr>
        <w:t>L'éducation inclusive est plus qu'une simple intégration des élèves en situation de handicap. Elle embrasse la diversité sous toutes ses formes, y compris les différences culturelles, linguistiques, de genre, de niveau socio-économique, et les divers styles d'apprentissage. Elle reconnaît que chaque enfant a des besoins uniques et que l'école doit s'adapter pour répondre à cette diversité. </w:t>
      </w:r>
    </w:p>
    <w:p w14:paraId="0C68C7AB" w14:textId="77777777" w:rsidR="00D80693" w:rsidRDefault="00D80693" w:rsidP="00570B74">
      <w:pPr>
        <w:tabs>
          <w:tab w:val="left" w:pos="2450"/>
        </w:tabs>
        <w:spacing w:before="120"/>
        <w:jc w:val="both"/>
        <w:rPr>
          <w:rFonts w:eastAsia="Calibri"/>
          <w:sz w:val="24"/>
          <w:szCs w:val="24"/>
        </w:rPr>
      </w:pPr>
      <w:r>
        <w:rPr>
          <w:rFonts w:eastAsia="Calibri"/>
          <w:sz w:val="24"/>
          <w:szCs w:val="24"/>
        </w:rPr>
        <w:t>Nous pouvons citer plusieurs caractéristiques que sont : le droit de l’éducation pour tous ; la valorisation de la diversité ; l’implication de tous les acteurs du système éducatif ; l’adaptation des méthodes et stratégies pédagogiques ; une communication active entre les parents et les acteurs du système éducatif ; Une attention portée sur les besoins individuels des apprenants ; un environnement propice et sécurisant pour les apprenants et un changement de mentalité.</w:t>
      </w:r>
    </w:p>
    <w:p w14:paraId="2AC090BD" w14:textId="77777777" w:rsidR="00D80693" w:rsidRDefault="00D80693" w:rsidP="00570B74">
      <w:pPr>
        <w:spacing w:before="120"/>
        <w:jc w:val="both"/>
        <w:rPr>
          <w:rFonts w:eastAsia="Calibri"/>
          <w:sz w:val="24"/>
          <w:szCs w:val="24"/>
        </w:rPr>
      </w:pPr>
      <w:r>
        <w:rPr>
          <w:rFonts w:eastAsia="Calibri"/>
          <w:sz w:val="24"/>
          <w:szCs w:val="24"/>
        </w:rPr>
        <w:t>Diagramme 1 : Caractéristiques de l’éducation inclusive</w:t>
      </w:r>
    </w:p>
    <w:p w14:paraId="387D5D2E" w14:textId="77777777" w:rsidR="00D80693" w:rsidRDefault="00D80693" w:rsidP="00570B74">
      <w:pPr>
        <w:spacing w:before="120"/>
        <w:jc w:val="both"/>
        <w:rPr>
          <w:rFonts w:eastAsia="Calibri"/>
          <w:sz w:val="24"/>
          <w:szCs w:val="24"/>
        </w:rPr>
      </w:pPr>
      <w:r>
        <w:rPr>
          <w:rFonts w:eastAsia="Calibri"/>
          <w:sz w:val="24"/>
          <w:szCs w:val="24"/>
        </w:rPr>
        <w:t xml:space="preserve">  </w:t>
      </w:r>
      <w:r>
        <w:rPr>
          <w:noProof/>
          <w:sz w:val="24"/>
          <w:szCs w:val="24"/>
          <w:lang w:val="zh-CN" w:eastAsia="zh-CN"/>
        </w:rPr>
        <w:drawing>
          <wp:inline distT="0" distB="0" distL="0" distR="0" wp14:anchorId="6427C724" wp14:editId="54271528">
            <wp:extent cx="4769485" cy="2352040"/>
            <wp:effectExtent l="0" t="0" r="12065" b="10160"/>
            <wp:docPr id="289111810" name="Image 4" descr="Une image contenant texte, cercl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11810" name="Image 4" descr="Une image contenant texte, cercle, Police, capture d’écran&#10;&#10;Le contenu généré par l’IA peut être incorrect."/>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a:xfrm>
                      <a:off x="0" y="0"/>
                      <a:ext cx="4769485" cy="2352040"/>
                    </a:xfrm>
                    <a:prstGeom prst="rect">
                      <a:avLst/>
                    </a:prstGeom>
                    <a:noFill/>
                    <a:ln>
                      <a:noFill/>
                    </a:ln>
                  </pic:spPr>
                </pic:pic>
              </a:graphicData>
            </a:graphic>
          </wp:inline>
        </w:drawing>
      </w:r>
    </w:p>
    <w:p w14:paraId="3C6C823B" w14:textId="77777777" w:rsidR="00D80693" w:rsidRDefault="00D80693" w:rsidP="00570B74">
      <w:pPr>
        <w:spacing w:before="120"/>
        <w:jc w:val="both"/>
        <w:rPr>
          <w:rFonts w:eastAsia="Calibri"/>
          <w:sz w:val="24"/>
          <w:szCs w:val="24"/>
        </w:rPr>
      </w:pPr>
      <w:r>
        <w:rPr>
          <w:rFonts w:eastAsia="Calibri"/>
          <w:sz w:val="24"/>
          <w:szCs w:val="24"/>
        </w:rPr>
        <w:t>Source : Open éducation, (UNICEF, 2025).</w:t>
      </w:r>
    </w:p>
    <w:p w14:paraId="29CCE714" w14:textId="77777777" w:rsidR="00D80693" w:rsidRDefault="00D80693" w:rsidP="00570B74">
      <w:pPr>
        <w:spacing w:before="120"/>
        <w:jc w:val="both"/>
        <w:rPr>
          <w:rFonts w:eastAsia="Calibri"/>
          <w:sz w:val="24"/>
          <w:szCs w:val="24"/>
        </w:rPr>
      </w:pPr>
      <w:r>
        <w:rPr>
          <w:rFonts w:eastAsia="Calibri"/>
          <w:sz w:val="24"/>
          <w:szCs w:val="24"/>
        </w:rPr>
        <w:t>Selon le diagramme, l’école inclusive doit réunir les aspects suivants :  le changement culturel qui inclut le respect de la diversité et l’apprentissage participatif. En effet, l’école devrait constituer le lieu de socialisation de l’apprenant.</w:t>
      </w:r>
    </w:p>
    <w:p w14:paraId="34C9B558" w14:textId="77777777" w:rsidR="00D80693" w:rsidRDefault="00D80693" w:rsidP="00570B74">
      <w:pPr>
        <w:spacing w:before="120"/>
        <w:jc w:val="both"/>
        <w:rPr>
          <w:rFonts w:eastAsia="Calibri"/>
          <w:b/>
          <w:bCs/>
          <w:sz w:val="24"/>
          <w:szCs w:val="24"/>
        </w:rPr>
      </w:pPr>
      <w:r>
        <w:rPr>
          <w:rFonts w:eastAsia="Calibri"/>
          <w:b/>
          <w:bCs/>
          <w:sz w:val="24"/>
          <w:szCs w:val="24"/>
        </w:rPr>
        <w:t xml:space="preserve">2.2. Les dimensions de l’éducation inclusive </w:t>
      </w:r>
    </w:p>
    <w:p w14:paraId="393ECAF5" w14:textId="77777777" w:rsidR="00D80693" w:rsidRDefault="00D80693" w:rsidP="00570B74">
      <w:pPr>
        <w:spacing w:before="120"/>
        <w:jc w:val="both"/>
        <w:rPr>
          <w:rFonts w:eastAsia="Calibri"/>
          <w:sz w:val="24"/>
          <w:szCs w:val="24"/>
        </w:rPr>
      </w:pPr>
      <w:r>
        <w:rPr>
          <w:rFonts w:eastAsia="Calibri"/>
          <w:sz w:val="24"/>
          <w:szCs w:val="24"/>
        </w:rPr>
        <w:t xml:space="preserve">Il existe plusieurs dimensions de l’école inclusive que sont : une dimension juridique, une dimension pédagogique, une dimension sociale et une dimension humaine. </w:t>
      </w:r>
    </w:p>
    <w:p w14:paraId="38FCF89D" w14:textId="77777777" w:rsidR="00D80693" w:rsidRDefault="00D80693" w:rsidP="00570B74">
      <w:pPr>
        <w:spacing w:before="120"/>
        <w:jc w:val="both"/>
        <w:rPr>
          <w:rFonts w:eastAsia="Calibri"/>
          <w:b/>
          <w:bCs/>
          <w:i/>
          <w:iCs/>
          <w:sz w:val="24"/>
          <w:szCs w:val="24"/>
        </w:rPr>
      </w:pPr>
      <w:r>
        <w:rPr>
          <w:rFonts w:eastAsia="Calibri"/>
          <w:b/>
          <w:bCs/>
          <w:i/>
          <w:iCs/>
          <w:sz w:val="24"/>
          <w:szCs w:val="24"/>
        </w:rPr>
        <w:t>2.2.1 La dimension juridique</w:t>
      </w:r>
    </w:p>
    <w:p w14:paraId="5BDA702E" w14:textId="77777777" w:rsidR="00D80693" w:rsidRDefault="00D80693" w:rsidP="00570B74">
      <w:pPr>
        <w:spacing w:before="120"/>
        <w:jc w:val="both"/>
        <w:rPr>
          <w:rFonts w:eastAsia="Calibri"/>
          <w:sz w:val="24"/>
          <w:szCs w:val="24"/>
        </w:rPr>
      </w:pPr>
      <w:r>
        <w:rPr>
          <w:rFonts w:eastAsia="Calibri"/>
          <w:sz w:val="24"/>
          <w:szCs w:val="24"/>
        </w:rPr>
        <w:t xml:space="preserve">La dimension juridique est le cadre réglementaire que couvre le concept de l’éducation inclusive. La Déclaration mondiale sur l’Éducation pour tous, adoptée en 1990 à Jomtien (Thaïlande), présente une vision globale : rendre l’éducation universellement accessible à tous, enfants, jeunes et adultes, et promouvoir l’équité. Elle appelle à s’employer activement à identifier les obstacles qui empêchent de nombreux apprenants. La Conférence mondiale sur les besoins éducatifs spéciaux : accès et qualité, qui s’est tenue en juin 1994 à Salamanque (Espagne), a donné un élan majeur à l’éducation inclusive. Plus de 300 participants représentant 92 gouvernements et 25 organisations internationales ont examiné les changements de politique fondamentaux requis pour promouvoir l’approche inclusive de l’éducation, en permettant aux écoles d’être au service de tous les enfants et, en particulier, de ceux ayant des besoins éducatifs spéciaux. </w:t>
      </w:r>
    </w:p>
    <w:p w14:paraId="660E8A0C" w14:textId="77777777" w:rsidR="00D80693" w:rsidRDefault="00D80693" w:rsidP="00570B74">
      <w:pPr>
        <w:spacing w:before="120"/>
        <w:jc w:val="both"/>
        <w:rPr>
          <w:rFonts w:eastAsia="Calibri"/>
          <w:sz w:val="24"/>
          <w:szCs w:val="24"/>
        </w:rPr>
      </w:pPr>
      <w:r>
        <w:rPr>
          <w:rFonts w:eastAsia="Calibri"/>
          <w:sz w:val="24"/>
          <w:szCs w:val="24"/>
        </w:rPr>
        <w:t xml:space="preserve">L’article 24 de la Convention relative aux droits des personnes handicapées, adoptée en 2006, qui préconise l’éducation inclusive, et la législation récente visant à protéger les langues autochtones. Au fond, il apporte un soutien international supplémentaire en faveur de l’éducation inclusive. L’annexe 3 contient une liste des instruments de normalisation les plus pertinents (conventions, déclarations et recommandations) qui servent de base pour l’élaboration de politiques et d’approches inclusives. Ils représentent les éléments essentiels à prendre en compte pour garantir le droit d’accès à l’éducation, le droit à une éducation de qualité et le droit au respect dans l’environnement d’apprentissage. </w:t>
      </w:r>
    </w:p>
    <w:p w14:paraId="56D2D96E" w14:textId="77777777" w:rsidR="00D80693" w:rsidRDefault="00D80693" w:rsidP="00570B74">
      <w:pPr>
        <w:spacing w:before="120"/>
        <w:jc w:val="both"/>
        <w:rPr>
          <w:rFonts w:eastAsia="Calibri"/>
          <w:sz w:val="24"/>
          <w:szCs w:val="24"/>
        </w:rPr>
      </w:pPr>
      <w:r>
        <w:rPr>
          <w:rFonts w:eastAsia="Calibri"/>
          <w:sz w:val="24"/>
          <w:szCs w:val="24"/>
        </w:rPr>
        <w:t>L’encadré 1 présente un tableau récapitulatif des cadres juridiques de l’éducation inclusive.</w:t>
      </w:r>
    </w:p>
    <w:p w14:paraId="71EC4074" w14:textId="77777777" w:rsidR="00D80693" w:rsidRDefault="00D80693" w:rsidP="00570B74">
      <w:pPr>
        <w:spacing w:before="120"/>
        <w:jc w:val="both"/>
        <w:rPr>
          <w:rFonts w:eastAsia="Calibri"/>
          <w:sz w:val="24"/>
          <w:szCs w:val="24"/>
        </w:rPr>
      </w:pPr>
      <w:r>
        <w:rPr>
          <w:rFonts w:eastAsia="Calibri"/>
          <w:b/>
          <w:bCs/>
          <w:sz w:val="24"/>
          <w:szCs w:val="24"/>
        </w:rPr>
        <w:t>Tableau 1</w:t>
      </w:r>
      <w:r>
        <w:rPr>
          <w:rFonts w:eastAsia="Calibri"/>
          <w:sz w:val="24"/>
          <w:szCs w:val="24"/>
        </w:rPr>
        <w:t> : Cadre juridique de l’éducation inclusive</w:t>
      </w:r>
    </w:p>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0"/>
      </w:tblGrid>
      <w:tr w:rsidR="00D80693" w14:paraId="29B0C653" w14:textId="77777777" w:rsidTr="00D72320">
        <w:trPr>
          <w:trHeight w:val="1211"/>
        </w:trPr>
        <w:tc>
          <w:tcPr>
            <w:tcW w:w="8900" w:type="dxa"/>
          </w:tcPr>
          <w:p w14:paraId="0F7186C6" w14:textId="77777777" w:rsidR="00D80693" w:rsidRDefault="00D80693" w:rsidP="00570B74">
            <w:pPr>
              <w:spacing w:before="120"/>
              <w:jc w:val="both"/>
              <w:rPr>
                <w:rFonts w:eastAsia="Calibri"/>
                <w:sz w:val="21"/>
                <w:szCs w:val="21"/>
              </w:rPr>
            </w:pPr>
            <w:r>
              <w:rPr>
                <w:rFonts w:eastAsia="Calibri"/>
                <w:b/>
                <w:bCs/>
                <w:sz w:val="21"/>
                <w:szCs w:val="21"/>
              </w:rPr>
              <w:t>2007 </w:t>
            </w:r>
            <w:r>
              <w:rPr>
                <w:rFonts w:eastAsia="Calibri"/>
                <w:sz w:val="21"/>
                <w:szCs w:val="21"/>
              </w:rPr>
              <w:t>: Déclaration des Nations Unies sur les droits des peuples autochtones</w:t>
            </w:r>
          </w:p>
          <w:p w14:paraId="114C0B50" w14:textId="77777777" w:rsidR="00D80693" w:rsidRDefault="00D80693" w:rsidP="00570B74">
            <w:pPr>
              <w:spacing w:before="120"/>
              <w:jc w:val="both"/>
              <w:rPr>
                <w:rFonts w:eastAsia="Calibri"/>
                <w:sz w:val="21"/>
                <w:szCs w:val="21"/>
              </w:rPr>
            </w:pPr>
            <w:r>
              <w:rPr>
                <w:rFonts w:eastAsia="Calibri"/>
                <w:b/>
                <w:bCs/>
                <w:sz w:val="21"/>
                <w:szCs w:val="21"/>
              </w:rPr>
              <w:t>2006 </w:t>
            </w:r>
            <w:r>
              <w:rPr>
                <w:rFonts w:eastAsia="Calibri"/>
                <w:sz w:val="21"/>
                <w:szCs w:val="21"/>
              </w:rPr>
              <w:t>: Convention relative aux droits des personnes handicapées</w:t>
            </w:r>
          </w:p>
          <w:p w14:paraId="2D5AA413" w14:textId="77777777" w:rsidR="00D80693" w:rsidRDefault="00D80693" w:rsidP="00570B74">
            <w:pPr>
              <w:spacing w:before="120"/>
              <w:jc w:val="both"/>
              <w:rPr>
                <w:rFonts w:eastAsia="Calibri"/>
                <w:sz w:val="21"/>
                <w:szCs w:val="21"/>
              </w:rPr>
            </w:pPr>
            <w:r>
              <w:rPr>
                <w:rFonts w:eastAsia="Calibri"/>
                <w:b/>
                <w:bCs/>
                <w:sz w:val="21"/>
                <w:szCs w:val="21"/>
              </w:rPr>
              <w:t>2005</w:t>
            </w:r>
            <w:r>
              <w:rPr>
                <w:rFonts w:eastAsia="Calibri"/>
                <w:sz w:val="21"/>
                <w:szCs w:val="21"/>
              </w:rPr>
              <w:t> : Convention sur la protection et la promotion de la diversité des expressions culturelles</w:t>
            </w:r>
          </w:p>
          <w:p w14:paraId="09554698" w14:textId="77777777" w:rsidR="00D80693" w:rsidRDefault="00D80693" w:rsidP="00570B74">
            <w:pPr>
              <w:spacing w:before="120"/>
              <w:jc w:val="both"/>
              <w:rPr>
                <w:rFonts w:eastAsia="Calibri"/>
                <w:sz w:val="21"/>
                <w:szCs w:val="21"/>
              </w:rPr>
            </w:pPr>
            <w:r>
              <w:rPr>
                <w:rFonts w:eastAsia="Calibri"/>
                <w:b/>
                <w:bCs/>
                <w:sz w:val="21"/>
                <w:szCs w:val="21"/>
              </w:rPr>
              <w:t>1999 </w:t>
            </w:r>
            <w:r>
              <w:rPr>
                <w:rFonts w:eastAsia="Calibri"/>
                <w:sz w:val="21"/>
                <w:szCs w:val="21"/>
              </w:rPr>
              <w:t>: Convention concernant l’interdiction des pires formes de travail des enfants et l’action immédiate en vue de leur élimination</w:t>
            </w:r>
          </w:p>
          <w:p w14:paraId="2781F8F5" w14:textId="77777777" w:rsidR="00D80693" w:rsidRDefault="00D80693" w:rsidP="00570B74">
            <w:pPr>
              <w:spacing w:before="120"/>
              <w:jc w:val="both"/>
              <w:rPr>
                <w:rFonts w:eastAsia="Calibri"/>
                <w:sz w:val="21"/>
                <w:szCs w:val="21"/>
              </w:rPr>
            </w:pPr>
            <w:r>
              <w:rPr>
                <w:rFonts w:eastAsia="Calibri"/>
                <w:b/>
                <w:bCs/>
                <w:sz w:val="21"/>
                <w:szCs w:val="21"/>
              </w:rPr>
              <w:t>1990</w:t>
            </w:r>
            <w:r>
              <w:rPr>
                <w:rFonts w:eastAsia="Calibri"/>
                <w:sz w:val="21"/>
                <w:szCs w:val="21"/>
              </w:rPr>
              <w:t> : Convention internationale sur la protection des droits de tous les travailleurs migrants et des membres de leur famille</w:t>
            </w:r>
          </w:p>
          <w:p w14:paraId="40388A46" w14:textId="77777777" w:rsidR="00D80693" w:rsidRDefault="00D80693" w:rsidP="00570B74">
            <w:pPr>
              <w:spacing w:before="120"/>
              <w:jc w:val="both"/>
              <w:rPr>
                <w:rFonts w:eastAsia="Calibri"/>
                <w:sz w:val="21"/>
                <w:szCs w:val="21"/>
              </w:rPr>
            </w:pPr>
            <w:r>
              <w:rPr>
                <w:rFonts w:eastAsia="Calibri"/>
                <w:b/>
                <w:bCs/>
                <w:sz w:val="21"/>
                <w:szCs w:val="21"/>
              </w:rPr>
              <w:t>1989 </w:t>
            </w:r>
            <w:r>
              <w:rPr>
                <w:rFonts w:eastAsia="Calibri"/>
                <w:sz w:val="21"/>
                <w:szCs w:val="21"/>
              </w:rPr>
              <w:t>: Convention relative aux droits de l’enfant</w:t>
            </w:r>
          </w:p>
          <w:p w14:paraId="541D6CE8" w14:textId="77777777" w:rsidR="00D80693" w:rsidRDefault="00D80693" w:rsidP="00570B74">
            <w:pPr>
              <w:spacing w:before="120"/>
              <w:jc w:val="both"/>
              <w:rPr>
                <w:rFonts w:eastAsia="Calibri"/>
                <w:sz w:val="21"/>
                <w:szCs w:val="21"/>
              </w:rPr>
            </w:pPr>
            <w:r>
              <w:rPr>
                <w:rFonts w:eastAsia="Calibri"/>
                <w:b/>
                <w:bCs/>
                <w:sz w:val="21"/>
                <w:szCs w:val="21"/>
              </w:rPr>
              <w:t>1989 </w:t>
            </w:r>
            <w:r>
              <w:rPr>
                <w:rFonts w:eastAsia="Calibri"/>
                <w:sz w:val="21"/>
                <w:szCs w:val="21"/>
              </w:rPr>
              <w:t>: Convention concernant les peuples indigènes et tribaux dans les pays indépendants</w:t>
            </w:r>
          </w:p>
          <w:p w14:paraId="07E7D315" w14:textId="77777777" w:rsidR="00D80693" w:rsidRDefault="00D80693" w:rsidP="00570B74">
            <w:pPr>
              <w:spacing w:before="120"/>
              <w:jc w:val="both"/>
              <w:rPr>
                <w:rFonts w:eastAsia="Calibri"/>
                <w:sz w:val="21"/>
                <w:szCs w:val="21"/>
              </w:rPr>
            </w:pPr>
            <w:r>
              <w:rPr>
                <w:rFonts w:eastAsia="Calibri"/>
                <w:b/>
                <w:bCs/>
                <w:sz w:val="21"/>
                <w:szCs w:val="21"/>
              </w:rPr>
              <w:t>1979 </w:t>
            </w:r>
            <w:r>
              <w:rPr>
                <w:rFonts w:eastAsia="Calibri"/>
                <w:sz w:val="21"/>
                <w:szCs w:val="21"/>
              </w:rPr>
              <w:t>: Convention sur l’élimination de toutes les formes de discrimination à l’égard des femmes</w:t>
            </w:r>
          </w:p>
          <w:p w14:paraId="63997517" w14:textId="77777777" w:rsidR="00D80693" w:rsidRDefault="00D80693" w:rsidP="00570B74">
            <w:pPr>
              <w:spacing w:before="120"/>
              <w:jc w:val="both"/>
              <w:rPr>
                <w:rFonts w:eastAsia="Calibri"/>
                <w:sz w:val="21"/>
                <w:szCs w:val="21"/>
              </w:rPr>
            </w:pPr>
            <w:r>
              <w:rPr>
                <w:rFonts w:eastAsia="Calibri"/>
                <w:b/>
                <w:bCs/>
                <w:sz w:val="21"/>
                <w:szCs w:val="21"/>
              </w:rPr>
              <w:t>1965 </w:t>
            </w:r>
            <w:r>
              <w:rPr>
                <w:rFonts w:eastAsia="Calibri"/>
                <w:sz w:val="21"/>
                <w:szCs w:val="21"/>
              </w:rPr>
              <w:t>: Convention internationale sur l’élimination de toutes les formes de discrimination raciale</w:t>
            </w:r>
          </w:p>
          <w:p w14:paraId="112DD07F" w14:textId="77777777" w:rsidR="00D80693" w:rsidRDefault="00D80693" w:rsidP="00570B74">
            <w:pPr>
              <w:spacing w:before="120"/>
              <w:jc w:val="both"/>
              <w:rPr>
                <w:rFonts w:eastAsia="Calibri"/>
                <w:sz w:val="21"/>
                <w:szCs w:val="21"/>
              </w:rPr>
            </w:pPr>
            <w:r>
              <w:rPr>
                <w:rFonts w:eastAsia="Calibri"/>
                <w:b/>
                <w:bCs/>
                <w:sz w:val="21"/>
                <w:szCs w:val="21"/>
              </w:rPr>
              <w:t>1960 </w:t>
            </w:r>
            <w:r>
              <w:rPr>
                <w:rFonts w:eastAsia="Calibri"/>
                <w:sz w:val="21"/>
                <w:szCs w:val="21"/>
              </w:rPr>
              <w:t>: Convention concernant la lutte contre la discrimination dans le domaine de l’enseignement</w:t>
            </w:r>
          </w:p>
          <w:p w14:paraId="25A44326" w14:textId="77777777" w:rsidR="00D80693" w:rsidRDefault="00D80693" w:rsidP="00570B74">
            <w:pPr>
              <w:spacing w:before="120"/>
              <w:jc w:val="both"/>
              <w:rPr>
                <w:rFonts w:eastAsia="Calibri"/>
                <w:sz w:val="24"/>
                <w:szCs w:val="24"/>
              </w:rPr>
            </w:pPr>
            <w:r>
              <w:rPr>
                <w:rFonts w:eastAsia="Calibri"/>
                <w:b/>
                <w:bCs/>
                <w:sz w:val="21"/>
                <w:szCs w:val="21"/>
              </w:rPr>
              <w:t>1948 </w:t>
            </w:r>
            <w:r>
              <w:rPr>
                <w:rFonts w:eastAsia="Calibri"/>
                <w:sz w:val="21"/>
                <w:szCs w:val="21"/>
              </w:rPr>
              <w:t>: Déclaration universelle des droits de l’homme</w:t>
            </w:r>
          </w:p>
        </w:tc>
      </w:tr>
    </w:tbl>
    <w:p w14:paraId="7DB5167F" w14:textId="77777777" w:rsidR="00D80693" w:rsidRDefault="00D80693" w:rsidP="00570B74">
      <w:pPr>
        <w:spacing w:before="120"/>
        <w:jc w:val="both"/>
        <w:rPr>
          <w:rFonts w:eastAsia="Calibri"/>
          <w:sz w:val="24"/>
          <w:szCs w:val="24"/>
        </w:rPr>
      </w:pPr>
      <w:r>
        <w:rPr>
          <w:rFonts w:eastAsia="Calibri"/>
          <w:b/>
          <w:bCs/>
          <w:sz w:val="24"/>
          <w:szCs w:val="24"/>
        </w:rPr>
        <w:t>Source</w:t>
      </w:r>
      <w:r>
        <w:rPr>
          <w:rFonts w:eastAsia="Calibri"/>
          <w:sz w:val="24"/>
          <w:szCs w:val="24"/>
        </w:rPr>
        <w:t xml:space="preserve"> : Principe directeur UNESCO pour l’inclusion dans l’éducation, 2009.</w:t>
      </w:r>
    </w:p>
    <w:p w14:paraId="272CF6C1" w14:textId="77777777" w:rsidR="00D80693" w:rsidRDefault="00D80693" w:rsidP="00570B74">
      <w:pPr>
        <w:spacing w:before="120"/>
        <w:jc w:val="both"/>
        <w:rPr>
          <w:rFonts w:eastAsia="Calibri"/>
          <w:b/>
          <w:bCs/>
          <w:i/>
          <w:iCs/>
          <w:sz w:val="24"/>
          <w:szCs w:val="24"/>
        </w:rPr>
      </w:pPr>
      <w:r>
        <w:rPr>
          <w:rFonts w:eastAsia="Calibri"/>
          <w:b/>
          <w:bCs/>
          <w:i/>
          <w:iCs/>
          <w:sz w:val="24"/>
          <w:szCs w:val="24"/>
        </w:rPr>
        <w:t>2.2.2. La dimension pédagogique</w:t>
      </w:r>
    </w:p>
    <w:p w14:paraId="03032442" w14:textId="77777777" w:rsidR="00D80693" w:rsidRDefault="00D80693" w:rsidP="00141F1B">
      <w:pPr>
        <w:pStyle w:val="Paragraphedeliste"/>
        <w:ind w:left="0" w:firstLine="0"/>
        <w:rPr>
          <w:rFonts w:eastAsia="Calibri"/>
          <w:sz w:val="24"/>
          <w:szCs w:val="24"/>
        </w:rPr>
      </w:pPr>
      <w:r>
        <w:rPr>
          <w:rFonts w:eastAsia="Calibri"/>
          <w:sz w:val="24"/>
          <w:szCs w:val="24"/>
        </w:rPr>
        <w:t>La dimension pédagogique propose de créer un environnement propice à l’apprentissage notamment dans un cadre accueillant et stimulant. Cette dimension pédagogique comporte des éléments tels l’adaptation de l’enseignement, l’approche individualisée, le soutien et l’accompagnement, la collaboration, la valorisation de la diversité. Dans ce sens, l</w:t>
      </w:r>
      <w:r>
        <w:rPr>
          <w:rFonts w:eastAsiaTheme="minorHAnsi"/>
          <w:sz w:val="24"/>
          <w:szCs w:val="24"/>
        </w:rPr>
        <w:t>’éducation inclusive encourage la différenciation, la co-construction des apprentissages et la collaboration entre acteurs éducatifs (Tomlinson, 2014). Ces approches visent à adapter l’enseignement aux besoins variés des apprenants, plutôt qu’à imposer un modèle unique d’apprentissage.</w:t>
      </w:r>
      <w:r>
        <w:rPr>
          <w:rFonts w:eastAsia="Calibri"/>
          <w:sz w:val="24"/>
          <w:szCs w:val="24"/>
        </w:rPr>
        <w:t xml:space="preserve"> </w:t>
      </w:r>
    </w:p>
    <w:p w14:paraId="54FC9304" w14:textId="77777777" w:rsidR="00D80693" w:rsidRDefault="00D80693" w:rsidP="00141F1B">
      <w:pPr>
        <w:pStyle w:val="Paragraphedeliste"/>
        <w:ind w:left="0"/>
        <w:rPr>
          <w:rFonts w:eastAsia="Calibri"/>
          <w:b/>
          <w:bCs/>
          <w:i/>
          <w:iCs/>
          <w:sz w:val="24"/>
          <w:szCs w:val="24"/>
        </w:rPr>
      </w:pPr>
      <w:r>
        <w:rPr>
          <w:rFonts w:eastAsia="Calibri"/>
          <w:b/>
          <w:bCs/>
          <w:i/>
          <w:iCs/>
          <w:sz w:val="24"/>
          <w:szCs w:val="24"/>
        </w:rPr>
        <w:t>2.2.3. La dimension sociale</w:t>
      </w:r>
    </w:p>
    <w:p w14:paraId="78A0E72D" w14:textId="77777777" w:rsidR="00D80693" w:rsidRDefault="00D80693" w:rsidP="00141F1B">
      <w:pPr>
        <w:pStyle w:val="Paragraphedeliste"/>
        <w:ind w:left="0" w:firstLine="0"/>
        <w:rPr>
          <w:rFonts w:eastAsia="Calibri"/>
          <w:sz w:val="24"/>
          <w:szCs w:val="24"/>
        </w:rPr>
      </w:pPr>
      <w:r>
        <w:rPr>
          <w:rFonts w:eastAsia="Calibri"/>
          <w:sz w:val="24"/>
          <w:szCs w:val="24"/>
        </w:rPr>
        <w:t xml:space="preserve">Quant à la dimension sociale, elle prend en compte l’intégration des élèves, des étudiants dans l’environnement scolaire ou universitaire. À ce niveau, l’éducation inclusive implique une transformation radicale pour qu'elle devienne un espace accueillant et adapté à la diversité de ses élèves. Elle prend en compte les besoins spécifiques des élèves et étudiants. </w:t>
      </w:r>
      <w:r>
        <w:rPr>
          <w:rFonts w:eastAsiaTheme="minorHAnsi"/>
          <w:sz w:val="24"/>
          <w:szCs w:val="24"/>
        </w:rPr>
        <w:t>Sur le plan politique, elle correspond à une volonté de démocratisation de l’accès au savoir et de lutte contre toutes les formes de discrimination (Slee, 2018). Elle suppose une réorganisation du système éducatif dans une logique d’équité plutôt que d’égalité formelle.</w:t>
      </w:r>
    </w:p>
    <w:p w14:paraId="4FD1AAAC" w14:textId="77777777" w:rsidR="00D80693" w:rsidRDefault="00D80693" w:rsidP="00141F1B">
      <w:pPr>
        <w:pStyle w:val="Paragraphedeliste"/>
        <w:ind w:left="0"/>
        <w:rPr>
          <w:rFonts w:eastAsia="Calibri"/>
          <w:sz w:val="24"/>
          <w:szCs w:val="24"/>
        </w:rPr>
      </w:pPr>
    </w:p>
    <w:p w14:paraId="398D761B" w14:textId="77777777" w:rsidR="00D80693" w:rsidRDefault="00D80693" w:rsidP="00141F1B">
      <w:pPr>
        <w:pStyle w:val="Paragraphedeliste"/>
        <w:ind w:left="0"/>
        <w:rPr>
          <w:rFonts w:eastAsia="Calibri"/>
          <w:b/>
          <w:bCs/>
          <w:i/>
          <w:iCs/>
          <w:sz w:val="24"/>
          <w:szCs w:val="24"/>
        </w:rPr>
      </w:pPr>
      <w:r>
        <w:rPr>
          <w:rFonts w:eastAsiaTheme="minorHAnsi"/>
          <w:b/>
          <w:bCs/>
          <w:i/>
          <w:iCs/>
          <w:sz w:val="24"/>
          <w:szCs w:val="24"/>
        </w:rPr>
        <w:t>2.2.4. La dimension humaine</w:t>
      </w:r>
    </w:p>
    <w:p w14:paraId="02F8B9B0" w14:textId="77777777" w:rsidR="00D80693" w:rsidRDefault="00D80693" w:rsidP="00141F1B">
      <w:pPr>
        <w:pStyle w:val="Paragraphedeliste"/>
        <w:ind w:left="0" w:firstLine="0"/>
        <w:rPr>
          <w:rFonts w:eastAsia="Calibri"/>
          <w:sz w:val="24"/>
          <w:szCs w:val="24"/>
        </w:rPr>
      </w:pPr>
      <w:r>
        <w:rPr>
          <w:rFonts w:eastAsia="Calibri"/>
          <w:sz w:val="24"/>
          <w:szCs w:val="24"/>
        </w:rPr>
        <w:t>Dans la dimension humaine, l’éducation inclusive vise à créer un environnement où chaque individu, quel que soit son handicap, sa situation sociale ou ses besoins particuliers, est reconnu, respecté et a la possibilité de participer pleinement à l'apprentissage et à la vie scolaire. Il s'agit de garantir l'accès à une éducation de qualité pour tous, en tenant compte de la diversité et des besoins individuels. Sur le plan éthique, l’inclusion repose sur la reconnaissance de la dignité et de la singularité de chaque individu (Habermas, 1987). Elle implique un respect inconditionnel des différences et une valorisation de la diversité comme richesse collective.</w:t>
      </w:r>
    </w:p>
    <w:p w14:paraId="1AF83A2E" w14:textId="77777777" w:rsidR="00D80693" w:rsidRDefault="00D80693" w:rsidP="00141F1B">
      <w:pPr>
        <w:spacing w:before="120"/>
        <w:jc w:val="both"/>
        <w:rPr>
          <w:rFonts w:eastAsia="Calibri"/>
          <w:b/>
          <w:bCs/>
          <w:sz w:val="28"/>
          <w:szCs w:val="28"/>
        </w:rPr>
      </w:pPr>
      <w:r>
        <w:rPr>
          <w:rFonts w:eastAsia="Calibri"/>
          <w:b/>
          <w:bCs/>
          <w:sz w:val="28"/>
          <w:szCs w:val="28"/>
        </w:rPr>
        <w:t>3.  Les perspectives de l’éducation inclusive</w:t>
      </w:r>
    </w:p>
    <w:p w14:paraId="3FDCB4C1" w14:textId="77777777" w:rsidR="00D80693" w:rsidRDefault="00D80693" w:rsidP="00141F1B">
      <w:pPr>
        <w:pStyle w:val="Paragraphedeliste"/>
        <w:ind w:left="0"/>
        <w:rPr>
          <w:rFonts w:eastAsia="Calibri"/>
          <w:b/>
          <w:bCs/>
          <w:sz w:val="24"/>
          <w:szCs w:val="24"/>
        </w:rPr>
      </w:pPr>
      <w:r>
        <w:rPr>
          <w:rFonts w:eastAsia="Calibri"/>
          <w:b/>
          <w:bCs/>
          <w:sz w:val="24"/>
          <w:szCs w:val="24"/>
        </w:rPr>
        <w:t>3.1. Un paradigme de transformation des systèmes éducatifs</w:t>
      </w:r>
    </w:p>
    <w:p w14:paraId="0DC66772" w14:textId="77777777" w:rsidR="00D80693" w:rsidRPr="00FB449A" w:rsidRDefault="00D80693" w:rsidP="00141F1B">
      <w:pPr>
        <w:rPr>
          <w:rFonts w:eastAsia="Calibri"/>
          <w:sz w:val="24"/>
          <w:szCs w:val="32"/>
        </w:rPr>
      </w:pPr>
      <w:r w:rsidRPr="00FB449A">
        <w:rPr>
          <w:rFonts w:eastAsia="Calibri"/>
          <w:sz w:val="24"/>
          <w:szCs w:val="24"/>
        </w:rPr>
        <w:t xml:space="preserve">L’éducation inclusive ne se limite pas à un ensemble de pratiques d’adaptation : elle constitue un paradigme de transformation systémique. </w:t>
      </w:r>
      <w:r w:rsidRPr="00FB449A">
        <w:rPr>
          <w:rFonts w:eastAsiaTheme="minorHAnsi"/>
          <w:sz w:val="24"/>
          <w:szCs w:val="32"/>
        </w:rPr>
        <w:t xml:space="preserve">Le paradigme inclusif renverse donc la logique du modèle médical du handicap (centré sur le déficit de l’élève) pour adopter un modèle social (centré sur les obstacles institutionnels). Selon Slee (2011), « l’inclusion n’est pas un simple ajustement, mais une critique structurelle de la manière dont les écoles produisent l’exclusion ». Cette approche transforme la question éducative : au lieu de demander « comment adapter l’élève à l’école ? », elle interroge « comment transformer l’école pour tous les élèves ? ». Ainsi, l’inclusion devient une philosophie de l’éducation et non une politique sectorielle. </w:t>
      </w:r>
    </w:p>
    <w:p w14:paraId="0F7B3791" w14:textId="77777777" w:rsidR="00D80693" w:rsidRDefault="00D80693" w:rsidP="00141F1B">
      <w:pPr>
        <w:pStyle w:val="Paragraphedeliste"/>
        <w:ind w:left="0"/>
        <w:rPr>
          <w:rFonts w:eastAsia="Calibri"/>
          <w:sz w:val="24"/>
          <w:szCs w:val="24"/>
        </w:rPr>
      </w:pPr>
      <w:r>
        <w:rPr>
          <w:rFonts w:eastAsia="Calibri"/>
          <w:sz w:val="24"/>
          <w:szCs w:val="24"/>
        </w:rPr>
        <w:t>Elle invite à repenser la finalité même de l’école, en substituant à une logique de sélection une logique de coopération et de participation (UNESCO, 2020). Dans cette perspective, la réussite éducative est comprise comme un processus collectif et contextuel. Le modèle écologique de Bronfenbrenner (1979) met en évidence l’importance des interactions entre l’élève, l’école, la famille et la communauté dans le développement éducatif.  Ces interactions, qu'elles soient positives ou négatives, influencent de manière significative le développement de l'enfant en créant un cadre de soutien ou de conflit. En illustration nous pouvons citer l’intégration des fiches de suivi d’accompagnement et de pédagogie innovant pour les autistes et d’autres pathologies telle la dyslexie, la dyspraxie, le trouble bipolaire.</w:t>
      </w:r>
    </w:p>
    <w:p w14:paraId="050F5D2B" w14:textId="77777777" w:rsidR="00D80693" w:rsidRDefault="00D80693" w:rsidP="00141F1B">
      <w:pPr>
        <w:pStyle w:val="Paragraphedeliste"/>
        <w:ind w:left="0"/>
        <w:rPr>
          <w:rFonts w:eastAsia="Calibri"/>
          <w:sz w:val="24"/>
          <w:szCs w:val="24"/>
        </w:rPr>
      </w:pPr>
    </w:p>
    <w:p w14:paraId="3975E388" w14:textId="77777777" w:rsidR="00D80693" w:rsidRDefault="00D80693" w:rsidP="00141F1B">
      <w:pPr>
        <w:pStyle w:val="Paragraphedeliste"/>
        <w:ind w:left="0"/>
        <w:rPr>
          <w:rFonts w:eastAsia="Calibri"/>
          <w:b/>
          <w:bCs/>
          <w:sz w:val="24"/>
          <w:szCs w:val="24"/>
        </w:rPr>
      </w:pPr>
      <w:r>
        <w:rPr>
          <w:rFonts w:eastAsia="Calibri"/>
          <w:b/>
          <w:bCs/>
          <w:sz w:val="24"/>
          <w:szCs w:val="24"/>
        </w:rPr>
        <w:t>3.2. L’inclusion comme levier d’innovation pédagogique</w:t>
      </w:r>
    </w:p>
    <w:p w14:paraId="7AA6B8FC" w14:textId="77777777" w:rsidR="00D80693" w:rsidRDefault="00D80693" w:rsidP="00141F1B">
      <w:pPr>
        <w:pStyle w:val="Paragraphedeliste"/>
        <w:ind w:left="0"/>
        <w:rPr>
          <w:rFonts w:eastAsia="Calibri"/>
          <w:b/>
          <w:bCs/>
          <w:sz w:val="24"/>
          <w:szCs w:val="24"/>
        </w:rPr>
      </w:pPr>
    </w:p>
    <w:p w14:paraId="6913A0EB" w14:textId="77777777" w:rsidR="00D80693" w:rsidRDefault="00D80693" w:rsidP="00141F1B">
      <w:pPr>
        <w:pStyle w:val="Paragraphedeliste"/>
        <w:ind w:left="0"/>
        <w:rPr>
          <w:rFonts w:eastAsia="Calibri"/>
          <w:sz w:val="24"/>
          <w:szCs w:val="24"/>
        </w:rPr>
      </w:pPr>
      <w:r>
        <w:rPr>
          <w:rFonts w:eastAsia="Calibri"/>
          <w:sz w:val="24"/>
          <w:szCs w:val="24"/>
        </w:rPr>
        <w:t>Sur le plan didactique, l’inclusion conduit à renouveler les pratiques enseignantes. La pédagogie différenciée, l’évaluation formative ou encore l’apprentissage coopératif deviennent des leviers essentiels de l’inclusion (Perrenoud, 2004). De prime abord, Ces approches favorisent la réflexivité professionnelle. En effet, la réflexivité professionnelle consiste à améliorer l’analyse pratique, le journal réflexif, les échanges entre groupes d’experts, l’auto critique de l’enseignant et le portfolio professionnel. Puis, ces approches didactiques améliorent également l’ajustement des pratiques aux besoins de chaque élève, dans une logique d’équité éducative. Cet ajustement implique que l’enseignant doivent écouter attentivement les élèves, observer leurs difficultés, planifier leurs leçons en tenant compte de leurs acquis et de leurs points de départ, et proposer des stratégies pédagogiques et d'évaluation variées et flexibles. Enfin, ces approches didactiques doivent permettre aux professionnels de prendre du recul, de comprendre leurs actions et d'intégrer de nouveaux apprentissages pour ajuster et améliorer leur travail.  </w:t>
      </w:r>
    </w:p>
    <w:p w14:paraId="31113D80" w14:textId="77777777" w:rsidR="00D80693" w:rsidRDefault="00D80693" w:rsidP="00141F1B">
      <w:pPr>
        <w:pStyle w:val="Paragraphedeliste"/>
        <w:ind w:left="0"/>
        <w:rPr>
          <w:rFonts w:eastAsia="Calibri"/>
          <w:sz w:val="24"/>
          <w:szCs w:val="24"/>
        </w:rPr>
      </w:pPr>
      <w:r>
        <w:rPr>
          <w:rFonts w:eastAsia="Calibri"/>
          <w:sz w:val="24"/>
          <w:szCs w:val="24"/>
        </w:rPr>
        <w:t>Du point de vue de l’innovation pédagogique (Tricot, 2017), il existe de nos jours dans les structures éducatives des fiches pédagogiques qui ont pour objectif de promouvoir les bonnes pratiques mettre en place pour compenser les contraintes liées au handicap mais aussi ses conséquences sur la vie étudiante.</w:t>
      </w:r>
      <w:r>
        <w:rPr>
          <w:rFonts w:ascii="Arial" w:eastAsiaTheme="minorHAnsi" w:hAnsi="Arial" w:cs="Arial"/>
          <w:color w:val="212529"/>
          <w:shd w:val="clear" w:color="auto" w:fill="FFFFFF"/>
        </w:rPr>
        <w:t xml:space="preserve"> </w:t>
      </w:r>
      <w:r>
        <w:rPr>
          <w:rFonts w:eastAsia="Calibri"/>
          <w:sz w:val="24"/>
          <w:szCs w:val="24"/>
        </w:rPr>
        <w:t>Le défi de l’inclusion consiste donc à garantir que l’innovation pédagogique contribue à l’inclusion des apprenants avec des besoins spécifiques ou issus de milieux variés (Mishra, Henriksen et Mehta, 2015) et qu’elle contribue à une meilleure accessibilité des étudiants vivant en situation de handicap ou de marginalisation. </w:t>
      </w:r>
    </w:p>
    <w:p w14:paraId="7D712113" w14:textId="77777777" w:rsidR="00D80693" w:rsidRDefault="00D80693" w:rsidP="00141F1B">
      <w:pPr>
        <w:spacing w:before="120"/>
        <w:jc w:val="both"/>
        <w:rPr>
          <w:rFonts w:eastAsia="Calibri"/>
          <w:sz w:val="24"/>
          <w:szCs w:val="32"/>
        </w:rPr>
      </w:pPr>
      <w:r>
        <w:rPr>
          <w:rFonts w:eastAsiaTheme="minorHAnsi"/>
          <w:sz w:val="24"/>
          <w:szCs w:val="32"/>
        </w:rPr>
        <w:t>Ici, l’inclusion éducative s’impose comme une redéfinition du rôle de l’enseignant et de la pédagogie. Elle transforme également la pédagogie : elle promeut des approches différenciées, collaboratives et participatives. Les enseignants deviennent de ce fait des agents de changement, capables d’adapter le curriculum, d’utiliser des pédagogies universelles (Universal Design for Learning) et de collaborer avec divers professionnels.</w:t>
      </w:r>
    </w:p>
    <w:p w14:paraId="780EE457" w14:textId="77777777" w:rsidR="00D80693" w:rsidRDefault="00D80693" w:rsidP="00141F1B">
      <w:pPr>
        <w:spacing w:before="120"/>
        <w:jc w:val="both"/>
        <w:rPr>
          <w:rFonts w:eastAsia="Calibri"/>
          <w:sz w:val="24"/>
          <w:szCs w:val="32"/>
        </w:rPr>
      </w:pPr>
      <w:r>
        <w:rPr>
          <w:rFonts w:eastAsiaTheme="minorHAnsi"/>
          <w:sz w:val="24"/>
          <w:szCs w:val="32"/>
        </w:rPr>
        <w:t>Ainsi, comme le note Dyson et Millward (2000), la pédagogie inclusive pousse à repenser l’école comme communauté d’apprentissage plutôt que comme lieu de transmission hiérarchique du savoir.</w:t>
      </w:r>
    </w:p>
    <w:p w14:paraId="6E5AC2FB" w14:textId="77777777" w:rsidR="00D80693" w:rsidRDefault="00D80693" w:rsidP="00141F1B">
      <w:pPr>
        <w:pStyle w:val="Paragraphedeliste"/>
        <w:ind w:left="0"/>
        <w:rPr>
          <w:rFonts w:eastAsia="Calibri"/>
          <w:b/>
          <w:bCs/>
          <w:sz w:val="28"/>
          <w:szCs w:val="28"/>
        </w:rPr>
      </w:pPr>
      <w:r>
        <w:rPr>
          <w:rFonts w:eastAsia="Calibri"/>
          <w:b/>
          <w:bCs/>
          <w:sz w:val="28"/>
          <w:szCs w:val="28"/>
        </w:rPr>
        <w:t>4. Les limites du modèle inclusif</w:t>
      </w:r>
    </w:p>
    <w:p w14:paraId="2AF70E3F" w14:textId="77777777" w:rsidR="00D80693" w:rsidRDefault="00D80693" w:rsidP="00141F1B">
      <w:pPr>
        <w:pStyle w:val="Paragraphedeliste"/>
        <w:ind w:left="0"/>
        <w:rPr>
          <w:rFonts w:eastAsia="Calibri"/>
          <w:b/>
          <w:bCs/>
          <w:sz w:val="24"/>
          <w:szCs w:val="24"/>
        </w:rPr>
      </w:pPr>
    </w:p>
    <w:p w14:paraId="62EA527D" w14:textId="77777777" w:rsidR="00D80693" w:rsidRDefault="00D80693" w:rsidP="00141F1B">
      <w:pPr>
        <w:pStyle w:val="Paragraphedeliste"/>
        <w:ind w:left="0"/>
        <w:rPr>
          <w:rFonts w:eastAsia="Calibri"/>
          <w:b/>
          <w:bCs/>
          <w:sz w:val="24"/>
          <w:szCs w:val="24"/>
        </w:rPr>
      </w:pPr>
      <w:r>
        <w:rPr>
          <w:rFonts w:eastAsia="Calibri"/>
          <w:b/>
          <w:bCs/>
          <w:sz w:val="24"/>
          <w:szCs w:val="24"/>
        </w:rPr>
        <w:t>4.1. Une polysémie conceptuelle et normative</w:t>
      </w:r>
    </w:p>
    <w:p w14:paraId="526B69D0" w14:textId="77777777" w:rsidR="00D80693" w:rsidRDefault="00D80693" w:rsidP="00141F1B">
      <w:pPr>
        <w:pStyle w:val="Paragraphedeliste"/>
        <w:ind w:left="0"/>
        <w:rPr>
          <w:rFonts w:eastAsia="Calibri"/>
          <w:b/>
          <w:bCs/>
          <w:sz w:val="24"/>
          <w:szCs w:val="24"/>
        </w:rPr>
      </w:pPr>
    </w:p>
    <w:p w14:paraId="7DC739AF" w14:textId="77777777" w:rsidR="00D80693" w:rsidRDefault="00D80693" w:rsidP="00141F1B">
      <w:pPr>
        <w:pStyle w:val="Paragraphedeliste"/>
        <w:ind w:left="0"/>
        <w:rPr>
          <w:rFonts w:eastAsia="Calibri"/>
          <w:sz w:val="24"/>
          <w:szCs w:val="24"/>
        </w:rPr>
      </w:pPr>
      <w:r>
        <w:rPr>
          <w:rFonts w:eastAsia="Calibri"/>
          <w:sz w:val="24"/>
          <w:szCs w:val="24"/>
        </w:rPr>
        <w:t xml:space="preserve">L’un des premiers défis de l’éducation inclusive réside dans sa polysémie. Le concept est souvent réduit à la scolarisation des élèves en situation de handicap, alors qu’il devrait concerner l’ensemble des diversités culturelles, linguistiques, sociales ou cognitives (Ebersold, 2009). Cette ambiguïté génère des interprétations hétérogènes dans les politiques publiques et les pratiques professionnelles. Les politiques publiques conçoivent le concept de l’inclusion comme les politiques publiques conçoivent l'éducation inclusive en définissant des cadres légaux, en promouvant des pratiques pédagogiques adaptées, en mettant en place des mesures de soutien, et en encourageant la collaboration entre les différents acteurs de l'éducation, tels que les enseignants, les parents et les professionnels médico-sociaux. </w:t>
      </w:r>
    </w:p>
    <w:p w14:paraId="5EFCE8B5" w14:textId="77777777" w:rsidR="00D80693" w:rsidRDefault="00D80693" w:rsidP="00141F1B">
      <w:pPr>
        <w:pStyle w:val="Paragraphedeliste"/>
        <w:ind w:left="0"/>
        <w:rPr>
          <w:rFonts w:eastAsia="Calibri"/>
          <w:sz w:val="24"/>
          <w:szCs w:val="24"/>
        </w:rPr>
      </w:pPr>
      <w:r>
        <w:rPr>
          <w:rFonts w:eastAsia="Calibri"/>
          <w:sz w:val="24"/>
          <w:szCs w:val="24"/>
        </w:rPr>
        <w:t>Selon les principes directeurs de L’UNESCO (2005 :14) : « l’inclusion est considérée comme un processus visant à tenir compte de la diversité des besoins de tous les apprenants et à y répondre par une participation croissante à l’apprentissage, aux cultures et aux collectivités, et à réduire l’exclusion qui se manifeste dans l’éducation. Elle suppose la transformation et la modification des contenus, des approches, des structures et des stratégies, avec une vision commune qui englobe tous les enfants de la tranche d’âge concernée, et la conviction qu’il est de la responsabilité du système éducatif général d’éduquer tous les enfants ». Les pratiques professionnelles conçoivent l'éducation inclusive par l'adaptation des méthodes pédagogiques, l'individualisation de l'enseignement, la collaboration entre professionnels et la prise en compte de la diversité des élèves. </w:t>
      </w:r>
    </w:p>
    <w:p w14:paraId="27784498" w14:textId="77777777" w:rsidR="00D80693" w:rsidRDefault="00D80693" w:rsidP="00141F1B">
      <w:pPr>
        <w:pStyle w:val="Paragraphedeliste"/>
        <w:ind w:left="0"/>
        <w:rPr>
          <w:rFonts w:eastAsia="Calibri"/>
          <w:sz w:val="24"/>
          <w:szCs w:val="24"/>
        </w:rPr>
      </w:pPr>
      <w:r>
        <w:rPr>
          <w:rFonts w:eastAsia="Calibri"/>
          <w:sz w:val="24"/>
          <w:szCs w:val="24"/>
        </w:rPr>
        <w:t xml:space="preserve">Plusieurs auteurs dont Rousseau et Bergeron (2004) et Vienneau (2014) soutiennent cette approche pratique de l’inclusion. Cette approche regroupe d’abord des ajustements qui prend en compte les différences individuelles ensuite une collaboration entre collègue troisièmement une intégration des adaptations physiques et matérielles enfin les pratiques inclusives nécessitent un soutien des acteurs éducatifs. </w:t>
      </w:r>
    </w:p>
    <w:p w14:paraId="4BEC30B8" w14:textId="77777777" w:rsidR="00D80693" w:rsidRDefault="00D80693" w:rsidP="00141F1B">
      <w:pPr>
        <w:pStyle w:val="Paragraphedeliste"/>
        <w:ind w:left="0"/>
        <w:rPr>
          <w:rFonts w:eastAsia="Calibri"/>
          <w:sz w:val="24"/>
          <w:szCs w:val="24"/>
        </w:rPr>
      </w:pPr>
    </w:p>
    <w:p w14:paraId="3F15D0D8" w14:textId="77777777" w:rsidR="00D80693" w:rsidRDefault="00D80693" w:rsidP="00141F1B">
      <w:pPr>
        <w:pStyle w:val="Paragraphedeliste"/>
        <w:ind w:left="0"/>
        <w:rPr>
          <w:rFonts w:eastAsia="Calibri"/>
          <w:b/>
          <w:bCs/>
          <w:sz w:val="24"/>
          <w:szCs w:val="24"/>
        </w:rPr>
      </w:pPr>
      <w:r>
        <w:rPr>
          <w:rFonts w:eastAsia="Calibri"/>
          <w:b/>
          <w:bCs/>
          <w:sz w:val="24"/>
          <w:szCs w:val="24"/>
        </w:rPr>
        <w:t>4.2. Les contraintes structurelles et professionnelles</w:t>
      </w:r>
    </w:p>
    <w:p w14:paraId="42F9CBAE" w14:textId="77777777" w:rsidR="00D80693" w:rsidRDefault="00D80693" w:rsidP="00141F1B">
      <w:pPr>
        <w:pStyle w:val="Paragraphedeliste"/>
        <w:ind w:left="0"/>
        <w:rPr>
          <w:rFonts w:eastAsia="Calibri"/>
          <w:b/>
          <w:bCs/>
          <w:sz w:val="24"/>
          <w:szCs w:val="24"/>
        </w:rPr>
      </w:pPr>
    </w:p>
    <w:p w14:paraId="0407AA8E" w14:textId="77777777" w:rsidR="00D80693" w:rsidRDefault="00D80693" w:rsidP="00141F1B">
      <w:pPr>
        <w:pStyle w:val="Paragraphedeliste"/>
        <w:ind w:left="0"/>
        <w:rPr>
          <w:rFonts w:eastAsia="Calibri"/>
          <w:sz w:val="24"/>
          <w:szCs w:val="24"/>
        </w:rPr>
      </w:pPr>
      <w:r>
        <w:rPr>
          <w:rFonts w:eastAsia="Calibri"/>
          <w:sz w:val="24"/>
          <w:szCs w:val="24"/>
        </w:rPr>
        <w:t xml:space="preserve">Les ambitions inclusives se heurtent souvent à un manque de ressources matérielles, humaines et pédagogiques. Meirieu (2013) souligne que l’inclusion exige une culture de collaboration et une reconfiguration du métier enseignant, fondées sur la mutualisation des savoirs et la coresponsabilité éducative. Il faut mentionner que l’enseignant joue un rôle fondamental dans le processus de l’école inclusive et sa formation initiale devrait à la hauteur des normes des systèmes éducatifs. Malheureusement, la formation des enseignant est souvent jugée insuffisante face à la complexité de la profession en raison de programmes de formation initiale qui ne préparent pas adéquatement à la gestion de l'hétérogénéité des classes.  </w:t>
      </w:r>
    </w:p>
    <w:p w14:paraId="3526C2FB" w14:textId="77777777" w:rsidR="00D80693" w:rsidRDefault="00D80693" w:rsidP="00141F1B">
      <w:pPr>
        <w:pStyle w:val="Paragraphedeliste"/>
        <w:ind w:left="0"/>
        <w:rPr>
          <w:rFonts w:eastAsia="Calibri"/>
          <w:sz w:val="24"/>
          <w:szCs w:val="24"/>
        </w:rPr>
      </w:pPr>
      <w:r>
        <w:rPr>
          <w:rFonts w:eastAsia="Calibri"/>
          <w:sz w:val="24"/>
          <w:szCs w:val="24"/>
        </w:rPr>
        <w:t xml:space="preserve">En plus de la formation lacunaire des enseignants il existe un problème lié l’aide humaine et matérielle. En effet, le manque de sécurité de l’emploi, le déficit de protection sociale et l’instabilité dans la progression carrières amenuisent les efforts de construction d’une politique inclusive dans le contexte éducatif. </w:t>
      </w:r>
    </w:p>
    <w:p w14:paraId="2B12F645" w14:textId="77777777" w:rsidR="00D80693" w:rsidRDefault="00D80693" w:rsidP="00141F1B">
      <w:pPr>
        <w:pStyle w:val="Paragraphedeliste"/>
        <w:ind w:left="0"/>
        <w:rPr>
          <w:rFonts w:eastAsia="Calibri"/>
          <w:sz w:val="24"/>
          <w:szCs w:val="24"/>
        </w:rPr>
      </w:pPr>
      <w:r>
        <w:rPr>
          <w:rFonts w:eastAsia="Calibri"/>
          <w:sz w:val="24"/>
          <w:szCs w:val="24"/>
        </w:rPr>
        <w:t xml:space="preserve">Par ailleurs, la question des représentations sociales constitue un frein majeur de la sorte il revient de valoriser une culture inclusive à l’école.  Selon Moscovici (1961), les représentations sociales sont des systèmes organisés de connaissances, de croyances et de symboles qui structurent et façonnent la façon dont les individus perçoivent et interprètent la réalité qui les entoure. Il a proposé que les individus construisent des représentations sociales collectives sur des sujets importants dans leur vie quotidienne. Ces représentations sociales sont partagées par les membres d’un groupe et influencent leurs attitudes, leurs croyances et leurs comportements. La notion de représentation sociale se trouve ainsi à l’interface du social et de l’individuel. L’un des obstacles est les difficultés liées à la rigidité curriculaire d’une part et d’autre part l’évaluation des élèves. </w:t>
      </w:r>
    </w:p>
    <w:p w14:paraId="117E7BCD" w14:textId="77777777" w:rsidR="00D80693" w:rsidRDefault="00D80693" w:rsidP="00141F1B">
      <w:pPr>
        <w:pStyle w:val="Paragraphedeliste"/>
        <w:ind w:left="0"/>
        <w:rPr>
          <w:rFonts w:eastAsia="Calibri"/>
          <w:sz w:val="24"/>
          <w:szCs w:val="24"/>
        </w:rPr>
      </w:pPr>
      <w:r>
        <w:rPr>
          <w:rFonts w:eastAsia="Calibri"/>
          <w:sz w:val="24"/>
          <w:szCs w:val="24"/>
        </w:rPr>
        <w:t xml:space="preserve">En ce qui concerne la rigidité curriculaire les programmes scolaires de nos pays africains subsahariens sont denses et rigides. Cette rigidité des différentes maquettes pédagogiques laisse peu de marge de manœuvre aux enseignants pour différencier les stratégies pédagogiques à mettre en place pour la formation des élèves. Pour l’évaluation, le système d’évaluation sommative est inadapté et ne rend pas compte de la valeur intrinsèque de l’élève ; de fait il faut valoriser l’évaluation formative et soutenir les élèves </w:t>
      </w:r>
      <w:proofErr w:type="gramStart"/>
      <w:r>
        <w:rPr>
          <w:rFonts w:eastAsia="Calibri"/>
          <w:sz w:val="24"/>
          <w:szCs w:val="24"/>
        </w:rPr>
        <w:t>au</w:t>
      </w:r>
      <w:proofErr w:type="gramEnd"/>
      <w:r>
        <w:rPr>
          <w:rFonts w:eastAsia="Calibri"/>
          <w:sz w:val="24"/>
          <w:szCs w:val="24"/>
        </w:rPr>
        <w:t xml:space="preserve"> plan pédagogique.</w:t>
      </w:r>
    </w:p>
    <w:p w14:paraId="3C602CEF" w14:textId="77777777" w:rsidR="00D80693" w:rsidRDefault="00D80693" w:rsidP="00141F1B">
      <w:pPr>
        <w:pStyle w:val="Paragraphedeliste"/>
        <w:ind w:left="0"/>
        <w:rPr>
          <w:rFonts w:eastAsia="Calibri"/>
          <w:sz w:val="24"/>
          <w:szCs w:val="24"/>
        </w:rPr>
      </w:pPr>
    </w:p>
    <w:p w14:paraId="50A88EE9" w14:textId="77777777" w:rsidR="00D80693" w:rsidRDefault="00D80693" w:rsidP="00141F1B">
      <w:pPr>
        <w:pStyle w:val="Paragraphedeliste"/>
        <w:ind w:left="0"/>
        <w:rPr>
          <w:rFonts w:eastAsia="Calibri"/>
          <w:sz w:val="24"/>
          <w:szCs w:val="24"/>
        </w:rPr>
      </w:pPr>
    </w:p>
    <w:p w14:paraId="6D7F626C" w14:textId="77777777" w:rsidR="00D80693" w:rsidRDefault="00D80693" w:rsidP="00141F1B">
      <w:pPr>
        <w:pStyle w:val="Paragraphedeliste"/>
        <w:ind w:left="0"/>
        <w:rPr>
          <w:rFonts w:eastAsia="Calibri"/>
          <w:b/>
          <w:bCs/>
          <w:sz w:val="24"/>
          <w:szCs w:val="24"/>
        </w:rPr>
      </w:pPr>
      <w:r>
        <w:rPr>
          <w:rFonts w:eastAsia="Calibri"/>
          <w:b/>
          <w:bCs/>
          <w:sz w:val="24"/>
          <w:szCs w:val="24"/>
        </w:rPr>
        <w:t>4.3. Les tensions entre idéaux et réalités</w:t>
      </w:r>
    </w:p>
    <w:p w14:paraId="4AEFCB03" w14:textId="77777777" w:rsidR="00D80693" w:rsidRDefault="00D80693" w:rsidP="00141F1B">
      <w:pPr>
        <w:pStyle w:val="Paragraphedeliste"/>
        <w:ind w:left="0"/>
        <w:rPr>
          <w:rFonts w:eastAsia="Calibri"/>
          <w:b/>
          <w:bCs/>
          <w:sz w:val="24"/>
          <w:szCs w:val="24"/>
        </w:rPr>
      </w:pPr>
    </w:p>
    <w:p w14:paraId="6C4BFCA4" w14:textId="77777777" w:rsidR="00D80693" w:rsidRDefault="00D80693" w:rsidP="00141F1B">
      <w:pPr>
        <w:pStyle w:val="Paragraphedeliste"/>
        <w:ind w:left="0"/>
        <w:rPr>
          <w:rFonts w:eastAsia="Calibri"/>
          <w:sz w:val="24"/>
          <w:szCs w:val="32"/>
        </w:rPr>
      </w:pPr>
      <w:r>
        <w:rPr>
          <w:rFonts w:eastAsia="Calibri"/>
          <w:sz w:val="24"/>
          <w:szCs w:val="24"/>
        </w:rPr>
        <w:t>Les logiques d’évaluation normative et les curriculums standardisés entrent fréquemment en contradiction avec les principes inclusifs. Slee (2011) évoque une « école irrégulière » qui, tout en prônant l’inclusion, continue à exclure par ses modes d’organisation. L’</w:t>
      </w:r>
      <w:r>
        <w:rPr>
          <w:rFonts w:eastAsia="Calibri" w:cstheme="minorBidi"/>
          <w:sz w:val="24"/>
          <w:szCs w:val="24"/>
        </w:rPr>
        <w:t xml:space="preserve">idéal normatif se traduit par l’idée que l’école doit accueillir tous les élèves, indépendamment de leurs différences (handicap, origine socio-économique, langue, genre), et adapter ses pratiques pour assurer la participation et l’apprentissage de chacun. Cet idéal a été formalisé à l’échelle internationale par des textes fondateurs comme la Déclaration de Salamanca (1994), qui promeut « des écoles pour tous » et demande l’abandon des politiques qui marginalisent certains élèves. Certes, cet idéal universel (école pour tous) est confronté à des systèmes éducatifs hétérogènes, à des niveaux de ressources variables et à des traditions institutionnelles (ségrégation, classes spéciales) enracinées, mais c’est à ce juste titre que </w:t>
      </w:r>
      <w:r>
        <w:rPr>
          <w:rFonts w:eastAsiaTheme="minorHAnsi"/>
          <w:sz w:val="24"/>
          <w:szCs w:val="32"/>
        </w:rPr>
        <w:t xml:space="preserve">l’éducation inclusive vient pour promouvoir l’équité plutôt que la seule égalité de traitement. </w:t>
      </w:r>
      <w:proofErr w:type="spellStart"/>
      <w:r>
        <w:rPr>
          <w:rFonts w:eastAsiaTheme="minorHAnsi"/>
          <w:sz w:val="24"/>
          <w:szCs w:val="32"/>
        </w:rPr>
        <w:t>Ainscow</w:t>
      </w:r>
      <w:proofErr w:type="spellEnd"/>
      <w:r>
        <w:rPr>
          <w:rFonts w:eastAsiaTheme="minorHAnsi"/>
          <w:sz w:val="24"/>
          <w:szCs w:val="32"/>
        </w:rPr>
        <w:t xml:space="preserve"> (2005) montre que la véritable inclusion suppose de redistribuer les ressources, les attentes et les valeurs afin de permettre à chaque élève de participer pleinement à la vie scolaire et sociale. Dans cette perspective, l’éducation inclusive s’apparente à un projet de justice sociale (Articles, Kozleski &amp; </w:t>
      </w:r>
      <w:proofErr w:type="spellStart"/>
      <w:r>
        <w:rPr>
          <w:rFonts w:eastAsiaTheme="minorHAnsi"/>
          <w:sz w:val="24"/>
          <w:szCs w:val="32"/>
        </w:rPr>
        <w:t>Waitoller</w:t>
      </w:r>
      <w:proofErr w:type="spellEnd"/>
      <w:r>
        <w:rPr>
          <w:rFonts w:eastAsiaTheme="minorHAnsi"/>
          <w:sz w:val="24"/>
          <w:szCs w:val="32"/>
        </w:rPr>
        <w:t>, 2011), où l’école devient un lieu de transformation des rapports de pouvoir et des inégalités structurelles.</w:t>
      </w:r>
    </w:p>
    <w:p w14:paraId="3A281584" w14:textId="77777777" w:rsidR="00D80693" w:rsidRDefault="00D80693" w:rsidP="00141F1B">
      <w:pPr>
        <w:spacing w:before="120"/>
        <w:rPr>
          <w:rFonts w:eastAsia="Calibri"/>
          <w:sz w:val="24"/>
          <w:szCs w:val="32"/>
        </w:rPr>
      </w:pPr>
      <w:r>
        <w:rPr>
          <w:rFonts w:eastAsiaTheme="minorHAnsi"/>
          <w:sz w:val="24"/>
          <w:szCs w:val="32"/>
        </w:rPr>
        <w:t xml:space="preserve">En termes de réforme, l’éducation inclusive est un levier de réforme systémique. Elle part du changement local au changement global. Selon </w:t>
      </w:r>
      <w:proofErr w:type="spellStart"/>
      <w:r>
        <w:rPr>
          <w:rFonts w:eastAsiaTheme="minorHAnsi"/>
          <w:sz w:val="24"/>
          <w:szCs w:val="32"/>
        </w:rPr>
        <w:t>Ainscow</w:t>
      </w:r>
      <w:proofErr w:type="spellEnd"/>
      <w:r>
        <w:rPr>
          <w:rFonts w:eastAsiaTheme="minorHAnsi"/>
          <w:sz w:val="24"/>
          <w:szCs w:val="32"/>
        </w:rPr>
        <w:t xml:space="preserve"> et Miles (2008), l’éducation inclusive agit comme un moteur de réforme qui relie :</w:t>
      </w:r>
    </w:p>
    <w:p w14:paraId="2ECE3F32" w14:textId="77777777" w:rsidR="00D80693" w:rsidRDefault="00D80693" w:rsidP="00141F1B">
      <w:pPr>
        <w:spacing w:before="120"/>
        <w:rPr>
          <w:rFonts w:eastAsia="Calibri"/>
          <w:sz w:val="24"/>
          <w:szCs w:val="32"/>
        </w:rPr>
      </w:pPr>
      <w:r>
        <w:rPr>
          <w:rFonts w:eastAsiaTheme="minorHAnsi"/>
          <w:sz w:val="24"/>
          <w:szCs w:val="32"/>
        </w:rPr>
        <w:t>- la formation des enseignants,</w:t>
      </w:r>
    </w:p>
    <w:p w14:paraId="395B3DA0" w14:textId="77777777" w:rsidR="00D80693" w:rsidRDefault="00D80693" w:rsidP="00141F1B">
      <w:pPr>
        <w:spacing w:before="120"/>
        <w:rPr>
          <w:rFonts w:eastAsia="Calibri"/>
          <w:sz w:val="24"/>
          <w:szCs w:val="32"/>
        </w:rPr>
      </w:pPr>
      <w:r>
        <w:rPr>
          <w:rFonts w:eastAsiaTheme="minorHAnsi"/>
          <w:sz w:val="24"/>
          <w:szCs w:val="32"/>
        </w:rPr>
        <w:t>- la réorganisation des structures scolaires,</w:t>
      </w:r>
    </w:p>
    <w:p w14:paraId="7C580281" w14:textId="77777777" w:rsidR="00D80693" w:rsidRDefault="00D80693" w:rsidP="00141F1B">
      <w:pPr>
        <w:spacing w:before="120"/>
        <w:rPr>
          <w:rFonts w:eastAsia="Calibri"/>
          <w:sz w:val="24"/>
          <w:szCs w:val="32"/>
        </w:rPr>
      </w:pPr>
      <w:r>
        <w:rPr>
          <w:rFonts w:eastAsiaTheme="minorHAnsi"/>
          <w:sz w:val="24"/>
          <w:szCs w:val="32"/>
        </w:rPr>
        <w:t>- la gouvernance éducative, et</w:t>
      </w:r>
    </w:p>
    <w:p w14:paraId="576517D5" w14:textId="77777777" w:rsidR="00D80693" w:rsidRDefault="00D80693" w:rsidP="00141F1B">
      <w:pPr>
        <w:spacing w:before="120"/>
        <w:rPr>
          <w:rFonts w:eastAsia="Calibri"/>
          <w:sz w:val="24"/>
          <w:szCs w:val="32"/>
        </w:rPr>
      </w:pPr>
      <w:r>
        <w:rPr>
          <w:rFonts w:eastAsiaTheme="minorHAnsi"/>
          <w:sz w:val="24"/>
          <w:szCs w:val="32"/>
        </w:rPr>
        <w:t>- les politiques publiques.</w:t>
      </w:r>
    </w:p>
    <w:p w14:paraId="5C5021B7" w14:textId="77777777" w:rsidR="00D80693" w:rsidRDefault="00D80693" w:rsidP="00141F1B">
      <w:pPr>
        <w:spacing w:before="120"/>
        <w:jc w:val="both"/>
        <w:rPr>
          <w:rFonts w:eastAsia="Calibri"/>
          <w:sz w:val="24"/>
          <w:szCs w:val="32"/>
        </w:rPr>
      </w:pPr>
      <w:r>
        <w:rPr>
          <w:rFonts w:eastAsiaTheme="minorHAnsi"/>
          <w:sz w:val="24"/>
          <w:szCs w:val="32"/>
        </w:rPr>
        <w:t xml:space="preserve">En cherchant à inclure tous les apprenants, elle met en lumière les limites structurelles des systèmes éducatifs : rigidité curriculaire, ségrégation institutionnelle, standardisation de l’évaluation. Elle conduit donc à un changement systémique fondé sur la coopération interprofessionnelle, la flexibilité curriculaire et la participation communautaire (Booth &amp; </w:t>
      </w:r>
      <w:proofErr w:type="spellStart"/>
      <w:r>
        <w:rPr>
          <w:rFonts w:eastAsiaTheme="minorHAnsi"/>
          <w:sz w:val="24"/>
          <w:szCs w:val="32"/>
        </w:rPr>
        <w:t>Ainscow</w:t>
      </w:r>
      <w:proofErr w:type="spellEnd"/>
      <w:r>
        <w:rPr>
          <w:rFonts w:eastAsiaTheme="minorHAnsi"/>
          <w:sz w:val="24"/>
          <w:szCs w:val="32"/>
        </w:rPr>
        <w:t>, 2002).</w:t>
      </w:r>
    </w:p>
    <w:p w14:paraId="092A536F" w14:textId="77777777" w:rsidR="00D80693" w:rsidRDefault="00D80693" w:rsidP="00141F1B">
      <w:pPr>
        <w:spacing w:before="120"/>
        <w:jc w:val="both"/>
        <w:rPr>
          <w:rFonts w:eastAsia="Calibri"/>
          <w:sz w:val="24"/>
          <w:szCs w:val="24"/>
        </w:rPr>
      </w:pPr>
      <w:r>
        <w:rPr>
          <w:rFonts w:eastAsiaTheme="minorHAnsi"/>
          <w:sz w:val="24"/>
          <w:szCs w:val="32"/>
        </w:rPr>
        <w:t xml:space="preserve">En somme, l’éducation inclusive s’impose aujourd’hui comme un paradigme de transformation des systèmes éducatifs, car elle interroge leurs fondements : finalités, structures, pratiques, et valeurs. Elle déplace la question éducative d’une logique d’adaptation à une logique de transformation. En ce sens, elle ne se contente pas d’intégrer les marges : elle reconfigure le centre du système éducatif autour de la diversité, de la participation et de la justice sociale. Néanmoins, </w:t>
      </w:r>
      <w:r>
        <w:rPr>
          <w:rFonts w:eastAsia="Calibri"/>
          <w:sz w:val="24"/>
          <w:szCs w:val="24"/>
        </w:rPr>
        <w:t>l’écart entre discours et pratiques révèle la difficulté à faire de l’inclusion un projet éducatif global plutôt qu’un dispositif marginal.</w:t>
      </w:r>
    </w:p>
    <w:p w14:paraId="37CF76A8" w14:textId="77777777" w:rsidR="00D80693" w:rsidRDefault="00D80693" w:rsidP="00141F1B">
      <w:pPr>
        <w:spacing w:before="120"/>
        <w:jc w:val="both"/>
        <w:rPr>
          <w:rFonts w:eastAsia="Calibri"/>
          <w:b/>
          <w:bCs/>
          <w:sz w:val="28"/>
          <w:szCs w:val="28"/>
        </w:rPr>
      </w:pPr>
      <w:r>
        <w:rPr>
          <w:rFonts w:eastAsia="Calibri"/>
          <w:b/>
          <w:bCs/>
          <w:sz w:val="28"/>
          <w:szCs w:val="28"/>
        </w:rPr>
        <w:t>Conclusion</w:t>
      </w:r>
    </w:p>
    <w:p w14:paraId="2D07E0C0" w14:textId="77777777" w:rsidR="00D80693" w:rsidRDefault="00D80693" w:rsidP="00141F1B">
      <w:pPr>
        <w:spacing w:before="120"/>
        <w:jc w:val="both"/>
        <w:rPr>
          <w:rFonts w:eastAsia="Calibri"/>
          <w:sz w:val="24"/>
          <w:szCs w:val="24"/>
        </w:rPr>
      </w:pPr>
      <w:r>
        <w:rPr>
          <w:rFonts w:eastAsia="Calibri"/>
          <w:sz w:val="24"/>
          <w:szCs w:val="24"/>
        </w:rPr>
        <w:t xml:space="preserve">L’éducation inclusive constitue un horizon éthique, politique et pédagogique essentiel pour une école véritablement démocratique. Elle redéfinit la notion de réussite et questionne le rôle de l’école dans la société contemporaine. L’éducation inclusive vise à éliminer les barrières à l'apprentissage et à la participation, en s'appuyant sur des principes d'équité, de droits et de capabilités, et en favorisant une démarche systémique et une coresponsabilité entre tous les acteurs. Toutefois, sa mise en œuvre requiert une transformation structurelle des institutions éducatives et un accompagnement systématique des acteurs. </w:t>
      </w:r>
    </w:p>
    <w:p w14:paraId="2245F7CC" w14:textId="77777777" w:rsidR="00D80693" w:rsidRDefault="00D80693" w:rsidP="00141F1B">
      <w:pPr>
        <w:spacing w:before="120"/>
        <w:jc w:val="both"/>
        <w:rPr>
          <w:rFonts w:eastAsia="Calibri"/>
          <w:sz w:val="24"/>
          <w:szCs w:val="24"/>
        </w:rPr>
      </w:pPr>
      <w:r>
        <w:rPr>
          <w:rFonts w:eastAsia="Calibri"/>
          <w:sz w:val="24"/>
          <w:szCs w:val="24"/>
        </w:rPr>
        <w:t>Cependant, en pratique, l'éducation inclusive rencontre plusieurs limites, notamment en raison de la complexité de la diversité humaine, des difficultés à adapter les pratiques pédagogiques et des freins liés aux attitudes et aux structures sociétales.</w:t>
      </w:r>
    </w:p>
    <w:p w14:paraId="714022F9" w14:textId="77777777" w:rsidR="00D80693" w:rsidRDefault="00D80693" w:rsidP="00141F1B">
      <w:pPr>
        <w:spacing w:before="120"/>
        <w:jc w:val="both"/>
        <w:rPr>
          <w:rFonts w:eastAsia="Calibri"/>
          <w:sz w:val="24"/>
          <w:szCs w:val="24"/>
        </w:rPr>
      </w:pPr>
      <w:r>
        <w:rPr>
          <w:rFonts w:eastAsia="Calibri"/>
          <w:sz w:val="24"/>
          <w:szCs w:val="24"/>
        </w:rPr>
        <w:t>Au-delà des discours normatifs, il s’agit de construire une école de la diversité, capable de conjuguer justice, coopération et pluralité. L’éducation inclusive n’est pas un aboutissement, mais un processus continu d’ajustement et de réflexion collective sur les valeurs de l’école. L’analyse théorique du concept d’éducation inclusive révèle une tension constante entre le prescriptif et le réel.</w:t>
      </w:r>
    </w:p>
    <w:p w14:paraId="448AB0CE" w14:textId="77777777" w:rsidR="00D80693" w:rsidRDefault="00D80693" w:rsidP="00141F1B">
      <w:pPr>
        <w:spacing w:before="120"/>
        <w:jc w:val="both"/>
        <w:rPr>
          <w:rFonts w:eastAsia="Calibri"/>
          <w:sz w:val="24"/>
          <w:szCs w:val="24"/>
        </w:rPr>
      </w:pPr>
      <w:r>
        <w:rPr>
          <w:rFonts w:eastAsia="Calibri"/>
          <w:sz w:val="24"/>
          <w:szCs w:val="24"/>
        </w:rPr>
        <w:t>Si l’inclusion se présente comme un idéal de justice et de participation universelle, sa concrétisation nécessite une refonte profonde des représentations et des structures éducatives. La portée transformatrice de l’inclusion dépend donc de la capacité des systèmes éducatifs à dépasser les logiques sélectives pour construire une école de la diversité, centrée sur la coopération, la reconnaissance et la réussite de tous.</w:t>
      </w:r>
    </w:p>
    <w:p w14:paraId="17AD9C8A" w14:textId="6E318AEE" w:rsidR="00D80693" w:rsidRPr="00141F1B" w:rsidRDefault="00141F1B" w:rsidP="00570B74">
      <w:pPr>
        <w:spacing w:before="120"/>
        <w:jc w:val="both"/>
        <w:rPr>
          <w:rFonts w:eastAsia="Calibri"/>
          <w:b/>
          <w:bCs/>
          <w:sz w:val="28"/>
          <w:szCs w:val="28"/>
          <w:lang w:val="en-US"/>
        </w:rPr>
      </w:pPr>
      <w:proofErr w:type="spellStart"/>
      <w:r w:rsidRPr="00141F1B">
        <w:rPr>
          <w:rFonts w:eastAsia="Calibri"/>
          <w:b/>
          <w:bCs/>
          <w:sz w:val="28"/>
          <w:szCs w:val="28"/>
          <w:lang w:val="en-US"/>
        </w:rPr>
        <w:t>Références</w:t>
      </w:r>
      <w:proofErr w:type="spellEnd"/>
      <w:r w:rsidRPr="00141F1B">
        <w:rPr>
          <w:rFonts w:eastAsia="Calibri"/>
          <w:b/>
          <w:bCs/>
          <w:sz w:val="28"/>
          <w:szCs w:val="28"/>
          <w:lang w:val="en-US"/>
        </w:rPr>
        <w:t xml:space="preserve"> </w:t>
      </w:r>
      <w:proofErr w:type="spellStart"/>
      <w:r w:rsidRPr="00141F1B">
        <w:rPr>
          <w:rFonts w:eastAsia="Calibri"/>
          <w:b/>
          <w:bCs/>
          <w:sz w:val="28"/>
          <w:szCs w:val="28"/>
          <w:lang w:val="en-US"/>
        </w:rPr>
        <w:t>b</w:t>
      </w:r>
      <w:r w:rsidR="00D80693" w:rsidRPr="00141F1B">
        <w:rPr>
          <w:rFonts w:eastAsia="Calibri"/>
          <w:b/>
          <w:bCs/>
          <w:sz w:val="28"/>
          <w:szCs w:val="28"/>
          <w:lang w:val="en-US"/>
        </w:rPr>
        <w:t>ibliographi</w:t>
      </w:r>
      <w:r w:rsidRPr="00141F1B">
        <w:rPr>
          <w:rFonts w:eastAsia="Calibri"/>
          <w:b/>
          <w:bCs/>
          <w:sz w:val="28"/>
          <w:szCs w:val="28"/>
          <w:lang w:val="en-US"/>
        </w:rPr>
        <w:t>ques</w:t>
      </w:r>
      <w:proofErr w:type="spellEnd"/>
    </w:p>
    <w:p w14:paraId="7A5B1B78" w14:textId="77777777" w:rsidR="00D80693" w:rsidRDefault="00D80693" w:rsidP="00141F1B">
      <w:pPr>
        <w:spacing w:before="120"/>
        <w:ind w:left="993" w:hanging="993"/>
        <w:rPr>
          <w:rFonts w:eastAsia="Calibri"/>
          <w:sz w:val="24"/>
          <w:szCs w:val="32"/>
          <w:lang w:val="en-US"/>
        </w:rPr>
      </w:pPr>
      <w:r>
        <w:rPr>
          <w:rFonts w:eastAsiaTheme="minorHAnsi"/>
          <w:sz w:val="24"/>
          <w:szCs w:val="32"/>
          <w:lang w:val="en-US"/>
        </w:rPr>
        <w:t xml:space="preserve">Ainscow, M. (2005). Developing inclusive education systems: What are the levers for change? </w:t>
      </w:r>
      <w:r>
        <w:rPr>
          <w:rFonts w:eastAsiaTheme="minorHAnsi"/>
          <w:i/>
          <w:iCs/>
          <w:sz w:val="24"/>
          <w:szCs w:val="32"/>
          <w:lang w:val="en-US"/>
        </w:rPr>
        <w:t>Journal of Educational Change</w:t>
      </w:r>
      <w:r>
        <w:rPr>
          <w:rFonts w:eastAsiaTheme="minorHAnsi"/>
          <w:sz w:val="24"/>
          <w:szCs w:val="32"/>
          <w:lang w:val="en-US"/>
        </w:rPr>
        <w:t>, 6(2), 109–124. https://doi.org/10.1007/s10833-005-1298-4</w:t>
      </w:r>
    </w:p>
    <w:p w14:paraId="1439B36C" w14:textId="77777777" w:rsidR="00D80693" w:rsidRDefault="00D80693" w:rsidP="00141F1B">
      <w:pPr>
        <w:spacing w:before="120"/>
        <w:ind w:left="993" w:hanging="993"/>
        <w:jc w:val="both"/>
        <w:rPr>
          <w:rFonts w:eastAsia="Calibri"/>
          <w:sz w:val="24"/>
          <w:szCs w:val="24"/>
        </w:rPr>
      </w:pPr>
      <w:r>
        <w:rPr>
          <w:rFonts w:eastAsia="Calibri"/>
          <w:sz w:val="24"/>
          <w:szCs w:val="24"/>
          <w:lang w:val="en-US"/>
        </w:rPr>
        <w:t>Ainscow, M., &amp; Booth, T. (2002). I</w:t>
      </w:r>
      <w:r>
        <w:rPr>
          <w:rFonts w:eastAsia="Calibri"/>
          <w:i/>
          <w:iCs/>
          <w:sz w:val="24"/>
          <w:szCs w:val="24"/>
          <w:lang w:val="en-US"/>
        </w:rPr>
        <w:t>ndex for inclusion: Developing learning and participation in schools</w:t>
      </w:r>
      <w:r>
        <w:rPr>
          <w:rFonts w:eastAsia="Calibri"/>
          <w:sz w:val="24"/>
          <w:szCs w:val="24"/>
          <w:lang w:val="en-US"/>
        </w:rPr>
        <w:t xml:space="preserve">. </w:t>
      </w:r>
      <w:r>
        <w:rPr>
          <w:rFonts w:eastAsia="Calibri"/>
          <w:sz w:val="24"/>
          <w:szCs w:val="24"/>
        </w:rPr>
        <w:t xml:space="preserve">Centre for </w:t>
      </w:r>
      <w:proofErr w:type="spellStart"/>
      <w:r>
        <w:rPr>
          <w:rFonts w:eastAsia="Calibri"/>
          <w:sz w:val="24"/>
          <w:szCs w:val="24"/>
        </w:rPr>
        <w:t>Studies</w:t>
      </w:r>
      <w:proofErr w:type="spellEnd"/>
      <w:r>
        <w:rPr>
          <w:rFonts w:eastAsia="Calibri"/>
          <w:sz w:val="24"/>
          <w:szCs w:val="24"/>
        </w:rPr>
        <w:t xml:space="preserve"> on Inclusive Education.</w:t>
      </w:r>
    </w:p>
    <w:p w14:paraId="04A4EE36" w14:textId="77777777" w:rsidR="00D80693" w:rsidRDefault="00D80693" w:rsidP="00141F1B">
      <w:pPr>
        <w:spacing w:before="120"/>
        <w:ind w:left="993" w:hanging="993"/>
        <w:jc w:val="both"/>
        <w:rPr>
          <w:rFonts w:eastAsia="Calibri"/>
          <w:sz w:val="24"/>
          <w:szCs w:val="24"/>
          <w:lang w:val="en"/>
        </w:rPr>
      </w:pPr>
      <w:proofErr w:type="spellStart"/>
      <w:r>
        <w:rPr>
          <w:rFonts w:eastAsia="Calibri"/>
          <w:sz w:val="24"/>
          <w:szCs w:val="24"/>
        </w:rPr>
        <w:t>Ainscow</w:t>
      </w:r>
      <w:proofErr w:type="spellEnd"/>
      <w:r>
        <w:rPr>
          <w:rFonts w:eastAsia="Calibri"/>
          <w:sz w:val="24"/>
          <w:szCs w:val="24"/>
        </w:rPr>
        <w:t xml:space="preserve"> M., &amp; Miles, S. (2008), « Vers une éducation pour l’inclusion pour tous : prochaine étape ? », </w:t>
      </w:r>
      <w:r>
        <w:rPr>
          <w:rFonts w:eastAsia="Calibri"/>
          <w:i/>
          <w:iCs/>
          <w:sz w:val="24"/>
          <w:szCs w:val="24"/>
        </w:rPr>
        <w:t>Perspectives</w:t>
      </w:r>
      <w:r>
        <w:rPr>
          <w:rFonts w:eastAsia="Calibri"/>
          <w:sz w:val="24"/>
          <w:szCs w:val="24"/>
        </w:rPr>
        <w:t>, vol. </w:t>
      </w:r>
      <w:r>
        <w:rPr>
          <w:rFonts w:eastAsia="Calibri"/>
          <w:sz w:val="24"/>
          <w:szCs w:val="24"/>
          <w:lang w:val="en"/>
        </w:rPr>
        <w:t>XXXVIII, n° 1, p. 17-44.</w:t>
      </w:r>
    </w:p>
    <w:p w14:paraId="46533508" w14:textId="77777777" w:rsidR="00D80693" w:rsidRPr="0065773E" w:rsidRDefault="00D80693" w:rsidP="00141F1B">
      <w:pPr>
        <w:spacing w:before="120"/>
        <w:ind w:left="993" w:hanging="993"/>
        <w:jc w:val="both"/>
        <w:rPr>
          <w:rFonts w:eastAsia="Calibri"/>
          <w:sz w:val="24"/>
          <w:szCs w:val="24"/>
          <w:lang w:val="en-US"/>
        </w:rPr>
      </w:pPr>
      <w:r w:rsidRPr="0065773E">
        <w:rPr>
          <w:rFonts w:eastAsia="Calibri"/>
          <w:sz w:val="24"/>
          <w:szCs w:val="24"/>
          <w:lang w:val="en-US"/>
        </w:rPr>
        <w:t xml:space="preserve">Amor, A. M., Hagiwara, M., Shogren, K. A., Thompson, J. R., Verdugo, M. A., Burke, K. M., &amp; Aguayo, V. (2019). International perspectives and trends in research on inclusive education: A systematic review. </w:t>
      </w:r>
      <w:r w:rsidRPr="0065773E">
        <w:rPr>
          <w:rFonts w:eastAsia="Calibri"/>
          <w:i/>
          <w:iCs/>
          <w:sz w:val="24"/>
          <w:szCs w:val="24"/>
          <w:lang w:val="en-US"/>
        </w:rPr>
        <w:t>International Journal of Inclusive Education</w:t>
      </w:r>
      <w:r w:rsidRPr="0065773E">
        <w:rPr>
          <w:rFonts w:eastAsia="Calibri"/>
          <w:sz w:val="24"/>
          <w:szCs w:val="24"/>
          <w:lang w:val="en-US"/>
        </w:rPr>
        <w:t>, 23(12).</w:t>
      </w:r>
    </w:p>
    <w:p w14:paraId="01263C37" w14:textId="77777777" w:rsidR="00D80693" w:rsidRDefault="00D80693" w:rsidP="00141F1B">
      <w:pPr>
        <w:spacing w:before="120"/>
        <w:ind w:left="993" w:hanging="993"/>
        <w:jc w:val="both"/>
        <w:rPr>
          <w:rFonts w:eastAsia="Calibri"/>
          <w:sz w:val="24"/>
          <w:szCs w:val="24"/>
        </w:rPr>
      </w:pPr>
      <w:r>
        <w:rPr>
          <w:rFonts w:eastAsiaTheme="minorHAnsi"/>
          <w:sz w:val="24"/>
          <w:szCs w:val="24"/>
          <w:lang w:val="en-US"/>
        </w:rPr>
        <w:t xml:space="preserve">Artiles, A. J., </w:t>
      </w:r>
      <w:proofErr w:type="spellStart"/>
      <w:r>
        <w:rPr>
          <w:rFonts w:eastAsiaTheme="minorHAnsi"/>
          <w:sz w:val="24"/>
          <w:szCs w:val="24"/>
          <w:lang w:val="en-US"/>
        </w:rPr>
        <w:t>Kozleski</w:t>
      </w:r>
      <w:proofErr w:type="spellEnd"/>
      <w:r>
        <w:rPr>
          <w:rFonts w:eastAsiaTheme="minorHAnsi"/>
          <w:sz w:val="24"/>
          <w:szCs w:val="24"/>
          <w:lang w:val="en-US"/>
        </w:rPr>
        <w:t xml:space="preserve">, E. B., &amp; </w:t>
      </w:r>
      <w:proofErr w:type="spellStart"/>
      <w:r>
        <w:rPr>
          <w:rFonts w:eastAsiaTheme="minorHAnsi"/>
          <w:sz w:val="24"/>
          <w:szCs w:val="24"/>
          <w:lang w:val="en-US"/>
        </w:rPr>
        <w:t>Waitoller</w:t>
      </w:r>
      <w:proofErr w:type="spellEnd"/>
      <w:r>
        <w:rPr>
          <w:rFonts w:eastAsiaTheme="minorHAnsi"/>
          <w:sz w:val="24"/>
          <w:szCs w:val="24"/>
          <w:lang w:val="en-US"/>
        </w:rPr>
        <w:t xml:space="preserve">, F. R. (Eds.). (2011). </w:t>
      </w:r>
      <w:r>
        <w:rPr>
          <w:rFonts w:eastAsiaTheme="minorHAnsi"/>
          <w:i/>
          <w:iCs/>
          <w:sz w:val="24"/>
          <w:szCs w:val="24"/>
          <w:lang w:val="en-US"/>
        </w:rPr>
        <w:t>Inclusive education: Examining equity on five continents</w:t>
      </w:r>
      <w:r>
        <w:rPr>
          <w:rFonts w:eastAsiaTheme="minorHAnsi"/>
          <w:sz w:val="24"/>
          <w:szCs w:val="24"/>
          <w:lang w:val="en-US"/>
        </w:rPr>
        <w:t xml:space="preserve">. </w:t>
      </w:r>
      <w:r>
        <w:rPr>
          <w:rFonts w:eastAsiaTheme="minorHAnsi"/>
          <w:sz w:val="24"/>
          <w:szCs w:val="24"/>
        </w:rPr>
        <w:t>Harvard Education Press.</w:t>
      </w:r>
    </w:p>
    <w:p w14:paraId="32E0C852" w14:textId="77777777" w:rsidR="00D80693" w:rsidRDefault="00D80693" w:rsidP="00141F1B">
      <w:pPr>
        <w:spacing w:before="120"/>
        <w:ind w:left="993" w:hanging="993"/>
        <w:jc w:val="both"/>
        <w:rPr>
          <w:rFonts w:eastAsia="Calibri"/>
          <w:sz w:val="24"/>
          <w:szCs w:val="24"/>
          <w:lang w:val="en-US"/>
        </w:rPr>
      </w:pPr>
      <w:r>
        <w:rPr>
          <w:rFonts w:eastAsiaTheme="minorHAnsi"/>
          <w:sz w:val="24"/>
          <w:szCs w:val="24"/>
        </w:rPr>
        <w:t xml:space="preserve">Bélanger, N., &amp; Duchesne, H. (2010). </w:t>
      </w:r>
      <w:r>
        <w:rPr>
          <w:rFonts w:eastAsiaTheme="minorHAnsi"/>
          <w:i/>
          <w:iCs/>
          <w:sz w:val="24"/>
          <w:szCs w:val="24"/>
        </w:rPr>
        <w:t>L’école inclusive : une responsabilité partagée</w:t>
      </w:r>
      <w:r>
        <w:rPr>
          <w:rFonts w:eastAsiaTheme="minorHAnsi"/>
          <w:sz w:val="24"/>
          <w:szCs w:val="24"/>
        </w:rPr>
        <w:t xml:space="preserve">. </w:t>
      </w:r>
      <w:r>
        <w:rPr>
          <w:rFonts w:eastAsiaTheme="minorHAnsi"/>
          <w:sz w:val="24"/>
          <w:szCs w:val="24"/>
          <w:lang w:val="en-US"/>
        </w:rPr>
        <w:t xml:space="preserve">Presses de </w:t>
      </w:r>
      <w:proofErr w:type="spellStart"/>
      <w:r>
        <w:rPr>
          <w:rFonts w:eastAsiaTheme="minorHAnsi"/>
          <w:sz w:val="24"/>
          <w:szCs w:val="24"/>
          <w:lang w:val="en-US"/>
        </w:rPr>
        <w:t>l’Université</w:t>
      </w:r>
      <w:proofErr w:type="spellEnd"/>
      <w:r>
        <w:rPr>
          <w:rFonts w:eastAsiaTheme="minorHAnsi"/>
          <w:sz w:val="24"/>
          <w:szCs w:val="24"/>
          <w:lang w:val="en-US"/>
        </w:rPr>
        <w:t xml:space="preserve"> du Québec.</w:t>
      </w:r>
    </w:p>
    <w:p w14:paraId="7471D06C" w14:textId="77777777" w:rsidR="00D80693" w:rsidRPr="0065773E" w:rsidRDefault="00D80693" w:rsidP="00141F1B">
      <w:pPr>
        <w:spacing w:before="120"/>
        <w:ind w:left="993" w:hanging="993"/>
        <w:jc w:val="both"/>
        <w:rPr>
          <w:rFonts w:eastAsia="Calibri"/>
          <w:sz w:val="24"/>
          <w:szCs w:val="24"/>
        </w:rPr>
      </w:pPr>
      <w:r>
        <w:rPr>
          <w:rFonts w:eastAsia="Calibri"/>
          <w:sz w:val="24"/>
          <w:szCs w:val="24"/>
          <w:lang w:val="en-US"/>
        </w:rPr>
        <w:t xml:space="preserve">Bronfenbrenner, U. (1979). </w:t>
      </w:r>
      <w:r>
        <w:rPr>
          <w:rFonts w:eastAsia="Calibri"/>
          <w:i/>
          <w:iCs/>
          <w:sz w:val="24"/>
          <w:szCs w:val="24"/>
          <w:lang w:val="en-US"/>
        </w:rPr>
        <w:t>The ecology of human development: Experiments by nature and design</w:t>
      </w:r>
      <w:r>
        <w:rPr>
          <w:rFonts w:eastAsia="Calibri"/>
          <w:sz w:val="24"/>
          <w:szCs w:val="24"/>
          <w:lang w:val="en-US"/>
        </w:rPr>
        <w:t xml:space="preserve">. </w:t>
      </w:r>
      <w:r w:rsidRPr="0065773E">
        <w:rPr>
          <w:rFonts w:eastAsia="Calibri"/>
          <w:sz w:val="24"/>
          <w:szCs w:val="24"/>
        </w:rPr>
        <w:t xml:space="preserve">Harvard </w:t>
      </w:r>
      <w:proofErr w:type="spellStart"/>
      <w:r w:rsidRPr="0065773E">
        <w:rPr>
          <w:rFonts w:eastAsia="Calibri"/>
          <w:sz w:val="24"/>
          <w:szCs w:val="24"/>
        </w:rPr>
        <w:t>University</w:t>
      </w:r>
      <w:proofErr w:type="spellEnd"/>
      <w:r w:rsidRPr="0065773E">
        <w:rPr>
          <w:rFonts w:eastAsia="Calibri"/>
          <w:sz w:val="24"/>
          <w:szCs w:val="24"/>
        </w:rPr>
        <w:t xml:space="preserve"> Press.</w:t>
      </w:r>
    </w:p>
    <w:p w14:paraId="4D55B462" w14:textId="77777777" w:rsidR="00D80693" w:rsidRPr="0065773E" w:rsidRDefault="00D80693" w:rsidP="00141F1B">
      <w:pPr>
        <w:spacing w:before="120"/>
        <w:ind w:left="993" w:hanging="993"/>
        <w:jc w:val="both"/>
        <w:rPr>
          <w:rFonts w:eastAsia="Calibri"/>
          <w:sz w:val="24"/>
          <w:szCs w:val="24"/>
          <w:lang w:val="en-US"/>
        </w:rPr>
      </w:pPr>
      <w:r>
        <w:rPr>
          <w:rFonts w:eastAsia="Calibri"/>
          <w:sz w:val="24"/>
          <w:szCs w:val="24"/>
        </w:rPr>
        <w:t xml:space="preserve">Constantin, A., Jutras, F., Bouchard, P., et al. (2022). </w:t>
      </w:r>
      <w:r>
        <w:rPr>
          <w:rFonts w:eastAsia="Calibri"/>
          <w:i/>
          <w:iCs/>
          <w:sz w:val="24"/>
          <w:szCs w:val="24"/>
        </w:rPr>
        <w:t>Intersectionnalité et inclusion scolaire</w:t>
      </w:r>
      <w:r>
        <w:rPr>
          <w:rFonts w:eastAsia="Calibri"/>
          <w:sz w:val="24"/>
          <w:szCs w:val="24"/>
        </w:rPr>
        <w:t xml:space="preserve">. </w:t>
      </w:r>
      <w:r w:rsidRPr="0065773E">
        <w:rPr>
          <w:rFonts w:eastAsia="Calibri"/>
          <w:sz w:val="24"/>
          <w:szCs w:val="24"/>
          <w:lang w:val="en-US"/>
        </w:rPr>
        <w:t xml:space="preserve">Presses </w:t>
      </w:r>
      <w:proofErr w:type="spellStart"/>
      <w:r w:rsidRPr="0065773E">
        <w:rPr>
          <w:rFonts w:eastAsia="Calibri"/>
          <w:sz w:val="24"/>
          <w:szCs w:val="24"/>
          <w:lang w:val="en-US"/>
        </w:rPr>
        <w:t>universitaires</w:t>
      </w:r>
      <w:proofErr w:type="spellEnd"/>
      <w:r w:rsidRPr="0065773E">
        <w:rPr>
          <w:rFonts w:eastAsia="Calibri"/>
          <w:sz w:val="24"/>
          <w:szCs w:val="24"/>
          <w:lang w:val="en-US"/>
        </w:rPr>
        <w:t xml:space="preserve"> du Québec.</w:t>
      </w:r>
    </w:p>
    <w:p w14:paraId="6BF60078" w14:textId="77777777" w:rsidR="00D80693" w:rsidRDefault="00D80693" w:rsidP="00141F1B">
      <w:pPr>
        <w:spacing w:before="120"/>
        <w:ind w:left="993" w:hanging="993"/>
        <w:jc w:val="both"/>
        <w:rPr>
          <w:rFonts w:eastAsia="Calibri"/>
          <w:sz w:val="24"/>
          <w:szCs w:val="32"/>
        </w:rPr>
      </w:pPr>
      <w:r>
        <w:rPr>
          <w:rFonts w:eastAsia="Calibri"/>
          <w:sz w:val="24"/>
          <w:szCs w:val="32"/>
          <w:lang w:val="en-US"/>
        </w:rPr>
        <w:t xml:space="preserve">Dyson, A., &amp; </w:t>
      </w:r>
      <w:proofErr w:type="spellStart"/>
      <w:r>
        <w:rPr>
          <w:rFonts w:eastAsia="Calibri"/>
          <w:sz w:val="24"/>
          <w:szCs w:val="32"/>
          <w:lang w:val="en-US"/>
        </w:rPr>
        <w:t>Millward</w:t>
      </w:r>
      <w:proofErr w:type="spellEnd"/>
      <w:r>
        <w:rPr>
          <w:rFonts w:eastAsia="Calibri"/>
          <w:sz w:val="24"/>
          <w:szCs w:val="32"/>
          <w:lang w:val="en-US"/>
        </w:rPr>
        <w:t xml:space="preserve">, A. (2000). </w:t>
      </w:r>
      <w:r>
        <w:rPr>
          <w:rFonts w:eastAsia="Calibri"/>
          <w:i/>
          <w:iCs/>
          <w:sz w:val="24"/>
          <w:szCs w:val="32"/>
          <w:lang w:val="en-US"/>
        </w:rPr>
        <w:t>Schools and special needs: Issues of innovation and inclusion</w:t>
      </w:r>
      <w:r>
        <w:rPr>
          <w:rFonts w:eastAsia="Calibri"/>
          <w:sz w:val="24"/>
          <w:szCs w:val="32"/>
          <w:lang w:val="en-US"/>
        </w:rPr>
        <w:t xml:space="preserve">. </w:t>
      </w:r>
      <w:r>
        <w:rPr>
          <w:rFonts w:eastAsia="Calibri"/>
          <w:sz w:val="24"/>
          <w:szCs w:val="32"/>
        </w:rPr>
        <w:t xml:space="preserve">SAGE Publications. </w:t>
      </w:r>
    </w:p>
    <w:p w14:paraId="577CF8DF" w14:textId="77777777" w:rsidR="00D80693" w:rsidRDefault="00D80693" w:rsidP="00141F1B">
      <w:pPr>
        <w:spacing w:before="120"/>
        <w:ind w:left="993" w:hanging="993"/>
        <w:jc w:val="both"/>
        <w:rPr>
          <w:rFonts w:eastAsia="Calibri"/>
          <w:sz w:val="24"/>
          <w:szCs w:val="24"/>
        </w:rPr>
      </w:pPr>
      <w:r>
        <w:rPr>
          <w:rFonts w:eastAsia="Calibri"/>
          <w:sz w:val="24"/>
          <w:szCs w:val="24"/>
        </w:rPr>
        <w:t xml:space="preserve">Ebersold, S. (2009). </w:t>
      </w:r>
      <w:r>
        <w:rPr>
          <w:rFonts w:eastAsia="Calibri"/>
          <w:i/>
          <w:iCs/>
          <w:sz w:val="24"/>
          <w:szCs w:val="24"/>
        </w:rPr>
        <w:t>La société inclusive, parlons-en ! Il n’y a pas de vie minuscule</w:t>
      </w:r>
      <w:r>
        <w:rPr>
          <w:rFonts w:eastAsia="Calibri"/>
          <w:sz w:val="24"/>
          <w:szCs w:val="24"/>
        </w:rPr>
        <w:t>. Presses Universitaires de France.</w:t>
      </w:r>
    </w:p>
    <w:p w14:paraId="706477D3" w14:textId="77777777" w:rsidR="00D80693" w:rsidRDefault="00D80693" w:rsidP="00141F1B">
      <w:pPr>
        <w:spacing w:before="120"/>
        <w:ind w:left="993" w:hanging="993"/>
        <w:jc w:val="both"/>
        <w:rPr>
          <w:rFonts w:eastAsia="Calibri"/>
          <w:sz w:val="24"/>
          <w:szCs w:val="24"/>
        </w:rPr>
      </w:pPr>
      <w:proofErr w:type="spellStart"/>
      <w:r>
        <w:rPr>
          <w:rFonts w:eastAsiaTheme="minorHAnsi"/>
          <w:sz w:val="24"/>
          <w:szCs w:val="24"/>
        </w:rPr>
        <w:t>Gremion</w:t>
      </w:r>
      <w:proofErr w:type="spellEnd"/>
      <w:r>
        <w:rPr>
          <w:rFonts w:eastAsiaTheme="minorHAnsi"/>
          <w:sz w:val="24"/>
          <w:szCs w:val="24"/>
        </w:rPr>
        <w:t xml:space="preserve">, L., &amp; </w:t>
      </w:r>
      <w:proofErr w:type="spellStart"/>
      <w:r>
        <w:rPr>
          <w:rFonts w:eastAsiaTheme="minorHAnsi"/>
          <w:sz w:val="24"/>
          <w:szCs w:val="24"/>
        </w:rPr>
        <w:t>Paratte</w:t>
      </w:r>
      <w:proofErr w:type="spellEnd"/>
      <w:r>
        <w:rPr>
          <w:rFonts w:eastAsiaTheme="minorHAnsi"/>
          <w:sz w:val="24"/>
          <w:szCs w:val="24"/>
        </w:rPr>
        <w:t xml:space="preserve">, M. (2009). </w:t>
      </w:r>
      <w:r>
        <w:rPr>
          <w:rFonts w:eastAsiaTheme="minorHAnsi"/>
          <w:i/>
          <w:iCs/>
          <w:sz w:val="24"/>
          <w:szCs w:val="24"/>
        </w:rPr>
        <w:t>Les paradoxes de l’intégration scolaire : Entre intentions et réalités</w:t>
      </w:r>
      <w:r>
        <w:rPr>
          <w:rFonts w:eastAsiaTheme="minorHAnsi"/>
          <w:sz w:val="24"/>
          <w:szCs w:val="24"/>
        </w:rPr>
        <w:t>. Haute école pédagogique du canton de Vaud.</w:t>
      </w:r>
    </w:p>
    <w:p w14:paraId="5955BA4F" w14:textId="77777777" w:rsidR="00D80693" w:rsidRPr="0065773E" w:rsidRDefault="00D80693" w:rsidP="00141F1B">
      <w:pPr>
        <w:spacing w:before="120"/>
        <w:ind w:left="993" w:hanging="993"/>
        <w:jc w:val="both"/>
        <w:rPr>
          <w:rFonts w:eastAsia="Calibri"/>
          <w:sz w:val="24"/>
          <w:szCs w:val="24"/>
          <w:lang w:val="en-US"/>
        </w:rPr>
      </w:pPr>
      <w:r>
        <w:rPr>
          <w:rFonts w:eastAsia="Calibri"/>
          <w:sz w:val="24"/>
          <w:szCs w:val="24"/>
        </w:rPr>
        <w:t xml:space="preserve">Habermas, J. (1987). </w:t>
      </w:r>
      <w:r>
        <w:rPr>
          <w:rFonts w:eastAsia="Calibri"/>
          <w:i/>
          <w:iCs/>
          <w:sz w:val="24"/>
          <w:szCs w:val="24"/>
        </w:rPr>
        <w:t>Théorie de l’agir communicationnel (Tome 1 et 2)</w:t>
      </w:r>
      <w:r>
        <w:rPr>
          <w:rFonts w:eastAsia="Calibri"/>
          <w:sz w:val="24"/>
          <w:szCs w:val="24"/>
        </w:rPr>
        <w:t xml:space="preserve">. </w:t>
      </w:r>
      <w:r w:rsidRPr="0065773E">
        <w:rPr>
          <w:rFonts w:eastAsia="Calibri"/>
          <w:sz w:val="24"/>
          <w:szCs w:val="24"/>
          <w:lang w:val="en-US"/>
        </w:rPr>
        <w:t>Fayard.</w:t>
      </w:r>
    </w:p>
    <w:p w14:paraId="48D94ED4" w14:textId="77777777" w:rsidR="00D80693" w:rsidRDefault="00D80693" w:rsidP="00141F1B">
      <w:pPr>
        <w:spacing w:before="120"/>
        <w:ind w:left="993" w:hanging="993"/>
        <w:jc w:val="both"/>
        <w:rPr>
          <w:rFonts w:eastAsia="Calibri"/>
          <w:sz w:val="24"/>
          <w:szCs w:val="24"/>
        </w:rPr>
      </w:pPr>
      <w:r w:rsidRPr="0065773E">
        <w:rPr>
          <w:rFonts w:eastAsia="Calibri"/>
          <w:sz w:val="24"/>
          <w:szCs w:val="24"/>
          <w:lang w:val="en-US"/>
        </w:rPr>
        <w:t xml:space="preserve">Hernández-Torrano, D., Somerton, M., &amp; Helmer, J. (2022). Mapping research on inclusive education since the Salamanca Statement: A bibliometric review of </w:t>
      </w:r>
      <w:proofErr w:type="gramStart"/>
      <w:r w:rsidRPr="0065773E">
        <w:rPr>
          <w:rFonts w:eastAsia="Calibri"/>
          <w:sz w:val="24"/>
          <w:szCs w:val="24"/>
          <w:lang w:val="en-US"/>
        </w:rPr>
        <w:t>the literature</w:t>
      </w:r>
      <w:proofErr w:type="gramEnd"/>
      <w:r w:rsidRPr="0065773E">
        <w:rPr>
          <w:rFonts w:eastAsia="Calibri"/>
          <w:sz w:val="24"/>
          <w:szCs w:val="24"/>
          <w:lang w:val="en-US"/>
        </w:rPr>
        <w:t xml:space="preserve">. </w:t>
      </w:r>
      <w:r>
        <w:rPr>
          <w:rFonts w:eastAsia="Calibri"/>
          <w:i/>
          <w:iCs/>
          <w:sz w:val="24"/>
          <w:szCs w:val="24"/>
        </w:rPr>
        <w:t>International Journal of Inclusive Education</w:t>
      </w:r>
      <w:r>
        <w:rPr>
          <w:rFonts w:eastAsia="Calibri"/>
          <w:sz w:val="24"/>
          <w:szCs w:val="24"/>
        </w:rPr>
        <w:t>, 26(7).</w:t>
      </w:r>
    </w:p>
    <w:p w14:paraId="53B1E498" w14:textId="77777777" w:rsidR="00D80693" w:rsidRPr="0065773E" w:rsidRDefault="00D80693" w:rsidP="00141F1B">
      <w:pPr>
        <w:spacing w:before="120"/>
        <w:ind w:left="993" w:hanging="993"/>
        <w:jc w:val="both"/>
        <w:rPr>
          <w:rFonts w:eastAsia="Calibri"/>
          <w:sz w:val="24"/>
          <w:szCs w:val="24"/>
          <w:lang w:val="en-US"/>
        </w:rPr>
      </w:pPr>
      <w:r>
        <w:rPr>
          <w:rFonts w:eastAsia="Calibri"/>
          <w:sz w:val="24"/>
          <w:szCs w:val="24"/>
        </w:rPr>
        <w:t xml:space="preserve">Meirieu, P. (2013). </w:t>
      </w:r>
      <w:r>
        <w:rPr>
          <w:rFonts w:eastAsia="Calibri"/>
          <w:i/>
          <w:iCs/>
          <w:sz w:val="24"/>
          <w:szCs w:val="24"/>
        </w:rPr>
        <w:t>Pédagogie : Le devoir de résister</w:t>
      </w:r>
      <w:r>
        <w:rPr>
          <w:rFonts w:eastAsia="Calibri"/>
          <w:sz w:val="24"/>
          <w:szCs w:val="24"/>
        </w:rPr>
        <w:t xml:space="preserve">. </w:t>
      </w:r>
      <w:r w:rsidRPr="0065773E">
        <w:rPr>
          <w:rFonts w:eastAsia="Calibri"/>
          <w:sz w:val="24"/>
          <w:szCs w:val="24"/>
          <w:lang w:val="en-US"/>
        </w:rPr>
        <w:t>ESF.</w:t>
      </w:r>
    </w:p>
    <w:p w14:paraId="6A9B834B" w14:textId="77777777" w:rsidR="00D80693" w:rsidRDefault="00D80693" w:rsidP="00141F1B">
      <w:pPr>
        <w:spacing w:before="120"/>
        <w:ind w:left="993" w:hanging="993"/>
        <w:jc w:val="both"/>
        <w:rPr>
          <w:rFonts w:eastAsia="Calibri"/>
          <w:sz w:val="24"/>
          <w:szCs w:val="24"/>
        </w:rPr>
      </w:pPr>
      <w:r w:rsidRPr="0065773E">
        <w:rPr>
          <w:rFonts w:eastAsiaTheme="minorHAnsi"/>
          <w:sz w:val="24"/>
          <w:szCs w:val="24"/>
          <w:lang w:val="en-US"/>
        </w:rPr>
        <w:t xml:space="preserve">Mishra, P., Henriksen, D., &amp; Mehta, R. (2015). </w:t>
      </w:r>
      <w:r>
        <w:rPr>
          <w:rFonts w:eastAsiaTheme="minorHAnsi"/>
          <w:sz w:val="24"/>
          <w:szCs w:val="24"/>
          <w:lang w:val="en-US"/>
        </w:rPr>
        <w:t xml:space="preserve">Creativity, technology and education: Exploring their convergence. </w:t>
      </w:r>
      <w:proofErr w:type="spellStart"/>
      <w:r>
        <w:rPr>
          <w:rFonts w:eastAsiaTheme="minorHAnsi"/>
          <w:i/>
          <w:iCs/>
          <w:sz w:val="24"/>
          <w:szCs w:val="24"/>
        </w:rPr>
        <w:t>TechTrends</w:t>
      </w:r>
      <w:proofErr w:type="spellEnd"/>
      <w:r>
        <w:rPr>
          <w:rFonts w:eastAsiaTheme="minorHAnsi"/>
          <w:sz w:val="24"/>
          <w:szCs w:val="24"/>
        </w:rPr>
        <w:t xml:space="preserve">, 59 (1), 40–48. </w:t>
      </w:r>
      <w:hyperlink r:id="rId186" w:history="1">
        <w:r>
          <w:rPr>
            <w:rFonts w:eastAsiaTheme="minorHAnsi"/>
            <w:color w:val="0563C1"/>
            <w:sz w:val="24"/>
            <w:szCs w:val="24"/>
            <w:u w:val="single"/>
          </w:rPr>
          <w:t>https://doi.org/10.1007/s11528-014-0821-0.</w:t>
        </w:r>
      </w:hyperlink>
    </w:p>
    <w:p w14:paraId="6B08B98C" w14:textId="77777777" w:rsidR="00D80693" w:rsidRDefault="00D80693" w:rsidP="00141F1B">
      <w:pPr>
        <w:spacing w:before="120"/>
        <w:ind w:left="993" w:hanging="993"/>
        <w:jc w:val="both"/>
        <w:rPr>
          <w:rFonts w:eastAsia="Calibri"/>
          <w:sz w:val="24"/>
          <w:szCs w:val="24"/>
        </w:rPr>
      </w:pPr>
      <w:r>
        <w:rPr>
          <w:rFonts w:eastAsiaTheme="minorHAnsi"/>
          <w:sz w:val="24"/>
          <w:szCs w:val="24"/>
        </w:rPr>
        <w:t xml:space="preserve">Moscovici, S. (1961). </w:t>
      </w:r>
      <w:r>
        <w:rPr>
          <w:rFonts w:eastAsiaTheme="minorHAnsi"/>
          <w:i/>
          <w:iCs/>
          <w:sz w:val="24"/>
          <w:szCs w:val="24"/>
        </w:rPr>
        <w:t>La psychanalyse, son image et son public</w:t>
      </w:r>
      <w:r>
        <w:rPr>
          <w:rFonts w:eastAsiaTheme="minorHAnsi"/>
          <w:sz w:val="24"/>
          <w:szCs w:val="24"/>
        </w:rPr>
        <w:t>. Presses Universitaires de France.</w:t>
      </w:r>
    </w:p>
    <w:p w14:paraId="48C31FE1" w14:textId="77777777" w:rsidR="00D80693" w:rsidRDefault="00D80693" w:rsidP="00141F1B">
      <w:pPr>
        <w:spacing w:before="120"/>
        <w:ind w:left="993" w:hanging="993"/>
        <w:jc w:val="both"/>
        <w:rPr>
          <w:rFonts w:eastAsia="Calibri"/>
          <w:i/>
          <w:iCs/>
          <w:sz w:val="24"/>
          <w:szCs w:val="24"/>
        </w:rPr>
      </w:pPr>
      <w:r>
        <w:rPr>
          <w:rFonts w:eastAsia="Calibri"/>
          <w:sz w:val="24"/>
          <w:szCs w:val="24"/>
        </w:rPr>
        <w:t xml:space="preserve">ONU. (2015). </w:t>
      </w:r>
      <w:r>
        <w:rPr>
          <w:rFonts w:eastAsia="Calibri"/>
          <w:i/>
          <w:iCs/>
          <w:sz w:val="24"/>
          <w:szCs w:val="24"/>
        </w:rPr>
        <w:t xml:space="preserve">Objectif ODD éducation inclusive, équitable et de qualité, et à promouvoir l’apprentissage tout au long de la vie. </w:t>
      </w:r>
      <w:r>
        <w:rPr>
          <w:rFonts w:eastAsia="Calibri"/>
          <w:sz w:val="24"/>
          <w:szCs w:val="24"/>
        </w:rPr>
        <w:t>ONU.</w:t>
      </w:r>
    </w:p>
    <w:p w14:paraId="00AAC37F" w14:textId="77777777" w:rsidR="00D80693" w:rsidRPr="0065773E" w:rsidRDefault="00D80693" w:rsidP="00141F1B">
      <w:pPr>
        <w:spacing w:before="120"/>
        <w:ind w:left="993" w:hanging="993"/>
        <w:jc w:val="both"/>
        <w:rPr>
          <w:rFonts w:eastAsia="Calibri"/>
          <w:sz w:val="24"/>
          <w:szCs w:val="24"/>
        </w:rPr>
      </w:pPr>
      <w:r>
        <w:rPr>
          <w:rFonts w:eastAsia="Calibri"/>
          <w:sz w:val="24"/>
          <w:szCs w:val="24"/>
        </w:rPr>
        <w:t xml:space="preserve">Perrenoud, P. (2004). </w:t>
      </w:r>
      <w:r>
        <w:rPr>
          <w:rFonts w:eastAsia="Calibri"/>
          <w:i/>
          <w:iCs/>
          <w:sz w:val="24"/>
          <w:szCs w:val="24"/>
        </w:rPr>
        <w:t>Développer la pratique réflexive dans le métier d’enseignant : Professionnalisation et raison pédagogique</w:t>
      </w:r>
      <w:r>
        <w:rPr>
          <w:rFonts w:eastAsia="Calibri"/>
          <w:sz w:val="24"/>
          <w:szCs w:val="24"/>
        </w:rPr>
        <w:t xml:space="preserve">. </w:t>
      </w:r>
      <w:r w:rsidRPr="0065773E">
        <w:rPr>
          <w:rFonts w:eastAsia="Calibri"/>
          <w:sz w:val="24"/>
          <w:szCs w:val="24"/>
        </w:rPr>
        <w:t>ESF.</w:t>
      </w:r>
    </w:p>
    <w:p w14:paraId="321AA0ED" w14:textId="77777777" w:rsidR="00D80693" w:rsidRDefault="00D80693" w:rsidP="00141F1B">
      <w:pPr>
        <w:spacing w:before="120"/>
        <w:ind w:left="993" w:hanging="993"/>
        <w:jc w:val="both"/>
        <w:rPr>
          <w:rFonts w:eastAsia="Calibri"/>
          <w:sz w:val="24"/>
          <w:szCs w:val="24"/>
        </w:rPr>
      </w:pPr>
      <w:r>
        <w:rPr>
          <w:rFonts w:eastAsia="Calibri"/>
          <w:sz w:val="24"/>
          <w:szCs w:val="24"/>
        </w:rPr>
        <w:t xml:space="preserve">Potvin, P. (2020). </w:t>
      </w:r>
      <w:r>
        <w:rPr>
          <w:rFonts w:eastAsia="Calibri"/>
          <w:i/>
          <w:iCs/>
          <w:sz w:val="24"/>
          <w:szCs w:val="24"/>
        </w:rPr>
        <w:t>L’école inclusive : fondements, enjeux et perspectives</w:t>
      </w:r>
      <w:r>
        <w:rPr>
          <w:rFonts w:eastAsia="Calibri"/>
          <w:sz w:val="24"/>
          <w:szCs w:val="24"/>
        </w:rPr>
        <w:t>. Presses de l’Université du Québec.</w:t>
      </w:r>
    </w:p>
    <w:p w14:paraId="429C6A02" w14:textId="77777777" w:rsidR="00D80693" w:rsidRPr="0065773E" w:rsidRDefault="00D80693" w:rsidP="00141F1B">
      <w:pPr>
        <w:spacing w:before="120"/>
        <w:ind w:left="993" w:hanging="993"/>
        <w:jc w:val="both"/>
        <w:rPr>
          <w:rFonts w:eastAsia="Calibri"/>
          <w:sz w:val="24"/>
          <w:szCs w:val="24"/>
        </w:rPr>
      </w:pPr>
      <w:r>
        <w:rPr>
          <w:rFonts w:eastAsia="Calibri"/>
          <w:sz w:val="24"/>
          <w:szCs w:val="24"/>
          <w:lang w:val="en-US"/>
        </w:rPr>
        <w:t xml:space="preserve">Rawls, J. (1971). </w:t>
      </w:r>
      <w:r>
        <w:rPr>
          <w:rFonts w:eastAsia="Calibri"/>
          <w:i/>
          <w:iCs/>
          <w:sz w:val="24"/>
          <w:szCs w:val="24"/>
          <w:lang w:val="en-US"/>
        </w:rPr>
        <w:t>A theory of justice.</w:t>
      </w:r>
      <w:r>
        <w:rPr>
          <w:rFonts w:eastAsia="Calibri"/>
          <w:sz w:val="24"/>
          <w:szCs w:val="24"/>
          <w:lang w:val="en-US"/>
        </w:rPr>
        <w:t xml:space="preserve"> </w:t>
      </w:r>
      <w:r w:rsidRPr="0065773E">
        <w:rPr>
          <w:rFonts w:eastAsia="Calibri"/>
          <w:sz w:val="24"/>
          <w:szCs w:val="24"/>
        </w:rPr>
        <w:t xml:space="preserve">Harvard </w:t>
      </w:r>
      <w:proofErr w:type="spellStart"/>
      <w:r w:rsidRPr="0065773E">
        <w:rPr>
          <w:rFonts w:eastAsia="Calibri"/>
          <w:sz w:val="24"/>
          <w:szCs w:val="24"/>
        </w:rPr>
        <w:t>University</w:t>
      </w:r>
      <w:proofErr w:type="spellEnd"/>
      <w:r w:rsidRPr="0065773E">
        <w:rPr>
          <w:rFonts w:eastAsia="Calibri"/>
          <w:sz w:val="24"/>
          <w:szCs w:val="24"/>
        </w:rPr>
        <w:t xml:space="preserve"> Press.</w:t>
      </w:r>
    </w:p>
    <w:p w14:paraId="059B9FC4" w14:textId="77777777" w:rsidR="00D80693" w:rsidRDefault="00D80693" w:rsidP="00141F1B">
      <w:pPr>
        <w:spacing w:before="120"/>
        <w:ind w:left="993" w:hanging="993"/>
        <w:jc w:val="both"/>
        <w:rPr>
          <w:rFonts w:eastAsia="Calibri"/>
          <w:sz w:val="24"/>
          <w:szCs w:val="24"/>
        </w:rPr>
      </w:pPr>
      <w:r>
        <w:rPr>
          <w:rFonts w:eastAsiaTheme="minorHAnsi"/>
          <w:sz w:val="24"/>
          <w:szCs w:val="24"/>
        </w:rPr>
        <w:t xml:space="preserve">Rousseau, N., &amp; Bergeron, G. (2014). </w:t>
      </w:r>
      <w:r>
        <w:rPr>
          <w:rFonts w:eastAsiaTheme="minorHAnsi"/>
          <w:i/>
          <w:iCs/>
          <w:sz w:val="24"/>
          <w:szCs w:val="24"/>
        </w:rPr>
        <w:t>L’inclusion scolaire : fondements et pratiques</w:t>
      </w:r>
      <w:r>
        <w:rPr>
          <w:rFonts w:eastAsiaTheme="minorHAnsi"/>
          <w:sz w:val="24"/>
          <w:szCs w:val="24"/>
        </w:rPr>
        <w:t>. Presses de l’Université du Québec.</w:t>
      </w:r>
    </w:p>
    <w:p w14:paraId="3E4CD382" w14:textId="77777777" w:rsidR="00D80693" w:rsidRDefault="00D80693" w:rsidP="00141F1B">
      <w:pPr>
        <w:spacing w:before="120"/>
        <w:ind w:left="993" w:hanging="993"/>
        <w:jc w:val="both"/>
        <w:rPr>
          <w:rFonts w:eastAsia="Calibri"/>
          <w:sz w:val="24"/>
          <w:szCs w:val="24"/>
          <w:lang w:val="en-US"/>
        </w:rPr>
      </w:pPr>
      <w:r>
        <w:rPr>
          <w:rFonts w:eastAsia="Calibri"/>
          <w:sz w:val="24"/>
          <w:szCs w:val="24"/>
        </w:rPr>
        <w:t xml:space="preserve">Sen, A. (1999). </w:t>
      </w:r>
      <w:proofErr w:type="spellStart"/>
      <w:r>
        <w:rPr>
          <w:rFonts w:eastAsia="Calibri"/>
          <w:sz w:val="24"/>
          <w:szCs w:val="24"/>
        </w:rPr>
        <w:t>Development</w:t>
      </w:r>
      <w:proofErr w:type="spellEnd"/>
      <w:r>
        <w:rPr>
          <w:rFonts w:eastAsia="Calibri"/>
          <w:sz w:val="24"/>
          <w:szCs w:val="24"/>
        </w:rPr>
        <w:t xml:space="preserve"> as </w:t>
      </w:r>
      <w:proofErr w:type="spellStart"/>
      <w:r>
        <w:rPr>
          <w:rFonts w:eastAsia="Calibri"/>
          <w:sz w:val="24"/>
          <w:szCs w:val="24"/>
        </w:rPr>
        <w:t>freedom</w:t>
      </w:r>
      <w:proofErr w:type="spellEnd"/>
      <w:r>
        <w:rPr>
          <w:rFonts w:eastAsia="Calibri"/>
          <w:sz w:val="24"/>
          <w:szCs w:val="24"/>
        </w:rPr>
        <w:t xml:space="preserve">. </w:t>
      </w:r>
      <w:r>
        <w:rPr>
          <w:rFonts w:eastAsia="Calibri"/>
          <w:sz w:val="24"/>
          <w:szCs w:val="24"/>
          <w:lang w:val="en-US"/>
        </w:rPr>
        <w:t>Oxford University Press.</w:t>
      </w:r>
    </w:p>
    <w:p w14:paraId="245AE9A3" w14:textId="77777777" w:rsidR="00D80693" w:rsidRDefault="00D80693" w:rsidP="00141F1B">
      <w:pPr>
        <w:spacing w:before="120"/>
        <w:ind w:left="993" w:hanging="993"/>
        <w:jc w:val="both"/>
        <w:rPr>
          <w:rFonts w:eastAsia="Calibri"/>
          <w:sz w:val="24"/>
          <w:szCs w:val="24"/>
          <w:lang w:val="en-US"/>
        </w:rPr>
      </w:pPr>
      <w:r>
        <w:rPr>
          <w:rFonts w:eastAsia="Calibri"/>
          <w:sz w:val="24"/>
          <w:szCs w:val="24"/>
          <w:lang w:val="en-US"/>
        </w:rPr>
        <w:t xml:space="preserve">Slee, R. (2011). </w:t>
      </w:r>
      <w:r>
        <w:rPr>
          <w:rFonts w:eastAsia="Calibri"/>
          <w:i/>
          <w:iCs/>
          <w:sz w:val="24"/>
          <w:szCs w:val="24"/>
          <w:lang w:val="en-US"/>
        </w:rPr>
        <w:t>The irregular school: Exclusion, schooling and inclusive education</w:t>
      </w:r>
      <w:r>
        <w:rPr>
          <w:rFonts w:eastAsia="Calibri"/>
          <w:sz w:val="24"/>
          <w:szCs w:val="24"/>
          <w:lang w:val="en-US"/>
        </w:rPr>
        <w:t>. Routledge.</w:t>
      </w:r>
    </w:p>
    <w:p w14:paraId="4EC1C9A9" w14:textId="77777777" w:rsidR="00D80693" w:rsidRDefault="00D80693" w:rsidP="00141F1B">
      <w:pPr>
        <w:spacing w:before="120"/>
        <w:ind w:left="993" w:hanging="993"/>
        <w:jc w:val="both"/>
        <w:rPr>
          <w:rFonts w:eastAsia="Calibri"/>
          <w:sz w:val="24"/>
          <w:szCs w:val="24"/>
          <w:lang w:val="en-US"/>
        </w:rPr>
      </w:pPr>
      <w:r>
        <w:rPr>
          <w:rFonts w:eastAsia="Calibri"/>
          <w:sz w:val="24"/>
          <w:szCs w:val="24"/>
          <w:lang w:val="en-US"/>
        </w:rPr>
        <w:t xml:space="preserve">Slee, R. (2018). </w:t>
      </w:r>
      <w:r>
        <w:rPr>
          <w:rFonts w:eastAsia="Calibri"/>
          <w:i/>
          <w:iCs/>
          <w:sz w:val="24"/>
          <w:szCs w:val="24"/>
          <w:lang w:val="en-US"/>
        </w:rPr>
        <w:t xml:space="preserve">Inclusive education isn’t </w:t>
      </w:r>
      <w:proofErr w:type="gramStart"/>
      <w:r>
        <w:rPr>
          <w:rFonts w:eastAsia="Calibri"/>
          <w:i/>
          <w:iCs/>
          <w:sz w:val="24"/>
          <w:szCs w:val="24"/>
          <w:lang w:val="en-US"/>
        </w:rPr>
        <w:t>dead,</w:t>
      </w:r>
      <w:proofErr w:type="gramEnd"/>
      <w:r>
        <w:rPr>
          <w:rFonts w:eastAsia="Calibri"/>
          <w:i/>
          <w:iCs/>
          <w:sz w:val="24"/>
          <w:szCs w:val="24"/>
          <w:lang w:val="en-US"/>
        </w:rPr>
        <w:t xml:space="preserve"> it just smells funny</w:t>
      </w:r>
      <w:r>
        <w:rPr>
          <w:rFonts w:eastAsia="Calibri"/>
          <w:sz w:val="24"/>
          <w:szCs w:val="24"/>
          <w:lang w:val="en-US"/>
        </w:rPr>
        <w:t>. Routledge.</w:t>
      </w:r>
    </w:p>
    <w:p w14:paraId="7B62421D" w14:textId="77777777" w:rsidR="00D80693" w:rsidRDefault="00D80693" w:rsidP="00141F1B">
      <w:pPr>
        <w:spacing w:before="120"/>
        <w:ind w:left="993" w:hanging="993"/>
        <w:jc w:val="both"/>
        <w:rPr>
          <w:rFonts w:eastAsia="Calibri"/>
          <w:sz w:val="24"/>
          <w:szCs w:val="24"/>
        </w:rPr>
      </w:pPr>
      <w:r>
        <w:rPr>
          <w:rFonts w:eastAsia="Calibri"/>
          <w:sz w:val="24"/>
          <w:szCs w:val="24"/>
          <w:lang w:val="en-US"/>
        </w:rPr>
        <w:t xml:space="preserve">Tomlinson, C. A. (2014). </w:t>
      </w:r>
      <w:r>
        <w:rPr>
          <w:rFonts w:eastAsia="Calibri"/>
          <w:i/>
          <w:iCs/>
          <w:sz w:val="24"/>
          <w:szCs w:val="24"/>
          <w:lang w:val="en-US"/>
        </w:rPr>
        <w:t>The differentiated classroom: Responding to the needs of all learners (2nd ed.)</w:t>
      </w:r>
      <w:r>
        <w:rPr>
          <w:rFonts w:eastAsia="Calibri"/>
          <w:sz w:val="24"/>
          <w:szCs w:val="24"/>
          <w:lang w:val="en-US"/>
        </w:rPr>
        <w:t xml:space="preserve">. </w:t>
      </w:r>
      <w:r>
        <w:rPr>
          <w:rFonts w:eastAsia="Calibri"/>
          <w:sz w:val="24"/>
          <w:szCs w:val="24"/>
        </w:rPr>
        <w:t>ASCD.</w:t>
      </w:r>
    </w:p>
    <w:p w14:paraId="038F5E0E" w14:textId="77777777" w:rsidR="00D80693" w:rsidRDefault="00D80693" w:rsidP="00141F1B">
      <w:pPr>
        <w:spacing w:before="120"/>
        <w:ind w:left="993" w:hanging="993"/>
        <w:jc w:val="both"/>
        <w:rPr>
          <w:rFonts w:eastAsia="Calibri"/>
          <w:sz w:val="24"/>
          <w:szCs w:val="24"/>
        </w:rPr>
      </w:pPr>
      <w:r>
        <w:rPr>
          <w:rFonts w:eastAsiaTheme="minorHAnsi"/>
          <w:sz w:val="24"/>
          <w:szCs w:val="24"/>
        </w:rPr>
        <w:t xml:space="preserve">Tricot, A. (2017). </w:t>
      </w:r>
      <w:r>
        <w:rPr>
          <w:rFonts w:eastAsiaTheme="minorHAnsi"/>
          <w:i/>
          <w:iCs/>
          <w:sz w:val="24"/>
          <w:szCs w:val="24"/>
        </w:rPr>
        <w:t>L’innovation pédagogique : Mythes et réalités</w:t>
      </w:r>
      <w:r>
        <w:rPr>
          <w:rFonts w:eastAsiaTheme="minorHAnsi"/>
          <w:sz w:val="24"/>
          <w:szCs w:val="24"/>
        </w:rPr>
        <w:t>. Retz.</w:t>
      </w:r>
    </w:p>
    <w:p w14:paraId="2E17FAF4" w14:textId="77777777" w:rsidR="00D80693" w:rsidRDefault="00D80693" w:rsidP="00141F1B">
      <w:pPr>
        <w:spacing w:before="120"/>
        <w:ind w:left="993" w:hanging="993"/>
        <w:jc w:val="both"/>
        <w:rPr>
          <w:rFonts w:eastAsia="Calibri"/>
          <w:sz w:val="24"/>
          <w:szCs w:val="24"/>
        </w:rPr>
      </w:pPr>
      <w:r>
        <w:rPr>
          <w:rFonts w:eastAsia="Calibri"/>
          <w:sz w:val="24"/>
          <w:szCs w:val="24"/>
        </w:rPr>
        <w:t xml:space="preserve">UNESCO. (2020). </w:t>
      </w:r>
      <w:r>
        <w:rPr>
          <w:rFonts w:eastAsia="Calibri"/>
          <w:i/>
          <w:iCs/>
          <w:sz w:val="24"/>
          <w:szCs w:val="24"/>
        </w:rPr>
        <w:t>Rapport mondial sur l’éducation : Inclusion et éducation – Tous, sans exception</w:t>
      </w:r>
      <w:r>
        <w:rPr>
          <w:rFonts w:eastAsia="Calibri"/>
          <w:sz w:val="24"/>
          <w:szCs w:val="24"/>
        </w:rPr>
        <w:t>. UNESCO.</w:t>
      </w:r>
    </w:p>
    <w:p w14:paraId="6903417F" w14:textId="77777777" w:rsidR="00D80693" w:rsidRDefault="00D80693" w:rsidP="00141F1B">
      <w:pPr>
        <w:spacing w:before="120"/>
        <w:ind w:left="993" w:hanging="993"/>
        <w:jc w:val="both"/>
        <w:rPr>
          <w:rFonts w:eastAsia="Calibri"/>
          <w:sz w:val="24"/>
          <w:szCs w:val="24"/>
        </w:rPr>
      </w:pPr>
      <w:r>
        <w:rPr>
          <w:rFonts w:eastAsiaTheme="minorHAnsi"/>
          <w:sz w:val="24"/>
          <w:szCs w:val="24"/>
        </w:rPr>
        <w:t xml:space="preserve">UNESCO. (2005). </w:t>
      </w:r>
      <w:r>
        <w:rPr>
          <w:rFonts w:eastAsiaTheme="minorHAnsi"/>
          <w:i/>
          <w:iCs/>
          <w:sz w:val="24"/>
          <w:szCs w:val="24"/>
        </w:rPr>
        <w:t>Lignes directrices pour l’inclusion : assurer l’accès à l’éducation pour tous</w:t>
      </w:r>
      <w:r>
        <w:rPr>
          <w:rFonts w:eastAsiaTheme="minorHAnsi"/>
          <w:sz w:val="24"/>
          <w:szCs w:val="24"/>
        </w:rPr>
        <w:t>. UNESCO.</w:t>
      </w:r>
    </w:p>
    <w:p w14:paraId="3CF4A3B1" w14:textId="77777777" w:rsidR="00D80693" w:rsidRDefault="00D80693" w:rsidP="00141F1B">
      <w:pPr>
        <w:spacing w:before="120"/>
        <w:ind w:left="993" w:hanging="993"/>
        <w:jc w:val="both"/>
        <w:rPr>
          <w:rFonts w:eastAsia="Calibri"/>
          <w:sz w:val="24"/>
          <w:szCs w:val="24"/>
        </w:rPr>
      </w:pPr>
      <w:r>
        <w:rPr>
          <w:rFonts w:eastAsiaTheme="minorHAnsi"/>
          <w:sz w:val="24"/>
          <w:szCs w:val="24"/>
        </w:rPr>
        <w:t xml:space="preserve">UNESCO. (2000). </w:t>
      </w:r>
      <w:r>
        <w:rPr>
          <w:rFonts w:eastAsiaTheme="minorHAnsi"/>
          <w:i/>
          <w:iCs/>
          <w:sz w:val="24"/>
          <w:szCs w:val="24"/>
        </w:rPr>
        <w:t>Cadre d’action de Dakar : L’éducation pour tous – Tenir nos engagements collectifs.</w:t>
      </w:r>
      <w:r>
        <w:rPr>
          <w:rFonts w:eastAsiaTheme="minorHAnsi"/>
          <w:sz w:val="24"/>
          <w:szCs w:val="24"/>
        </w:rPr>
        <w:t xml:space="preserve"> UNESCO.</w:t>
      </w:r>
    </w:p>
    <w:p w14:paraId="10388F20" w14:textId="77777777" w:rsidR="00D80693" w:rsidRPr="0065773E" w:rsidRDefault="00D80693" w:rsidP="00141F1B">
      <w:pPr>
        <w:spacing w:before="120"/>
        <w:ind w:left="993" w:hanging="993"/>
        <w:jc w:val="both"/>
        <w:rPr>
          <w:rFonts w:eastAsia="Calibri"/>
          <w:sz w:val="24"/>
          <w:szCs w:val="24"/>
          <w:lang w:val="en-US"/>
        </w:rPr>
      </w:pPr>
      <w:r>
        <w:rPr>
          <w:rFonts w:eastAsia="Calibri"/>
          <w:sz w:val="24"/>
          <w:szCs w:val="24"/>
        </w:rPr>
        <w:t xml:space="preserve">UNESCO. (1994). </w:t>
      </w:r>
      <w:r>
        <w:rPr>
          <w:rFonts w:eastAsia="Calibri"/>
          <w:i/>
          <w:iCs/>
          <w:sz w:val="24"/>
          <w:szCs w:val="24"/>
        </w:rPr>
        <w:t>Déclaration de Salamanque et cadre d’action pour l’éducation et les besoins éducatifs spéciaux</w:t>
      </w:r>
      <w:r>
        <w:rPr>
          <w:rFonts w:eastAsia="Calibri"/>
          <w:sz w:val="24"/>
          <w:szCs w:val="24"/>
        </w:rPr>
        <w:t xml:space="preserve">. </w:t>
      </w:r>
      <w:r w:rsidRPr="0065773E">
        <w:rPr>
          <w:rFonts w:eastAsia="Calibri"/>
          <w:sz w:val="24"/>
          <w:szCs w:val="24"/>
          <w:lang w:val="en-US"/>
        </w:rPr>
        <w:t>UNESCO.</w:t>
      </w:r>
    </w:p>
    <w:p w14:paraId="64D77F96" w14:textId="77777777" w:rsidR="00D80693" w:rsidRPr="0065773E" w:rsidRDefault="00D80693" w:rsidP="00141F1B">
      <w:pPr>
        <w:spacing w:before="120"/>
        <w:ind w:left="993" w:hanging="993"/>
        <w:jc w:val="both"/>
        <w:rPr>
          <w:rFonts w:eastAsia="Calibri"/>
          <w:sz w:val="24"/>
          <w:szCs w:val="24"/>
          <w:lang w:val="en-US"/>
        </w:rPr>
      </w:pPr>
      <w:r w:rsidRPr="0065773E">
        <w:rPr>
          <w:rFonts w:eastAsia="Calibri"/>
          <w:sz w:val="24"/>
          <w:szCs w:val="24"/>
          <w:lang w:val="en-US"/>
        </w:rPr>
        <w:t xml:space="preserve">UNICEF. (n.d.). Inclusive education. Retrieved November 27, 2025, from https://www.unicef.org/education/inclusive-education </w:t>
      </w:r>
    </w:p>
    <w:p w14:paraId="3A4689D7" w14:textId="77777777" w:rsidR="00D80693" w:rsidRDefault="00D80693" w:rsidP="00141F1B">
      <w:pPr>
        <w:spacing w:before="120"/>
        <w:ind w:left="993" w:hanging="993"/>
        <w:jc w:val="both"/>
        <w:rPr>
          <w:rFonts w:eastAsia="Calibri"/>
          <w:sz w:val="24"/>
          <w:szCs w:val="24"/>
        </w:rPr>
      </w:pPr>
      <w:r>
        <w:rPr>
          <w:rFonts w:eastAsia="Calibri"/>
          <w:sz w:val="24"/>
          <w:szCs w:val="24"/>
        </w:rPr>
        <w:t xml:space="preserve">Vienneau, R. (2004). </w:t>
      </w:r>
      <w:r>
        <w:rPr>
          <w:rFonts w:eastAsia="Calibri"/>
          <w:i/>
          <w:iCs/>
          <w:sz w:val="24"/>
          <w:szCs w:val="24"/>
        </w:rPr>
        <w:t>L’intégration scolaire des élèves en difficulté : réflexions et pratiques</w:t>
      </w:r>
      <w:r>
        <w:rPr>
          <w:rFonts w:eastAsia="Calibri"/>
          <w:sz w:val="24"/>
          <w:szCs w:val="24"/>
        </w:rPr>
        <w:t>. Éditions de la Chenelière Éducation.</w:t>
      </w:r>
    </w:p>
    <w:p w14:paraId="3F22C99C" w14:textId="77777777" w:rsidR="00D80693" w:rsidRDefault="00D80693" w:rsidP="00141F1B">
      <w:pPr>
        <w:spacing w:before="120"/>
        <w:ind w:left="993" w:hanging="993"/>
        <w:rPr>
          <w:rFonts w:ascii="Calibri" w:eastAsia="Calibri" w:hAnsi="Calibri"/>
        </w:rPr>
      </w:pPr>
      <w:r>
        <w:rPr>
          <w:rFonts w:asciiTheme="minorHAnsi" w:eastAsiaTheme="minorHAnsi" w:hAnsiTheme="minorHAnsi" w:cstheme="minorBidi"/>
        </w:rPr>
        <w:t xml:space="preserve"> </w:t>
      </w:r>
    </w:p>
    <w:p w14:paraId="349D2A9B" w14:textId="77777777" w:rsidR="00D80693" w:rsidRDefault="00D80693" w:rsidP="00141F1B">
      <w:pPr>
        <w:spacing w:before="120"/>
        <w:ind w:left="993" w:hanging="993"/>
        <w:jc w:val="both"/>
        <w:rPr>
          <w:rFonts w:eastAsia="Calibri"/>
          <w:sz w:val="24"/>
          <w:szCs w:val="24"/>
        </w:rPr>
        <w:sectPr w:rsidR="00D80693" w:rsidSect="00570B74">
          <w:headerReference w:type="default" r:id="rId187"/>
          <w:pgSz w:w="11906" w:h="16838"/>
          <w:pgMar w:top="1418" w:right="1558" w:bottom="1418" w:left="1560" w:header="568" w:footer="709" w:gutter="0"/>
          <w:cols w:space="708"/>
          <w:docGrid w:linePitch="360"/>
        </w:sectPr>
      </w:pPr>
    </w:p>
    <w:p w14:paraId="0C785A59" w14:textId="1EA5D3FF" w:rsidR="00D80693" w:rsidRPr="006B7A49" w:rsidRDefault="00E524DD" w:rsidP="006B7A49">
      <w:pPr>
        <w:pStyle w:val="Titre1"/>
        <w:spacing w:before="120"/>
        <w:ind w:left="164"/>
        <w:rPr>
          <w:rFonts w:eastAsia="Calibri"/>
          <w:i/>
          <w:iCs/>
          <w:caps/>
        </w:rPr>
      </w:pPr>
      <w:bookmarkStart w:id="368" w:name="_Toc219272598"/>
      <w:r w:rsidRPr="006B7A49">
        <w:rPr>
          <w:rFonts w:eastAsiaTheme="minorHAnsi"/>
          <w:i/>
          <w:iCs/>
        </w:rPr>
        <w:t>Durée de prise en charge, niveau d’attention et performances scolaires</w:t>
      </w:r>
      <w:r w:rsidR="00D80693" w:rsidRPr="006B7A49">
        <w:rPr>
          <w:rFonts w:eastAsiaTheme="minorHAnsi"/>
          <w:i/>
          <w:iCs/>
          <w:caps/>
        </w:rPr>
        <w:t xml:space="preserve"> </w:t>
      </w:r>
      <w:r w:rsidRPr="006B7A49">
        <w:rPr>
          <w:rFonts w:eastAsiaTheme="minorHAnsi"/>
          <w:i/>
          <w:iCs/>
        </w:rPr>
        <w:t xml:space="preserve">des enfants déficients intellectuels du </w:t>
      </w:r>
      <w:r w:rsidR="005B6654" w:rsidRPr="006B7A49">
        <w:rPr>
          <w:rFonts w:eastAsiaTheme="minorHAnsi"/>
          <w:i/>
          <w:iCs/>
        </w:rPr>
        <w:t xml:space="preserve">Centre d’Action Medico Psychosociale de l’Enfant </w:t>
      </w:r>
      <w:r w:rsidR="00D80693" w:rsidRPr="006B7A49">
        <w:rPr>
          <w:rFonts w:eastAsiaTheme="minorHAnsi"/>
          <w:i/>
          <w:iCs/>
          <w:caps/>
        </w:rPr>
        <w:t xml:space="preserve">(CAMPSE) </w:t>
      </w:r>
      <w:r w:rsidR="005B6654" w:rsidRPr="006B7A49">
        <w:rPr>
          <w:rFonts w:eastAsiaTheme="minorHAnsi"/>
          <w:i/>
          <w:iCs/>
        </w:rPr>
        <w:t>d’</w:t>
      </w:r>
      <w:r w:rsidR="006B7A49" w:rsidRPr="006B7A49">
        <w:rPr>
          <w:rFonts w:eastAsiaTheme="minorHAnsi"/>
          <w:i/>
          <w:iCs/>
        </w:rPr>
        <w:t>A</w:t>
      </w:r>
      <w:r w:rsidR="005B6654" w:rsidRPr="006B7A49">
        <w:rPr>
          <w:rFonts w:eastAsiaTheme="minorHAnsi"/>
          <w:i/>
          <w:iCs/>
        </w:rPr>
        <w:t>bidjan</w:t>
      </w:r>
      <w:bookmarkEnd w:id="368"/>
    </w:p>
    <w:p w14:paraId="1BAB6897" w14:textId="58D8813D" w:rsidR="00D80693" w:rsidRPr="006B7A49" w:rsidRDefault="00D80693" w:rsidP="006B7A49">
      <w:pPr>
        <w:pStyle w:val="Titre1"/>
        <w:spacing w:before="120"/>
        <w:ind w:left="164"/>
        <w:rPr>
          <w:rFonts w:eastAsia="Calibri"/>
        </w:rPr>
      </w:pPr>
      <w:bookmarkStart w:id="369" w:name="_Toc219272599"/>
      <w:proofErr w:type="spellStart"/>
      <w:r w:rsidRPr="006B7A49">
        <w:rPr>
          <w:rFonts w:eastAsiaTheme="minorHAnsi"/>
        </w:rPr>
        <w:t>Ossei</w:t>
      </w:r>
      <w:proofErr w:type="spellEnd"/>
      <w:r w:rsidR="00E524DD" w:rsidRPr="006B7A49">
        <w:rPr>
          <w:rFonts w:eastAsiaTheme="minorHAnsi"/>
        </w:rPr>
        <w:t xml:space="preserve"> </w:t>
      </w:r>
      <w:r w:rsidR="00E524DD" w:rsidRPr="006B7A49">
        <w:rPr>
          <w:rFonts w:eastAsiaTheme="minorHAnsi"/>
        </w:rPr>
        <w:t>KOUAKOU</w:t>
      </w:r>
      <w:bookmarkEnd w:id="369"/>
    </w:p>
    <w:p w14:paraId="19D825B4" w14:textId="77777777" w:rsidR="00D80693" w:rsidRPr="0015724E" w:rsidRDefault="00D80693" w:rsidP="00570B74">
      <w:pPr>
        <w:spacing w:before="120"/>
        <w:jc w:val="both"/>
        <w:rPr>
          <w:rFonts w:eastAsia="Calibri"/>
          <w:sz w:val="24"/>
          <w:szCs w:val="24"/>
        </w:rPr>
      </w:pPr>
    </w:p>
    <w:p w14:paraId="142B18C6" w14:textId="77777777" w:rsidR="00D80693" w:rsidRPr="0015724E" w:rsidRDefault="00D80693" w:rsidP="00570B74">
      <w:pPr>
        <w:spacing w:before="120"/>
        <w:jc w:val="both"/>
        <w:rPr>
          <w:rFonts w:eastAsia="Calibri"/>
          <w:b/>
          <w:bCs/>
          <w:sz w:val="24"/>
          <w:szCs w:val="24"/>
        </w:rPr>
      </w:pPr>
      <w:r>
        <w:rPr>
          <w:rFonts w:eastAsiaTheme="minorHAnsi"/>
          <w:b/>
          <w:bCs/>
          <w:sz w:val="24"/>
          <w:szCs w:val="24"/>
        </w:rPr>
        <w:t>RÉSUMÉ :</w:t>
      </w:r>
    </w:p>
    <w:p w14:paraId="5462281D" w14:textId="77777777" w:rsidR="00D80693" w:rsidRPr="0015724E" w:rsidRDefault="00D80693" w:rsidP="00570B74">
      <w:pPr>
        <w:spacing w:before="120"/>
        <w:jc w:val="both"/>
        <w:rPr>
          <w:rFonts w:eastAsia="Calibri"/>
          <w:sz w:val="24"/>
          <w:szCs w:val="24"/>
        </w:rPr>
      </w:pPr>
      <w:r>
        <w:rPr>
          <w:rFonts w:eastAsiaTheme="minorHAnsi"/>
          <w:sz w:val="24"/>
          <w:szCs w:val="24"/>
        </w:rPr>
        <w:t>La présente étude examine</w:t>
      </w:r>
      <w:r w:rsidRPr="0015724E">
        <w:rPr>
          <w:rFonts w:eastAsiaTheme="minorHAnsi"/>
          <w:sz w:val="24"/>
          <w:szCs w:val="24"/>
        </w:rPr>
        <w:t xml:space="preserve"> la relation entre la durée de la prise en charge, le niveau d’attention et les performances scolaires chez des déficients intellectuels du Centre d’Action Médico</w:t>
      </w:r>
      <w:r>
        <w:rPr>
          <w:rFonts w:eastAsiaTheme="minorHAnsi"/>
          <w:sz w:val="24"/>
          <w:szCs w:val="24"/>
        </w:rPr>
        <w:t>-</w:t>
      </w:r>
      <w:r w:rsidRPr="0015724E">
        <w:rPr>
          <w:rFonts w:eastAsiaTheme="minorHAnsi"/>
          <w:sz w:val="24"/>
          <w:szCs w:val="24"/>
        </w:rPr>
        <w:t xml:space="preserve"> Psychosociale de l’Enfant (CAMPSE)</w:t>
      </w:r>
      <w:r>
        <w:rPr>
          <w:rFonts w:eastAsiaTheme="minorHAnsi"/>
          <w:sz w:val="24"/>
          <w:szCs w:val="24"/>
        </w:rPr>
        <w:t xml:space="preserve"> d’Abidjan</w:t>
      </w:r>
      <w:r w:rsidRPr="0015724E">
        <w:rPr>
          <w:rFonts w:eastAsiaTheme="minorHAnsi"/>
          <w:sz w:val="24"/>
          <w:szCs w:val="24"/>
        </w:rPr>
        <w:t xml:space="preserve">. </w:t>
      </w:r>
      <w:r>
        <w:rPr>
          <w:rFonts w:eastAsiaTheme="minorHAnsi"/>
          <w:sz w:val="24"/>
          <w:szCs w:val="24"/>
        </w:rPr>
        <w:t>Pour atteindre cet objectif, des</w:t>
      </w:r>
      <w:r w:rsidRPr="0015724E">
        <w:rPr>
          <w:rFonts w:eastAsiaTheme="minorHAnsi"/>
          <w:sz w:val="24"/>
          <w:szCs w:val="24"/>
        </w:rPr>
        <w:t xml:space="preserve"> données ont été recueillies auprès de 20 enfants dont 12 filles et 08 garçons, âgés de 4 à 8</w:t>
      </w:r>
      <w:r>
        <w:rPr>
          <w:rFonts w:eastAsiaTheme="minorHAnsi"/>
          <w:sz w:val="24"/>
          <w:szCs w:val="24"/>
        </w:rPr>
        <w:t xml:space="preserve"> </w:t>
      </w:r>
      <w:r w:rsidRPr="0015724E">
        <w:rPr>
          <w:rFonts w:eastAsiaTheme="minorHAnsi"/>
          <w:sz w:val="24"/>
          <w:szCs w:val="24"/>
        </w:rPr>
        <w:t>ans. Cet échantillon a été soumis à un test d’attention soutenu et a fait l’objet d’analyse de dossiers et de relevés de notes. Ces participants ont été r</w:t>
      </w:r>
      <w:r>
        <w:rPr>
          <w:rFonts w:eastAsiaTheme="minorHAnsi"/>
          <w:sz w:val="24"/>
          <w:szCs w:val="24"/>
        </w:rPr>
        <w:t>é</w:t>
      </w:r>
      <w:r w:rsidRPr="0015724E">
        <w:rPr>
          <w:rFonts w:eastAsiaTheme="minorHAnsi"/>
          <w:sz w:val="24"/>
          <w:szCs w:val="24"/>
        </w:rPr>
        <w:t>partis en fonction du niveau d’attention et de la durée de la prise en charge.</w:t>
      </w:r>
    </w:p>
    <w:p w14:paraId="54A9C59D" w14:textId="77777777" w:rsidR="00D80693" w:rsidRPr="0015724E" w:rsidRDefault="00D80693" w:rsidP="00570B74">
      <w:pPr>
        <w:spacing w:before="120"/>
        <w:jc w:val="both"/>
        <w:rPr>
          <w:rFonts w:eastAsia="Calibri"/>
          <w:sz w:val="24"/>
          <w:szCs w:val="24"/>
        </w:rPr>
      </w:pPr>
      <w:r w:rsidRPr="0015724E">
        <w:rPr>
          <w:rFonts w:eastAsia="Calibri"/>
          <w:sz w:val="24"/>
          <w:szCs w:val="24"/>
        </w:rPr>
        <w:t xml:space="preserve">L’analyse des résultats à l’aide du logiciel SPSS a permis de confirmer la relation entre le niveau d’attention, la durée de la prise en charge et les performances scolaires des enfants déficients intellectuels. </w:t>
      </w:r>
    </w:p>
    <w:p w14:paraId="100EF327" w14:textId="77777777" w:rsidR="00D80693" w:rsidRPr="0015724E" w:rsidRDefault="00D80693" w:rsidP="00570B74">
      <w:pPr>
        <w:spacing w:before="120"/>
        <w:jc w:val="both"/>
        <w:rPr>
          <w:rFonts w:eastAsia="Calibri"/>
          <w:sz w:val="24"/>
          <w:szCs w:val="24"/>
        </w:rPr>
      </w:pPr>
      <w:r w:rsidRPr="0015724E">
        <w:rPr>
          <w:rFonts w:eastAsiaTheme="minorHAnsi"/>
          <w:b/>
          <w:bCs/>
          <w:sz w:val="24"/>
          <w:szCs w:val="24"/>
        </w:rPr>
        <w:t>Mots clés </w:t>
      </w:r>
      <w:r w:rsidRPr="0015724E">
        <w:rPr>
          <w:rFonts w:eastAsiaTheme="minorHAnsi"/>
          <w:sz w:val="24"/>
          <w:szCs w:val="24"/>
        </w:rPr>
        <w:t>: Niveau d’attention, Durée de la prise en charge, Performances scolaires, Déficients intellectuels</w:t>
      </w:r>
    </w:p>
    <w:p w14:paraId="2892CDDA" w14:textId="77777777" w:rsidR="00D80693" w:rsidRPr="0015724E" w:rsidRDefault="00D80693" w:rsidP="00570B74">
      <w:pPr>
        <w:spacing w:before="120"/>
        <w:ind w:firstLine="708"/>
        <w:jc w:val="both"/>
        <w:rPr>
          <w:rFonts w:eastAsia="Calibri"/>
          <w:b/>
          <w:bCs/>
          <w:sz w:val="24"/>
          <w:szCs w:val="24"/>
        </w:rPr>
      </w:pPr>
    </w:p>
    <w:p w14:paraId="22EFDDE4" w14:textId="77777777" w:rsidR="00D80693" w:rsidRPr="0015724E" w:rsidRDefault="00D80693" w:rsidP="00570B74">
      <w:pPr>
        <w:spacing w:before="120"/>
        <w:jc w:val="both"/>
        <w:rPr>
          <w:rFonts w:eastAsia="Calibri"/>
          <w:b/>
          <w:bCs/>
          <w:sz w:val="24"/>
          <w:szCs w:val="24"/>
          <w:lang w:val="en"/>
        </w:rPr>
      </w:pPr>
      <w:r w:rsidRPr="0015724E">
        <w:rPr>
          <w:rFonts w:eastAsiaTheme="minorHAnsi"/>
          <w:b/>
          <w:bCs/>
          <w:sz w:val="24"/>
          <w:szCs w:val="24"/>
          <w:lang w:val="en"/>
        </w:rPr>
        <w:t xml:space="preserve">SUMMARY: </w:t>
      </w:r>
    </w:p>
    <w:p w14:paraId="6720486C" w14:textId="77777777" w:rsidR="00D80693" w:rsidRPr="00883599" w:rsidRDefault="00D80693" w:rsidP="00570B74">
      <w:pPr>
        <w:spacing w:before="120"/>
        <w:jc w:val="both"/>
        <w:rPr>
          <w:rFonts w:eastAsia="Calibri"/>
          <w:sz w:val="24"/>
          <w:szCs w:val="24"/>
          <w:lang w:val="en-US"/>
        </w:rPr>
      </w:pPr>
      <w:r w:rsidRPr="00883599">
        <w:rPr>
          <w:rFonts w:eastAsiaTheme="minorHAnsi"/>
          <w:sz w:val="24"/>
          <w:szCs w:val="24"/>
          <w:lang w:val="en-US"/>
        </w:rPr>
        <w:t xml:space="preserve">This study examines the relationship between the duration of care, the level of attention, and academic performance in children with intellectual disabilities at the Child Medico-Psychosocial Action Center (CAMPSE) in Abidjan. To achieve this objective, data were collected from 20 children, including 12 girls and 8 boys, aged 4 to 8 years. This sample was subjected to a sustained attention </w:t>
      </w:r>
      <w:proofErr w:type="gramStart"/>
      <w:r w:rsidRPr="00883599">
        <w:rPr>
          <w:rFonts w:eastAsiaTheme="minorHAnsi"/>
          <w:sz w:val="24"/>
          <w:szCs w:val="24"/>
          <w:lang w:val="en-US"/>
        </w:rPr>
        <w:t>test</w:t>
      </w:r>
      <w:proofErr w:type="gramEnd"/>
      <w:r w:rsidRPr="00883599">
        <w:rPr>
          <w:rFonts w:eastAsiaTheme="minorHAnsi"/>
          <w:sz w:val="24"/>
          <w:szCs w:val="24"/>
          <w:lang w:val="en-US"/>
        </w:rPr>
        <w:t xml:space="preserve"> and their records and grade reports were analyzed. These participants were grouped according to their level of attention and the duration of care.</w:t>
      </w:r>
    </w:p>
    <w:p w14:paraId="5C8733D8" w14:textId="77777777" w:rsidR="00D80693" w:rsidRPr="00883599" w:rsidRDefault="00D80693" w:rsidP="00570B74">
      <w:pPr>
        <w:spacing w:before="120"/>
        <w:jc w:val="both"/>
        <w:rPr>
          <w:rFonts w:eastAsia="Calibri"/>
          <w:sz w:val="24"/>
          <w:szCs w:val="24"/>
          <w:lang w:val="en-US"/>
        </w:rPr>
      </w:pPr>
      <w:r w:rsidRPr="00883599">
        <w:rPr>
          <w:rFonts w:eastAsiaTheme="minorHAnsi"/>
          <w:sz w:val="24"/>
          <w:szCs w:val="24"/>
          <w:lang w:val="en-US"/>
        </w:rPr>
        <w:t>The analysis of the results using SPSS software confirmed the relationship between attention level, duration of care, and the academic performance of children with intellectual disabilities.</w:t>
      </w:r>
    </w:p>
    <w:p w14:paraId="49DCD2CA" w14:textId="77777777" w:rsidR="00D80693" w:rsidRPr="00A93BB1" w:rsidRDefault="00D80693" w:rsidP="00570B74">
      <w:pPr>
        <w:spacing w:before="120"/>
        <w:jc w:val="both"/>
        <w:rPr>
          <w:rFonts w:eastAsia="Calibri"/>
          <w:sz w:val="24"/>
          <w:szCs w:val="24"/>
          <w:lang w:val="en-US"/>
        </w:rPr>
      </w:pPr>
    </w:p>
    <w:p w14:paraId="378F69BF" w14:textId="77777777" w:rsidR="00D80693" w:rsidRPr="0015724E" w:rsidRDefault="00D80693" w:rsidP="00570B74">
      <w:pPr>
        <w:spacing w:before="120"/>
        <w:jc w:val="both"/>
        <w:rPr>
          <w:rFonts w:eastAsia="Calibri"/>
          <w:sz w:val="24"/>
          <w:szCs w:val="24"/>
          <w:lang w:val="en"/>
        </w:rPr>
      </w:pPr>
      <w:r w:rsidRPr="00A93BB1">
        <w:rPr>
          <w:rFonts w:eastAsiaTheme="minorHAnsi"/>
          <w:b/>
          <w:bCs/>
          <w:sz w:val="24"/>
          <w:szCs w:val="24"/>
          <w:lang w:val="en"/>
        </w:rPr>
        <w:t>Keywords</w:t>
      </w:r>
      <w:r w:rsidRPr="00A93BB1">
        <w:rPr>
          <w:rFonts w:eastAsiaTheme="minorHAnsi"/>
          <w:sz w:val="24"/>
          <w:szCs w:val="24"/>
          <w:lang w:val="en"/>
        </w:rPr>
        <w:t xml:space="preserve">: Attention span, Length of support, Academic performance, </w:t>
      </w:r>
      <w:proofErr w:type="gramStart"/>
      <w:r w:rsidRPr="00A93BB1">
        <w:rPr>
          <w:rFonts w:eastAsiaTheme="minorHAnsi"/>
          <w:sz w:val="24"/>
          <w:szCs w:val="24"/>
          <w:lang w:val="en"/>
        </w:rPr>
        <w:t>Intellectually</w:t>
      </w:r>
      <w:proofErr w:type="gramEnd"/>
      <w:r w:rsidRPr="00A93BB1">
        <w:rPr>
          <w:rFonts w:eastAsiaTheme="minorHAnsi"/>
          <w:sz w:val="24"/>
          <w:szCs w:val="24"/>
          <w:lang w:val="en"/>
        </w:rPr>
        <w:t xml:space="preserve"> disabled</w:t>
      </w:r>
    </w:p>
    <w:p w14:paraId="13D8A07A" w14:textId="77777777" w:rsidR="00D80693" w:rsidRPr="0015724E" w:rsidRDefault="00D80693" w:rsidP="00570B74">
      <w:pPr>
        <w:spacing w:before="120"/>
        <w:rPr>
          <w:rFonts w:eastAsia="Calibri"/>
          <w:sz w:val="24"/>
          <w:szCs w:val="24"/>
          <w:lang w:val="en"/>
        </w:rPr>
      </w:pPr>
      <w:r w:rsidRPr="0015724E">
        <w:rPr>
          <w:rFonts w:eastAsiaTheme="minorHAnsi"/>
          <w:sz w:val="24"/>
          <w:szCs w:val="24"/>
          <w:lang w:val="en"/>
        </w:rPr>
        <w:br w:type="page"/>
      </w:r>
    </w:p>
    <w:p w14:paraId="789124DC" w14:textId="77777777" w:rsidR="00D80693" w:rsidRPr="000E76C7" w:rsidRDefault="00D80693" w:rsidP="00570B74">
      <w:pPr>
        <w:pStyle w:val="Paragraphedeliste"/>
        <w:suppressAutoHyphens/>
        <w:ind w:left="360"/>
        <w:rPr>
          <w:rFonts w:eastAsia="Calibri"/>
          <w:sz w:val="28"/>
          <w:szCs w:val="28"/>
        </w:rPr>
      </w:pPr>
      <w:r w:rsidRPr="000E76C7">
        <w:rPr>
          <w:rFonts w:eastAsia="Calibri"/>
          <w:b/>
          <w:bCs/>
          <w:sz w:val="28"/>
          <w:szCs w:val="28"/>
        </w:rPr>
        <w:t xml:space="preserve">Introduction </w:t>
      </w:r>
    </w:p>
    <w:p w14:paraId="73400321"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L’apprentissage scolaire des enfants vivant avec un handicap mental, comme la déficience intellectuelle constitue un défi majeur</w:t>
      </w:r>
      <w:r>
        <w:rPr>
          <w:rFonts w:eastAsiaTheme="minorHAnsi" w:cstheme="minorBidi"/>
          <w:sz w:val="24"/>
          <w:szCs w:val="24"/>
        </w:rPr>
        <w:t xml:space="preserve">, dans la mesure où </w:t>
      </w:r>
      <w:r w:rsidRPr="0015724E">
        <w:rPr>
          <w:rFonts w:eastAsiaTheme="minorHAnsi" w:cstheme="minorBidi"/>
          <w:sz w:val="24"/>
          <w:szCs w:val="24"/>
        </w:rPr>
        <w:t xml:space="preserve">ceux-ci ont des besoins spécifiques en termes de santé et d’éducation. A ce titre, leur intégration sociale passe nécessairement par une formation adaptée à leurs besoins. Dans ce contexte, des réflexions sont menées, notamment dans le domaine des sciences humaines concernant l’apprentissage scolaire de cette catégorie d’enfants. </w:t>
      </w:r>
    </w:p>
    <w:p w14:paraId="79C508E3"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En effet, la déficience intellectuelle se définit comme un développement mental incomplet, caractérisé essentiellement par une insuffisance des facultés, qui déterminent le niveau global de l’intelligence (OMS, 2010). En d’autres termes, les déficiences intellectuelles sont une altération des fonctions cognitives, du langage, de la motricité et des performances sociales chez les enfants atteints de handicap mental. Il y a donc un lien avec le quotient intellectuel de l’individu. Dans cet ordre d’idées, Pagès (2017) indique que les déficients intellectuels auraient un quotient intellectuel inf</w:t>
      </w:r>
      <w:r>
        <w:rPr>
          <w:rFonts w:eastAsiaTheme="minorHAnsi" w:cstheme="minorBidi"/>
          <w:sz w:val="24"/>
          <w:szCs w:val="24"/>
        </w:rPr>
        <w:t>é</w:t>
      </w:r>
      <w:r w:rsidRPr="0015724E">
        <w:rPr>
          <w:rFonts w:eastAsiaTheme="minorHAnsi" w:cstheme="minorBidi"/>
          <w:sz w:val="24"/>
          <w:szCs w:val="24"/>
        </w:rPr>
        <w:t>rieur à 70 et semblent toucher 1 à 3% de la population mondiale. Ainsi, ces enfants sont limités en termes de compréhension et d’apprentissage. Il faut toutefois préciser qu’à l’instar des sujets sains, les déficients intellectuels sont susceptibles d’apprendre. De ce fait, les performances scolaires de ceux-ci intéressent les chercheurs.</w:t>
      </w:r>
    </w:p>
    <w:p w14:paraId="16F2EF11"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 xml:space="preserve">En effet, la performance scolaire serait évaluée comme étant la matérialisation du traitement cognitif fait par l’élève au moment où il est évalué (Dumont &amp; Deslandes, 2003). Elle revêt donc un caractère clinique et contribue à créer artificiellement des différences entre les apprenants. </w:t>
      </w:r>
    </w:p>
    <w:p w14:paraId="00CA29BC"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En références aux différences qu’elles créent, des auteurs comme Matson (2007), ont mentionné que, tout comme les sujets normaux, les performances scolaires des déficients intellectuels seraient influencées par des facteurs internes et externes.</w:t>
      </w:r>
    </w:p>
    <w:p w14:paraId="66AFBA81"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 xml:space="preserve">L’inventaire des travaux </w:t>
      </w:r>
      <w:r>
        <w:rPr>
          <w:rFonts w:eastAsiaTheme="minorHAnsi" w:cstheme="minorBidi"/>
          <w:sz w:val="24"/>
          <w:szCs w:val="24"/>
        </w:rPr>
        <w:t>au regard des</w:t>
      </w:r>
      <w:r w:rsidRPr="0015724E">
        <w:rPr>
          <w:rFonts w:eastAsiaTheme="minorHAnsi" w:cstheme="minorBidi"/>
          <w:sz w:val="24"/>
          <w:szCs w:val="24"/>
        </w:rPr>
        <w:t xml:space="preserve"> facteurs en lien avec les performances scolaires des déficients intellectuels laisse appara</w:t>
      </w:r>
      <w:r>
        <w:rPr>
          <w:rFonts w:eastAsiaTheme="minorHAnsi" w:cstheme="minorBidi"/>
          <w:sz w:val="24"/>
          <w:szCs w:val="24"/>
        </w:rPr>
        <w:t>î</w:t>
      </w:r>
      <w:r w:rsidRPr="0015724E">
        <w:rPr>
          <w:rFonts w:eastAsiaTheme="minorHAnsi" w:cstheme="minorBidi"/>
          <w:sz w:val="24"/>
          <w:szCs w:val="24"/>
        </w:rPr>
        <w:t xml:space="preserve">tre qu’une source importante d’influence externe se rapporterait à la durée de la prise en charge. En fait, la prise en charge renvoie au temps total de suivi qu’a subi l’enfant depuis son diagnostic. Selon Goussot </w:t>
      </w:r>
      <w:r>
        <w:rPr>
          <w:rFonts w:eastAsiaTheme="minorHAnsi" w:cstheme="minorBidi"/>
          <w:sz w:val="24"/>
          <w:szCs w:val="24"/>
        </w:rPr>
        <w:t>&amp;</w:t>
      </w:r>
      <w:r w:rsidRPr="0015724E">
        <w:rPr>
          <w:rFonts w:eastAsiaTheme="minorHAnsi" w:cstheme="minorBidi"/>
          <w:sz w:val="24"/>
          <w:szCs w:val="24"/>
        </w:rPr>
        <w:t xml:space="preserve"> </w:t>
      </w:r>
      <w:r>
        <w:rPr>
          <w:rFonts w:eastAsiaTheme="minorHAnsi" w:cstheme="minorBidi"/>
          <w:sz w:val="24"/>
          <w:szCs w:val="24"/>
        </w:rPr>
        <w:t>al.</w:t>
      </w:r>
      <w:r w:rsidRPr="0015724E">
        <w:rPr>
          <w:rFonts w:eastAsiaTheme="minorHAnsi" w:cstheme="minorBidi"/>
          <w:sz w:val="24"/>
          <w:szCs w:val="24"/>
        </w:rPr>
        <w:t xml:space="preserve"> (2012), elle serait l’ensemble de suivi dont les sujets déficients bénéficient pour évoluer physiquement et mentalement. Il s’agit ainsi de l’élément le plus central dans le développement des aptitudes des enfants, mais aussi le garant de leurs performances scolaires. Cela semble être confirmé par de nombreuses études (Wang &amp; Baker</w:t>
      </w:r>
      <w:r>
        <w:rPr>
          <w:rFonts w:eastAsiaTheme="minorHAnsi" w:cstheme="minorBidi"/>
          <w:sz w:val="24"/>
          <w:szCs w:val="24"/>
        </w:rPr>
        <w:t xml:space="preserve">, </w:t>
      </w:r>
      <w:r w:rsidRPr="0015724E">
        <w:rPr>
          <w:rFonts w:eastAsiaTheme="minorHAnsi" w:cstheme="minorBidi"/>
          <w:sz w:val="24"/>
          <w:szCs w:val="24"/>
        </w:rPr>
        <w:t xml:space="preserve">1986 ; Baker &amp; al. 1994). L’idée sous-jacente de ces études est que la durée de la prise en charge agirait considérablement sur les performances scolaires des déficients intellectuels. Dès lors, cette notion correspond à un ensemble de méthodes et de moyens utilisés en vue de permettre à l’enfant d’apprendre et de s’adapter au processus de socialisation. </w:t>
      </w:r>
    </w:p>
    <w:p w14:paraId="7E92E351"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Au titre des méthodes, la littérature distingue trois méthodes de prise en charge dans le suivi des enfants déficients intellectuels. Il s’agit des méthodes d’éducation spécialisée, intégrative et de l’éducation inclusive (</w:t>
      </w:r>
      <w:proofErr w:type="spellStart"/>
      <w:r w:rsidRPr="0015724E">
        <w:rPr>
          <w:rFonts w:eastAsiaTheme="minorHAnsi" w:cstheme="minorBidi"/>
          <w:sz w:val="24"/>
          <w:szCs w:val="24"/>
        </w:rPr>
        <w:t>Gardou</w:t>
      </w:r>
      <w:proofErr w:type="spellEnd"/>
      <w:r w:rsidRPr="0015724E">
        <w:rPr>
          <w:rFonts w:eastAsiaTheme="minorHAnsi" w:cstheme="minorBidi"/>
          <w:sz w:val="24"/>
          <w:szCs w:val="24"/>
        </w:rPr>
        <w:t xml:space="preserve"> &amp; Plaisance, 2014). Ces méthodes, aussi variées soient-elles, ont montré leur portée et dépendent du choix et de l’objectif visé. A cela, il faut ajouter qu’elles peuvent être associées à un groupe d’enfants. Si les auteurs sont unanimes sur la portée des méthodes, il n’en demeure pas autant en ce qui concerne l’âge à partir duquel la prise en charge commence. Sous cet angle, il appara</w:t>
      </w:r>
      <w:r>
        <w:rPr>
          <w:rFonts w:eastAsiaTheme="minorHAnsi" w:cstheme="minorBidi"/>
          <w:sz w:val="24"/>
          <w:szCs w:val="24"/>
        </w:rPr>
        <w:t>î</w:t>
      </w:r>
      <w:r w:rsidRPr="0015724E">
        <w:rPr>
          <w:rFonts w:eastAsiaTheme="minorHAnsi" w:cstheme="minorBidi"/>
          <w:sz w:val="24"/>
          <w:szCs w:val="24"/>
        </w:rPr>
        <w:t xml:space="preserve">t selon certaines études que les meilleures performances seraient associées à une prise en charge précoce (Landesman-Ramey &amp; al. 2007). La cause semble être liée à la plasticité du cerveau, laquelle plasticité définirait une capacité d’adaptation du cerveau en raison du jeune âge des sujets. En plus, il semble acquis qu’un entrainement de la mémoire sur l’apprentissage du langage est corrélé positivement avec les performances en lecture (Bussy &amp; al. 2013) chez les déficients intellectuels. Ce dernier aspect prend en compte le temps accordé à la prise en charge. Cette durée est mise en lumière dans l’étude longitudinale de </w:t>
      </w:r>
      <w:proofErr w:type="spellStart"/>
      <w:r w:rsidRPr="0015724E">
        <w:rPr>
          <w:rFonts w:eastAsiaTheme="minorHAnsi" w:cstheme="minorBidi"/>
          <w:sz w:val="24"/>
          <w:szCs w:val="24"/>
        </w:rPr>
        <w:t>Liratni</w:t>
      </w:r>
      <w:proofErr w:type="spellEnd"/>
      <w:r w:rsidRPr="0015724E">
        <w:rPr>
          <w:rFonts w:eastAsiaTheme="minorHAnsi" w:cstheme="minorBidi"/>
          <w:sz w:val="24"/>
          <w:szCs w:val="24"/>
        </w:rPr>
        <w:t xml:space="preserve"> (2016), qui découvre qu’à partir de trois ans, il y a une amélioration significative de la symptomatologie autistique et des compétences socio communicatives chez des enfants autistes.</w:t>
      </w:r>
    </w:p>
    <w:p w14:paraId="64279AC7"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Parallèlement aux facteurs externes, des auteurs suggèrent des facteurs fortement liés à l’individu lui-même. Dans ce registre, il y aurait l’âge, la physiologie du cerveau et le degré de déficience (Waugh &amp; al. 2011). A titre d’exemple, la théorie piagétienne accorde une grande importance aux ressources biologiques dans le développement des capacités humaines. Ce développement est le processus par lequel tous les sujets passent obligatoirement et cela à travers des stades de développement au cours de l’ontog</w:t>
      </w:r>
      <w:r>
        <w:rPr>
          <w:rFonts w:eastAsiaTheme="minorHAnsi" w:cstheme="minorBidi"/>
          <w:sz w:val="24"/>
          <w:szCs w:val="24"/>
        </w:rPr>
        <w:t>e</w:t>
      </w:r>
      <w:r w:rsidRPr="0015724E">
        <w:rPr>
          <w:rFonts w:eastAsiaTheme="minorHAnsi" w:cstheme="minorBidi"/>
          <w:sz w:val="24"/>
          <w:szCs w:val="24"/>
        </w:rPr>
        <w:t xml:space="preserve">nèse. Les sujets déficients intellectuels sont également concernés par ce processus. A cela, il faut noter que le rythme d’apprentissage semble être légèrement rapide dans le cas de la déficience moyenne comparativement à celle dite sévère. </w:t>
      </w:r>
    </w:p>
    <w:p w14:paraId="5E69A3FA" w14:textId="77777777" w:rsidR="00D80693" w:rsidRPr="0015724E" w:rsidRDefault="00D80693" w:rsidP="00570B74">
      <w:pPr>
        <w:spacing w:before="120"/>
        <w:jc w:val="both"/>
        <w:rPr>
          <w:rFonts w:eastAsia="Calibri"/>
          <w:sz w:val="24"/>
          <w:szCs w:val="24"/>
        </w:rPr>
      </w:pPr>
      <w:r w:rsidRPr="00E118CB">
        <w:rPr>
          <w:rFonts w:eastAsiaTheme="minorHAnsi" w:cstheme="minorBidi"/>
          <w:sz w:val="24"/>
          <w:szCs w:val="24"/>
        </w:rPr>
        <w:t xml:space="preserve">En effet, les fonctions cognitives seraient altérées en fonction du degré de déficience chez les sujets malades. Cette assertion est d’autant plus vraie </w:t>
      </w:r>
      <w:r>
        <w:rPr>
          <w:rFonts w:eastAsiaTheme="minorHAnsi" w:cstheme="minorBidi"/>
          <w:sz w:val="24"/>
          <w:szCs w:val="24"/>
        </w:rPr>
        <w:t xml:space="preserve">que </w:t>
      </w:r>
      <w:r w:rsidRPr="00E118CB">
        <w:rPr>
          <w:rFonts w:eastAsiaTheme="minorHAnsi" w:cstheme="minorBidi"/>
          <w:sz w:val="24"/>
          <w:szCs w:val="24"/>
        </w:rPr>
        <w:t xml:space="preserve">la capacité à maintenir </w:t>
      </w:r>
      <w:r>
        <w:rPr>
          <w:rFonts w:eastAsiaTheme="minorHAnsi" w:cstheme="minorBidi"/>
          <w:sz w:val="24"/>
          <w:szCs w:val="24"/>
        </w:rPr>
        <w:t>une</w:t>
      </w:r>
      <w:r w:rsidRPr="00E118CB">
        <w:rPr>
          <w:rFonts w:eastAsiaTheme="minorHAnsi" w:cstheme="minorBidi"/>
          <w:sz w:val="24"/>
          <w:szCs w:val="24"/>
        </w:rPr>
        <w:t xml:space="preserve"> attention sur une activité ou un évènement </w:t>
      </w:r>
      <w:r>
        <w:rPr>
          <w:rFonts w:eastAsiaTheme="minorHAnsi" w:cstheme="minorBidi"/>
          <w:sz w:val="24"/>
          <w:szCs w:val="24"/>
        </w:rPr>
        <w:t>est</w:t>
      </w:r>
      <w:r w:rsidRPr="00E118CB">
        <w:rPr>
          <w:rFonts w:eastAsiaTheme="minorHAnsi" w:cstheme="minorBidi"/>
          <w:sz w:val="24"/>
          <w:szCs w:val="24"/>
        </w:rPr>
        <w:t xml:space="preserve"> grandement impactée chez les déficients intellectuels (Emerson, 2003). L’étude longitudinale de Kirk </w:t>
      </w:r>
      <w:r>
        <w:rPr>
          <w:rFonts w:eastAsiaTheme="minorHAnsi" w:cstheme="minorBidi"/>
          <w:sz w:val="24"/>
          <w:szCs w:val="24"/>
        </w:rPr>
        <w:t xml:space="preserve">&amp; al. </w:t>
      </w:r>
      <w:r w:rsidRPr="00E118CB">
        <w:rPr>
          <w:rFonts w:eastAsiaTheme="minorHAnsi" w:cstheme="minorBidi"/>
          <w:sz w:val="24"/>
          <w:szCs w:val="24"/>
        </w:rPr>
        <w:t>(2016) semble confirmer cette hypothèse. Cette dernière a montré qu’un entra</w:t>
      </w:r>
      <w:r>
        <w:rPr>
          <w:rFonts w:eastAsiaTheme="minorHAnsi" w:cstheme="minorBidi"/>
          <w:sz w:val="24"/>
          <w:szCs w:val="24"/>
        </w:rPr>
        <w:t>î</w:t>
      </w:r>
      <w:r w:rsidRPr="00E118CB">
        <w:rPr>
          <w:rFonts w:eastAsiaTheme="minorHAnsi" w:cstheme="minorBidi"/>
          <w:sz w:val="24"/>
          <w:szCs w:val="24"/>
        </w:rPr>
        <w:t>nement de l’attention à partir d’une vingtaine de séances à l’aide d’un programme informatique sur une durée de cinq mois aboutirait à une amélioration significative du taux d’erreurs de près de 1,3% chez les enfants déficients intellectuels, lesquels comptabilisaient au départ de l’expérience un taux d’erreurs autour de 95%. Par ailleurs, des auteurs comme Faught</w:t>
      </w:r>
      <w:r>
        <w:rPr>
          <w:rFonts w:eastAsiaTheme="minorHAnsi" w:cstheme="minorBidi"/>
          <w:sz w:val="24"/>
          <w:szCs w:val="24"/>
        </w:rPr>
        <w:t xml:space="preserve"> &amp;</w:t>
      </w:r>
      <w:r w:rsidRPr="00E118CB">
        <w:rPr>
          <w:rFonts w:eastAsiaTheme="minorHAnsi" w:cstheme="minorBidi"/>
          <w:sz w:val="24"/>
          <w:szCs w:val="24"/>
        </w:rPr>
        <w:t xml:space="preserve"> Conner (2019) ont découvert que l’attention soutenue impacterait indirectement les apprentissages scolaires. Selon ceux-ci, l’attention agit sur la mémoire à court terme et par ricochet l’ensemble des activités intellectuelles chez les enfants déficients</w:t>
      </w:r>
      <w:r>
        <w:rPr>
          <w:rFonts w:eastAsiaTheme="minorHAnsi" w:cstheme="minorBidi"/>
          <w:sz w:val="24"/>
          <w:szCs w:val="24"/>
        </w:rPr>
        <w:t>.</w:t>
      </w:r>
      <w:r w:rsidRPr="0015724E">
        <w:rPr>
          <w:rFonts w:eastAsiaTheme="minorHAnsi" w:cstheme="minorBidi"/>
          <w:sz w:val="24"/>
          <w:szCs w:val="24"/>
        </w:rPr>
        <w:t xml:space="preserve"> </w:t>
      </w:r>
    </w:p>
    <w:p w14:paraId="15C485F0"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En somme, il convient de retenir des études rapportées que le type de prise en charge, l’âge à partir duquel le sujet est pris en charge, le niveau d’attention et le degré de déficience seraient des facteurs importants dans le déterminisme des performances scolaires. Cependant, il appara</w:t>
      </w:r>
      <w:r>
        <w:rPr>
          <w:rFonts w:eastAsiaTheme="minorHAnsi" w:cstheme="minorBidi"/>
          <w:sz w:val="24"/>
          <w:szCs w:val="24"/>
        </w:rPr>
        <w:t>î</w:t>
      </w:r>
      <w:r w:rsidRPr="0015724E">
        <w:rPr>
          <w:rFonts w:eastAsiaTheme="minorHAnsi" w:cstheme="minorBidi"/>
          <w:sz w:val="24"/>
          <w:szCs w:val="24"/>
        </w:rPr>
        <w:t>t que les études antérieures n’ont pas mis l’accent sur les effets de la durée de la prise en charge sur les performances scolaires des enfants déficients intellectuels.  Or, cette variable qui pourrait se définir comme le temps mis pour éduquer ou former un enfant avec un trouble nous para</w:t>
      </w:r>
      <w:r>
        <w:rPr>
          <w:rFonts w:eastAsiaTheme="minorHAnsi" w:cstheme="minorBidi"/>
          <w:sz w:val="24"/>
          <w:szCs w:val="24"/>
        </w:rPr>
        <w:t>î</w:t>
      </w:r>
      <w:r w:rsidRPr="0015724E">
        <w:rPr>
          <w:rFonts w:eastAsiaTheme="minorHAnsi" w:cstheme="minorBidi"/>
          <w:sz w:val="24"/>
          <w:szCs w:val="24"/>
        </w:rPr>
        <w:t xml:space="preserve">t important à considérer dans l’amélioration ou non des performances de celui-ci. Cela est d’autant pertinent qu’au cours de nos activités de suivi psychologique des enfants en difficulté d’apprentissage scolaire, il nous a été donné de faire des observations allant dans ce sens.  Par ailleurs, partant du fait que l’une des caractéristiques des enfants déficients est qu’ils </w:t>
      </w:r>
      <w:proofErr w:type="gramStart"/>
      <w:r w:rsidRPr="0015724E">
        <w:rPr>
          <w:rFonts w:eastAsiaTheme="minorHAnsi" w:cstheme="minorBidi"/>
          <w:sz w:val="24"/>
          <w:szCs w:val="24"/>
        </w:rPr>
        <w:t>ont</w:t>
      </w:r>
      <w:proofErr w:type="gramEnd"/>
      <w:r w:rsidRPr="0015724E">
        <w:rPr>
          <w:rFonts w:eastAsiaTheme="minorHAnsi" w:cstheme="minorBidi"/>
          <w:sz w:val="24"/>
          <w:szCs w:val="24"/>
        </w:rPr>
        <w:t xml:space="preserve"> des difficultés à se concentrer sur des activités intellectuelles (Allen &amp; Courchesne, 2001), le niveau d’attention </w:t>
      </w:r>
      <w:r>
        <w:rPr>
          <w:rFonts w:eastAsiaTheme="minorHAnsi" w:cstheme="minorBidi"/>
          <w:sz w:val="24"/>
          <w:szCs w:val="24"/>
        </w:rPr>
        <w:t>apparaît alors comme une</w:t>
      </w:r>
      <w:r w:rsidRPr="0015724E">
        <w:rPr>
          <w:rFonts w:eastAsiaTheme="minorHAnsi" w:cstheme="minorBidi"/>
          <w:sz w:val="24"/>
          <w:szCs w:val="24"/>
        </w:rPr>
        <w:t xml:space="preserve"> variable pertinente pouvant impacter leurs performances scolaires. </w:t>
      </w:r>
    </w:p>
    <w:p w14:paraId="2F53130B"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 xml:space="preserve">Dès lors, </w:t>
      </w:r>
      <w:r>
        <w:rPr>
          <w:rFonts w:eastAsiaTheme="minorHAnsi" w:cstheme="minorBidi"/>
          <w:sz w:val="24"/>
          <w:szCs w:val="24"/>
        </w:rPr>
        <w:t xml:space="preserve">l’on pourrait s’interroger pertinemment sur l’impact de la durée de la prise en charge et du niveau de l’attention sur les performances scolaires des enfants déficients intellectuels du Centre d’Action Médico-psychosociale d’Abidjan. L’étude permettrait ainsi de </w:t>
      </w:r>
      <w:r w:rsidRPr="00E118CB">
        <w:rPr>
          <w:rFonts w:eastAsiaTheme="minorHAnsi" w:cstheme="minorBidi"/>
          <w:sz w:val="24"/>
          <w:szCs w:val="24"/>
        </w:rPr>
        <w:t>déterminer séparément, d’une part la relation entre la durée de la prise en charge sur les performances scolaires des enfants déficients intellectuels, et d’autre part, le lien entre leurs niveaux d’attention et leurs performances scolaires.</w:t>
      </w:r>
      <w:r w:rsidRPr="0015724E">
        <w:rPr>
          <w:rFonts w:eastAsiaTheme="minorHAnsi" w:cstheme="minorBidi"/>
          <w:sz w:val="24"/>
          <w:szCs w:val="24"/>
        </w:rPr>
        <w:t xml:space="preserve"> L’intérêt </w:t>
      </w:r>
      <w:r>
        <w:rPr>
          <w:rFonts w:eastAsiaTheme="minorHAnsi" w:cstheme="minorBidi"/>
          <w:sz w:val="24"/>
          <w:szCs w:val="24"/>
        </w:rPr>
        <w:t xml:space="preserve">d’une telle étude </w:t>
      </w:r>
      <w:r w:rsidRPr="0015724E">
        <w:rPr>
          <w:rFonts w:eastAsiaTheme="minorHAnsi" w:cstheme="minorBidi"/>
          <w:sz w:val="24"/>
          <w:szCs w:val="24"/>
        </w:rPr>
        <w:t xml:space="preserve">réside dans l’opportunité d’établir un programme éducatif adapté aux besoins spécifiques de l’enfant en fonction du trouble dans un temps précis. Il s’agit également de donner avec précision les acquis qu’un enfant pourrait avoir s’il </w:t>
      </w:r>
      <w:r>
        <w:rPr>
          <w:rFonts w:eastAsiaTheme="minorHAnsi" w:cstheme="minorBidi"/>
          <w:sz w:val="24"/>
          <w:szCs w:val="24"/>
        </w:rPr>
        <w:t>recevait</w:t>
      </w:r>
      <w:r w:rsidRPr="0015724E">
        <w:rPr>
          <w:rFonts w:eastAsiaTheme="minorHAnsi" w:cstheme="minorBidi"/>
          <w:sz w:val="24"/>
          <w:szCs w:val="24"/>
        </w:rPr>
        <w:t xml:space="preserve"> une prise en charge d’une durée donnée. Dès lors, notre objectif est de mettre en lien le niveau d’attention, la durée de la prise en charge et les performances scolaires chez des déficients intellectuels ivoiriens. </w:t>
      </w:r>
      <w:bookmarkStart w:id="370" w:name="_Hlk163172198"/>
    </w:p>
    <w:p w14:paraId="210E5215" w14:textId="77777777" w:rsidR="00D80693" w:rsidRPr="0015724E" w:rsidRDefault="00D80693" w:rsidP="00570B74">
      <w:pPr>
        <w:spacing w:before="120"/>
        <w:jc w:val="both"/>
        <w:rPr>
          <w:rFonts w:eastAsia="Calibri"/>
          <w:sz w:val="24"/>
          <w:szCs w:val="24"/>
        </w:rPr>
      </w:pPr>
      <w:r w:rsidRPr="0015724E">
        <w:rPr>
          <w:rFonts w:eastAsiaTheme="minorHAnsi"/>
          <w:sz w:val="24"/>
          <w:szCs w:val="24"/>
        </w:rPr>
        <w:t xml:space="preserve">A la suite de cette partie introductive qui pose le problème à l’étude, nous proposons dans les lignes suivantes la méthode utilisée. </w:t>
      </w:r>
    </w:p>
    <w:p w14:paraId="0188B530" w14:textId="59A89225" w:rsidR="00D80693" w:rsidRPr="00631860" w:rsidRDefault="00D80693" w:rsidP="00570B74">
      <w:pPr>
        <w:pStyle w:val="Paragraphedeliste"/>
        <w:widowControl/>
        <w:numPr>
          <w:ilvl w:val="0"/>
          <w:numId w:val="208"/>
        </w:numPr>
        <w:suppressAutoHyphens/>
        <w:autoSpaceDE/>
        <w:autoSpaceDN/>
        <w:rPr>
          <w:rFonts w:eastAsia="Calibri"/>
          <w:b/>
          <w:bCs/>
          <w:sz w:val="28"/>
          <w:szCs w:val="28"/>
        </w:rPr>
      </w:pPr>
      <w:r w:rsidRPr="00631860">
        <w:rPr>
          <w:rFonts w:eastAsia="Calibri"/>
          <w:b/>
          <w:bCs/>
          <w:sz w:val="28"/>
          <w:szCs w:val="28"/>
        </w:rPr>
        <w:t>Méthod</w:t>
      </w:r>
      <w:r w:rsidR="006B7A49">
        <w:rPr>
          <w:rFonts w:eastAsia="Calibri"/>
          <w:b/>
          <w:bCs/>
          <w:sz w:val="28"/>
          <w:szCs w:val="28"/>
        </w:rPr>
        <w:t xml:space="preserve">ologie </w:t>
      </w:r>
    </w:p>
    <w:p w14:paraId="749BA59C" w14:textId="77777777" w:rsidR="00D80693" w:rsidRDefault="00D80693" w:rsidP="00570B74">
      <w:pPr>
        <w:spacing w:before="120"/>
        <w:jc w:val="both"/>
        <w:rPr>
          <w:rFonts w:eastAsia="Calibri"/>
          <w:sz w:val="24"/>
          <w:szCs w:val="24"/>
        </w:rPr>
      </w:pPr>
      <w:r w:rsidRPr="008A39A3">
        <w:rPr>
          <w:rFonts w:eastAsiaTheme="minorHAnsi" w:cstheme="minorBidi"/>
          <w:sz w:val="24"/>
          <w:szCs w:val="24"/>
        </w:rPr>
        <w:t xml:space="preserve">Dans </w:t>
      </w:r>
      <w:r>
        <w:rPr>
          <w:rFonts w:eastAsiaTheme="minorHAnsi" w:cstheme="minorBidi"/>
          <w:sz w:val="24"/>
          <w:szCs w:val="24"/>
        </w:rPr>
        <w:t xml:space="preserve">cette partie, nous précisons les variables à l’étude, l’échantillon de l’étude et le matériel de collecte des données. </w:t>
      </w:r>
    </w:p>
    <w:p w14:paraId="122D5434" w14:textId="77777777" w:rsidR="00D80693" w:rsidRPr="008A39A3" w:rsidRDefault="00D80693" w:rsidP="00570B74">
      <w:pPr>
        <w:spacing w:before="120"/>
        <w:jc w:val="both"/>
        <w:rPr>
          <w:rFonts w:eastAsia="Calibri"/>
          <w:sz w:val="24"/>
          <w:szCs w:val="24"/>
        </w:rPr>
      </w:pPr>
    </w:p>
    <w:p w14:paraId="7003F793" w14:textId="77777777" w:rsidR="00D80693" w:rsidRDefault="00D80693" w:rsidP="00570B74">
      <w:pPr>
        <w:pStyle w:val="Paragraphedeliste"/>
        <w:widowControl/>
        <w:numPr>
          <w:ilvl w:val="1"/>
          <w:numId w:val="208"/>
        </w:numPr>
        <w:suppressAutoHyphens/>
        <w:autoSpaceDE/>
        <w:autoSpaceDN/>
        <w:rPr>
          <w:rFonts w:eastAsia="Calibri"/>
          <w:b/>
          <w:bCs/>
          <w:sz w:val="24"/>
          <w:szCs w:val="24"/>
        </w:rPr>
      </w:pPr>
      <w:r>
        <w:rPr>
          <w:rFonts w:eastAsia="Calibri"/>
          <w:b/>
          <w:bCs/>
          <w:caps/>
          <w:sz w:val="24"/>
          <w:szCs w:val="24"/>
        </w:rPr>
        <w:t xml:space="preserve"> </w:t>
      </w:r>
      <w:r w:rsidRPr="008A39A3">
        <w:rPr>
          <w:rFonts w:eastAsia="Calibri"/>
          <w:b/>
          <w:bCs/>
          <w:sz w:val="24"/>
          <w:szCs w:val="24"/>
        </w:rPr>
        <w:t>Va</w:t>
      </w:r>
      <w:r>
        <w:rPr>
          <w:rFonts w:eastAsia="Calibri"/>
          <w:b/>
          <w:bCs/>
          <w:sz w:val="24"/>
          <w:szCs w:val="24"/>
        </w:rPr>
        <w:t xml:space="preserve">riables à l’étude </w:t>
      </w:r>
    </w:p>
    <w:p w14:paraId="51403E92" w14:textId="77777777" w:rsidR="00D80693" w:rsidRDefault="00D80693" w:rsidP="00570B74">
      <w:pPr>
        <w:spacing w:before="120"/>
        <w:jc w:val="both"/>
        <w:rPr>
          <w:rFonts w:eastAsia="Calibri"/>
          <w:sz w:val="24"/>
          <w:szCs w:val="24"/>
        </w:rPr>
      </w:pPr>
      <w:r w:rsidRPr="00EA1C27">
        <w:rPr>
          <w:rFonts w:eastAsiaTheme="minorHAnsi" w:cstheme="minorBidi"/>
          <w:sz w:val="24"/>
          <w:szCs w:val="24"/>
        </w:rPr>
        <w:t xml:space="preserve">L’étude se fonde sur trois variables. Il s’agit de deux variables indépendantes (durée de prise en charge et niveau d’attention) et d’une variable dépendante (les performances scolaires). </w:t>
      </w:r>
      <w:r>
        <w:rPr>
          <w:rFonts w:eastAsiaTheme="minorHAnsi" w:cstheme="minorBidi"/>
          <w:sz w:val="24"/>
          <w:szCs w:val="24"/>
        </w:rPr>
        <w:t xml:space="preserve">Elles sont explicitées dans le point qui suit. </w:t>
      </w:r>
    </w:p>
    <w:p w14:paraId="1D61BE17" w14:textId="77777777" w:rsidR="00D80693" w:rsidRPr="00631860" w:rsidRDefault="00D80693" w:rsidP="00570B74">
      <w:pPr>
        <w:widowControl/>
        <w:numPr>
          <w:ilvl w:val="2"/>
          <w:numId w:val="208"/>
        </w:numPr>
        <w:autoSpaceDE/>
        <w:autoSpaceDN/>
        <w:spacing w:before="120"/>
        <w:jc w:val="both"/>
        <w:rPr>
          <w:rFonts w:eastAsia="Calibri"/>
          <w:b/>
          <w:bCs/>
          <w:i/>
          <w:iCs/>
          <w:sz w:val="24"/>
          <w:szCs w:val="24"/>
        </w:rPr>
      </w:pPr>
      <w:r w:rsidRPr="00631860">
        <w:rPr>
          <w:rFonts w:eastAsiaTheme="minorHAnsi"/>
          <w:b/>
          <w:bCs/>
          <w:i/>
          <w:iCs/>
          <w:sz w:val="24"/>
          <w:szCs w:val="24"/>
        </w:rPr>
        <w:t xml:space="preserve">Durée de prise en charge </w:t>
      </w:r>
    </w:p>
    <w:p w14:paraId="528F3BEC" w14:textId="77777777" w:rsidR="00D80693" w:rsidRPr="001A7BAA" w:rsidRDefault="00D80693" w:rsidP="00570B74">
      <w:pPr>
        <w:spacing w:before="120"/>
        <w:jc w:val="both"/>
        <w:rPr>
          <w:rFonts w:eastAsia="Calibri"/>
          <w:sz w:val="24"/>
          <w:szCs w:val="24"/>
        </w:rPr>
      </w:pPr>
      <w:r w:rsidRPr="001A7BAA">
        <w:rPr>
          <w:rFonts w:eastAsiaTheme="minorHAnsi"/>
          <w:sz w:val="24"/>
          <w:szCs w:val="24"/>
        </w:rPr>
        <w:t>La Prise en Charge (PEC) est un ensemble d’actions visant à rétablir l’équilibre physique et ou psychosociale d’un individu ou d’un groupe d’individus. De ce fait, la prise en charge peut être multisectorielle (psychologique, médicale, juridico-judiciaire, social et économique).  Elle est qualifiée de parcellaire lorsqu’elle est focalisée sur un seul secteur d’activité, et de totale (holistique) quand elle concerne tous les secteurs. Ainsi, parler de prise en charge chez les enfants déficients intellectuels, c’est faire référence à l’ensemble du suivi dont ils bénéficient pour évoluer (physiquement et mentalement) et s’adapter à leur environnement (</w:t>
      </w:r>
      <w:proofErr w:type="spellStart"/>
      <w:r w:rsidRPr="001A7BAA">
        <w:rPr>
          <w:rFonts w:eastAsiaTheme="minorHAnsi"/>
          <w:sz w:val="24"/>
          <w:szCs w:val="24"/>
        </w:rPr>
        <w:t>Goussot</w:t>
      </w:r>
      <w:proofErr w:type="spellEnd"/>
      <w:r w:rsidRPr="001A7BAA">
        <w:rPr>
          <w:rFonts w:eastAsiaTheme="minorHAnsi"/>
          <w:sz w:val="24"/>
          <w:szCs w:val="24"/>
        </w:rPr>
        <w:t xml:space="preserve"> </w:t>
      </w:r>
      <w:r>
        <w:rPr>
          <w:rFonts w:eastAsiaTheme="minorHAnsi"/>
          <w:sz w:val="24"/>
          <w:szCs w:val="24"/>
        </w:rPr>
        <w:t>&amp;</w:t>
      </w:r>
      <w:r w:rsidRPr="001A7BAA">
        <w:rPr>
          <w:rFonts w:eastAsiaTheme="minorHAnsi"/>
          <w:sz w:val="24"/>
          <w:szCs w:val="24"/>
        </w:rPr>
        <w:t xml:space="preserve"> </w:t>
      </w:r>
      <w:r>
        <w:rPr>
          <w:rFonts w:eastAsiaTheme="minorHAnsi"/>
          <w:sz w:val="24"/>
          <w:szCs w:val="24"/>
        </w:rPr>
        <w:t>al</w:t>
      </w:r>
      <w:r w:rsidRPr="001A7BAA">
        <w:rPr>
          <w:rFonts w:eastAsiaTheme="minorHAnsi"/>
          <w:sz w:val="24"/>
          <w:szCs w:val="24"/>
        </w:rPr>
        <w:t>. 2012).</w:t>
      </w:r>
    </w:p>
    <w:p w14:paraId="3925CEF7" w14:textId="77777777" w:rsidR="00D80693" w:rsidRPr="001A7BAA" w:rsidRDefault="00D80693" w:rsidP="00570B74">
      <w:pPr>
        <w:spacing w:before="120"/>
        <w:jc w:val="both"/>
        <w:rPr>
          <w:rFonts w:eastAsia="Calibri"/>
          <w:sz w:val="24"/>
          <w:szCs w:val="24"/>
        </w:rPr>
      </w:pPr>
      <w:r w:rsidRPr="001A7BAA">
        <w:rPr>
          <w:rFonts w:eastAsiaTheme="minorHAnsi"/>
          <w:sz w:val="24"/>
          <w:szCs w:val="24"/>
        </w:rPr>
        <w:t>Le concept de "durée" a</w:t>
      </w:r>
      <w:r>
        <w:rPr>
          <w:rFonts w:eastAsiaTheme="minorHAnsi"/>
          <w:sz w:val="24"/>
          <w:szCs w:val="24"/>
        </w:rPr>
        <w:t>ssocié</w:t>
      </w:r>
      <w:r w:rsidRPr="001A7BAA">
        <w:rPr>
          <w:rFonts w:eastAsiaTheme="minorHAnsi"/>
          <w:sz w:val="24"/>
          <w:szCs w:val="24"/>
        </w:rPr>
        <w:t xml:space="preserve"> à la prise en charge, fait référence au temps total de suivi </w:t>
      </w:r>
      <w:r>
        <w:rPr>
          <w:rFonts w:eastAsiaTheme="minorHAnsi"/>
          <w:sz w:val="24"/>
          <w:szCs w:val="24"/>
        </w:rPr>
        <w:t xml:space="preserve">dont a bénéficié un </w:t>
      </w:r>
      <w:r w:rsidRPr="001A7BAA">
        <w:rPr>
          <w:rFonts w:eastAsiaTheme="minorHAnsi"/>
          <w:sz w:val="24"/>
          <w:szCs w:val="24"/>
        </w:rPr>
        <w:t>enfant depuis son diagnostic. De ce fait, la durée de prise en charge, c’est le temps total que l’enfant évalué a passé sous la gouverne d’une institution de formation (centre spécialisé).</w:t>
      </w:r>
    </w:p>
    <w:p w14:paraId="7A81A1F5" w14:textId="77777777" w:rsidR="00D80693" w:rsidRPr="001A7BAA" w:rsidRDefault="00D80693" w:rsidP="00570B74">
      <w:pPr>
        <w:spacing w:before="120"/>
        <w:jc w:val="both"/>
        <w:rPr>
          <w:rFonts w:eastAsia="Calibri"/>
          <w:sz w:val="24"/>
          <w:szCs w:val="24"/>
        </w:rPr>
      </w:pPr>
      <w:r w:rsidRPr="001A7BAA">
        <w:rPr>
          <w:rFonts w:eastAsiaTheme="minorHAnsi"/>
          <w:sz w:val="24"/>
          <w:szCs w:val="24"/>
        </w:rPr>
        <w:t xml:space="preserve">Dans le contexte de </w:t>
      </w:r>
      <w:r>
        <w:rPr>
          <w:rFonts w:eastAsiaTheme="minorHAnsi"/>
          <w:sz w:val="24"/>
          <w:szCs w:val="24"/>
        </w:rPr>
        <w:t>cette</w:t>
      </w:r>
      <w:r w:rsidRPr="001A7BAA">
        <w:rPr>
          <w:rFonts w:eastAsiaTheme="minorHAnsi"/>
          <w:sz w:val="24"/>
          <w:szCs w:val="24"/>
        </w:rPr>
        <w:t xml:space="preserve"> étude, la durée de prise en charge, ne concerne que le temps officiel passé par un enfant sur le terrain de notre étude. Ce temps, fait référence à ce qui est généralement appelé "année scolaire". Dans le centre où </w:t>
      </w:r>
      <w:r>
        <w:rPr>
          <w:rFonts w:eastAsiaTheme="minorHAnsi"/>
          <w:sz w:val="24"/>
          <w:szCs w:val="24"/>
        </w:rPr>
        <w:t>l’étude est menée,</w:t>
      </w:r>
      <w:r w:rsidRPr="001A7BAA">
        <w:rPr>
          <w:rFonts w:eastAsiaTheme="minorHAnsi"/>
          <w:sz w:val="24"/>
          <w:szCs w:val="24"/>
        </w:rPr>
        <w:t xml:space="preserve"> une année scolaire s’étend sur 10 mois (de </w:t>
      </w:r>
      <w:proofErr w:type="gramStart"/>
      <w:r w:rsidRPr="001A7BAA">
        <w:rPr>
          <w:rFonts w:eastAsiaTheme="minorHAnsi"/>
          <w:sz w:val="24"/>
          <w:szCs w:val="24"/>
        </w:rPr>
        <w:t>Septembre</w:t>
      </w:r>
      <w:proofErr w:type="gramEnd"/>
      <w:r w:rsidRPr="001A7BAA">
        <w:rPr>
          <w:rFonts w:eastAsiaTheme="minorHAnsi"/>
          <w:sz w:val="24"/>
          <w:szCs w:val="24"/>
        </w:rPr>
        <w:t xml:space="preserve"> à juillet). </w:t>
      </w:r>
      <w:r>
        <w:rPr>
          <w:rFonts w:eastAsiaTheme="minorHAnsi"/>
          <w:sz w:val="24"/>
          <w:szCs w:val="24"/>
        </w:rPr>
        <w:t>Ainsi,</w:t>
      </w:r>
      <w:r w:rsidRPr="001A7BAA">
        <w:rPr>
          <w:rFonts w:eastAsiaTheme="minorHAnsi"/>
          <w:sz w:val="24"/>
          <w:szCs w:val="24"/>
        </w:rPr>
        <w:t xml:space="preserve"> la variable durée de prise en charge renvoie à deux modalités</w:t>
      </w:r>
      <w:r>
        <w:rPr>
          <w:rFonts w:eastAsiaTheme="minorHAnsi"/>
          <w:sz w:val="24"/>
          <w:szCs w:val="24"/>
        </w:rPr>
        <w:t xml:space="preserve"> : </w:t>
      </w:r>
      <w:r w:rsidRPr="001A7BAA">
        <w:rPr>
          <w:rFonts w:eastAsiaTheme="minorHAnsi"/>
          <w:sz w:val="24"/>
          <w:szCs w:val="24"/>
        </w:rPr>
        <w:t xml:space="preserve">une durée de prise en charge courte (inférieure à </w:t>
      </w:r>
      <w:r>
        <w:rPr>
          <w:rFonts w:eastAsiaTheme="minorHAnsi"/>
          <w:sz w:val="24"/>
          <w:szCs w:val="24"/>
        </w:rPr>
        <w:t>10 mois</w:t>
      </w:r>
      <w:r w:rsidRPr="001A7BAA">
        <w:rPr>
          <w:rFonts w:eastAsiaTheme="minorHAnsi"/>
          <w:sz w:val="24"/>
          <w:szCs w:val="24"/>
        </w:rPr>
        <w:t xml:space="preserve">) et une durée de prise en charge longue (supérieure ou égale </w:t>
      </w:r>
      <w:r>
        <w:rPr>
          <w:rFonts w:eastAsiaTheme="minorHAnsi"/>
          <w:sz w:val="24"/>
          <w:szCs w:val="24"/>
        </w:rPr>
        <w:t>10 mois</w:t>
      </w:r>
      <w:r w:rsidRPr="001A7BAA">
        <w:rPr>
          <w:rFonts w:eastAsiaTheme="minorHAnsi"/>
          <w:sz w:val="24"/>
          <w:szCs w:val="24"/>
        </w:rPr>
        <w:t>).</w:t>
      </w:r>
    </w:p>
    <w:p w14:paraId="60882046" w14:textId="77777777" w:rsidR="00D80693" w:rsidRPr="00631860" w:rsidRDefault="00D80693" w:rsidP="00570B74">
      <w:pPr>
        <w:widowControl/>
        <w:numPr>
          <w:ilvl w:val="1"/>
          <w:numId w:val="209"/>
        </w:numPr>
        <w:autoSpaceDE/>
        <w:autoSpaceDN/>
        <w:spacing w:before="120"/>
        <w:jc w:val="both"/>
        <w:rPr>
          <w:rFonts w:eastAsia="Calibri"/>
          <w:b/>
          <w:bCs/>
          <w:i/>
          <w:iCs/>
          <w:sz w:val="24"/>
          <w:szCs w:val="24"/>
        </w:rPr>
      </w:pPr>
      <w:r w:rsidRPr="00631860">
        <w:rPr>
          <w:rFonts w:eastAsiaTheme="minorHAnsi"/>
          <w:b/>
          <w:bCs/>
          <w:i/>
          <w:iCs/>
          <w:sz w:val="24"/>
          <w:szCs w:val="24"/>
        </w:rPr>
        <w:t xml:space="preserve">2. Niveau d’attention </w:t>
      </w:r>
    </w:p>
    <w:p w14:paraId="17585D13" w14:textId="77777777" w:rsidR="00D80693" w:rsidRPr="001A7BAA" w:rsidRDefault="00D80693" w:rsidP="00570B74">
      <w:pPr>
        <w:spacing w:before="120"/>
        <w:jc w:val="both"/>
        <w:rPr>
          <w:rFonts w:eastAsia="Calibri"/>
          <w:sz w:val="24"/>
          <w:szCs w:val="24"/>
        </w:rPr>
      </w:pPr>
      <w:r w:rsidRPr="001A7BAA">
        <w:rPr>
          <w:rFonts w:eastAsiaTheme="minorHAnsi"/>
          <w:sz w:val="24"/>
          <w:szCs w:val="24"/>
        </w:rPr>
        <w:t>L’attention est un concept particulièrement utilisé en psychologie. Elle fait partie des fonctions cognitives de l’Homme (Lieury, 2007). De ce fait, c’est une fonction mentale avec laquelle l’</w:t>
      </w:r>
      <w:r>
        <w:rPr>
          <w:rFonts w:eastAsiaTheme="minorHAnsi"/>
          <w:sz w:val="24"/>
          <w:szCs w:val="24"/>
        </w:rPr>
        <w:t>h</w:t>
      </w:r>
      <w:r w:rsidRPr="001A7BAA">
        <w:rPr>
          <w:rFonts w:eastAsiaTheme="minorHAnsi"/>
          <w:sz w:val="24"/>
          <w:szCs w:val="24"/>
        </w:rPr>
        <w:t xml:space="preserve">umain s’adapte à son environnement. Pour Kanga (2006), le rôle de la fonction de l’attention est de nous permettre de mieux percevoir, distinguer et mémoriser. C’est une fonction cognitive qui évolue et devient mature vers l’âge de huit (8) ans (Lieury, </w:t>
      </w:r>
      <w:proofErr w:type="spellStart"/>
      <w:r w:rsidRPr="001A7BAA">
        <w:rPr>
          <w:rFonts w:eastAsiaTheme="minorHAnsi"/>
          <w:sz w:val="24"/>
          <w:szCs w:val="24"/>
        </w:rPr>
        <w:t>op.cit</w:t>
      </w:r>
      <w:proofErr w:type="spellEnd"/>
      <w:r w:rsidRPr="001A7BAA">
        <w:rPr>
          <w:rFonts w:eastAsiaTheme="minorHAnsi"/>
          <w:sz w:val="24"/>
          <w:szCs w:val="24"/>
        </w:rPr>
        <w:t xml:space="preserve">). Selon lui, l’attention est une fonction cognitive qui revêt 3 grandes formes : attention soutenue, sélective et divisée. Dans une situation d’éducation, toutes les formes d’attention interviennent. Cependant, l’on constate qu’un grand nombre des recherches portant sur l’attention chez les enfants déficients portent sur des sous-composantes de l’attention, comme l’attention visuelle, l’attention sociale ou encore l’attention conjointe (Dawson </w:t>
      </w:r>
      <w:r>
        <w:rPr>
          <w:rFonts w:eastAsiaTheme="minorHAnsi"/>
          <w:sz w:val="24"/>
          <w:szCs w:val="24"/>
        </w:rPr>
        <w:t>&amp;</w:t>
      </w:r>
      <w:r w:rsidRPr="001A7BAA">
        <w:rPr>
          <w:rFonts w:eastAsiaTheme="minorHAnsi"/>
          <w:sz w:val="24"/>
          <w:szCs w:val="24"/>
        </w:rPr>
        <w:t xml:space="preserve"> al. 2004). </w:t>
      </w:r>
    </w:p>
    <w:p w14:paraId="33F7505C" w14:textId="77777777" w:rsidR="00D80693" w:rsidRPr="001A7BAA" w:rsidRDefault="00D80693" w:rsidP="00570B74">
      <w:pPr>
        <w:spacing w:before="120"/>
        <w:jc w:val="both"/>
        <w:rPr>
          <w:rFonts w:eastAsia="Calibri"/>
          <w:sz w:val="24"/>
          <w:szCs w:val="24"/>
        </w:rPr>
      </w:pPr>
      <w:r w:rsidRPr="001A7BAA">
        <w:rPr>
          <w:rFonts w:eastAsiaTheme="minorHAnsi"/>
          <w:sz w:val="24"/>
          <w:szCs w:val="24"/>
        </w:rPr>
        <w:t>En raison des difficultés rencontrées généralement par les enfants déficients intellectuels à maintenir leur attention pendant longtemps, nous optons pour la mesure de leur attention soutenue. En effet, l’attention soutenue, est définie comme la capacité à rester focalisé sur une activité ou un stimulus pendant une durée importante (Lieury, 2007). C’est un processus qui fait intervenir un seul objet et qui dépend de la vigilance et de la résistance aux distracteurs. Selon Allen</w:t>
      </w:r>
      <w:r>
        <w:rPr>
          <w:rFonts w:eastAsiaTheme="minorHAnsi"/>
          <w:sz w:val="24"/>
          <w:szCs w:val="24"/>
        </w:rPr>
        <w:t xml:space="preserve"> &amp;</w:t>
      </w:r>
      <w:r w:rsidRPr="001A7BAA">
        <w:rPr>
          <w:rFonts w:eastAsiaTheme="minorHAnsi"/>
          <w:sz w:val="24"/>
          <w:szCs w:val="24"/>
        </w:rPr>
        <w:t xml:space="preserve"> Courchesne (2001), les performances de l’attention soutenue dépendent des rythmes biologiques, de la motivation et de la fréquence d’apparition des stimuli distracteurs. En fonction des scores obtenus au test de Corkum (1995) par chaque participant, les niveaux d’attention </w:t>
      </w:r>
      <w:r>
        <w:rPr>
          <w:rFonts w:eastAsiaTheme="minorHAnsi"/>
          <w:sz w:val="24"/>
          <w:szCs w:val="24"/>
        </w:rPr>
        <w:t>ont été</w:t>
      </w:r>
      <w:r w:rsidRPr="001A7BAA">
        <w:rPr>
          <w:rFonts w:eastAsiaTheme="minorHAnsi"/>
          <w:sz w:val="24"/>
          <w:szCs w:val="24"/>
        </w:rPr>
        <w:t xml:space="preserve"> dichotomisés en niveau d’attention supérieur et en niveau d’attention inférieur.</w:t>
      </w:r>
    </w:p>
    <w:p w14:paraId="79007C5B" w14:textId="77777777" w:rsidR="00D80693" w:rsidRPr="00631860" w:rsidRDefault="00D80693" w:rsidP="00570B74">
      <w:pPr>
        <w:widowControl/>
        <w:numPr>
          <w:ilvl w:val="1"/>
          <w:numId w:val="210"/>
        </w:numPr>
        <w:autoSpaceDE/>
        <w:autoSpaceDN/>
        <w:spacing w:before="120"/>
        <w:jc w:val="both"/>
        <w:rPr>
          <w:rFonts w:eastAsia="Calibri"/>
          <w:b/>
          <w:bCs/>
          <w:i/>
          <w:iCs/>
          <w:sz w:val="24"/>
          <w:szCs w:val="24"/>
        </w:rPr>
      </w:pPr>
      <w:r w:rsidRPr="00631860">
        <w:rPr>
          <w:rFonts w:eastAsiaTheme="minorHAnsi"/>
          <w:b/>
          <w:bCs/>
          <w:i/>
          <w:iCs/>
          <w:sz w:val="24"/>
          <w:szCs w:val="24"/>
        </w:rPr>
        <w:t xml:space="preserve">3. Performances scolaires </w:t>
      </w:r>
    </w:p>
    <w:p w14:paraId="4922AC3E" w14:textId="77777777" w:rsidR="00D80693" w:rsidRPr="000D1A46" w:rsidRDefault="00D80693" w:rsidP="00570B74">
      <w:pPr>
        <w:spacing w:before="120"/>
        <w:jc w:val="both"/>
        <w:rPr>
          <w:rFonts w:eastAsia="Calibri"/>
          <w:i/>
          <w:color w:val="000000"/>
          <w:sz w:val="24"/>
          <w:szCs w:val="24"/>
        </w:rPr>
      </w:pPr>
      <w:r w:rsidRPr="001A7BAA">
        <w:rPr>
          <w:rFonts w:eastAsiaTheme="minorHAnsi"/>
          <w:sz w:val="24"/>
          <w:szCs w:val="24"/>
        </w:rPr>
        <w:t xml:space="preserve">La performance scolaire est composée des termes "performance" et "scolaire". </w:t>
      </w:r>
      <w:r>
        <w:rPr>
          <w:rFonts w:eastAsiaTheme="minorHAnsi"/>
          <w:sz w:val="24"/>
          <w:szCs w:val="24"/>
        </w:rPr>
        <w:t>L</w:t>
      </w:r>
      <w:r w:rsidRPr="001A7BAA">
        <w:rPr>
          <w:rFonts w:eastAsiaTheme="minorHAnsi"/>
          <w:sz w:val="24"/>
          <w:szCs w:val="24"/>
        </w:rPr>
        <w:t xml:space="preserve">a performance renvoie à </w:t>
      </w:r>
      <w:r w:rsidRPr="001A7BAA">
        <w:rPr>
          <w:rFonts w:eastAsiaTheme="minorHAnsi"/>
          <w:color w:val="000000"/>
          <w:sz w:val="24"/>
          <w:szCs w:val="24"/>
        </w:rPr>
        <w:t xml:space="preserve">la </w:t>
      </w:r>
      <w:r w:rsidRPr="000D1A46">
        <w:rPr>
          <w:rFonts w:eastAsiaTheme="minorHAnsi"/>
          <w:color w:val="000000"/>
          <w:sz w:val="24"/>
          <w:szCs w:val="24"/>
        </w:rPr>
        <w:t>mise en œuvre d’un ensemble d’actions qui sert de référence pour estimer les capacités d’un individu au moment où l’on l’évalue (</w:t>
      </w:r>
      <w:proofErr w:type="spellStart"/>
      <w:r w:rsidRPr="000D1A46">
        <w:rPr>
          <w:rFonts w:eastAsiaTheme="minorHAnsi"/>
          <w:color w:val="000000"/>
          <w:sz w:val="24"/>
          <w:szCs w:val="24"/>
        </w:rPr>
        <w:t>Sillamy</w:t>
      </w:r>
      <w:proofErr w:type="spellEnd"/>
      <w:r w:rsidRPr="000D1A46">
        <w:rPr>
          <w:rFonts w:eastAsiaTheme="minorHAnsi"/>
          <w:color w:val="000000"/>
          <w:sz w:val="24"/>
          <w:szCs w:val="24"/>
        </w:rPr>
        <w:t>, 1993).</w:t>
      </w:r>
      <w:r w:rsidRPr="001A7BAA">
        <w:rPr>
          <w:rFonts w:eastAsiaTheme="minorHAnsi"/>
          <w:i/>
          <w:iCs/>
          <w:color w:val="000000"/>
          <w:sz w:val="24"/>
          <w:szCs w:val="24"/>
        </w:rPr>
        <w:t xml:space="preserve"> </w:t>
      </w:r>
      <w:r w:rsidRPr="000D1A46">
        <w:rPr>
          <w:rFonts w:eastAsiaTheme="minorHAnsi"/>
          <w:iCs/>
          <w:color w:val="000000"/>
          <w:sz w:val="24"/>
          <w:szCs w:val="24"/>
        </w:rPr>
        <w:t>Le terme scolaire fait référence à l’école, une organisation destinée à apporter des savoirs et à développer des compétences chez des individus</w:t>
      </w:r>
      <w:r w:rsidRPr="000D1A46">
        <w:rPr>
          <w:rFonts w:eastAsiaTheme="minorHAnsi"/>
          <w:i/>
          <w:color w:val="000000"/>
          <w:sz w:val="24"/>
          <w:szCs w:val="24"/>
        </w:rPr>
        <w:t>.</w:t>
      </w:r>
    </w:p>
    <w:p w14:paraId="523698F2" w14:textId="77777777" w:rsidR="00D80693" w:rsidRPr="001A7BAA" w:rsidRDefault="00D80693" w:rsidP="00570B74">
      <w:pPr>
        <w:spacing w:before="120"/>
        <w:jc w:val="both"/>
        <w:rPr>
          <w:rFonts w:eastAsia="Calibri"/>
          <w:sz w:val="24"/>
          <w:szCs w:val="24"/>
        </w:rPr>
      </w:pPr>
      <w:r w:rsidRPr="001A7BAA">
        <w:rPr>
          <w:rFonts w:eastAsiaTheme="minorHAnsi"/>
          <w:sz w:val="24"/>
          <w:szCs w:val="24"/>
        </w:rPr>
        <w:t>De manière générale, la performance scolaire est comprise comme un ensemble de données précises sur le niveau maximal atteint par un individu dans un apprentissage à un moment donné (</w:t>
      </w:r>
      <w:proofErr w:type="spellStart"/>
      <w:r w:rsidRPr="001A7BAA">
        <w:rPr>
          <w:rFonts w:eastAsiaTheme="minorHAnsi"/>
          <w:sz w:val="24"/>
          <w:szCs w:val="24"/>
        </w:rPr>
        <w:t>Hotyat</w:t>
      </w:r>
      <w:proofErr w:type="spellEnd"/>
      <w:r>
        <w:rPr>
          <w:rFonts w:eastAsiaTheme="minorHAnsi"/>
          <w:sz w:val="24"/>
          <w:szCs w:val="24"/>
        </w:rPr>
        <w:t xml:space="preserve"> &amp;</w:t>
      </w:r>
      <w:r w:rsidRPr="001A7BAA">
        <w:rPr>
          <w:rFonts w:eastAsiaTheme="minorHAnsi"/>
          <w:sz w:val="24"/>
          <w:szCs w:val="24"/>
        </w:rPr>
        <w:t xml:space="preserve"> Delepine-Messe, 1974 ; Kanga</w:t>
      </w:r>
      <w:r>
        <w:rPr>
          <w:rFonts w:eastAsiaTheme="minorHAnsi"/>
          <w:sz w:val="24"/>
          <w:szCs w:val="24"/>
        </w:rPr>
        <w:t>,</w:t>
      </w:r>
      <w:r w:rsidRPr="001A7BAA">
        <w:rPr>
          <w:rFonts w:eastAsiaTheme="minorHAnsi"/>
          <w:sz w:val="24"/>
          <w:szCs w:val="24"/>
        </w:rPr>
        <w:t xml:space="preserve"> 1997 ; Koné</w:t>
      </w:r>
      <w:r>
        <w:rPr>
          <w:rFonts w:eastAsiaTheme="minorHAnsi"/>
          <w:sz w:val="24"/>
          <w:szCs w:val="24"/>
        </w:rPr>
        <w:t>,</w:t>
      </w:r>
      <w:r w:rsidRPr="001A7BAA">
        <w:rPr>
          <w:rFonts w:eastAsiaTheme="minorHAnsi"/>
          <w:sz w:val="24"/>
          <w:szCs w:val="24"/>
        </w:rPr>
        <w:t xml:space="preserve"> 1998 ; N’Dri</w:t>
      </w:r>
      <w:r>
        <w:rPr>
          <w:rFonts w:eastAsiaTheme="minorHAnsi"/>
          <w:sz w:val="24"/>
          <w:szCs w:val="24"/>
        </w:rPr>
        <w:t>,</w:t>
      </w:r>
      <w:r w:rsidRPr="001A7BAA">
        <w:rPr>
          <w:rFonts w:eastAsiaTheme="minorHAnsi"/>
          <w:sz w:val="24"/>
          <w:szCs w:val="24"/>
        </w:rPr>
        <w:t xml:space="preserve"> 2000). Il s’agit d’une mesure qualitative ou quantitative des connaissances ou aptitudes acquises par un apprenant.</w:t>
      </w:r>
    </w:p>
    <w:p w14:paraId="08452BB9" w14:textId="77777777" w:rsidR="00D80693" w:rsidRPr="001A7BAA" w:rsidRDefault="00D80693" w:rsidP="00570B74">
      <w:pPr>
        <w:spacing w:before="120"/>
        <w:jc w:val="both"/>
        <w:rPr>
          <w:rFonts w:eastAsia="Calibri"/>
          <w:sz w:val="24"/>
          <w:szCs w:val="24"/>
        </w:rPr>
      </w:pPr>
      <w:r w:rsidRPr="001A7BAA">
        <w:rPr>
          <w:rFonts w:eastAsiaTheme="minorHAnsi"/>
          <w:sz w:val="24"/>
          <w:szCs w:val="24"/>
        </w:rPr>
        <w:t>Dans le cas des enfants déficients intellectuels, la performance scolaire, peut être définie en termes de note, ou par des appréciations données par le personnel chargé de la prise en charge. En effet, contrairement aux autres systèmes d’éducation, la prise en charge des enfants déficients intellectuels ne tourne pas toujours autour de matières et de leçons</w:t>
      </w:r>
      <w:r>
        <w:rPr>
          <w:rFonts w:eastAsiaTheme="minorHAnsi"/>
          <w:sz w:val="24"/>
          <w:szCs w:val="24"/>
        </w:rPr>
        <w:t>, car il</w:t>
      </w:r>
      <w:r w:rsidRPr="001A7BAA">
        <w:rPr>
          <w:rFonts w:eastAsiaTheme="minorHAnsi"/>
          <w:sz w:val="24"/>
          <w:szCs w:val="24"/>
        </w:rPr>
        <w:t xml:space="preserve"> s’agit de leur apporter un savoir pratique et concret pour mieux les aider à s’adapter à la société dans laquelle ils vivent. </w:t>
      </w:r>
    </w:p>
    <w:p w14:paraId="1B5F5C18" w14:textId="77777777" w:rsidR="00D80693" w:rsidRPr="001A7BAA" w:rsidRDefault="00D80693" w:rsidP="00570B74">
      <w:pPr>
        <w:spacing w:before="120"/>
        <w:jc w:val="both"/>
        <w:rPr>
          <w:rFonts w:eastAsia="Calibri"/>
          <w:sz w:val="24"/>
          <w:szCs w:val="24"/>
        </w:rPr>
      </w:pPr>
      <w:r>
        <w:rPr>
          <w:rFonts w:eastAsiaTheme="minorHAnsi"/>
          <w:sz w:val="24"/>
          <w:szCs w:val="24"/>
        </w:rPr>
        <w:t>Au niveau de l</w:t>
      </w:r>
      <w:r w:rsidRPr="001A7BAA">
        <w:rPr>
          <w:rFonts w:eastAsiaTheme="minorHAnsi"/>
          <w:sz w:val="24"/>
          <w:szCs w:val="24"/>
        </w:rPr>
        <w:t xml:space="preserve">’institution dans laquelle l’étude est menée, les enfants sont évalués sur les activités qu’ils </w:t>
      </w:r>
      <w:r>
        <w:rPr>
          <w:rFonts w:eastAsiaTheme="minorHAnsi"/>
          <w:sz w:val="24"/>
          <w:szCs w:val="24"/>
        </w:rPr>
        <w:t>font ; ils</w:t>
      </w:r>
      <w:r w:rsidRPr="001A7BAA">
        <w:rPr>
          <w:rFonts w:eastAsiaTheme="minorHAnsi"/>
          <w:sz w:val="24"/>
          <w:szCs w:val="24"/>
        </w:rPr>
        <w:t xml:space="preserve"> reçoivent même des bulletins de fin de semestre.</w:t>
      </w:r>
    </w:p>
    <w:p w14:paraId="345CD75E" w14:textId="77777777" w:rsidR="00D80693" w:rsidRPr="001A7BAA" w:rsidRDefault="00D80693" w:rsidP="00570B74">
      <w:pPr>
        <w:spacing w:before="120"/>
        <w:jc w:val="both"/>
        <w:rPr>
          <w:rFonts w:eastAsia="Calibri"/>
          <w:sz w:val="24"/>
          <w:szCs w:val="24"/>
        </w:rPr>
      </w:pPr>
      <w:r w:rsidRPr="001A7BAA">
        <w:rPr>
          <w:rFonts w:eastAsiaTheme="minorHAnsi"/>
          <w:sz w:val="24"/>
          <w:szCs w:val="24"/>
        </w:rPr>
        <w:t xml:space="preserve"> Les appréciations évaluatives données par le personnel d’encadrement </w:t>
      </w:r>
      <w:r>
        <w:rPr>
          <w:rFonts w:eastAsiaTheme="minorHAnsi"/>
          <w:sz w:val="24"/>
          <w:szCs w:val="24"/>
        </w:rPr>
        <w:t xml:space="preserve">font état des </w:t>
      </w:r>
      <w:r w:rsidRPr="001A7BAA">
        <w:rPr>
          <w:rFonts w:eastAsiaTheme="minorHAnsi"/>
          <w:sz w:val="24"/>
          <w:szCs w:val="24"/>
        </w:rPr>
        <w:t>mentions suivantes</w:t>
      </w:r>
      <w:r>
        <w:rPr>
          <w:rFonts w:eastAsiaTheme="minorHAnsi"/>
          <w:sz w:val="24"/>
          <w:szCs w:val="24"/>
        </w:rPr>
        <w:t xml:space="preserve"> </w:t>
      </w:r>
      <w:r w:rsidRPr="001A7BAA">
        <w:rPr>
          <w:rFonts w:eastAsiaTheme="minorHAnsi"/>
          <w:sz w:val="24"/>
          <w:szCs w:val="24"/>
        </w:rPr>
        <w:t>: Très bon travail ; Bon travail ; Travail assez bien ; Travail passable ; Travail à renforcer. Mais, il existe aussi des symboles (A, B, C, NE) qui définissent le</w:t>
      </w:r>
      <w:r>
        <w:rPr>
          <w:rFonts w:eastAsiaTheme="minorHAnsi"/>
          <w:sz w:val="24"/>
          <w:szCs w:val="24"/>
        </w:rPr>
        <w:t>s</w:t>
      </w:r>
      <w:r w:rsidRPr="001A7BAA">
        <w:rPr>
          <w:rFonts w:eastAsiaTheme="minorHAnsi"/>
          <w:sz w:val="24"/>
          <w:szCs w:val="24"/>
        </w:rPr>
        <w:t xml:space="preserve"> niveaux d’acquisition d’une compétence de l’enfant. Par exemple "A" signifie que la compétence évaluée a été acquise par l’enfant, "B" qui veut dire qu’elle est en cours d’acquisition, "C" qu’elle est à renforcer et "NE" qu’elle n’est pas du tout acquise. </w:t>
      </w:r>
    </w:p>
    <w:p w14:paraId="68BEF209" w14:textId="77777777" w:rsidR="00D80693" w:rsidRDefault="00D80693" w:rsidP="00570B74">
      <w:pPr>
        <w:spacing w:before="120"/>
        <w:jc w:val="both"/>
        <w:rPr>
          <w:rFonts w:eastAsia="Calibri"/>
          <w:sz w:val="24"/>
          <w:szCs w:val="24"/>
        </w:rPr>
      </w:pPr>
      <w:r w:rsidRPr="008A39A3">
        <w:rPr>
          <w:rFonts w:eastAsiaTheme="minorHAnsi" w:cstheme="minorBidi"/>
          <w:sz w:val="24"/>
          <w:szCs w:val="24"/>
        </w:rPr>
        <w:t>Au total, les enfants sont évalués dans 37 unités d’enseignement. Il arrive que certains enfants n’obtiennent pas la moitié des unités d’enseignement, tandis que d’autres en obtiennent plus de la moitié. Ainsi, nous avons dichotomisé les performances en faibles (inférieure à la moitié des unités d’enseignement) et élevées (supérieure ou égale à la moitié des unités d’enseignement). Ainsi, dans le cadre de la présente étude, la variable performance</w:t>
      </w:r>
      <w:r>
        <w:rPr>
          <w:rFonts w:eastAsiaTheme="minorHAnsi" w:cstheme="minorBidi"/>
          <w:sz w:val="24"/>
          <w:szCs w:val="24"/>
        </w:rPr>
        <w:t>s</w:t>
      </w:r>
      <w:r w:rsidRPr="008A39A3">
        <w:rPr>
          <w:rFonts w:eastAsiaTheme="minorHAnsi" w:cstheme="minorBidi"/>
          <w:sz w:val="24"/>
          <w:szCs w:val="24"/>
        </w:rPr>
        <w:t xml:space="preserve"> scolaire</w:t>
      </w:r>
      <w:r>
        <w:rPr>
          <w:rFonts w:eastAsiaTheme="minorHAnsi" w:cstheme="minorBidi"/>
          <w:sz w:val="24"/>
          <w:szCs w:val="24"/>
        </w:rPr>
        <w:t>s,</w:t>
      </w:r>
      <w:r w:rsidRPr="008A39A3">
        <w:rPr>
          <w:rFonts w:eastAsiaTheme="minorHAnsi" w:cstheme="minorBidi"/>
          <w:sz w:val="24"/>
          <w:szCs w:val="24"/>
        </w:rPr>
        <w:t xml:space="preserve"> a deux modalités</w:t>
      </w:r>
    </w:p>
    <w:p w14:paraId="511C38ED" w14:textId="77777777" w:rsidR="00D80693" w:rsidRDefault="00D80693" w:rsidP="00570B74">
      <w:pPr>
        <w:spacing w:before="120"/>
        <w:jc w:val="both"/>
        <w:rPr>
          <w:rFonts w:eastAsia="Calibri"/>
          <w:sz w:val="24"/>
          <w:szCs w:val="24"/>
        </w:rPr>
      </w:pPr>
      <w:r>
        <w:rPr>
          <w:rFonts w:eastAsiaTheme="minorHAnsi"/>
          <w:sz w:val="24"/>
          <w:szCs w:val="24"/>
        </w:rPr>
        <w:t xml:space="preserve">Les variables de l’étude étant ainsi présentées, il importe de préciser l’échantillon de l’étude dans le point qui suit. </w:t>
      </w:r>
    </w:p>
    <w:p w14:paraId="789FFAC2" w14:textId="77777777" w:rsidR="00D80693" w:rsidRPr="00A608FB" w:rsidRDefault="00D80693" w:rsidP="00570B74">
      <w:pPr>
        <w:pStyle w:val="Paragraphedeliste"/>
        <w:widowControl/>
        <w:numPr>
          <w:ilvl w:val="1"/>
          <w:numId w:val="210"/>
        </w:numPr>
        <w:suppressAutoHyphens/>
        <w:autoSpaceDE/>
        <w:autoSpaceDN/>
        <w:rPr>
          <w:rFonts w:eastAsia="Calibri"/>
          <w:b/>
          <w:bCs/>
          <w:sz w:val="24"/>
          <w:szCs w:val="24"/>
        </w:rPr>
      </w:pPr>
      <w:r>
        <w:rPr>
          <w:rFonts w:eastAsia="Calibri"/>
          <w:b/>
          <w:bCs/>
          <w:sz w:val="24"/>
          <w:szCs w:val="24"/>
        </w:rPr>
        <w:t xml:space="preserve">Echantillon </w:t>
      </w:r>
    </w:p>
    <w:p w14:paraId="0BAB229B" w14:textId="77777777" w:rsidR="00D80693" w:rsidRPr="00734BFB" w:rsidRDefault="00D80693" w:rsidP="00570B74">
      <w:pPr>
        <w:spacing w:before="120"/>
        <w:jc w:val="both"/>
        <w:rPr>
          <w:rFonts w:eastAsia="Calibri"/>
          <w:sz w:val="24"/>
          <w:szCs w:val="24"/>
        </w:rPr>
      </w:pPr>
      <w:r w:rsidRPr="00734BFB">
        <w:rPr>
          <w:rFonts w:eastAsiaTheme="minorHAnsi"/>
          <w:sz w:val="24"/>
          <w:szCs w:val="24"/>
        </w:rPr>
        <w:t xml:space="preserve">L’étude porte sur </w:t>
      </w:r>
      <w:r>
        <w:rPr>
          <w:rFonts w:eastAsiaTheme="minorHAnsi"/>
          <w:sz w:val="24"/>
          <w:szCs w:val="24"/>
        </w:rPr>
        <w:t>d</w:t>
      </w:r>
      <w:r w:rsidRPr="00734BFB">
        <w:rPr>
          <w:rFonts w:eastAsiaTheme="minorHAnsi"/>
          <w:sz w:val="24"/>
          <w:szCs w:val="24"/>
        </w:rPr>
        <w:t>es enfants déficients intellectuels prises en charge dans un centre spécialisé en guidance infantile. C’est dans ce sens que le CAMPSE (Centre d’Action Médico-Psychosociale de l’Enfant)</w:t>
      </w:r>
      <w:r>
        <w:rPr>
          <w:rFonts w:eastAsiaTheme="minorHAnsi"/>
          <w:sz w:val="24"/>
          <w:szCs w:val="24"/>
        </w:rPr>
        <w:t xml:space="preserve">, sis à Abidjan Cocody, </w:t>
      </w:r>
      <w:r w:rsidRPr="00734BFB">
        <w:rPr>
          <w:rFonts w:eastAsiaTheme="minorHAnsi"/>
          <w:sz w:val="24"/>
          <w:szCs w:val="24"/>
        </w:rPr>
        <w:t xml:space="preserve">a constitué le cadre de la recherche. C’est un centre de prise en charge pour enfants vivants avec autisme et d’autres troubles rendant l’adaptation sociale difficile (trisomie, déficience intellectuelle…). </w:t>
      </w:r>
    </w:p>
    <w:p w14:paraId="3F5B3E92" w14:textId="77777777" w:rsidR="00D80693" w:rsidRDefault="00D80693" w:rsidP="00570B74">
      <w:pPr>
        <w:spacing w:before="120"/>
        <w:jc w:val="both"/>
        <w:rPr>
          <w:rFonts w:eastAsia="Calibri"/>
          <w:sz w:val="24"/>
          <w:szCs w:val="24"/>
        </w:rPr>
      </w:pPr>
      <w:r w:rsidRPr="00734BFB">
        <w:rPr>
          <w:rFonts w:eastAsiaTheme="minorHAnsi"/>
          <w:sz w:val="24"/>
          <w:szCs w:val="24"/>
        </w:rPr>
        <w:t xml:space="preserve">Notre échantillon est composé de </w:t>
      </w:r>
      <w:r>
        <w:rPr>
          <w:rFonts w:eastAsiaTheme="minorHAnsi"/>
          <w:sz w:val="24"/>
          <w:szCs w:val="24"/>
        </w:rPr>
        <w:t xml:space="preserve">20 </w:t>
      </w:r>
      <w:r w:rsidRPr="00734BFB">
        <w:rPr>
          <w:rFonts w:eastAsiaTheme="minorHAnsi"/>
          <w:sz w:val="24"/>
          <w:szCs w:val="24"/>
        </w:rPr>
        <w:t>enfants (</w:t>
      </w:r>
      <w:r>
        <w:rPr>
          <w:rFonts w:eastAsiaTheme="minorHAnsi"/>
          <w:sz w:val="24"/>
          <w:szCs w:val="24"/>
        </w:rPr>
        <w:t>8</w:t>
      </w:r>
      <w:r w:rsidRPr="00734BFB">
        <w:rPr>
          <w:rFonts w:eastAsiaTheme="minorHAnsi"/>
          <w:sz w:val="24"/>
          <w:szCs w:val="24"/>
        </w:rPr>
        <w:t xml:space="preserve"> garçons et </w:t>
      </w:r>
      <w:r>
        <w:rPr>
          <w:rFonts w:eastAsiaTheme="minorHAnsi"/>
          <w:sz w:val="24"/>
          <w:szCs w:val="24"/>
        </w:rPr>
        <w:t>12</w:t>
      </w:r>
      <w:r w:rsidRPr="00734BFB">
        <w:rPr>
          <w:rFonts w:eastAsiaTheme="minorHAnsi"/>
          <w:sz w:val="24"/>
          <w:szCs w:val="24"/>
        </w:rPr>
        <w:t xml:space="preserve"> filles), dont l’âge est compris entre 4 et 8 ans. Ces enfants ont tous été diagnostiqués déficients intellectuels légers et suivent les cours dans la même salle de classe avec les mêmes enseignants. Cependant, tous ne sont pas au même niveau scolaire</w:t>
      </w:r>
      <w:r>
        <w:rPr>
          <w:rFonts w:eastAsiaTheme="minorHAnsi"/>
          <w:sz w:val="24"/>
          <w:szCs w:val="24"/>
        </w:rPr>
        <w:t>. De ce fait, ils ne participent pas aux mêmes activités</w:t>
      </w:r>
      <w:r w:rsidRPr="00734BFB">
        <w:rPr>
          <w:rFonts w:eastAsiaTheme="minorHAnsi"/>
          <w:sz w:val="24"/>
          <w:szCs w:val="24"/>
        </w:rPr>
        <w:t>. En effet, dans la même salle de classe, se côtoient des niveaux CE2, CM1</w:t>
      </w:r>
      <w:r>
        <w:rPr>
          <w:rFonts w:eastAsiaTheme="minorHAnsi"/>
          <w:sz w:val="24"/>
          <w:szCs w:val="24"/>
        </w:rPr>
        <w:t xml:space="preserve"> </w:t>
      </w:r>
      <w:r w:rsidRPr="00734BFB">
        <w:rPr>
          <w:rFonts w:eastAsiaTheme="minorHAnsi"/>
          <w:sz w:val="24"/>
          <w:szCs w:val="24"/>
        </w:rPr>
        <w:t xml:space="preserve">et CM2. </w:t>
      </w:r>
    </w:p>
    <w:p w14:paraId="640B2195" w14:textId="77777777" w:rsidR="00D80693" w:rsidRPr="00A608FB" w:rsidRDefault="00D80693" w:rsidP="00570B74">
      <w:pPr>
        <w:spacing w:before="120"/>
        <w:jc w:val="both"/>
        <w:rPr>
          <w:rFonts w:eastAsia="Calibri"/>
          <w:sz w:val="24"/>
          <w:szCs w:val="24"/>
        </w:rPr>
      </w:pPr>
      <w:r>
        <w:rPr>
          <w:rFonts w:eastAsiaTheme="minorHAnsi"/>
          <w:sz w:val="24"/>
          <w:szCs w:val="24"/>
        </w:rPr>
        <w:t xml:space="preserve">Pour évaluer les performances de l’échantillon présenté, du matériel de recherche a été utilisé. C’est ce que nous nous proposons de présenter dans le point qui suit. </w:t>
      </w:r>
    </w:p>
    <w:p w14:paraId="1813C078" w14:textId="77777777" w:rsidR="00D80693" w:rsidRPr="00A608FB" w:rsidRDefault="00D80693" w:rsidP="00570B74">
      <w:pPr>
        <w:pStyle w:val="Paragraphedeliste"/>
        <w:widowControl/>
        <w:numPr>
          <w:ilvl w:val="1"/>
          <w:numId w:val="210"/>
        </w:numPr>
        <w:suppressAutoHyphens/>
        <w:autoSpaceDE/>
        <w:autoSpaceDN/>
        <w:rPr>
          <w:rFonts w:eastAsia="Calibri"/>
          <w:b/>
          <w:bCs/>
          <w:sz w:val="24"/>
          <w:szCs w:val="24"/>
        </w:rPr>
      </w:pPr>
      <w:r w:rsidRPr="00A608FB">
        <w:rPr>
          <w:rFonts w:eastAsia="Calibri"/>
          <w:b/>
          <w:bCs/>
          <w:sz w:val="24"/>
          <w:szCs w:val="24"/>
        </w:rPr>
        <w:t xml:space="preserve">Matériel de recherche </w:t>
      </w:r>
    </w:p>
    <w:p w14:paraId="3FD8528E" w14:textId="77777777" w:rsidR="00D80693" w:rsidRDefault="00D80693" w:rsidP="00570B74">
      <w:pPr>
        <w:spacing w:before="120"/>
        <w:jc w:val="both"/>
        <w:rPr>
          <w:rFonts w:eastAsia="Calibri"/>
          <w:sz w:val="24"/>
          <w:szCs w:val="24"/>
        </w:rPr>
      </w:pPr>
      <w:r>
        <w:rPr>
          <w:rFonts w:eastAsiaTheme="minorHAnsi"/>
          <w:sz w:val="24"/>
          <w:szCs w:val="24"/>
        </w:rPr>
        <w:t xml:space="preserve">Les données ont été collectées par le biais du test d’attention soutenue de Corkum, des relevés de notes des enfants et de leurs dossiers médicaux. </w:t>
      </w:r>
    </w:p>
    <w:p w14:paraId="0B7DBE41" w14:textId="77777777" w:rsidR="00D80693" w:rsidRPr="00631860" w:rsidRDefault="00D80693" w:rsidP="00570B74">
      <w:pPr>
        <w:widowControl/>
        <w:numPr>
          <w:ilvl w:val="2"/>
          <w:numId w:val="210"/>
        </w:numPr>
        <w:autoSpaceDE/>
        <w:autoSpaceDN/>
        <w:spacing w:before="120"/>
        <w:jc w:val="both"/>
        <w:rPr>
          <w:rFonts w:eastAsia="Calibri"/>
          <w:b/>
          <w:bCs/>
          <w:i/>
          <w:iCs/>
          <w:sz w:val="24"/>
          <w:szCs w:val="24"/>
        </w:rPr>
      </w:pPr>
      <w:r w:rsidRPr="00631860">
        <w:rPr>
          <w:rFonts w:eastAsiaTheme="minorHAnsi"/>
          <w:b/>
          <w:bCs/>
          <w:i/>
          <w:iCs/>
          <w:sz w:val="24"/>
          <w:szCs w:val="24"/>
        </w:rPr>
        <w:t xml:space="preserve">Test de Corkum </w:t>
      </w:r>
    </w:p>
    <w:p w14:paraId="65E0694C" w14:textId="77777777" w:rsidR="00D80693" w:rsidRPr="000D629B" w:rsidRDefault="00D80693" w:rsidP="00570B74">
      <w:pPr>
        <w:spacing w:before="120"/>
        <w:jc w:val="both"/>
        <w:rPr>
          <w:rFonts w:eastAsia="Calibri"/>
          <w:sz w:val="24"/>
          <w:szCs w:val="24"/>
        </w:rPr>
      </w:pPr>
      <w:r w:rsidRPr="000D629B">
        <w:rPr>
          <w:rFonts w:eastAsiaTheme="minorHAnsi"/>
          <w:sz w:val="24"/>
          <w:szCs w:val="24"/>
        </w:rPr>
        <w:t xml:space="preserve">Le test de Corkum se présente sous forme « de papier crayon » ; c’est une épreuve qui se caractérise par sa simplicité, car les images présentées sont familières. Le test consiste à barrer des items identiques parmi d’autres items différents. C’est une épreuve qui tient compte à la fois de la capacité à rester concentré sur un objectif et aussi du temps de réalisation de cet objectif. Ce test peut être appliqué à des enfants dont l’âge est compris entre quatre (4) et huit (8) ans. Il comporte quatre planches, mais seules trois sont utilisées pour l’évaluation effective. Ces planches présentent respectivement des ronds, des </w:t>
      </w:r>
      <w:r>
        <w:rPr>
          <w:rFonts w:eastAsiaTheme="minorHAnsi"/>
          <w:sz w:val="24"/>
          <w:szCs w:val="24"/>
        </w:rPr>
        <w:t xml:space="preserve">autres </w:t>
      </w:r>
      <w:r w:rsidRPr="000D629B">
        <w:rPr>
          <w:rFonts w:eastAsiaTheme="minorHAnsi"/>
          <w:sz w:val="24"/>
          <w:szCs w:val="24"/>
        </w:rPr>
        <w:t xml:space="preserve">formes géométriques, des chats et des poissons. La planche à ronds sert d’exemple pour savoir si le participant a bien cerné la consigne de l’épreuve. La planche </w:t>
      </w:r>
      <w:r>
        <w:rPr>
          <w:rFonts w:eastAsiaTheme="minorHAnsi"/>
          <w:sz w:val="24"/>
          <w:szCs w:val="24"/>
        </w:rPr>
        <w:t>des autres</w:t>
      </w:r>
      <w:r w:rsidRPr="000D629B">
        <w:rPr>
          <w:rFonts w:eastAsiaTheme="minorHAnsi"/>
          <w:sz w:val="24"/>
          <w:szCs w:val="24"/>
        </w:rPr>
        <w:t xml:space="preserve"> formes géométriques est le premier niveau d’évaluation. Ici, l’enfant doit barrer des triangles parmi d’autres formes géométriques (ronds, rectangles…) disposées aléatoirement. Ensuite, vient la planche à chats. Cette planche présente un chat dans diverses positions (couchée, assise, une patte en l’air…), et le participant doit barrer tous les items où le chat est à quatre pattes. Enfin, la dernière planche présente des poissons de différentes formes et tailles orientés dans divers sens. Tout comme dans la planche à chat, le participant doit barrer tous les poissons identiques (dans la forme et dans le sens) à celui qu’on lui aura montré. La passation de chacune de ces planches est chronométrée et le temps de passation est pris en compte dans l’interprétation des résultats. </w:t>
      </w:r>
    </w:p>
    <w:p w14:paraId="1320E8DC" w14:textId="77777777" w:rsidR="00D80693" w:rsidRPr="00631860" w:rsidRDefault="00D80693" w:rsidP="00570B74">
      <w:pPr>
        <w:widowControl/>
        <w:numPr>
          <w:ilvl w:val="2"/>
          <w:numId w:val="210"/>
        </w:numPr>
        <w:autoSpaceDE/>
        <w:autoSpaceDN/>
        <w:spacing w:before="120"/>
        <w:jc w:val="both"/>
        <w:rPr>
          <w:rFonts w:eastAsia="Calibri"/>
          <w:b/>
          <w:i/>
          <w:iCs/>
          <w:sz w:val="24"/>
          <w:szCs w:val="24"/>
        </w:rPr>
      </w:pPr>
      <w:r w:rsidRPr="00631860">
        <w:rPr>
          <w:rFonts w:eastAsiaTheme="minorHAnsi"/>
          <w:b/>
          <w:i/>
          <w:iCs/>
          <w:sz w:val="24"/>
          <w:szCs w:val="24"/>
        </w:rPr>
        <w:t>Les relevés de notes</w:t>
      </w:r>
    </w:p>
    <w:p w14:paraId="2A3361BA" w14:textId="77777777" w:rsidR="00D80693" w:rsidRDefault="00D80693" w:rsidP="00570B74">
      <w:pPr>
        <w:spacing w:before="120"/>
        <w:jc w:val="both"/>
        <w:rPr>
          <w:rFonts w:eastAsia="Calibri"/>
          <w:sz w:val="24"/>
          <w:szCs w:val="24"/>
        </w:rPr>
      </w:pPr>
      <w:r w:rsidRPr="000D629B">
        <w:rPr>
          <w:rFonts w:eastAsiaTheme="minorHAnsi"/>
          <w:sz w:val="24"/>
          <w:szCs w:val="24"/>
        </w:rPr>
        <w:t xml:space="preserve">Les bulletins scolaires nous </w:t>
      </w:r>
      <w:r>
        <w:rPr>
          <w:rFonts w:eastAsiaTheme="minorHAnsi"/>
          <w:sz w:val="24"/>
          <w:szCs w:val="24"/>
        </w:rPr>
        <w:t xml:space="preserve">permettent de déterminer </w:t>
      </w:r>
      <w:r w:rsidRPr="000D629B">
        <w:rPr>
          <w:rFonts w:eastAsiaTheme="minorHAnsi"/>
          <w:sz w:val="24"/>
          <w:szCs w:val="24"/>
        </w:rPr>
        <w:t xml:space="preserve">les performances scolaires des élèves. Les bulletins sont donnés par semestre aux enfants pour suivre périodiquement leur évolution. Cependant, il est à noter que ce sont les mêmes unités d’évaluation qui figurent sur les bulletins des enfants, peu importe leur classe. Il s’agit d’un système </w:t>
      </w:r>
      <w:r>
        <w:rPr>
          <w:rFonts w:eastAsiaTheme="minorHAnsi"/>
          <w:sz w:val="24"/>
          <w:szCs w:val="24"/>
        </w:rPr>
        <w:t>dans</w:t>
      </w:r>
      <w:r w:rsidRPr="000D629B">
        <w:rPr>
          <w:rFonts w:eastAsiaTheme="minorHAnsi"/>
          <w:sz w:val="24"/>
          <w:szCs w:val="24"/>
        </w:rPr>
        <w:t xml:space="preserve"> lequel l’établissement définit un nombre de compétences que l’enfant doit acquérir d</w:t>
      </w:r>
      <w:r>
        <w:rPr>
          <w:rFonts w:eastAsiaTheme="minorHAnsi"/>
          <w:sz w:val="24"/>
          <w:szCs w:val="24"/>
        </w:rPr>
        <w:t>urant</w:t>
      </w:r>
      <w:r w:rsidRPr="000D629B">
        <w:rPr>
          <w:rFonts w:eastAsiaTheme="minorHAnsi"/>
          <w:sz w:val="24"/>
          <w:szCs w:val="24"/>
        </w:rPr>
        <w:t xml:space="preserve"> son passage au centre. Ces éléments d’évaluation sont les mêmes pour les enfants, mais le degré d’exigence varie en fonction des niveaux d’étude. </w:t>
      </w:r>
    </w:p>
    <w:p w14:paraId="74466C55" w14:textId="77777777" w:rsidR="00D80693" w:rsidRPr="00631860" w:rsidRDefault="00D80693" w:rsidP="00570B74">
      <w:pPr>
        <w:widowControl/>
        <w:numPr>
          <w:ilvl w:val="2"/>
          <w:numId w:val="210"/>
        </w:numPr>
        <w:autoSpaceDE/>
        <w:autoSpaceDN/>
        <w:spacing w:before="120"/>
        <w:jc w:val="both"/>
        <w:rPr>
          <w:rFonts w:eastAsia="Calibri"/>
          <w:b/>
          <w:bCs/>
          <w:i/>
          <w:iCs/>
          <w:sz w:val="24"/>
          <w:szCs w:val="24"/>
        </w:rPr>
      </w:pPr>
      <w:r w:rsidRPr="00631860">
        <w:rPr>
          <w:rFonts w:eastAsiaTheme="minorHAnsi"/>
          <w:b/>
          <w:bCs/>
          <w:i/>
          <w:iCs/>
          <w:sz w:val="24"/>
          <w:szCs w:val="24"/>
        </w:rPr>
        <w:t xml:space="preserve">Les dossiers médicaux </w:t>
      </w:r>
    </w:p>
    <w:p w14:paraId="1F25D2EB" w14:textId="77777777" w:rsidR="00D80693" w:rsidRPr="0015724E" w:rsidRDefault="00D80693" w:rsidP="00570B74">
      <w:pPr>
        <w:shd w:val="clear" w:color="auto" w:fill="FFFFFF"/>
        <w:spacing w:before="120"/>
        <w:jc w:val="both"/>
        <w:rPr>
          <w:sz w:val="24"/>
          <w:szCs w:val="24"/>
          <w:shd w:val="clear" w:color="auto" w:fill="FFFFFF"/>
          <w:lang w:eastAsia="fr-FR"/>
        </w:rPr>
      </w:pPr>
      <w:r>
        <w:rPr>
          <w:sz w:val="24"/>
          <w:szCs w:val="24"/>
          <w:shd w:val="clear" w:color="auto" w:fill="FFFFFF"/>
          <w:lang w:eastAsia="fr-FR"/>
        </w:rPr>
        <w:t>Les dossiers médicaux sont des documents qui relatent les actes médico-pédagogiques reçus par l’enfant depuis son entrée au centre. Ainsi, p</w:t>
      </w:r>
      <w:r w:rsidRPr="0015724E">
        <w:rPr>
          <w:sz w:val="24"/>
          <w:szCs w:val="24"/>
          <w:shd w:val="clear" w:color="auto" w:fill="FFFFFF"/>
          <w:lang w:eastAsia="fr-FR"/>
        </w:rPr>
        <w:t xml:space="preserve">our évaluer la durée de la prise en charge, nous nous sommes </w:t>
      </w:r>
      <w:proofErr w:type="gramStart"/>
      <w:r w:rsidRPr="0015724E">
        <w:rPr>
          <w:sz w:val="24"/>
          <w:szCs w:val="24"/>
          <w:shd w:val="clear" w:color="auto" w:fill="FFFFFF"/>
          <w:lang w:eastAsia="fr-FR"/>
        </w:rPr>
        <w:t>référé</w:t>
      </w:r>
      <w:proofErr w:type="gramEnd"/>
      <w:r w:rsidRPr="0015724E">
        <w:rPr>
          <w:sz w:val="24"/>
          <w:szCs w:val="24"/>
          <w:shd w:val="clear" w:color="auto" w:fill="FFFFFF"/>
          <w:lang w:eastAsia="fr-FR"/>
        </w:rPr>
        <w:t xml:space="preserve"> au</w:t>
      </w:r>
      <w:r>
        <w:rPr>
          <w:sz w:val="24"/>
          <w:szCs w:val="24"/>
          <w:shd w:val="clear" w:color="auto" w:fill="FFFFFF"/>
          <w:lang w:eastAsia="fr-FR"/>
        </w:rPr>
        <w:t>x</w:t>
      </w:r>
      <w:r w:rsidRPr="0015724E">
        <w:rPr>
          <w:sz w:val="24"/>
          <w:szCs w:val="24"/>
          <w:shd w:val="clear" w:color="auto" w:fill="FFFFFF"/>
          <w:lang w:eastAsia="fr-FR"/>
        </w:rPr>
        <w:t xml:space="preserve"> dossier</w:t>
      </w:r>
      <w:r>
        <w:rPr>
          <w:sz w:val="24"/>
          <w:szCs w:val="24"/>
          <w:shd w:val="clear" w:color="auto" w:fill="FFFFFF"/>
          <w:lang w:eastAsia="fr-FR"/>
        </w:rPr>
        <w:t xml:space="preserve">s médico-psycho-pédagogiques </w:t>
      </w:r>
      <w:r w:rsidRPr="0015724E">
        <w:rPr>
          <w:sz w:val="24"/>
          <w:szCs w:val="24"/>
          <w:shd w:val="clear" w:color="auto" w:fill="FFFFFF"/>
          <w:lang w:eastAsia="fr-FR"/>
        </w:rPr>
        <w:t xml:space="preserve">des enfants. Ces dossiers ont permis de </w:t>
      </w:r>
      <w:r>
        <w:rPr>
          <w:sz w:val="24"/>
          <w:szCs w:val="24"/>
          <w:shd w:val="clear" w:color="auto" w:fill="FFFFFF"/>
          <w:lang w:eastAsia="fr-FR"/>
        </w:rPr>
        <w:t>déterminer</w:t>
      </w:r>
      <w:r w:rsidRPr="0015724E">
        <w:rPr>
          <w:sz w:val="24"/>
          <w:szCs w:val="24"/>
          <w:shd w:val="clear" w:color="auto" w:fill="FFFFFF"/>
          <w:lang w:eastAsia="fr-FR"/>
        </w:rPr>
        <w:t xml:space="preserve"> la durée de prise en charge de ceux-ci. Le procédé a consisté à additionner le nombre de mois de l’enfant passé dans l’institution d’accueil. En référence à une année scolaire, nous avons considéré que 10 mois de formation équivalent à une année (1 an). Ainsi,</w:t>
      </w:r>
      <w:r>
        <w:rPr>
          <w:sz w:val="24"/>
          <w:szCs w:val="24"/>
          <w:shd w:val="clear" w:color="auto" w:fill="FFFFFF"/>
          <w:lang w:eastAsia="fr-FR"/>
        </w:rPr>
        <w:t xml:space="preserve"> cette variable a été </w:t>
      </w:r>
      <w:r w:rsidRPr="0015724E">
        <w:rPr>
          <w:sz w:val="24"/>
          <w:szCs w:val="24"/>
          <w:shd w:val="clear" w:color="auto" w:fill="FFFFFF"/>
          <w:lang w:eastAsia="fr-FR"/>
        </w:rPr>
        <w:t>dichotomisé</w:t>
      </w:r>
      <w:r>
        <w:rPr>
          <w:sz w:val="24"/>
          <w:szCs w:val="24"/>
          <w:shd w:val="clear" w:color="auto" w:fill="FFFFFF"/>
          <w:lang w:eastAsia="fr-FR"/>
        </w:rPr>
        <w:t>e</w:t>
      </w:r>
      <w:r w:rsidRPr="0015724E">
        <w:rPr>
          <w:sz w:val="24"/>
          <w:szCs w:val="24"/>
          <w:shd w:val="clear" w:color="auto" w:fill="FFFFFF"/>
          <w:lang w:eastAsia="fr-FR"/>
        </w:rPr>
        <w:t xml:space="preserve"> en durée courte (</w:t>
      </w:r>
      <w:r>
        <w:rPr>
          <w:sz w:val="24"/>
          <w:szCs w:val="24"/>
          <w:shd w:val="clear" w:color="auto" w:fill="FFFFFF"/>
          <w:lang w:eastAsia="fr-FR"/>
        </w:rPr>
        <w:t xml:space="preserve">moins de </w:t>
      </w:r>
      <w:r w:rsidRPr="0015724E">
        <w:rPr>
          <w:sz w:val="24"/>
          <w:szCs w:val="24"/>
          <w:shd w:val="clear" w:color="auto" w:fill="FFFFFF"/>
          <w:lang w:eastAsia="fr-FR"/>
        </w:rPr>
        <w:t xml:space="preserve">10 mois) et durée longue (plus de 10 mois).  </w:t>
      </w:r>
    </w:p>
    <w:p w14:paraId="09193BD2" w14:textId="77777777" w:rsidR="00D80693" w:rsidRPr="0015724E" w:rsidRDefault="00D80693" w:rsidP="00570B74">
      <w:pPr>
        <w:shd w:val="clear" w:color="auto" w:fill="FFFFFF"/>
        <w:spacing w:before="120"/>
        <w:jc w:val="both"/>
        <w:rPr>
          <w:sz w:val="24"/>
          <w:szCs w:val="24"/>
          <w:shd w:val="clear" w:color="auto" w:fill="FFFFFF"/>
          <w:lang w:eastAsia="fr-FR"/>
        </w:rPr>
      </w:pPr>
      <w:r w:rsidRPr="0015724E">
        <w:rPr>
          <w:sz w:val="24"/>
          <w:szCs w:val="24"/>
          <w:shd w:val="clear" w:color="auto" w:fill="FFFFFF"/>
          <w:lang w:eastAsia="fr-FR"/>
        </w:rPr>
        <w:t xml:space="preserve">Précisons que dans le cadre </w:t>
      </w:r>
      <w:r>
        <w:rPr>
          <w:sz w:val="24"/>
          <w:szCs w:val="24"/>
          <w:shd w:val="clear" w:color="auto" w:fill="FFFFFF"/>
          <w:lang w:eastAsia="fr-FR"/>
        </w:rPr>
        <w:t>de l’</w:t>
      </w:r>
      <w:r w:rsidRPr="0015724E">
        <w:rPr>
          <w:sz w:val="24"/>
          <w:szCs w:val="24"/>
          <w:shd w:val="clear" w:color="auto" w:fill="FFFFFF"/>
          <w:lang w:eastAsia="fr-FR"/>
        </w:rPr>
        <w:t>étude, le centre a accepté de nous fournir les dossiers médicaux des enfants avec la condition du respect de leur anonymat ainsi que celui de leur famille.</w:t>
      </w:r>
      <w:r>
        <w:rPr>
          <w:sz w:val="24"/>
          <w:szCs w:val="24"/>
          <w:shd w:val="clear" w:color="auto" w:fill="FFFFFF"/>
          <w:lang w:eastAsia="fr-FR"/>
        </w:rPr>
        <w:t xml:space="preserve"> En effet, pour des questions d’éthique, chaque parent a signé une fiche de consentement. </w:t>
      </w:r>
      <w:r w:rsidRPr="0015724E">
        <w:rPr>
          <w:sz w:val="24"/>
          <w:szCs w:val="24"/>
          <w:shd w:val="clear" w:color="auto" w:fill="FFFFFF"/>
          <w:lang w:eastAsia="fr-FR"/>
        </w:rPr>
        <w:t xml:space="preserve">  </w:t>
      </w:r>
    </w:p>
    <w:p w14:paraId="2288EEB3" w14:textId="77777777" w:rsidR="00D80693" w:rsidRPr="0015724E" w:rsidRDefault="00D80693" w:rsidP="00570B74">
      <w:pPr>
        <w:spacing w:before="120"/>
        <w:jc w:val="both"/>
        <w:rPr>
          <w:rFonts w:eastAsia="Calibri"/>
          <w:sz w:val="24"/>
          <w:szCs w:val="24"/>
        </w:rPr>
      </w:pPr>
      <w:r>
        <w:rPr>
          <w:rFonts w:eastAsiaTheme="minorHAnsi"/>
          <w:sz w:val="24"/>
          <w:szCs w:val="24"/>
        </w:rPr>
        <w:t xml:space="preserve">De ce qui précède, des </w:t>
      </w:r>
      <w:r w:rsidRPr="00AE37DF">
        <w:rPr>
          <w:rFonts w:eastAsiaTheme="minorHAnsi"/>
          <w:sz w:val="24"/>
          <w:szCs w:val="24"/>
        </w:rPr>
        <w:t>données recueillies ont été analysées à partir des techniques statistiques appropriées pour identifier les relations et corrélations entre les variables étudiées.</w:t>
      </w:r>
      <w:bookmarkEnd w:id="370"/>
      <w:r w:rsidRPr="00AE37DF">
        <w:rPr>
          <w:rFonts w:eastAsiaTheme="minorHAnsi"/>
          <w:sz w:val="24"/>
          <w:szCs w:val="24"/>
        </w:rPr>
        <w:t xml:space="preserve"> </w:t>
      </w:r>
      <w:r w:rsidRPr="00AE37DF">
        <w:rPr>
          <w:rFonts w:eastAsiaTheme="minorHAnsi"/>
          <w:sz w:val="24"/>
          <w:szCs w:val="24"/>
          <w:shd w:val="clear" w:color="auto" w:fill="FFFFFF"/>
        </w:rPr>
        <w:t xml:space="preserve">Les participants ont été répartis en fonction de leur niveau d’attention et de la durée de la prise en charge, comme le montre le tableau </w:t>
      </w:r>
      <w:r w:rsidRPr="00AE37DF">
        <w:rPr>
          <w:rFonts w:eastAsiaTheme="minorHAnsi"/>
          <w:bCs/>
          <w:sz w:val="24"/>
          <w:szCs w:val="24"/>
        </w:rPr>
        <w:t>n°1</w:t>
      </w:r>
      <w:r w:rsidRPr="00AE37DF">
        <w:rPr>
          <w:rFonts w:eastAsiaTheme="minorHAnsi"/>
          <w:sz w:val="24"/>
          <w:szCs w:val="24"/>
        </w:rPr>
        <w:t>.</w:t>
      </w:r>
      <w:r w:rsidRPr="0015724E">
        <w:rPr>
          <w:rFonts w:eastAsiaTheme="minorHAnsi"/>
          <w:sz w:val="24"/>
          <w:szCs w:val="24"/>
        </w:rPr>
        <w:t> </w:t>
      </w:r>
    </w:p>
    <w:p w14:paraId="1E258C33" w14:textId="77777777" w:rsidR="00D80693" w:rsidRPr="00877F9F" w:rsidRDefault="00D80693" w:rsidP="00570B74">
      <w:pPr>
        <w:spacing w:before="120"/>
        <w:ind w:left="1416"/>
        <w:rPr>
          <w:rFonts w:eastAsia="Calibri"/>
          <w:b/>
          <w:bCs/>
        </w:rPr>
      </w:pPr>
      <w:r w:rsidRPr="000E76C7">
        <w:rPr>
          <w:rFonts w:eastAsiaTheme="minorHAnsi"/>
          <w:b/>
          <w:i/>
          <w:iCs/>
        </w:rPr>
        <w:t>Tableau n°1</w:t>
      </w:r>
      <w:r w:rsidRPr="000E76C7">
        <w:rPr>
          <w:rFonts w:eastAsiaTheme="minorHAnsi"/>
          <w:i/>
          <w:iCs/>
          <w:sz w:val="24"/>
          <w:szCs w:val="24"/>
        </w:rPr>
        <w:t> </w:t>
      </w:r>
      <w:r w:rsidRPr="00877F9F">
        <w:rPr>
          <w:rFonts w:eastAsiaTheme="minorHAnsi"/>
          <w:b/>
          <w:bCs/>
          <w:i/>
          <w:iCs/>
          <w:sz w:val="24"/>
          <w:szCs w:val="24"/>
        </w:rPr>
        <w:t>:</w:t>
      </w:r>
      <w:r w:rsidRPr="00877F9F">
        <w:rPr>
          <w:rFonts w:eastAsiaTheme="minorHAnsi"/>
          <w:b/>
          <w:bCs/>
          <w:sz w:val="24"/>
          <w:szCs w:val="24"/>
        </w:rPr>
        <w:t xml:space="preserve"> </w:t>
      </w:r>
      <w:r w:rsidRPr="00877F9F">
        <w:rPr>
          <w:rFonts w:eastAsiaTheme="minorHAnsi"/>
          <w:b/>
          <w:bCs/>
          <w:i/>
          <w:iCs/>
        </w:rPr>
        <w:t>Caractéristiques et répartition des participants. Source</w:t>
      </w:r>
      <w:r w:rsidRPr="00877F9F">
        <w:rPr>
          <w:rFonts w:eastAsiaTheme="minorHAnsi"/>
          <w:b/>
          <w:bCs/>
        </w:rPr>
        <w:t xml:space="preserve"> : </w:t>
      </w:r>
      <w:r w:rsidRPr="00877F9F">
        <w:rPr>
          <w:rFonts w:eastAsiaTheme="minorHAnsi"/>
          <w:b/>
          <w:bCs/>
          <w:i/>
          <w:iCs/>
        </w:rPr>
        <w:t>Données d’enquête, 2025</w:t>
      </w:r>
    </w:p>
    <w:tbl>
      <w:tblPr>
        <w:tblStyle w:val="PlainTable200"/>
        <w:tblW w:w="0" w:type="auto"/>
        <w:tblLook w:val="04A0" w:firstRow="1" w:lastRow="0" w:firstColumn="1" w:lastColumn="0" w:noHBand="0" w:noVBand="1"/>
      </w:tblPr>
      <w:tblGrid>
        <w:gridCol w:w="2434"/>
        <w:gridCol w:w="1507"/>
        <w:gridCol w:w="1123"/>
        <w:gridCol w:w="1384"/>
        <w:gridCol w:w="1307"/>
        <w:gridCol w:w="1307"/>
      </w:tblGrid>
      <w:tr w:rsidR="00D80693" w14:paraId="464525CD" w14:textId="77777777" w:rsidTr="00D7232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34" w:type="dxa"/>
          </w:tcPr>
          <w:p w14:paraId="21804FE1" w14:textId="77777777" w:rsidR="00D80693" w:rsidRPr="0015724E" w:rsidRDefault="00D80693" w:rsidP="00570B74">
            <w:pPr>
              <w:spacing w:before="120"/>
              <w:rPr>
                <w:b w:val="0"/>
                <w:bCs w:val="0"/>
                <w:sz w:val="20"/>
                <w:szCs w:val="20"/>
              </w:rPr>
            </w:pPr>
            <w:r w:rsidRPr="0015724E">
              <w:rPr>
                <w:sz w:val="20"/>
                <w:szCs w:val="20"/>
              </w:rPr>
              <w:t>Variables</w:t>
            </w:r>
          </w:p>
        </w:tc>
        <w:tc>
          <w:tcPr>
            <w:tcW w:w="1507" w:type="dxa"/>
          </w:tcPr>
          <w:p w14:paraId="52852BED"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Effectif</w:t>
            </w:r>
          </w:p>
        </w:tc>
        <w:tc>
          <w:tcPr>
            <w:tcW w:w="1123" w:type="dxa"/>
          </w:tcPr>
          <w:p w14:paraId="59F2FDFC" w14:textId="77777777" w:rsidR="00D80693" w:rsidRPr="0015724E" w:rsidRDefault="00D80693" w:rsidP="00570B74">
            <w:pPr>
              <w:spacing w:before="120"/>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Faible</w:t>
            </w:r>
          </w:p>
        </w:tc>
        <w:tc>
          <w:tcPr>
            <w:tcW w:w="1384" w:type="dxa"/>
          </w:tcPr>
          <w:p w14:paraId="5A06930C"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roofErr w:type="gramStart"/>
            <w:r w:rsidRPr="0015724E">
              <w:rPr>
                <w:sz w:val="20"/>
                <w:szCs w:val="20"/>
              </w:rPr>
              <w:t>élevée</w:t>
            </w:r>
            <w:proofErr w:type="gramEnd"/>
          </w:p>
        </w:tc>
        <w:tc>
          <w:tcPr>
            <w:tcW w:w="1307" w:type="dxa"/>
          </w:tcPr>
          <w:p w14:paraId="49441FC8"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Moyenne</w:t>
            </w:r>
          </w:p>
        </w:tc>
        <w:tc>
          <w:tcPr>
            <w:tcW w:w="1307" w:type="dxa"/>
          </w:tcPr>
          <w:p w14:paraId="55840F20"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Ecart type</w:t>
            </w:r>
          </w:p>
        </w:tc>
      </w:tr>
      <w:tr w:rsidR="00D80693" w14:paraId="6B8E247A" w14:textId="77777777" w:rsidTr="00D7232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434" w:type="dxa"/>
          </w:tcPr>
          <w:p w14:paraId="65C807E1" w14:textId="77777777" w:rsidR="00D80693" w:rsidRPr="0015724E" w:rsidRDefault="00D80693" w:rsidP="00570B74">
            <w:pPr>
              <w:spacing w:before="120"/>
              <w:rPr>
                <w:b w:val="0"/>
                <w:bCs w:val="0"/>
                <w:sz w:val="20"/>
                <w:szCs w:val="20"/>
              </w:rPr>
            </w:pPr>
            <w:r w:rsidRPr="0015724E">
              <w:rPr>
                <w:sz w:val="20"/>
                <w:szCs w:val="20"/>
              </w:rPr>
              <w:t>Niveau d’attention</w:t>
            </w:r>
          </w:p>
        </w:tc>
        <w:tc>
          <w:tcPr>
            <w:tcW w:w="1507" w:type="dxa"/>
          </w:tcPr>
          <w:p w14:paraId="45E33DD8"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20</w:t>
            </w:r>
          </w:p>
        </w:tc>
        <w:tc>
          <w:tcPr>
            <w:tcW w:w="1123" w:type="dxa"/>
          </w:tcPr>
          <w:p w14:paraId="39C87204"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8</w:t>
            </w:r>
          </w:p>
        </w:tc>
        <w:tc>
          <w:tcPr>
            <w:tcW w:w="1384" w:type="dxa"/>
          </w:tcPr>
          <w:p w14:paraId="59CAE888"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12</w:t>
            </w:r>
          </w:p>
        </w:tc>
        <w:tc>
          <w:tcPr>
            <w:tcW w:w="1307" w:type="dxa"/>
          </w:tcPr>
          <w:p w14:paraId="58478485"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4</w:t>
            </w:r>
          </w:p>
        </w:tc>
        <w:tc>
          <w:tcPr>
            <w:tcW w:w="1307" w:type="dxa"/>
          </w:tcPr>
          <w:p w14:paraId="4AB3B75C"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1</w:t>
            </w:r>
          </w:p>
        </w:tc>
      </w:tr>
      <w:tr w:rsidR="00D80693" w14:paraId="02EAA96E" w14:textId="77777777" w:rsidTr="00D72320">
        <w:tc>
          <w:tcPr>
            <w:cnfStyle w:val="001000000000" w:firstRow="0" w:lastRow="0" w:firstColumn="1" w:lastColumn="0" w:oddVBand="0" w:evenVBand="0" w:oddHBand="0" w:evenHBand="0" w:firstRowFirstColumn="0" w:firstRowLastColumn="0" w:lastRowFirstColumn="0" w:lastRowLastColumn="0"/>
            <w:tcW w:w="2434" w:type="dxa"/>
          </w:tcPr>
          <w:p w14:paraId="471A5747" w14:textId="77777777" w:rsidR="00D80693" w:rsidRPr="0015724E" w:rsidRDefault="00D80693" w:rsidP="00570B74">
            <w:pPr>
              <w:spacing w:before="120"/>
              <w:rPr>
                <w:b w:val="0"/>
                <w:bCs w:val="0"/>
                <w:sz w:val="20"/>
                <w:szCs w:val="20"/>
              </w:rPr>
            </w:pPr>
            <w:r w:rsidRPr="0015724E">
              <w:rPr>
                <w:sz w:val="20"/>
                <w:szCs w:val="20"/>
              </w:rPr>
              <w:t>Durée de la prise en charge (en mois)</w:t>
            </w:r>
          </w:p>
        </w:tc>
        <w:tc>
          <w:tcPr>
            <w:tcW w:w="1507" w:type="dxa"/>
          </w:tcPr>
          <w:p w14:paraId="58931B7A"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20</w:t>
            </w:r>
          </w:p>
        </w:tc>
        <w:tc>
          <w:tcPr>
            <w:tcW w:w="1123" w:type="dxa"/>
          </w:tcPr>
          <w:p w14:paraId="1E920B9D"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10,33</w:t>
            </w:r>
          </w:p>
        </w:tc>
        <w:tc>
          <w:tcPr>
            <w:tcW w:w="1384" w:type="dxa"/>
          </w:tcPr>
          <w:p w14:paraId="63D435EA" w14:textId="77777777" w:rsidR="00D80693" w:rsidRPr="0015724E" w:rsidRDefault="00D80693" w:rsidP="00570B74">
            <w:pPr>
              <w:spacing w:before="120"/>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 xml:space="preserve">          15,00</w:t>
            </w:r>
          </w:p>
        </w:tc>
        <w:tc>
          <w:tcPr>
            <w:tcW w:w="1307" w:type="dxa"/>
          </w:tcPr>
          <w:p w14:paraId="5F252E78"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12,79</w:t>
            </w:r>
          </w:p>
        </w:tc>
        <w:tc>
          <w:tcPr>
            <w:tcW w:w="1307" w:type="dxa"/>
          </w:tcPr>
          <w:p w14:paraId="307490FB"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2,13</w:t>
            </w:r>
          </w:p>
        </w:tc>
      </w:tr>
      <w:tr w:rsidR="00D80693" w14:paraId="2BF0A7ED" w14:textId="77777777" w:rsidTr="00D7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7F7295EF" w14:textId="77777777" w:rsidR="00D80693" w:rsidRPr="0015724E" w:rsidRDefault="00D80693" w:rsidP="00570B74">
            <w:pPr>
              <w:spacing w:before="120"/>
              <w:rPr>
                <w:b w:val="0"/>
                <w:bCs w:val="0"/>
                <w:sz w:val="20"/>
                <w:szCs w:val="20"/>
              </w:rPr>
            </w:pPr>
            <w:r w:rsidRPr="0015724E">
              <w:rPr>
                <w:sz w:val="20"/>
                <w:szCs w:val="20"/>
              </w:rPr>
              <w:t>Performances scolaires</w:t>
            </w:r>
          </w:p>
        </w:tc>
        <w:tc>
          <w:tcPr>
            <w:tcW w:w="1507" w:type="dxa"/>
          </w:tcPr>
          <w:p w14:paraId="69EEDBC6"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20</w:t>
            </w:r>
          </w:p>
        </w:tc>
        <w:tc>
          <w:tcPr>
            <w:tcW w:w="1123" w:type="dxa"/>
          </w:tcPr>
          <w:p w14:paraId="0B7225B5"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10</w:t>
            </w:r>
          </w:p>
        </w:tc>
        <w:tc>
          <w:tcPr>
            <w:tcW w:w="1384" w:type="dxa"/>
          </w:tcPr>
          <w:p w14:paraId="351D3E03"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10</w:t>
            </w:r>
          </w:p>
        </w:tc>
        <w:tc>
          <w:tcPr>
            <w:tcW w:w="1307" w:type="dxa"/>
          </w:tcPr>
          <w:p w14:paraId="3DE0C7D7"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26,80</w:t>
            </w:r>
          </w:p>
        </w:tc>
        <w:tc>
          <w:tcPr>
            <w:tcW w:w="1307" w:type="dxa"/>
          </w:tcPr>
          <w:p w14:paraId="735F5945"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5,76</w:t>
            </w:r>
          </w:p>
        </w:tc>
      </w:tr>
    </w:tbl>
    <w:p w14:paraId="4A66EC50" w14:textId="77777777" w:rsidR="00D80693" w:rsidRPr="0015724E" w:rsidRDefault="00D80693" w:rsidP="00570B74">
      <w:pPr>
        <w:spacing w:before="120"/>
        <w:jc w:val="center"/>
        <w:rPr>
          <w:rFonts w:eastAsia="Calibri"/>
          <w:bCs/>
          <w:sz w:val="24"/>
          <w:szCs w:val="24"/>
        </w:rPr>
      </w:pPr>
    </w:p>
    <w:p w14:paraId="6984A242" w14:textId="77777777" w:rsidR="00D80693" w:rsidRDefault="00D80693" w:rsidP="00570B74">
      <w:pPr>
        <w:spacing w:before="120"/>
        <w:jc w:val="both"/>
        <w:rPr>
          <w:rFonts w:eastAsia="Calibri"/>
          <w:bCs/>
          <w:sz w:val="24"/>
          <w:szCs w:val="24"/>
        </w:rPr>
      </w:pPr>
    </w:p>
    <w:p w14:paraId="2051BF15" w14:textId="77777777" w:rsidR="00D80693" w:rsidRPr="0015724E" w:rsidRDefault="00D80693" w:rsidP="00570B74">
      <w:pPr>
        <w:spacing w:before="120"/>
        <w:jc w:val="both"/>
        <w:rPr>
          <w:rFonts w:eastAsia="Calibri"/>
          <w:sz w:val="24"/>
          <w:szCs w:val="24"/>
        </w:rPr>
      </w:pPr>
      <w:r w:rsidRPr="0015724E">
        <w:rPr>
          <w:rFonts w:eastAsiaTheme="minorHAnsi"/>
          <w:bCs/>
          <w:sz w:val="24"/>
          <w:szCs w:val="24"/>
        </w:rPr>
        <w:t>En référence au tableau n°1</w:t>
      </w:r>
      <w:r w:rsidRPr="0015724E">
        <w:rPr>
          <w:rFonts w:eastAsiaTheme="minorHAnsi"/>
          <w:sz w:val="24"/>
          <w:szCs w:val="24"/>
        </w:rPr>
        <w:t>, il appara</w:t>
      </w:r>
      <w:r>
        <w:rPr>
          <w:rFonts w:eastAsiaTheme="minorHAnsi"/>
          <w:sz w:val="24"/>
          <w:szCs w:val="24"/>
        </w:rPr>
        <w:t>î</w:t>
      </w:r>
      <w:r w:rsidRPr="0015724E">
        <w:rPr>
          <w:rFonts w:eastAsiaTheme="minorHAnsi"/>
          <w:sz w:val="24"/>
          <w:szCs w:val="24"/>
        </w:rPr>
        <w:t>t que l’étude porte sur 20 sujets de niveau d’attention et 20 sujets de durée de la prise en charge. Précisons, qu’il s’agit d’un seul échantillon dont les variables indépendantes ont été considérée</w:t>
      </w:r>
      <w:r>
        <w:rPr>
          <w:rFonts w:eastAsiaTheme="minorHAnsi"/>
          <w:sz w:val="24"/>
          <w:szCs w:val="24"/>
        </w:rPr>
        <w:t>s</w:t>
      </w:r>
      <w:r w:rsidRPr="0015724E">
        <w:rPr>
          <w:rFonts w:eastAsiaTheme="minorHAnsi"/>
          <w:sz w:val="24"/>
          <w:szCs w:val="24"/>
        </w:rPr>
        <w:t xml:space="preserve"> séparément.</w:t>
      </w:r>
    </w:p>
    <w:p w14:paraId="7B1C3AD4" w14:textId="77777777" w:rsidR="00D80693" w:rsidRPr="0015724E" w:rsidRDefault="00D80693" w:rsidP="00570B74">
      <w:pPr>
        <w:shd w:val="clear" w:color="auto" w:fill="FFFFFF"/>
        <w:spacing w:before="120"/>
        <w:jc w:val="both"/>
        <w:rPr>
          <w:sz w:val="24"/>
          <w:szCs w:val="24"/>
          <w:shd w:val="clear" w:color="auto" w:fill="FFFFFF"/>
          <w:lang w:eastAsia="fr-FR"/>
        </w:rPr>
      </w:pPr>
      <w:r w:rsidRPr="0015724E">
        <w:rPr>
          <w:sz w:val="24"/>
          <w:szCs w:val="24"/>
          <w:shd w:val="clear" w:color="auto" w:fill="FFFFFF"/>
          <w:lang w:eastAsia="fr-FR"/>
        </w:rPr>
        <w:t xml:space="preserve">Sur le plan statistique, les données recueillies ont été analysées à l’aide de techniques statistiques telles que le test « t » de </w:t>
      </w:r>
      <w:proofErr w:type="spellStart"/>
      <w:r w:rsidRPr="0015724E">
        <w:rPr>
          <w:sz w:val="24"/>
          <w:szCs w:val="24"/>
          <w:shd w:val="clear" w:color="auto" w:fill="FFFFFF"/>
          <w:lang w:eastAsia="fr-FR"/>
        </w:rPr>
        <w:t>student</w:t>
      </w:r>
      <w:proofErr w:type="spellEnd"/>
      <w:r w:rsidRPr="0015724E">
        <w:rPr>
          <w:sz w:val="24"/>
          <w:szCs w:val="24"/>
          <w:shd w:val="clear" w:color="auto" w:fill="FFFFFF"/>
          <w:lang w:eastAsia="fr-FR"/>
        </w:rPr>
        <w:t xml:space="preserve"> pour échantillons indépendants par le biais du logiciel SPSS </w:t>
      </w:r>
      <w:proofErr w:type="spellStart"/>
      <w:r w:rsidRPr="0015724E">
        <w:rPr>
          <w:sz w:val="24"/>
          <w:szCs w:val="24"/>
          <w:shd w:val="clear" w:color="auto" w:fill="FFFFFF"/>
          <w:lang w:eastAsia="fr-FR"/>
        </w:rPr>
        <w:t>statistic</w:t>
      </w:r>
      <w:proofErr w:type="spellEnd"/>
      <w:r w:rsidRPr="0015724E">
        <w:rPr>
          <w:sz w:val="24"/>
          <w:szCs w:val="24"/>
          <w:shd w:val="clear" w:color="auto" w:fill="FFFFFF"/>
          <w:lang w:eastAsia="fr-FR"/>
        </w:rPr>
        <w:t xml:space="preserve"> .20. Les résultats ont été considérés comme statistiquement significatifs à un seuil de p &lt; 0,05.</w:t>
      </w:r>
      <w:r>
        <w:rPr>
          <w:sz w:val="24"/>
          <w:szCs w:val="24"/>
          <w:shd w:val="clear" w:color="auto" w:fill="FFFFFF"/>
          <w:lang w:eastAsia="fr-FR"/>
        </w:rPr>
        <w:t xml:space="preserve"> Ils sont présentés au point qui suit. </w:t>
      </w:r>
    </w:p>
    <w:p w14:paraId="63D7A501" w14:textId="77777777" w:rsidR="00D80693" w:rsidRPr="00631860" w:rsidRDefault="00D80693" w:rsidP="00570B74">
      <w:pPr>
        <w:widowControl/>
        <w:numPr>
          <w:ilvl w:val="0"/>
          <w:numId w:val="210"/>
        </w:numPr>
        <w:shd w:val="clear" w:color="auto" w:fill="FFFFFF"/>
        <w:autoSpaceDE/>
        <w:spacing w:before="120"/>
        <w:jc w:val="both"/>
        <w:rPr>
          <w:sz w:val="28"/>
          <w:szCs w:val="28"/>
          <w:shd w:val="clear" w:color="auto" w:fill="FFFFFF"/>
          <w:lang w:eastAsia="fr-FR"/>
        </w:rPr>
      </w:pPr>
      <w:r w:rsidRPr="00631860">
        <w:rPr>
          <w:b/>
          <w:sz w:val="28"/>
          <w:szCs w:val="28"/>
          <w:lang w:eastAsia="fr-FR"/>
        </w:rPr>
        <w:t>Résultats</w:t>
      </w:r>
      <w:r w:rsidRPr="00631860">
        <w:rPr>
          <w:sz w:val="28"/>
          <w:szCs w:val="28"/>
          <w:shd w:val="clear" w:color="auto" w:fill="FFFFFF"/>
          <w:lang w:eastAsia="fr-FR"/>
        </w:rPr>
        <w:t xml:space="preserve"> </w:t>
      </w:r>
    </w:p>
    <w:p w14:paraId="62E20C8D" w14:textId="77777777" w:rsidR="00D80693" w:rsidRPr="00631860" w:rsidRDefault="00D80693" w:rsidP="00570B74">
      <w:pPr>
        <w:widowControl/>
        <w:numPr>
          <w:ilvl w:val="1"/>
          <w:numId w:val="210"/>
        </w:numPr>
        <w:shd w:val="clear" w:color="auto" w:fill="FFFFFF"/>
        <w:autoSpaceDE/>
        <w:spacing w:before="120"/>
        <w:jc w:val="both"/>
        <w:rPr>
          <w:b/>
          <w:sz w:val="24"/>
          <w:szCs w:val="24"/>
          <w:shd w:val="clear" w:color="auto" w:fill="FFFFFF"/>
          <w:lang w:eastAsia="fr-FR"/>
        </w:rPr>
      </w:pPr>
      <w:r w:rsidRPr="00631860">
        <w:rPr>
          <w:b/>
          <w:sz w:val="24"/>
          <w:szCs w:val="24"/>
          <w:lang w:eastAsia="fr-FR"/>
        </w:rPr>
        <w:t>Niveau d’attention et performances scolaires</w:t>
      </w:r>
    </w:p>
    <w:p w14:paraId="15085A5D" w14:textId="77777777" w:rsidR="00D80693" w:rsidRPr="0015724E" w:rsidRDefault="00D80693" w:rsidP="00570B74">
      <w:pPr>
        <w:suppressAutoHyphens/>
        <w:spacing w:before="120"/>
        <w:jc w:val="both"/>
        <w:rPr>
          <w:rFonts w:eastAsia="Calibri"/>
          <w:sz w:val="24"/>
          <w:szCs w:val="24"/>
        </w:rPr>
      </w:pPr>
      <w:r w:rsidRPr="0015724E">
        <w:rPr>
          <w:rFonts w:eastAsia="Calibri"/>
          <w:sz w:val="24"/>
          <w:szCs w:val="24"/>
        </w:rPr>
        <w:t>Le tableau nº2 présente une forte corrélation positive entre le niveau d’attention et les performances scolaires. Les élèves de niveau d’attention élevé ont de meilleures performances scolaires par rapport aux élèves de niveau d’attention faible. L'analyse statistique montre ainsi l'influence significative du niveau d’attention sur les performances scolaire</w:t>
      </w:r>
      <w:r>
        <w:rPr>
          <w:rFonts w:eastAsia="Calibri"/>
          <w:sz w:val="24"/>
          <w:szCs w:val="24"/>
        </w:rPr>
        <w:t>s</w:t>
      </w:r>
      <w:r w:rsidRPr="0015724E">
        <w:rPr>
          <w:rFonts w:eastAsia="Calibri"/>
          <w:sz w:val="24"/>
          <w:szCs w:val="24"/>
        </w:rPr>
        <w:t xml:space="preserve"> [</w:t>
      </w:r>
      <w:proofErr w:type="gramStart"/>
      <w:r w:rsidRPr="0015724E">
        <w:rPr>
          <w:rFonts w:eastAsia="Calibri"/>
          <w:sz w:val="24"/>
          <w:szCs w:val="24"/>
        </w:rPr>
        <w:t>t(</w:t>
      </w:r>
      <w:proofErr w:type="gramEnd"/>
      <w:r w:rsidRPr="0015724E">
        <w:rPr>
          <w:rFonts w:eastAsia="Calibri"/>
          <w:sz w:val="24"/>
          <w:szCs w:val="24"/>
        </w:rPr>
        <w:t>1,18) = 18,48 ; p &lt; 0,005].</w:t>
      </w:r>
    </w:p>
    <w:p w14:paraId="7C7F4CCA" w14:textId="77777777" w:rsidR="00D80693" w:rsidRPr="00877F9F" w:rsidRDefault="00D80693" w:rsidP="00570B74">
      <w:pPr>
        <w:adjustRightInd w:val="0"/>
        <w:spacing w:before="120"/>
        <w:ind w:firstLine="709"/>
        <w:jc w:val="center"/>
        <w:rPr>
          <w:rFonts w:eastAsia="Calibri"/>
          <w:b/>
          <w:i/>
          <w:iCs/>
          <w:lang w:eastAsia="fr-FR"/>
        </w:rPr>
      </w:pPr>
      <w:r w:rsidRPr="00877F9F">
        <w:rPr>
          <w:rFonts w:eastAsia="Calibri"/>
          <w:b/>
          <w:i/>
          <w:iCs/>
          <w:lang w:eastAsia="fr-FR"/>
        </w:rPr>
        <w:t>Tableau nº2 : Répartition des participants selon le niveau d’attention et les performances scolaires. Source : Données d’enquête, 2025</w:t>
      </w:r>
    </w:p>
    <w:tbl>
      <w:tblPr>
        <w:tblStyle w:val="PlainTable200"/>
        <w:tblW w:w="9210" w:type="dxa"/>
        <w:tblLayout w:type="fixed"/>
        <w:tblLook w:val="04A0" w:firstRow="1" w:lastRow="0" w:firstColumn="1" w:lastColumn="0" w:noHBand="0" w:noVBand="1"/>
      </w:tblPr>
      <w:tblGrid>
        <w:gridCol w:w="1702"/>
        <w:gridCol w:w="987"/>
        <w:gridCol w:w="425"/>
        <w:gridCol w:w="1559"/>
        <w:gridCol w:w="1276"/>
        <w:gridCol w:w="1134"/>
        <w:gridCol w:w="567"/>
        <w:gridCol w:w="1560"/>
      </w:tblGrid>
      <w:tr w:rsidR="00D80693" w14:paraId="11162998" w14:textId="77777777" w:rsidTr="00D723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2" w:type="dxa"/>
          </w:tcPr>
          <w:p w14:paraId="3AB1EBA0" w14:textId="77777777" w:rsidR="00D80693" w:rsidRPr="0015724E" w:rsidRDefault="00D80693" w:rsidP="00570B74">
            <w:pPr>
              <w:spacing w:before="120"/>
              <w:jc w:val="both"/>
              <w:rPr>
                <w:b w:val="0"/>
                <w:bCs w:val="0"/>
                <w:sz w:val="20"/>
                <w:szCs w:val="20"/>
              </w:rPr>
            </w:pPr>
            <w:bookmarkStart w:id="371" w:name="_Hlk170218484"/>
          </w:p>
        </w:tc>
        <w:tc>
          <w:tcPr>
            <w:tcW w:w="987" w:type="dxa"/>
          </w:tcPr>
          <w:p w14:paraId="56A937E9" w14:textId="77777777" w:rsidR="00D80693" w:rsidRPr="0015724E" w:rsidRDefault="00D80693" w:rsidP="00570B74">
            <w:pPr>
              <w:spacing w:before="120"/>
              <w:jc w:val="both"/>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425" w:type="dxa"/>
          </w:tcPr>
          <w:p w14:paraId="34D2B6DE" w14:textId="77777777" w:rsidR="00D80693" w:rsidRPr="0015724E" w:rsidRDefault="00D80693" w:rsidP="00570B74">
            <w:pPr>
              <w:spacing w:before="120"/>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N</w:t>
            </w:r>
          </w:p>
        </w:tc>
        <w:tc>
          <w:tcPr>
            <w:tcW w:w="2835" w:type="dxa"/>
            <w:gridSpan w:val="2"/>
          </w:tcPr>
          <w:p w14:paraId="12BE3898"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15724E">
              <w:rPr>
                <w:sz w:val="20"/>
                <w:szCs w:val="20"/>
              </w:rPr>
              <w:t>Performances scolaires</w:t>
            </w:r>
          </w:p>
        </w:tc>
        <w:tc>
          <w:tcPr>
            <w:tcW w:w="1134" w:type="dxa"/>
            <w:vMerge w:val="restart"/>
          </w:tcPr>
          <w:p w14:paraId="268DDFCF"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Valeur</w:t>
            </w:r>
          </w:p>
          <w:p w14:paraId="2BCFD1B5"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 xml:space="preserve">Calculée du t de </w:t>
            </w:r>
            <w:proofErr w:type="spellStart"/>
            <w:r w:rsidRPr="0015724E">
              <w:rPr>
                <w:sz w:val="20"/>
                <w:szCs w:val="20"/>
              </w:rPr>
              <w:t>student</w:t>
            </w:r>
            <w:proofErr w:type="spellEnd"/>
            <w:r w:rsidRPr="0015724E">
              <w:rPr>
                <w:sz w:val="20"/>
                <w:szCs w:val="20"/>
              </w:rPr>
              <w:t xml:space="preserve"> </w:t>
            </w:r>
          </w:p>
        </w:tc>
        <w:tc>
          <w:tcPr>
            <w:tcW w:w="567" w:type="dxa"/>
            <w:vMerge w:val="restart"/>
          </w:tcPr>
          <w:p w14:paraId="5EACC77F"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Ddl</w:t>
            </w:r>
          </w:p>
        </w:tc>
        <w:tc>
          <w:tcPr>
            <w:tcW w:w="1560" w:type="dxa"/>
            <w:vMerge w:val="restart"/>
          </w:tcPr>
          <w:p w14:paraId="256E3C90"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Seuil de probabilité calculée</w:t>
            </w:r>
          </w:p>
        </w:tc>
      </w:tr>
      <w:tr w:rsidR="00D80693" w14:paraId="5D113DDA" w14:textId="77777777" w:rsidTr="00D72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2" w:type="dxa"/>
          </w:tcPr>
          <w:p w14:paraId="1A46786C" w14:textId="77777777" w:rsidR="00D80693" w:rsidRPr="0015724E" w:rsidRDefault="00D80693" w:rsidP="00570B74">
            <w:pPr>
              <w:spacing w:before="120"/>
              <w:jc w:val="center"/>
              <w:rPr>
                <w:b w:val="0"/>
                <w:bCs w:val="0"/>
                <w:sz w:val="20"/>
                <w:szCs w:val="20"/>
              </w:rPr>
            </w:pPr>
          </w:p>
        </w:tc>
        <w:tc>
          <w:tcPr>
            <w:tcW w:w="987" w:type="dxa"/>
          </w:tcPr>
          <w:p w14:paraId="1C8696A9"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25" w:type="dxa"/>
          </w:tcPr>
          <w:p w14:paraId="724E998C"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gridSpan w:val="2"/>
          </w:tcPr>
          <w:p w14:paraId="4C658CFD"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Moyenne</w:t>
            </w:r>
          </w:p>
        </w:tc>
        <w:tc>
          <w:tcPr>
            <w:tcW w:w="1134" w:type="dxa"/>
            <w:vMerge/>
          </w:tcPr>
          <w:p w14:paraId="6EDEACEF"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7" w:type="dxa"/>
            <w:vMerge/>
          </w:tcPr>
          <w:p w14:paraId="6F9D43A8"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vMerge/>
          </w:tcPr>
          <w:p w14:paraId="7F398787"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80693" w14:paraId="0A6354B1" w14:textId="77777777" w:rsidTr="00D72320">
        <w:trPr>
          <w:trHeight w:val="340"/>
        </w:trPr>
        <w:tc>
          <w:tcPr>
            <w:cnfStyle w:val="001000000000" w:firstRow="0" w:lastRow="0" w:firstColumn="1" w:lastColumn="0" w:oddVBand="0" w:evenVBand="0" w:oddHBand="0" w:evenHBand="0" w:firstRowFirstColumn="0" w:firstRowLastColumn="0" w:lastRowFirstColumn="0" w:lastRowLastColumn="0"/>
            <w:tcW w:w="1702" w:type="dxa"/>
            <w:vMerge w:val="restart"/>
          </w:tcPr>
          <w:p w14:paraId="797EBF1D" w14:textId="77777777" w:rsidR="00D80693" w:rsidRPr="0015724E" w:rsidRDefault="00D80693" w:rsidP="00570B74">
            <w:pPr>
              <w:spacing w:before="120"/>
              <w:jc w:val="center"/>
              <w:rPr>
                <w:bCs w:val="0"/>
                <w:sz w:val="20"/>
                <w:szCs w:val="20"/>
              </w:rPr>
            </w:pPr>
          </w:p>
          <w:p w14:paraId="0E76C375" w14:textId="77777777" w:rsidR="00D80693" w:rsidRPr="0015724E" w:rsidRDefault="00D80693" w:rsidP="00570B74">
            <w:pPr>
              <w:spacing w:before="120"/>
              <w:jc w:val="center"/>
              <w:rPr>
                <w:bCs w:val="0"/>
                <w:sz w:val="20"/>
                <w:szCs w:val="20"/>
              </w:rPr>
            </w:pPr>
            <w:r w:rsidRPr="0015724E">
              <w:rPr>
                <w:sz w:val="20"/>
                <w:szCs w:val="20"/>
              </w:rPr>
              <w:t>Niveau</w:t>
            </w:r>
          </w:p>
          <w:p w14:paraId="7D352628" w14:textId="77777777" w:rsidR="00D80693" w:rsidRPr="0015724E" w:rsidRDefault="00D80693" w:rsidP="00570B74">
            <w:pPr>
              <w:spacing w:before="120"/>
              <w:jc w:val="center"/>
              <w:rPr>
                <w:bCs w:val="0"/>
                <w:sz w:val="20"/>
                <w:szCs w:val="20"/>
              </w:rPr>
            </w:pPr>
            <w:proofErr w:type="gramStart"/>
            <w:r w:rsidRPr="0015724E">
              <w:rPr>
                <w:sz w:val="20"/>
                <w:szCs w:val="20"/>
              </w:rPr>
              <w:t>d’attention</w:t>
            </w:r>
            <w:proofErr w:type="gramEnd"/>
          </w:p>
        </w:tc>
        <w:tc>
          <w:tcPr>
            <w:tcW w:w="987" w:type="dxa"/>
          </w:tcPr>
          <w:p w14:paraId="7B05D7BF"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Faible</w:t>
            </w:r>
          </w:p>
        </w:tc>
        <w:tc>
          <w:tcPr>
            <w:tcW w:w="425" w:type="dxa"/>
          </w:tcPr>
          <w:p w14:paraId="2A32A71C"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10</w:t>
            </w:r>
          </w:p>
        </w:tc>
        <w:tc>
          <w:tcPr>
            <w:tcW w:w="2835" w:type="dxa"/>
            <w:gridSpan w:val="2"/>
          </w:tcPr>
          <w:p w14:paraId="7441A639" w14:textId="77777777" w:rsidR="00D80693" w:rsidRPr="0015724E" w:rsidRDefault="00D80693" w:rsidP="00570B74">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 xml:space="preserve">      22.00/37</w:t>
            </w:r>
          </w:p>
        </w:tc>
        <w:tc>
          <w:tcPr>
            <w:tcW w:w="1134" w:type="dxa"/>
            <w:vMerge w:val="restart"/>
          </w:tcPr>
          <w:p w14:paraId="1592DCBC"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p w14:paraId="3E2ACDDF"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18,48</w:t>
            </w:r>
          </w:p>
        </w:tc>
        <w:tc>
          <w:tcPr>
            <w:tcW w:w="567" w:type="dxa"/>
            <w:vMerge w:val="restart"/>
          </w:tcPr>
          <w:p w14:paraId="0B28B8FC"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p w14:paraId="344D4E46"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w:t>
            </w:r>
          </w:p>
        </w:tc>
        <w:tc>
          <w:tcPr>
            <w:tcW w:w="1560" w:type="dxa"/>
            <w:vMerge w:val="restart"/>
          </w:tcPr>
          <w:p w14:paraId="14C0AC26"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p w14:paraId="3E98E3AE"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0.005</w:t>
            </w:r>
          </w:p>
        </w:tc>
      </w:tr>
      <w:tr w:rsidR="00D80693" w14:paraId="32B97B6A" w14:textId="77777777" w:rsidTr="00D72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2" w:type="dxa"/>
            <w:vMerge/>
          </w:tcPr>
          <w:p w14:paraId="1FB4D2E9" w14:textId="77777777" w:rsidR="00D80693" w:rsidRPr="0015724E" w:rsidRDefault="00D80693" w:rsidP="00570B74">
            <w:pPr>
              <w:spacing w:before="120"/>
              <w:jc w:val="center"/>
              <w:rPr>
                <w:b w:val="0"/>
                <w:bCs w:val="0"/>
                <w:sz w:val="20"/>
                <w:szCs w:val="20"/>
              </w:rPr>
            </w:pPr>
          </w:p>
        </w:tc>
        <w:tc>
          <w:tcPr>
            <w:tcW w:w="987" w:type="dxa"/>
          </w:tcPr>
          <w:p w14:paraId="770BE87E"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Elevée</w:t>
            </w:r>
          </w:p>
        </w:tc>
        <w:tc>
          <w:tcPr>
            <w:tcW w:w="425" w:type="dxa"/>
          </w:tcPr>
          <w:p w14:paraId="1EE31E4A"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10</w:t>
            </w:r>
          </w:p>
        </w:tc>
        <w:tc>
          <w:tcPr>
            <w:tcW w:w="2835" w:type="dxa"/>
            <w:gridSpan w:val="2"/>
          </w:tcPr>
          <w:p w14:paraId="0A0DC1BF" w14:textId="77777777" w:rsidR="00D80693" w:rsidRPr="0015724E" w:rsidRDefault="00D80693" w:rsidP="00570B74">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 xml:space="preserve">      31.38/37</w:t>
            </w:r>
          </w:p>
        </w:tc>
        <w:tc>
          <w:tcPr>
            <w:tcW w:w="1134" w:type="dxa"/>
            <w:vMerge/>
          </w:tcPr>
          <w:p w14:paraId="4CCE6D17" w14:textId="77777777" w:rsidR="00D80693" w:rsidRPr="0015724E" w:rsidRDefault="00D80693" w:rsidP="00570B74">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7" w:type="dxa"/>
            <w:vMerge/>
          </w:tcPr>
          <w:p w14:paraId="263BE7BE" w14:textId="77777777" w:rsidR="00D80693" w:rsidRPr="0015724E" w:rsidRDefault="00D80693" w:rsidP="00570B74">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vMerge/>
          </w:tcPr>
          <w:p w14:paraId="63363C70" w14:textId="77777777" w:rsidR="00D80693" w:rsidRPr="0015724E" w:rsidRDefault="00D80693" w:rsidP="00570B74">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80693" w14:paraId="6E44948D" w14:textId="77777777" w:rsidTr="00D7232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Pr>
          <w:p w14:paraId="10C06C79" w14:textId="77777777" w:rsidR="00D80693" w:rsidRPr="0015724E" w:rsidRDefault="00D80693" w:rsidP="00570B74">
            <w:pPr>
              <w:spacing w:before="120"/>
              <w:jc w:val="center"/>
              <w:rPr>
                <w:b w:val="0"/>
                <w:bCs w:val="0"/>
                <w:sz w:val="20"/>
                <w:szCs w:val="20"/>
              </w:rPr>
            </w:pPr>
            <w:r w:rsidRPr="0015724E">
              <w:rPr>
                <w:sz w:val="20"/>
                <w:szCs w:val="20"/>
              </w:rPr>
              <w:t>Total</w:t>
            </w:r>
          </w:p>
        </w:tc>
        <w:tc>
          <w:tcPr>
            <w:tcW w:w="425" w:type="dxa"/>
          </w:tcPr>
          <w:p w14:paraId="410E2510"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20</w:t>
            </w:r>
          </w:p>
        </w:tc>
        <w:tc>
          <w:tcPr>
            <w:tcW w:w="1559" w:type="dxa"/>
          </w:tcPr>
          <w:p w14:paraId="56B0BF1D" w14:textId="77777777" w:rsidR="00D80693" w:rsidRPr="0015724E" w:rsidRDefault="00D80693" w:rsidP="00570B74">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55A08F61"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Merge/>
          </w:tcPr>
          <w:p w14:paraId="0BA95FE5"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67" w:type="dxa"/>
            <w:vMerge/>
          </w:tcPr>
          <w:p w14:paraId="7BD09DFE"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vMerge/>
          </w:tcPr>
          <w:p w14:paraId="0D4A1642"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r>
      <w:bookmarkEnd w:id="371"/>
    </w:tbl>
    <w:p w14:paraId="5803D65D" w14:textId="77777777" w:rsidR="00D80693" w:rsidRDefault="00D80693" w:rsidP="00570B74">
      <w:pPr>
        <w:adjustRightInd w:val="0"/>
        <w:spacing w:before="120"/>
        <w:ind w:firstLine="709"/>
        <w:jc w:val="both"/>
        <w:rPr>
          <w:rFonts w:eastAsia="Calibri"/>
          <w:sz w:val="24"/>
          <w:szCs w:val="24"/>
          <w:lang w:eastAsia="fr-FR"/>
        </w:rPr>
      </w:pPr>
    </w:p>
    <w:p w14:paraId="2643926A" w14:textId="77777777" w:rsidR="00D80693" w:rsidRPr="0015724E" w:rsidRDefault="00D80693" w:rsidP="00EC7C1A">
      <w:pPr>
        <w:adjustRightInd w:val="0"/>
        <w:spacing w:before="120"/>
        <w:jc w:val="both"/>
        <w:rPr>
          <w:rFonts w:eastAsia="Calibri"/>
          <w:sz w:val="24"/>
          <w:szCs w:val="24"/>
          <w:lang w:eastAsia="fr-FR"/>
        </w:rPr>
      </w:pPr>
      <w:r w:rsidRPr="0015724E">
        <w:rPr>
          <w:rFonts w:eastAsia="Calibri"/>
          <w:sz w:val="24"/>
          <w:szCs w:val="24"/>
          <w:lang w:eastAsia="fr-FR"/>
        </w:rPr>
        <w:t>La figure nº1 ci-dessous illustre parfaitement les relations établies par les calculs entre les niveaux d’attention et les performances scolaires.</w:t>
      </w:r>
    </w:p>
    <w:p w14:paraId="0954C42D" w14:textId="77777777" w:rsidR="00D80693" w:rsidRPr="0015724E" w:rsidRDefault="00D80693" w:rsidP="00570B74">
      <w:pPr>
        <w:adjustRightInd w:val="0"/>
        <w:spacing w:before="120"/>
        <w:ind w:firstLine="709"/>
        <w:jc w:val="center"/>
        <w:rPr>
          <w:rFonts w:eastAsia="Calibri"/>
          <w:sz w:val="24"/>
          <w:szCs w:val="24"/>
          <w:lang w:eastAsia="fr-FR"/>
        </w:rPr>
      </w:pPr>
      <w:r w:rsidRPr="0015724E">
        <w:rPr>
          <w:noProof/>
        </w:rPr>
        <w:drawing>
          <wp:inline distT="0" distB="0" distL="0" distR="0" wp14:anchorId="227DD346" wp14:editId="501EF4C1">
            <wp:extent cx="4572000" cy="2743200"/>
            <wp:effectExtent l="0" t="0" r="0" b="0"/>
            <wp:docPr id="1546961258" name="Graphique 1">
              <a:extLst xmlns:a="http://schemas.openxmlformats.org/drawingml/2006/main">
                <a:ext uri="{FF2B5EF4-FFF2-40B4-BE49-F238E27FC236}">
                  <a16:creationId xmlns:a16="http://schemas.microsoft.com/office/drawing/2014/main" id="{EE313DCB-999F-2327-D789-8049E3D68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13F6B9C2" w14:textId="77777777" w:rsidR="00D80693" w:rsidRDefault="00D80693" w:rsidP="00570B74">
      <w:pPr>
        <w:pStyle w:val="Paragraphedeliste"/>
        <w:suppressAutoHyphens/>
        <w:ind w:left="360"/>
        <w:jc w:val="center"/>
        <w:rPr>
          <w:rFonts w:eastAsia="Calibri"/>
          <w:bCs/>
          <w:sz w:val="24"/>
          <w:szCs w:val="24"/>
        </w:rPr>
      </w:pPr>
      <w:r w:rsidRPr="0015724E">
        <w:rPr>
          <w:rFonts w:eastAsia="Calibri"/>
          <w:b/>
          <w:sz w:val="24"/>
          <w:szCs w:val="24"/>
        </w:rPr>
        <w:t xml:space="preserve">Source : </w:t>
      </w:r>
      <w:r w:rsidRPr="0015724E">
        <w:rPr>
          <w:rFonts w:eastAsia="Calibri"/>
          <w:bCs/>
          <w:sz w:val="24"/>
          <w:szCs w:val="24"/>
        </w:rPr>
        <w:t>Données d’enquête, 2025</w:t>
      </w:r>
    </w:p>
    <w:p w14:paraId="7B40FEEC" w14:textId="77777777" w:rsidR="00D80693" w:rsidRPr="002A1E80" w:rsidRDefault="00D80693" w:rsidP="00570B74">
      <w:pPr>
        <w:adjustRightInd w:val="0"/>
        <w:spacing w:before="120"/>
        <w:ind w:firstLine="709"/>
        <w:jc w:val="center"/>
        <w:rPr>
          <w:rFonts w:eastAsia="Calibri"/>
          <w:b/>
          <w:bCs/>
          <w:i/>
          <w:iCs/>
          <w:lang w:eastAsia="fr-FR"/>
        </w:rPr>
      </w:pPr>
      <w:r w:rsidRPr="002A1E80">
        <w:rPr>
          <w:rFonts w:eastAsia="Calibri"/>
          <w:b/>
          <w:bCs/>
          <w:i/>
          <w:iCs/>
          <w:lang w:eastAsia="fr-FR"/>
        </w:rPr>
        <w:t>Figu</w:t>
      </w:r>
      <w:r>
        <w:rPr>
          <w:rFonts w:eastAsia="Calibri"/>
          <w:b/>
          <w:bCs/>
          <w:i/>
          <w:iCs/>
          <w:lang w:eastAsia="fr-FR"/>
        </w:rPr>
        <w:t>r</w:t>
      </w:r>
      <w:r w:rsidRPr="002A1E80">
        <w:rPr>
          <w:rFonts w:eastAsia="Calibri"/>
          <w:b/>
          <w:bCs/>
          <w:i/>
          <w:iCs/>
          <w:lang w:eastAsia="fr-FR"/>
        </w:rPr>
        <w:t xml:space="preserve">e nº1 : </w:t>
      </w:r>
      <w:r w:rsidRPr="002A1E80">
        <w:rPr>
          <w:rFonts w:eastAsia="Calibri"/>
          <w:i/>
          <w:iCs/>
          <w:lang w:eastAsia="fr-FR"/>
        </w:rPr>
        <w:t>Illustration du niveau d’attention et des performances scolaires</w:t>
      </w:r>
    </w:p>
    <w:p w14:paraId="07808D76" w14:textId="77777777" w:rsidR="00D80693" w:rsidRPr="002A1E80" w:rsidRDefault="00D80693" w:rsidP="00570B74">
      <w:pPr>
        <w:spacing w:before="120"/>
        <w:rPr>
          <w:rFonts w:eastAsia="Calibri"/>
          <w:b/>
          <w:sz w:val="24"/>
          <w:szCs w:val="24"/>
        </w:rPr>
      </w:pPr>
    </w:p>
    <w:p w14:paraId="69BFA6BB" w14:textId="77777777" w:rsidR="00D80693" w:rsidRPr="0015724E" w:rsidRDefault="00D80693" w:rsidP="00570B74">
      <w:pPr>
        <w:widowControl/>
        <w:numPr>
          <w:ilvl w:val="1"/>
          <w:numId w:val="210"/>
        </w:numPr>
        <w:shd w:val="clear" w:color="auto" w:fill="FFFFFF"/>
        <w:autoSpaceDE/>
        <w:spacing w:before="120"/>
        <w:jc w:val="both"/>
        <w:rPr>
          <w:sz w:val="24"/>
          <w:szCs w:val="24"/>
          <w:shd w:val="clear" w:color="auto" w:fill="FFFFFF"/>
          <w:lang w:eastAsia="fr-FR"/>
        </w:rPr>
      </w:pPr>
      <w:r w:rsidRPr="0015724E">
        <w:rPr>
          <w:b/>
          <w:sz w:val="24"/>
          <w:szCs w:val="24"/>
          <w:lang w:eastAsia="fr-FR"/>
        </w:rPr>
        <w:t>Durée de la prise en charge et performances scolaires</w:t>
      </w:r>
    </w:p>
    <w:p w14:paraId="786C3CFB" w14:textId="77777777" w:rsidR="00D80693" w:rsidRPr="0015724E" w:rsidRDefault="00D80693" w:rsidP="00570B74">
      <w:pPr>
        <w:suppressAutoHyphens/>
        <w:spacing w:before="120"/>
        <w:jc w:val="both"/>
        <w:rPr>
          <w:rFonts w:eastAsia="Calibri"/>
          <w:sz w:val="24"/>
          <w:szCs w:val="24"/>
        </w:rPr>
      </w:pPr>
      <w:r w:rsidRPr="0015724E">
        <w:rPr>
          <w:rFonts w:eastAsia="Calibri"/>
          <w:sz w:val="24"/>
          <w:szCs w:val="24"/>
        </w:rPr>
        <w:t xml:space="preserve">Le tableau nº3 présente une forte corrélation positive entre la durée de la prise en charge et les performances scolaires. En effet, les élèves déficients intellectuels ayant suivi une prise en charge longue ont des performances scolaires supérieures à ceux qui ont suivi une prise en charge courte. L'analyse statistique par le biais du « t » de </w:t>
      </w:r>
      <w:proofErr w:type="spellStart"/>
      <w:r w:rsidRPr="0015724E">
        <w:rPr>
          <w:rFonts w:eastAsia="Calibri"/>
          <w:sz w:val="24"/>
          <w:szCs w:val="24"/>
        </w:rPr>
        <w:t>student</w:t>
      </w:r>
      <w:proofErr w:type="spellEnd"/>
      <w:r w:rsidRPr="0015724E">
        <w:rPr>
          <w:rFonts w:eastAsia="Calibri"/>
          <w:sz w:val="24"/>
          <w:szCs w:val="24"/>
        </w:rPr>
        <w:t xml:space="preserve"> dans le cas d’échantillons indépendants indique une différence significative [t</w:t>
      </w:r>
      <w:r>
        <w:rPr>
          <w:rFonts w:eastAsia="Calibri"/>
          <w:sz w:val="24"/>
          <w:szCs w:val="24"/>
        </w:rPr>
        <w:t xml:space="preserve"> </w:t>
      </w:r>
      <w:r w:rsidRPr="0015724E">
        <w:rPr>
          <w:rFonts w:eastAsia="Calibri"/>
          <w:sz w:val="24"/>
          <w:szCs w:val="24"/>
        </w:rPr>
        <w:t>(1,18) = 17,22 ; p &lt; 0,005].</w:t>
      </w:r>
    </w:p>
    <w:p w14:paraId="6B6C5C59" w14:textId="77777777" w:rsidR="00D80693" w:rsidRPr="00877F9F" w:rsidRDefault="00D80693" w:rsidP="00570B74">
      <w:pPr>
        <w:adjustRightInd w:val="0"/>
        <w:spacing w:before="120"/>
        <w:ind w:firstLine="709"/>
        <w:jc w:val="center"/>
        <w:rPr>
          <w:rFonts w:eastAsia="Calibri"/>
          <w:b/>
          <w:i/>
          <w:iCs/>
          <w:lang w:eastAsia="fr-FR"/>
        </w:rPr>
      </w:pPr>
      <w:r w:rsidRPr="00877F9F">
        <w:rPr>
          <w:rFonts w:eastAsia="Calibri"/>
          <w:b/>
          <w:i/>
          <w:iCs/>
          <w:lang w:eastAsia="fr-FR"/>
        </w:rPr>
        <w:t>Tableau nº3 : Répartition des élèves selon le niveau d’attention et les performances scolaires. Source : Données d’enquête, 2025</w:t>
      </w:r>
    </w:p>
    <w:tbl>
      <w:tblPr>
        <w:tblStyle w:val="PlainTable200"/>
        <w:tblW w:w="9210" w:type="dxa"/>
        <w:tblLayout w:type="fixed"/>
        <w:tblLook w:val="04A0" w:firstRow="1" w:lastRow="0" w:firstColumn="1" w:lastColumn="0" w:noHBand="0" w:noVBand="1"/>
      </w:tblPr>
      <w:tblGrid>
        <w:gridCol w:w="2689"/>
        <w:gridCol w:w="425"/>
        <w:gridCol w:w="1559"/>
        <w:gridCol w:w="1276"/>
        <w:gridCol w:w="1134"/>
        <w:gridCol w:w="567"/>
        <w:gridCol w:w="1560"/>
      </w:tblGrid>
      <w:tr w:rsidR="00D80693" w14:paraId="4D8FCFF1" w14:textId="77777777" w:rsidTr="00D723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371FA337" w14:textId="77777777" w:rsidR="00D80693" w:rsidRPr="0015724E" w:rsidRDefault="00D80693" w:rsidP="00570B74">
            <w:pPr>
              <w:spacing w:before="120"/>
              <w:jc w:val="center"/>
              <w:rPr>
                <w:b w:val="0"/>
                <w:bCs w:val="0"/>
                <w:sz w:val="20"/>
                <w:szCs w:val="20"/>
              </w:rPr>
            </w:pPr>
            <w:r w:rsidRPr="0015724E">
              <w:rPr>
                <w:sz w:val="20"/>
                <w:szCs w:val="20"/>
              </w:rPr>
              <w:t>Niveau d’attention et durée de la prise en charge</w:t>
            </w:r>
          </w:p>
        </w:tc>
        <w:tc>
          <w:tcPr>
            <w:tcW w:w="425" w:type="dxa"/>
          </w:tcPr>
          <w:p w14:paraId="53C54993"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N</w:t>
            </w:r>
          </w:p>
        </w:tc>
        <w:tc>
          <w:tcPr>
            <w:tcW w:w="2835" w:type="dxa"/>
            <w:gridSpan w:val="2"/>
          </w:tcPr>
          <w:p w14:paraId="52A46903"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5724E">
              <w:rPr>
                <w:sz w:val="20"/>
                <w:szCs w:val="20"/>
              </w:rPr>
              <w:t>Performances scolaires</w:t>
            </w:r>
          </w:p>
        </w:tc>
        <w:tc>
          <w:tcPr>
            <w:tcW w:w="1134" w:type="dxa"/>
            <w:vMerge w:val="restart"/>
          </w:tcPr>
          <w:p w14:paraId="085D856A"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Valeur</w:t>
            </w:r>
          </w:p>
          <w:p w14:paraId="06D3E783"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 xml:space="preserve">Calculée du t de </w:t>
            </w:r>
            <w:proofErr w:type="spellStart"/>
            <w:r w:rsidRPr="0015724E">
              <w:rPr>
                <w:sz w:val="20"/>
                <w:szCs w:val="20"/>
              </w:rPr>
              <w:t>student</w:t>
            </w:r>
            <w:proofErr w:type="spellEnd"/>
          </w:p>
        </w:tc>
        <w:tc>
          <w:tcPr>
            <w:tcW w:w="567" w:type="dxa"/>
            <w:vMerge w:val="restart"/>
          </w:tcPr>
          <w:p w14:paraId="0A654251"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roofErr w:type="gramStart"/>
            <w:r w:rsidRPr="0015724E">
              <w:rPr>
                <w:sz w:val="20"/>
                <w:szCs w:val="20"/>
              </w:rPr>
              <w:t>ddl</w:t>
            </w:r>
            <w:proofErr w:type="gramEnd"/>
          </w:p>
        </w:tc>
        <w:tc>
          <w:tcPr>
            <w:tcW w:w="1560" w:type="dxa"/>
            <w:vMerge w:val="restart"/>
          </w:tcPr>
          <w:p w14:paraId="69ADD9F7" w14:textId="77777777" w:rsidR="00D80693" w:rsidRPr="0015724E" w:rsidRDefault="00D80693" w:rsidP="00570B74">
            <w:pPr>
              <w:spacing w:before="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5724E">
              <w:rPr>
                <w:sz w:val="20"/>
                <w:szCs w:val="20"/>
              </w:rPr>
              <w:t>Seuil de probabilité calculée</w:t>
            </w:r>
          </w:p>
        </w:tc>
      </w:tr>
      <w:tr w:rsidR="00D80693" w14:paraId="29D5AB3E" w14:textId="77777777" w:rsidTr="00D72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vMerge/>
          </w:tcPr>
          <w:p w14:paraId="21292A04" w14:textId="77777777" w:rsidR="00D80693" w:rsidRPr="0015724E" w:rsidRDefault="00D80693" w:rsidP="00570B74">
            <w:pPr>
              <w:spacing w:before="120"/>
              <w:jc w:val="center"/>
              <w:rPr>
                <w:b w:val="0"/>
                <w:bCs w:val="0"/>
                <w:sz w:val="20"/>
                <w:szCs w:val="20"/>
              </w:rPr>
            </w:pPr>
          </w:p>
        </w:tc>
        <w:tc>
          <w:tcPr>
            <w:tcW w:w="425" w:type="dxa"/>
          </w:tcPr>
          <w:p w14:paraId="433DB0A6"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gridSpan w:val="2"/>
          </w:tcPr>
          <w:p w14:paraId="30AE97F0"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Moyenne</w:t>
            </w:r>
          </w:p>
        </w:tc>
        <w:tc>
          <w:tcPr>
            <w:tcW w:w="1134" w:type="dxa"/>
            <w:vMerge/>
          </w:tcPr>
          <w:p w14:paraId="35079E8A"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7" w:type="dxa"/>
            <w:vMerge/>
          </w:tcPr>
          <w:p w14:paraId="0059F17F"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vMerge/>
          </w:tcPr>
          <w:p w14:paraId="1592550E"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80693" w14:paraId="594BE530" w14:textId="77777777" w:rsidTr="00D72320">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0517315D" w14:textId="77777777" w:rsidR="00D80693" w:rsidRPr="0015724E" w:rsidRDefault="00D80693" w:rsidP="00570B74">
            <w:pPr>
              <w:spacing w:before="120"/>
              <w:jc w:val="center"/>
              <w:rPr>
                <w:b w:val="0"/>
                <w:sz w:val="20"/>
                <w:szCs w:val="20"/>
              </w:rPr>
            </w:pPr>
            <w:r w:rsidRPr="0015724E">
              <w:rPr>
                <w:sz w:val="20"/>
                <w:szCs w:val="20"/>
              </w:rPr>
              <w:t>Courte durée et niveau d’attention</w:t>
            </w:r>
          </w:p>
        </w:tc>
        <w:tc>
          <w:tcPr>
            <w:tcW w:w="425" w:type="dxa"/>
          </w:tcPr>
          <w:p w14:paraId="65CD7F8B"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10</w:t>
            </w:r>
          </w:p>
        </w:tc>
        <w:tc>
          <w:tcPr>
            <w:tcW w:w="2835" w:type="dxa"/>
            <w:gridSpan w:val="2"/>
          </w:tcPr>
          <w:p w14:paraId="17A2F1A2"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20</w:t>
            </w:r>
          </w:p>
        </w:tc>
        <w:tc>
          <w:tcPr>
            <w:tcW w:w="1134" w:type="dxa"/>
            <w:vMerge w:val="restart"/>
          </w:tcPr>
          <w:p w14:paraId="611C8A2C"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p w14:paraId="1EEDAE47"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17,22</w:t>
            </w:r>
          </w:p>
        </w:tc>
        <w:tc>
          <w:tcPr>
            <w:tcW w:w="567" w:type="dxa"/>
            <w:vMerge w:val="restart"/>
          </w:tcPr>
          <w:p w14:paraId="1F4389AD"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p w14:paraId="7D0567F1"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w:t>
            </w:r>
          </w:p>
        </w:tc>
        <w:tc>
          <w:tcPr>
            <w:tcW w:w="1560" w:type="dxa"/>
            <w:vMerge w:val="restart"/>
          </w:tcPr>
          <w:p w14:paraId="53718E4C"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p w14:paraId="466CDC4A"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0.005</w:t>
            </w:r>
          </w:p>
        </w:tc>
      </w:tr>
      <w:tr w:rsidR="00D80693" w14:paraId="38FE0419" w14:textId="77777777" w:rsidTr="00D723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tcPr>
          <w:p w14:paraId="4FA44844" w14:textId="77777777" w:rsidR="00D80693" w:rsidRPr="0015724E" w:rsidRDefault="00D80693" w:rsidP="00570B74">
            <w:pPr>
              <w:spacing w:before="120"/>
              <w:jc w:val="center"/>
              <w:rPr>
                <w:b w:val="0"/>
                <w:sz w:val="20"/>
                <w:szCs w:val="20"/>
              </w:rPr>
            </w:pPr>
            <w:r w:rsidRPr="0015724E">
              <w:rPr>
                <w:sz w:val="20"/>
                <w:szCs w:val="20"/>
              </w:rPr>
              <w:t>Longue durée et niveau d’attention élevé</w:t>
            </w:r>
          </w:p>
        </w:tc>
        <w:tc>
          <w:tcPr>
            <w:tcW w:w="425" w:type="dxa"/>
          </w:tcPr>
          <w:p w14:paraId="6C752CC5" w14:textId="77777777" w:rsidR="00D80693" w:rsidRPr="0015724E" w:rsidRDefault="00D80693" w:rsidP="00570B74">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10</w:t>
            </w:r>
          </w:p>
        </w:tc>
        <w:tc>
          <w:tcPr>
            <w:tcW w:w="2835" w:type="dxa"/>
            <w:gridSpan w:val="2"/>
          </w:tcPr>
          <w:p w14:paraId="66437A20" w14:textId="77777777" w:rsidR="00D80693" w:rsidRPr="0015724E" w:rsidRDefault="00D80693" w:rsidP="00570B74">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sz w:val="20"/>
                <w:szCs w:val="20"/>
              </w:rPr>
            </w:pPr>
            <w:r w:rsidRPr="0015724E">
              <w:rPr>
                <w:sz w:val="20"/>
                <w:szCs w:val="20"/>
              </w:rPr>
              <w:t xml:space="preserve">                        32</w:t>
            </w:r>
          </w:p>
        </w:tc>
        <w:tc>
          <w:tcPr>
            <w:tcW w:w="1134" w:type="dxa"/>
            <w:vMerge/>
          </w:tcPr>
          <w:p w14:paraId="45B10181" w14:textId="77777777" w:rsidR="00D80693" w:rsidRPr="0015724E" w:rsidRDefault="00D80693" w:rsidP="00570B74">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7" w:type="dxa"/>
            <w:vMerge/>
          </w:tcPr>
          <w:p w14:paraId="32939093" w14:textId="77777777" w:rsidR="00D80693" w:rsidRPr="0015724E" w:rsidRDefault="00D80693" w:rsidP="00570B74">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vMerge/>
          </w:tcPr>
          <w:p w14:paraId="621E21A8" w14:textId="77777777" w:rsidR="00D80693" w:rsidRPr="0015724E" w:rsidRDefault="00D80693" w:rsidP="00570B74">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80693" w14:paraId="3BAD0D11" w14:textId="77777777" w:rsidTr="00D72320">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03EFF34D" w14:textId="77777777" w:rsidR="00D80693" w:rsidRPr="0015724E" w:rsidRDefault="00D80693" w:rsidP="00570B74">
            <w:pPr>
              <w:spacing w:before="120"/>
              <w:jc w:val="center"/>
              <w:rPr>
                <w:b w:val="0"/>
                <w:bCs w:val="0"/>
                <w:sz w:val="20"/>
                <w:szCs w:val="20"/>
              </w:rPr>
            </w:pPr>
            <w:r w:rsidRPr="0015724E">
              <w:rPr>
                <w:sz w:val="20"/>
                <w:szCs w:val="20"/>
              </w:rPr>
              <w:t>Total</w:t>
            </w:r>
          </w:p>
        </w:tc>
        <w:tc>
          <w:tcPr>
            <w:tcW w:w="425" w:type="dxa"/>
          </w:tcPr>
          <w:p w14:paraId="275577A3" w14:textId="77777777" w:rsidR="00D80693" w:rsidRPr="0015724E" w:rsidRDefault="00D80693" w:rsidP="00570B74">
            <w:pPr>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r w:rsidRPr="0015724E">
              <w:rPr>
                <w:sz w:val="20"/>
                <w:szCs w:val="20"/>
              </w:rPr>
              <w:t>20</w:t>
            </w:r>
          </w:p>
        </w:tc>
        <w:tc>
          <w:tcPr>
            <w:tcW w:w="1559" w:type="dxa"/>
          </w:tcPr>
          <w:p w14:paraId="14DB7791" w14:textId="77777777" w:rsidR="00D80693" w:rsidRPr="0015724E" w:rsidRDefault="00D80693" w:rsidP="00570B74">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4286B6DD"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Merge/>
          </w:tcPr>
          <w:p w14:paraId="4522172C"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67" w:type="dxa"/>
            <w:vMerge/>
          </w:tcPr>
          <w:p w14:paraId="47DFD97C"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vMerge/>
          </w:tcPr>
          <w:p w14:paraId="71A75677" w14:textId="77777777" w:rsidR="00D80693" w:rsidRPr="0015724E" w:rsidRDefault="00D80693" w:rsidP="00570B74">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5875911" w14:textId="77777777" w:rsidR="00D80693" w:rsidRPr="00622ADC" w:rsidRDefault="00D80693" w:rsidP="00570B74">
      <w:pPr>
        <w:adjustRightInd w:val="0"/>
        <w:spacing w:before="120"/>
        <w:jc w:val="both"/>
        <w:rPr>
          <w:rFonts w:eastAsia="Calibri"/>
          <w:sz w:val="24"/>
          <w:szCs w:val="24"/>
          <w:lang w:eastAsia="fr-FR"/>
        </w:rPr>
      </w:pPr>
      <w:r w:rsidRPr="00622ADC">
        <w:rPr>
          <w:rFonts w:eastAsia="Calibri"/>
          <w:sz w:val="24"/>
          <w:szCs w:val="24"/>
          <w:lang w:eastAsia="fr-FR"/>
        </w:rPr>
        <w:t>La figure nº2 ci-dessous est une illustration des li</w:t>
      </w:r>
      <w:r>
        <w:rPr>
          <w:rFonts w:eastAsia="Calibri"/>
          <w:sz w:val="24"/>
          <w:szCs w:val="24"/>
          <w:lang w:eastAsia="fr-FR"/>
        </w:rPr>
        <w:t>ens</w:t>
      </w:r>
      <w:r w:rsidRPr="00622ADC">
        <w:rPr>
          <w:rFonts w:eastAsia="Calibri"/>
          <w:sz w:val="24"/>
          <w:szCs w:val="24"/>
          <w:lang w:eastAsia="fr-FR"/>
        </w:rPr>
        <w:t xml:space="preserve"> entre </w:t>
      </w:r>
      <w:r w:rsidRPr="00622ADC">
        <w:rPr>
          <w:rFonts w:eastAsia="Arial"/>
          <w:color w:val="000000"/>
          <w:lang w:eastAsia="fr-FR"/>
        </w:rPr>
        <w:t>la durée de la prise en charge et les performances scolaires</w:t>
      </w:r>
      <w:r>
        <w:rPr>
          <w:rFonts w:eastAsia="Arial"/>
          <w:color w:val="000000"/>
          <w:lang w:eastAsia="fr-FR"/>
        </w:rPr>
        <w:t xml:space="preserve">. </w:t>
      </w:r>
    </w:p>
    <w:p w14:paraId="34708777" w14:textId="77777777" w:rsidR="00D80693" w:rsidRPr="0015724E" w:rsidRDefault="00D80693" w:rsidP="00570B74">
      <w:pPr>
        <w:adjustRightInd w:val="0"/>
        <w:spacing w:before="120"/>
        <w:rPr>
          <w:rFonts w:eastAsia="Calibri"/>
          <w:b/>
          <w:bCs/>
          <w:sz w:val="24"/>
          <w:szCs w:val="24"/>
          <w:lang w:eastAsia="fr-FR"/>
        </w:rPr>
      </w:pPr>
      <w:r w:rsidRPr="0015724E">
        <w:rPr>
          <w:rFonts w:eastAsia="Calibri"/>
          <w:b/>
          <w:bCs/>
          <w:sz w:val="24"/>
          <w:szCs w:val="24"/>
          <w:lang w:eastAsia="fr-FR"/>
        </w:rPr>
        <w:t xml:space="preserve">         </w:t>
      </w:r>
    </w:p>
    <w:p w14:paraId="5C09B31A" w14:textId="77777777" w:rsidR="00D80693" w:rsidRPr="0015724E" w:rsidRDefault="00D80693" w:rsidP="00570B74">
      <w:pPr>
        <w:pStyle w:val="Paragraphedeliste"/>
        <w:suppressAutoHyphens/>
        <w:rPr>
          <w:rFonts w:eastAsia="Calibri"/>
          <w:b/>
          <w:sz w:val="24"/>
          <w:szCs w:val="24"/>
        </w:rPr>
      </w:pPr>
      <w:r w:rsidRPr="0015724E">
        <w:rPr>
          <w:noProof/>
        </w:rPr>
        <w:drawing>
          <wp:inline distT="0" distB="0" distL="0" distR="0" wp14:anchorId="4EA05F29" wp14:editId="796F99EF">
            <wp:extent cx="4572000" cy="2743200"/>
            <wp:effectExtent l="0" t="0" r="0" b="0"/>
            <wp:docPr id="2090384482" name="Graphique 1">
              <a:extLst xmlns:a="http://schemas.openxmlformats.org/drawingml/2006/main">
                <a:ext uri="{FF2B5EF4-FFF2-40B4-BE49-F238E27FC236}">
                  <a16:creationId xmlns:a16="http://schemas.microsoft.com/office/drawing/2014/main" id="{E1C3CCC9-BD33-D6F5-6A1D-DC1C47217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7B28C23C" w14:textId="77777777" w:rsidR="00D80693" w:rsidRPr="000E76C7" w:rsidRDefault="00D80693" w:rsidP="00570B74">
      <w:pPr>
        <w:spacing w:before="120"/>
        <w:jc w:val="center"/>
        <w:rPr>
          <w:rFonts w:eastAsia="Calibri"/>
          <w:i/>
          <w:iCs/>
        </w:rPr>
      </w:pPr>
      <w:r w:rsidRPr="00631860">
        <w:rPr>
          <w:rFonts w:eastAsiaTheme="minorHAnsi"/>
          <w:b/>
          <w:bCs/>
          <w:i/>
          <w:iCs/>
        </w:rPr>
        <w:t>Figure n°2</w:t>
      </w:r>
      <w:r w:rsidRPr="004C4622">
        <w:rPr>
          <w:rFonts w:eastAsiaTheme="minorHAnsi"/>
          <w:b/>
          <w:bCs/>
        </w:rPr>
        <w:t> </w:t>
      </w:r>
      <w:r w:rsidRPr="000E76C7">
        <w:rPr>
          <w:rFonts w:eastAsiaTheme="minorHAnsi"/>
          <w:b/>
          <w:bCs/>
        </w:rPr>
        <w:t xml:space="preserve">: </w:t>
      </w:r>
      <w:r w:rsidRPr="000E76C7">
        <w:rPr>
          <w:rFonts w:eastAsiaTheme="minorHAnsi"/>
          <w:b/>
          <w:bCs/>
          <w:i/>
          <w:iCs/>
        </w:rPr>
        <w:t>Illustration de la durée de la prise en charge et des performances scolaires</w:t>
      </w:r>
      <w:r>
        <w:rPr>
          <w:rFonts w:eastAsiaTheme="minorHAnsi"/>
          <w:i/>
          <w:iCs/>
        </w:rPr>
        <w:t>.</w:t>
      </w:r>
      <w:r w:rsidRPr="000E76C7">
        <w:rPr>
          <w:rFonts w:eastAsiaTheme="minorHAnsi"/>
          <w:b/>
          <w:bCs/>
        </w:rPr>
        <w:t xml:space="preserve"> </w:t>
      </w:r>
      <w:r w:rsidRPr="000E76C7">
        <w:rPr>
          <w:rFonts w:eastAsiaTheme="minorHAnsi"/>
          <w:i/>
          <w:iCs/>
        </w:rPr>
        <w:t>Source : Données d’enquête, 2025</w:t>
      </w:r>
    </w:p>
    <w:p w14:paraId="3DD8CB18"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 xml:space="preserve">En somme, les résultats obtenus sont alignés avec les objectifs de l’étude énoncés précédemment qui visent à analyser l’influence du niveau d’attention et de la durée de la prise en charge sur les performances scolaires. Ils confirment nos hypothèses selon lesquelles : </w:t>
      </w:r>
    </w:p>
    <w:p w14:paraId="40F43814" w14:textId="77777777" w:rsidR="00D80693" w:rsidRPr="0015724E" w:rsidRDefault="00D80693" w:rsidP="00570B74">
      <w:pPr>
        <w:pStyle w:val="Paragraphedeliste"/>
        <w:widowControl/>
        <w:numPr>
          <w:ilvl w:val="0"/>
          <w:numId w:val="211"/>
        </w:numPr>
        <w:suppressAutoHyphens/>
        <w:autoSpaceDE/>
        <w:autoSpaceDN/>
        <w:rPr>
          <w:rFonts w:eastAsia="Calibri"/>
          <w:sz w:val="24"/>
          <w:szCs w:val="24"/>
        </w:rPr>
      </w:pPr>
      <w:r w:rsidRPr="0015724E">
        <w:rPr>
          <w:rFonts w:eastAsia="Calibri"/>
          <w:sz w:val="24"/>
          <w:szCs w:val="24"/>
        </w:rPr>
        <w:t>Les enfants avec un niveau d’attention élevé ont des performances scolaires supérieures à ceux ayant des niveaux d’attention faibles.</w:t>
      </w:r>
    </w:p>
    <w:p w14:paraId="7418215E" w14:textId="77777777" w:rsidR="00D80693" w:rsidRPr="0015724E" w:rsidRDefault="00D80693" w:rsidP="00570B74">
      <w:pPr>
        <w:pStyle w:val="Paragraphedeliste"/>
        <w:widowControl/>
        <w:numPr>
          <w:ilvl w:val="0"/>
          <w:numId w:val="211"/>
        </w:numPr>
        <w:suppressAutoHyphens/>
        <w:autoSpaceDE/>
        <w:autoSpaceDN/>
        <w:rPr>
          <w:rFonts w:eastAsia="Calibri"/>
          <w:sz w:val="24"/>
          <w:szCs w:val="24"/>
        </w:rPr>
      </w:pPr>
      <w:r w:rsidRPr="0015724E">
        <w:rPr>
          <w:rFonts w:eastAsia="Calibri"/>
          <w:sz w:val="24"/>
          <w:szCs w:val="24"/>
        </w:rPr>
        <w:t xml:space="preserve">Les enfants ayant suivi une prise en charge longue ont des performances scolaires </w:t>
      </w:r>
      <w:r>
        <w:rPr>
          <w:rFonts w:eastAsia="Calibri"/>
          <w:sz w:val="24"/>
          <w:szCs w:val="24"/>
        </w:rPr>
        <w:t xml:space="preserve">plus </w:t>
      </w:r>
      <w:r w:rsidRPr="0015724E">
        <w:rPr>
          <w:rFonts w:eastAsia="Calibri"/>
          <w:sz w:val="24"/>
          <w:szCs w:val="24"/>
        </w:rPr>
        <w:t>élevées que ceux ayant suivi une prise en charge</w:t>
      </w:r>
      <w:r>
        <w:rPr>
          <w:rFonts w:eastAsia="Calibri"/>
          <w:sz w:val="24"/>
          <w:szCs w:val="24"/>
        </w:rPr>
        <w:t xml:space="preserve"> </w:t>
      </w:r>
      <w:r w:rsidRPr="0015724E">
        <w:rPr>
          <w:rFonts w:eastAsia="Calibri"/>
          <w:sz w:val="24"/>
          <w:szCs w:val="24"/>
        </w:rPr>
        <w:t>courte.</w:t>
      </w:r>
    </w:p>
    <w:p w14:paraId="5CC505A3" w14:textId="77777777" w:rsidR="00D80693" w:rsidRPr="0015724E" w:rsidRDefault="00D80693" w:rsidP="00570B74">
      <w:pPr>
        <w:spacing w:before="120"/>
        <w:jc w:val="both"/>
        <w:rPr>
          <w:rFonts w:eastAsia="Calibri"/>
          <w:sz w:val="24"/>
          <w:szCs w:val="24"/>
        </w:rPr>
      </w:pPr>
      <w:r w:rsidRPr="0015724E">
        <w:rPr>
          <w:rFonts w:eastAsiaTheme="minorHAnsi" w:cstheme="minorBidi"/>
          <w:sz w:val="24"/>
          <w:szCs w:val="24"/>
        </w:rPr>
        <w:t>Les résultats sont discutés dans les lignes qui suivent avec ceux des études antérieures.</w:t>
      </w:r>
    </w:p>
    <w:p w14:paraId="09AA7E8D" w14:textId="77777777" w:rsidR="00D80693" w:rsidRPr="00631860" w:rsidRDefault="00D80693" w:rsidP="00570B74">
      <w:pPr>
        <w:pStyle w:val="Paragraphedeliste"/>
        <w:widowControl/>
        <w:numPr>
          <w:ilvl w:val="0"/>
          <w:numId w:val="210"/>
        </w:numPr>
        <w:suppressAutoHyphens/>
        <w:autoSpaceDE/>
        <w:autoSpaceDN/>
        <w:rPr>
          <w:rFonts w:eastAsia="Calibri"/>
          <w:sz w:val="28"/>
          <w:szCs w:val="28"/>
        </w:rPr>
      </w:pPr>
      <w:r w:rsidRPr="00631860">
        <w:rPr>
          <w:rFonts w:eastAsia="Calibri"/>
          <w:b/>
          <w:bCs/>
          <w:sz w:val="28"/>
          <w:szCs w:val="28"/>
        </w:rPr>
        <w:t xml:space="preserve">Discussion </w:t>
      </w:r>
    </w:p>
    <w:p w14:paraId="6CC59740" w14:textId="77777777" w:rsidR="00D80693" w:rsidRPr="0015724E" w:rsidRDefault="00D80693" w:rsidP="00570B74">
      <w:pPr>
        <w:spacing w:before="120"/>
        <w:jc w:val="both"/>
        <w:rPr>
          <w:rFonts w:eastAsia="Calibri"/>
          <w:sz w:val="24"/>
          <w:szCs w:val="24"/>
        </w:rPr>
      </w:pPr>
      <w:r w:rsidRPr="0015724E">
        <w:rPr>
          <w:rFonts w:eastAsiaTheme="minorHAnsi"/>
          <w:sz w:val="24"/>
          <w:szCs w:val="24"/>
        </w:rPr>
        <w:t>Les résultats de la présente étude confirment les conclusions des recherches antérieures sur l'importance de la durée de prise charge et du niveau d’attention sur les performances scolaires chez les déficients intellectuels. En effet, ces résultats montrent clairement que plus le temps de la prise en charge est long, les performances scolaires des déficients intellectuels s’améliorent. Ils sont en cohérence avec les études de Yianni-</w:t>
      </w:r>
      <w:proofErr w:type="spellStart"/>
      <w:r w:rsidRPr="0015724E">
        <w:rPr>
          <w:rFonts w:eastAsiaTheme="minorHAnsi"/>
          <w:sz w:val="24"/>
          <w:szCs w:val="24"/>
        </w:rPr>
        <w:t>Coudurier</w:t>
      </w:r>
      <w:proofErr w:type="spellEnd"/>
      <w:r w:rsidRPr="0015724E">
        <w:rPr>
          <w:rFonts w:eastAsiaTheme="minorHAnsi"/>
          <w:sz w:val="24"/>
          <w:szCs w:val="24"/>
        </w:rPr>
        <w:t xml:space="preserve"> (2010)</w:t>
      </w:r>
      <w:r>
        <w:rPr>
          <w:rFonts w:eastAsiaTheme="minorHAnsi"/>
          <w:sz w:val="24"/>
          <w:szCs w:val="24"/>
        </w:rPr>
        <w:t xml:space="preserve"> et </w:t>
      </w:r>
      <w:r w:rsidRPr="0015724E">
        <w:rPr>
          <w:rFonts w:eastAsiaTheme="minorHAnsi"/>
          <w:sz w:val="24"/>
          <w:szCs w:val="24"/>
        </w:rPr>
        <w:t>de Laroche et Mellie (2003), qui soulignent l’importance de la durée de la prise en charge dans l’amélioration de l’apprentissage des enfants vivant avec une déficience intellectuelle. Cela s’explique par le fait qu’il existe une corrélation positive entre les apprentissages, la maturation biologique et mentale telle que mentionné</w:t>
      </w:r>
      <w:r>
        <w:rPr>
          <w:rFonts w:eastAsiaTheme="minorHAnsi"/>
          <w:sz w:val="24"/>
          <w:szCs w:val="24"/>
        </w:rPr>
        <w:t>e</w:t>
      </w:r>
      <w:r w:rsidRPr="0015724E">
        <w:rPr>
          <w:rFonts w:eastAsiaTheme="minorHAnsi"/>
          <w:sz w:val="24"/>
          <w:szCs w:val="24"/>
        </w:rPr>
        <w:t xml:space="preserve"> par la théorie piagétienne. En d’autres termes, les enfants déficients intellectuels ont un besoin de temps important pour se développer et acquérir des compétences. Dès lors, les performances scolaires des enfants avec une durée de prise en charge longue sont supérieures à ceux ayant une durée de prise en charge courte car, les premiers disposent d’un temps relativement long qui l</w:t>
      </w:r>
      <w:r>
        <w:rPr>
          <w:rFonts w:eastAsiaTheme="minorHAnsi"/>
          <w:sz w:val="24"/>
          <w:szCs w:val="24"/>
        </w:rPr>
        <w:t>eur</w:t>
      </w:r>
      <w:r w:rsidRPr="0015724E">
        <w:rPr>
          <w:rFonts w:eastAsiaTheme="minorHAnsi"/>
          <w:sz w:val="24"/>
          <w:szCs w:val="24"/>
        </w:rPr>
        <w:t xml:space="preserve"> donne plus de chances d’atteindre les objectifs fixés.</w:t>
      </w:r>
      <w:r>
        <w:rPr>
          <w:rFonts w:eastAsiaTheme="minorHAnsi"/>
          <w:sz w:val="24"/>
          <w:szCs w:val="24"/>
        </w:rPr>
        <w:t xml:space="preserve"> Il en est de même de l’étude de Kouakou &amp; al. (2019) qui montre que la durée de la prise en charge a un impact positif sur l’acquisition des comportements disciplinaires des enfants caractériels (enfants de la rue). </w:t>
      </w:r>
    </w:p>
    <w:p w14:paraId="73485CA5" w14:textId="77777777" w:rsidR="00D80693" w:rsidRDefault="00D80693" w:rsidP="00570B74">
      <w:pPr>
        <w:spacing w:before="120"/>
        <w:jc w:val="both"/>
        <w:rPr>
          <w:rFonts w:eastAsia="Calibri"/>
          <w:sz w:val="24"/>
          <w:szCs w:val="24"/>
        </w:rPr>
      </w:pPr>
      <w:r w:rsidRPr="0015724E">
        <w:rPr>
          <w:rFonts w:eastAsiaTheme="minorHAnsi"/>
          <w:sz w:val="24"/>
          <w:szCs w:val="24"/>
        </w:rPr>
        <w:t>De plus, le niveau d’attention élevé est associé à de meilleures performances scolaires chez les déficients intellectuels. En effet, les enfants déficients intellectuels ont naturellement un filtre attentionnel qui est fondé sur ce qu’ils aiment en fonction du milieu dans lequel ils se trouvent. Dans le cadre de notre étude, le filtre, avec le temps, s’est élargi et a appris à juger les activités scolaires comme importantes. En conséquence, le filtre est la cause de l’amélioration de l’attention de certains sujets de cette étude en ce sens que plus le filtre est large plus l’enfant a des chances de se focaliser sur certaines activités. Ces résultats sont confirmés par l’étude de Kirk (2016), qui montre que l’entra</w:t>
      </w:r>
      <w:r>
        <w:rPr>
          <w:rFonts w:eastAsiaTheme="minorHAnsi"/>
          <w:sz w:val="24"/>
          <w:szCs w:val="24"/>
        </w:rPr>
        <w:t>î</w:t>
      </w:r>
      <w:r w:rsidRPr="0015724E">
        <w:rPr>
          <w:rFonts w:eastAsiaTheme="minorHAnsi"/>
          <w:sz w:val="24"/>
          <w:szCs w:val="24"/>
        </w:rPr>
        <w:t xml:space="preserve">nement améliore le niveau d’attention et par ricochet les performances scolaires. Les résultats des travaux de Faught </w:t>
      </w:r>
      <w:r>
        <w:rPr>
          <w:rFonts w:eastAsiaTheme="minorHAnsi"/>
          <w:sz w:val="24"/>
          <w:szCs w:val="24"/>
        </w:rPr>
        <w:t xml:space="preserve">&amp; </w:t>
      </w:r>
      <w:r w:rsidRPr="0015724E">
        <w:rPr>
          <w:rFonts w:eastAsiaTheme="minorHAnsi"/>
          <w:sz w:val="24"/>
          <w:szCs w:val="24"/>
        </w:rPr>
        <w:t>Conners (2019) s’inscrivent dans le même canevas montrant ainsi un effet différentiel du niveau d’attention sur les performances scolaires des enfants vivant avec une déficience intellectuelle.</w:t>
      </w:r>
    </w:p>
    <w:p w14:paraId="3A172372" w14:textId="77777777" w:rsidR="00D80693" w:rsidRPr="0015724E" w:rsidRDefault="00D80693" w:rsidP="00570B74">
      <w:pPr>
        <w:spacing w:before="120"/>
        <w:jc w:val="both"/>
        <w:rPr>
          <w:rFonts w:eastAsia="Calibri"/>
          <w:sz w:val="24"/>
          <w:szCs w:val="24"/>
        </w:rPr>
      </w:pPr>
      <w:r>
        <w:rPr>
          <w:rFonts w:eastAsiaTheme="minorHAnsi"/>
          <w:sz w:val="24"/>
          <w:szCs w:val="24"/>
        </w:rPr>
        <w:t xml:space="preserve">Cependant, même si les résultats de la présente étude vont globalement dans le sens des travaux antérieurs, il importe de souligner que la limite de l’étude pourrait se trouver dans la taille relativement réduite de l’échantillon. En effet, l’échantillon de 20 participants ne nous permet pas de procéder à une généralisation des conclusions. Mais, l’étude apporte une compréhension importante de la place que pourrait jouer la durée de la prise en charge dans l’amélioration des performances scolaires des enfants déficients intellectuels. De ce fait, les résultats sont à considérer dans les limites des conditions qui ont prévalu à leur obtention. </w:t>
      </w:r>
    </w:p>
    <w:p w14:paraId="24B7AFD9" w14:textId="77777777" w:rsidR="00D80693" w:rsidRPr="0015724E" w:rsidRDefault="00D80693" w:rsidP="00570B74">
      <w:pPr>
        <w:spacing w:before="120"/>
        <w:jc w:val="both"/>
        <w:rPr>
          <w:rFonts w:eastAsia="Calibri"/>
          <w:sz w:val="24"/>
          <w:szCs w:val="24"/>
        </w:rPr>
      </w:pPr>
      <w:r>
        <w:rPr>
          <w:rFonts w:eastAsiaTheme="minorHAnsi"/>
          <w:sz w:val="24"/>
          <w:szCs w:val="24"/>
        </w:rPr>
        <w:t>Toutefois, nous retenons que l</w:t>
      </w:r>
      <w:r w:rsidRPr="0015724E">
        <w:rPr>
          <w:rFonts w:eastAsiaTheme="minorHAnsi"/>
          <w:sz w:val="24"/>
          <w:szCs w:val="24"/>
        </w:rPr>
        <w:t>es implications pratiques d</w:t>
      </w:r>
      <w:r>
        <w:rPr>
          <w:rFonts w:eastAsiaTheme="minorHAnsi"/>
          <w:sz w:val="24"/>
          <w:szCs w:val="24"/>
        </w:rPr>
        <w:t>es</w:t>
      </w:r>
      <w:r w:rsidRPr="0015724E">
        <w:rPr>
          <w:rFonts w:eastAsiaTheme="minorHAnsi"/>
          <w:sz w:val="24"/>
          <w:szCs w:val="24"/>
        </w:rPr>
        <w:t xml:space="preserve"> résultats</w:t>
      </w:r>
      <w:r>
        <w:rPr>
          <w:rFonts w:eastAsiaTheme="minorHAnsi"/>
          <w:sz w:val="24"/>
          <w:szCs w:val="24"/>
        </w:rPr>
        <w:t xml:space="preserve"> obtenus</w:t>
      </w:r>
      <w:r w:rsidRPr="0015724E">
        <w:rPr>
          <w:rFonts w:eastAsiaTheme="minorHAnsi"/>
          <w:sz w:val="24"/>
          <w:szCs w:val="24"/>
        </w:rPr>
        <w:t xml:space="preserve"> indiquent que les institutions en charge des enfants déficients intellectuels devraient envisager la prise en charge plus tôt ainsi qu’une durée relativement longue en fonction du degré de défi</w:t>
      </w:r>
      <w:r>
        <w:rPr>
          <w:rFonts w:eastAsiaTheme="minorHAnsi"/>
          <w:sz w:val="24"/>
          <w:szCs w:val="24"/>
        </w:rPr>
        <w:t>cience</w:t>
      </w:r>
      <w:r w:rsidRPr="0015724E">
        <w:rPr>
          <w:rFonts w:eastAsiaTheme="minorHAnsi"/>
          <w:sz w:val="24"/>
          <w:szCs w:val="24"/>
        </w:rPr>
        <w:t xml:space="preserve"> </w:t>
      </w:r>
      <w:r>
        <w:rPr>
          <w:rFonts w:eastAsiaTheme="minorHAnsi"/>
          <w:sz w:val="24"/>
          <w:szCs w:val="24"/>
        </w:rPr>
        <w:t xml:space="preserve">intellectuelle </w:t>
      </w:r>
      <w:r w:rsidRPr="0015724E">
        <w:rPr>
          <w:rFonts w:eastAsiaTheme="minorHAnsi"/>
          <w:sz w:val="24"/>
          <w:szCs w:val="24"/>
        </w:rPr>
        <w:t>d</w:t>
      </w:r>
      <w:r>
        <w:rPr>
          <w:rFonts w:eastAsiaTheme="minorHAnsi"/>
          <w:sz w:val="24"/>
          <w:szCs w:val="24"/>
        </w:rPr>
        <w:t>e l’enfant</w:t>
      </w:r>
      <w:r w:rsidRPr="0015724E">
        <w:rPr>
          <w:rFonts w:eastAsiaTheme="minorHAnsi"/>
          <w:sz w:val="24"/>
          <w:szCs w:val="24"/>
        </w:rPr>
        <w:t xml:space="preserve">. </w:t>
      </w:r>
    </w:p>
    <w:p w14:paraId="327804EA" w14:textId="77777777" w:rsidR="00D80693" w:rsidRPr="000E76C7" w:rsidRDefault="00D80693" w:rsidP="00570B74">
      <w:pPr>
        <w:pStyle w:val="Paragraphedeliste"/>
        <w:suppressAutoHyphens/>
        <w:ind w:left="360"/>
        <w:rPr>
          <w:rFonts w:eastAsia="Calibri"/>
          <w:b/>
          <w:bCs/>
          <w:sz w:val="28"/>
          <w:szCs w:val="28"/>
        </w:rPr>
      </w:pPr>
      <w:r w:rsidRPr="000E76C7">
        <w:rPr>
          <w:rFonts w:eastAsia="Calibri"/>
          <w:b/>
          <w:bCs/>
          <w:sz w:val="28"/>
          <w:szCs w:val="28"/>
        </w:rPr>
        <w:t>Conclusion</w:t>
      </w:r>
    </w:p>
    <w:p w14:paraId="41615CD3" w14:textId="77777777" w:rsidR="00D80693" w:rsidRPr="0015724E" w:rsidRDefault="00D80693" w:rsidP="00570B74">
      <w:pPr>
        <w:spacing w:before="120"/>
        <w:jc w:val="both"/>
        <w:rPr>
          <w:rFonts w:eastAsia="Calibri"/>
          <w:sz w:val="24"/>
          <w:szCs w:val="24"/>
        </w:rPr>
      </w:pPr>
      <w:r w:rsidRPr="0015724E">
        <w:rPr>
          <w:rFonts w:eastAsiaTheme="minorHAnsi"/>
          <w:sz w:val="24"/>
          <w:szCs w:val="24"/>
        </w:rPr>
        <w:t xml:space="preserve">Cette étude visait à explorer l'impact du niveau d’attention et de la durée de prise en charge sur les performances scolaires des enfants déficients intellectuels. Pour atteindre cet objectif, des données ont été </w:t>
      </w:r>
      <w:r>
        <w:rPr>
          <w:rFonts w:eastAsiaTheme="minorHAnsi"/>
          <w:sz w:val="24"/>
          <w:szCs w:val="24"/>
        </w:rPr>
        <w:t>collectées</w:t>
      </w:r>
      <w:r w:rsidRPr="0015724E">
        <w:rPr>
          <w:rFonts w:eastAsiaTheme="minorHAnsi"/>
          <w:sz w:val="24"/>
          <w:szCs w:val="24"/>
        </w:rPr>
        <w:t xml:space="preserve"> auprès de 20 enfants dont 12 filles et 08 garçons, âgés de 4 à 8</w:t>
      </w:r>
      <w:r>
        <w:rPr>
          <w:rFonts w:eastAsiaTheme="minorHAnsi"/>
          <w:sz w:val="24"/>
          <w:szCs w:val="24"/>
        </w:rPr>
        <w:t xml:space="preserve"> </w:t>
      </w:r>
      <w:r w:rsidRPr="0015724E">
        <w:rPr>
          <w:rFonts w:eastAsiaTheme="minorHAnsi"/>
          <w:sz w:val="24"/>
          <w:szCs w:val="24"/>
        </w:rPr>
        <w:t>ans. Cet échantillon a été soumis à un test d’attention soutenu et a fait l’objet d’analyse de dossiers et de relevés de notes. Ces participants ont été repartis en fonction du niveau d’attention et de la durée de la prise en charge.</w:t>
      </w:r>
    </w:p>
    <w:p w14:paraId="4F32DFFF" w14:textId="77777777" w:rsidR="00D80693" w:rsidRPr="0015724E" w:rsidRDefault="00D80693" w:rsidP="00570B74">
      <w:pPr>
        <w:spacing w:before="120"/>
        <w:jc w:val="both"/>
        <w:rPr>
          <w:rFonts w:eastAsia="Calibri"/>
          <w:sz w:val="24"/>
          <w:szCs w:val="24"/>
        </w:rPr>
      </w:pPr>
      <w:r w:rsidRPr="0015724E">
        <w:rPr>
          <w:rFonts w:eastAsiaTheme="minorHAnsi"/>
          <w:sz w:val="24"/>
          <w:szCs w:val="24"/>
        </w:rPr>
        <w:t>Les résultats ont démontré une relation significative entre ces variables, confirmant ainsi les hypothèses initiales. Il a été établi que les enfants déficients intellectuel</w:t>
      </w:r>
      <w:r>
        <w:rPr>
          <w:rFonts w:eastAsiaTheme="minorHAnsi"/>
          <w:sz w:val="24"/>
          <w:szCs w:val="24"/>
        </w:rPr>
        <w:t>s</w:t>
      </w:r>
      <w:r w:rsidRPr="0015724E">
        <w:rPr>
          <w:rFonts w:eastAsiaTheme="minorHAnsi"/>
          <w:sz w:val="24"/>
          <w:szCs w:val="24"/>
        </w:rPr>
        <w:t xml:space="preserve"> dont le niveau d’attention est élevé ont de meilleures performances scolaires par rapport à ceux qui ont un niveau d’attention faible. De plus, la longue durée de prise en charge s'est révélée être un facteur déterminant de meilleures performances scolaires. Ces résultats soulignent l'importance d'intégrer des politiques de prise en charge précoce et de longue durée selon le degré de sévérité de la déficience intellectuelle chez les enfants.</w:t>
      </w:r>
    </w:p>
    <w:p w14:paraId="6DC80F34" w14:textId="77777777" w:rsidR="00D80693" w:rsidRPr="0015724E" w:rsidRDefault="00D80693" w:rsidP="00570B74">
      <w:pPr>
        <w:spacing w:before="120"/>
        <w:jc w:val="both"/>
        <w:rPr>
          <w:rFonts w:eastAsia="Calibri"/>
          <w:sz w:val="24"/>
          <w:szCs w:val="24"/>
        </w:rPr>
      </w:pPr>
      <w:r w:rsidRPr="0015724E">
        <w:rPr>
          <w:rFonts w:eastAsiaTheme="minorHAnsi"/>
          <w:sz w:val="24"/>
          <w:szCs w:val="24"/>
        </w:rPr>
        <w:t xml:space="preserve">Toutefois, ces résultats ouvrent la voie à des recherches futures – mixtes - qui pourraient inclure des échantillons plus larges et diversifiés en rapport avec les performances scolaires des enfants déficients intellectuels et leur prise en charge. Elles pourraient alors mieux interroger l'impact à long terme de la prise en charge et de ses conséquences biopsychosociales sur les performances scolaires. </w:t>
      </w:r>
    </w:p>
    <w:p w14:paraId="1AA555F9" w14:textId="77777777" w:rsidR="00D80693" w:rsidRPr="00631860" w:rsidRDefault="00D80693" w:rsidP="00570B74">
      <w:pPr>
        <w:pStyle w:val="Paragraphedeliste"/>
        <w:widowControl/>
        <w:numPr>
          <w:ilvl w:val="0"/>
          <w:numId w:val="210"/>
        </w:numPr>
        <w:suppressAutoHyphens/>
        <w:autoSpaceDE/>
        <w:autoSpaceDN/>
        <w:rPr>
          <w:rFonts w:eastAsia="Calibri"/>
          <w:b/>
          <w:bCs/>
          <w:sz w:val="28"/>
          <w:szCs w:val="28"/>
        </w:rPr>
      </w:pPr>
      <w:r w:rsidRPr="00631860">
        <w:rPr>
          <w:rFonts w:eastAsia="Calibri"/>
          <w:b/>
          <w:bCs/>
          <w:sz w:val="28"/>
          <w:szCs w:val="28"/>
        </w:rPr>
        <w:t>Références bibliographiques</w:t>
      </w:r>
    </w:p>
    <w:p w14:paraId="5138C128" w14:textId="77777777" w:rsidR="00D80693" w:rsidRPr="0015724E" w:rsidRDefault="00D80693" w:rsidP="00EC7C1A">
      <w:pPr>
        <w:spacing w:before="120"/>
        <w:ind w:left="993" w:hanging="993"/>
        <w:jc w:val="both"/>
        <w:rPr>
          <w:rFonts w:eastAsia="Calibri"/>
          <w:sz w:val="24"/>
          <w:szCs w:val="24"/>
          <w:lang w:val="en-US"/>
        </w:rPr>
      </w:pPr>
      <w:r w:rsidRPr="0015724E">
        <w:rPr>
          <w:rFonts w:eastAsiaTheme="minorHAnsi" w:cstheme="minorBidi"/>
          <w:sz w:val="24"/>
          <w:szCs w:val="24"/>
          <w:lang w:val="en-US"/>
        </w:rPr>
        <w:t xml:space="preserve">Allen, G. &amp; </w:t>
      </w:r>
      <w:proofErr w:type="spellStart"/>
      <w:r w:rsidRPr="0015724E">
        <w:rPr>
          <w:rFonts w:eastAsiaTheme="minorHAnsi" w:cstheme="minorBidi"/>
          <w:sz w:val="24"/>
          <w:szCs w:val="24"/>
          <w:lang w:val="en-US"/>
        </w:rPr>
        <w:t>Courchense</w:t>
      </w:r>
      <w:proofErr w:type="spellEnd"/>
      <w:r w:rsidRPr="0015724E">
        <w:rPr>
          <w:rFonts w:eastAsiaTheme="minorHAnsi" w:cstheme="minorBidi"/>
          <w:sz w:val="24"/>
          <w:szCs w:val="24"/>
          <w:lang w:val="en-US"/>
        </w:rPr>
        <w:t xml:space="preserve">, E. (2001). Attention function and dysfunction in autism, </w:t>
      </w:r>
      <w:r w:rsidRPr="0015724E">
        <w:rPr>
          <w:rFonts w:eastAsiaTheme="minorHAnsi" w:cstheme="minorBidi"/>
          <w:i/>
          <w:iCs/>
          <w:sz w:val="24"/>
          <w:szCs w:val="24"/>
          <w:lang w:val="en-US"/>
        </w:rPr>
        <w:t>Frontiers in Bioscience</w:t>
      </w:r>
      <w:r w:rsidRPr="0015724E">
        <w:rPr>
          <w:rFonts w:eastAsiaTheme="minorHAnsi" w:cstheme="minorBidi"/>
          <w:sz w:val="24"/>
          <w:szCs w:val="24"/>
          <w:lang w:val="en-US"/>
        </w:rPr>
        <w:t xml:space="preserve"> 6, p. 105-119.</w:t>
      </w:r>
    </w:p>
    <w:p w14:paraId="0956FF7D" w14:textId="77777777" w:rsidR="00D80693" w:rsidRPr="0015724E" w:rsidRDefault="00D80693" w:rsidP="00EC7C1A">
      <w:pPr>
        <w:spacing w:before="120"/>
        <w:ind w:left="993" w:hanging="993"/>
        <w:jc w:val="both"/>
        <w:rPr>
          <w:rFonts w:eastAsia="Calibri"/>
          <w:sz w:val="24"/>
          <w:szCs w:val="24"/>
        </w:rPr>
      </w:pPr>
      <w:r w:rsidRPr="0015724E">
        <w:rPr>
          <w:rFonts w:eastAsiaTheme="minorHAnsi" w:cstheme="minorBidi"/>
          <w:sz w:val="24"/>
          <w:szCs w:val="24"/>
          <w:lang w:val="en-US"/>
        </w:rPr>
        <w:t>Baker, E.T., Wang, M.C, Wang, M. C.</w:t>
      </w:r>
      <w:r>
        <w:rPr>
          <w:rFonts w:eastAsiaTheme="minorHAnsi" w:cstheme="minorBidi"/>
          <w:sz w:val="24"/>
          <w:szCs w:val="24"/>
          <w:lang w:val="en-US"/>
        </w:rPr>
        <w:t xml:space="preserve"> &amp; </w:t>
      </w:r>
      <w:r w:rsidRPr="0015724E">
        <w:rPr>
          <w:rFonts w:eastAsiaTheme="minorHAnsi" w:cstheme="minorBidi"/>
          <w:sz w:val="24"/>
          <w:szCs w:val="24"/>
          <w:lang w:val="en-US"/>
        </w:rPr>
        <w:t xml:space="preserve">Walberg, H.J. (1994). </w:t>
      </w:r>
      <w:r w:rsidRPr="0015724E">
        <w:rPr>
          <w:rFonts w:eastAsiaTheme="minorHAnsi" w:cstheme="minorBidi"/>
          <w:i/>
          <w:iCs/>
          <w:sz w:val="24"/>
          <w:szCs w:val="24"/>
          <w:lang w:val="en-US"/>
        </w:rPr>
        <w:t>The effects of inclusion on learning</w:t>
      </w:r>
      <w:r w:rsidRPr="0015724E">
        <w:rPr>
          <w:rFonts w:eastAsiaTheme="minorHAnsi" w:cstheme="minorBidi"/>
          <w:sz w:val="24"/>
          <w:szCs w:val="24"/>
          <w:lang w:val="en-US"/>
        </w:rPr>
        <w:t xml:space="preserve">. </w:t>
      </w:r>
      <w:r w:rsidRPr="0015724E">
        <w:rPr>
          <w:rFonts w:eastAsiaTheme="minorHAnsi" w:cstheme="minorBidi"/>
          <w:sz w:val="24"/>
          <w:szCs w:val="24"/>
        </w:rPr>
        <w:t xml:space="preserve">Education </w:t>
      </w:r>
      <w:proofErr w:type="spellStart"/>
      <w:r w:rsidRPr="0015724E">
        <w:rPr>
          <w:rFonts w:eastAsiaTheme="minorHAnsi" w:cstheme="minorBidi"/>
          <w:sz w:val="24"/>
          <w:szCs w:val="24"/>
        </w:rPr>
        <w:t>Learship</w:t>
      </w:r>
      <w:proofErr w:type="spellEnd"/>
      <w:r w:rsidRPr="0015724E">
        <w:rPr>
          <w:rFonts w:eastAsiaTheme="minorHAnsi" w:cstheme="minorBidi"/>
          <w:sz w:val="24"/>
          <w:szCs w:val="24"/>
        </w:rPr>
        <w:t>.</w:t>
      </w:r>
    </w:p>
    <w:p w14:paraId="69941DB9" w14:textId="77777777" w:rsidR="00D80693" w:rsidRPr="0015724E" w:rsidRDefault="00D80693" w:rsidP="00EC7C1A">
      <w:pPr>
        <w:spacing w:before="120"/>
        <w:ind w:left="993" w:hanging="993"/>
        <w:jc w:val="both"/>
        <w:rPr>
          <w:rFonts w:eastAsia="Calibri"/>
          <w:sz w:val="24"/>
          <w:szCs w:val="24"/>
        </w:rPr>
      </w:pPr>
      <w:r w:rsidRPr="0015724E">
        <w:rPr>
          <w:rFonts w:eastAsiaTheme="minorHAnsi" w:cstheme="minorBidi"/>
          <w:sz w:val="24"/>
          <w:szCs w:val="24"/>
        </w:rPr>
        <w:t>Bussy, G., Rigard, C.</w:t>
      </w:r>
      <w:r>
        <w:rPr>
          <w:rFonts w:eastAsiaTheme="minorHAnsi" w:cstheme="minorBidi"/>
          <w:sz w:val="24"/>
          <w:szCs w:val="24"/>
        </w:rPr>
        <w:t xml:space="preserve"> &amp; </w:t>
      </w:r>
      <w:r w:rsidRPr="0015724E">
        <w:rPr>
          <w:rFonts w:eastAsiaTheme="minorHAnsi" w:cstheme="minorBidi"/>
          <w:sz w:val="24"/>
          <w:szCs w:val="24"/>
        </w:rPr>
        <w:t xml:space="preserve">Des Portes, V. (2013). Impact d’un entrainement de la mémoire à court terme verbale sur le langage d’enfants ayant une déficience intellectuelle. </w:t>
      </w:r>
      <w:r w:rsidRPr="0015724E">
        <w:rPr>
          <w:rFonts w:eastAsiaTheme="minorHAnsi" w:cstheme="minorBidi"/>
          <w:i/>
          <w:iCs/>
          <w:sz w:val="24"/>
          <w:szCs w:val="24"/>
        </w:rPr>
        <w:t xml:space="preserve">Revue francophone de la déficience intellectuelle, </w:t>
      </w:r>
      <w:r w:rsidRPr="0015724E">
        <w:rPr>
          <w:rFonts w:eastAsiaTheme="minorHAnsi" w:cstheme="minorBidi"/>
          <w:sz w:val="24"/>
          <w:szCs w:val="24"/>
        </w:rPr>
        <w:t>24, 141-151.</w:t>
      </w:r>
    </w:p>
    <w:p w14:paraId="72452EB3" w14:textId="77777777" w:rsidR="00D80693" w:rsidRPr="00883599" w:rsidRDefault="00D80693" w:rsidP="00EC7C1A">
      <w:pPr>
        <w:spacing w:before="120"/>
        <w:ind w:left="993" w:hanging="993"/>
        <w:jc w:val="both"/>
        <w:rPr>
          <w:rFonts w:eastAsia="Calibri"/>
          <w:sz w:val="24"/>
          <w:szCs w:val="24"/>
          <w:lang w:val="en-US"/>
        </w:rPr>
      </w:pPr>
      <w:r w:rsidRPr="00883599">
        <w:rPr>
          <w:rFonts w:eastAsiaTheme="minorHAnsi" w:cstheme="minorBidi"/>
          <w:sz w:val="24"/>
          <w:szCs w:val="24"/>
        </w:rPr>
        <w:t xml:space="preserve">Corkum, V., Byrne, J.M., &amp; Ellsworth, C. (1995). </w:t>
      </w:r>
      <w:r w:rsidRPr="0015724E">
        <w:rPr>
          <w:rFonts w:eastAsiaTheme="minorHAnsi" w:cstheme="minorBidi"/>
          <w:sz w:val="24"/>
          <w:szCs w:val="24"/>
          <w:lang w:val="en-US"/>
        </w:rPr>
        <w:t xml:space="preserve">Clinical assessment of sustained attention in preschoolers. </w:t>
      </w:r>
      <w:r w:rsidRPr="00883599">
        <w:rPr>
          <w:rFonts w:eastAsiaTheme="minorHAnsi" w:cstheme="minorBidi"/>
          <w:i/>
          <w:iCs/>
          <w:sz w:val="24"/>
          <w:szCs w:val="24"/>
          <w:lang w:val="en-US"/>
        </w:rPr>
        <w:t>Child Neuropsychology, 1</w:t>
      </w:r>
      <w:r w:rsidRPr="00883599">
        <w:rPr>
          <w:rFonts w:eastAsiaTheme="minorHAnsi" w:cstheme="minorBidi"/>
          <w:sz w:val="24"/>
          <w:szCs w:val="24"/>
          <w:lang w:val="en-US"/>
        </w:rPr>
        <w:t>, 1, 3-18.</w:t>
      </w:r>
    </w:p>
    <w:p w14:paraId="631D89D4" w14:textId="77777777" w:rsidR="00D80693" w:rsidRPr="001265C4" w:rsidRDefault="00D80693" w:rsidP="00EC7C1A">
      <w:pPr>
        <w:spacing w:before="120"/>
        <w:ind w:left="993" w:hanging="993"/>
        <w:jc w:val="both"/>
        <w:rPr>
          <w:rFonts w:eastAsia="Calibri"/>
          <w:sz w:val="24"/>
          <w:szCs w:val="24"/>
        </w:rPr>
      </w:pPr>
      <w:r w:rsidRPr="00883599">
        <w:rPr>
          <w:rFonts w:eastAsiaTheme="minorHAnsi"/>
          <w:bCs/>
          <w:sz w:val="24"/>
          <w:szCs w:val="24"/>
          <w:lang w:val="en-US"/>
        </w:rPr>
        <w:t>Dawson, G., Toth, K., Abbott, R., Osterling, J., Munson, J., Estes, A., &amp; Liaw, J. (2004).</w:t>
      </w:r>
      <w:r w:rsidRPr="00883599">
        <w:rPr>
          <w:rFonts w:eastAsiaTheme="minorHAnsi"/>
          <w:b/>
          <w:sz w:val="24"/>
          <w:szCs w:val="24"/>
          <w:lang w:val="en-US"/>
        </w:rPr>
        <w:t xml:space="preserve"> </w:t>
      </w:r>
      <w:r w:rsidRPr="001265C4">
        <w:rPr>
          <w:rFonts w:eastAsiaTheme="minorHAnsi"/>
          <w:sz w:val="24"/>
          <w:szCs w:val="24"/>
        </w:rPr>
        <w:t xml:space="preserve">Troubles de l'attention sociale dans l'autisme : orientation sociale, attention conjointe et attention à la détresse. </w:t>
      </w:r>
      <w:r w:rsidRPr="001265C4">
        <w:rPr>
          <w:rFonts w:eastAsiaTheme="minorHAnsi"/>
          <w:i/>
          <w:sz w:val="24"/>
          <w:szCs w:val="24"/>
        </w:rPr>
        <w:t>Psychologie du développement, 40(2), 271-283.</w:t>
      </w:r>
    </w:p>
    <w:p w14:paraId="7F3D6D24" w14:textId="77777777" w:rsidR="00D80693" w:rsidRDefault="00D80693" w:rsidP="00EC7C1A">
      <w:pPr>
        <w:spacing w:before="120"/>
        <w:ind w:left="993" w:hanging="993"/>
        <w:jc w:val="both"/>
        <w:rPr>
          <w:rFonts w:eastAsia="Calibri"/>
          <w:sz w:val="24"/>
          <w:szCs w:val="24"/>
        </w:rPr>
      </w:pPr>
      <w:r w:rsidRPr="0015724E">
        <w:rPr>
          <w:rFonts w:eastAsiaTheme="minorHAnsi" w:cstheme="minorBidi"/>
          <w:sz w:val="24"/>
          <w:szCs w:val="24"/>
        </w:rPr>
        <w:t>Dumont, M.</w:t>
      </w:r>
      <w:r>
        <w:rPr>
          <w:rFonts w:eastAsiaTheme="minorHAnsi" w:cstheme="minorBidi"/>
          <w:sz w:val="24"/>
          <w:szCs w:val="24"/>
        </w:rPr>
        <w:t>&amp;</w:t>
      </w:r>
      <w:r w:rsidRPr="0015724E">
        <w:rPr>
          <w:rFonts w:eastAsiaTheme="minorHAnsi" w:cstheme="minorBidi"/>
          <w:sz w:val="24"/>
          <w:szCs w:val="24"/>
        </w:rPr>
        <w:t xml:space="preserve"> Deslandes, R. (2003). Ressources personnelles et détresse psychologique en lien avec le rendement </w:t>
      </w:r>
      <w:proofErr w:type="spellStart"/>
      <w:r w:rsidRPr="0015724E">
        <w:rPr>
          <w:rFonts w:eastAsiaTheme="minorHAnsi" w:cstheme="minorBidi"/>
          <w:sz w:val="24"/>
          <w:szCs w:val="24"/>
        </w:rPr>
        <w:t>scoalire</w:t>
      </w:r>
      <w:proofErr w:type="spellEnd"/>
      <w:r w:rsidRPr="0015724E">
        <w:rPr>
          <w:rFonts w:eastAsiaTheme="minorHAnsi" w:cstheme="minorBidi"/>
          <w:sz w:val="24"/>
          <w:szCs w:val="24"/>
        </w:rPr>
        <w:t xml:space="preserve"> et le stresse chez les élèves de quatrième. </w:t>
      </w:r>
      <w:r w:rsidRPr="0015724E">
        <w:rPr>
          <w:rFonts w:eastAsiaTheme="minorHAnsi" w:cstheme="minorBidi"/>
          <w:i/>
          <w:iCs/>
          <w:sz w:val="24"/>
          <w:szCs w:val="24"/>
        </w:rPr>
        <w:t xml:space="preserve">Revue canadienne des sciences du comportement, </w:t>
      </w:r>
      <w:r w:rsidRPr="0015724E">
        <w:rPr>
          <w:rFonts w:eastAsiaTheme="minorHAnsi" w:cstheme="minorBidi"/>
          <w:sz w:val="24"/>
          <w:szCs w:val="24"/>
        </w:rPr>
        <w:t>35 (3), 254-267</w:t>
      </w:r>
      <w:r>
        <w:rPr>
          <w:rFonts w:eastAsiaTheme="minorHAnsi" w:cstheme="minorBidi"/>
          <w:sz w:val="24"/>
          <w:szCs w:val="24"/>
        </w:rPr>
        <w:t>.</w:t>
      </w:r>
    </w:p>
    <w:p w14:paraId="72910A31" w14:textId="77777777" w:rsidR="00D80693" w:rsidRPr="003017B6" w:rsidRDefault="00D80693" w:rsidP="00EC7C1A">
      <w:pPr>
        <w:spacing w:before="120"/>
        <w:ind w:left="993" w:hanging="993"/>
        <w:jc w:val="both"/>
        <w:rPr>
          <w:rFonts w:eastAsia="Calibri"/>
          <w:sz w:val="24"/>
          <w:szCs w:val="24"/>
        </w:rPr>
      </w:pPr>
      <w:r w:rsidRPr="003017B6">
        <w:rPr>
          <w:rFonts w:eastAsiaTheme="minorHAnsi"/>
          <w:bCs/>
          <w:sz w:val="24"/>
          <w:szCs w:val="24"/>
        </w:rPr>
        <w:t>Emerson, E. (2003).</w:t>
      </w:r>
      <w:r w:rsidRPr="003017B6">
        <w:rPr>
          <w:rFonts w:eastAsiaTheme="minorHAnsi"/>
          <w:sz w:val="24"/>
          <w:szCs w:val="24"/>
        </w:rPr>
        <w:t xml:space="preserve"> Prévalence des troubles psychiatriques chez les enfants et adolescents avec et sans déficience intellectuelle. </w:t>
      </w:r>
      <w:r w:rsidRPr="003017B6">
        <w:rPr>
          <w:rFonts w:eastAsiaTheme="minorHAnsi"/>
          <w:i/>
          <w:sz w:val="24"/>
          <w:szCs w:val="24"/>
        </w:rPr>
        <w:t>Journal de recherche sur la déficience intellectuelle, 47, 51–58.</w:t>
      </w:r>
    </w:p>
    <w:p w14:paraId="4140ED6A" w14:textId="77777777" w:rsidR="00D80693" w:rsidRPr="0015724E" w:rsidRDefault="00D80693" w:rsidP="00EC7C1A">
      <w:pPr>
        <w:spacing w:before="120"/>
        <w:ind w:left="993" w:hanging="993"/>
        <w:jc w:val="both"/>
        <w:rPr>
          <w:rFonts w:eastAsia="Calibri"/>
          <w:sz w:val="24"/>
          <w:szCs w:val="24"/>
          <w:lang w:val="en-US"/>
        </w:rPr>
      </w:pPr>
      <w:r w:rsidRPr="0015724E">
        <w:rPr>
          <w:rFonts w:eastAsiaTheme="minorHAnsi" w:cstheme="minorBidi"/>
          <w:sz w:val="24"/>
          <w:szCs w:val="24"/>
        </w:rPr>
        <w:t xml:space="preserve">Faught, G., &amp; Conners, A. (2019). Modélisation des relations entre l’attention soutenue, la mémoire à court terme et le langage chez les personnes ayant le syndrome de Down. </w:t>
      </w:r>
      <w:r w:rsidRPr="0015724E">
        <w:rPr>
          <w:rFonts w:eastAsiaTheme="minorHAnsi" w:cstheme="minorBidi"/>
          <w:i/>
          <w:iCs/>
          <w:sz w:val="24"/>
          <w:szCs w:val="24"/>
          <w:lang w:val="en-US"/>
        </w:rPr>
        <w:t>American Journal of Intellectual and Developmental Disabilities</w:t>
      </w:r>
      <w:r w:rsidRPr="0015724E">
        <w:rPr>
          <w:rFonts w:eastAsiaTheme="minorHAnsi" w:cstheme="minorBidi"/>
          <w:sz w:val="24"/>
          <w:szCs w:val="24"/>
          <w:lang w:val="en-US"/>
        </w:rPr>
        <w:t>, 391-392.</w:t>
      </w:r>
    </w:p>
    <w:p w14:paraId="72E0DFD6" w14:textId="77777777" w:rsidR="00D80693" w:rsidRPr="0015724E" w:rsidRDefault="00D80693" w:rsidP="00EC7C1A">
      <w:pPr>
        <w:spacing w:before="120"/>
        <w:ind w:left="993" w:hanging="993"/>
        <w:jc w:val="both"/>
        <w:rPr>
          <w:rFonts w:eastAsia="Calibri"/>
          <w:sz w:val="24"/>
          <w:szCs w:val="24"/>
        </w:rPr>
      </w:pPr>
      <w:proofErr w:type="spellStart"/>
      <w:r w:rsidRPr="0015724E">
        <w:rPr>
          <w:rFonts w:eastAsiaTheme="minorHAnsi" w:cstheme="minorBidi"/>
          <w:sz w:val="24"/>
          <w:szCs w:val="24"/>
          <w:lang w:val="en-US"/>
        </w:rPr>
        <w:t>Gardou</w:t>
      </w:r>
      <w:proofErr w:type="spellEnd"/>
      <w:r w:rsidRPr="0015724E">
        <w:rPr>
          <w:rFonts w:eastAsiaTheme="minorHAnsi" w:cstheme="minorBidi"/>
          <w:sz w:val="24"/>
          <w:szCs w:val="24"/>
          <w:lang w:val="en-US"/>
        </w:rPr>
        <w:t xml:space="preserve">, C. &amp; Plaisance, E. (2014). </w:t>
      </w:r>
      <w:r w:rsidRPr="0015724E">
        <w:rPr>
          <w:rFonts w:eastAsiaTheme="minorHAnsi" w:cstheme="minorBidi"/>
          <w:i/>
          <w:iCs/>
          <w:sz w:val="24"/>
          <w:szCs w:val="24"/>
        </w:rPr>
        <w:t>Handicap : Une encyclopédie des savoirs</w:t>
      </w:r>
      <w:r w:rsidRPr="0015724E">
        <w:rPr>
          <w:rFonts w:eastAsiaTheme="minorHAnsi" w:cstheme="minorBidi"/>
          <w:sz w:val="24"/>
          <w:szCs w:val="24"/>
        </w:rPr>
        <w:t xml:space="preserve">. Paris : </w:t>
      </w:r>
      <w:proofErr w:type="spellStart"/>
      <w:r w:rsidRPr="0015724E">
        <w:rPr>
          <w:rFonts w:eastAsiaTheme="minorHAnsi" w:cstheme="minorBidi"/>
          <w:sz w:val="24"/>
          <w:szCs w:val="24"/>
        </w:rPr>
        <w:t>Eirès</w:t>
      </w:r>
      <w:proofErr w:type="spellEnd"/>
      <w:r w:rsidRPr="0015724E">
        <w:rPr>
          <w:rFonts w:eastAsiaTheme="minorHAnsi" w:cstheme="minorBidi"/>
          <w:sz w:val="24"/>
          <w:szCs w:val="24"/>
        </w:rPr>
        <w:t>.</w:t>
      </w:r>
    </w:p>
    <w:p w14:paraId="37F7F6E6" w14:textId="77777777" w:rsidR="00D80693" w:rsidRDefault="00D80693" w:rsidP="00EC7C1A">
      <w:pPr>
        <w:spacing w:before="120"/>
        <w:ind w:left="993" w:hanging="993"/>
        <w:jc w:val="both"/>
        <w:rPr>
          <w:rFonts w:eastAsia="Calibri"/>
          <w:sz w:val="24"/>
          <w:szCs w:val="24"/>
        </w:rPr>
      </w:pPr>
      <w:r w:rsidRPr="0015724E">
        <w:rPr>
          <w:rFonts w:eastAsiaTheme="minorHAnsi" w:cstheme="minorBidi"/>
          <w:sz w:val="24"/>
          <w:szCs w:val="24"/>
        </w:rPr>
        <w:t xml:space="preserve">Goussot, T., </w:t>
      </w:r>
      <w:proofErr w:type="spellStart"/>
      <w:r w:rsidRPr="0015724E">
        <w:rPr>
          <w:rFonts w:eastAsiaTheme="minorHAnsi" w:cstheme="minorBidi"/>
          <w:sz w:val="24"/>
          <w:szCs w:val="24"/>
        </w:rPr>
        <w:t>Auxiette</w:t>
      </w:r>
      <w:proofErr w:type="spellEnd"/>
      <w:r w:rsidRPr="0015724E">
        <w:rPr>
          <w:rFonts w:eastAsiaTheme="minorHAnsi" w:cstheme="minorBidi"/>
          <w:sz w:val="24"/>
          <w:szCs w:val="24"/>
        </w:rPr>
        <w:t xml:space="preserve">, C. &amp; Chambres, P. (2012). Réussir la prise en charge des parents d’enfants autistes pour réussir la prise en charge de leur enfant. </w:t>
      </w:r>
      <w:r w:rsidRPr="0015724E">
        <w:rPr>
          <w:rFonts w:eastAsiaTheme="minorHAnsi" w:cstheme="minorBidi"/>
          <w:i/>
          <w:iCs/>
          <w:sz w:val="24"/>
          <w:szCs w:val="24"/>
        </w:rPr>
        <w:t>Annales Médico-Psychologiques.</w:t>
      </w:r>
      <w:r w:rsidRPr="0015724E">
        <w:rPr>
          <w:rFonts w:eastAsiaTheme="minorHAnsi" w:cstheme="minorBidi"/>
          <w:sz w:val="24"/>
          <w:szCs w:val="24"/>
        </w:rPr>
        <w:t xml:space="preserve"> 170 ; 456-460.</w:t>
      </w:r>
    </w:p>
    <w:p w14:paraId="3EC7AD99" w14:textId="77777777" w:rsidR="00D80693" w:rsidRPr="0021112D" w:rsidRDefault="00D80693" w:rsidP="00EC7C1A">
      <w:pPr>
        <w:spacing w:before="120"/>
        <w:ind w:left="993" w:hanging="993"/>
        <w:jc w:val="both"/>
        <w:rPr>
          <w:rFonts w:eastAsia="Calibri"/>
          <w:sz w:val="24"/>
          <w:szCs w:val="24"/>
        </w:rPr>
      </w:pPr>
      <w:proofErr w:type="spellStart"/>
      <w:r w:rsidRPr="0021112D">
        <w:rPr>
          <w:rFonts w:eastAsiaTheme="minorHAnsi"/>
          <w:bCs/>
          <w:sz w:val="24"/>
          <w:szCs w:val="24"/>
        </w:rPr>
        <w:t>Hotyat</w:t>
      </w:r>
      <w:proofErr w:type="spellEnd"/>
      <w:r w:rsidRPr="0021112D">
        <w:rPr>
          <w:rFonts w:eastAsiaTheme="minorHAnsi"/>
          <w:bCs/>
          <w:sz w:val="24"/>
          <w:szCs w:val="24"/>
        </w:rPr>
        <w:t>, F.&amp; Delepine-Messe, D. (1973).</w:t>
      </w:r>
      <w:r w:rsidRPr="0021112D">
        <w:rPr>
          <w:rFonts w:eastAsiaTheme="minorHAnsi"/>
          <w:sz w:val="24"/>
          <w:szCs w:val="24"/>
        </w:rPr>
        <w:t xml:space="preserve"> Dictionnaire encyclopédique de pédagogie modern</w:t>
      </w:r>
      <w:r>
        <w:rPr>
          <w:rFonts w:eastAsiaTheme="minorHAnsi"/>
          <w:sz w:val="24"/>
          <w:szCs w:val="24"/>
        </w:rPr>
        <w:t>e</w:t>
      </w:r>
      <w:r w:rsidRPr="0021112D">
        <w:rPr>
          <w:rFonts w:eastAsiaTheme="minorHAnsi"/>
          <w:sz w:val="24"/>
          <w:szCs w:val="24"/>
        </w:rPr>
        <w:t xml:space="preserve"> : à l’usage des enseignants, des éducateurs et des parents. Paris : Labor.</w:t>
      </w:r>
    </w:p>
    <w:p w14:paraId="0BDBE6CD" w14:textId="77777777" w:rsidR="00D80693" w:rsidRPr="0021112D" w:rsidRDefault="00D80693" w:rsidP="00EC7C1A">
      <w:pPr>
        <w:spacing w:before="120"/>
        <w:ind w:left="993" w:hanging="993"/>
        <w:jc w:val="both"/>
        <w:rPr>
          <w:rFonts w:eastAsia="Calibri"/>
          <w:sz w:val="24"/>
          <w:szCs w:val="24"/>
        </w:rPr>
      </w:pPr>
      <w:r w:rsidRPr="0021112D">
        <w:rPr>
          <w:rFonts w:eastAsiaTheme="minorHAnsi"/>
          <w:bCs/>
          <w:sz w:val="24"/>
          <w:szCs w:val="24"/>
        </w:rPr>
        <w:t xml:space="preserve">Kanga, K. B. (2006). </w:t>
      </w:r>
      <w:r w:rsidRPr="0021112D">
        <w:rPr>
          <w:rFonts w:eastAsiaTheme="minorHAnsi"/>
          <w:bCs/>
          <w:i/>
          <w:iCs/>
          <w:sz w:val="24"/>
          <w:szCs w:val="24"/>
        </w:rPr>
        <w:t>Activité sportive et niveau d’attention chez les athlètes</w:t>
      </w:r>
      <w:r w:rsidRPr="0021112D">
        <w:rPr>
          <w:rFonts w:eastAsiaTheme="minorHAnsi"/>
          <w:bCs/>
          <w:sz w:val="24"/>
          <w:szCs w:val="24"/>
        </w:rPr>
        <w:t>.</w:t>
      </w:r>
      <w:r w:rsidRPr="0021112D">
        <w:rPr>
          <w:rFonts w:eastAsiaTheme="minorHAnsi"/>
          <w:sz w:val="24"/>
          <w:szCs w:val="24"/>
        </w:rPr>
        <w:t xml:space="preserve"> Thèse de Doctorat de 3</w:t>
      </w:r>
      <w:r w:rsidRPr="0021112D">
        <w:rPr>
          <w:rFonts w:eastAsiaTheme="minorHAnsi"/>
          <w:sz w:val="24"/>
          <w:szCs w:val="24"/>
          <w:vertAlign w:val="superscript"/>
        </w:rPr>
        <w:t>ème</w:t>
      </w:r>
      <w:r w:rsidRPr="0021112D">
        <w:rPr>
          <w:rFonts w:eastAsiaTheme="minorHAnsi"/>
          <w:sz w:val="24"/>
          <w:szCs w:val="24"/>
        </w:rPr>
        <w:t xml:space="preserve"> cycle de Psychologie Génétique Différentielle. Université de Cocody Abidjan.</w:t>
      </w:r>
    </w:p>
    <w:p w14:paraId="30F7F24D" w14:textId="77777777" w:rsidR="00D80693" w:rsidRPr="00E12FA8" w:rsidRDefault="00D80693" w:rsidP="00EC7C1A">
      <w:pPr>
        <w:spacing w:before="120"/>
        <w:ind w:left="993" w:hanging="993"/>
        <w:jc w:val="both"/>
        <w:rPr>
          <w:rFonts w:eastAsia="Calibri"/>
          <w:sz w:val="24"/>
          <w:szCs w:val="24"/>
        </w:rPr>
      </w:pPr>
      <w:r w:rsidRPr="00E12FA8">
        <w:rPr>
          <w:rFonts w:eastAsiaTheme="minorHAnsi"/>
          <w:bCs/>
          <w:sz w:val="24"/>
          <w:szCs w:val="24"/>
        </w:rPr>
        <w:t>Kanga, K.R. (1997).</w:t>
      </w:r>
      <w:r w:rsidRPr="00E12FA8">
        <w:rPr>
          <w:rFonts w:eastAsiaTheme="minorHAnsi"/>
          <w:sz w:val="24"/>
          <w:szCs w:val="24"/>
        </w:rPr>
        <w:t xml:space="preserve"> Catégorie</w:t>
      </w:r>
      <w:r>
        <w:rPr>
          <w:rFonts w:eastAsiaTheme="minorHAnsi"/>
          <w:sz w:val="24"/>
          <w:szCs w:val="24"/>
        </w:rPr>
        <w:t>s</w:t>
      </w:r>
      <w:r w:rsidRPr="00E12FA8">
        <w:rPr>
          <w:rFonts w:eastAsiaTheme="minorHAnsi"/>
          <w:sz w:val="24"/>
          <w:szCs w:val="24"/>
        </w:rPr>
        <w:t xml:space="preserve"> socioprofessionnelles des parents et performances scolaires des enfants : cas des élèves de CM1. Mémoire de maitrise, Université d’Abidjan-Cocody : non publié.</w:t>
      </w:r>
    </w:p>
    <w:p w14:paraId="33173BC1" w14:textId="77777777" w:rsidR="00D80693" w:rsidRPr="00E12FA8" w:rsidRDefault="00D80693" w:rsidP="00EC7C1A">
      <w:pPr>
        <w:spacing w:before="120"/>
        <w:ind w:left="993" w:hanging="993"/>
        <w:jc w:val="both"/>
        <w:rPr>
          <w:rFonts w:eastAsia="Calibri"/>
          <w:sz w:val="24"/>
          <w:szCs w:val="24"/>
        </w:rPr>
      </w:pPr>
      <w:r w:rsidRPr="0065773E">
        <w:rPr>
          <w:rFonts w:eastAsiaTheme="minorHAnsi"/>
          <w:bCs/>
          <w:sz w:val="24"/>
          <w:szCs w:val="24"/>
        </w:rPr>
        <w:t>Kirk, E.A., Gray, K., Ellis, K., Taffe, J.&amp; Cornish, K. (2016).</w:t>
      </w:r>
      <w:r w:rsidRPr="0065773E">
        <w:rPr>
          <w:rFonts w:eastAsiaTheme="minorHAnsi"/>
          <w:sz w:val="24"/>
          <w:szCs w:val="24"/>
        </w:rPr>
        <w:t xml:space="preserve"> </w:t>
      </w:r>
      <w:r w:rsidRPr="00E12FA8">
        <w:rPr>
          <w:rFonts w:eastAsiaTheme="minorHAnsi"/>
          <w:sz w:val="24"/>
          <w:szCs w:val="24"/>
          <w:lang w:val="en-US"/>
        </w:rPr>
        <w:t xml:space="preserve">Computerized attention training for children with intellectual and developmental disabilities: a randomized controlled trial. </w:t>
      </w:r>
      <w:r w:rsidRPr="00E12FA8">
        <w:rPr>
          <w:rFonts w:eastAsiaTheme="minorHAnsi"/>
          <w:i/>
          <w:iCs/>
          <w:sz w:val="24"/>
          <w:szCs w:val="24"/>
        </w:rPr>
        <w:t xml:space="preserve">Journal of Child Psychology and </w:t>
      </w:r>
      <w:proofErr w:type="spellStart"/>
      <w:r w:rsidRPr="00E12FA8">
        <w:rPr>
          <w:rFonts w:eastAsiaTheme="minorHAnsi"/>
          <w:i/>
          <w:iCs/>
          <w:sz w:val="24"/>
          <w:szCs w:val="24"/>
        </w:rPr>
        <w:t>Psychiatry</w:t>
      </w:r>
      <w:proofErr w:type="spellEnd"/>
      <w:r w:rsidRPr="00E12FA8">
        <w:rPr>
          <w:rFonts w:eastAsiaTheme="minorHAnsi"/>
          <w:sz w:val="24"/>
          <w:szCs w:val="24"/>
        </w:rPr>
        <w:t>.</w:t>
      </w:r>
      <w:r w:rsidRPr="00E12FA8">
        <w:rPr>
          <w:rFonts w:eastAsiaTheme="minorHAnsi"/>
          <w:color w:val="5B616B"/>
          <w:sz w:val="24"/>
          <w:szCs w:val="24"/>
          <w:shd w:val="clear" w:color="auto" w:fill="FFFFFF"/>
        </w:rPr>
        <w:t xml:space="preserve"> </w:t>
      </w:r>
      <w:r w:rsidRPr="00E12FA8">
        <w:rPr>
          <w:rFonts w:eastAsiaTheme="minorHAnsi"/>
          <w:color w:val="000000"/>
          <w:sz w:val="24"/>
          <w:szCs w:val="24"/>
          <w:shd w:val="clear" w:color="auto" w:fill="FFFFFF"/>
        </w:rPr>
        <w:t>57(12</w:t>
      </w:r>
      <w:proofErr w:type="gramStart"/>
      <w:r w:rsidRPr="00E12FA8">
        <w:rPr>
          <w:rFonts w:eastAsiaTheme="minorHAnsi"/>
          <w:color w:val="000000"/>
          <w:sz w:val="24"/>
          <w:szCs w:val="24"/>
          <w:shd w:val="clear" w:color="auto" w:fill="FFFFFF"/>
        </w:rPr>
        <w:t>):</w:t>
      </w:r>
      <w:proofErr w:type="gramEnd"/>
      <w:r w:rsidRPr="00E12FA8">
        <w:rPr>
          <w:rFonts w:eastAsiaTheme="minorHAnsi"/>
          <w:color w:val="000000"/>
          <w:sz w:val="24"/>
          <w:szCs w:val="24"/>
          <w:shd w:val="clear" w:color="auto" w:fill="FFFFFF"/>
        </w:rPr>
        <w:t>1380-1389.</w:t>
      </w:r>
    </w:p>
    <w:p w14:paraId="1D5C3568" w14:textId="77777777" w:rsidR="00D80693" w:rsidRPr="00E12FA8" w:rsidRDefault="00D80693" w:rsidP="00EC7C1A">
      <w:pPr>
        <w:spacing w:before="120"/>
        <w:ind w:left="993" w:hanging="993"/>
        <w:jc w:val="both"/>
        <w:rPr>
          <w:rFonts w:eastAsia="Calibri"/>
          <w:sz w:val="24"/>
          <w:szCs w:val="24"/>
        </w:rPr>
      </w:pPr>
    </w:p>
    <w:p w14:paraId="75798589" w14:textId="77777777" w:rsidR="00D80693" w:rsidRPr="00E12FA8" w:rsidRDefault="00D80693" w:rsidP="00EC7C1A">
      <w:pPr>
        <w:spacing w:before="120"/>
        <w:ind w:left="993" w:hanging="993"/>
        <w:jc w:val="both"/>
        <w:rPr>
          <w:rFonts w:eastAsia="Calibri"/>
          <w:sz w:val="24"/>
          <w:szCs w:val="24"/>
        </w:rPr>
      </w:pPr>
      <w:r w:rsidRPr="00E12FA8">
        <w:rPr>
          <w:rFonts w:eastAsiaTheme="minorHAnsi"/>
          <w:bCs/>
          <w:sz w:val="24"/>
          <w:szCs w:val="24"/>
        </w:rPr>
        <w:t>Koné, R (1998).</w:t>
      </w:r>
      <w:r w:rsidRPr="00E12FA8">
        <w:rPr>
          <w:rFonts w:eastAsiaTheme="minorHAnsi"/>
          <w:sz w:val="24"/>
          <w:szCs w:val="24"/>
        </w:rPr>
        <w:t xml:space="preserve"> Origine sociale, performance scolaire : Note en français de collégiens. In </w:t>
      </w:r>
      <w:r w:rsidRPr="00E12FA8">
        <w:rPr>
          <w:rFonts w:eastAsiaTheme="minorHAnsi"/>
          <w:i/>
          <w:iCs/>
          <w:sz w:val="24"/>
          <w:szCs w:val="24"/>
        </w:rPr>
        <w:t>Revue ivoirienne des sciences de l’éducation.</w:t>
      </w:r>
      <w:r w:rsidRPr="00E12FA8">
        <w:rPr>
          <w:rFonts w:eastAsiaTheme="minorHAnsi"/>
          <w:sz w:val="24"/>
          <w:szCs w:val="24"/>
        </w:rPr>
        <w:t xml:space="preserve"> 32-37.</w:t>
      </w:r>
    </w:p>
    <w:p w14:paraId="5204BFCC" w14:textId="77777777" w:rsidR="00D80693" w:rsidRDefault="00D80693" w:rsidP="00EC7C1A">
      <w:pPr>
        <w:spacing w:before="120"/>
        <w:ind w:left="993" w:hanging="993"/>
        <w:rPr>
          <w:rFonts w:eastAsia="Calibri"/>
          <w:i/>
          <w:sz w:val="24"/>
          <w:szCs w:val="24"/>
        </w:rPr>
      </w:pPr>
      <w:r w:rsidRPr="00E12FA8">
        <w:rPr>
          <w:rFonts w:eastAsiaTheme="minorHAnsi"/>
          <w:bCs/>
          <w:sz w:val="24"/>
          <w:szCs w:val="24"/>
        </w:rPr>
        <w:t>Koné, R. (1997).</w:t>
      </w:r>
      <w:r w:rsidRPr="00E12FA8">
        <w:rPr>
          <w:rFonts w:eastAsiaTheme="minorHAnsi"/>
          <w:sz w:val="24"/>
          <w:szCs w:val="24"/>
        </w:rPr>
        <w:t xml:space="preserve"> Statut social de la mère et performances de l’élève. In </w:t>
      </w:r>
      <w:r w:rsidRPr="00E12FA8">
        <w:rPr>
          <w:rFonts w:eastAsiaTheme="minorHAnsi"/>
          <w:i/>
          <w:sz w:val="24"/>
          <w:szCs w:val="24"/>
        </w:rPr>
        <w:t>Revue ivoirienne des sciences de l’éducation.</w:t>
      </w:r>
      <w:r w:rsidRPr="00E12FA8">
        <w:rPr>
          <w:rFonts w:eastAsiaTheme="minorHAnsi"/>
          <w:sz w:val="24"/>
          <w:szCs w:val="24"/>
        </w:rPr>
        <w:t xml:space="preserve"> </w:t>
      </w:r>
      <w:r w:rsidRPr="00E12FA8">
        <w:rPr>
          <w:rFonts w:eastAsiaTheme="minorHAnsi"/>
          <w:i/>
          <w:sz w:val="24"/>
          <w:szCs w:val="24"/>
        </w:rPr>
        <w:t>56-62.</w:t>
      </w:r>
    </w:p>
    <w:p w14:paraId="5231A1FC" w14:textId="77777777" w:rsidR="00D80693" w:rsidRPr="000E76C7" w:rsidRDefault="00D80693" w:rsidP="00EC7C1A">
      <w:pPr>
        <w:spacing w:before="120"/>
        <w:ind w:left="993" w:hanging="993"/>
        <w:jc w:val="both"/>
        <w:rPr>
          <w:rFonts w:eastAsia="Calibri"/>
          <w:lang w:val="en-US"/>
        </w:rPr>
      </w:pPr>
      <w:r w:rsidRPr="004E3D01">
        <w:rPr>
          <w:rFonts w:eastAsiaTheme="minorHAnsi"/>
        </w:rPr>
        <w:t>Kouakou, O., Yao, K.C.</w:t>
      </w:r>
      <w:r>
        <w:rPr>
          <w:rFonts w:eastAsiaTheme="minorHAnsi"/>
        </w:rPr>
        <w:t>&amp;</w:t>
      </w:r>
      <w:r w:rsidRPr="004E3D01">
        <w:rPr>
          <w:rFonts w:eastAsiaTheme="minorHAnsi"/>
        </w:rPr>
        <w:t xml:space="preserve"> Yoboua, J. J (2019). Durée de la prise en charge psychosociale et comportements disciplinaires des ex-enfants en situation de rue à Abidjan : cas des pensionnaires du centre enfants de gloire de Cocody-</w:t>
      </w:r>
      <w:proofErr w:type="spellStart"/>
      <w:r w:rsidRPr="004E3D01">
        <w:rPr>
          <w:rFonts w:eastAsiaTheme="minorHAnsi"/>
        </w:rPr>
        <w:t>abatta</w:t>
      </w:r>
      <w:proofErr w:type="spellEnd"/>
      <w:r w:rsidRPr="004E3D01">
        <w:rPr>
          <w:rFonts w:eastAsiaTheme="minorHAnsi"/>
        </w:rPr>
        <w:t xml:space="preserve">. </w:t>
      </w:r>
      <w:r w:rsidRPr="000E76C7">
        <w:rPr>
          <w:rFonts w:eastAsiaTheme="minorHAnsi"/>
          <w:i/>
          <w:iCs/>
          <w:lang w:val="en-US"/>
        </w:rPr>
        <w:t>International Journal of Recent Advances in Multidisciplinary Research Vol. 06</w:t>
      </w:r>
      <w:r w:rsidRPr="000E76C7">
        <w:rPr>
          <w:rFonts w:eastAsiaTheme="minorHAnsi"/>
          <w:lang w:val="en-US"/>
        </w:rPr>
        <w:t>, (11), 5280-5285.</w:t>
      </w:r>
    </w:p>
    <w:p w14:paraId="4D674534" w14:textId="77777777" w:rsidR="00D80693" w:rsidRPr="0015724E" w:rsidRDefault="00D80693" w:rsidP="00EC7C1A">
      <w:pPr>
        <w:spacing w:before="120"/>
        <w:ind w:left="993" w:hanging="993"/>
        <w:jc w:val="both"/>
        <w:rPr>
          <w:rFonts w:eastAsia="Calibri"/>
          <w:sz w:val="24"/>
          <w:szCs w:val="24"/>
          <w:lang w:val="en-US"/>
        </w:rPr>
      </w:pPr>
      <w:r w:rsidRPr="005406AA">
        <w:rPr>
          <w:rFonts w:eastAsiaTheme="minorHAnsi" w:cstheme="minorBidi"/>
          <w:sz w:val="24"/>
          <w:szCs w:val="24"/>
          <w:lang w:val="en-US"/>
        </w:rPr>
        <w:t>Landesman-Ramey S., Ramey C.T.</w:t>
      </w:r>
      <w:r>
        <w:rPr>
          <w:rFonts w:eastAsiaTheme="minorHAnsi" w:cstheme="minorBidi"/>
          <w:sz w:val="24"/>
          <w:szCs w:val="24"/>
          <w:lang w:val="en-US"/>
        </w:rPr>
        <w:t>&amp;</w:t>
      </w:r>
      <w:r w:rsidRPr="005406AA">
        <w:rPr>
          <w:rFonts w:eastAsiaTheme="minorHAnsi" w:cstheme="minorBidi"/>
          <w:sz w:val="24"/>
          <w:szCs w:val="24"/>
          <w:lang w:val="en-US"/>
        </w:rPr>
        <w:t xml:space="preserve"> Lanzi R.G. (2007). </w:t>
      </w:r>
      <w:r w:rsidRPr="0015724E">
        <w:rPr>
          <w:rFonts w:eastAsiaTheme="minorHAnsi" w:cstheme="minorBidi"/>
          <w:sz w:val="24"/>
          <w:szCs w:val="24"/>
          <w:lang w:val="en-US"/>
        </w:rPr>
        <w:t xml:space="preserve">Early intervention. Background, research findings and future directions. </w:t>
      </w:r>
      <w:proofErr w:type="gramStart"/>
      <w:r w:rsidRPr="0015724E">
        <w:rPr>
          <w:rFonts w:eastAsiaTheme="minorHAnsi" w:cstheme="minorBidi"/>
          <w:sz w:val="24"/>
          <w:szCs w:val="24"/>
          <w:lang w:val="en-US"/>
        </w:rPr>
        <w:t>In :</w:t>
      </w:r>
      <w:proofErr w:type="gramEnd"/>
      <w:r w:rsidRPr="0015724E">
        <w:rPr>
          <w:rFonts w:eastAsiaTheme="minorHAnsi" w:cstheme="minorBidi"/>
          <w:sz w:val="24"/>
          <w:szCs w:val="24"/>
          <w:lang w:val="en-US"/>
        </w:rPr>
        <w:t xml:space="preserve"> </w:t>
      </w:r>
      <w:r w:rsidRPr="0015724E">
        <w:rPr>
          <w:rFonts w:eastAsiaTheme="minorHAnsi" w:cstheme="minorBidi"/>
          <w:i/>
          <w:iCs/>
          <w:sz w:val="24"/>
          <w:szCs w:val="24"/>
          <w:lang w:val="en-US"/>
        </w:rPr>
        <w:t>Handbook of Intellectual and Developmental Disabilities</w:t>
      </w:r>
      <w:r w:rsidRPr="0015724E">
        <w:rPr>
          <w:rFonts w:eastAsiaTheme="minorHAnsi" w:cstheme="minorBidi"/>
          <w:sz w:val="24"/>
          <w:szCs w:val="24"/>
          <w:lang w:val="en-US"/>
        </w:rPr>
        <w:t>. New York, Springer, 445-463.</w:t>
      </w:r>
    </w:p>
    <w:p w14:paraId="0DD6B655" w14:textId="77777777" w:rsidR="00D80693" w:rsidRPr="0015724E" w:rsidRDefault="00D80693" w:rsidP="00EC7C1A">
      <w:pPr>
        <w:spacing w:before="120"/>
        <w:ind w:left="993" w:hanging="993"/>
        <w:jc w:val="both"/>
        <w:rPr>
          <w:rFonts w:eastAsia="Calibri"/>
          <w:sz w:val="24"/>
          <w:szCs w:val="24"/>
        </w:rPr>
      </w:pPr>
      <w:r w:rsidRPr="0015724E">
        <w:rPr>
          <w:rFonts w:eastAsiaTheme="minorHAnsi" w:cstheme="minorBidi"/>
          <w:sz w:val="24"/>
          <w:szCs w:val="24"/>
        </w:rPr>
        <w:t xml:space="preserve">Laroche, S. E. &amp; Daniel, M. (2003). Evolution de la coordination entre les mouvements et la production vocalique du jeune enfant porteur de trisomie 21. </w:t>
      </w:r>
      <w:r w:rsidRPr="0015724E">
        <w:rPr>
          <w:rFonts w:eastAsiaTheme="minorHAnsi" w:cstheme="minorBidi"/>
          <w:i/>
          <w:iCs/>
          <w:sz w:val="24"/>
          <w:szCs w:val="24"/>
        </w:rPr>
        <w:t>Revue francophone de la déficience intellectuelle</w:t>
      </w:r>
      <w:r w:rsidRPr="0015724E">
        <w:rPr>
          <w:rFonts w:eastAsiaTheme="minorHAnsi" w:cstheme="minorBidi"/>
          <w:sz w:val="24"/>
          <w:szCs w:val="24"/>
        </w:rPr>
        <w:t>. 14(1), 77-86.</w:t>
      </w:r>
    </w:p>
    <w:p w14:paraId="011D9793" w14:textId="77777777" w:rsidR="00D80693" w:rsidRPr="009050FB" w:rsidRDefault="00D80693" w:rsidP="00EC7C1A">
      <w:pPr>
        <w:spacing w:before="120"/>
        <w:ind w:left="993" w:hanging="993"/>
        <w:jc w:val="both"/>
        <w:rPr>
          <w:rFonts w:eastAsia="Calibri"/>
          <w:i/>
          <w:iCs/>
          <w:sz w:val="24"/>
          <w:szCs w:val="24"/>
        </w:rPr>
      </w:pPr>
      <w:proofErr w:type="spellStart"/>
      <w:r w:rsidRPr="0015724E">
        <w:rPr>
          <w:rFonts w:eastAsiaTheme="minorHAnsi" w:cstheme="minorBidi"/>
          <w:sz w:val="24"/>
          <w:szCs w:val="24"/>
        </w:rPr>
        <w:t>Liratni</w:t>
      </w:r>
      <w:proofErr w:type="spellEnd"/>
      <w:r w:rsidRPr="0015724E">
        <w:rPr>
          <w:rFonts w:eastAsiaTheme="minorHAnsi" w:cstheme="minorBidi"/>
          <w:sz w:val="24"/>
          <w:szCs w:val="24"/>
        </w:rPr>
        <w:t xml:space="preserve">, M. &amp; Blanchet, C. (2016). Suivi longitudinal (3ans) et développement de 4 enfants avec autisme sans retard mental après 90 séances d’entrainement aux habiletés sociales. </w:t>
      </w:r>
      <w:r w:rsidRPr="009050FB">
        <w:rPr>
          <w:rFonts w:eastAsiaTheme="minorHAnsi" w:cstheme="minorBidi"/>
          <w:i/>
          <w:iCs/>
          <w:sz w:val="24"/>
          <w:szCs w:val="24"/>
        </w:rPr>
        <w:t>L’Encéphale. 42, 529-534.</w:t>
      </w:r>
    </w:p>
    <w:p w14:paraId="674C9AD2" w14:textId="77777777" w:rsidR="00D80693" w:rsidRPr="004E3D01" w:rsidRDefault="00D80693" w:rsidP="00EC7C1A">
      <w:pPr>
        <w:spacing w:before="120"/>
        <w:ind w:left="993" w:hanging="993"/>
        <w:jc w:val="both"/>
        <w:rPr>
          <w:rFonts w:eastAsia="Calibri"/>
          <w:sz w:val="24"/>
          <w:szCs w:val="24"/>
        </w:rPr>
      </w:pPr>
      <w:r w:rsidRPr="004E3D01">
        <w:rPr>
          <w:rFonts w:eastAsiaTheme="minorHAnsi"/>
          <w:bCs/>
          <w:sz w:val="24"/>
          <w:szCs w:val="24"/>
        </w:rPr>
        <w:t>Lieury, A.  (2007).</w:t>
      </w:r>
      <w:r w:rsidRPr="004E3D01">
        <w:rPr>
          <w:rFonts w:eastAsiaTheme="minorHAnsi"/>
          <w:sz w:val="24"/>
          <w:szCs w:val="24"/>
        </w:rPr>
        <w:t xml:space="preserve"> </w:t>
      </w:r>
      <w:r w:rsidRPr="004E3D01">
        <w:rPr>
          <w:rFonts w:eastAsiaTheme="minorHAnsi"/>
          <w:i/>
          <w:sz w:val="24"/>
          <w:szCs w:val="24"/>
        </w:rPr>
        <w:t>Manuel visuel de Psychologie Cognitive</w:t>
      </w:r>
      <w:r>
        <w:rPr>
          <w:rFonts w:eastAsiaTheme="minorHAnsi"/>
          <w:sz w:val="24"/>
          <w:szCs w:val="24"/>
        </w:rPr>
        <w:t>.</w:t>
      </w:r>
      <w:r w:rsidRPr="004E3D01">
        <w:rPr>
          <w:rFonts w:eastAsiaTheme="minorHAnsi"/>
          <w:sz w:val="24"/>
          <w:szCs w:val="24"/>
        </w:rPr>
        <w:t xml:space="preserve"> Dunod</w:t>
      </w:r>
      <w:r>
        <w:rPr>
          <w:rFonts w:eastAsiaTheme="minorHAnsi"/>
          <w:sz w:val="24"/>
          <w:szCs w:val="24"/>
        </w:rPr>
        <w:t> :</w:t>
      </w:r>
      <w:r w:rsidRPr="004E3D01">
        <w:rPr>
          <w:rFonts w:eastAsiaTheme="minorHAnsi"/>
          <w:sz w:val="24"/>
          <w:szCs w:val="24"/>
        </w:rPr>
        <w:t xml:space="preserve"> Paris</w:t>
      </w:r>
      <w:r>
        <w:rPr>
          <w:rFonts w:eastAsiaTheme="minorHAnsi"/>
          <w:sz w:val="24"/>
          <w:szCs w:val="24"/>
        </w:rPr>
        <w:t>.</w:t>
      </w:r>
    </w:p>
    <w:p w14:paraId="21A3AFC9" w14:textId="77777777" w:rsidR="00D80693" w:rsidRPr="009050FB" w:rsidRDefault="00D80693" w:rsidP="00EC7C1A">
      <w:pPr>
        <w:spacing w:before="120"/>
        <w:ind w:left="993" w:hanging="993"/>
        <w:jc w:val="both"/>
        <w:rPr>
          <w:rFonts w:eastAsia="Calibri"/>
          <w:sz w:val="24"/>
          <w:szCs w:val="24"/>
        </w:rPr>
      </w:pPr>
      <w:r w:rsidRPr="001265C4">
        <w:rPr>
          <w:rFonts w:eastAsiaTheme="minorHAnsi" w:cstheme="minorBidi"/>
          <w:sz w:val="24"/>
          <w:szCs w:val="24"/>
          <w:lang w:val="en-US"/>
        </w:rPr>
        <w:t xml:space="preserve">Matson, L.J. (2012). </w:t>
      </w:r>
      <w:r w:rsidRPr="001265C4">
        <w:rPr>
          <w:rFonts w:eastAsiaTheme="minorHAnsi" w:cstheme="minorBidi"/>
          <w:i/>
          <w:iCs/>
          <w:sz w:val="24"/>
          <w:szCs w:val="24"/>
          <w:lang w:val="en-US"/>
        </w:rPr>
        <w:t>Functional Assessment for Challenging Behaviors</w:t>
      </w:r>
      <w:r w:rsidRPr="001265C4">
        <w:rPr>
          <w:rFonts w:eastAsiaTheme="minorHAnsi" w:cstheme="minorBidi"/>
          <w:sz w:val="24"/>
          <w:szCs w:val="24"/>
          <w:lang w:val="en-US"/>
        </w:rPr>
        <w:t xml:space="preserve">. </w:t>
      </w:r>
      <w:r w:rsidRPr="009050FB">
        <w:rPr>
          <w:rFonts w:eastAsiaTheme="minorHAnsi" w:cstheme="minorBidi"/>
          <w:sz w:val="24"/>
          <w:szCs w:val="24"/>
        </w:rPr>
        <w:t>London : Springer.</w:t>
      </w:r>
    </w:p>
    <w:p w14:paraId="1F9B6A98" w14:textId="77777777" w:rsidR="00D80693" w:rsidRPr="0021112D" w:rsidRDefault="00D80693" w:rsidP="00EC7C1A">
      <w:pPr>
        <w:spacing w:before="120"/>
        <w:ind w:left="993" w:hanging="993"/>
        <w:jc w:val="both"/>
        <w:rPr>
          <w:rFonts w:eastAsia="Calibri"/>
          <w:sz w:val="24"/>
          <w:szCs w:val="24"/>
          <w:lang w:val="en-US"/>
        </w:rPr>
      </w:pPr>
      <w:r w:rsidRPr="0021112D">
        <w:rPr>
          <w:rFonts w:eastAsiaTheme="minorHAnsi"/>
          <w:bCs/>
          <w:sz w:val="24"/>
          <w:szCs w:val="24"/>
        </w:rPr>
        <w:t>N’Dri, Y, E. (2000) :</w:t>
      </w:r>
      <w:r w:rsidRPr="0021112D">
        <w:rPr>
          <w:rFonts w:eastAsiaTheme="minorHAnsi"/>
          <w:sz w:val="24"/>
          <w:szCs w:val="24"/>
        </w:rPr>
        <w:t xml:space="preserve"> </w:t>
      </w:r>
      <w:r w:rsidRPr="0021112D">
        <w:rPr>
          <w:rFonts w:eastAsiaTheme="minorHAnsi"/>
          <w:i/>
          <w:sz w:val="24"/>
          <w:szCs w:val="24"/>
        </w:rPr>
        <w:t>Performances scolaires des élèves de sixième selon le mode de transport</w:t>
      </w:r>
      <w:r w:rsidRPr="0021112D">
        <w:rPr>
          <w:rFonts w:eastAsiaTheme="minorHAnsi"/>
          <w:sz w:val="24"/>
          <w:szCs w:val="24"/>
        </w:rPr>
        <w:t xml:space="preserve">. </w:t>
      </w:r>
      <w:proofErr w:type="spellStart"/>
      <w:r w:rsidRPr="0021112D">
        <w:rPr>
          <w:rFonts w:eastAsiaTheme="minorHAnsi"/>
          <w:sz w:val="24"/>
          <w:szCs w:val="24"/>
          <w:lang w:val="en-US"/>
        </w:rPr>
        <w:t>Mémoire</w:t>
      </w:r>
      <w:proofErr w:type="spellEnd"/>
      <w:r w:rsidRPr="0021112D">
        <w:rPr>
          <w:rFonts w:eastAsiaTheme="minorHAnsi"/>
          <w:sz w:val="24"/>
          <w:szCs w:val="24"/>
          <w:lang w:val="en-US"/>
        </w:rPr>
        <w:t xml:space="preserve"> de </w:t>
      </w:r>
      <w:proofErr w:type="spellStart"/>
      <w:r>
        <w:rPr>
          <w:rFonts w:eastAsiaTheme="minorHAnsi"/>
          <w:sz w:val="24"/>
          <w:szCs w:val="24"/>
          <w:lang w:val="en-US"/>
        </w:rPr>
        <w:t>M</w:t>
      </w:r>
      <w:r w:rsidRPr="0021112D">
        <w:rPr>
          <w:rFonts w:eastAsiaTheme="minorHAnsi"/>
          <w:sz w:val="24"/>
          <w:szCs w:val="24"/>
          <w:lang w:val="en-US"/>
        </w:rPr>
        <w:t>a</w:t>
      </w:r>
      <w:r>
        <w:rPr>
          <w:rFonts w:eastAsiaTheme="minorHAnsi"/>
          <w:sz w:val="24"/>
          <w:szCs w:val="24"/>
          <w:lang w:val="en-US"/>
        </w:rPr>
        <w:t>î</w:t>
      </w:r>
      <w:r w:rsidRPr="0021112D">
        <w:rPr>
          <w:rFonts w:eastAsiaTheme="minorHAnsi"/>
          <w:sz w:val="24"/>
          <w:szCs w:val="24"/>
          <w:lang w:val="en-US"/>
        </w:rPr>
        <w:t>trise</w:t>
      </w:r>
      <w:proofErr w:type="spellEnd"/>
      <w:r w:rsidRPr="0021112D">
        <w:rPr>
          <w:rFonts w:eastAsiaTheme="minorHAnsi"/>
          <w:sz w:val="24"/>
          <w:szCs w:val="24"/>
          <w:lang w:val="en-US"/>
        </w:rPr>
        <w:t xml:space="preserve">, Université </w:t>
      </w:r>
      <w:proofErr w:type="spellStart"/>
      <w:r w:rsidRPr="0021112D">
        <w:rPr>
          <w:rFonts w:eastAsiaTheme="minorHAnsi"/>
          <w:sz w:val="24"/>
          <w:szCs w:val="24"/>
          <w:lang w:val="en-US"/>
        </w:rPr>
        <w:t>d’Abidjan-</w:t>
      </w:r>
      <w:proofErr w:type="gramStart"/>
      <w:r w:rsidRPr="0021112D">
        <w:rPr>
          <w:rFonts w:eastAsiaTheme="minorHAnsi"/>
          <w:sz w:val="24"/>
          <w:szCs w:val="24"/>
          <w:lang w:val="en-US"/>
        </w:rPr>
        <w:t>Cocody</w:t>
      </w:r>
      <w:proofErr w:type="spellEnd"/>
      <w:r w:rsidRPr="0021112D">
        <w:rPr>
          <w:rFonts w:eastAsiaTheme="minorHAnsi"/>
          <w:sz w:val="24"/>
          <w:szCs w:val="24"/>
          <w:lang w:val="en-US"/>
        </w:rPr>
        <w:t> :</w:t>
      </w:r>
      <w:proofErr w:type="gramEnd"/>
      <w:r w:rsidRPr="0021112D">
        <w:rPr>
          <w:rFonts w:eastAsiaTheme="minorHAnsi"/>
          <w:sz w:val="24"/>
          <w:szCs w:val="24"/>
          <w:lang w:val="en-US"/>
        </w:rPr>
        <w:t xml:space="preserve"> non </w:t>
      </w:r>
      <w:proofErr w:type="spellStart"/>
      <w:r w:rsidRPr="0021112D">
        <w:rPr>
          <w:rFonts w:eastAsiaTheme="minorHAnsi"/>
          <w:sz w:val="24"/>
          <w:szCs w:val="24"/>
          <w:lang w:val="en-US"/>
        </w:rPr>
        <w:t>publié</w:t>
      </w:r>
      <w:proofErr w:type="spellEnd"/>
      <w:r w:rsidRPr="0021112D">
        <w:rPr>
          <w:rFonts w:eastAsiaTheme="minorHAnsi"/>
          <w:sz w:val="24"/>
          <w:szCs w:val="24"/>
          <w:lang w:val="en-US"/>
        </w:rPr>
        <w:t xml:space="preserve">. </w:t>
      </w:r>
    </w:p>
    <w:p w14:paraId="61F45D4D" w14:textId="77777777" w:rsidR="00D80693" w:rsidRPr="0015724E" w:rsidRDefault="00D80693" w:rsidP="00EC7C1A">
      <w:pPr>
        <w:spacing w:before="120"/>
        <w:ind w:left="993" w:hanging="993"/>
        <w:jc w:val="both"/>
        <w:rPr>
          <w:rFonts w:eastAsia="Calibri"/>
          <w:sz w:val="24"/>
          <w:szCs w:val="24"/>
        </w:rPr>
      </w:pPr>
      <w:r w:rsidRPr="0015724E">
        <w:rPr>
          <w:rFonts w:eastAsiaTheme="minorHAnsi" w:cstheme="minorBidi"/>
          <w:sz w:val="24"/>
          <w:szCs w:val="24"/>
          <w:lang w:val="en-US"/>
        </w:rPr>
        <w:t xml:space="preserve">OMS (2010). </w:t>
      </w:r>
      <w:r w:rsidRPr="0015724E">
        <w:rPr>
          <w:rFonts w:eastAsiaTheme="minorHAnsi" w:cstheme="minorBidi"/>
          <w:i/>
          <w:iCs/>
          <w:sz w:val="24"/>
          <w:szCs w:val="24"/>
          <w:lang w:val="en-US"/>
        </w:rPr>
        <w:t xml:space="preserve">Better Health, Better </w:t>
      </w:r>
      <w:proofErr w:type="gramStart"/>
      <w:r w:rsidRPr="0015724E">
        <w:rPr>
          <w:rFonts w:eastAsiaTheme="minorHAnsi" w:cstheme="minorBidi"/>
          <w:i/>
          <w:iCs/>
          <w:sz w:val="24"/>
          <w:szCs w:val="24"/>
          <w:lang w:val="en-US"/>
        </w:rPr>
        <w:t>Lives :</w:t>
      </w:r>
      <w:proofErr w:type="gramEnd"/>
      <w:r w:rsidRPr="0015724E">
        <w:rPr>
          <w:rFonts w:eastAsiaTheme="minorHAnsi" w:cstheme="minorBidi"/>
          <w:i/>
          <w:iCs/>
          <w:sz w:val="24"/>
          <w:szCs w:val="24"/>
          <w:lang w:val="en-US"/>
        </w:rPr>
        <w:t xml:space="preserve"> Children and Young People with Intellectual Disabilities and their Families</w:t>
      </w:r>
      <w:r w:rsidRPr="0015724E">
        <w:rPr>
          <w:rFonts w:eastAsiaTheme="minorHAnsi" w:cstheme="minorBidi"/>
          <w:sz w:val="24"/>
          <w:szCs w:val="24"/>
          <w:lang w:val="en-US"/>
        </w:rPr>
        <w:t xml:space="preserve">. </w:t>
      </w:r>
      <w:r w:rsidRPr="0015724E">
        <w:rPr>
          <w:rFonts w:eastAsiaTheme="minorHAnsi" w:cstheme="minorBidi"/>
          <w:sz w:val="24"/>
          <w:szCs w:val="24"/>
        </w:rPr>
        <w:t>November 26-27.</w:t>
      </w:r>
    </w:p>
    <w:p w14:paraId="76AC3B15" w14:textId="77777777" w:rsidR="00D80693" w:rsidRPr="0015724E" w:rsidRDefault="00D80693" w:rsidP="00EC7C1A">
      <w:pPr>
        <w:spacing w:before="120"/>
        <w:ind w:left="993" w:hanging="993"/>
        <w:jc w:val="both"/>
        <w:rPr>
          <w:rFonts w:eastAsia="Calibri"/>
          <w:sz w:val="24"/>
          <w:szCs w:val="24"/>
        </w:rPr>
      </w:pPr>
      <w:r w:rsidRPr="0015724E">
        <w:rPr>
          <w:rFonts w:eastAsiaTheme="minorHAnsi" w:cstheme="minorBidi"/>
          <w:sz w:val="24"/>
          <w:szCs w:val="24"/>
        </w:rPr>
        <w:t xml:space="preserve">Pagès, V. (2017) : </w:t>
      </w:r>
      <w:r w:rsidRPr="0015724E">
        <w:rPr>
          <w:rFonts w:eastAsiaTheme="minorHAnsi" w:cstheme="minorBidi"/>
          <w:i/>
          <w:iCs/>
          <w:sz w:val="24"/>
          <w:szCs w:val="24"/>
        </w:rPr>
        <w:t>Handicaps et psychopathologies</w:t>
      </w:r>
      <w:r w:rsidRPr="0015724E">
        <w:rPr>
          <w:rFonts w:eastAsiaTheme="minorHAnsi" w:cstheme="minorBidi"/>
          <w:sz w:val="24"/>
          <w:szCs w:val="24"/>
        </w:rPr>
        <w:t>. Aide-mémoire. Paris : Dunod.</w:t>
      </w:r>
    </w:p>
    <w:p w14:paraId="4863908F" w14:textId="77777777" w:rsidR="00D80693" w:rsidRPr="001265C4" w:rsidRDefault="00D80693" w:rsidP="00EC7C1A">
      <w:pPr>
        <w:spacing w:before="120"/>
        <w:ind w:left="993" w:hanging="993"/>
        <w:jc w:val="both"/>
        <w:rPr>
          <w:rFonts w:eastAsia="Calibri"/>
          <w:bCs/>
          <w:sz w:val="24"/>
          <w:szCs w:val="24"/>
          <w:lang w:val="en-US"/>
        </w:rPr>
      </w:pPr>
      <w:proofErr w:type="spellStart"/>
      <w:r w:rsidRPr="001265C4">
        <w:rPr>
          <w:rFonts w:eastAsiaTheme="minorHAnsi"/>
          <w:bCs/>
          <w:sz w:val="24"/>
          <w:szCs w:val="24"/>
        </w:rPr>
        <w:t>Sillamy</w:t>
      </w:r>
      <w:proofErr w:type="spellEnd"/>
      <w:r w:rsidRPr="001265C4">
        <w:rPr>
          <w:rFonts w:eastAsiaTheme="minorHAnsi"/>
          <w:bCs/>
          <w:sz w:val="24"/>
          <w:szCs w:val="24"/>
        </w:rPr>
        <w:t xml:space="preserve">, N. (1993). </w:t>
      </w:r>
      <w:r w:rsidRPr="001265C4">
        <w:rPr>
          <w:rFonts w:eastAsiaTheme="minorHAnsi"/>
          <w:bCs/>
          <w:i/>
          <w:sz w:val="24"/>
          <w:szCs w:val="24"/>
        </w:rPr>
        <w:t>Dictionnaire usuel de Psychologie.</w:t>
      </w:r>
      <w:r w:rsidRPr="001265C4">
        <w:rPr>
          <w:rFonts w:eastAsiaTheme="minorHAnsi"/>
          <w:bCs/>
          <w:sz w:val="24"/>
          <w:szCs w:val="24"/>
        </w:rPr>
        <w:t xml:space="preserve"> </w:t>
      </w:r>
      <w:r w:rsidRPr="001265C4">
        <w:rPr>
          <w:rFonts w:eastAsiaTheme="minorHAnsi"/>
          <w:bCs/>
          <w:sz w:val="24"/>
          <w:szCs w:val="24"/>
          <w:lang w:val="en-US"/>
        </w:rPr>
        <w:t>Paris: Bordas.</w:t>
      </w:r>
    </w:p>
    <w:p w14:paraId="2EADA893" w14:textId="77777777" w:rsidR="00D80693" w:rsidRPr="0015724E" w:rsidRDefault="00D80693" w:rsidP="00EC7C1A">
      <w:pPr>
        <w:spacing w:before="120"/>
        <w:ind w:left="993" w:hanging="993"/>
        <w:jc w:val="both"/>
        <w:rPr>
          <w:rFonts w:eastAsia="Calibri"/>
          <w:sz w:val="24"/>
          <w:szCs w:val="24"/>
          <w:lang w:val="en-US"/>
        </w:rPr>
      </w:pPr>
      <w:r w:rsidRPr="0015724E">
        <w:rPr>
          <w:rFonts w:eastAsiaTheme="minorHAnsi" w:cstheme="minorBidi"/>
          <w:sz w:val="24"/>
          <w:szCs w:val="24"/>
          <w:lang w:val="en-US"/>
        </w:rPr>
        <w:t xml:space="preserve">Wang, M.C. &amp; Baker, E. T. (1986). Mainstream programs Design, features and effects. </w:t>
      </w:r>
      <w:r w:rsidRPr="0015724E">
        <w:rPr>
          <w:rFonts w:eastAsiaTheme="minorHAnsi" w:cstheme="minorBidi"/>
          <w:i/>
          <w:iCs/>
          <w:sz w:val="24"/>
          <w:szCs w:val="24"/>
          <w:lang w:val="en-US"/>
        </w:rPr>
        <w:t>Journal of specifics Educations</w:t>
      </w:r>
      <w:r w:rsidRPr="0015724E">
        <w:rPr>
          <w:rFonts w:eastAsiaTheme="minorHAnsi" w:cstheme="minorBidi"/>
          <w:sz w:val="24"/>
          <w:szCs w:val="24"/>
          <w:lang w:val="en-US"/>
        </w:rPr>
        <w:t>, 19: 503-521.</w:t>
      </w:r>
    </w:p>
    <w:p w14:paraId="5728D516" w14:textId="77777777" w:rsidR="00D80693" w:rsidRPr="0015724E" w:rsidRDefault="00D80693" w:rsidP="00EC7C1A">
      <w:pPr>
        <w:spacing w:before="120"/>
        <w:ind w:left="993" w:hanging="993"/>
        <w:jc w:val="both"/>
        <w:rPr>
          <w:rFonts w:eastAsia="Calibri"/>
          <w:sz w:val="24"/>
          <w:szCs w:val="24"/>
          <w:lang w:val="en-US"/>
        </w:rPr>
      </w:pPr>
      <w:r w:rsidRPr="0015724E">
        <w:rPr>
          <w:rFonts w:eastAsiaTheme="minorHAnsi" w:cstheme="minorBidi"/>
          <w:sz w:val="24"/>
          <w:szCs w:val="24"/>
          <w:lang w:val="en-US"/>
        </w:rPr>
        <w:t xml:space="preserve">Waugh, R. E., Alberto, P. A., &amp; Fredrick, L. D. (2011). Effects of error correction during assessment probes on the acquisition of sight words for students with moderate intellectual disabilities. </w:t>
      </w:r>
      <w:r w:rsidRPr="0015724E">
        <w:rPr>
          <w:rFonts w:eastAsiaTheme="minorHAnsi" w:cstheme="minorBidi"/>
          <w:i/>
          <w:iCs/>
          <w:sz w:val="24"/>
          <w:szCs w:val="24"/>
          <w:lang w:val="en-US"/>
        </w:rPr>
        <w:t xml:space="preserve">Research in Developmental </w:t>
      </w:r>
      <w:proofErr w:type="gramStart"/>
      <w:r w:rsidRPr="0015724E">
        <w:rPr>
          <w:rFonts w:eastAsiaTheme="minorHAnsi" w:cstheme="minorBidi"/>
          <w:i/>
          <w:iCs/>
          <w:sz w:val="24"/>
          <w:szCs w:val="24"/>
          <w:lang w:val="en-US"/>
        </w:rPr>
        <w:t>Disabilities :</w:t>
      </w:r>
      <w:proofErr w:type="gramEnd"/>
      <w:r w:rsidRPr="0015724E">
        <w:rPr>
          <w:rFonts w:eastAsiaTheme="minorHAnsi" w:cstheme="minorBidi"/>
          <w:i/>
          <w:iCs/>
          <w:sz w:val="24"/>
          <w:szCs w:val="24"/>
          <w:lang w:val="en-US"/>
        </w:rPr>
        <w:t xml:space="preserve"> A Multidisciplinary Journal, 3</w:t>
      </w:r>
      <w:r w:rsidRPr="0015724E">
        <w:rPr>
          <w:rFonts w:eastAsiaTheme="minorHAnsi" w:cstheme="minorBidi"/>
          <w:sz w:val="24"/>
          <w:szCs w:val="24"/>
          <w:lang w:val="en-US"/>
        </w:rPr>
        <w:t xml:space="preserve">2(1), 47-57. </w:t>
      </w:r>
    </w:p>
    <w:p w14:paraId="548383FC" w14:textId="77777777" w:rsidR="00D80693" w:rsidRPr="0015724E" w:rsidRDefault="00D80693" w:rsidP="00EC7C1A">
      <w:pPr>
        <w:spacing w:before="120"/>
        <w:ind w:left="993" w:hanging="993"/>
        <w:jc w:val="both"/>
        <w:rPr>
          <w:rFonts w:eastAsia="Calibri"/>
          <w:sz w:val="24"/>
          <w:szCs w:val="24"/>
        </w:rPr>
      </w:pPr>
      <w:r w:rsidRPr="0015724E">
        <w:rPr>
          <w:rFonts w:eastAsiaTheme="minorHAnsi" w:cstheme="minorBidi"/>
          <w:sz w:val="24"/>
          <w:szCs w:val="24"/>
          <w:lang w:val="en-US"/>
        </w:rPr>
        <w:t>Yianni-</w:t>
      </w:r>
      <w:proofErr w:type="spellStart"/>
      <w:r w:rsidRPr="0015724E">
        <w:rPr>
          <w:rFonts w:eastAsiaTheme="minorHAnsi" w:cstheme="minorBidi"/>
          <w:sz w:val="24"/>
          <w:szCs w:val="24"/>
          <w:lang w:val="en-US"/>
        </w:rPr>
        <w:t>Coudurier</w:t>
      </w:r>
      <w:proofErr w:type="spellEnd"/>
      <w:r w:rsidRPr="0015724E">
        <w:rPr>
          <w:rFonts w:eastAsiaTheme="minorHAnsi" w:cstheme="minorBidi"/>
          <w:sz w:val="24"/>
          <w:szCs w:val="24"/>
          <w:lang w:val="en-US"/>
        </w:rPr>
        <w:t xml:space="preserve">, C. (2010). </w:t>
      </w:r>
      <w:r w:rsidRPr="0015724E">
        <w:rPr>
          <w:rFonts w:eastAsiaTheme="minorHAnsi" w:cstheme="minorBidi"/>
          <w:i/>
          <w:iCs/>
          <w:sz w:val="24"/>
          <w:szCs w:val="24"/>
        </w:rPr>
        <w:t>Prises en charge et évolution des jeunes enfants avec autisme</w:t>
      </w:r>
      <w:r w:rsidRPr="0015724E">
        <w:rPr>
          <w:rFonts w:eastAsiaTheme="minorHAnsi" w:cstheme="minorBidi"/>
          <w:sz w:val="24"/>
          <w:szCs w:val="24"/>
        </w:rPr>
        <w:t>. Thèse de Doctorat, Université Paul Valery-</w:t>
      </w:r>
      <w:proofErr w:type="spellStart"/>
      <w:r w:rsidRPr="0015724E">
        <w:rPr>
          <w:rFonts w:eastAsiaTheme="minorHAnsi" w:cstheme="minorBidi"/>
          <w:sz w:val="24"/>
          <w:szCs w:val="24"/>
        </w:rPr>
        <w:t>Montepellier</w:t>
      </w:r>
      <w:proofErr w:type="spellEnd"/>
      <w:r w:rsidRPr="0015724E">
        <w:rPr>
          <w:rFonts w:eastAsiaTheme="minorHAnsi" w:cstheme="minorBidi"/>
          <w:sz w:val="24"/>
          <w:szCs w:val="24"/>
        </w:rPr>
        <w:t xml:space="preserve"> III.  </w:t>
      </w:r>
    </w:p>
    <w:p w14:paraId="4F8328C0" w14:textId="22505BC6" w:rsidR="00D14646" w:rsidRDefault="00D14646" w:rsidP="00570B74">
      <w:pPr>
        <w:pStyle w:val="Corpsdetexte"/>
        <w:ind w:left="568" w:right="279"/>
        <w:rPr>
          <w:rFonts w:eastAsia="Calibri"/>
          <w:sz w:val="22"/>
          <w:szCs w:val="22"/>
        </w:rPr>
      </w:pPr>
    </w:p>
    <w:sectPr w:rsidR="00D14646">
      <w:headerReference w:type="default" r:id="rId190"/>
      <w:footerReference w:type="default" r:id="rId191"/>
      <w:footnotePr>
        <w:numRestart w:val="eachPage"/>
      </w:footnotePr>
      <w:pgSz w:w="11910" w:h="16840"/>
      <w:pgMar w:top="1300" w:right="708" w:bottom="1840" w:left="1275" w:header="715" w:footer="15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388AB" w14:textId="77777777" w:rsidR="00E24DC0" w:rsidRDefault="00E24DC0">
      <w:r>
        <w:separator/>
      </w:r>
    </w:p>
  </w:endnote>
  <w:endnote w:type="continuationSeparator" w:id="0">
    <w:p w14:paraId="7B375F82" w14:textId="77777777" w:rsidR="00E24DC0" w:rsidRDefault="00E2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jaVu Sans">
    <w:altName w:val="Arial"/>
    <w:charset w:val="00"/>
    <w:family w:val="swiss"/>
    <w:pitch w:val="variable"/>
    <w:sig w:usb0="00000000" w:usb1="D200F5FF" w:usb2="0A246029" w:usb3="00000000" w:csb0="000001F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Sans">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31C7" w14:textId="77777777" w:rsidR="00683CCD" w:rsidRDefault="00683CCD">
    <w:pPr>
      <w:pStyle w:val="Corpsdetexte"/>
      <w:spacing w:before="0" w:line="14" w:lineRule="auto"/>
      <w:ind w:left="0"/>
      <w:jc w:val="left"/>
      <w:rPr>
        <w:sz w:val="20"/>
      </w:rPr>
    </w:pPr>
    <w:r>
      <w:rPr>
        <w:noProof/>
        <w:sz w:val="20"/>
        <w:lang w:eastAsia="fr-FR"/>
      </w:rPr>
      <w:drawing>
        <wp:anchor distT="0" distB="0" distL="0" distR="0" simplePos="0" relativeHeight="251602432" behindDoc="1" locked="0" layoutInCell="1" allowOverlap="1" wp14:anchorId="60EC6A32" wp14:editId="68B2E431">
          <wp:simplePos x="0" y="0"/>
          <wp:positionH relativeFrom="page">
            <wp:posOffset>3357382</wp:posOffset>
          </wp:positionH>
          <wp:positionV relativeFrom="page">
            <wp:posOffset>9343390</wp:posOffset>
          </wp:positionV>
          <wp:extent cx="779007" cy="50786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79007" cy="507869"/>
                  </a:xfrm>
                  <a:prstGeom prst="rect">
                    <a:avLst/>
                  </a:prstGeom>
                </pic:spPr>
              </pic:pic>
            </a:graphicData>
          </a:graphic>
        </wp:anchor>
      </w:drawing>
    </w:r>
    <w:r>
      <w:rPr>
        <w:noProof/>
        <w:sz w:val="20"/>
        <w:lang w:eastAsia="fr-FR"/>
      </w:rPr>
      <mc:AlternateContent>
        <mc:Choice Requires="wps">
          <w:drawing>
            <wp:anchor distT="0" distB="0" distL="0" distR="0" simplePos="0" relativeHeight="251603456" behindDoc="1" locked="0" layoutInCell="1" allowOverlap="1" wp14:anchorId="31E91873" wp14:editId="565BB5CA">
              <wp:simplePos x="0" y="0"/>
              <wp:positionH relativeFrom="page">
                <wp:posOffset>4098925</wp:posOffset>
              </wp:positionH>
              <wp:positionV relativeFrom="page">
                <wp:posOffset>9739070</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07D2C85" w14:textId="77777777" w:rsidR="00683CCD" w:rsidRDefault="00683CC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D0F7C">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31E91873" id="_x0000_t202" coordsize="21600,21600" o:spt="202" path="m,l,21600r21600,l21600,xe">
              <v:stroke joinstyle="miter"/>
              <v:path gradientshapeok="t" o:connecttype="rect"/>
            </v:shapetype>
            <v:shape id="Textbox 10" o:spid="_x0000_s1031" type="#_x0000_t202" style="position:absolute;margin-left:322.75pt;margin-top:766.85pt;width:12.6pt;height:13.05pt;z-index:-251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" filled="f" stroked="f">
              <v:textbox inset="0,0,0,0">
                <w:txbxContent>
                  <w:p w14:paraId="507D2C85" w14:textId="77777777" w:rsidR="00683CCD" w:rsidRDefault="00683CC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D0F7C">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9F89" w14:textId="77777777" w:rsidR="00D51032" w:rsidRDefault="00D51032">
    <w:pPr>
      <w:pStyle w:val="Pieddepage"/>
      <w:jc w:val="center"/>
    </w:pPr>
    <w:r>
      <w:rPr>
        <w:noProof/>
        <w:sz w:val="20"/>
        <w:lang w:eastAsia="fr-FR"/>
      </w:rPr>
      <w:drawing>
        <wp:anchor distT="0" distB="0" distL="0" distR="0" simplePos="0" relativeHeight="251757056" behindDoc="1" locked="0" layoutInCell="1" allowOverlap="1" wp14:anchorId="08DE6045" wp14:editId="561FE838">
          <wp:simplePos x="0" y="0"/>
          <wp:positionH relativeFrom="page">
            <wp:posOffset>2934335</wp:posOffset>
          </wp:positionH>
          <wp:positionV relativeFrom="page">
            <wp:posOffset>10029190</wp:posOffset>
          </wp:positionV>
          <wp:extent cx="609600" cy="310515"/>
          <wp:effectExtent l="0" t="0" r="0" b="0"/>
          <wp:wrapNone/>
          <wp:docPr id="2044133578" name="Image 2044133578"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2046473280"/>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2E262822" w14:textId="77777777" w:rsidR="00D51032" w:rsidRDefault="00D51032">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251C0" w14:textId="77777777" w:rsidR="00D80693" w:rsidRDefault="00D80693">
    <w:pPr>
      <w:rPr>
        <w:vanish/>
        <w:sz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4B25" w14:textId="0C0441C4" w:rsidR="00E82F39" w:rsidRDefault="00E82F39">
    <w:pPr>
      <w:pStyle w:val="Pieddepage"/>
      <w:jc w:val="center"/>
    </w:pPr>
    <w:r>
      <w:rPr>
        <w:noProof/>
        <w:sz w:val="20"/>
        <w:lang w:eastAsia="fr-FR"/>
      </w:rPr>
      <w:drawing>
        <wp:anchor distT="0" distB="0" distL="0" distR="0" simplePos="0" relativeHeight="251759104" behindDoc="1" locked="0" layoutInCell="1" allowOverlap="1" wp14:anchorId="1A5BAA96" wp14:editId="24F956D5">
          <wp:simplePos x="0" y="0"/>
          <wp:positionH relativeFrom="page">
            <wp:posOffset>2941955</wp:posOffset>
          </wp:positionH>
          <wp:positionV relativeFrom="page">
            <wp:posOffset>9895840</wp:posOffset>
          </wp:positionV>
          <wp:extent cx="609600" cy="310515"/>
          <wp:effectExtent l="0" t="0" r="0" b="0"/>
          <wp:wrapNone/>
          <wp:docPr id="1158308613" name="Image 1158308613"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1396934322"/>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25D4681F" w14:textId="77777777" w:rsidR="00D80693" w:rsidRDefault="00D80693">
    <w:pPr>
      <w:tabs>
        <w:tab w:val="center" w:pos="4536"/>
        <w:tab w:val="right" w:pos="9072"/>
      </w:tabs>
      <w:rPr>
        <w:rFonts w:ascii="Aptos" w:eastAsia="DengXian" w:hAnsi="Aptos"/>
        <w:kern w:val="2"/>
        <w:sz w:val="24"/>
        <w:szCs w:val="24"/>
        <w:lang w:val="fr-CI" w:eastAsia="zh-CN"/>
        <w14:ligatures w14:val="standardContextua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66BB1" w14:textId="1C19D576" w:rsidR="00026258" w:rsidRDefault="00026258">
    <w:pPr>
      <w:pStyle w:val="Pieddepage"/>
      <w:jc w:val="center"/>
    </w:pPr>
    <w:r>
      <w:rPr>
        <w:noProof/>
        <w:sz w:val="20"/>
        <w:lang w:eastAsia="fr-FR"/>
      </w:rPr>
      <w:drawing>
        <wp:anchor distT="0" distB="0" distL="0" distR="0" simplePos="0" relativeHeight="251761152" behindDoc="1" locked="0" layoutInCell="1" allowOverlap="1" wp14:anchorId="261EDB9F" wp14:editId="28278003">
          <wp:simplePos x="0" y="0"/>
          <wp:positionH relativeFrom="page">
            <wp:posOffset>3003550</wp:posOffset>
          </wp:positionH>
          <wp:positionV relativeFrom="page">
            <wp:posOffset>9758045</wp:posOffset>
          </wp:positionV>
          <wp:extent cx="609600" cy="310515"/>
          <wp:effectExtent l="0" t="0" r="0" b="0"/>
          <wp:wrapNone/>
          <wp:docPr id="1369499942" name="Image 1369499942"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736157467"/>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6854538D" w14:textId="77777777" w:rsidR="00D80693" w:rsidRDefault="00D80693" w:rsidP="00834AAE">
    <w:pPr>
      <w:tabs>
        <w:tab w:val="center" w:pos="4536"/>
        <w:tab w:val="right" w:pos="9072"/>
      </w:tabs>
      <w:spacing w:after="200" w:line="276" w:lineRule="auto"/>
      <w:jc w:val="right"/>
      <w:rPr>
        <w:rFonts w:ascii="Calibri" w:hAnsi="Calibr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815F" w14:textId="41863B7D" w:rsidR="00026258" w:rsidRDefault="00026258">
    <w:pPr>
      <w:pStyle w:val="Pieddepage"/>
      <w:jc w:val="center"/>
    </w:pPr>
    <w:r>
      <w:rPr>
        <w:noProof/>
        <w:sz w:val="20"/>
        <w:lang w:eastAsia="fr-FR"/>
      </w:rPr>
      <w:drawing>
        <wp:anchor distT="0" distB="0" distL="0" distR="0" simplePos="0" relativeHeight="251763200" behindDoc="1" locked="0" layoutInCell="1" allowOverlap="1" wp14:anchorId="55A4F3D7" wp14:editId="7FD7171D">
          <wp:simplePos x="0" y="0"/>
          <wp:positionH relativeFrom="page">
            <wp:posOffset>2880995</wp:posOffset>
          </wp:positionH>
          <wp:positionV relativeFrom="page">
            <wp:posOffset>10081895</wp:posOffset>
          </wp:positionV>
          <wp:extent cx="609600" cy="310515"/>
          <wp:effectExtent l="0" t="0" r="0" b="0"/>
          <wp:wrapNone/>
          <wp:docPr id="1509554559" name="Image 1509554559"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1006286674"/>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1DE8862A" w14:textId="77777777" w:rsidR="00D80693" w:rsidRDefault="00D80693">
    <w:pPr>
      <w:spacing w:line="276" w:lineRule="auto"/>
      <w:rPr>
        <w:rFonts w:ascii="Calibri" w:eastAsia="DengXian" w:hAnsi="Calibri"/>
        <w:vanish/>
        <w:sz w:val="0"/>
        <w:szCs w:val="21"/>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BD62" w14:textId="77777777" w:rsidR="00D80693" w:rsidRPr="009458E2" w:rsidRDefault="00D80693">
    <w:pPr>
      <w:spacing w:after="6"/>
      <w:rPr>
        <w:rFonts w:ascii="Calibri" w:eastAsia="Calibri" w:hAnsi="Calibri"/>
        <w:lang w:val="en-US"/>
      </w:rPr>
    </w:pPr>
    <w:r w:rsidRPr="009458E2">
      <w:rPr>
        <w:rFonts w:asciiTheme="minorHAnsi" w:eastAsiaTheme="minorHAnsi" w:hAnsiTheme="minorHAnsi" w:cstheme="minorBidi"/>
        <w:sz w:val="18"/>
        <w:lang w:val="en-US"/>
      </w:rPr>
      <w:t>Health Sci.</w:t>
    </w:r>
    <w:r w:rsidRPr="009458E2">
      <w:rPr>
        <w:rFonts w:ascii="Calibri" w:eastAsia="Calibri" w:hAnsi="Calibri" w:cs="Calibri"/>
        <w:sz w:val="18"/>
        <w:lang w:val="en-US"/>
      </w:rPr>
      <w:t xml:space="preserve"> </w:t>
    </w:r>
    <w:r w:rsidRPr="009458E2">
      <w:rPr>
        <w:rFonts w:asciiTheme="minorHAnsi" w:eastAsiaTheme="minorHAnsi" w:hAnsiTheme="minorHAnsi" w:cstheme="minorBidi"/>
        <w:sz w:val="18"/>
        <w:lang w:val="en-US"/>
      </w:rPr>
      <w:t xml:space="preserve">Dis: Vol 22 (8) August 2021 pp 76-81 </w:t>
    </w:r>
  </w:p>
  <w:p w14:paraId="5C06349D" w14:textId="77777777" w:rsidR="00D80693" w:rsidRPr="009458E2" w:rsidRDefault="00D80693">
    <w:pPr>
      <w:rPr>
        <w:rFonts w:ascii="Calibri" w:eastAsia="Calibri" w:hAnsi="Calibri"/>
        <w:lang w:val="en-US"/>
      </w:rPr>
    </w:pPr>
    <w:r>
      <w:rPr>
        <w:rFonts w:ascii="Calibri" w:eastAsia="Calibri" w:hAnsi="Calibri" w:cs="Calibri"/>
        <w:noProof/>
        <w:lang w:val="fr-SN" w:eastAsia="fr-SN"/>
      </w:rPr>
      <mc:AlternateContent>
        <mc:Choice Requires="wpg">
          <w:drawing>
            <wp:anchor distT="0" distB="0" distL="114300" distR="114300" simplePos="0" relativeHeight="251716096" behindDoc="0" locked="0" layoutInCell="1" allowOverlap="1" wp14:anchorId="7F38936C" wp14:editId="387C95D7">
              <wp:simplePos x="0" y="0"/>
              <wp:positionH relativeFrom="page">
                <wp:posOffset>6588760</wp:posOffset>
              </wp:positionH>
              <wp:positionV relativeFrom="page">
                <wp:posOffset>10039350</wp:posOffset>
              </wp:positionV>
              <wp:extent cx="362585" cy="321945"/>
              <wp:effectExtent l="0" t="0" r="0" b="0"/>
              <wp:wrapSquare wrapText="bothSides"/>
              <wp:docPr id="23160" name="Group 23160"/>
              <wp:cNvGraphicFramePr/>
              <a:graphic xmlns:a="http://schemas.openxmlformats.org/drawingml/2006/main">
                <a:graphicData uri="http://schemas.microsoft.com/office/word/2010/wordprocessingGroup">
                  <wpg:wgp>
                    <wpg:cNvGrpSpPr/>
                    <wpg:grpSpPr>
                      <a:xfrm>
                        <a:off x="0" y="0"/>
                        <a:ext cx="362585" cy="321945"/>
                        <a:chOff x="0" y="0"/>
                        <a:chExt cx="362585" cy="321945"/>
                      </a:xfrm>
                    </wpg:grpSpPr>
                    <wps:wsp>
                      <wps:cNvPr id="23161" name="Shape 23161"/>
                      <wps:cNvSpPr/>
                      <wps:spPr>
                        <a:xfrm>
                          <a:off x="11430" y="0"/>
                          <a:ext cx="340360" cy="321945"/>
                        </a:xfrm>
                        <a:custGeom>
                          <a:avLst/>
                          <a:gdLst/>
                          <a:ahLst/>
                          <a:cxnLst/>
                          <a:rect l="0" t="0" r="0" b="0"/>
                          <a:pathLst>
                            <a:path w="340360" h="321945">
                              <a:moveTo>
                                <a:pt x="170180" y="0"/>
                              </a:moveTo>
                              <a:lnTo>
                                <a:pt x="0" y="160972"/>
                              </a:lnTo>
                              <a:lnTo>
                                <a:pt x="170180" y="321945"/>
                              </a:lnTo>
                              <a:lnTo>
                                <a:pt x="340360" y="160972"/>
                              </a:lnTo>
                              <a:close/>
                            </a:path>
                          </a:pathLst>
                        </a:custGeom>
                        <a:noFill/>
                        <a:ln w="9525" cap="rnd">
                          <a:solidFill>
                            <a:srgbClr val="A5A5A5"/>
                          </a:solidFill>
                          <a:prstDash val="solid"/>
                          <a:round/>
                        </a:ln>
                        <a:effectLst/>
                      </wps:spPr>
                      <wps:bodyPr/>
                    </wps:wsp>
                    <wps:wsp>
                      <wps:cNvPr id="23162" name="Shape 23162"/>
                      <wps:cNvSpPr/>
                      <wps:spPr>
                        <a:xfrm>
                          <a:off x="46355" y="41910"/>
                          <a:ext cx="271145" cy="238125"/>
                        </a:xfrm>
                        <a:custGeom>
                          <a:avLst/>
                          <a:gdLst/>
                          <a:ahLst/>
                          <a:cxnLst/>
                          <a:rect l="0" t="0" r="0" b="0"/>
                          <a:pathLst>
                            <a:path w="271145" h="238125">
                              <a:moveTo>
                                <a:pt x="0" y="238125"/>
                              </a:moveTo>
                              <a:lnTo>
                                <a:pt x="271145" y="238125"/>
                              </a:lnTo>
                              <a:lnTo>
                                <a:pt x="271145" y="0"/>
                              </a:lnTo>
                              <a:lnTo>
                                <a:pt x="0" y="0"/>
                              </a:lnTo>
                              <a:close/>
                            </a:path>
                          </a:pathLst>
                        </a:custGeom>
                        <a:noFill/>
                        <a:ln w="9525" cap="rnd">
                          <a:solidFill>
                            <a:srgbClr val="A5A5A5"/>
                          </a:solidFill>
                          <a:prstDash val="solid"/>
                          <a:miter lim="101600"/>
                        </a:ln>
                        <a:effectLst/>
                      </wps:spPr>
                      <wps:bodyPr/>
                    </wps:wsp>
                    <wps:wsp>
                      <wps:cNvPr id="23165" name="Rectangle 23165"/>
                      <wps:cNvSpPr/>
                      <wps:spPr>
                        <a:xfrm>
                          <a:off x="130302" y="107061"/>
                          <a:ext cx="137768" cy="138323"/>
                        </a:xfrm>
                        <a:prstGeom prst="rect">
                          <a:avLst/>
                        </a:prstGeom>
                        <a:ln>
                          <a:noFill/>
                        </a:ln>
                      </wps:spPr>
                      <wps:txbx>
                        <w:txbxContent>
                          <w:p w14:paraId="5C14726D" w14:textId="77777777" w:rsidR="00D80693" w:rsidRDefault="00D80693">
                            <w:pPr>
                              <w:rPr>
                                <w:rFonts w:ascii="Calibri" w:eastAsia="Calibri" w:hAnsi="Calibri"/>
                              </w:rPr>
                            </w:pPr>
                            <w:r>
                              <w:rPr>
                                <w:rFonts w:asciiTheme="minorHAnsi" w:eastAsiaTheme="minorHAnsi" w:hAnsiTheme="minorHAnsi" w:cstheme="minorBidi"/>
                              </w:rPr>
                              <w:fldChar w:fldCharType="begin"/>
                            </w:r>
                            <w:r>
                              <w:rPr>
                                <w:rFonts w:asciiTheme="minorHAnsi" w:eastAsiaTheme="minorHAnsi" w:hAnsiTheme="minorHAnsi" w:cstheme="minorBidi"/>
                              </w:rPr>
                              <w:instrText xml:space="preserve"> PAGE   \* MERGEFORMAT </w:instrText>
                            </w:r>
                            <w:r>
                              <w:rPr>
                                <w:rFonts w:asciiTheme="minorHAnsi" w:eastAsiaTheme="minorHAnsi" w:hAnsiTheme="minorHAnsi" w:cstheme="minorBidi"/>
                              </w:rPr>
                              <w:fldChar w:fldCharType="separate"/>
                            </w:r>
                            <w:r>
                              <w:rPr>
                                <w:rFonts w:ascii="Calibri" w:eastAsia="Calibri" w:hAnsi="Calibri" w:cs="Calibri"/>
                                <w:color w:val="17365D"/>
                                <w:sz w:val="16"/>
                              </w:rPr>
                              <w:t>76</w:t>
                            </w:r>
                            <w:r>
                              <w:rPr>
                                <w:rFonts w:ascii="Calibri" w:eastAsia="Calibri" w:hAnsi="Calibri" w:cs="Calibri"/>
                                <w:color w:val="17365D"/>
                                <w:sz w:val="16"/>
                              </w:rPr>
                              <w:fldChar w:fldCharType="end"/>
                            </w:r>
                          </w:p>
                        </w:txbxContent>
                      </wps:txbx>
                      <wps:bodyPr horzOverflow="overflow" vert="horz" lIns="0" tIns="0" rIns="0" bIns="0" rtlCol="0"/>
                    </wps:wsp>
                    <wps:wsp>
                      <wps:cNvPr id="23166" name="Rectangle 23166"/>
                      <wps:cNvSpPr/>
                      <wps:spPr>
                        <a:xfrm>
                          <a:off x="233934" y="107061"/>
                          <a:ext cx="30691" cy="138323"/>
                        </a:xfrm>
                        <a:prstGeom prst="rect">
                          <a:avLst/>
                        </a:prstGeom>
                        <a:ln>
                          <a:noFill/>
                        </a:ln>
                      </wps:spPr>
                      <wps:txbx>
                        <w:txbxContent>
                          <w:p w14:paraId="1776A3DB" w14:textId="77777777" w:rsidR="00D80693" w:rsidRDefault="00D80693">
                            <w:pPr>
                              <w:rPr>
                                <w:rFonts w:ascii="Calibri" w:eastAsia="Calibri" w:hAnsi="Calibri"/>
                              </w:rPr>
                            </w:pPr>
                            <w:r>
                              <w:rPr>
                                <w:rFonts w:ascii="Calibri" w:eastAsia="Calibri" w:hAnsi="Calibri" w:cs="Calibri"/>
                                <w:color w:val="17365D"/>
                                <w:sz w:val="16"/>
                              </w:rPr>
                              <w:t xml:space="preserve"> </w:t>
                            </w:r>
                          </w:p>
                        </w:txbxContent>
                      </wps:txbx>
                      <wps:bodyPr horzOverflow="overflow" vert="horz" lIns="0" tIns="0" rIns="0" bIns="0" rtlCol="0"/>
                    </wps:wsp>
                    <wps:wsp>
                      <wps:cNvPr id="23163" name="Shape 23163"/>
                      <wps:cNvSpPr/>
                      <wps:spPr>
                        <a:xfrm>
                          <a:off x="0" y="61595"/>
                          <a:ext cx="281940" cy="199390"/>
                        </a:xfrm>
                        <a:custGeom>
                          <a:avLst/>
                          <a:gdLst/>
                          <a:ahLst/>
                          <a:cxnLst/>
                          <a:rect l="0" t="0" r="0" b="0"/>
                          <a:pathLst>
                            <a:path w="281940" h="199390">
                              <a:moveTo>
                                <a:pt x="0" y="199390"/>
                              </a:moveTo>
                              <a:lnTo>
                                <a:pt x="281940" y="149543"/>
                              </a:lnTo>
                              <a:lnTo>
                                <a:pt x="281940" y="49847"/>
                              </a:lnTo>
                              <a:lnTo>
                                <a:pt x="0" y="0"/>
                              </a:lnTo>
                              <a:lnTo>
                                <a:pt x="0" y="199390"/>
                              </a:lnTo>
                              <a:close/>
                            </a:path>
                          </a:pathLst>
                        </a:custGeom>
                        <a:noFill/>
                        <a:ln w="9525" cap="rnd">
                          <a:solidFill>
                            <a:srgbClr val="A5A5A5"/>
                          </a:solidFill>
                          <a:prstDash val="solid"/>
                          <a:round/>
                        </a:ln>
                        <a:effectLst/>
                      </wps:spPr>
                      <wps:bodyPr/>
                    </wps:wsp>
                    <wps:wsp>
                      <wps:cNvPr id="23164" name="Shape 23164"/>
                      <wps:cNvSpPr/>
                      <wps:spPr>
                        <a:xfrm>
                          <a:off x="80645" y="61595"/>
                          <a:ext cx="281939" cy="199390"/>
                        </a:xfrm>
                        <a:custGeom>
                          <a:avLst/>
                          <a:gdLst/>
                          <a:ahLst/>
                          <a:cxnLst/>
                          <a:rect l="0" t="0" r="0" b="0"/>
                          <a:pathLst>
                            <a:path w="281939" h="199390">
                              <a:moveTo>
                                <a:pt x="281939" y="199390"/>
                              </a:moveTo>
                              <a:lnTo>
                                <a:pt x="0" y="149543"/>
                              </a:lnTo>
                              <a:lnTo>
                                <a:pt x="0" y="49847"/>
                              </a:lnTo>
                              <a:lnTo>
                                <a:pt x="281939" y="0"/>
                              </a:lnTo>
                              <a:lnTo>
                                <a:pt x="281939" y="199390"/>
                              </a:lnTo>
                              <a:close/>
                            </a:path>
                          </a:pathLst>
                        </a:custGeom>
                        <a:noFill/>
                        <a:ln w="9525" cap="rnd">
                          <a:solidFill>
                            <a:srgbClr val="A5A5A5"/>
                          </a:solidFill>
                          <a:prstDash val="solid"/>
                          <a:round/>
                        </a:ln>
                        <a:effectLst/>
                      </wps:spPr>
                      <wps:bodyPr/>
                    </wps:wsp>
                  </wpg:wgp>
                </a:graphicData>
              </a:graphic>
            </wp:anchor>
          </w:drawing>
        </mc:Choice>
        <mc:Fallback>
          <w:pict>
            <v:group w14:anchorId="7F38936C" id="Group 23160" o:spid="_x0000_s1055" style="position:absolute;margin-left:518.8pt;margin-top:790.5pt;width:28.55pt;height:25.35pt;z-index:251716096;mso-position-horizontal-relative:page;mso-position-vertical-relative:page" coordsize="3625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">
              <v:shape id="Shape 23161" o:spid="_x0000_s1056" style="position:absolute;left:11430;width:340360;height:321945;visibility:visible;mso-wrap-style:square;v-text-anchor:top" coordsize="3403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" path="m170180,l,160972,170180,321945,340360,160972,170180,xe" filled="f" strokecolor="#a5a5a5">
                <v:stroke endcap="round"/>
                <v:path arrowok="t" textboxrect="0,0,340360,321945"/>
              </v:shape>
              <v:shape id="Shape 23162" o:spid="_x0000_s1057" style="position:absolute;left:46355;top:41910;width:271145;height:238125;visibility:visible;mso-wrap-style:square;v-text-anchor:top" coordsize="2711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" path="m,238125r271145,l271145,,,,,238125xe" filled="f" strokecolor="#a5a5a5">
                <v:stroke miterlimit="66585f" joinstyle="miter" endcap="round"/>
                <v:path arrowok="t" textboxrect="0,0,271145,238125"/>
              </v:shape>
              <v:rect id="Rectangle 23165" o:spid="_x0000_s1058" style="position:absolute;left:130302;top:107061;width:137768;height:138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" filled="f" stroked="f">
                <v:textbox inset="0,0,0,0">
                  <w:txbxContent>
                    <w:p w14:paraId="5C14726D" w14:textId="77777777" w:rsidR="00D80693" w:rsidRDefault="00D80693">
                      <w:pPr>
                        <w:rPr>
                          <w:rFonts w:ascii="Calibri" w:eastAsia="Calibri" w:hAnsi="Calibri"/>
                        </w:rPr>
                      </w:pPr>
                      <w:r>
                        <w:rPr>
                          <w:rFonts w:asciiTheme="minorHAnsi" w:eastAsiaTheme="minorHAnsi" w:hAnsiTheme="minorHAnsi" w:cstheme="minorBidi"/>
                        </w:rPr>
                        <w:fldChar w:fldCharType="begin"/>
                      </w:r>
                      <w:r>
                        <w:rPr>
                          <w:rFonts w:asciiTheme="minorHAnsi" w:eastAsiaTheme="minorHAnsi" w:hAnsiTheme="minorHAnsi" w:cstheme="minorBidi"/>
                        </w:rPr>
                        <w:instrText xml:space="preserve"> PAGE   \* MERGEFORMAT </w:instrText>
                      </w:r>
                      <w:r>
                        <w:rPr>
                          <w:rFonts w:asciiTheme="minorHAnsi" w:eastAsiaTheme="minorHAnsi" w:hAnsiTheme="minorHAnsi" w:cstheme="minorBidi"/>
                        </w:rPr>
                        <w:fldChar w:fldCharType="separate"/>
                      </w:r>
                      <w:r>
                        <w:rPr>
                          <w:rFonts w:ascii="Calibri" w:eastAsia="Calibri" w:hAnsi="Calibri" w:cs="Calibri"/>
                          <w:color w:val="17365D"/>
                          <w:sz w:val="16"/>
                        </w:rPr>
                        <w:t>76</w:t>
                      </w:r>
                      <w:r>
                        <w:rPr>
                          <w:rFonts w:ascii="Calibri" w:eastAsia="Calibri" w:hAnsi="Calibri" w:cs="Calibri"/>
                          <w:color w:val="17365D"/>
                          <w:sz w:val="16"/>
                        </w:rPr>
                        <w:fldChar w:fldCharType="end"/>
                      </w:r>
                    </w:p>
                  </w:txbxContent>
                </v:textbox>
              </v:rect>
              <v:rect id="Rectangle 23166" o:spid="_x0000_s1059" style="position:absolute;left:233934;top:107061;width:30691;height:138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" filled="f" stroked="f">
                <v:textbox inset="0,0,0,0">
                  <w:txbxContent>
                    <w:p w14:paraId="1776A3DB" w14:textId="77777777" w:rsidR="00D80693" w:rsidRDefault="00D80693">
                      <w:pPr>
                        <w:rPr>
                          <w:rFonts w:ascii="Calibri" w:eastAsia="Calibri" w:hAnsi="Calibri"/>
                        </w:rPr>
                      </w:pPr>
                      <w:r>
                        <w:rPr>
                          <w:rFonts w:ascii="Calibri" w:eastAsia="Calibri" w:hAnsi="Calibri" w:cs="Calibri"/>
                          <w:color w:val="17365D"/>
                          <w:sz w:val="16"/>
                        </w:rPr>
                        <w:t xml:space="preserve"> </w:t>
                      </w:r>
                    </w:p>
                  </w:txbxContent>
                </v:textbox>
              </v:rect>
              <v:shape id="Shape 23163" o:spid="_x0000_s1060" style="position:absolute;top:61595;width:281940;height:199390;visibility:visible;mso-wrap-style:square;v-text-anchor:top" coordsize="28194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" path="m,199390l281940,149543r,-99696l,,,199390xe" filled="f" strokecolor="#a5a5a5">
                <v:stroke endcap="round"/>
                <v:path arrowok="t" textboxrect="0,0,281940,199390"/>
              </v:shape>
              <v:shape id="Shape 23164" o:spid="_x0000_s1061" style="position:absolute;left:80645;top:61595;width:281939;height:199390;visibility:visible;mso-wrap-style:square;v-text-anchor:top" coordsize="281939,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" path="m281939,199390l,149543,,49847,281939,r,199390xe" filled="f" strokecolor="#a5a5a5">
                <v:stroke endcap="round"/>
                <v:path arrowok="t" textboxrect="0,0,281939,199390"/>
              </v:shape>
              <w10:wrap type="square" anchorx="page" anchory="page"/>
            </v:group>
          </w:pict>
        </mc:Fallback>
      </mc:AlternateContent>
    </w:r>
    <w:r w:rsidRPr="009458E2">
      <w:rPr>
        <w:rFonts w:asciiTheme="minorHAnsi" w:eastAsiaTheme="minorHAnsi" w:hAnsiTheme="minorHAnsi" w:cstheme="minorBidi"/>
        <w:sz w:val="18"/>
        <w:lang w:val="en-US"/>
      </w:rPr>
      <w:t xml:space="preserve">Available free at </w:t>
    </w:r>
    <w:r w:rsidRPr="009458E2">
      <w:rPr>
        <w:rFonts w:ascii="Calibri" w:eastAsia="Calibri" w:hAnsi="Calibri" w:cs="Calibri"/>
        <w:color w:val="0000FF"/>
        <w:sz w:val="18"/>
        <w:u w:val="single" w:color="0000FF"/>
        <w:lang w:val="en-US"/>
      </w:rPr>
      <w:t>www.hsd-fmsb.org</w:t>
    </w:r>
    <w:r w:rsidRPr="009458E2">
      <w:rPr>
        <w:rFonts w:asciiTheme="minorHAnsi" w:eastAsiaTheme="minorHAnsi" w:hAnsiTheme="minorHAnsi" w:cstheme="minorBidi"/>
        <w:sz w:val="18"/>
        <w:lang w:val="en-US"/>
      </w:rPr>
      <w:t xml:space="preserve"> </w:t>
    </w:r>
    <w:r w:rsidRPr="009458E2">
      <w:rPr>
        <w:rFonts w:asciiTheme="minorHAnsi" w:eastAsiaTheme="minorHAnsi" w:hAnsiTheme="minorHAnsi" w:cstheme="minorBidi"/>
        <w:sz w:val="18"/>
        <w:lang w:val="en-US"/>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D1E1" w14:textId="77777777" w:rsidR="008276DA" w:rsidRDefault="008276DA">
    <w:pPr>
      <w:pStyle w:val="Pieddepage"/>
      <w:jc w:val="center"/>
    </w:pPr>
    <w:r>
      <w:rPr>
        <w:noProof/>
        <w:sz w:val="20"/>
        <w:lang w:eastAsia="fr-FR"/>
      </w:rPr>
      <w:drawing>
        <wp:anchor distT="0" distB="0" distL="0" distR="0" simplePos="0" relativeHeight="251765248" behindDoc="1" locked="0" layoutInCell="1" allowOverlap="1" wp14:anchorId="32BCE25A" wp14:editId="13446094">
          <wp:simplePos x="0" y="0"/>
          <wp:positionH relativeFrom="page">
            <wp:posOffset>2880995</wp:posOffset>
          </wp:positionH>
          <wp:positionV relativeFrom="page">
            <wp:posOffset>10081895</wp:posOffset>
          </wp:positionV>
          <wp:extent cx="609600" cy="310515"/>
          <wp:effectExtent l="0" t="0" r="0" b="0"/>
          <wp:wrapNone/>
          <wp:docPr id="1136286915" name="Image 1136286915"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84915612"/>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DEA5B49" w14:textId="77777777" w:rsidR="008276DA" w:rsidRDefault="008276DA">
    <w:pPr>
      <w:spacing w:line="276" w:lineRule="auto"/>
      <w:rPr>
        <w:rFonts w:ascii="Calibri" w:eastAsia="DengXian" w:hAnsi="Calibri"/>
        <w:vanish/>
        <w:sz w:val="0"/>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C6D5D" w14:textId="77777777" w:rsidR="00D80693" w:rsidRPr="009458E2" w:rsidRDefault="00D80693">
    <w:pPr>
      <w:spacing w:after="6"/>
      <w:rPr>
        <w:rFonts w:ascii="Calibri" w:eastAsia="Calibri" w:hAnsi="Calibri"/>
        <w:lang w:val="en-US"/>
      </w:rPr>
    </w:pPr>
    <w:r w:rsidRPr="009458E2">
      <w:rPr>
        <w:rFonts w:asciiTheme="minorHAnsi" w:eastAsiaTheme="minorHAnsi" w:hAnsiTheme="minorHAnsi" w:cstheme="minorBidi"/>
        <w:sz w:val="18"/>
        <w:lang w:val="en-US"/>
      </w:rPr>
      <w:t>Health Sci.</w:t>
    </w:r>
    <w:r w:rsidRPr="009458E2">
      <w:rPr>
        <w:rFonts w:ascii="Calibri" w:eastAsia="Calibri" w:hAnsi="Calibri" w:cs="Calibri"/>
        <w:sz w:val="18"/>
        <w:lang w:val="en-US"/>
      </w:rPr>
      <w:t xml:space="preserve"> </w:t>
    </w:r>
    <w:r w:rsidRPr="009458E2">
      <w:rPr>
        <w:rFonts w:asciiTheme="minorHAnsi" w:eastAsiaTheme="minorHAnsi" w:hAnsiTheme="minorHAnsi" w:cstheme="minorBidi"/>
        <w:sz w:val="18"/>
        <w:lang w:val="en-US"/>
      </w:rPr>
      <w:t xml:space="preserve">Dis: Vol 22 (8) August 2021 pp 76-81 </w:t>
    </w:r>
  </w:p>
  <w:p w14:paraId="786C5F66" w14:textId="77777777" w:rsidR="00D80693" w:rsidRPr="009458E2" w:rsidRDefault="00D80693">
    <w:pPr>
      <w:rPr>
        <w:rFonts w:ascii="Calibri" w:eastAsia="Calibri" w:hAnsi="Calibri"/>
        <w:lang w:val="en-US"/>
      </w:rPr>
    </w:pPr>
    <w:r>
      <w:rPr>
        <w:rFonts w:ascii="Calibri" w:eastAsia="Calibri" w:hAnsi="Calibri" w:cs="Calibri"/>
        <w:noProof/>
        <w:lang w:val="fr-SN" w:eastAsia="fr-SN"/>
      </w:rPr>
      <mc:AlternateContent>
        <mc:Choice Requires="wpg">
          <w:drawing>
            <wp:anchor distT="0" distB="0" distL="114300" distR="114300" simplePos="0" relativeHeight="251716096" behindDoc="0" locked="0" layoutInCell="1" allowOverlap="1" wp14:anchorId="174A5347" wp14:editId="19698FF4">
              <wp:simplePos x="0" y="0"/>
              <wp:positionH relativeFrom="page">
                <wp:posOffset>6588760</wp:posOffset>
              </wp:positionH>
              <wp:positionV relativeFrom="page">
                <wp:posOffset>10039350</wp:posOffset>
              </wp:positionV>
              <wp:extent cx="362585" cy="321945"/>
              <wp:effectExtent l="0" t="0" r="0" b="0"/>
              <wp:wrapSquare wrapText="bothSides"/>
              <wp:docPr id="23024" name="Group 23024"/>
              <wp:cNvGraphicFramePr/>
              <a:graphic xmlns:a="http://schemas.openxmlformats.org/drawingml/2006/main">
                <a:graphicData uri="http://schemas.microsoft.com/office/word/2010/wordprocessingGroup">
                  <wpg:wgp>
                    <wpg:cNvGrpSpPr/>
                    <wpg:grpSpPr>
                      <a:xfrm>
                        <a:off x="0" y="0"/>
                        <a:ext cx="362585" cy="321945"/>
                        <a:chOff x="0" y="0"/>
                        <a:chExt cx="362585" cy="321945"/>
                      </a:xfrm>
                    </wpg:grpSpPr>
                    <wps:wsp>
                      <wps:cNvPr id="23025" name="Shape 23025"/>
                      <wps:cNvSpPr/>
                      <wps:spPr>
                        <a:xfrm>
                          <a:off x="11430" y="0"/>
                          <a:ext cx="340360" cy="321945"/>
                        </a:xfrm>
                        <a:custGeom>
                          <a:avLst/>
                          <a:gdLst/>
                          <a:ahLst/>
                          <a:cxnLst/>
                          <a:rect l="0" t="0" r="0" b="0"/>
                          <a:pathLst>
                            <a:path w="340360" h="321945">
                              <a:moveTo>
                                <a:pt x="170180" y="0"/>
                              </a:moveTo>
                              <a:lnTo>
                                <a:pt x="0" y="160972"/>
                              </a:lnTo>
                              <a:lnTo>
                                <a:pt x="170180" y="321945"/>
                              </a:lnTo>
                              <a:lnTo>
                                <a:pt x="340360" y="160972"/>
                              </a:lnTo>
                              <a:close/>
                            </a:path>
                          </a:pathLst>
                        </a:custGeom>
                        <a:noFill/>
                        <a:ln w="9525" cap="rnd">
                          <a:solidFill>
                            <a:srgbClr val="A5A5A5"/>
                          </a:solidFill>
                          <a:prstDash val="solid"/>
                          <a:round/>
                        </a:ln>
                        <a:effectLst/>
                      </wps:spPr>
                      <wps:bodyPr/>
                    </wps:wsp>
                    <wps:wsp>
                      <wps:cNvPr id="23026" name="Shape 23026"/>
                      <wps:cNvSpPr/>
                      <wps:spPr>
                        <a:xfrm>
                          <a:off x="46355" y="41910"/>
                          <a:ext cx="271145" cy="238125"/>
                        </a:xfrm>
                        <a:custGeom>
                          <a:avLst/>
                          <a:gdLst/>
                          <a:ahLst/>
                          <a:cxnLst/>
                          <a:rect l="0" t="0" r="0" b="0"/>
                          <a:pathLst>
                            <a:path w="271145" h="238125">
                              <a:moveTo>
                                <a:pt x="0" y="238125"/>
                              </a:moveTo>
                              <a:lnTo>
                                <a:pt x="271145" y="238125"/>
                              </a:lnTo>
                              <a:lnTo>
                                <a:pt x="271145" y="0"/>
                              </a:lnTo>
                              <a:lnTo>
                                <a:pt x="0" y="0"/>
                              </a:lnTo>
                              <a:close/>
                            </a:path>
                          </a:pathLst>
                        </a:custGeom>
                        <a:noFill/>
                        <a:ln w="9525" cap="rnd">
                          <a:solidFill>
                            <a:srgbClr val="A5A5A5"/>
                          </a:solidFill>
                          <a:prstDash val="solid"/>
                          <a:miter lim="101600"/>
                        </a:ln>
                        <a:effectLst/>
                      </wps:spPr>
                      <wps:bodyPr/>
                    </wps:wsp>
                    <wps:wsp>
                      <wps:cNvPr id="23029" name="Rectangle 23029"/>
                      <wps:cNvSpPr/>
                      <wps:spPr>
                        <a:xfrm>
                          <a:off x="130302" y="107061"/>
                          <a:ext cx="137768" cy="138323"/>
                        </a:xfrm>
                        <a:prstGeom prst="rect">
                          <a:avLst/>
                        </a:prstGeom>
                        <a:ln>
                          <a:noFill/>
                        </a:ln>
                      </wps:spPr>
                      <wps:txbx>
                        <w:txbxContent>
                          <w:p w14:paraId="1ABC3AD0" w14:textId="77777777" w:rsidR="00D80693" w:rsidRDefault="00D80693">
                            <w:pPr>
                              <w:rPr>
                                <w:rFonts w:ascii="Calibri" w:eastAsia="Calibri" w:hAnsi="Calibri"/>
                              </w:rPr>
                            </w:pPr>
                            <w:r>
                              <w:rPr>
                                <w:rFonts w:asciiTheme="minorHAnsi" w:eastAsiaTheme="minorHAnsi" w:hAnsiTheme="minorHAnsi" w:cstheme="minorBidi"/>
                              </w:rPr>
                              <w:fldChar w:fldCharType="begin"/>
                            </w:r>
                            <w:r>
                              <w:rPr>
                                <w:rFonts w:asciiTheme="minorHAnsi" w:eastAsiaTheme="minorHAnsi" w:hAnsiTheme="minorHAnsi" w:cstheme="minorBidi"/>
                              </w:rPr>
                              <w:instrText xml:space="preserve"> PAGE   \* MERGEFORMAT </w:instrText>
                            </w:r>
                            <w:r>
                              <w:rPr>
                                <w:rFonts w:asciiTheme="minorHAnsi" w:eastAsiaTheme="minorHAnsi" w:hAnsiTheme="minorHAnsi" w:cstheme="minorBidi"/>
                              </w:rPr>
                              <w:fldChar w:fldCharType="separate"/>
                            </w:r>
                            <w:r>
                              <w:rPr>
                                <w:rFonts w:ascii="Calibri" w:eastAsia="Calibri" w:hAnsi="Calibri" w:cs="Calibri"/>
                                <w:color w:val="17365D"/>
                                <w:sz w:val="16"/>
                              </w:rPr>
                              <w:t>76</w:t>
                            </w:r>
                            <w:r>
                              <w:rPr>
                                <w:rFonts w:ascii="Calibri" w:eastAsia="Calibri" w:hAnsi="Calibri" w:cs="Calibri"/>
                                <w:color w:val="17365D"/>
                                <w:sz w:val="16"/>
                              </w:rPr>
                              <w:fldChar w:fldCharType="end"/>
                            </w:r>
                          </w:p>
                        </w:txbxContent>
                      </wps:txbx>
                      <wps:bodyPr horzOverflow="overflow" vert="horz" lIns="0" tIns="0" rIns="0" bIns="0" rtlCol="0"/>
                    </wps:wsp>
                    <wps:wsp>
                      <wps:cNvPr id="23030" name="Rectangle 23030"/>
                      <wps:cNvSpPr/>
                      <wps:spPr>
                        <a:xfrm>
                          <a:off x="233934" y="107061"/>
                          <a:ext cx="30691" cy="138323"/>
                        </a:xfrm>
                        <a:prstGeom prst="rect">
                          <a:avLst/>
                        </a:prstGeom>
                        <a:ln>
                          <a:noFill/>
                        </a:ln>
                      </wps:spPr>
                      <wps:txbx>
                        <w:txbxContent>
                          <w:p w14:paraId="4228FADB" w14:textId="77777777" w:rsidR="00D80693" w:rsidRDefault="00D80693">
                            <w:pPr>
                              <w:rPr>
                                <w:rFonts w:ascii="Calibri" w:eastAsia="Calibri" w:hAnsi="Calibri"/>
                              </w:rPr>
                            </w:pPr>
                            <w:r>
                              <w:rPr>
                                <w:rFonts w:ascii="Calibri" w:eastAsia="Calibri" w:hAnsi="Calibri" w:cs="Calibri"/>
                                <w:color w:val="17365D"/>
                                <w:sz w:val="16"/>
                              </w:rPr>
                              <w:t xml:space="preserve"> </w:t>
                            </w:r>
                          </w:p>
                        </w:txbxContent>
                      </wps:txbx>
                      <wps:bodyPr horzOverflow="overflow" vert="horz" lIns="0" tIns="0" rIns="0" bIns="0" rtlCol="0"/>
                    </wps:wsp>
                    <wps:wsp>
                      <wps:cNvPr id="23027" name="Shape 23027"/>
                      <wps:cNvSpPr/>
                      <wps:spPr>
                        <a:xfrm>
                          <a:off x="0" y="61595"/>
                          <a:ext cx="281940" cy="199390"/>
                        </a:xfrm>
                        <a:custGeom>
                          <a:avLst/>
                          <a:gdLst/>
                          <a:ahLst/>
                          <a:cxnLst/>
                          <a:rect l="0" t="0" r="0" b="0"/>
                          <a:pathLst>
                            <a:path w="281940" h="199390">
                              <a:moveTo>
                                <a:pt x="0" y="199390"/>
                              </a:moveTo>
                              <a:lnTo>
                                <a:pt x="281940" y="149543"/>
                              </a:lnTo>
                              <a:lnTo>
                                <a:pt x="281940" y="49847"/>
                              </a:lnTo>
                              <a:lnTo>
                                <a:pt x="0" y="0"/>
                              </a:lnTo>
                              <a:lnTo>
                                <a:pt x="0" y="199390"/>
                              </a:lnTo>
                              <a:close/>
                            </a:path>
                          </a:pathLst>
                        </a:custGeom>
                        <a:noFill/>
                        <a:ln w="9525" cap="rnd">
                          <a:solidFill>
                            <a:srgbClr val="A5A5A5"/>
                          </a:solidFill>
                          <a:prstDash val="solid"/>
                          <a:round/>
                        </a:ln>
                        <a:effectLst/>
                      </wps:spPr>
                      <wps:bodyPr/>
                    </wps:wsp>
                    <wps:wsp>
                      <wps:cNvPr id="23028" name="Shape 23028"/>
                      <wps:cNvSpPr/>
                      <wps:spPr>
                        <a:xfrm>
                          <a:off x="80645" y="61595"/>
                          <a:ext cx="281939" cy="199390"/>
                        </a:xfrm>
                        <a:custGeom>
                          <a:avLst/>
                          <a:gdLst/>
                          <a:ahLst/>
                          <a:cxnLst/>
                          <a:rect l="0" t="0" r="0" b="0"/>
                          <a:pathLst>
                            <a:path w="281939" h="199390">
                              <a:moveTo>
                                <a:pt x="281939" y="199390"/>
                              </a:moveTo>
                              <a:lnTo>
                                <a:pt x="0" y="149543"/>
                              </a:lnTo>
                              <a:lnTo>
                                <a:pt x="0" y="49847"/>
                              </a:lnTo>
                              <a:lnTo>
                                <a:pt x="281939" y="0"/>
                              </a:lnTo>
                              <a:lnTo>
                                <a:pt x="281939" y="199390"/>
                              </a:lnTo>
                              <a:close/>
                            </a:path>
                          </a:pathLst>
                        </a:custGeom>
                        <a:noFill/>
                        <a:ln w="9525" cap="rnd">
                          <a:solidFill>
                            <a:srgbClr val="A5A5A5"/>
                          </a:solidFill>
                          <a:prstDash val="solid"/>
                          <a:round/>
                        </a:ln>
                        <a:effectLst/>
                      </wps:spPr>
                      <wps:bodyPr/>
                    </wps:wsp>
                  </wpg:wgp>
                </a:graphicData>
              </a:graphic>
            </wp:anchor>
          </w:drawing>
        </mc:Choice>
        <mc:Fallback>
          <w:pict>
            <v:group w14:anchorId="174A5347" id="Group 23024" o:spid="_x0000_s1062" style="position:absolute;margin-left:518.8pt;margin-top:790.5pt;width:28.55pt;height:25.35pt;z-index:251716096;mso-position-horizontal-relative:page;mso-position-vertical-relative:page" coordsize="3625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">
              <v:shape id="Shape 23025" o:spid="_x0000_s1063" style="position:absolute;left:11430;width:340360;height:321945;visibility:visible;mso-wrap-style:square;v-text-anchor:top" coordsize="3403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" path="m170180,l,160972,170180,321945,340360,160972,170180,xe" filled="f" strokecolor="#a5a5a5">
                <v:stroke endcap="round"/>
                <v:path arrowok="t" textboxrect="0,0,340360,321945"/>
              </v:shape>
              <v:shape id="Shape 23026" o:spid="_x0000_s1064" style="position:absolute;left:46355;top:41910;width:271145;height:238125;visibility:visible;mso-wrap-style:square;v-text-anchor:top" coordsize="2711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" path="m,238125r271145,l271145,,,,,238125xe" filled="f" strokecolor="#a5a5a5">
                <v:stroke miterlimit="66585f" joinstyle="miter" endcap="round"/>
                <v:path arrowok="t" textboxrect="0,0,271145,238125"/>
              </v:shape>
              <v:rect id="Rectangle 23029" o:spid="_x0000_s1065" style="position:absolute;left:130302;top:107061;width:137768;height:138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joxgAAAN4AAAAPAAAAZHJzL2Rvd25yZXYueG1sRI9Ba8JA&#10;FITvgv9heUJvujEF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BXj46MYAAADeAAAA&#10;DwAAAAAAAAAAAAAAAAAHAgAAZHJzL2Rvd25yZXYueG1sUEsFBgAAAAADAAMAtwAAAPoCAAAAAA==&#10;" filled="f" stroked="f">
                <v:textbox inset="0,0,0,0">
                  <w:txbxContent>
                    <w:p w14:paraId="1ABC3AD0" w14:textId="77777777" w:rsidR="00D80693" w:rsidRDefault="00D80693">
                      <w:pPr>
                        <w:rPr>
                          <w:rFonts w:ascii="Calibri" w:eastAsia="Calibri" w:hAnsi="Calibri"/>
                        </w:rPr>
                      </w:pPr>
                      <w:r>
                        <w:rPr>
                          <w:rFonts w:asciiTheme="minorHAnsi" w:eastAsiaTheme="minorHAnsi" w:hAnsiTheme="minorHAnsi" w:cstheme="minorBidi"/>
                        </w:rPr>
                        <w:fldChar w:fldCharType="begin"/>
                      </w:r>
                      <w:r>
                        <w:rPr>
                          <w:rFonts w:asciiTheme="minorHAnsi" w:eastAsiaTheme="minorHAnsi" w:hAnsiTheme="minorHAnsi" w:cstheme="minorBidi"/>
                        </w:rPr>
                        <w:instrText xml:space="preserve"> PAGE   \* MERGEFORMAT </w:instrText>
                      </w:r>
                      <w:r>
                        <w:rPr>
                          <w:rFonts w:asciiTheme="minorHAnsi" w:eastAsiaTheme="minorHAnsi" w:hAnsiTheme="minorHAnsi" w:cstheme="minorBidi"/>
                        </w:rPr>
                        <w:fldChar w:fldCharType="separate"/>
                      </w:r>
                      <w:r>
                        <w:rPr>
                          <w:rFonts w:ascii="Calibri" w:eastAsia="Calibri" w:hAnsi="Calibri" w:cs="Calibri"/>
                          <w:color w:val="17365D"/>
                          <w:sz w:val="16"/>
                        </w:rPr>
                        <w:t>76</w:t>
                      </w:r>
                      <w:r>
                        <w:rPr>
                          <w:rFonts w:ascii="Calibri" w:eastAsia="Calibri" w:hAnsi="Calibri" w:cs="Calibri"/>
                          <w:color w:val="17365D"/>
                          <w:sz w:val="16"/>
                        </w:rPr>
                        <w:fldChar w:fldCharType="end"/>
                      </w:r>
                    </w:p>
                  </w:txbxContent>
                </v:textbox>
              </v:rect>
              <v:rect id="Rectangle 23030" o:spid="_x0000_s1066" style="position:absolute;left:233934;top:107061;width:30691;height:138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eoxAAAAN4AAAAPAAAAZHJzL2Rvd25yZXYueG1sRI/LisIw&#10;FIb3gu8QjjA7TVUY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BGbx6jEAAAA3gAAAA8A&#10;AAAAAAAAAAAAAAAABwIAAGRycy9kb3ducmV2LnhtbFBLBQYAAAAAAwADALcAAAD4AgAAAAA=&#10;" filled="f" stroked="f">
                <v:textbox inset="0,0,0,0">
                  <w:txbxContent>
                    <w:p w14:paraId="4228FADB" w14:textId="77777777" w:rsidR="00D80693" w:rsidRDefault="00D80693">
                      <w:pPr>
                        <w:rPr>
                          <w:rFonts w:ascii="Calibri" w:eastAsia="Calibri" w:hAnsi="Calibri"/>
                        </w:rPr>
                      </w:pPr>
                      <w:r>
                        <w:rPr>
                          <w:rFonts w:ascii="Calibri" w:eastAsia="Calibri" w:hAnsi="Calibri" w:cs="Calibri"/>
                          <w:color w:val="17365D"/>
                          <w:sz w:val="16"/>
                        </w:rPr>
                        <w:t xml:space="preserve"> </w:t>
                      </w:r>
                    </w:p>
                  </w:txbxContent>
                </v:textbox>
              </v:rect>
              <v:shape id="Shape 23027" o:spid="_x0000_s1067" style="position:absolute;top:61595;width:281940;height:199390;visibility:visible;mso-wrap-style:square;v-text-anchor:top" coordsize="28194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" path="m,199390l281940,149543r,-99696l,,,199390xe" filled="f" strokecolor="#a5a5a5">
                <v:stroke endcap="round"/>
                <v:path arrowok="t" textboxrect="0,0,281940,199390"/>
              </v:shape>
              <v:shape id="Shape 23028" o:spid="_x0000_s1068" style="position:absolute;left:80645;top:61595;width:281939;height:199390;visibility:visible;mso-wrap-style:square;v-text-anchor:top" coordsize="281939,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" path="m281939,199390l,149543,,49847,281939,r,199390xe" filled="f" strokecolor="#a5a5a5">
                <v:stroke endcap="round"/>
                <v:path arrowok="t" textboxrect="0,0,281939,199390"/>
              </v:shape>
              <w10:wrap type="square" anchorx="page" anchory="page"/>
            </v:group>
          </w:pict>
        </mc:Fallback>
      </mc:AlternateContent>
    </w:r>
    <w:r w:rsidRPr="009458E2">
      <w:rPr>
        <w:rFonts w:asciiTheme="minorHAnsi" w:eastAsiaTheme="minorHAnsi" w:hAnsiTheme="minorHAnsi" w:cstheme="minorBidi"/>
        <w:sz w:val="18"/>
        <w:lang w:val="en-US"/>
      </w:rPr>
      <w:t xml:space="preserve">Available free at </w:t>
    </w:r>
    <w:r w:rsidRPr="009458E2">
      <w:rPr>
        <w:rFonts w:ascii="Calibri" w:eastAsia="Calibri" w:hAnsi="Calibri" w:cs="Calibri"/>
        <w:color w:val="0000FF"/>
        <w:sz w:val="18"/>
        <w:u w:val="single" w:color="0000FF"/>
        <w:lang w:val="en-US"/>
      </w:rPr>
      <w:t>www.hsd-fmsb.org</w:t>
    </w:r>
    <w:r w:rsidRPr="009458E2">
      <w:rPr>
        <w:rFonts w:asciiTheme="minorHAnsi" w:eastAsiaTheme="minorHAnsi" w:hAnsiTheme="minorHAnsi" w:cstheme="minorBidi"/>
        <w:sz w:val="18"/>
        <w:lang w:val="en-US"/>
      </w:rPr>
      <w:t xml:space="preserve"> </w:t>
    </w:r>
    <w:r w:rsidRPr="009458E2">
      <w:rPr>
        <w:rFonts w:asciiTheme="minorHAnsi" w:eastAsiaTheme="minorHAnsi" w:hAnsiTheme="minorHAnsi" w:cstheme="minorBidi"/>
        <w:sz w:val="18"/>
        <w:lang w:val="en-US"/>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AD19" w14:textId="77777777" w:rsidR="00D80693" w:rsidRDefault="00D80693">
    <w:pPr>
      <w:spacing w:line="276" w:lineRule="auto"/>
      <w:rPr>
        <w:rFonts w:ascii="Calibri" w:eastAsia="DengXian" w:hAnsi="Calibri"/>
        <w:vanish/>
        <w:sz w:val="0"/>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3897" w14:textId="77777777" w:rsidR="00D80693" w:rsidRDefault="00D80693">
    <w:pPr>
      <w:spacing w:line="276" w:lineRule="auto"/>
      <w:rPr>
        <w:rFonts w:ascii="Calibri" w:eastAsia="DengXian" w:hAnsi="Calibri"/>
        <w:vanish/>
        <w:sz w:val="0"/>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229E4" w14:textId="3A9C9BC0" w:rsidR="00683CCD" w:rsidRDefault="00683CCD">
    <w:pPr>
      <w:pStyle w:val="Corpsdetexte"/>
      <w:spacing w:before="0" w:line="14" w:lineRule="auto"/>
      <w:ind w:left="0"/>
      <w:jc w:val="left"/>
      <w:rPr>
        <w:sz w:val="20"/>
      </w:rPr>
    </w:pPr>
    <w:r>
      <w:rPr>
        <w:noProof/>
        <w:sz w:val="20"/>
        <w:lang w:eastAsia="fr-FR"/>
      </w:rPr>
      <w:drawing>
        <wp:anchor distT="0" distB="0" distL="0" distR="0" simplePos="0" relativeHeight="251608576" behindDoc="1" locked="0" layoutInCell="1" allowOverlap="1" wp14:anchorId="2BBBFBC6" wp14:editId="00A20E39">
          <wp:simplePos x="0" y="0"/>
          <wp:positionH relativeFrom="page">
            <wp:posOffset>3472053</wp:posOffset>
          </wp:positionH>
          <wp:positionV relativeFrom="page">
            <wp:posOffset>9867900</wp:posOffset>
          </wp:positionV>
          <wp:extent cx="609600" cy="310738"/>
          <wp:effectExtent l="0" t="0" r="0" b="0"/>
          <wp:wrapNone/>
          <wp:docPr id="940453399" name="Image 940453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609600" cy="310738"/>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fr-FR"/>
      </w:rPr>
      <mc:AlternateContent>
        <mc:Choice Requires="wps">
          <w:drawing>
            <wp:anchor distT="0" distB="0" distL="0" distR="0" simplePos="0" relativeHeight="251610624" behindDoc="1" locked="0" layoutInCell="1" allowOverlap="1" wp14:anchorId="2A0BA03A" wp14:editId="1B0E9FD3">
              <wp:simplePos x="0" y="0"/>
              <wp:positionH relativeFrom="page">
                <wp:posOffset>4089272</wp:posOffset>
              </wp:positionH>
              <wp:positionV relativeFrom="page">
                <wp:posOffset>9739070</wp:posOffset>
              </wp:positionV>
              <wp:extent cx="1689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83B959A" w14:textId="77777777" w:rsidR="00683CCD" w:rsidRDefault="00683CC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7391D">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A0BA03A" id="_x0000_t202" coordsize="21600,21600" o:spt="202" path="m,l,21600r21600,l21600,xe">
              <v:stroke joinstyle="miter"/>
              <v:path gradientshapeok="t" o:connecttype="rect"/>
            </v:shapetype>
            <v:shape id="Textbox 18" o:spid="_x0000_s1034" type="#_x0000_t202" style="position:absolute;margin-left:322pt;margin-top:766.85pt;width:13.3pt;height:13.05pt;z-index:-251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7/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" filled="f" stroked="f">
              <v:textbox inset="0,0,0,0">
                <w:txbxContent>
                  <w:p w14:paraId="383B959A" w14:textId="77777777" w:rsidR="00683CCD" w:rsidRDefault="00683CC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7391D">
                      <w:rPr>
                        <w:rFonts w:ascii="Calibri"/>
                        <w:noProof/>
                        <w:spacing w:val="-5"/>
                      </w:rPr>
                      <w:t>10</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D393" w14:textId="58CAC8D3" w:rsidR="00735D3E" w:rsidRDefault="00735D3E">
    <w:pPr>
      <w:pStyle w:val="Pieddepage"/>
      <w:jc w:val="center"/>
    </w:pPr>
    <w:r>
      <w:rPr>
        <w:noProof/>
        <w:sz w:val="20"/>
        <w:lang w:eastAsia="fr-FR"/>
      </w:rPr>
      <w:drawing>
        <wp:anchor distT="0" distB="0" distL="0" distR="0" simplePos="0" relativeHeight="251767296" behindDoc="1" locked="0" layoutInCell="1" allowOverlap="1" wp14:anchorId="07D8A683" wp14:editId="76872C7A">
          <wp:simplePos x="0" y="0"/>
          <wp:positionH relativeFrom="page">
            <wp:posOffset>2880995</wp:posOffset>
          </wp:positionH>
          <wp:positionV relativeFrom="page">
            <wp:posOffset>10081895</wp:posOffset>
          </wp:positionV>
          <wp:extent cx="609600" cy="310515"/>
          <wp:effectExtent l="0" t="0" r="0" b="0"/>
          <wp:wrapNone/>
          <wp:docPr id="874408880" name="Image 874408880"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109627190"/>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22BEABFC" w14:textId="77777777" w:rsidR="00735D3E" w:rsidRDefault="00735D3E">
    <w:pPr>
      <w:spacing w:line="276" w:lineRule="auto"/>
      <w:rPr>
        <w:rFonts w:ascii="Calibri" w:eastAsia="DengXian" w:hAnsi="Calibri"/>
        <w:vanish/>
        <w:sz w:val="0"/>
        <w:szCs w:val="2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CDE7" w14:textId="77777777" w:rsidR="00683CCD" w:rsidRDefault="00683CCD">
    <w:pPr>
      <w:pStyle w:val="Corpsdetexte"/>
      <w:spacing w:before="0" w:line="14" w:lineRule="auto"/>
      <w:ind w:left="0"/>
      <w:jc w:val="left"/>
      <w:rPr>
        <w:sz w:val="20"/>
      </w:rPr>
    </w:pPr>
    <w:r>
      <w:rPr>
        <w:noProof/>
        <w:sz w:val="20"/>
        <w:lang w:eastAsia="fr-FR"/>
      </w:rPr>
      <w:drawing>
        <wp:anchor distT="0" distB="0" distL="0" distR="0" simplePos="0" relativeHeight="251713024" behindDoc="1" locked="0" layoutInCell="1" allowOverlap="1" wp14:anchorId="153E40A2" wp14:editId="10423323">
          <wp:simplePos x="0" y="0"/>
          <wp:positionH relativeFrom="page">
            <wp:posOffset>3285627</wp:posOffset>
          </wp:positionH>
          <wp:positionV relativeFrom="page">
            <wp:posOffset>9521825</wp:posOffset>
          </wp:positionV>
          <wp:extent cx="779007" cy="507869"/>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 cstate="print"/>
                  <a:stretch>
                    <a:fillRect/>
                  </a:stretch>
                </pic:blipFill>
                <pic:spPr>
                  <a:xfrm>
                    <a:off x="0" y="0"/>
                    <a:ext cx="779007" cy="507869"/>
                  </a:xfrm>
                  <a:prstGeom prst="rect">
                    <a:avLst/>
                  </a:prstGeom>
                </pic:spPr>
              </pic:pic>
            </a:graphicData>
          </a:graphic>
        </wp:anchor>
      </w:drawing>
    </w:r>
    <w:r>
      <w:rPr>
        <w:noProof/>
        <w:sz w:val="20"/>
        <w:lang w:eastAsia="fr-FR"/>
      </w:rPr>
      <mc:AlternateContent>
        <mc:Choice Requires="wps">
          <w:drawing>
            <wp:anchor distT="0" distB="0" distL="0" distR="0" simplePos="0" relativeHeight="251714048" behindDoc="1" locked="0" layoutInCell="1" allowOverlap="1" wp14:anchorId="56B0869A" wp14:editId="4D28A753">
              <wp:simplePos x="0" y="0"/>
              <wp:positionH relativeFrom="page">
                <wp:posOffset>4027296</wp:posOffset>
              </wp:positionH>
              <wp:positionV relativeFrom="page">
                <wp:posOffset>9917379</wp:posOffset>
              </wp:positionV>
              <wp:extent cx="301625" cy="16573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2367F839" w14:textId="77777777" w:rsidR="00683CCD" w:rsidRDefault="00683C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47BE5">
                            <w:rPr>
                              <w:rFonts w:ascii="Calibri"/>
                              <w:noProof/>
                              <w:spacing w:val="-5"/>
                            </w:rPr>
                            <w:t>510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6B0869A" id="_x0000_t202" coordsize="21600,21600" o:spt="202" path="m,l,21600r21600,l21600,xe">
              <v:stroke joinstyle="miter"/>
              <v:path gradientshapeok="t" o:connecttype="rect"/>
            </v:shapetype>
            <v:shape id="Textbox 245" o:spid="_x0000_s1071" type="#_x0000_t202" style="position:absolute;margin-left:317.1pt;margin-top:780.9pt;width:23.75pt;height:13.0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" filled="f" stroked="f">
              <v:textbox inset="0,0,0,0">
                <w:txbxContent>
                  <w:p w14:paraId="2367F839" w14:textId="77777777" w:rsidR="00683CCD" w:rsidRDefault="00683C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47BE5">
                      <w:rPr>
                        <w:rFonts w:ascii="Calibri"/>
                        <w:noProof/>
                        <w:spacing w:val="-5"/>
                      </w:rPr>
                      <w:t>510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B681" w14:textId="77777777" w:rsidR="00C84751" w:rsidRDefault="00C84751">
    <w:pPr>
      <w:pStyle w:val="Corpsdetexte"/>
      <w:spacing w:before="0" w:line="14" w:lineRule="auto"/>
      <w:ind w:left="0"/>
      <w:jc w:val="left"/>
      <w:rPr>
        <w:sz w:val="20"/>
      </w:rPr>
    </w:pPr>
    <w:r>
      <w:rPr>
        <w:noProof/>
        <w:sz w:val="20"/>
        <w:lang w:eastAsia="fr-FR"/>
      </w:rPr>
      <w:drawing>
        <wp:anchor distT="0" distB="0" distL="0" distR="0" simplePos="0" relativeHeight="251769344" behindDoc="1" locked="0" layoutInCell="1" allowOverlap="1" wp14:anchorId="27BA7850" wp14:editId="09CFCEB2">
          <wp:simplePos x="0" y="0"/>
          <wp:positionH relativeFrom="page">
            <wp:posOffset>3343402</wp:posOffset>
          </wp:positionH>
          <wp:positionV relativeFrom="page">
            <wp:posOffset>9867900</wp:posOffset>
          </wp:positionV>
          <wp:extent cx="609600" cy="310738"/>
          <wp:effectExtent l="0" t="0" r="0" b="0"/>
          <wp:wrapNone/>
          <wp:docPr id="2012059517" name="Image 2012059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609600" cy="310738"/>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fr-FR"/>
      </w:rPr>
      <mc:AlternateContent>
        <mc:Choice Requires="wps">
          <w:drawing>
            <wp:anchor distT="0" distB="0" distL="0" distR="0" simplePos="0" relativeHeight="251770368" behindDoc="1" locked="0" layoutInCell="1" allowOverlap="1" wp14:anchorId="041F4671" wp14:editId="3EDE1B04">
              <wp:simplePos x="0" y="0"/>
              <wp:positionH relativeFrom="page">
                <wp:posOffset>4089272</wp:posOffset>
              </wp:positionH>
              <wp:positionV relativeFrom="page">
                <wp:posOffset>9739070</wp:posOffset>
              </wp:positionV>
              <wp:extent cx="168910" cy="150495"/>
              <wp:effectExtent l="0" t="0" r="0" b="0"/>
              <wp:wrapNone/>
              <wp:docPr id="96716507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50495"/>
                      </a:xfrm>
                      <a:prstGeom prst="rect">
                        <a:avLst/>
                      </a:prstGeom>
                    </wps:spPr>
                    <wps:txbx>
                      <w:txbxContent>
                        <w:p w14:paraId="1D3445C1" w14:textId="77777777" w:rsidR="00C84751" w:rsidRDefault="00C8475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41F4671" id="_x0000_t202" coordsize="21600,21600" o:spt="202" path="m,l,21600r21600,l21600,xe">
              <v:stroke joinstyle="miter"/>
              <v:path gradientshapeok="t" o:connecttype="rect"/>
            </v:shapetype>
            <v:shape id="_x0000_s1037" type="#_x0000_t202" style="position:absolute;margin-left:322pt;margin-top:766.85pt;width:13.3pt;height:11.85pt;z-index:-2515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" filled="f" stroked="f">
              <v:textbox inset="0,0,0,0">
                <w:txbxContent>
                  <w:p w14:paraId="1D3445C1" w14:textId="77777777" w:rsidR="00C84751" w:rsidRDefault="00C8475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10</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17C0C" w14:textId="42AB3A83" w:rsidR="00D80693" w:rsidRDefault="00813D27" w:rsidP="00813D27">
    <w:pPr>
      <w:tabs>
        <w:tab w:val="center" w:pos="4536"/>
        <w:tab w:val="right" w:pos="9072"/>
      </w:tabs>
      <w:jc w:val="center"/>
      <w:rPr>
        <w:rFonts w:ascii="Aptos" w:eastAsia="Aptos" w:hAnsi="Aptos"/>
        <w:kern w:val="2"/>
        <w14:ligatures w14:val="standardContextual"/>
      </w:rPr>
    </w:pPr>
    <w:r>
      <w:rPr>
        <w:noProof/>
        <w:sz w:val="20"/>
        <w:lang w:eastAsia="fr-FR"/>
      </w:rPr>
      <w:drawing>
        <wp:anchor distT="0" distB="0" distL="0" distR="0" simplePos="0" relativeHeight="251730432" behindDoc="1" locked="0" layoutInCell="1" allowOverlap="1" wp14:anchorId="70AC5EE6" wp14:editId="3DF0912D">
          <wp:simplePos x="0" y="0"/>
          <wp:positionH relativeFrom="page">
            <wp:posOffset>3034030</wp:posOffset>
          </wp:positionH>
          <wp:positionV relativeFrom="page">
            <wp:posOffset>9907905</wp:posOffset>
          </wp:positionV>
          <wp:extent cx="609600" cy="310738"/>
          <wp:effectExtent l="0" t="0" r="0" b="0"/>
          <wp:wrapNone/>
          <wp:docPr id="291498050" name="Image 291498050"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738"/>
                  </a:xfrm>
                  <a:prstGeom prst="rect">
                    <a:avLst/>
                  </a:prstGeom>
                </pic:spPr>
              </pic:pic>
            </a:graphicData>
          </a:graphic>
          <wp14:sizeRelH relativeFrom="margin">
            <wp14:pctWidth>0</wp14:pctWidth>
          </wp14:sizeRelH>
          <wp14:sizeRelV relativeFrom="margin">
            <wp14:pctHeight>0</wp14:pctHeight>
          </wp14:sizeRelV>
        </wp:anchor>
      </w:drawing>
    </w:r>
    <w:sdt>
      <w:sdtPr>
        <w:id w:val="1247228490"/>
        <w:docPartObj>
          <w:docPartGallery w:val="Page Numbers (Bottom of Page)"/>
          <w:docPartUnique/>
        </w:docPartObj>
      </w:sdtPr>
      <w:sdtContent>
        <w:r w:rsidR="00D80693">
          <w:rPr>
            <w:rFonts w:ascii="Aptos" w:eastAsia="Aptos" w:hAnsi="Aptos"/>
            <w:kern w:val="2"/>
            <w14:ligatures w14:val="standardContextual"/>
          </w:rPr>
          <w:fldChar w:fldCharType="begin"/>
        </w:r>
        <w:r w:rsidR="00D80693">
          <w:rPr>
            <w:rFonts w:ascii="Aptos" w:eastAsia="Aptos" w:hAnsi="Aptos"/>
            <w:kern w:val="2"/>
            <w14:ligatures w14:val="standardContextual"/>
          </w:rPr>
          <w:instrText>PAGE   \* MERGEFORMAT</w:instrText>
        </w:r>
        <w:r w:rsidR="00D80693">
          <w:rPr>
            <w:rFonts w:ascii="Aptos" w:eastAsia="Aptos" w:hAnsi="Aptos"/>
            <w:kern w:val="2"/>
            <w14:ligatures w14:val="standardContextual"/>
          </w:rPr>
          <w:fldChar w:fldCharType="separate"/>
        </w:r>
        <w:r w:rsidR="00D80693">
          <w:rPr>
            <w:rFonts w:ascii="Aptos" w:eastAsia="Aptos" w:hAnsi="Aptos"/>
            <w:noProof/>
            <w:kern w:val="2"/>
            <w14:ligatures w14:val="standardContextual"/>
          </w:rPr>
          <w:t>20</w:t>
        </w:r>
        <w:r w:rsidR="00D80693">
          <w:rPr>
            <w:rFonts w:ascii="Aptos" w:eastAsia="Aptos" w:hAnsi="Aptos"/>
            <w:kern w:val="2"/>
            <w14:ligatures w14:val="standardContextual"/>
          </w:rPr>
          <w:fldChar w:fldCharType="end"/>
        </w:r>
      </w:sdtContent>
    </w:sdt>
  </w:p>
  <w:p w14:paraId="7F40902D" w14:textId="60481BE8" w:rsidR="00D80693" w:rsidRDefault="00D80693">
    <w:pPr>
      <w:tabs>
        <w:tab w:val="center" w:pos="4536"/>
        <w:tab w:val="right" w:pos="9072"/>
      </w:tabs>
      <w:rPr>
        <w:rFonts w:ascii="Aptos" w:eastAsia="Aptos" w:hAnsi="Aptos"/>
        <w:kern w:val="2"/>
        <w14:ligatures w14:val="standardContextu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A6D1" w14:textId="1C7E5A02" w:rsidR="008F0E54" w:rsidRDefault="008F0E54">
    <w:pPr>
      <w:pStyle w:val="Pieddepage"/>
      <w:jc w:val="center"/>
    </w:pPr>
    <w:r>
      <w:rPr>
        <w:noProof/>
        <w:sz w:val="20"/>
        <w:lang w:eastAsia="fr-FR"/>
      </w:rPr>
      <w:drawing>
        <wp:anchor distT="0" distB="0" distL="0" distR="0" simplePos="0" relativeHeight="251738624" behindDoc="1" locked="0" layoutInCell="1" allowOverlap="1" wp14:anchorId="364FC3F6" wp14:editId="342C47EA">
          <wp:simplePos x="0" y="0"/>
          <wp:positionH relativeFrom="page">
            <wp:posOffset>3071495</wp:posOffset>
          </wp:positionH>
          <wp:positionV relativeFrom="page">
            <wp:posOffset>9998075</wp:posOffset>
          </wp:positionV>
          <wp:extent cx="609600" cy="310738"/>
          <wp:effectExtent l="0" t="0" r="0" b="0"/>
          <wp:wrapNone/>
          <wp:docPr id="538297984" name="Image 538297984"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738"/>
                  </a:xfrm>
                  <a:prstGeom prst="rect">
                    <a:avLst/>
                  </a:prstGeom>
                </pic:spPr>
              </pic:pic>
            </a:graphicData>
          </a:graphic>
          <wp14:sizeRelH relativeFrom="margin">
            <wp14:pctWidth>0</wp14:pctWidth>
          </wp14:sizeRelH>
          <wp14:sizeRelV relativeFrom="margin">
            <wp14:pctHeight>0</wp14:pctHeight>
          </wp14:sizeRelV>
        </wp:anchor>
      </w:drawing>
    </w:r>
    <w:sdt>
      <w:sdtPr>
        <w:id w:val="-47461015"/>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655D538E" w14:textId="77777777" w:rsidR="00D80693" w:rsidRDefault="00D80693">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B556" w14:textId="13678075" w:rsidR="007944D2" w:rsidRDefault="007944D2">
    <w:pPr>
      <w:pStyle w:val="Pieddepage"/>
      <w:jc w:val="center"/>
    </w:pPr>
    <w:r>
      <w:rPr>
        <w:noProof/>
        <w:sz w:val="20"/>
        <w:lang w:eastAsia="fr-FR"/>
      </w:rPr>
      <w:drawing>
        <wp:anchor distT="0" distB="0" distL="0" distR="0" simplePos="0" relativeHeight="251743744" behindDoc="1" locked="0" layoutInCell="1" allowOverlap="1" wp14:anchorId="04B7BF0E" wp14:editId="69A6ACAA">
          <wp:simplePos x="0" y="0"/>
          <wp:positionH relativeFrom="page">
            <wp:posOffset>2972435</wp:posOffset>
          </wp:positionH>
          <wp:positionV relativeFrom="page">
            <wp:posOffset>9829165</wp:posOffset>
          </wp:positionV>
          <wp:extent cx="609600" cy="310738"/>
          <wp:effectExtent l="0" t="0" r="0" b="0"/>
          <wp:wrapNone/>
          <wp:docPr id="942625279" name="Image 942625279"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738"/>
                  </a:xfrm>
                  <a:prstGeom prst="rect">
                    <a:avLst/>
                  </a:prstGeom>
                </pic:spPr>
              </pic:pic>
            </a:graphicData>
          </a:graphic>
          <wp14:sizeRelH relativeFrom="margin">
            <wp14:pctWidth>0</wp14:pctWidth>
          </wp14:sizeRelH>
          <wp14:sizeRelV relativeFrom="margin">
            <wp14:pctHeight>0</wp14:pctHeight>
          </wp14:sizeRelV>
        </wp:anchor>
      </w:drawing>
    </w:r>
    <w:sdt>
      <w:sdtPr>
        <w:id w:val="-1170321518"/>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727D3DAE" w14:textId="77777777" w:rsidR="00D80693" w:rsidRDefault="00D80693">
    <w:pPr>
      <w:tabs>
        <w:tab w:val="center" w:pos="4536"/>
        <w:tab w:val="right" w:pos="9072"/>
      </w:tabs>
      <w:rPr>
        <w:rFonts w:ascii="Calibri" w:eastAsia="Calibri" w:hAnsi="Calibr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B35E0" w14:textId="5BE52FEA" w:rsidR="00D92213" w:rsidRDefault="006C61DE">
    <w:pPr>
      <w:pStyle w:val="Pieddepage"/>
      <w:jc w:val="center"/>
    </w:pPr>
    <w:r>
      <w:rPr>
        <w:noProof/>
        <w:sz w:val="20"/>
        <w:lang w:eastAsia="fr-FR"/>
      </w:rPr>
      <w:drawing>
        <wp:anchor distT="0" distB="0" distL="0" distR="0" simplePos="0" relativeHeight="251755008" behindDoc="1" locked="0" layoutInCell="1" allowOverlap="1" wp14:anchorId="026C15D4" wp14:editId="5637A55D">
          <wp:simplePos x="0" y="0"/>
          <wp:positionH relativeFrom="page">
            <wp:posOffset>2934335</wp:posOffset>
          </wp:positionH>
          <wp:positionV relativeFrom="page">
            <wp:posOffset>10029190</wp:posOffset>
          </wp:positionV>
          <wp:extent cx="609600" cy="310515"/>
          <wp:effectExtent l="0" t="0" r="0" b="0"/>
          <wp:wrapNone/>
          <wp:docPr id="2089120342" name="Image 2089120342"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203291687"/>
        <w:docPartObj>
          <w:docPartGallery w:val="Page Numbers (Bottom of Page)"/>
          <w:docPartUnique/>
        </w:docPartObj>
      </w:sdtPr>
      <w:sdtContent>
        <w:r w:rsidR="00D92213">
          <w:fldChar w:fldCharType="begin"/>
        </w:r>
        <w:r w:rsidR="00D92213">
          <w:instrText>PAGE   \* MERGEFORMAT</w:instrText>
        </w:r>
        <w:r w:rsidR="00D92213">
          <w:fldChar w:fldCharType="separate"/>
        </w:r>
        <w:r w:rsidR="00D92213">
          <w:t>2</w:t>
        </w:r>
        <w:r w:rsidR="00D92213">
          <w:fldChar w:fldCharType="end"/>
        </w:r>
      </w:sdtContent>
    </w:sdt>
  </w:p>
  <w:p w14:paraId="1EEC6962" w14:textId="77777777" w:rsidR="00D80693" w:rsidRDefault="00D80693">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5EA5" w14:textId="164BE169" w:rsidR="007B22B9" w:rsidRDefault="007B22B9">
    <w:pPr>
      <w:pStyle w:val="Pieddepage"/>
      <w:jc w:val="center"/>
    </w:pPr>
    <w:r>
      <w:rPr>
        <w:noProof/>
        <w:sz w:val="20"/>
        <w:lang w:eastAsia="fr-FR"/>
      </w:rPr>
      <w:drawing>
        <wp:anchor distT="0" distB="0" distL="0" distR="0" simplePos="0" relativeHeight="251748864" behindDoc="1" locked="0" layoutInCell="1" allowOverlap="1" wp14:anchorId="7E87A72E" wp14:editId="60BF782A">
          <wp:simplePos x="0" y="0"/>
          <wp:positionH relativeFrom="page">
            <wp:posOffset>2972435</wp:posOffset>
          </wp:positionH>
          <wp:positionV relativeFrom="page">
            <wp:posOffset>9999345</wp:posOffset>
          </wp:positionV>
          <wp:extent cx="609600" cy="310515"/>
          <wp:effectExtent l="0" t="0" r="0" b="0"/>
          <wp:wrapNone/>
          <wp:docPr id="2088511498" name="Image 2088511498"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id w:val="2081716772"/>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B6DBD6C" w14:textId="5222A61F" w:rsidR="007944D2" w:rsidRDefault="007B22B9" w:rsidP="007B22B9">
    <w:pPr>
      <w:pStyle w:val="Pieddepage"/>
      <w:tabs>
        <w:tab w:val="clear" w:pos="4536"/>
        <w:tab w:val="clear" w:pos="9072"/>
        <w:tab w:val="left" w:pos="3660"/>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DFA7" w14:textId="52BFCEB2" w:rsidR="00D92213" w:rsidRDefault="00D92213">
    <w:pPr>
      <w:pStyle w:val="Pieddepage"/>
      <w:jc w:val="center"/>
    </w:pPr>
    <w:r>
      <w:rPr>
        <w:noProof/>
        <w:sz w:val="20"/>
        <w:lang w:eastAsia="fr-FR"/>
      </w:rPr>
      <w:drawing>
        <wp:anchor distT="0" distB="0" distL="0" distR="0" simplePos="0" relativeHeight="251752960" behindDoc="1" locked="0" layoutInCell="1" allowOverlap="1" wp14:anchorId="23695AEF" wp14:editId="5EA4D07F">
          <wp:simplePos x="0" y="0"/>
          <wp:positionH relativeFrom="page">
            <wp:posOffset>2857500</wp:posOffset>
          </wp:positionH>
          <wp:positionV relativeFrom="page">
            <wp:posOffset>9825990</wp:posOffset>
          </wp:positionV>
          <wp:extent cx="609600" cy="310515"/>
          <wp:effectExtent l="0" t="0" r="0" b="0"/>
          <wp:wrapNone/>
          <wp:docPr id="1888093425" name="Image 1888093425" descr="Une image contenant texte, cercle, logo,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98050" name="Image 291498050" descr="Une image contenant texte, cercle, logo, Police&#10;&#10;Le contenu généré par l’IA peut être incorrect."/>
                  <pic:cNvPicPr/>
                </pic:nvPicPr>
                <pic:blipFill>
                  <a:blip r:embed="rId1" cstate="print"/>
                  <a:stretch>
                    <a:fillRect/>
                  </a:stretch>
                </pic:blipFill>
                <pic:spPr>
                  <a:xfrm>
                    <a:off x="0" y="0"/>
                    <a:ext cx="609600" cy="310515"/>
                  </a:xfrm>
                  <a:prstGeom prst="rect">
                    <a:avLst/>
                  </a:prstGeom>
                </pic:spPr>
              </pic:pic>
            </a:graphicData>
          </a:graphic>
          <wp14:sizeRelH relativeFrom="margin">
            <wp14:pctWidth>0</wp14:pctWidth>
          </wp14:sizeRelH>
          <wp14:sizeRelV relativeFrom="margin">
            <wp14:pctHeight>0</wp14:pctHeight>
          </wp14:sizeRelV>
        </wp:anchor>
      </w:drawing>
    </w:r>
    <w:sdt>
      <w:sdtPr>
        <w:id w:val="983510806"/>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06C7EE09" w14:textId="77777777" w:rsidR="00D80693" w:rsidRDefault="00D80693" w:rsidP="004B501E">
    <w:pPr>
      <w:spacing w:line="276" w:lineRule="auto"/>
      <w:jc w:val="center"/>
      <w:rPr>
        <w:rFonts w:ascii="Arial" w:eastAsia="Arial" w:hAnsi="Arial" w:cs="Arial"/>
        <w:lang w:val="fr" w:eastAsia="fr-S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A21BC" w14:textId="77777777" w:rsidR="00E24DC0" w:rsidRDefault="00E24DC0">
      <w:r>
        <w:separator/>
      </w:r>
    </w:p>
  </w:footnote>
  <w:footnote w:type="continuationSeparator" w:id="0">
    <w:p w14:paraId="36D2DFB8" w14:textId="77777777" w:rsidR="00E24DC0" w:rsidRDefault="00E24DC0">
      <w:r>
        <w:continuationSeparator/>
      </w:r>
    </w:p>
  </w:footnote>
  <w:footnote w:id="1">
    <w:p w14:paraId="4027CF80" w14:textId="5300D484" w:rsidR="00D80693" w:rsidRDefault="00D80693">
      <w:pPr>
        <w:pStyle w:val="Notedebasdepage"/>
      </w:pPr>
      <w:r>
        <w:rPr>
          <w:rStyle w:val="Appelnotedebasdep"/>
        </w:rPr>
        <w:footnoteRef/>
      </w:r>
      <w:r>
        <w:t xml:space="preserve"> Inspecteur de l’Education, Enseignant Chercheur en Sciences de l’Education, Faculté des Sciences de l’Education et de la Formation, Université Cheikh Anta Diop de Dakar, Sénégal.</w:t>
      </w:r>
    </w:p>
  </w:footnote>
  <w:footnote w:id="2">
    <w:p w14:paraId="49715132" w14:textId="77777777" w:rsidR="00D80693" w:rsidRPr="006C68A7" w:rsidRDefault="00D80693" w:rsidP="00D80693">
      <w:pPr>
        <w:pStyle w:val="Notedebasdepage"/>
        <w:rPr>
          <w:lang w:val="fr-ML"/>
        </w:rPr>
      </w:pPr>
    </w:p>
  </w:footnote>
  <w:footnote w:id="3">
    <w:p w14:paraId="1B44D03F" w14:textId="4672290E" w:rsidR="00D80693" w:rsidRPr="003F43EA" w:rsidRDefault="00D80693" w:rsidP="00D80693">
      <w:pPr>
        <w:pStyle w:val="Notedebasdepage"/>
        <w:jc w:val="both"/>
        <w:rPr>
          <w:lang w:val="fr-ML"/>
        </w:rPr>
      </w:pPr>
      <w:r>
        <w:rPr>
          <w:rStyle w:val="Appelnotedebasdep"/>
        </w:rPr>
        <w:footnoteRef/>
      </w:r>
      <w:r>
        <w:t xml:space="preserve"> </w:t>
      </w:r>
      <w:r w:rsidRPr="00712AFD">
        <w:rPr>
          <w:rFonts w:ascii="Times New Roman" w:hAnsi="Times New Roman"/>
          <w:lang w:val="fr-ML"/>
        </w:rPr>
        <w:t>Les séries telles que : TA</w:t>
      </w:r>
      <w:r>
        <w:rPr>
          <w:rFonts w:ascii="Times New Roman" w:hAnsi="Times New Roman"/>
          <w:lang w:val="fr-ML"/>
        </w:rPr>
        <w:t>L (terminales art et langues) ne figure</w:t>
      </w:r>
      <w:r w:rsidRPr="00712AFD">
        <w:rPr>
          <w:rFonts w:ascii="Times New Roman" w:hAnsi="Times New Roman"/>
          <w:lang w:val="fr-ML"/>
        </w:rPr>
        <w:t xml:space="preserve"> pas dans notre tableau en données </w:t>
      </w:r>
      <w:r>
        <w:rPr>
          <w:rFonts w:ascii="Times New Roman" w:hAnsi="Times New Roman"/>
          <w:lang w:val="fr-ML"/>
        </w:rPr>
        <w:t>parce qu’elle</w:t>
      </w:r>
      <w:r w:rsidRPr="00712AFD">
        <w:rPr>
          <w:rFonts w:ascii="Times New Roman" w:hAnsi="Times New Roman"/>
          <w:lang w:val="fr-ML"/>
        </w:rPr>
        <w:t xml:space="preserve"> n’</w:t>
      </w:r>
      <w:r>
        <w:rPr>
          <w:rFonts w:ascii="Times New Roman" w:hAnsi="Times New Roman"/>
          <w:lang w:val="fr-ML"/>
        </w:rPr>
        <w:t>a</w:t>
      </w:r>
      <w:r w:rsidRPr="00712AFD">
        <w:rPr>
          <w:rFonts w:ascii="Times New Roman" w:hAnsi="Times New Roman"/>
          <w:lang w:val="fr-ML"/>
        </w:rPr>
        <w:t xml:space="preserve"> pas eu d’effectifs en termes d’orientation dans les classes de passage. Au Mali, la répartition se fait par choix de l’élève très souvent. Sans compte</w:t>
      </w:r>
      <w:r>
        <w:rPr>
          <w:rFonts w:ascii="Times New Roman" w:hAnsi="Times New Roman"/>
          <w:lang w:val="fr-ML"/>
        </w:rPr>
        <w:t>r</w:t>
      </w:r>
      <w:r w:rsidRPr="00712AFD">
        <w:rPr>
          <w:rFonts w:ascii="Times New Roman" w:hAnsi="Times New Roman"/>
          <w:lang w:val="fr-ML"/>
        </w:rPr>
        <w:t xml:space="preserve"> la fréquentation scolaire des élèves, qui change la trajectoire scolaire de beaucoup d’apprenants</w:t>
      </w:r>
      <w:r>
        <w:rPr>
          <w:rFonts w:ascii="Times New Roman" w:hAnsi="Times New Roman"/>
          <w:lang w:val="fr-ML"/>
        </w:rPr>
        <w:t xml:space="preserve"> bien que</w:t>
      </w:r>
      <w:r w:rsidRPr="00712AFD">
        <w:rPr>
          <w:rFonts w:ascii="Times New Roman" w:hAnsi="Times New Roman"/>
          <w:lang w:val="fr-ML"/>
        </w:rPr>
        <w:t xml:space="preserve"> ces séries </w:t>
      </w:r>
      <w:r w:rsidR="009237F6">
        <w:rPr>
          <w:rFonts w:ascii="Times New Roman" w:hAnsi="Times New Roman"/>
          <w:lang w:val="fr-ML"/>
        </w:rPr>
        <w:t>soient</w:t>
      </w:r>
      <w:r>
        <w:rPr>
          <w:rFonts w:ascii="Times New Roman" w:hAnsi="Times New Roman"/>
          <w:lang w:val="fr-ML"/>
        </w:rPr>
        <w:t xml:space="preserve"> poursuivies </w:t>
      </w:r>
      <w:r w:rsidRPr="00712AFD">
        <w:rPr>
          <w:rFonts w:ascii="Times New Roman" w:hAnsi="Times New Roman"/>
          <w:lang w:val="fr-ML"/>
        </w:rPr>
        <w:t>en filière à l’université</w:t>
      </w:r>
      <w:r>
        <w:rPr>
          <w:rFonts w:ascii="Times New Roman" w:hAnsi="Times New Roman"/>
          <w:lang w:val="fr-ML"/>
        </w:rPr>
        <w:t xml:space="preserve"> de Bamako</w:t>
      </w:r>
      <w:r w:rsidRPr="00712AFD">
        <w:rPr>
          <w:rFonts w:ascii="Times New Roman" w:hAnsi="Times New Roman"/>
          <w:lang w:val="fr-ML"/>
        </w:rPr>
        <w:t>.</w:t>
      </w:r>
    </w:p>
  </w:footnote>
  <w:footnote w:id="4">
    <w:p w14:paraId="39F5B5A3" w14:textId="77777777" w:rsidR="00D80693" w:rsidRDefault="00D80693" w:rsidP="00D80693">
      <w:pPr>
        <w:pStyle w:val="Notedebasdepage"/>
      </w:pPr>
      <w:r>
        <w:rPr>
          <w:rStyle w:val="Appelnotedebasdep"/>
        </w:rPr>
        <w:footnoteRef/>
      </w:r>
      <w:r>
        <w:t xml:space="preserve"> </w:t>
      </w:r>
      <w:r w:rsidRPr="00296308">
        <w:rPr>
          <w:sz w:val="16"/>
          <w:szCs w:val="16"/>
        </w:rPr>
        <w:t>Afin d’alléger le texte, nous optons pour l’usage du masculin pour désigner la personne assumant la direction de mémoire.</w:t>
      </w:r>
    </w:p>
  </w:footnote>
  <w:footnote w:id="5">
    <w:p w14:paraId="22460343" w14:textId="77777777" w:rsidR="00D80693" w:rsidRDefault="00D80693" w:rsidP="00D80693">
      <w:pPr>
        <w:pStyle w:val="Notedebasdepage"/>
      </w:pPr>
      <w:r>
        <w:rPr>
          <w:rStyle w:val="Appelnotedebasdep"/>
        </w:rPr>
        <w:footnoteRef/>
      </w:r>
      <w:r>
        <w:t xml:space="preserve"> </w:t>
      </w:r>
      <w:r w:rsidRPr="00296308">
        <w:rPr>
          <w:sz w:val="16"/>
          <w:szCs w:val="16"/>
        </w:rPr>
        <w:t>Les départements ou directions des Masters exigent des étudiants, non pas un projet de mémoire, mais trois propositions de thèmes de recherche pour être confié à un directeur. Parmi ces thèmes, un seul est retenu par le département ou la direction du Master. Aucun des étudiants de l’échantillon n’a fait l’expérience de la rédaction d’un projet de mémoire.</w:t>
      </w:r>
    </w:p>
  </w:footnote>
  <w:footnote w:id="6">
    <w:p w14:paraId="72F7DB08" w14:textId="77777777" w:rsidR="00D80693" w:rsidRPr="0007424B" w:rsidRDefault="00D80693" w:rsidP="00D80693">
      <w:pPr>
        <w:pStyle w:val="Notedebasdepage"/>
        <w:jc w:val="both"/>
        <w:rPr>
          <w:rFonts w:ascii="Times New Roman" w:hAnsi="Times New Roman"/>
          <w:sz w:val="16"/>
          <w:szCs w:val="16"/>
        </w:rPr>
      </w:pPr>
      <w:r w:rsidRPr="0007424B">
        <w:rPr>
          <w:rStyle w:val="Appelnotedebasdep"/>
          <w:rFonts w:ascii="Times New Roman" w:hAnsi="Times New Roman"/>
          <w:sz w:val="16"/>
          <w:szCs w:val="16"/>
        </w:rPr>
        <w:footnoteRef/>
      </w:r>
      <w:r w:rsidRPr="0007424B">
        <w:rPr>
          <w:rFonts w:ascii="Times New Roman" w:hAnsi="Times New Roman"/>
          <w:sz w:val="16"/>
          <w:szCs w:val="16"/>
          <w:lang w:val="en-US"/>
        </w:rPr>
        <w:t xml:space="preserve"> Education Policy and Strategy Simulation Model (EPSSIM). </w:t>
      </w:r>
      <w:r w:rsidRPr="0007424B">
        <w:rPr>
          <w:rFonts w:ascii="Times New Roman" w:hAnsi="Times New Roman"/>
          <w:sz w:val="16"/>
          <w:szCs w:val="16"/>
        </w:rPr>
        <w:t xml:space="preserve">Pour en savoir d’avantage, </w:t>
      </w:r>
      <w:hyperlink r:id="rId1" w:history="1">
        <w:r w:rsidRPr="0007424B">
          <w:rPr>
            <w:rStyle w:val="Lienhypertexte"/>
            <w:rFonts w:ascii="Times New Roman" w:hAnsi="Times New Roman"/>
            <w:sz w:val="16"/>
            <w:szCs w:val="16"/>
          </w:rPr>
          <w:t>https://unesdoc.unesco.org/ark:/48223/pf0000214778</w:t>
        </w:r>
      </w:hyperlink>
      <w:r w:rsidRPr="0007424B">
        <w:rPr>
          <w:rFonts w:ascii="Times New Roman" w:hAnsi="Times New Roman"/>
          <w:sz w:val="16"/>
          <w:szCs w:val="16"/>
        </w:rPr>
        <w:t xml:space="preserve"> </w:t>
      </w:r>
    </w:p>
  </w:footnote>
  <w:footnote w:id="7">
    <w:p w14:paraId="299ABCDE" w14:textId="77777777" w:rsidR="00D80693" w:rsidRPr="000B56CD" w:rsidRDefault="00D80693" w:rsidP="00D80693">
      <w:pPr>
        <w:pStyle w:val="Notedebasdepage"/>
        <w:rPr>
          <w:rFonts w:ascii="Times New Roman" w:hAnsi="Times New Roman"/>
          <w:sz w:val="22"/>
          <w:szCs w:val="22"/>
        </w:rPr>
      </w:pPr>
      <w:r w:rsidRPr="0007424B">
        <w:rPr>
          <w:rStyle w:val="Appelnotedebasdep"/>
          <w:rFonts w:ascii="Times New Roman" w:hAnsi="Times New Roman"/>
          <w:sz w:val="16"/>
          <w:szCs w:val="16"/>
        </w:rPr>
        <w:footnoteRef/>
      </w:r>
      <w:r w:rsidRPr="0007424B">
        <w:rPr>
          <w:rFonts w:ascii="Times New Roman" w:hAnsi="Times New Roman"/>
          <w:sz w:val="16"/>
          <w:szCs w:val="16"/>
        </w:rPr>
        <w:t xml:space="preserve"> Le modèle spécifique national, élaboré 2020, est une base de données conçue sur Excel, sans nom. Il s’agit d’une adaptation du modèle EFSM de la Banque mondiale.</w:t>
      </w:r>
      <w:r w:rsidRPr="000B56CD">
        <w:rPr>
          <w:rFonts w:ascii="Times New Roman" w:hAnsi="Times New Roman"/>
          <w:sz w:val="22"/>
          <w:szCs w:val="22"/>
        </w:rPr>
        <w:t xml:space="preserve"> </w:t>
      </w:r>
    </w:p>
  </w:footnote>
  <w:footnote w:id="8">
    <w:p w14:paraId="304C46F9" w14:textId="77777777" w:rsidR="00D80693" w:rsidRPr="005B6212" w:rsidRDefault="00D80693" w:rsidP="00D80693">
      <w:pPr>
        <w:pStyle w:val="Notedebasdepage"/>
        <w:rPr>
          <w:rFonts w:ascii="Times New Roman" w:hAnsi="Times New Roman"/>
          <w:sz w:val="16"/>
          <w:szCs w:val="16"/>
        </w:rPr>
      </w:pPr>
      <w:r w:rsidRPr="005B6212">
        <w:rPr>
          <w:rStyle w:val="Appelnotedebasdep"/>
          <w:rFonts w:ascii="Times New Roman" w:hAnsi="Times New Roman"/>
          <w:sz w:val="16"/>
          <w:szCs w:val="16"/>
        </w:rPr>
        <w:footnoteRef/>
      </w:r>
      <w:r w:rsidRPr="005B6212">
        <w:rPr>
          <w:rFonts w:ascii="Times New Roman" w:hAnsi="Times New Roman"/>
          <w:sz w:val="16"/>
          <w:szCs w:val="16"/>
        </w:rPr>
        <w:t xml:space="preserve"> Une grande partie de l’EFTP était rattachée au MENAPLN au moment de l’étude. </w:t>
      </w:r>
    </w:p>
  </w:footnote>
  <w:footnote w:id="9">
    <w:p w14:paraId="794B8C61" w14:textId="77777777" w:rsidR="00D80693" w:rsidRPr="005B6212" w:rsidRDefault="00D80693" w:rsidP="00D80693">
      <w:pPr>
        <w:pStyle w:val="Notedebasdepage"/>
        <w:rPr>
          <w:rFonts w:ascii="Times New Roman" w:hAnsi="Times New Roman"/>
          <w:sz w:val="16"/>
          <w:szCs w:val="16"/>
        </w:rPr>
      </w:pPr>
      <w:r w:rsidRPr="005B6212">
        <w:rPr>
          <w:rStyle w:val="Appelnotedebasdep"/>
          <w:rFonts w:ascii="Times New Roman" w:hAnsi="Times New Roman"/>
          <w:sz w:val="16"/>
          <w:szCs w:val="16"/>
        </w:rPr>
        <w:footnoteRef/>
      </w:r>
      <w:r w:rsidRPr="005B6212">
        <w:rPr>
          <w:rFonts w:ascii="Times New Roman" w:hAnsi="Times New Roman"/>
          <w:sz w:val="16"/>
          <w:szCs w:val="16"/>
        </w:rPr>
        <w:t xml:space="preserve"> Le modèle spécifique national est une base de données, un produit fini. </w:t>
      </w:r>
      <w:proofErr w:type="spellStart"/>
      <w:r w:rsidRPr="005B6212">
        <w:rPr>
          <w:rFonts w:ascii="Times New Roman" w:hAnsi="Times New Roman"/>
          <w:sz w:val="16"/>
          <w:szCs w:val="16"/>
        </w:rPr>
        <w:t>SimuED</w:t>
      </w:r>
      <w:proofErr w:type="spellEnd"/>
      <w:r w:rsidRPr="005B6212">
        <w:rPr>
          <w:rFonts w:ascii="Times New Roman" w:hAnsi="Times New Roman"/>
          <w:sz w:val="16"/>
          <w:szCs w:val="16"/>
        </w:rPr>
        <w:t xml:space="preserve"> est un modèle préconstruit mais sans données renseignées prévoyant une large gamme de modules intégrés à activer au besoin par l’utilisateur. </w:t>
      </w:r>
    </w:p>
  </w:footnote>
  <w:footnote w:id="10">
    <w:p w14:paraId="625561D8" w14:textId="77777777" w:rsidR="00D80693" w:rsidRPr="00696C46" w:rsidRDefault="00D80693" w:rsidP="00D80693">
      <w:pPr>
        <w:pStyle w:val="Notedebasdepage"/>
        <w:rPr>
          <w:rFonts w:ascii="Times New Roman" w:hAnsi="Times New Roman"/>
          <w:sz w:val="16"/>
          <w:szCs w:val="16"/>
        </w:rPr>
      </w:pPr>
      <w:r w:rsidRPr="00696C46">
        <w:rPr>
          <w:rStyle w:val="Appelnotedebasdep"/>
          <w:rFonts w:ascii="Times New Roman" w:hAnsi="Times New Roman"/>
          <w:sz w:val="16"/>
          <w:szCs w:val="16"/>
        </w:rPr>
        <w:footnoteRef/>
      </w:r>
      <w:r w:rsidRPr="00696C46">
        <w:rPr>
          <w:rFonts w:ascii="Times New Roman" w:hAnsi="Times New Roman"/>
          <w:sz w:val="16"/>
          <w:szCs w:val="16"/>
        </w:rPr>
        <w:t xml:space="preserve"> Direction Générale de l’Encadrement Pédagogique et de la Formation Initiale et Continue</w:t>
      </w:r>
    </w:p>
  </w:footnote>
  <w:footnote w:id="11">
    <w:p w14:paraId="00977802" w14:textId="77777777" w:rsidR="00D80693" w:rsidRDefault="00D80693" w:rsidP="00D80693">
      <w:pPr>
        <w:pStyle w:val="Notedebasdepage"/>
      </w:pPr>
      <w:r>
        <w:rPr>
          <w:rStyle w:val="Appelnotedebasdep"/>
        </w:rPr>
        <w:footnoteRef/>
      </w:r>
      <w:r>
        <w:t xml:space="preserve"> Direction Provinciale des Enseignements Post-Primaire et Secondaire</w:t>
      </w:r>
    </w:p>
  </w:footnote>
  <w:footnote w:id="12">
    <w:p w14:paraId="4DE3A4B7" w14:textId="77777777" w:rsidR="00D80693" w:rsidRPr="00696C46" w:rsidRDefault="00D80693" w:rsidP="00D80693">
      <w:pPr>
        <w:pStyle w:val="Notedebasdepage"/>
        <w:rPr>
          <w:rFonts w:ascii="Times New Roman" w:hAnsi="Times New Roman"/>
          <w:sz w:val="16"/>
          <w:szCs w:val="16"/>
        </w:rPr>
      </w:pPr>
      <w:r w:rsidRPr="00696C46">
        <w:rPr>
          <w:rStyle w:val="Appelnotedebasdep"/>
          <w:rFonts w:ascii="Times New Roman" w:hAnsi="Times New Roman"/>
          <w:sz w:val="16"/>
          <w:szCs w:val="16"/>
        </w:rPr>
        <w:footnoteRef/>
      </w:r>
      <w:r w:rsidRPr="00696C46">
        <w:rPr>
          <w:rFonts w:ascii="Times New Roman" w:hAnsi="Times New Roman"/>
          <w:sz w:val="16"/>
          <w:szCs w:val="16"/>
        </w:rPr>
        <w:t xml:space="preserve"> Direction Provinciale de l’Enseignement </w:t>
      </w:r>
      <w:proofErr w:type="gramStart"/>
      <w:r w:rsidRPr="00696C46">
        <w:rPr>
          <w:rFonts w:ascii="Times New Roman" w:hAnsi="Times New Roman"/>
          <w:sz w:val="16"/>
          <w:szCs w:val="16"/>
        </w:rPr>
        <w:t>secondaire,  de</w:t>
      </w:r>
      <w:proofErr w:type="gramEnd"/>
      <w:r w:rsidRPr="00696C46">
        <w:rPr>
          <w:rFonts w:ascii="Times New Roman" w:hAnsi="Times New Roman"/>
          <w:sz w:val="16"/>
          <w:szCs w:val="16"/>
        </w:rPr>
        <w:t xml:space="preserve"> la Formation Professionnelle et Technique</w:t>
      </w:r>
      <w:r>
        <w:rPr>
          <w:rFonts w:ascii="Times New Roman" w:hAnsi="Times New Roman"/>
          <w:sz w:val="16"/>
          <w:szCs w:val="16"/>
        </w:rPr>
        <w:t xml:space="preserve"> (</w:t>
      </w:r>
      <w:r w:rsidRPr="009D6AFB">
        <w:rPr>
          <w:rFonts w:ascii="Times New Roman" w:hAnsi="Times New Roman"/>
          <w:sz w:val="16"/>
          <w:szCs w:val="16"/>
        </w:rPr>
        <w:t xml:space="preserve">selon le Décret n°2024-1385 /PRES/PM/MESFPT portant organisation du </w:t>
      </w:r>
      <w:proofErr w:type="gramStart"/>
      <w:r w:rsidRPr="009D6AFB">
        <w:rPr>
          <w:rFonts w:ascii="Times New Roman" w:hAnsi="Times New Roman"/>
          <w:sz w:val="16"/>
          <w:szCs w:val="16"/>
        </w:rPr>
        <w:t>Ministère de l’Enseignement</w:t>
      </w:r>
      <w:proofErr w:type="gramEnd"/>
      <w:r w:rsidRPr="009D6AFB">
        <w:rPr>
          <w:rFonts w:ascii="Times New Roman" w:hAnsi="Times New Roman"/>
          <w:sz w:val="16"/>
          <w:szCs w:val="16"/>
        </w:rPr>
        <w:t xml:space="preserve"> secondaire, de la Formation professionnelle et technique du 7 novembre 2024</w:t>
      </w:r>
      <w:r>
        <w:rPr>
          <w:rFonts w:ascii="Times New Roman" w:hAnsi="Times New Roman"/>
          <w:sz w:val="16"/>
          <w:szCs w:val="16"/>
        </w:rPr>
        <w:t>)</w:t>
      </w:r>
    </w:p>
  </w:footnote>
  <w:footnote w:id="13">
    <w:p w14:paraId="3132DEF8" w14:textId="77777777" w:rsidR="00D80693" w:rsidRPr="00AF2F53" w:rsidRDefault="00D80693" w:rsidP="00D80693">
      <w:pPr>
        <w:pStyle w:val="Notedebasdepage"/>
        <w:rPr>
          <w:rFonts w:ascii="Times New Roman" w:hAnsi="Times New Roman"/>
          <w:sz w:val="16"/>
          <w:szCs w:val="16"/>
        </w:rPr>
      </w:pPr>
      <w:r w:rsidRPr="00AF2F53">
        <w:rPr>
          <w:rStyle w:val="Appelnotedebasdep"/>
          <w:rFonts w:ascii="Times New Roman" w:hAnsi="Times New Roman"/>
          <w:sz w:val="16"/>
          <w:szCs w:val="16"/>
        </w:rPr>
        <w:footnoteRef/>
      </w:r>
      <w:r w:rsidRPr="00AF2F53">
        <w:rPr>
          <w:rFonts w:ascii="Times New Roman" w:hAnsi="Times New Roman"/>
          <w:sz w:val="16"/>
          <w:szCs w:val="16"/>
        </w:rPr>
        <w:t xml:space="preserve"> </w:t>
      </w:r>
      <w:proofErr w:type="gramStart"/>
      <w:r w:rsidRPr="00AF2F53">
        <w:rPr>
          <w:rFonts w:ascii="Times New Roman" w:hAnsi="Times New Roman"/>
          <w:sz w:val="16"/>
          <w:szCs w:val="16"/>
        </w:rPr>
        <w:t>Décret  n</w:t>
      </w:r>
      <w:proofErr w:type="gramEnd"/>
      <w:r w:rsidRPr="00AF2F53">
        <w:rPr>
          <w:rFonts w:ascii="Times New Roman" w:hAnsi="Times New Roman"/>
          <w:sz w:val="16"/>
          <w:szCs w:val="16"/>
        </w:rPr>
        <w:t>°2020-0245/PRES/PM/MFPTPS/MINEFID/ du 30 mars 2020 portant statut particulier du métier éducation, formation et promotion de l’emploi en son Section1, Article 51.</w:t>
      </w:r>
    </w:p>
  </w:footnote>
  <w:footnote w:id="14">
    <w:p w14:paraId="07A090E9" w14:textId="77777777" w:rsidR="00D80693" w:rsidRDefault="00D80693" w:rsidP="00D80693">
      <w:pPr>
        <w:pStyle w:val="Notedebasdepage"/>
      </w:pPr>
      <w:r w:rsidRPr="00AF2F53">
        <w:rPr>
          <w:rStyle w:val="Appelnotedebasdep"/>
          <w:rFonts w:ascii="Times New Roman" w:hAnsi="Times New Roman"/>
          <w:sz w:val="16"/>
          <w:szCs w:val="16"/>
        </w:rPr>
        <w:footnoteRef/>
      </w:r>
      <w:r w:rsidRPr="00AF2F53">
        <w:rPr>
          <w:rFonts w:ascii="Times New Roman" w:hAnsi="Times New Roman"/>
          <w:sz w:val="16"/>
          <w:szCs w:val="16"/>
        </w:rPr>
        <w:t xml:space="preserve"> Direction des Curricula, de l’Innovation et de la Formation du Personnel de l’enseignement secondaire général</w:t>
      </w:r>
    </w:p>
  </w:footnote>
  <w:footnote w:id="15">
    <w:p w14:paraId="35E3F2B1" w14:textId="59A6E869" w:rsidR="00D80693" w:rsidRPr="00696C46" w:rsidRDefault="00D80693" w:rsidP="00D80693">
      <w:pPr>
        <w:pStyle w:val="Notedebasdepage"/>
        <w:rPr>
          <w:rFonts w:ascii="Times New Roman" w:hAnsi="Times New Roman"/>
          <w:sz w:val="16"/>
          <w:szCs w:val="16"/>
        </w:rPr>
      </w:pPr>
      <w:r w:rsidRPr="00696C46">
        <w:rPr>
          <w:rStyle w:val="Appelnotedebasdep"/>
          <w:rFonts w:ascii="Times New Roman" w:hAnsi="Times New Roman"/>
          <w:sz w:val="16"/>
          <w:szCs w:val="16"/>
        </w:rPr>
        <w:footnoteRef/>
      </w:r>
      <w:r w:rsidRPr="00696C46">
        <w:rPr>
          <w:rFonts w:ascii="Times New Roman" w:hAnsi="Times New Roman"/>
          <w:sz w:val="16"/>
          <w:szCs w:val="16"/>
        </w:rPr>
        <w:t xml:space="preserve"> Direction Régionale de l’Enseignement Secondaire, et de la </w:t>
      </w:r>
      <w:r w:rsidR="008F0E54" w:rsidRPr="00696C46">
        <w:rPr>
          <w:rFonts w:ascii="Times New Roman" w:hAnsi="Times New Roman"/>
          <w:sz w:val="16"/>
          <w:szCs w:val="16"/>
        </w:rPr>
        <w:t>Formation Professionnelle</w:t>
      </w:r>
      <w:r w:rsidRPr="00696C46">
        <w:rPr>
          <w:rFonts w:ascii="Times New Roman" w:hAnsi="Times New Roman"/>
          <w:sz w:val="16"/>
          <w:szCs w:val="16"/>
        </w:rPr>
        <w:t xml:space="preserve"> et Technique du Centre</w:t>
      </w:r>
    </w:p>
    <w:p w14:paraId="04E2450C" w14:textId="77777777" w:rsidR="00D80693" w:rsidRPr="00696C46" w:rsidRDefault="00D80693" w:rsidP="00D80693">
      <w:pPr>
        <w:pStyle w:val="Notedebasdepage"/>
        <w:rPr>
          <w:rFonts w:ascii="Times New Roman" w:hAnsi="Times New Roman"/>
          <w:sz w:val="16"/>
          <w:szCs w:val="16"/>
        </w:rPr>
      </w:pPr>
    </w:p>
  </w:footnote>
  <w:footnote w:id="16">
    <w:p w14:paraId="777FA18B" w14:textId="02A18F03" w:rsidR="00D80693" w:rsidRPr="00696C46" w:rsidRDefault="00D80693" w:rsidP="00D80693">
      <w:pPr>
        <w:pStyle w:val="Notedebasdepage"/>
        <w:rPr>
          <w:rFonts w:ascii="Times New Roman" w:hAnsi="Times New Roman"/>
          <w:sz w:val="16"/>
          <w:szCs w:val="16"/>
        </w:rPr>
      </w:pPr>
      <w:r w:rsidRPr="00696C46">
        <w:rPr>
          <w:rStyle w:val="Appelnotedebasdep"/>
          <w:rFonts w:ascii="Times New Roman" w:hAnsi="Times New Roman"/>
          <w:sz w:val="16"/>
          <w:szCs w:val="16"/>
        </w:rPr>
        <w:footnoteRef/>
      </w:r>
      <w:r w:rsidRPr="00696C46">
        <w:rPr>
          <w:rFonts w:ascii="Times New Roman" w:hAnsi="Times New Roman"/>
          <w:sz w:val="16"/>
          <w:szCs w:val="16"/>
        </w:rPr>
        <w:t xml:space="preserve"> Direction Générale de </w:t>
      </w:r>
      <w:r w:rsidR="008F0E54" w:rsidRPr="00696C46">
        <w:rPr>
          <w:rFonts w:ascii="Times New Roman" w:hAnsi="Times New Roman"/>
          <w:sz w:val="16"/>
          <w:szCs w:val="16"/>
        </w:rPr>
        <w:t>l’Enseignement Général</w:t>
      </w:r>
    </w:p>
  </w:footnote>
  <w:footnote w:id="17">
    <w:p w14:paraId="76653692" w14:textId="77777777" w:rsidR="00D80693" w:rsidRPr="00696C46" w:rsidRDefault="00D80693" w:rsidP="00D80693">
      <w:pPr>
        <w:pStyle w:val="Notedebasdepage"/>
        <w:rPr>
          <w:rFonts w:ascii="Times New Roman" w:hAnsi="Times New Roman"/>
          <w:sz w:val="16"/>
          <w:szCs w:val="16"/>
        </w:rPr>
      </w:pPr>
      <w:r w:rsidRPr="00696C46">
        <w:rPr>
          <w:rStyle w:val="Appelnotedebasdep"/>
          <w:rFonts w:ascii="Times New Roman" w:hAnsi="Times New Roman"/>
          <w:sz w:val="16"/>
          <w:szCs w:val="16"/>
        </w:rPr>
        <w:footnoteRef/>
      </w:r>
      <w:r w:rsidRPr="00696C46">
        <w:rPr>
          <w:rFonts w:ascii="Times New Roman" w:hAnsi="Times New Roman"/>
          <w:sz w:val="16"/>
          <w:szCs w:val="16"/>
        </w:rPr>
        <w:t xml:space="preserve"> Collège d’Enseignement Général</w:t>
      </w:r>
    </w:p>
  </w:footnote>
  <w:footnote w:id="18">
    <w:p w14:paraId="23EB8098" w14:textId="77777777" w:rsidR="00D80693" w:rsidRPr="00C554F3" w:rsidRDefault="00D80693" w:rsidP="00D80693">
      <w:pPr>
        <w:pStyle w:val="Notedebasdepage"/>
        <w:rPr>
          <w:rFonts w:ascii="Times New Roman" w:hAnsi="Times New Roman"/>
          <w:sz w:val="16"/>
          <w:szCs w:val="16"/>
        </w:rPr>
      </w:pPr>
      <w:r w:rsidRPr="00C554F3">
        <w:rPr>
          <w:rStyle w:val="Appelnotedebasdep"/>
          <w:sz w:val="16"/>
          <w:szCs w:val="16"/>
        </w:rPr>
        <w:footnoteRef/>
      </w:r>
      <w:r w:rsidRPr="00C554F3">
        <w:rPr>
          <w:sz w:val="16"/>
          <w:szCs w:val="16"/>
        </w:rPr>
        <w:t xml:space="preserve"> </w:t>
      </w:r>
      <w:r w:rsidRPr="00C554F3">
        <w:rPr>
          <w:rFonts w:ascii="Times New Roman" w:hAnsi="Times New Roman"/>
          <w:sz w:val="16"/>
          <w:szCs w:val="16"/>
        </w:rPr>
        <w:t>Centre d’Animation Pédagogique (CAP) : Structure déconcentrée du système éducatif qui joue un rôle clé dans l’encadrement et l’appui aux écoles fondamentales (primaires et collèges). Le CAP s’inscrit dans le cadre de la politique de décentralisation et d’amélioration de la qualité de l’éducation au Mali.</w:t>
      </w:r>
    </w:p>
  </w:footnote>
  <w:footnote w:id="19">
    <w:p w14:paraId="1CB0FCF2" w14:textId="77777777" w:rsidR="00D80693" w:rsidRPr="00516C0D" w:rsidRDefault="00D80693" w:rsidP="00D80693">
      <w:pPr>
        <w:pStyle w:val="Notedebasdepage"/>
        <w:ind w:left="142" w:hanging="142"/>
        <w:jc w:val="both"/>
        <w:rPr>
          <w:rFonts w:asciiTheme="majorBidi" w:hAnsiTheme="majorBidi" w:cstheme="majorBidi"/>
          <w:sz w:val="16"/>
          <w:szCs w:val="16"/>
        </w:rPr>
      </w:pPr>
      <w:r w:rsidRPr="00516C0D">
        <w:rPr>
          <w:rStyle w:val="Appelnotedebasdep"/>
          <w:rFonts w:asciiTheme="majorBidi" w:hAnsiTheme="majorBidi" w:cstheme="majorBidi"/>
          <w:sz w:val="16"/>
          <w:szCs w:val="16"/>
        </w:rPr>
        <w:footnoteRef/>
      </w:r>
      <w:r w:rsidRPr="00516C0D">
        <w:rPr>
          <w:rFonts w:asciiTheme="majorBidi" w:hAnsiTheme="majorBidi" w:cstheme="majorBidi"/>
          <w:sz w:val="16"/>
          <w:szCs w:val="16"/>
        </w:rPr>
        <w:t xml:space="preserve"> </w:t>
      </w:r>
      <w:r w:rsidRPr="001B4E3E">
        <w:rPr>
          <w:rFonts w:asciiTheme="majorBidi" w:hAnsiTheme="majorBidi" w:cstheme="majorBidi"/>
          <w:sz w:val="16"/>
          <w:szCs w:val="16"/>
        </w:rPr>
        <w:t xml:space="preserve">Glen Aikenhead (2001, p. 180-188), spécialiste de l’éducation interculturelle, introduit la notion de « </w:t>
      </w:r>
      <w:proofErr w:type="spellStart"/>
      <w:r w:rsidRPr="001B4E3E">
        <w:rPr>
          <w:rFonts w:asciiTheme="majorBidi" w:hAnsiTheme="majorBidi" w:cstheme="majorBidi"/>
          <w:sz w:val="16"/>
          <w:szCs w:val="16"/>
        </w:rPr>
        <w:t>crossing</w:t>
      </w:r>
      <w:proofErr w:type="spellEnd"/>
      <w:r w:rsidRPr="001B4E3E">
        <w:rPr>
          <w:rFonts w:asciiTheme="majorBidi" w:hAnsiTheme="majorBidi" w:cstheme="majorBidi"/>
          <w:sz w:val="16"/>
          <w:szCs w:val="16"/>
        </w:rPr>
        <w:t xml:space="preserve"> cultural </w:t>
      </w:r>
      <w:proofErr w:type="spellStart"/>
      <w:r w:rsidRPr="001B4E3E">
        <w:rPr>
          <w:rFonts w:asciiTheme="majorBidi" w:hAnsiTheme="majorBidi" w:cstheme="majorBidi"/>
          <w:sz w:val="16"/>
          <w:szCs w:val="16"/>
        </w:rPr>
        <w:t>borders</w:t>
      </w:r>
      <w:proofErr w:type="spellEnd"/>
      <w:r w:rsidRPr="001B4E3E">
        <w:rPr>
          <w:rFonts w:asciiTheme="majorBidi" w:hAnsiTheme="majorBidi" w:cstheme="majorBidi"/>
          <w:sz w:val="16"/>
          <w:szCs w:val="16"/>
        </w:rPr>
        <w:t xml:space="preserve"> », soulignant que l’enseignant doit faciliter le passage entre la culture scolaire et celle des élèves, afin de rendre les sciences accessibles et culturellement pertinentes.</w:t>
      </w:r>
    </w:p>
  </w:footnote>
  <w:footnote w:id="20">
    <w:p w14:paraId="4CE48C75" w14:textId="77777777" w:rsidR="00D80693" w:rsidRPr="003208DF" w:rsidRDefault="00D80693" w:rsidP="00D80693">
      <w:pPr>
        <w:pStyle w:val="Notedebasdepage"/>
        <w:rPr>
          <w:rFonts w:ascii="Times New Roman" w:hAnsi="Times New Roman"/>
        </w:rPr>
      </w:pPr>
      <w:r w:rsidRPr="003208DF">
        <w:rPr>
          <w:rStyle w:val="Appelnotedebasdep"/>
          <w:rFonts w:ascii="Times New Roman" w:hAnsi="Times New Roman"/>
        </w:rPr>
        <w:footnoteRef/>
      </w:r>
      <w:r w:rsidRPr="003208DF">
        <w:rPr>
          <w:rFonts w:ascii="Times New Roman" w:hAnsi="Times New Roman"/>
        </w:rPr>
        <w:t xml:space="preserve"> </w:t>
      </w:r>
      <w:r w:rsidRPr="003208DF">
        <w:rPr>
          <w:rFonts w:ascii="Times New Roman" w:eastAsia="Times New Roman" w:hAnsi="Times New Roman"/>
          <w:color w:val="000000"/>
        </w:rPr>
        <w:t>Khi-deux</w:t>
      </w:r>
      <w:r>
        <w:rPr>
          <w:rFonts w:ascii="Times New Roman" w:eastAsia="Times New Roman" w:hAnsi="Times New Roman"/>
          <w:color w:val="000000"/>
        </w:rPr>
        <w:t> : Khi</w:t>
      </w:r>
      <w:r w:rsidRPr="00012BEC">
        <w:rPr>
          <w:rFonts w:ascii="Times New Roman" w:eastAsia="Times New Roman" w:hAnsi="Times New Roman"/>
          <w:color w:val="000000"/>
          <w:vertAlign w:val="superscript"/>
        </w:rPr>
        <w:t>2</w:t>
      </w:r>
      <w:r>
        <w:rPr>
          <w:rFonts w:ascii="Times New Roman" w:eastAsia="Times New Roman" w:hAnsi="Times New Roman"/>
          <w:color w:val="000000"/>
          <w:vertAlign w:val="superscript"/>
        </w:rPr>
        <w:t xml:space="preserve"> </w:t>
      </w:r>
      <w:r>
        <w:rPr>
          <w:rFonts w:ascii="Times New Roman" w:eastAsia="Times New Roman" w:hAnsi="Times New Roman"/>
          <w:color w:val="000000"/>
        </w:rPr>
        <w:t>ou X</w:t>
      </w:r>
      <w:r w:rsidRPr="007A6351">
        <w:rPr>
          <w:rFonts w:ascii="Times New Roman" w:eastAsia="Times New Roman" w:hAnsi="Times New Roman"/>
          <w:color w:val="000000"/>
          <w:vertAlign w:val="superscript"/>
        </w:rPr>
        <w:t>2</w:t>
      </w:r>
      <w:r>
        <w:rPr>
          <w:rFonts w:ascii="Times New Roman" w:eastAsia="Times New Roman" w:hAnsi="Times New Roman"/>
          <w:color w:val="000000"/>
        </w:rPr>
        <w:t xml:space="preserve"> est un test statistique permettant de vérifier s’il existe une association statistiquement significative entre deux variables.</w:t>
      </w:r>
    </w:p>
  </w:footnote>
  <w:footnote w:id="21">
    <w:p w14:paraId="76ED3559" w14:textId="77777777" w:rsidR="00D80693" w:rsidRPr="003208DF" w:rsidRDefault="00D80693" w:rsidP="00D80693">
      <w:pPr>
        <w:pStyle w:val="Notedebasdepage"/>
        <w:rPr>
          <w:rFonts w:ascii="Times New Roman" w:hAnsi="Times New Roman"/>
        </w:rPr>
      </w:pPr>
      <w:r w:rsidRPr="003208DF">
        <w:rPr>
          <w:rStyle w:val="Appelnotedebasdep"/>
          <w:rFonts w:ascii="Times New Roman" w:hAnsi="Times New Roman"/>
        </w:rPr>
        <w:footnoteRef/>
      </w:r>
      <w:r w:rsidRPr="003208DF">
        <w:rPr>
          <w:rFonts w:ascii="Times New Roman" w:hAnsi="Times New Roman"/>
        </w:rPr>
        <w:t xml:space="preserve"> HR1</w:t>
      </w:r>
      <w:r>
        <w:rPr>
          <w:rFonts w:ascii="Times New Roman" w:hAnsi="Times New Roman"/>
        </w:rPr>
        <w:t> : Hypothèse de recherche numéro 1</w:t>
      </w:r>
    </w:p>
  </w:footnote>
  <w:footnote w:id="22">
    <w:p w14:paraId="0524972A" w14:textId="308D99F6" w:rsidR="00D80693" w:rsidRPr="001928FA" w:rsidRDefault="00D80693" w:rsidP="00D80693">
      <w:pPr>
        <w:pStyle w:val="Notedebasdepage"/>
        <w:jc w:val="both"/>
        <w:rPr>
          <w:rFonts w:ascii="Times New Roman" w:hAnsi="Times New Roman"/>
          <w:b/>
          <w:bCs/>
          <w:color w:val="000000"/>
        </w:rPr>
      </w:pPr>
      <w:r w:rsidRPr="001928FA">
        <w:rPr>
          <w:rStyle w:val="Appelnotedebasdep"/>
          <w:rFonts w:ascii="Times New Roman" w:hAnsi="Times New Roman"/>
          <w:b/>
          <w:bCs/>
          <w:color w:val="000000"/>
        </w:rPr>
        <w:footnoteRef/>
      </w:r>
      <w:r w:rsidRPr="001928FA">
        <w:rPr>
          <w:rFonts w:ascii="Times New Roman" w:hAnsi="Times New Roman"/>
          <w:b/>
          <w:bCs/>
          <w:color w:val="000000"/>
        </w:rPr>
        <w:t xml:space="preserve"> </w:t>
      </w:r>
      <w:r w:rsidR="001928FA" w:rsidRPr="001928FA">
        <w:rPr>
          <w:rStyle w:val="lev"/>
          <w:rFonts w:ascii="Times New Roman" w:hAnsi="Times New Roman"/>
          <w:b w:val="0"/>
          <w:bCs w:val="0"/>
          <w:color w:val="000000"/>
          <w:shd w:val="clear" w:color="auto" w:fill="FFFFFF"/>
        </w:rPr>
        <w:t>L’</w:t>
      </w:r>
      <w:r w:rsidR="001928FA">
        <w:rPr>
          <w:rStyle w:val="lev"/>
          <w:rFonts w:ascii="Times New Roman" w:hAnsi="Times New Roman"/>
          <w:b w:val="0"/>
          <w:bCs w:val="0"/>
          <w:color w:val="000000"/>
          <w:shd w:val="clear" w:color="auto" w:fill="FFFFFF"/>
        </w:rPr>
        <w:t>I</w:t>
      </w:r>
      <w:r w:rsidR="001928FA" w:rsidRPr="001928FA">
        <w:rPr>
          <w:rStyle w:val="lev"/>
          <w:rFonts w:ascii="Times New Roman" w:hAnsi="Times New Roman"/>
          <w:b w:val="0"/>
          <w:bCs w:val="0"/>
          <w:color w:val="000000"/>
          <w:shd w:val="clear" w:color="auto" w:fill="FFFFFF"/>
        </w:rPr>
        <w:t>nstitut</w:t>
      </w:r>
      <w:r w:rsidRPr="001928FA">
        <w:rPr>
          <w:rStyle w:val="lev"/>
          <w:rFonts w:ascii="Times New Roman" w:hAnsi="Times New Roman"/>
          <w:b w:val="0"/>
          <w:bCs w:val="0"/>
          <w:color w:val="000000"/>
          <w:shd w:val="clear" w:color="auto" w:fill="FFFFFF"/>
        </w:rPr>
        <w:t xml:space="preserve"> Supérieur </w:t>
      </w:r>
      <w:r w:rsidR="001928FA" w:rsidRPr="001928FA">
        <w:rPr>
          <w:rStyle w:val="lev"/>
          <w:rFonts w:ascii="Times New Roman" w:hAnsi="Times New Roman"/>
          <w:b w:val="0"/>
          <w:bCs w:val="0"/>
          <w:color w:val="000000"/>
          <w:shd w:val="clear" w:color="auto" w:fill="FFFFFF"/>
        </w:rPr>
        <w:t>d’</w:t>
      </w:r>
      <w:r w:rsidR="001928FA">
        <w:rPr>
          <w:rStyle w:val="lev"/>
          <w:rFonts w:ascii="Times New Roman" w:hAnsi="Times New Roman"/>
          <w:b w:val="0"/>
          <w:bCs w:val="0"/>
          <w:color w:val="000000"/>
          <w:shd w:val="clear" w:color="auto" w:fill="FFFFFF"/>
        </w:rPr>
        <w:t>A</w:t>
      </w:r>
      <w:r w:rsidR="001928FA" w:rsidRPr="001928FA">
        <w:rPr>
          <w:rStyle w:val="lev"/>
          <w:rFonts w:ascii="Times New Roman" w:hAnsi="Times New Roman"/>
          <w:b w:val="0"/>
          <w:bCs w:val="0"/>
          <w:color w:val="000000"/>
          <w:shd w:val="clear" w:color="auto" w:fill="FFFFFF"/>
        </w:rPr>
        <w:t>griculture</w:t>
      </w:r>
      <w:r w:rsidRPr="001928FA">
        <w:rPr>
          <w:rStyle w:val="lev"/>
          <w:rFonts w:ascii="Times New Roman" w:hAnsi="Times New Roman"/>
          <w:b w:val="0"/>
          <w:bCs w:val="0"/>
          <w:color w:val="000000"/>
          <w:shd w:val="clear" w:color="auto" w:fill="FFFFFF"/>
        </w:rPr>
        <w:t xml:space="preserve">, du Bois, de </w:t>
      </w:r>
      <w:r w:rsidR="001928FA" w:rsidRPr="001928FA">
        <w:rPr>
          <w:rStyle w:val="lev"/>
          <w:rFonts w:ascii="Times New Roman" w:hAnsi="Times New Roman"/>
          <w:b w:val="0"/>
          <w:bCs w:val="0"/>
          <w:color w:val="000000"/>
          <w:shd w:val="clear" w:color="auto" w:fill="FFFFFF"/>
        </w:rPr>
        <w:t>l’</w:t>
      </w:r>
      <w:r w:rsidR="001928FA">
        <w:rPr>
          <w:rStyle w:val="lev"/>
          <w:rFonts w:ascii="Times New Roman" w:hAnsi="Times New Roman"/>
          <w:b w:val="0"/>
          <w:bCs w:val="0"/>
          <w:color w:val="000000"/>
          <w:shd w:val="clear" w:color="auto" w:fill="FFFFFF"/>
        </w:rPr>
        <w:t>E</w:t>
      </w:r>
      <w:r w:rsidR="001928FA" w:rsidRPr="001928FA">
        <w:rPr>
          <w:rStyle w:val="lev"/>
          <w:rFonts w:ascii="Times New Roman" w:hAnsi="Times New Roman"/>
          <w:b w:val="0"/>
          <w:bCs w:val="0"/>
          <w:color w:val="000000"/>
          <w:shd w:val="clear" w:color="auto" w:fill="FFFFFF"/>
        </w:rPr>
        <w:t>au</w:t>
      </w:r>
      <w:r w:rsidRPr="001928FA">
        <w:rPr>
          <w:rStyle w:val="lev"/>
          <w:rFonts w:ascii="Times New Roman" w:hAnsi="Times New Roman"/>
          <w:b w:val="0"/>
          <w:bCs w:val="0"/>
          <w:color w:val="000000"/>
          <w:shd w:val="clear" w:color="auto" w:fill="FFFFFF"/>
        </w:rPr>
        <w:t xml:space="preserve"> et de </w:t>
      </w:r>
      <w:r w:rsidR="001928FA" w:rsidRPr="001928FA">
        <w:rPr>
          <w:rStyle w:val="lev"/>
          <w:rFonts w:ascii="Times New Roman" w:hAnsi="Times New Roman"/>
          <w:b w:val="0"/>
          <w:bCs w:val="0"/>
          <w:color w:val="000000"/>
          <w:shd w:val="clear" w:color="auto" w:fill="FFFFFF"/>
        </w:rPr>
        <w:t>l’</w:t>
      </w:r>
      <w:r w:rsidR="001928FA">
        <w:rPr>
          <w:rStyle w:val="lev"/>
          <w:rFonts w:ascii="Times New Roman" w:hAnsi="Times New Roman"/>
          <w:b w:val="0"/>
          <w:bCs w:val="0"/>
          <w:color w:val="000000"/>
          <w:shd w:val="clear" w:color="auto" w:fill="FFFFFF"/>
        </w:rPr>
        <w:t>E</w:t>
      </w:r>
      <w:r w:rsidR="001928FA" w:rsidRPr="001928FA">
        <w:rPr>
          <w:rStyle w:val="lev"/>
          <w:rFonts w:ascii="Times New Roman" w:hAnsi="Times New Roman"/>
          <w:b w:val="0"/>
          <w:bCs w:val="0"/>
          <w:color w:val="000000"/>
          <w:shd w:val="clear" w:color="auto" w:fill="FFFFFF"/>
        </w:rPr>
        <w:t>nvironnement</w:t>
      </w:r>
      <w:r w:rsidRPr="001928FA">
        <w:rPr>
          <w:rStyle w:val="lev"/>
          <w:rFonts w:ascii="Times New Roman" w:hAnsi="Times New Roman"/>
          <w:b w:val="0"/>
          <w:bCs w:val="0"/>
          <w:color w:val="000000"/>
          <w:shd w:val="clear" w:color="auto" w:fill="FFFFFF"/>
        </w:rPr>
        <w:t xml:space="preserve"> (ISABEE) </w:t>
      </w:r>
      <w:r w:rsidRPr="001928FA">
        <w:rPr>
          <w:rFonts w:ascii="Times New Roman" w:hAnsi="Times New Roman"/>
          <w:color w:val="000000"/>
          <w:shd w:val="clear" w:color="auto" w:fill="FFFFFF"/>
        </w:rPr>
        <w:t xml:space="preserve">Créé par décret n° 2022/008 du 06 janvier 2022 portant organisation administrative et académique de </w:t>
      </w:r>
      <w:r w:rsidR="001928FA" w:rsidRPr="001928FA">
        <w:rPr>
          <w:rFonts w:ascii="Times New Roman" w:hAnsi="Times New Roman"/>
          <w:color w:val="000000"/>
          <w:shd w:val="clear" w:color="auto" w:fill="FFFFFF"/>
        </w:rPr>
        <w:t>l’Université</w:t>
      </w:r>
      <w:r w:rsidRPr="001928FA">
        <w:rPr>
          <w:rFonts w:ascii="Times New Roman" w:hAnsi="Times New Roman"/>
          <w:color w:val="000000"/>
          <w:shd w:val="clear" w:color="auto" w:fill="FFFFFF"/>
        </w:rPr>
        <w:t xml:space="preserve"> de Bertoua.</w:t>
      </w:r>
    </w:p>
  </w:footnote>
  <w:footnote w:id="23">
    <w:p w14:paraId="67C7D53C" w14:textId="702D3298" w:rsidR="00D80693" w:rsidRPr="001928FA" w:rsidRDefault="00D80693" w:rsidP="00D80693">
      <w:pPr>
        <w:pStyle w:val="Notedebasdepage"/>
        <w:jc w:val="both"/>
        <w:rPr>
          <w:rFonts w:ascii="Times New Roman" w:hAnsi="Times New Roman"/>
          <w:b/>
          <w:bCs/>
          <w:color w:val="000000"/>
        </w:rPr>
      </w:pPr>
      <w:r w:rsidRPr="001928FA">
        <w:rPr>
          <w:rStyle w:val="Appelnotedebasdep"/>
          <w:rFonts w:ascii="Times New Roman" w:hAnsi="Times New Roman"/>
          <w:b/>
          <w:bCs/>
          <w:color w:val="000000"/>
        </w:rPr>
        <w:footnoteRef/>
      </w:r>
      <w:r w:rsidRPr="001928FA">
        <w:rPr>
          <w:rFonts w:ascii="Times New Roman" w:hAnsi="Times New Roman"/>
          <w:b/>
          <w:bCs/>
          <w:color w:val="000000"/>
        </w:rPr>
        <w:t xml:space="preserve"> </w:t>
      </w:r>
      <w:r w:rsidR="001928FA" w:rsidRPr="001928FA">
        <w:rPr>
          <w:rStyle w:val="lev"/>
          <w:rFonts w:ascii="Times New Roman" w:hAnsi="Times New Roman"/>
          <w:b w:val="0"/>
          <w:bCs w:val="0"/>
          <w:color w:val="000000"/>
          <w:shd w:val="clear" w:color="auto" w:fill="FFFFFF"/>
        </w:rPr>
        <w:t>L’agriculture</w:t>
      </w:r>
      <w:r w:rsidRPr="001928FA">
        <w:rPr>
          <w:rStyle w:val="lev"/>
          <w:rFonts w:ascii="Times New Roman" w:hAnsi="Times New Roman"/>
          <w:b w:val="0"/>
          <w:bCs w:val="0"/>
          <w:color w:val="000000"/>
          <w:shd w:val="clear" w:color="auto" w:fill="FFFFFF"/>
        </w:rPr>
        <w:t xml:space="preserve">, </w:t>
      </w:r>
      <w:r w:rsidR="001928FA" w:rsidRPr="001928FA">
        <w:rPr>
          <w:rStyle w:val="lev"/>
          <w:rFonts w:ascii="Times New Roman" w:hAnsi="Times New Roman"/>
          <w:b w:val="0"/>
          <w:bCs w:val="0"/>
          <w:color w:val="000000"/>
          <w:shd w:val="clear" w:color="auto" w:fill="FFFFFF"/>
        </w:rPr>
        <w:t>l’élevage</w:t>
      </w:r>
      <w:r w:rsidRPr="001928FA">
        <w:rPr>
          <w:rStyle w:val="lev"/>
          <w:rFonts w:ascii="Times New Roman" w:hAnsi="Times New Roman"/>
          <w:b w:val="0"/>
          <w:bCs w:val="0"/>
          <w:color w:val="000000"/>
          <w:shd w:val="clear" w:color="auto" w:fill="FFFFFF"/>
        </w:rPr>
        <w:t xml:space="preserve">, la protection phytosanitaire, la foresterie, </w:t>
      </w:r>
      <w:r w:rsidR="001928FA" w:rsidRPr="001928FA">
        <w:rPr>
          <w:rStyle w:val="lev"/>
          <w:rFonts w:ascii="Times New Roman" w:hAnsi="Times New Roman"/>
          <w:b w:val="0"/>
          <w:bCs w:val="0"/>
          <w:color w:val="000000"/>
          <w:shd w:val="clear" w:color="auto" w:fill="FFFFFF"/>
        </w:rPr>
        <w:t>l’économie</w:t>
      </w:r>
      <w:r w:rsidRPr="001928FA">
        <w:rPr>
          <w:rStyle w:val="lev"/>
          <w:rFonts w:ascii="Times New Roman" w:hAnsi="Times New Roman"/>
          <w:b w:val="0"/>
          <w:bCs w:val="0"/>
          <w:color w:val="000000"/>
          <w:shd w:val="clear" w:color="auto" w:fill="FFFFFF"/>
        </w:rPr>
        <w:t xml:space="preserve"> agricole, </w:t>
      </w:r>
      <w:r w:rsidR="001928FA" w:rsidRPr="001928FA">
        <w:rPr>
          <w:rStyle w:val="lev"/>
          <w:rFonts w:ascii="Times New Roman" w:hAnsi="Times New Roman"/>
          <w:b w:val="0"/>
          <w:bCs w:val="0"/>
          <w:color w:val="000000"/>
          <w:shd w:val="clear" w:color="auto" w:fill="FFFFFF"/>
        </w:rPr>
        <w:t>l’environnement</w:t>
      </w:r>
      <w:r w:rsidRPr="001928FA">
        <w:rPr>
          <w:rStyle w:val="lev"/>
          <w:rFonts w:ascii="Times New Roman" w:hAnsi="Times New Roman"/>
          <w:b w:val="0"/>
          <w:bCs w:val="0"/>
          <w:color w:val="000000"/>
          <w:shd w:val="clear" w:color="auto" w:fill="FFFFFF"/>
        </w:rPr>
        <w:t xml:space="preserve"> et les énergies renouvelables</w:t>
      </w:r>
    </w:p>
  </w:footnote>
  <w:footnote w:id="24">
    <w:p w14:paraId="784C5ABA" w14:textId="0178B2CD" w:rsidR="00D80693" w:rsidRPr="004C5B95" w:rsidRDefault="00D80693" w:rsidP="00D80693">
      <w:pPr>
        <w:pStyle w:val="Notedebasdepage"/>
        <w:jc w:val="both"/>
        <w:rPr>
          <w:rFonts w:ascii="Times New Roman" w:hAnsi="Times New Roman"/>
          <w:color w:val="000000"/>
        </w:rPr>
      </w:pPr>
      <w:r w:rsidRPr="001928FA">
        <w:rPr>
          <w:rStyle w:val="Appelnotedebasdep"/>
          <w:rFonts w:ascii="Times New Roman" w:hAnsi="Times New Roman"/>
          <w:b/>
          <w:bCs/>
          <w:color w:val="000000"/>
        </w:rPr>
        <w:footnoteRef/>
      </w:r>
      <w:r w:rsidRPr="001928FA">
        <w:rPr>
          <w:rFonts w:ascii="Times New Roman" w:hAnsi="Times New Roman"/>
          <w:b/>
          <w:bCs/>
          <w:color w:val="000000"/>
        </w:rPr>
        <w:t xml:space="preserve"> </w:t>
      </w:r>
      <w:r w:rsidRPr="001928FA">
        <w:rPr>
          <w:rStyle w:val="lev"/>
          <w:rFonts w:ascii="Times New Roman" w:hAnsi="Times New Roman"/>
          <w:b w:val="0"/>
          <w:bCs w:val="0"/>
          <w:color w:val="000000"/>
          <w:shd w:val="clear" w:color="auto" w:fill="FFFFFF"/>
        </w:rPr>
        <w:t xml:space="preserve">Production végétale, Production animale, Protection des cultures, Opérations Forestières, Aménagement Forestier, Gestion de la Faune, des Aires protégées et Ecotourisme, Sylviculture et Plantations Forestières, Sciences du Bois, Techniques spécialisées en transformation du bois, Génie de </w:t>
      </w:r>
      <w:r w:rsidR="001928FA" w:rsidRPr="001928FA">
        <w:rPr>
          <w:rStyle w:val="lev"/>
          <w:rFonts w:ascii="Times New Roman" w:hAnsi="Times New Roman"/>
          <w:b w:val="0"/>
          <w:bCs w:val="0"/>
          <w:color w:val="000000"/>
          <w:shd w:val="clear" w:color="auto" w:fill="FFFFFF"/>
        </w:rPr>
        <w:t>l’environnement</w:t>
      </w:r>
      <w:r w:rsidRPr="001928FA">
        <w:rPr>
          <w:rStyle w:val="lev"/>
          <w:rFonts w:ascii="Times New Roman" w:hAnsi="Times New Roman"/>
          <w:b w:val="0"/>
          <w:bCs w:val="0"/>
          <w:color w:val="000000"/>
          <w:shd w:val="clear" w:color="auto" w:fill="FFFFFF"/>
        </w:rPr>
        <w:t>, Systèmes agro-</w:t>
      </w:r>
      <w:proofErr w:type="spellStart"/>
      <w:r w:rsidRPr="001928FA">
        <w:rPr>
          <w:rStyle w:val="lev"/>
          <w:rFonts w:ascii="Times New Roman" w:hAnsi="Times New Roman"/>
          <w:b w:val="0"/>
          <w:bCs w:val="0"/>
          <w:color w:val="000000"/>
          <w:shd w:val="clear" w:color="auto" w:fill="FFFFFF"/>
        </w:rPr>
        <w:t>sylvo</w:t>
      </w:r>
      <w:proofErr w:type="spellEnd"/>
      <w:r w:rsidRPr="001928FA">
        <w:rPr>
          <w:rStyle w:val="lev"/>
          <w:rFonts w:ascii="Times New Roman" w:hAnsi="Times New Roman"/>
          <w:b w:val="0"/>
          <w:bCs w:val="0"/>
          <w:color w:val="000000"/>
          <w:shd w:val="clear" w:color="auto" w:fill="FFFFFF"/>
        </w:rPr>
        <w:t xml:space="preserve"> pastoraux et bioénergies, Bioénergies et environnement, Génie énergétique, Agroéconomie, Politique et gouvernance forestière, Etudes </w:t>
      </w:r>
      <w:r w:rsidR="001928FA" w:rsidRPr="001928FA">
        <w:rPr>
          <w:rStyle w:val="lev"/>
          <w:rFonts w:ascii="Times New Roman" w:hAnsi="Times New Roman"/>
          <w:b w:val="0"/>
          <w:bCs w:val="0"/>
          <w:color w:val="000000"/>
          <w:shd w:val="clear" w:color="auto" w:fill="FFFFFF"/>
        </w:rPr>
        <w:t>d’impact</w:t>
      </w:r>
      <w:r w:rsidRPr="001928FA">
        <w:rPr>
          <w:rStyle w:val="lev"/>
          <w:rFonts w:ascii="Times New Roman" w:hAnsi="Times New Roman"/>
          <w:b w:val="0"/>
          <w:bCs w:val="0"/>
          <w:color w:val="000000"/>
          <w:shd w:val="clear" w:color="auto" w:fill="FFFFFF"/>
        </w:rPr>
        <w:t xml:space="preserve"> environnemental et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C6C3" w14:textId="6EB2B423" w:rsidR="007944D2" w:rsidRDefault="007944D2" w:rsidP="007944D2">
    <w:pPr>
      <w:spacing w:before="11"/>
      <w:ind w:left="5780"/>
      <w:rPr>
        <w:b/>
        <w:i/>
      </w:rPr>
    </w:pPr>
    <w:r>
      <w:rPr>
        <w:b/>
        <w:i/>
      </w:rPr>
      <w:t xml:space="preserve">           </w:t>
    </w:r>
    <w:r>
      <w:rPr>
        <w:b/>
        <w:i/>
      </w:rPr>
      <w:t>RASEF,</w:t>
    </w:r>
    <w:r>
      <w:rPr>
        <w:b/>
        <w:i/>
        <w:spacing w:val="-3"/>
      </w:rPr>
      <w:t xml:space="preserve"> </w:t>
    </w:r>
    <w:r>
      <w:rPr>
        <w:b/>
        <w:i/>
      </w:rPr>
      <w:t>N°7,</w:t>
    </w:r>
    <w:r>
      <w:rPr>
        <w:b/>
        <w:i/>
        <w:spacing w:val="-3"/>
      </w:rPr>
      <w:t xml:space="preserve"> Décembre</w:t>
    </w:r>
    <w:r>
      <w:rPr>
        <w:b/>
        <w:i/>
        <w:spacing w:val="-4"/>
      </w:rPr>
      <w:t xml:space="preserve"> 2025</w:t>
    </w:r>
  </w:p>
  <w:p w14:paraId="016AC738" w14:textId="77777777" w:rsidR="007944D2" w:rsidRDefault="007944D2" w:rsidP="007944D2">
    <w:pPr>
      <w:pStyle w:val="En-tte"/>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09C3" w14:textId="77777777" w:rsidR="008F0E54" w:rsidRDefault="008F0E54">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35552" behindDoc="1" locked="0" layoutInCell="1" allowOverlap="1" wp14:anchorId="1AD5482C" wp14:editId="033E7AA8">
              <wp:simplePos x="0" y="0"/>
              <wp:positionH relativeFrom="page">
                <wp:posOffset>906780</wp:posOffset>
              </wp:positionH>
              <wp:positionV relativeFrom="topMargin">
                <wp:align>bottom</wp:align>
              </wp:positionV>
              <wp:extent cx="4107180" cy="373380"/>
              <wp:effectExtent l="0" t="0" r="0" b="0"/>
              <wp:wrapNone/>
              <wp:docPr id="182187000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0FF594B4" w14:textId="77777777" w:rsidR="008F0E54" w:rsidRPr="008F0E54" w:rsidRDefault="008F0E54" w:rsidP="008F0E54">
                          <w:pPr>
                            <w:contextualSpacing/>
                            <w:rPr>
                              <w:rFonts w:eastAsia="Calibri"/>
                              <w:b/>
                              <w:bCs/>
                              <w:i/>
                              <w:iCs/>
                              <w:sz w:val="24"/>
                              <w:szCs w:val="24"/>
                            </w:rPr>
                          </w:pPr>
                          <w:r w:rsidRPr="008F0E54">
                            <w:rPr>
                              <w:b/>
                              <w:bCs/>
                              <w:i/>
                              <w:iCs/>
                              <w:sz w:val="24"/>
                              <w:szCs w:val="24"/>
                            </w:rPr>
                            <w:t>Paul Blanchard AKE, Kouakou Bruno KANGA</w:t>
                          </w:r>
                        </w:p>
                        <w:p w14:paraId="3F150A07" w14:textId="77777777" w:rsidR="008F0E54" w:rsidRPr="008F0E54" w:rsidRDefault="008F0E54" w:rsidP="00813D27">
                          <w:pPr>
                            <w:rPr>
                              <w:b/>
                              <w:bCs/>
                              <w:i/>
                              <w:iCs/>
                              <w:szCs w:val="24"/>
                              <w:lang w:eastAsia="fr-FR"/>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D5482C" id="_x0000_t202" coordsize="21600,21600" o:spt="202" path="m,l,21600r21600,l21600,xe">
              <v:stroke joinstyle="miter"/>
              <v:path gradientshapeok="t" o:connecttype="rect"/>
            </v:shapetype>
            <v:shape id="_x0000_s1048" type="#_x0000_t202" style="position:absolute;margin-left:71.4pt;margin-top:0;width:323.4pt;height:29.4pt;z-index:-251580928;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" filled="f" stroked="f">
              <v:textbox inset="0,0,0,0">
                <w:txbxContent>
                  <w:p w14:paraId="0FF594B4" w14:textId="77777777" w:rsidR="008F0E54" w:rsidRPr="008F0E54" w:rsidRDefault="008F0E54" w:rsidP="008F0E54">
                    <w:pPr>
                      <w:contextualSpacing/>
                      <w:rPr>
                        <w:rFonts w:eastAsia="Calibri"/>
                        <w:b/>
                        <w:bCs/>
                        <w:i/>
                        <w:iCs/>
                        <w:sz w:val="24"/>
                        <w:szCs w:val="24"/>
                      </w:rPr>
                    </w:pPr>
                    <w:r w:rsidRPr="008F0E54">
                      <w:rPr>
                        <w:b/>
                        <w:bCs/>
                        <w:i/>
                        <w:iCs/>
                        <w:sz w:val="24"/>
                        <w:szCs w:val="24"/>
                      </w:rPr>
                      <w:t>Paul Blanchard AKE, Kouakou Bruno KANGA</w:t>
                    </w:r>
                  </w:p>
                  <w:p w14:paraId="3F150A07" w14:textId="77777777" w:rsidR="008F0E54" w:rsidRPr="008F0E54" w:rsidRDefault="008F0E54" w:rsidP="00813D27">
                    <w:pPr>
                      <w:rPr>
                        <w:b/>
                        <w:bCs/>
                        <w:i/>
                        <w:iCs/>
                        <w:szCs w:val="24"/>
                        <w:lang w:eastAsia="fr-FR"/>
                      </w:rPr>
                    </w:pPr>
                  </w:p>
                </w:txbxContent>
              </v:textbox>
              <w10:wrap anchorx="page" anchory="margin"/>
            </v:shape>
          </w:pict>
        </mc:Fallback>
      </mc:AlternateContent>
    </w:r>
    <w:r>
      <w:rPr>
        <w:noProof/>
        <w:sz w:val="20"/>
        <w:lang w:eastAsia="fr-FR"/>
      </w:rPr>
      <mc:AlternateContent>
        <mc:Choice Requires="wps">
          <w:drawing>
            <wp:anchor distT="0" distB="0" distL="0" distR="0" simplePos="0" relativeHeight="251736576" behindDoc="1" locked="0" layoutInCell="1" allowOverlap="1" wp14:anchorId="0EF43B21" wp14:editId="4A8D0807">
              <wp:simplePos x="0" y="0"/>
              <wp:positionH relativeFrom="page">
                <wp:posOffset>4936616</wp:posOffset>
              </wp:positionH>
              <wp:positionV relativeFrom="page">
                <wp:posOffset>525298</wp:posOffset>
              </wp:positionV>
              <wp:extent cx="1737995" cy="180975"/>
              <wp:effectExtent l="0" t="0" r="0" b="0"/>
              <wp:wrapNone/>
              <wp:docPr id="109943412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252E8F47" w14:textId="77777777" w:rsidR="008F0E54" w:rsidRDefault="008F0E54"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063B5D61" w14:textId="77777777" w:rsidR="008F0E54" w:rsidRDefault="008F0E54">
                          <w:pPr>
                            <w:spacing w:before="11"/>
                            <w:ind w:left="20"/>
                            <w:rPr>
                              <w:b/>
                              <w:i/>
                            </w:rPr>
                          </w:pPr>
                        </w:p>
                      </w:txbxContent>
                    </wps:txbx>
                    <wps:bodyPr wrap="square" lIns="0" tIns="0" rIns="0" bIns="0" rtlCol="0">
                      <a:noAutofit/>
                    </wps:bodyPr>
                  </wps:wsp>
                </a:graphicData>
              </a:graphic>
            </wp:anchor>
          </w:drawing>
        </mc:Choice>
        <mc:Fallback>
          <w:pict>
            <v:shape w14:anchorId="0EF43B21" id="_x0000_s1049" type="#_x0000_t202" style="position:absolute;margin-left:388.7pt;margin-top:41.35pt;width:136.85pt;height:14.25pt;z-index:-251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CQ8ifimQEA&#10;ACMDAAAOAAAAAAAAAAAAAAAAAC4CAABkcnMvZTJvRG9jLnhtbFBLAQItABQABgAIAAAAIQDI+iyC&#10;4AAAAAsBAAAPAAAAAAAAAAAAAAAAAPMDAABkcnMvZG93bnJldi54bWxQSwUGAAAAAAQABADzAAAA&#10;AAUAAAAA&#10;" filled="f" stroked="f">
              <v:textbox inset="0,0,0,0">
                <w:txbxContent>
                  <w:p w14:paraId="252E8F47" w14:textId="77777777" w:rsidR="008F0E54" w:rsidRDefault="008F0E54"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063B5D61" w14:textId="77777777" w:rsidR="008F0E54" w:rsidRDefault="008F0E54">
                    <w:pPr>
                      <w:spacing w:before="11"/>
                      <w:ind w:left="20"/>
                      <w:rPr>
                        <w:b/>
                        <w:i/>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DBB8" w14:textId="77777777" w:rsidR="00BD3B47" w:rsidRDefault="00BD3B47">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40672" behindDoc="1" locked="0" layoutInCell="1" allowOverlap="1" wp14:anchorId="10910102" wp14:editId="25E05111">
              <wp:simplePos x="0" y="0"/>
              <wp:positionH relativeFrom="page">
                <wp:posOffset>906780</wp:posOffset>
              </wp:positionH>
              <wp:positionV relativeFrom="topMargin">
                <wp:align>bottom</wp:align>
              </wp:positionV>
              <wp:extent cx="4107180" cy="373380"/>
              <wp:effectExtent l="0" t="0" r="0" b="0"/>
              <wp:wrapNone/>
              <wp:docPr id="41760071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3C1AE79D" w14:textId="783780E6" w:rsidR="00BD3B47" w:rsidRPr="008F0E54" w:rsidRDefault="00BD3B47" w:rsidP="00813D27">
                          <w:pPr>
                            <w:rPr>
                              <w:b/>
                              <w:bCs/>
                              <w:i/>
                              <w:iCs/>
                              <w:szCs w:val="24"/>
                              <w:lang w:eastAsia="fr-FR"/>
                            </w:rPr>
                          </w:pPr>
                          <w:r w:rsidRPr="00BD3B47">
                            <w:rPr>
                              <w:b/>
                              <w:bCs/>
                              <w:i/>
                              <w:iCs/>
                              <w:sz w:val="24"/>
                              <w:szCs w:val="24"/>
                            </w:rPr>
                            <w:t>BAKINGU BAKIBANGOU Yvette, NDONGO Nathalie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910102" id="_x0000_t202" coordsize="21600,21600" o:spt="202" path="m,l,21600r21600,l21600,xe">
              <v:stroke joinstyle="miter"/>
              <v:path gradientshapeok="t" o:connecttype="rect"/>
            </v:shapetype>
            <v:shape id="_x0000_s1050" type="#_x0000_t202" style="position:absolute;margin-left:71.4pt;margin-top:0;width:323.4pt;height:29.4pt;z-index:-251575808;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hZlgEAACMDAAAOAAAAZHJzL2Uyb0RvYy54bWysUsGO0zAQvSPxD5bvNGmL2FX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" filled="f" stroked="f">
              <v:textbox inset="0,0,0,0">
                <w:txbxContent>
                  <w:p w14:paraId="3C1AE79D" w14:textId="783780E6" w:rsidR="00BD3B47" w:rsidRPr="008F0E54" w:rsidRDefault="00BD3B47" w:rsidP="00813D27">
                    <w:pPr>
                      <w:rPr>
                        <w:b/>
                        <w:bCs/>
                        <w:i/>
                        <w:iCs/>
                        <w:szCs w:val="24"/>
                        <w:lang w:eastAsia="fr-FR"/>
                      </w:rPr>
                    </w:pPr>
                    <w:r w:rsidRPr="00BD3B47">
                      <w:rPr>
                        <w:b/>
                        <w:bCs/>
                        <w:i/>
                        <w:iCs/>
                        <w:sz w:val="24"/>
                        <w:szCs w:val="24"/>
                      </w:rPr>
                      <w:t>BAKINGU BAKIBANGOU Yvette, NDONGO Nathalie</w:t>
                    </w:r>
                  </w:p>
                </w:txbxContent>
              </v:textbox>
              <w10:wrap anchorx="page" anchory="margin"/>
            </v:shape>
          </w:pict>
        </mc:Fallback>
      </mc:AlternateContent>
    </w:r>
    <w:r>
      <w:rPr>
        <w:noProof/>
        <w:sz w:val="20"/>
        <w:lang w:eastAsia="fr-FR"/>
      </w:rPr>
      <mc:AlternateContent>
        <mc:Choice Requires="wps">
          <w:drawing>
            <wp:anchor distT="0" distB="0" distL="0" distR="0" simplePos="0" relativeHeight="251741696" behindDoc="1" locked="0" layoutInCell="1" allowOverlap="1" wp14:anchorId="2992BA84" wp14:editId="7D0A1C69">
              <wp:simplePos x="0" y="0"/>
              <wp:positionH relativeFrom="page">
                <wp:posOffset>4936616</wp:posOffset>
              </wp:positionH>
              <wp:positionV relativeFrom="page">
                <wp:posOffset>525298</wp:posOffset>
              </wp:positionV>
              <wp:extent cx="1737995" cy="180975"/>
              <wp:effectExtent l="0" t="0" r="0" b="0"/>
              <wp:wrapNone/>
              <wp:docPr id="140220834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6F34558A" w14:textId="77777777" w:rsidR="00BD3B47" w:rsidRDefault="00BD3B47"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5C2715D" w14:textId="77777777" w:rsidR="00BD3B47" w:rsidRDefault="00BD3B47">
                          <w:pPr>
                            <w:spacing w:before="11"/>
                            <w:ind w:left="20"/>
                            <w:rPr>
                              <w:b/>
                              <w:i/>
                            </w:rPr>
                          </w:pPr>
                        </w:p>
                      </w:txbxContent>
                    </wps:txbx>
                    <wps:bodyPr wrap="square" lIns="0" tIns="0" rIns="0" bIns="0" rtlCol="0">
                      <a:noAutofit/>
                    </wps:bodyPr>
                  </wps:wsp>
                </a:graphicData>
              </a:graphic>
            </wp:anchor>
          </w:drawing>
        </mc:Choice>
        <mc:Fallback>
          <w:pict>
            <v:shape w14:anchorId="2992BA84" id="_x0000_s1051" type="#_x0000_t202" style="position:absolute;margin-left:388.7pt;margin-top:41.35pt;width:136.85pt;height:14.25pt;z-index:-251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" filled="f" stroked="f">
              <v:textbox inset="0,0,0,0">
                <w:txbxContent>
                  <w:p w14:paraId="6F34558A" w14:textId="77777777" w:rsidR="00BD3B47" w:rsidRDefault="00BD3B47"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5C2715D" w14:textId="77777777" w:rsidR="00BD3B47" w:rsidRDefault="00BD3B47">
                    <w:pPr>
                      <w:spacing w:before="11"/>
                      <w:ind w:left="20"/>
                      <w:rPr>
                        <w:b/>
                        <w:i/>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F63E" w14:textId="77777777" w:rsidR="007944D2" w:rsidRDefault="007944D2">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45792" behindDoc="1" locked="0" layoutInCell="1" allowOverlap="1" wp14:anchorId="70FE8D99" wp14:editId="708B2821">
              <wp:simplePos x="0" y="0"/>
              <wp:positionH relativeFrom="page">
                <wp:posOffset>906780</wp:posOffset>
              </wp:positionH>
              <wp:positionV relativeFrom="topMargin">
                <wp:align>bottom</wp:align>
              </wp:positionV>
              <wp:extent cx="4107180" cy="373380"/>
              <wp:effectExtent l="0" t="0" r="0" b="0"/>
              <wp:wrapNone/>
              <wp:docPr id="211426021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0F987040" w14:textId="77777777" w:rsidR="007944D2" w:rsidRPr="008F0E54" w:rsidRDefault="007944D2" w:rsidP="00813D27">
                          <w:pPr>
                            <w:rPr>
                              <w:b/>
                              <w:bCs/>
                              <w:i/>
                              <w:iCs/>
                              <w:szCs w:val="24"/>
                              <w:lang w:eastAsia="fr-FR"/>
                            </w:rPr>
                          </w:pPr>
                          <w:r w:rsidRPr="00BD3B47">
                            <w:rPr>
                              <w:b/>
                              <w:bCs/>
                              <w:i/>
                              <w:iCs/>
                              <w:sz w:val="24"/>
                              <w:szCs w:val="24"/>
                            </w:rPr>
                            <w:t>BAKINGU BAKIBANGOU Yvette, NDONGO Nathalie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0FE8D99" id="_x0000_t202" coordsize="21600,21600" o:spt="202" path="m,l,21600r21600,l21600,xe">
              <v:stroke joinstyle="miter"/>
              <v:path gradientshapeok="t" o:connecttype="rect"/>
            </v:shapetype>
            <v:shape id="_x0000_s1052" type="#_x0000_t202" style="position:absolute;margin-left:71.4pt;margin-top:0;width:323.4pt;height:29.4pt;z-index:-251570688;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G6lwEAACMDAAAOAAAAZHJzL2Uyb0RvYy54bWysUsGO0zAQvSPxD5bvNGmL2FX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" filled="f" stroked="f">
              <v:textbox inset="0,0,0,0">
                <w:txbxContent>
                  <w:p w14:paraId="0F987040" w14:textId="77777777" w:rsidR="007944D2" w:rsidRPr="008F0E54" w:rsidRDefault="007944D2" w:rsidP="00813D27">
                    <w:pPr>
                      <w:rPr>
                        <w:b/>
                        <w:bCs/>
                        <w:i/>
                        <w:iCs/>
                        <w:szCs w:val="24"/>
                        <w:lang w:eastAsia="fr-FR"/>
                      </w:rPr>
                    </w:pPr>
                    <w:r w:rsidRPr="00BD3B47">
                      <w:rPr>
                        <w:b/>
                        <w:bCs/>
                        <w:i/>
                        <w:iCs/>
                        <w:sz w:val="24"/>
                        <w:szCs w:val="24"/>
                      </w:rPr>
                      <w:t>BAKINGU BAKIBANGOU Yvette, NDONGO Nathalie</w:t>
                    </w:r>
                  </w:p>
                </w:txbxContent>
              </v:textbox>
              <w10:wrap anchorx="page" anchory="margin"/>
            </v:shape>
          </w:pict>
        </mc:Fallback>
      </mc:AlternateContent>
    </w:r>
    <w:r>
      <w:rPr>
        <w:noProof/>
        <w:sz w:val="20"/>
        <w:lang w:eastAsia="fr-FR"/>
      </w:rPr>
      <mc:AlternateContent>
        <mc:Choice Requires="wps">
          <w:drawing>
            <wp:anchor distT="0" distB="0" distL="0" distR="0" simplePos="0" relativeHeight="251746816" behindDoc="1" locked="0" layoutInCell="1" allowOverlap="1" wp14:anchorId="258F7C71" wp14:editId="0CA5B7AC">
              <wp:simplePos x="0" y="0"/>
              <wp:positionH relativeFrom="page">
                <wp:posOffset>4936616</wp:posOffset>
              </wp:positionH>
              <wp:positionV relativeFrom="page">
                <wp:posOffset>525298</wp:posOffset>
              </wp:positionV>
              <wp:extent cx="1737995" cy="180975"/>
              <wp:effectExtent l="0" t="0" r="0" b="0"/>
              <wp:wrapNone/>
              <wp:docPr id="202013369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6616FF4B" w14:textId="77777777" w:rsidR="007944D2" w:rsidRDefault="007944D2"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1B4CDB5B" w14:textId="77777777" w:rsidR="007944D2" w:rsidRDefault="007944D2">
                          <w:pPr>
                            <w:spacing w:before="11"/>
                            <w:ind w:left="20"/>
                            <w:rPr>
                              <w:b/>
                              <w:i/>
                            </w:rPr>
                          </w:pPr>
                        </w:p>
                      </w:txbxContent>
                    </wps:txbx>
                    <wps:bodyPr wrap="square" lIns="0" tIns="0" rIns="0" bIns="0" rtlCol="0">
                      <a:noAutofit/>
                    </wps:bodyPr>
                  </wps:wsp>
                </a:graphicData>
              </a:graphic>
            </wp:anchor>
          </w:drawing>
        </mc:Choice>
        <mc:Fallback>
          <w:pict>
            <v:shape w14:anchorId="258F7C71" id="_x0000_s1053" type="#_x0000_t202" style="position:absolute;margin-left:388.7pt;margin-top:41.35pt;width:136.85pt;height:14.25pt;z-index:-251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" filled="f" stroked="f">
              <v:textbox inset="0,0,0,0">
                <w:txbxContent>
                  <w:p w14:paraId="6616FF4B" w14:textId="77777777" w:rsidR="007944D2" w:rsidRDefault="007944D2"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1B4CDB5B" w14:textId="77777777" w:rsidR="007944D2" w:rsidRDefault="007944D2">
                    <w:pPr>
                      <w:spacing w:before="11"/>
                      <w:ind w:left="20"/>
                      <w:rPr>
                        <w:b/>
                        <w:i/>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9BF5" w14:textId="7593FC44" w:rsidR="007944D2" w:rsidRPr="007944D2" w:rsidRDefault="007944D2">
    <w:pPr>
      <w:pStyle w:val="En-tte"/>
      <w:rPr>
        <w:b/>
        <w:bCs/>
        <w:i/>
        <w:iCs/>
      </w:rPr>
    </w:pPr>
    <w:proofErr w:type="spellStart"/>
    <w:r w:rsidRPr="007944D2">
      <w:rPr>
        <w:b/>
        <w:bCs/>
        <w:i/>
        <w:iCs/>
      </w:rPr>
      <w:t>Natié</w:t>
    </w:r>
    <w:proofErr w:type="spellEnd"/>
    <w:r w:rsidRPr="007944D2">
      <w:rPr>
        <w:b/>
        <w:bCs/>
        <w:i/>
        <w:iCs/>
      </w:rPr>
      <w:t xml:space="preserve"> COULIBALY, Ibrahima TRAORÉ, Yacouba LOUGUÉ</w:t>
    </w:r>
    <w:r>
      <w:rPr>
        <w:b/>
        <w:bCs/>
        <w:i/>
        <w:iCs/>
      </w:rPr>
      <w:t xml:space="preserve">              </w:t>
    </w:r>
    <w:r w:rsidRPr="007944D2">
      <w:rPr>
        <w:b/>
        <w:bCs/>
        <w:i/>
        <w:iCs/>
      </w:rPr>
      <w:t>RASEF, N°7, Décembre 2025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7564" w14:textId="004364DF" w:rsidR="007B22B9" w:rsidRDefault="007B22B9" w:rsidP="007B22B9">
    <w:pPr>
      <w:tabs>
        <w:tab w:val="center" w:pos="4513"/>
        <w:tab w:val="left" w:pos="5796"/>
      </w:tabs>
      <w:rPr>
        <w:rFonts w:eastAsia="Calibri"/>
        <w:b/>
        <w:bCs/>
        <w:color w:val="000000"/>
        <w:sz w:val="24"/>
        <w:szCs w:val="24"/>
      </w:rPr>
    </w:pPr>
    <w:r>
      <w:rPr>
        <w:noProof/>
        <w:sz w:val="20"/>
        <w:lang w:eastAsia="fr-FR"/>
      </w:rPr>
      <mc:AlternateContent>
        <mc:Choice Requires="wps">
          <w:drawing>
            <wp:anchor distT="0" distB="0" distL="0" distR="0" simplePos="0" relativeHeight="251750912" behindDoc="1" locked="0" layoutInCell="1" allowOverlap="1" wp14:anchorId="7F33A159" wp14:editId="08D26150">
              <wp:simplePos x="0" y="0"/>
              <wp:positionH relativeFrom="page">
                <wp:posOffset>5167630</wp:posOffset>
              </wp:positionH>
              <wp:positionV relativeFrom="page">
                <wp:posOffset>367665</wp:posOffset>
              </wp:positionV>
              <wp:extent cx="1737995" cy="180975"/>
              <wp:effectExtent l="0" t="0" r="0" b="0"/>
              <wp:wrapNone/>
              <wp:docPr id="5678377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71F4777A" w14:textId="77777777" w:rsidR="007B22B9" w:rsidRDefault="007B22B9" w:rsidP="007B22B9">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A986EB1" w14:textId="77777777" w:rsidR="007B22B9" w:rsidRDefault="007B22B9" w:rsidP="007B22B9">
                          <w:pPr>
                            <w:spacing w:before="11"/>
                            <w:ind w:left="20"/>
                            <w:rPr>
                              <w:b/>
                              <w:i/>
                            </w:rPr>
                          </w:pPr>
                        </w:p>
                      </w:txbxContent>
                    </wps:txbx>
                    <wps:bodyPr wrap="square" lIns="0" tIns="0" rIns="0" bIns="0" rtlCol="0">
                      <a:noAutofit/>
                    </wps:bodyPr>
                  </wps:wsp>
                </a:graphicData>
              </a:graphic>
            </wp:anchor>
          </w:drawing>
        </mc:Choice>
        <mc:Fallback>
          <w:pict>
            <v:shapetype w14:anchorId="7F33A159" id="_x0000_t202" coordsize="21600,21600" o:spt="202" path="m,l,21600r21600,l21600,xe">
              <v:stroke joinstyle="miter"/>
              <v:path gradientshapeok="t" o:connecttype="rect"/>
            </v:shapetype>
            <v:shape id="_x0000_s1054" type="#_x0000_t202" style="position:absolute;margin-left:406.9pt;margin-top:28.95pt;width:136.85pt;height:14.25pt;z-index:-2515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" filled="f" stroked="f">
              <v:textbox inset="0,0,0,0">
                <w:txbxContent>
                  <w:p w14:paraId="71F4777A" w14:textId="77777777" w:rsidR="007B22B9" w:rsidRDefault="007B22B9" w:rsidP="007B22B9">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A986EB1" w14:textId="77777777" w:rsidR="007B22B9" w:rsidRDefault="007B22B9" w:rsidP="007B22B9">
                    <w:pPr>
                      <w:spacing w:before="11"/>
                      <w:ind w:left="20"/>
                      <w:rPr>
                        <w:b/>
                        <w:i/>
                      </w:rPr>
                    </w:pPr>
                  </w:p>
                </w:txbxContent>
              </v:textbox>
              <w10:wrap anchorx="page" anchory="page"/>
            </v:shape>
          </w:pict>
        </mc:Fallback>
      </mc:AlternateContent>
    </w:r>
    <w:r w:rsidRPr="007B22B9">
      <w:rPr>
        <w:rFonts w:eastAsia="Calibri"/>
        <w:b/>
        <w:bCs/>
        <w:color w:val="000000"/>
        <w:sz w:val="24"/>
        <w:szCs w:val="24"/>
      </w:rPr>
      <w:t xml:space="preserve">Harouna DERRA, Ya Eveline TOURÉ/JOHNSON, </w:t>
    </w:r>
    <w:r>
      <w:rPr>
        <w:rFonts w:eastAsia="Calibri"/>
        <w:b/>
        <w:bCs/>
        <w:color w:val="000000"/>
        <w:sz w:val="24"/>
        <w:szCs w:val="24"/>
      </w:rPr>
      <w:tab/>
    </w:r>
  </w:p>
  <w:p w14:paraId="05417A0E" w14:textId="0AFF53ED" w:rsidR="007B22B9" w:rsidRPr="007B22B9" w:rsidRDefault="007B22B9" w:rsidP="007B22B9">
    <w:pPr>
      <w:tabs>
        <w:tab w:val="center" w:pos="4513"/>
        <w:tab w:val="right" w:pos="9026"/>
      </w:tabs>
      <w:rPr>
        <w:rFonts w:eastAsia="Calibri"/>
        <w:b/>
        <w:bCs/>
        <w:color w:val="000000"/>
        <w:sz w:val="24"/>
        <w:szCs w:val="24"/>
      </w:rPr>
    </w:pPr>
    <w:r w:rsidRPr="007B22B9">
      <w:rPr>
        <w:rFonts w:eastAsia="Calibri"/>
        <w:b/>
        <w:bCs/>
        <w:color w:val="000000"/>
        <w:sz w:val="24"/>
        <w:szCs w:val="24"/>
      </w:rPr>
      <w:t>François SAWADOGO</w:t>
    </w:r>
  </w:p>
  <w:p w14:paraId="2EBE0315" w14:textId="77777777" w:rsidR="00D80693" w:rsidRDefault="00D80693" w:rsidP="00D1640B">
    <w:pPr>
      <w:tabs>
        <w:tab w:val="center" w:pos="4513"/>
        <w:tab w:val="right" w:pos="9026"/>
      </w:tabs>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06CC" w14:textId="4E81F1E2" w:rsidR="00D92213" w:rsidRPr="007944D2" w:rsidRDefault="004349B3" w:rsidP="00D92213">
    <w:pPr>
      <w:pStyle w:val="En-tte"/>
      <w:rPr>
        <w:b/>
        <w:bCs/>
        <w:i/>
        <w:iCs/>
      </w:rPr>
    </w:pPr>
    <w:r w:rsidRPr="004349B3">
      <w:rPr>
        <w:b/>
        <w:bCs/>
        <w:i/>
        <w:iCs/>
      </w:rPr>
      <w:t xml:space="preserve">Raymonde MOUSSAVOU </w:t>
    </w:r>
    <w:r>
      <w:rPr>
        <w:b/>
        <w:bCs/>
        <w:i/>
        <w:iCs/>
      </w:rPr>
      <w:tab/>
    </w:r>
    <w:r>
      <w:rPr>
        <w:b/>
        <w:bCs/>
        <w:i/>
        <w:iCs/>
      </w:rPr>
      <w:tab/>
    </w:r>
    <w:r w:rsidR="00D92213" w:rsidRPr="007944D2">
      <w:rPr>
        <w:b/>
        <w:bCs/>
        <w:i/>
        <w:iCs/>
      </w:rPr>
      <w:t>RASEF, N°7, Décembre 2025</w:t>
    </w:r>
  </w:p>
  <w:p w14:paraId="50519972" w14:textId="2F5F2DF8" w:rsidR="00D92213" w:rsidRDefault="00D92213">
    <w:pPr>
      <w:pStyle w:val="En-tte"/>
    </w:pPr>
  </w:p>
  <w:p w14:paraId="073E5622" w14:textId="77777777" w:rsidR="00D80693" w:rsidRDefault="00D80693">
    <w:pPr>
      <w:rPr>
        <w:vanish/>
        <w:kern w:val="2"/>
        <w:sz w:val="0"/>
        <w14:ligatures w14:val="standardContextua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C20C" w14:textId="3AE29C9A" w:rsidR="001947E3" w:rsidRPr="007944D2" w:rsidRDefault="001947E3" w:rsidP="00D92213">
    <w:pPr>
      <w:pStyle w:val="En-tte"/>
      <w:rPr>
        <w:b/>
        <w:bCs/>
        <w:i/>
        <w:iCs/>
      </w:rPr>
    </w:pPr>
    <w:r w:rsidRPr="001947E3">
      <w:rPr>
        <w:b/>
        <w:bCs/>
        <w:i/>
        <w:iCs/>
      </w:rPr>
      <w:t xml:space="preserve">Papa Meïssa COULIBALY, Papa Mamour DIOP                                      </w:t>
    </w:r>
    <w:r>
      <w:rPr>
        <w:b/>
        <w:bCs/>
        <w:i/>
        <w:iCs/>
      </w:rPr>
      <w:tab/>
    </w:r>
    <w:r w:rsidRPr="007944D2">
      <w:rPr>
        <w:b/>
        <w:bCs/>
        <w:i/>
        <w:iCs/>
      </w:rPr>
      <w:t>RASEF, N°7, Décembre 2025</w:t>
    </w:r>
  </w:p>
  <w:p w14:paraId="42392598" w14:textId="77777777" w:rsidR="001947E3" w:rsidRDefault="001947E3">
    <w:pPr>
      <w:pStyle w:val="En-tte"/>
    </w:pPr>
  </w:p>
  <w:p w14:paraId="25640CE4" w14:textId="77777777" w:rsidR="001947E3" w:rsidRDefault="001947E3">
    <w:pPr>
      <w:rPr>
        <w:vanish/>
        <w:kern w:val="2"/>
        <w:sz w:val="0"/>
        <w14:ligatures w14:val="standardContextua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4EB0" w14:textId="7019B1E0" w:rsidR="00D92213" w:rsidRPr="007944D2" w:rsidRDefault="00A71921">
    <w:pPr>
      <w:pStyle w:val="En-tte"/>
      <w:rPr>
        <w:b/>
        <w:bCs/>
        <w:i/>
        <w:iCs/>
      </w:rPr>
    </w:pPr>
    <w:r w:rsidRPr="00A71921">
      <w:rPr>
        <w:b/>
        <w:bCs/>
        <w:i/>
        <w:iCs/>
      </w:rPr>
      <w:t>Aoua Carole CONGO</w:t>
    </w:r>
    <w:r>
      <w:rPr>
        <w:b/>
        <w:bCs/>
        <w:i/>
        <w:iCs/>
      </w:rPr>
      <w:tab/>
    </w:r>
    <w:r>
      <w:rPr>
        <w:b/>
        <w:bCs/>
        <w:i/>
        <w:iCs/>
      </w:rPr>
      <w:tab/>
    </w:r>
    <w:r w:rsidR="00D92213" w:rsidRPr="007944D2">
      <w:rPr>
        <w:b/>
        <w:bCs/>
        <w:i/>
        <w:iCs/>
      </w:rPr>
      <w:t>RASEF, N°7, Décembre 2025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72D0" w14:textId="300E92D0" w:rsidR="00A71921" w:rsidRPr="007944D2" w:rsidRDefault="00A71921" w:rsidP="00D92213">
    <w:pPr>
      <w:pStyle w:val="En-tte"/>
      <w:rPr>
        <w:b/>
        <w:bCs/>
        <w:i/>
        <w:iCs/>
      </w:rPr>
    </w:pPr>
    <w:r w:rsidRPr="00A71921">
      <w:rPr>
        <w:b/>
        <w:bCs/>
        <w:i/>
        <w:iCs/>
      </w:rPr>
      <w:t>Aoua Carole CONGO</w:t>
    </w:r>
    <w:r w:rsidR="00997948">
      <w:rPr>
        <w:b/>
        <w:bCs/>
        <w:i/>
        <w:iCs/>
      </w:rPr>
      <w:tab/>
    </w:r>
    <w:r w:rsidRPr="001947E3">
      <w:rPr>
        <w:b/>
        <w:bCs/>
        <w:i/>
        <w:iCs/>
      </w:rPr>
      <w:t xml:space="preserve">                                      </w:t>
    </w:r>
    <w:r>
      <w:rPr>
        <w:b/>
        <w:bCs/>
        <w:i/>
        <w:iCs/>
      </w:rPr>
      <w:tab/>
    </w:r>
    <w:r w:rsidRPr="007944D2">
      <w:rPr>
        <w:b/>
        <w:bCs/>
        <w:i/>
        <w:iCs/>
      </w:rPr>
      <w:t>RASEF, N°7, Décembre 2025</w:t>
    </w:r>
  </w:p>
  <w:p w14:paraId="04B09206" w14:textId="77777777" w:rsidR="00A71921" w:rsidRDefault="00A71921">
    <w:pPr>
      <w:pStyle w:val="En-tte"/>
    </w:pPr>
  </w:p>
  <w:p w14:paraId="04DE986C" w14:textId="77777777" w:rsidR="00A71921" w:rsidRDefault="00A71921">
    <w:pPr>
      <w:rPr>
        <w:vanish/>
        <w:kern w:val="2"/>
        <w:sz w:val="0"/>
        <w14:ligatures w14:val="standardContextua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5888" w14:textId="543D1E87" w:rsidR="00D51032" w:rsidRPr="007944D2" w:rsidRDefault="00012C2D" w:rsidP="00D92213">
    <w:pPr>
      <w:pStyle w:val="En-tte"/>
      <w:rPr>
        <w:b/>
        <w:bCs/>
        <w:i/>
        <w:iCs/>
      </w:rPr>
    </w:pPr>
    <w:r>
      <w:rPr>
        <w:b/>
        <w:bCs/>
        <w:i/>
        <w:iCs/>
      </w:rPr>
      <w:tab/>
    </w:r>
    <w:r w:rsidR="00D51032">
      <w:rPr>
        <w:b/>
        <w:bCs/>
        <w:i/>
        <w:iCs/>
      </w:rPr>
      <w:tab/>
    </w:r>
    <w:r w:rsidR="00D51032" w:rsidRPr="007944D2">
      <w:rPr>
        <w:b/>
        <w:bCs/>
        <w:i/>
        <w:iCs/>
      </w:rPr>
      <w:t>RASEF, N°7, Décembre 2025</w:t>
    </w:r>
  </w:p>
  <w:p w14:paraId="1CF44455" w14:textId="77777777" w:rsidR="00D51032" w:rsidRDefault="00D51032">
    <w:pPr>
      <w:pStyle w:val="En-tte"/>
    </w:pPr>
  </w:p>
  <w:p w14:paraId="61EE2C12" w14:textId="77777777" w:rsidR="00D51032" w:rsidRDefault="00D51032">
    <w:pPr>
      <w:rPr>
        <w:vanish/>
        <w:kern w:val="2"/>
        <w:sz w:val="0"/>
        <w14:ligatures w14:val="standardContextu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B8FB" w14:textId="77777777" w:rsidR="00683CCD" w:rsidRDefault="00683CCD">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601408" behindDoc="1" locked="0" layoutInCell="1" allowOverlap="1" wp14:anchorId="2FCD0129" wp14:editId="66B24ACC">
              <wp:simplePos x="0" y="0"/>
              <wp:positionH relativeFrom="page">
                <wp:posOffset>4935092</wp:posOffset>
              </wp:positionH>
              <wp:positionV relativeFrom="page">
                <wp:posOffset>525298</wp:posOffset>
              </wp:positionV>
              <wp:extent cx="1738630"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30" cy="180975"/>
                      </a:xfrm>
                      <a:prstGeom prst="rect">
                        <a:avLst/>
                      </a:prstGeom>
                    </wps:spPr>
                    <wps:txbx>
                      <w:txbxContent>
                        <w:p w14:paraId="79138191" w14:textId="54556AC4" w:rsidR="00683CCD" w:rsidRDefault="00683CCD">
                          <w:pPr>
                            <w:spacing w:before="11"/>
                            <w:ind w:left="20"/>
                            <w:rPr>
                              <w:b/>
                              <w:i/>
                            </w:rPr>
                          </w:pPr>
                          <w:r>
                            <w:rPr>
                              <w:b/>
                              <w:i/>
                            </w:rPr>
                            <w:t>RASEF,</w:t>
                          </w:r>
                          <w:r>
                            <w:rPr>
                              <w:b/>
                              <w:i/>
                              <w:spacing w:val="-3"/>
                            </w:rPr>
                            <w:t xml:space="preserve"> </w:t>
                          </w:r>
                          <w:r>
                            <w:rPr>
                              <w:b/>
                              <w:i/>
                            </w:rPr>
                            <w:t>N°</w:t>
                          </w:r>
                          <w:r w:rsidR="00D80693">
                            <w:rPr>
                              <w:b/>
                              <w:i/>
                            </w:rPr>
                            <w:t>7</w:t>
                          </w:r>
                          <w:r w:rsidR="00247BE5">
                            <w:rPr>
                              <w:b/>
                              <w:i/>
                            </w:rPr>
                            <w:t>,</w:t>
                          </w:r>
                          <w:r w:rsidR="00247BE5">
                            <w:rPr>
                              <w:b/>
                              <w:i/>
                              <w:spacing w:val="-3"/>
                            </w:rPr>
                            <w:t xml:space="preserve"> </w:t>
                          </w:r>
                          <w:r w:rsidR="00D80693">
                            <w:rPr>
                              <w:b/>
                              <w:i/>
                              <w:spacing w:val="-3"/>
                            </w:rPr>
                            <w:t>Décembre</w:t>
                          </w:r>
                          <w:r>
                            <w:rPr>
                              <w:b/>
                              <w:i/>
                              <w:spacing w:val="-4"/>
                            </w:rPr>
                            <w:t xml:space="preserve"> 2025</w:t>
                          </w:r>
                        </w:p>
                      </w:txbxContent>
                    </wps:txbx>
                    <wps:bodyPr wrap="square" lIns="0" tIns="0" rIns="0" bIns="0" rtlCol="0">
                      <a:noAutofit/>
                    </wps:bodyPr>
                  </wps:wsp>
                </a:graphicData>
              </a:graphic>
            </wp:anchor>
          </w:drawing>
        </mc:Choice>
        <mc:Fallback>
          <w:pict>
            <v:shapetype w14:anchorId="2FCD0129" id="_x0000_t202" coordsize="21600,21600" o:spt="202" path="m,l,21600r21600,l21600,xe">
              <v:stroke joinstyle="miter"/>
              <v:path gradientshapeok="t" o:connecttype="rect"/>
            </v:shapetype>
            <v:shape id="Textbox 8" o:spid="_x0000_s1030" type="#_x0000_t202" style="position:absolute;margin-left:388.6pt;margin-top:41.35pt;width:136.9pt;height:14.25pt;z-index:-251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" filled="f" stroked="f">
              <v:textbox inset="0,0,0,0">
                <w:txbxContent>
                  <w:p w14:paraId="79138191" w14:textId="54556AC4" w:rsidR="00683CCD" w:rsidRDefault="00683CCD">
                    <w:pPr>
                      <w:spacing w:before="11"/>
                      <w:ind w:left="20"/>
                      <w:rPr>
                        <w:b/>
                        <w:i/>
                      </w:rPr>
                    </w:pPr>
                    <w:r>
                      <w:rPr>
                        <w:b/>
                        <w:i/>
                      </w:rPr>
                      <w:t>RASEF,</w:t>
                    </w:r>
                    <w:r>
                      <w:rPr>
                        <w:b/>
                        <w:i/>
                        <w:spacing w:val="-3"/>
                      </w:rPr>
                      <w:t xml:space="preserve"> </w:t>
                    </w:r>
                    <w:r>
                      <w:rPr>
                        <w:b/>
                        <w:i/>
                      </w:rPr>
                      <w:t>N°</w:t>
                    </w:r>
                    <w:r w:rsidR="00D80693">
                      <w:rPr>
                        <w:b/>
                        <w:i/>
                      </w:rPr>
                      <w:t>7</w:t>
                    </w:r>
                    <w:r w:rsidR="00247BE5">
                      <w:rPr>
                        <w:b/>
                        <w:i/>
                      </w:rPr>
                      <w:t>,</w:t>
                    </w:r>
                    <w:r w:rsidR="00247BE5">
                      <w:rPr>
                        <w:b/>
                        <w:i/>
                        <w:spacing w:val="-3"/>
                      </w:rPr>
                      <w:t xml:space="preserve"> </w:t>
                    </w:r>
                    <w:r w:rsidR="00D80693">
                      <w:rPr>
                        <w:b/>
                        <w:i/>
                        <w:spacing w:val="-3"/>
                      </w:rPr>
                      <w:t>Décembre</w:t>
                    </w:r>
                    <w:r>
                      <w:rPr>
                        <w:b/>
                        <w:i/>
                        <w:spacing w:val="-4"/>
                      </w:rPr>
                      <w:t xml:space="preserve"> 2025</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7CAC" w14:textId="77777777" w:rsidR="00012C2D" w:rsidRPr="007944D2" w:rsidRDefault="00012C2D" w:rsidP="00D92213">
    <w:pPr>
      <w:pStyle w:val="En-tte"/>
      <w:rPr>
        <w:b/>
        <w:bCs/>
        <w:i/>
        <w:iCs/>
      </w:rPr>
    </w:pPr>
    <w:r w:rsidRPr="00D51032">
      <w:rPr>
        <w:b/>
        <w:bCs/>
        <w:i/>
        <w:iCs/>
      </w:rPr>
      <w:t>Laure Stella GHOMA LINGUISSI, Guy MOUSSAVOU</w:t>
    </w:r>
    <w:r>
      <w:rPr>
        <w:b/>
        <w:bCs/>
        <w:i/>
        <w:iCs/>
      </w:rPr>
      <w:tab/>
    </w:r>
    <w:r w:rsidRPr="007944D2">
      <w:rPr>
        <w:b/>
        <w:bCs/>
        <w:i/>
        <w:iCs/>
      </w:rPr>
      <w:t>RASEF, N°7, Décembre 2025</w:t>
    </w:r>
  </w:p>
  <w:p w14:paraId="78B59997" w14:textId="77777777" w:rsidR="00012C2D" w:rsidRDefault="00012C2D">
    <w:pPr>
      <w:pStyle w:val="En-tte"/>
    </w:pPr>
  </w:p>
  <w:p w14:paraId="69D21E27" w14:textId="77777777" w:rsidR="00012C2D" w:rsidRDefault="00012C2D">
    <w:pPr>
      <w:rPr>
        <w:vanish/>
        <w:kern w:val="2"/>
        <w:sz w:val="0"/>
        <w14:ligatures w14:val="standardContextua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4927" w14:textId="0B0DCA4C" w:rsidR="00E82F39" w:rsidRPr="007944D2" w:rsidRDefault="00E82F39" w:rsidP="00D92213">
    <w:pPr>
      <w:pStyle w:val="En-tte"/>
      <w:rPr>
        <w:b/>
        <w:bCs/>
        <w:i/>
        <w:iCs/>
      </w:rPr>
    </w:pPr>
    <w:r w:rsidRPr="00E82F39">
      <w:rPr>
        <w:b/>
        <w:bCs/>
        <w:i/>
        <w:iCs/>
      </w:rPr>
      <w:t>Lumingu FUAKADIO</w:t>
    </w:r>
    <w:r>
      <w:rPr>
        <w:b/>
        <w:bCs/>
        <w:i/>
        <w:iCs/>
      </w:rPr>
      <w:tab/>
    </w:r>
    <w:r>
      <w:rPr>
        <w:b/>
        <w:bCs/>
        <w:i/>
        <w:iCs/>
      </w:rPr>
      <w:tab/>
    </w:r>
    <w:r w:rsidRPr="007944D2">
      <w:rPr>
        <w:b/>
        <w:bCs/>
        <w:i/>
        <w:iCs/>
      </w:rPr>
      <w:t>RASEF, N°7, Décembre 2025</w:t>
    </w:r>
  </w:p>
  <w:p w14:paraId="277E221B" w14:textId="77777777" w:rsidR="00E82F39" w:rsidRDefault="00E82F39">
    <w:pPr>
      <w:pStyle w:val="En-tte"/>
    </w:pPr>
  </w:p>
  <w:p w14:paraId="2CEF1D7B" w14:textId="77777777" w:rsidR="00E82F39" w:rsidRDefault="00E82F39">
    <w:pPr>
      <w:rPr>
        <w:vanish/>
        <w:kern w:val="2"/>
        <w:sz w:val="0"/>
        <w14:ligatures w14:val="standardContextua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2468" w14:textId="1CBECE9D" w:rsidR="0016777C" w:rsidRPr="007944D2" w:rsidRDefault="0016777C" w:rsidP="00D92213">
    <w:pPr>
      <w:pStyle w:val="En-tte"/>
      <w:rPr>
        <w:b/>
        <w:bCs/>
        <w:i/>
        <w:iCs/>
      </w:rPr>
    </w:pPr>
    <w:r w:rsidRPr="0016777C">
      <w:rPr>
        <w:b/>
        <w:bCs/>
        <w:i/>
        <w:iCs/>
      </w:rPr>
      <w:t>Yannick TAMO FOGUE et Valère NKELZOK KOMTSINDI</w:t>
    </w:r>
    <w:r>
      <w:rPr>
        <w:b/>
        <w:bCs/>
        <w:i/>
        <w:iCs/>
      </w:rPr>
      <w:tab/>
    </w:r>
    <w:r w:rsidRPr="007944D2">
      <w:rPr>
        <w:b/>
        <w:bCs/>
        <w:i/>
        <w:iCs/>
      </w:rPr>
      <w:t>RASEF, N°7, Décembre 2025</w:t>
    </w:r>
  </w:p>
  <w:p w14:paraId="0560619B" w14:textId="77777777" w:rsidR="0016777C" w:rsidRDefault="0016777C">
    <w:pPr>
      <w:pStyle w:val="En-tte"/>
    </w:pPr>
  </w:p>
  <w:p w14:paraId="5D8D3725" w14:textId="77777777" w:rsidR="0016777C" w:rsidRDefault="0016777C">
    <w:pPr>
      <w:rPr>
        <w:vanish/>
        <w:kern w:val="2"/>
        <w:sz w:val="0"/>
        <w14:ligatures w14:val="standardContextua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1AD7" w14:textId="77777777" w:rsidR="0016777C" w:rsidRDefault="0016777C" w:rsidP="0016777C">
    <w:pPr>
      <w:pStyle w:val="En-tte"/>
      <w:rPr>
        <w:b/>
        <w:bCs/>
        <w:i/>
        <w:iCs/>
      </w:rPr>
    </w:pPr>
    <w:r w:rsidRPr="0016777C">
      <w:rPr>
        <w:b/>
        <w:bCs/>
        <w:i/>
        <w:iCs/>
      </w:rPr>
      <w:t xml:space="preserve">Konan Léon KOUAME, Kouakou Bruno </w:t>
    </w:r>
    <w:proofErr w:type="gramStart"/>
    <w:r w:rsidRPr="0016777C">
      <w:rPr>
        <w:b/>
        <w:bCs/>
        <w:i/>
        <w:iCs/>
      </w:rPr>
      <w:t xml:space="preserve">KANGA, </w:t>
    </w:r>
    <w:r>
      <w:rPr>
        <w:b/>
        <w:bCs/>
        <w:i/>
        <w:iCs/>
      </w:rPr>
      <w:t xml:space="preserve">  </w:t>
    </w:r>
    <w:proofErr w:type="gramEnd"/>
    <w:r>
      <w:rPr>
        <w:b/>
        <w:bCs/>
        <w:i/>
        <w:iCs/>
      </w:rPr>
      <w:t xml:space="preserve">                            </w:t>
    </w:r>
    <w:r w:rsidRPr="007944D2">
      <w:rPr>
        <w:b/>
        <w:bCs/>
        <w:i/>
        <w:iCs/>
      </w:rPr>
      <w:t>RASEF, N°7, Décembre 2025</w:t>
    </w:r>
  </w:p>
  <w:p w14:paraId="1330FAB6" w14:textId="74A88D62" w:rsidR="0016777C" w:rsidRPr="007944D2" w:rsidRDefault="0016777C" w:rsidP="0016777C">
    <w:pPr>
      <w:pStyle w:val="En-tte"/>
      <w:rPr>
        <w:b/>
        <w:bCs/>
        <w:i/>
        <w:iCs/>
      </w:rPr>
    </w:pPr>
    <w:r w:rsidRPr="0016777C">
      <w:rPr>
        <w:b/>
        <w:bCs/>
        <w:i/>
        <w:iCs/>
      </w:rPr>
      <w:t>Hassan Guy Roger TIEFFI</w:t>
    </w:r>
  </w:p>
  <w:p w14:paraId="590ECD8A" w14:textId="77777777" w:rsidR="0016777C" w:rsidRDefault="0016777C">
    <w:pPr>
      <w:pStyle w:val="En-tte"/>
    </w:pPr>
  </w:p>
  <w:p w14:paraId="27F01488" w14:textId="77777777" w:rsidR="0016777C" w:rsidRDefault="0016777C">
    <w:pPr>
      <w:rPr>
        <w:vanish/>
        <w:kern w:val="2"/>
        <w:sz w:val="0"/>
        <w14:ligatures w14:val="standardContextua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3998" w14:textId="77777777" w:rsidR="00D80693" w:rsidRDefault="00D80693">
    <w:pPr>
      <w:spacing w:line="268" w:lineRule="auto"/>
      <w:ind w:right="-156"/>
      <w:rPr>
        <w:rFonts w:ascii="Calibri" w:eastAsia="Calibri" w:hAnsi="Calibri"/>
      </w:rPr>
    </w:pPr>
    <w:r>
      <w:rPr>
        <w:rFonts w:asciiTheme="minorHAnsi" w:eastAsiaTheme="minorHAnsi" w:hAnsiTheme="minorHAnsi" w:cstheme="minorBidi"/>
      </w:rPr>
      <w:t xml:space="preserve">Bilan de 3 ans d’activités du Service de Psychiatrie de l’Hôpital </w:t>
    </w:r>
    <w:proofErr w:type="spellStart"/>
    <w:r>
      <w:rPr>
        <w:rFonts w:asciiTheme="minorHAnsi" w:eastAsiaTheme="minorHAnsi" w:hAnsiTheme="minorHAnsi" w:cstheme="minorBidi"/>
      </w:rPr>
      <w:t>Laquintinie</w:t>
    </w:r>
    <w:proofErr w:type="spellEnd"/>
    <w:r>
      <w:rPr>
        <w:rFonts w:asciiTheme="minorHAnsi" w:eastAsiaTheme="minorHAnsi" w:hAnsiTheme="minorHAnsi" w:cstheme="minorBidi"/>
      </w:rPr>
      <w:t xml:space="preserve">             </w:t>
    </w:r>
    <w:proofErr w:type="spellStart"/>
    <w:r>
      <w:rPr>
        <w:i/>
      </w:rPr>
      <w:t>Eyoum</w:t>
    </w:r>
    <w:proofErr w:type="spellEnd"/>
    <w:r>
      <w:rPr>
        <w:rFonts w:asciiTheme="minorHAnsi" w:eastAsiaTheme="minorHAnsi" w:hAnsiTheme="minorHAnsi" w:cstheme="minorBidi"/>
      </w:rPr>
      <w:t xml:space="preserve"> </w:t>
    </w:r>
    <w:r>
      <w:rPr>
        <w:i/>
      </w:rPr>
      <w:t>et al ___________________________________________________________________________________________________</w:t>
    </w:r>
    <w:r>
      <w:rPr>
        <w:rFonts w:ascii="Calibri" w:eastAsia="Calibri" w:hAnsi="Calibri" w:cs="Calibri"/>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03AF6" w14:textId="6594959F" w:rsidR="008276DA" w:rsidRPr="002410D0" w:rsidRDefault="002410D0" w:rsidP="002410D0">
    <w:pPr>
      <w:suppressAutoHyphens/>
      <w:spacing w:after="200"/>
      <w:textAlignment w:val="baseline"/>
      <w:rPr>
        <w:rFonts w:eastAsia="Calibri"/>
        <w:b/>
      </w:rPr>
    </w:pPr>
    <w:r w:rsidRPr="002410D0">
      <w:rPr>
        <w:b/>
        <w:bCs/>
        <w:i/>
        <w:iCs/>
      </w:rPr>
      <w:t>Mireille Michée MVEME OLOUGOU</w:t>
    </w:r>
    <w:r>
      <w:rPr>
        <w:rFonts w:eastAsia="Calibri"/>
        <w:lang w:val="fr-CM"/>
      </w:rPr>
      <w:t xml:space="preserve">                                                    </w:t>
    </w:r>
    <w:r w:rsidR="004F3C88" w:rsidRPr="007944D2">
      <w:rPr>
        <w:b/>
        <w:bCs/>
        <w:i/>
        <w:iCs/>
      </w:rPr>
      <w:t>RASEF</w:t>
    </w:r>
    <w:r w:rsidR="004F3C88">
      <w:rPr>
        <w:b/>
        <w:bCs/>
        <w:i/>
        <w:iCs/>
      </w:rPr>
      <w:t>,</w:t>
    </w:r>
    <w:r w:rsidR="004F3C88" w:rsidRPr="007944D2">
      <w:rPr>
        <w:b/>
        <w:bCs/>
        <w:i/>
        <w:iCs/>
      </w:rPr>
      <w:t xml:space="preserve"> </w:t>
    </w:r>
    <w:r w:rsidR="008276DA" w:rsidRPr="007944D2">
      <w:rPr>
        <w:b/>
        <w:bCs/>
        <w:i/>
        <w:iCs/>
      </w:rPr>
      <w:t>N°7, Décembre 2025</w:t>
    </w:r>
    <w:r w:rsidR="008276DA">
      <w:rPr>
        <w:b/>
        <w:bCs/>
        <w:i/>
        <w:iCs/>
      </w:rPr>
      <w:t xml:space="preserve"> </w:t>
    </w:r>
  </w:p>
  <w:p w14:paraId="2C9E43E1" w14:textId="77777777" w:rsidR="008276DA" w:rsidRPr="002410D0" w:rsidRDefault="008276DA">
    <w:pPr>
      <w:pStyle w:val="En-tte"/>
    </w:pPr>
  </w:p>
  <w:p w14:paraId="4E9EEB93" w14:textId="77777777" w:rsidR="008276DA" w:rsidRPr="002410D0" w:rsidRDefault="008276DA">
    <w:pPr>
      <w:rPr>
        <w:vanish/>
        <w:kern w:val="2"/>
        <w:sz w:val="0"/>
        <w14:ligatures w14:val="standardContextua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7940E" w14:textId="77777777" w:rsidR="00D80693" w:rsidRDefault="00D80693">
    <w:pPr>
      <w:spacing w:line="268" w:lineRule="auto"/>
      <w:ind w:right="-156"/>
      <w:rPr>
        <w:rFonts w:ascii="Calibri" w:eastAsia="Calibri" w:hAnsi="Calibri"/>
      </w:rPr>
    </w:pPr>
    <w:r>
      <w:rPr>
        <w:rFonts w:asciiTheme="minorHAnsi" w:eastAsiaTheme="minorHAnsi" w:hAnsiTheme="minorHAnsi" w:cstheme="minorBidi"/>
      </w:rPr>
      <w:t xml:space="preserve">Bilan de 3 ans d’activités du Service de Psychiatrie de l’Hôpital </w:t>
    </w:r>
    <w:proofErr w:type="spellStart"/>
    <w:r>
      <w:rPr>
        <w:rFonts w:asciiTheme="minorHAnsi" w:eastAsiaTheme="minorHAnsi" w:hAnsiTheme="minorHAnsi" w:cstheme="minorBidi"/>
      </w:rPr>
      <w:t>Laquintinie</w:t>
    </w:r>
    <w:proofErr w:type="spellEnd"/>
    <w:r>
      <w:rPr>
        <w:rFonts w:asciiTheme="minorHAnsi" w:eastAsiaTheme="minorHAnsi" w:hAnsiTheme="minorHAnsi" w:cstheme="minorBidi"/>
      </w:rPr>
      <w:t xml:space="preserve">             </w:t>
    </w:r>
    <w:proofErr w:type="spellStart"/>
    <w:r>
      <w:rPr>
        <w:i/>
      </w:rPr>
      <w:t>Eyoum</w:t>
    </w:r>
    <w:proofErr w:type="spellEnd"/>
    <w:r>
      <w:rPr>
        <w:rFonts w:asciiTheme="minorHAnsi" w:eastAsiaTheme="minorHAnsi" w:hAnsiTheme="minorHAnsi" w:cstheme="minorBidi"/>
      </w:rPr>
      <w:t xml:space="preserve"> </w:t>
    </w:r>
    <w:r>
      <w:rPr>
        <w:i/>
      </w:rPr>
      <w:t>et al ___________________________________________________________________________________________________</w:t>
    </w:r>
    <w:r>
      <w:rPr>
        <w:rFonts w:ascii="Calibri" w:eastAsia="Calibri" w:hAnsi="Calibri" w:cs="Calibri"/>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45039" w14:textId="77777777" w:rsidR="00D80693" w:rsidRDefault="00D80693">
    <w:pPr>
      <w:spacing w:line="276" w:lineRule="auto"/>
      <w:rPr>
        <w:rFonts w:ascii="Calibri" w:eastAsia="DengXian" w:hAnsi="Calibri"/>
        <w:vanish/>
        <w:sz w:val="0"/>
        <w:szCs w:val="2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B099" w14:textId="5CABDCA4" w:rsidR="004F3C88" w:rsidRPr="002410D0" w:rsidRDefault="004F3C88" w:rsidP="004F3C88">
    <w:pPr>
      <w:suppressAutoHyphens/>
      <w:spacing w:after="200"/>
      <w:ind w:left="2160" w:firstLine="720"/>
      <w:textAlignment w:val="baseline"/>
      <w:rPr>
        <w:rFonts w:eastAsia="Calibri"/>
        <w:b/>
      </w:rPr>
    </w:pPr>
    <w:proofErr w:type="gramStart"/>
    <w:r>
      <w:rPr>
        <w:b/>
        <w:bCs/>
        <w:i/>
        <w:iCs/>
      </w:rPr>
      <w:t>²</w:t>
    </w:r>
    <w:proofErr w:type="gramEnd"/>
    <w:r>
      <w:rPr>
        <w:rFonts w:eastAsia="Calibri"/>
        <w:lang w:val="fr-CM"/>
      </w:rPr>
      <w:t xml:space="preserve">                                                    </w:t>
    </w:r>
    <w:r w:rsidRPr="007944D2">
      <w:rPr>
        <w:b/>
        <w:bCs/>
        <w:i/>
        <w:iCs/>
      </w:rPr>
      <w:t>RASEF</w:t>
    </w:r>
    <w:r>
      <w:rPr>
        <w:b/>
        <w:bCs/>
        <w:i/>
        <w:iCs/>
      </w:rPr>
      <w:t>,</w:t>
    </w:r>
    <w:r w:rsidRPr="007944D2">
      <w:rPr>
        <w:b/>
        <w:bCs/>
        <w:i/>
        <w:iCs/>
      </w:rPr>
      <w:t xml:space="preserve"> </w:t>
    </w:r>
    <w:r w:rsidRPr="007944D2">
      <w:rPr>
        <w:b/>
        <w:bCs/>
        <w:i/>
        <w:iCs/>
      </w:rPr>
      <w:t>N°7, Décembre 2025</w:t>
    </w:r>
    <w:r>
      <w:rPr>
        <w:b/>
        <w:bCs/>
        <w:i/>
        <w:iCs/>
      </w:rPr>
      <w:t xml:space="preserve"> </w:t>
    </w:r>
  </w:p>
  <w:p w14:paraId="0D7BC523" w14:textId="77777777" w:rsidR="004F3C88" w:rsidRPr="002410D0" w:rsidRDefault="004F3C88">
    <w:pPr>
      <w:pStyle w:val="En-tte"/>
    </w:pPr>
  </w:p>
  <w:p w14:paraId="6046843D" w14:textId="77777777" w:rsidR="004F3C88" w:rsidRPr="002410D0" w:rsidRDefault="004F3C88">
    <w:pPr>
      <w:rPr>
        <w:vanish/>
        <w:kern w:val="2"/>
        <w:sz w:val="0"/>
        <w14:ligatures w14:val="standardContextual"/>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3B0D8" w14:textId="77777777" w:rsidR="00D80693" w:rsidRDefault="00D80693">
    <w:pPr>
      <w:spacing w:line="276" w:lineRule="auto"/>
      <w:rPr>
        <w:rFonts w:ascii="Calibri" w:eastAsia="DengXian" w:hAnsi="Calibri"/>
        <w:vanish/>
        <w:sz w:val="0"/>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B5A4" w14:textId="77777777" w:rsidR="00683CCD" w:rsidRDefault="00683CCD">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604480" behindDoc="1" locked="0" layoutInCell="1" allowOverlap="1" wp14:anchorId="1759E133" wp14:editId="6E211AB2">
              <wp:simplePos x="0" y="0"/>
              <wp:positionH relativeFrom="page">
                <wp:posOffset>905052</wp:posOffset>
              </wp:positionH>
              <wp:positionV relativeFrom="page">
                <wp:posOffset>525298</wp:posOffset>
              </wp:positionV>
              <wp:extent cx="192468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180975"/>
                      </a:xfrm>
                      <a:prstGeom prst="rect">
                        <a:avLst/>
                      </a:prstGeom>
                    </wps:spPr>
                    <wps:txbx>
                      <w:txbxContent>
                        <w:p w14:paraId="4693DFFE" w14:textId="1829DB1A" w:rsidR="00683CCD" w:rsidRPr="003518BE" w:rsidRDefault="00683CCD">
                          <w:pPr>
                            <w:spacing w:before="11"/>
                            <w:ind w:left="20"/>
                            <w:rPr>
                              <w:b/>
                              <w:i/>
                            </w:rPr>
                          </w:pPr>
                        </w:p>
                      </w:txbxContent>
                    </wps:txbx>
                    <wps:bodyPr wrap="square" lIns="0" tIns="0" rIns="0" bIns="0" rtlCol="0">
                      <a:noAutofit/>
                    </wps:bodyPr>
                  </wps:wsp>
                </a:graphicData>
              </a:graphic>
            </wp:anchor>
          </w:drawing>
        </mc:Choice>
        <mc:Fallback>
          <w:pict>
            <v:shapetype w14:anchorId="1759E133" id="_x0000_t202" coordsize="21600,21600" o:spt="202" path="m,l,21600r21600,l21600,xe">
              <v:stroke joinstyle="miter"/>
              <v:path gradientshapeok="t" o:connecttype="rect"/>
            </v:shapetype>
            <v:shape id="Textbox 15" o:spid="_x0000_s1032" type="#_x0000_t202" style="position:absolute;margin-left:71.25pt;margin-top:41.35pt;width:151.55pt;height:14.25pt;z-index:-251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" filled="f" stroked="f">
              <v:textbox inset="0,0,0,0">
                <w:txbxContent>
                  <w:p w14:paraId="4693DFFE" w14:textId="1829DB1A" w:rsidR="00683CCD" w:rsidRPr="003518BE" w:rsidRDefault="00683CCD">
                    <w:pPr>
                      <w:spacing w:before="11"/>
                      <w:ind w:left="20"/>
                      <w:rPr>
                        <w:b/>
                        <w:i/>
                      </w:rPr>
                    </w:pPr>
                  </w:p>
                </w:txbxContent>
              </v:textbox>
              <w10:wrap anchorx="page" anchory="page"/>
            </v:shape>
          </w:pict>
        </mc:Fallback>
      </mc:AlternateContent>
    </w:r>
    <w:r>
      <w:rPr>
        <w:noProof/>
        <w:sz w:val="20"/>
        <w:lang w:eastAsia="fr-FR"/>
      </w:rPr>
      <mc:AlternateContent>
        <mc:Choice Requires="wps">
          <w:drawing>
            <wp:anchor distT="0" distB="0" distL="0" distR="0" simplePos="0" relativeHeight="251606528" behindDoc="1" locked="0" layoutInCell="1" allowOverlap="1" wp14:anchorId="070A0F36" wp14:editId="27F63780">
              <wp:simplePos x="0" y="0"/>
              <wp:positionH relativeFrom="page">
                <wp:posOffset>4936616</wp:posOffset>
              </wp:positionH>
              <wp:positionV relativeFrom="page">
                <wp:posOffset>525298</wp:posOffset>
              </wp:positionV>
              <wp:extent cx="173799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3F58B4F4"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449EE74" w14:textId="77777777" w:rsidR="00683CCD" w:rsidRDefault="00683CCD">
                          <w:pPr>
                            <w:spacing w:before="11"/>
                            <w:ind w:left="20"/>
                            <w:rPr>
                              <w:b/>
                              <w:i/>
                            </w:rPr>
                          </w:pPr>
                        </w:p>
                      </w:txbxContent>
                    </wps:txbx>
                    <wps:bodyPr wrap="square" lIns="0" tIns="0" rIns="0" bIns="0" rtlCol="0">
                      <a:noAutofit/>
                    </wps:bodyPr>
                  </wps:wsp>
                </a:graphicData>
              </a:graphic>
            </wp:anchor>
          </w:drawing>
        </mc:Choice>
        <mc:Fallback>
          <w:pict>
            <v:shape w14:anchorId="070A0F36" id="Textbox 16" o:spid="_x0000_s1033" type="#_x0000_t202" style="position:absolute;margin-left:388.7pt;margin-top:41.35pt;width:136.85pt;height:14.25pt;z-index:-251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BK7ex1mQEA&#10;ACIDAAAOAAAAAAAAAAAAAAAAAC4CAABkcnMvZTJvRG9jLnhtbFBLAQItABQABgAIAAAAIQDI+iyC&#10;4AAAAAsBAAAPAAAAAAAAAAAAAAAAAPMDAABkcnMvZG93bnJldi54bWxQSwUGAAAAAAQABADzAAAA&#10;AAUAAAAA&#10;" filled="f" stroked="f">
              <v:textbox inset="0,0,0,0">
                <w:txbxContent>
                  <w:p w14:paraId="3F58B4F4"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449EE74" w14:textId="77777777" w:rsidR="00683CCD" w:rsidRDefault="00683CCD">
                    <w:pPr>
                      <w:spacing w:before="11"/>
                      <w:ind w:left="20"/>
                      <w:rPr>
                        <w:b/>
                        <w:i/>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00070" w14:textId="55447E9C" w:rsidR="00735D3E" w:rsidRPr="00735D3E" w:rsidRDefault="00735D3E" w:rsidP="00735D3E">
    <w:pPr>
      <w:suppressAutoHyphens/>
      <w:spacing w:after="200"/>
      <w:contextualSpacing/>
      <w:textAlignment w:val="baseline"/>
      <w:rPr>
        <w:b/>
        <w:bCs/>
        <w:i/>
        <w:iCs/>
      </w:rPr>
    </w:pPr>
    <w:r w:rsidRPr="00735D3E">
      <w:rPr>
        <w:b/>
        <w:bCs/>
        <w:i/>
        <w:iCs/>
      </w:rPr>
      <w:t xml:space="preserve">Pierre Bény WAGNI, Edwige </w:t>
    </w:r>
    <w:proofErr w:type="gramStart"/>
    <w:r w:rsidRPr="00735D3E">
      <w:rPr>
        <w:b/>
        <w:bCs/>
        <w:i/>
        <w:iCs/>
      </w:rPr>
      <w:t>CHIROUTER ,</w:t>
    </w:r>
    <w:proofErr w:type="gramEnd"/>
    <w:r w:rsidRPr="00735D3E">
      <w:rPr>
        <w:b/>
        <w:bCs/>
        <w:i/>
        <w:iCs/>
      </w:rPr>
      <w:t xml:space="preserve"> </w:t>
    </w:r>
    <w:r w:rsidRPr="00735D3E">
      <w:rPr>
        <w:b/>
        <w:bCs/>
        <w:i/>
        <w:iCs/>
      </w:rPr>
      <w:tab/>
    </w:r>
    <w:r w:rsidRPr="00735D3E">
      <w:rPr>
        <w:b/>
        <w:bCs/>
        <w:i/>
        <w:iCs/>
      </w:rPr>
      <w:tab/>
    </w:r>
    <w:r w:rsidRPr="00735D3E">
      <w:rPr>
        <w:b/>
        <w:bCs/>
        <w:i/>
        <w:iCs/>
      </w:rPr>
      <w:tab/>
      <w:t xml:space="preserve">          </w:t>
    </w:r>
    <w:r w:rsidR="004F3C88" w:rsidRPr="00735D3E">
      <w:rPr>
        <w:b/>
        <w:bCs/>
        <w:i/>
        <w:iCs/>
      </w:rPr>
      <w:t>RASEF</w:t>
    </w:r>
    <w:r w:rsidR="004F3C88">
      <w:rPr>
        <w:b/>
        <w:bCs/>
        <w:i/>
        <w:iCs/>
      </w:rPr>
      <w:t>,</w:t>
    </w:r>
    <w:r w:rsidR="004F3C88" w:rsidRPr="00735D3E">
      <w:rPr>
        <w:b/>
        <w:bCs/>
        <w:i/>
        <w:iCs/>
      </w:rPr>
      <w:t xml:space="preserve"> </w:t>
    </w:r>
    <w:r w:rsidRPr="00735D3E">
      <w:rPr>
        <w:b/>
        <w:bCs/>
        <w:i/>
        <w:iCs/>
      </w:rPr>
      <w:t>N°7, Décembre 2025</w:t>
    </w:r>
    <w:r w:rsidRPr="00735D3E">
      <w:rPr>
        <w:b/>
        <w:bCs/>
        <w:i/>
        <w:iCs/>
      </w:rPr>
      <w:t xml:space="preserve"> </w:t>
    </w:r>
  </w:p>
  <w:p w14:paraId="289517EE" w14:textId="28D0868D" w:rsidR="00735D3E" w:rsidRPr="00735D3E" w:rsidRDefault="00735D3E" w:rsidP="00735D3E">
    <w:pPr>
      <w:suppressAutoHyphens/>
      <w:spacing w:after="200"/>
      <w:contextualSpacing/>
      <w:textAlignment w:val="baseline"/>
      <w:rPr>
        <w:rFonts w:eastAsia="Calibri"/>
        <w:b/>
        <w:i/>
        <w:iCs/>
      </w:rPr>
    </w:pPr>
    <w:r w:rsidRPr="00735D3E">
      <w:rPr>
        <w:rFonts w:eastAsia="Calibri"/>
        <w:b/>
        <w:i/>
        <w:iCs/>
      </w:rPr>
      <w:t>Renée Solange NKECK BIDIAS</w:t>
    </w:r>
  </w:p>
  <w:p w14:paraId="091DB4BD" w14:textId="77777777" w:rsidR="00735D3E" w:rsidRPr="002410D0" w:rsidRDefault="00735D3E">
    <w:pPr>
      <w:pStyle w:val="En-tte"/>
    </w:pPr>
  </w:p>
  <w:p w14:paraId="53AB674A" w14:textId="77777777" w:rsidR="00735D3E" w:rsidRPr="002410D0" w:rsidRDefault="00735D3E">
    <w:pPr>
      <w:rPr>
        <w:vanish/>
        <w:kern w:val="2"/>
        <w:sz w:val="0"/>
        <w14:ligatures w14:val="standardContextual"/>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CF7E" w14:textId="19789DCB" w:rsidR="001928FA" w:rsidRPr="001928FA" w:rsidRDefault="001928FA" w:rsidP="001928FA">
    <w:pPr>
      <w:suppressAutoHyphens/>
      <w:spacing w:after="200"/>
      <w:contextualSpacing/>
      <w:textAlignment w:val="baseline"/>
      <w:rPr>
        <w:b/>
        <w:bCs/>
        <w:i/>
        <w:iCs/>
      </w:rPr>
    </w:pPr>
    <w:r w:rsidRPr="004F3C88">
      <w:rPr>
        <w:b/>
        <w:bCs/>
        <w:i/>
        <w:iCs/>
        <w:lang w:val="pt-PT"/>
      </w:rPr>
      <w:t>Barnabé Bertrand BINGANA MANGA</w:t>
    </w:r>
    <w:r w:rsidRPr="004F3C88">
      <w:rPr>
        <w:b/>
        <w:bCs/>
        <w:i/>
        <w:iCs/>
        <w:lang w:val="pt-PT"/>
      </w:rPr>
      <w:tab/>
    </w:r>
    <w:r w:rsidRPr="004F3C88">
      <w:rPr>
        <w:b/>
        <w:bCs/>
        <w:i/>
        <w:iCs/>
        <w:lang w:val="pt-PT"/>
      </w:rPr>
      <w:tab/>
    </w:r>
    <w:r w:rsidRPr="004F3C88">
      <w:rPr>
        <w:b/>
        <w:bCs/>
        <w:i/>
        <w:iCs/>
        <w:lang w:val="pt-PT"/>
      </w:rPr>
      <w:tab/>
      <w:t xml:space="preserve">          </w:t>
    </w:r>
    <w:r w:rsidR="004F3C88" w:rsidRPr="004F3C88">
      <w:rPr>
        <w:b/>
        <w:bCs/>
        <w:i/>
        <w:iCs/>
        <w:lang w:val="pt-PT"/>
      </w:rPr>
      <w:t>RASE</w:t>
    </w:r>
    <w:r w:rsidR="004F3C88">
      <w:rPr>
        <w:b/>
        <w:bCs/>
        <w:i/>
        <w:iCs/>
        <w:lang w:val="pt-PT"/>
      </w:rPr>
      <w:t>F,</w:t>
    </w:r>
    <w:r w:rsidR="004F3C88" w:rsidRPr="004F3C88">
      <w:rPr>
        <w:b/>
        <w:bCs/>
        <w:i/>
        <w:iCs/>
        <w:lang w:val="pt-PT"/>
      </w:rPr>
      <w:t xml:space="preserve"> </w:t>
    </w:r>
    <w:r w:rsidRPr="00735D3E">
      <w:rPr>
        <w:b/>
        <w:bCs/>
        <w:i/>
        <w:iCs/>
      </w:rPr>
      <w:t>N°7, Décembre 2025</w:t>
    </w:r>
    <w:r w:rsidRPr="00735D3E">
      <w:rPr>
        <w:b/>
        <w:bCs/>
        <w:i/>
        <w:iCs/>
      </w:rPr>
      <w:t xml:space="preserve"> </w:t>
    </w:r>
  </w:p>
  <w:p w14:paraId="2D15CE18" w14:textId="77777777" w:rsidR="001928FA" w:rsidRPr="002410D0" w:rsidRDefault="001928FA">
    <w:pPr>
      <w:rPr>
        <w:vanish/>
        <w:kern w:val="2"/>
        <w:sz w:val="0"/>
        <w14:ligatures w14:val="standardContextua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F6D5" w14:textId="6B602C10" w:rsidR="00570B74" w:rsidRPr="001928FA" w:rsidRDefault="00570B74" w:rsidP="001928FA">
    <w:pPr>
      <w:suppressAutoHyphens/>
      <w:spacing w:after="200"/>
      <w:contextualSpacing/>
      <w:textAlignment w:val="baseline"/>
      <w:rPr>
        <w:b/>
        <w:bCs/>
        <w:i/>
        <w:iCs/>
      </w:rPr>
    </w:pPr>
    <w:proofErr w:type="spellStart"/>
    <w:r w:rsidRPr="00570B74">
      <w:rPr>
        <w:b/>
        <w:bCs/>
        <w:i/>
        <w:iCs/>
      </w:rPr>
      <w:t>Nomansou</w:t>
    </w:r>
    <w:proofErr w:type="spellEnd"/>
    <w:r w:rsidRPr="00570B74">
      <w:rPr>
        <w:b/>
        <w:bCs/>
        <w:i/>
        <w:iCs/>
      </w:rPr>
      <w:t xml:space="preserve"> Serge BAH, Kobena Séverin GBOKO</w:t>
    </w:r>
    <w:r w:rsidRPr="00735D3E">
      <w:rPr>
        <w:b/>
        <w:bCs/>
        <w:i/>
        <w:iCs/>
      </w:rPr>
      <w:tab/>
      <w:t xml:space="preserve">          </w:t>
    </w:r>
    <w:r w:rsidR="004F3C88" w:rsidRPr="00735D3E">
      <w:rPr>
        <w:b/>
        <w:bCs/>
        <w:i/>
        <w:iCs/>
      </w:rPr>
      <w:t>RASEF</w:t>
    </w:r>
    <w:r w:rsidR="004F3C88">
      <w:rPr>
        <w:b/>
        <w:bCs/>
        <w:i/>
        <w:iCs/>
      </w:rPr>
      <w:t>,</w:t>
    </w:r>
    <w:r w:rsidR="004F3C88" w:rsidRPr="00735D3E">
      <w:rPr>
        <w:b/>
        <w:bCs/>
        <w:i/>
        <w:iCs/>
      </w:rPr>
      <w:t xml:space="preserve"> </w:t>
    </w:r>
    <w:r w:rsidRPr="00735D3E">
      <w:rPr>
        <w:b/>
        <w:bCs/>
        <w:i/>
        <w:iCs/>
      </w:rPr>
      <w:t>N°7, Décembre 2025</w:t>
    </w:r>
    <w:r w:rsidRPr="00735D3E">
      <w:rPr>
        <w:b/>
        <w:bCs/>
        <w:i/>
        <w:iCs/>
      </w:rPr>
      <w:t xml:space="preserve"> </w:t>
    </w:r>
  </w:p>
  <w:p w14:paraId="16D2FF55" w14:textId="77777777" w:rsidR="00570B74" w:rsidRPr="002410D0" w:rsidRDefault="00570B74">
    <w:pPr>
      <w:rPr>
        <w:vanish/>
        <w:kern w:val="2"/>
        <w:sz w:val="0"/>
        <w14:ligatures w14:val="standardContextua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BF39" w14:textId="77777777" w:rsidR="00683CCD" w:rsidRDefault="00683CCD">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10976" behindDoc="1" locked="0" layoutInCell="1" allowOverlap="1" wp14:anchorId="09C9ACDB" wp14:editId="18F8F234">
              <wp:simplePos x="0" y="0"/>
              <wp:positionH relativeFrom="page">
                <wp:posOffset>1019175</wp:posOffset>
              </wp:positionH>
              <wp:positionV relativeFrom="page">
                <wp:posOffset>438150</wp:posOffset>
              </wp:positionV>
              <wp:extent cx="2714625" cy="3048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304800"/>
                      </a:xfrm>
                      <a:prstGeom prst="rect">
                        <a:avLst/>
                      </a:prstGeom>
                    </wps:spPr>
                    <wps:txbx>
                      <w:txbxContent>
                        <w:p w14:paraId="66610AB1" w14:textId="1827907C" w:rsidR="00683CCD" w:rsidRPr="0097391D" w:rsidRDefault="00E524DD" w:rsidP="0097391D">
                          <w:pPr>
                            <w:widowControl/>
                            <w:autoSpaceDE/>
                            <w:autoSpaceDN/>
                            <w:spacing w:before="120"/>
                            <w:rPr>
                              <w:rFonts w:eastAsia="Calibri"/>
                              <w:b/>
                              <w:i/>
                            </w:rPr>
                          </w:pPr>
                          <w:proofErr w:type="spellStart"/>
                          <w:r w:rsidRPr="00E524DD">
                            <w:rPr>
                              <w:rFonts w:eastAsia="Calibri"/>
                              <w:b/>
                              <w:i/>
                            </w:rPr>
                            <w:t>Ossei</w:t>
                          </w:r>
                          <w:proofErr w:type="spellEnd"/>
                          <w:r w:rsidRPr="00E524DD">
                            <w:rPr>
                              <w:rFonts w:eastAsia="Calibri"/>
                              <w:b/>
                              <w:i/>
                            </w:rPr>
                            <w:t xml:space="preserve"> KOUAKOU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9C9ACDB" id="_x0000_t202" coordsize="21600,21600" o:spt="202" path="m,l,21600r21600,l21600,xe">
              <v:stroke joinstyle="miter"/>
              <v:path gradientshapeok="t" o:connecttype="rect"/>
            </v:shapetype>
            <v:shape id="Textbox 242" o:spid="_x0000_s1069" type="#_x0000_t202" style="position:absolute;margin-left:80.25pt;margin-top:34.5pt;width:213.75pt;height:24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" filled="f" stroked="f">
              <v:textbox inset="0,0,0,0">
                <w:txbxContent>
                  <w:p w14:paraId="66610AB1" w14:textId="1827907C" w:rsidR="00683CCD" w:rsidRPr="0097391D" w:rsidRDefault="00E524DD" w:rsidP="0097391D">
                    <w:pPr>
                      <w:widowControl/>
                      <w:autoSpaceDE/>
                      <w:autoSpaceDN/>
                      <w:spacing w:before="120"/>
                      <w:rPr>
                        <w:rFonts w:eastAsia="Calibri"/>
                        <w:b/>
                        <w:i/>
                      </w:rPr>
                    </w:pPr>
                    <w:proofErr w:type="spellStart"/>
                    <w:r w:rsidRPr="00E524DD">
                      <w:rPr>
                        <w:rFonts w:eastAsia="Calibri"/>
                        <w:b/>
                        <w:i/>
                      </w:rPr>
                      <w:t>Ossei</w:t>
                    </w:r>
                    <w:proofErr w:type="spellEnd"/>
                    <w:r w:rsidRPr="00E524DD">
                      <w:rPr>
                        <w:rFonts w:eastAsia="Calibri"/>
                        <w:b/>
                        <w:i/>
                      </w:rPr>
                      <w:t xml:space="preserve"> KOUAKOU</w:t>
                    </w:r>
                  </w:p>
                </w:txbxContent>
              </v:textbox>
              <w10:wrap anchorx="page" anchory="page"/>
            </v:shape>
          </w:pict>
        </mc:Fallback>
      </mc:AlternateContent>
    </w:r>
    <w:r>
      <w:rPr>
        <w:noProof/>
        <w:sz w:val="20"/>
        <w:lang w:eastAsia="fr-FR"/>
      </w:rPr>
      <mc:AlternateContent>
        <mc:Choice Requires="wps">
          <w:drawing>
            <wp:anchor distT="0" distB="0" distL="0" distR="0" simplePos="0" relativeHeight="251712000" behindDoc="1" locked="0" layoutInCell="1" allowOverlap="1" wp14:anchorId="2170618D" wp14:editId="6F5B1B96">
              <wp:simplePos x="0" y="0"/>
              <wp:positionH relativeFrom="page">
                <wp:posOffset>4936616</wp:posOffset>
              </wp:positionH>
              <wp:positionV relativeFrom="page">
                <wp:posOffset>441478</wp:posOffset>
              </wp:positionV>
              <wp:extent cx="1737995" cy="1809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51BC3C80" w14:textId="69B124B7" w:rsidR="00683CCD" w:rsidRDefault="00683CCD">
                          <w:pPr>
                            <w:spacing w:before="11"/>
                            <w:ind w:left="20"/>
                            <w:rPr>
                              <w:b/>
                              <w:i/>
                            </w:rPr>
                          </w:pPr>
                          <w:r>
                            <w:rPr>
                              <w:b/>
                              <w:i/>
                            </w:rPr>
                            <w:t>RASEF,</w:t>
                          </w:r>
                          <w:r>
                            <w:rPr>
                              <w:b/>
                              <w:i/>
                              <w:spacing w:val="-5"/>
                            </w:rPr>
                            <w:t xml:space="preserve"> </w:t>
                          </w:r>
                          <w:r>
                            <w:rPr>
                              <w:b/>
                              <w:i/>
                            </w:rPr>
                            <w:t>N°</w:t>
                          </w:r>
                          <w:r w:rsidR="004F3C88">
                            <w:rPr>
                              <w:b/>
                              <w:i/>
                            </w:rPr>
                            <w:t>7</w:t>
                          </w:r>
                          <w:r>
                            <w:rPr>
                              <w:b/>
                              <w:i/>
                            </w:rPr>
                            <w:t>,</w:t>
                          </w:r>
                          <w:r>
                            <w:rPr>
                              <w:b/>
                              <w:i/>
                              <w:spacing w:val="-5"/>
                            </w:rPr>
                            <w:t xml:space="preserve"> </w:t>
                          </w:r>
                          <w:r>
                            <w:rPr>
                              <w:b/>
                              <w:i/>
                            </w:rPr>
                            <w:t>Décembre</w:t>
                          </w:r>
                          <w:r>
                            <w:rPr>
                              <w:b/>
                              <w:i/>
                              <w:spacing w:val="-5"/>
                            </w:rPr>
                            <w:t xml:space="preserve"> </w:t>
                          </w:r>
                          <w:r>
                            <w:rPr>
                              <w:b/>
                              <w:i/>
                              <w:spacing w:val="-4"/>
                            </w:rPr>
                            <w:t>2024</w:t>
                          </w:r>
                        </w:p>
                      </w:txbxContent>
                    </wps:txbx>
                    <wps:bodyPr wrap="square" lIns="0" tIns="0" rIns="0" bIns="0" rtlCol="0">
                      <a:noAutofit/>
                    </wps:bodyPr>
                  </wps:wsp>
                </a:graphicData>
              </a:graphic>
            </wp:anchor>
          </w:drawing>
        </mc:Choice>
        <mc:Fallback>
          <w:pict>
            <v:shape w14:anchorId="2170618D" id="Textbox 243" o:spid="_x0000_s1070" type="#_x0000_t202" style="position:absolute;margin-left:388.7pt;margin-top:34.75pt;width:136.85pt;height:14.2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" filled="f" stroked="f">
              <v:textbox inset="0,0,0,0">
                <w:txbxContent>
                  <w:p w14:paraId="51BC3C80" w14:textId="69B124B7" w:rsidR="00683CCD" w:rsidRDefault="00683CCD">
                    <w:pPr>
                      <w:spacing w:before="11"/>
                      <w:ind w:left="20"/>
                      <w:rPr>
                        <w:b/>
                        <w:i/>
                      </w:rPr>
                    </w:pPr>
                    <w:r>
                      <w:rPr>
                        <w:b/>
                        <w:i/>
                      </w:rPr>
                      <w:t>RASEF,</w:t>
                    </w:r>
                    <w:r>
                      <w:rPr>
                        <w:b/>
                        <w:i/>
                        <w:spacing w:val="-5"/>
                      </w:rPr>
                      <w:t xml:space="preserve"> </w:t>
                    </w:r>
                    <w:r>
                      <w:rPr>
                        <w:b/>
                        <w:i/>
                      </w:rPr>
                      <w:t>N°</w:t>
                    </w:r>
                    <w:r w:rsidR="004F3C88">
                      <w:rPr>
                        <w:b/>
                        <w:i/>
                      </w:rPr>
                      <w:t>7</w:t>
                    </w:r>
                    <w:r>
                      <w:rPr>
                        <w:b/>
                        <w:i/>
                      </w:rPr>
                      <w:t>,</w:t>
                    </w:r>
                    <w:r>
                      <w:rPr>
                        <w:b/>
                        <w:i/>
                        <w:spacing w:val="-5"/>
                      </w:rPr>
                      <w:t xml:space="preserve"> </w:t>
                    </w:r>
                    <w:r>
                      <w:rPr>
                        <w:b/>
                        <w:i/>
                      </w:rPr>
                      <w:t>Décembre</w:t>
                    </w:r>
                    <w:r>
                      <w:rPr>
                        <w:b/>
                        <w:i/>
                        <w:spacing w:val="-5"/>
                      </w:rPr>
                      <w:t xml:space="preserve"> </w:t>
                    </w:r>
                    <w:r>
                      <w:rPr>
                        <w:b/>
                        <w:i/>
                        <w:spacing w:val="-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34FB8" w14:textId="77777777" w:rsidR="00D80693" w:rsidRDefault="00D80693">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21216" behindDoc="1" locked="0" layoutInCell="1" allowOverlap="1" wp14:anchorId="63163FC0" wp14:editId="679896E4">
              <wp:simplePos x="0" y="0"/>
              <wp:positionH relativeFrom="page">
                <wp:posOffset>905052</wp:posOffset>
              </wp:positionH>
              <wp:positionV relativeFrom="page">
                <wp:posOffset>525298</wp:posOffset>
              </wp:positionV>
              <wp:extent cx="1924685" cy="180975"/>
              <wp:effectExtent l="0" t="0" r="0" b="0"/>
              <wp:wrapNone/>
              <wp:docPr id="1783014431"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180975"/>
                      </a:xfrm>
                      <a:prstGeom prst="rect">
                        <a:avLst/>
                      </a:prstGeom>
                    </wps:spPr>
                    <wps:txbx>
                      <w:txbxContent>
                        <w:p w14:paraId="497234CC" w14:textId="37EC3316" w:rsidR="00D80693" w:rsidRPr="00D80693" w:rsidRDefault="00D80693">
                          <w:pPr>
                            <w:spacing w:before="11"/>
                            <w:ind w:left="20"/>
                            <w:rPr>
                              <w:b/>
                              <w:bCs/>
                              <w:i/>
                            </w:rPr>
                          </w:pPr>
                          <w:r w:rsidRPr="00D80693">
                            <w:rPr>
                              <w:b/>
                              <w:bCs/>
                              <w:i/>
                              <w:iCs/>
                              <w:spacing w:val="-2"/>
                            </w:rPr>
                            <w:t>Amadou Yoro NIANG</w:t>
                          </w:r>
                        </w:p>
                      </w:txbxContent>
                    </wps:txbx>
                    <wps:bodyPr wrap="square" lIns="0" tIns="0" rIns="0" bIns="0" rtlCol="0">
                      <a:noAutofit/>
                    </wps:bodyPr>
                  </wps:wsp>
                </a:graphicData>
              </a:graphic>
            </wp:anchor>
          </w:drawing>
        </mc:Choice>
        <mc:Fallback>
          <w:pict>
            <v:shapetype w14:anchorId="63163FC0" id="_x0000_t202" coordsize="21600,21600" o:spt="202" path="m,l,21600r21600,l21600,xe">
              <v:stroke joinstyle="miter"/>
              <v:path gradientshapeok="t" o:connecttype="rect"/>
            </v:shapetype>
            <v:shape id="_x0000_s1035" type="#_x0000_t202" style="position:absolute;margin-left:71.25pt;margin-top:41.35pt;width:151.55pt;height:14.2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" filled="f" stroked="f">
              <v:textbox inset="0,0,0,0">
                <w:txbxContent>
                  <w:p w14:paraId="497234CC" w14:textId="37EC3316" w:rsidR="00D80693" w:rsidRPr="00D80693" w:rsidRDefault="00D80693">
                    <w:pPr>
                      <w:spacing w:before="11"/>
                      <w:ind w:left="20"/>
                      <w:rPr>
                        <w:b/>
                        <w:bCs/>
                        <w:i/>
                      </w:rPr>
                    </w:pPr>
                    <w:r w:rsidRPr="00D80693">
                      <w:rPr>
                        <w:b/>
                        <w:bCs/>
                        <w:i/>
                        <w:iCs/>
                        <w:spacing w:val="-2"/>
                      </w:rPr>
                      <w:t>Amadou Yoro NIANG</w:t>
                    </w:r>
                  </w:p>
                </w:txbxContent>
              </v:textbox>
              <w10:wrap anchorx="page" anchory="page"/>
            </v:shape>
          </w:pict>
        </mc:Fallback>
      </mc:AlternateContent>
    </w:r>
    <w:r>
      <w:rPr>
        <w:noProof/>
        <w:sz w:val="20"/>
        <w:lang w:eastAsia="fr-FR"/>
      </w:rPr>
      <mc:AlternateContent>
        <mc:Choice Requires="wps">
          <w:drawing>
            <wp:anchor distT="0" distB="0" distL="0" distR="0" simplePos="0" relativeHeight="251722240" behindDoc="1" locked="0" layoutInCell="1" allowOverlap="1" wp14:anchorId="63E1A97A" wp14:editId="632FA8CD">
              <wp:simplePos x="0" y="0"/>
              <wp:positionH relativeFrom="page">
                <wp:posOffset>4936616</wp:posOffset>
              </wp:positionH>
              <wp:positionV relativeFrom="page">
                <wp:posOffset>525298</wp:posOffset>
              </wp:positionV>
              <wp:extent cx="1737995" cy="180975"/>
              <wp:effectExtent l="0" t="0" r="0" b="0"/>
              <wp:wrapNone/>
              <wp:docPr id="177579030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3D60605C"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355D72A1" w14:textId="77777777" w:rsidR="00D80693" w:rsidRDefault="00D80693">
                          <w:pPr>
                            <w:spacing w:before="11"/>
                            <w:ind w:left="20"/>
                            <w:rPr>
                              <w:b/>
                              <w:i/>
                            </w:rPr>
                          </w:pPr>
                        </w:p>
                      </w:txbxContent>
                    </wps:txbx>
                    <wps:bodyPr wrap="square" lIns="0" tIns="0" rIns="0" bIns="0" rtlCol="0">
                      <a:noAutofit/>
                    </wps:bodyPr>
                  </wps:wsp>
                </a:graphicData>
              </a:graphic>
            </wp:anchor>
          </w:drawing>
        </mc:Choice>
        <mc:Fallback>
          <w:pict>
            <v:shape w14:anchorId="63E1A97A" id="_x0000_s1036" type="#_x0000_t202" style="position:absolute;margin-left:388.7pt;margin-top:41.35pt;width:136.85pt;height:14.25pt;z-index:-2515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BQUoIZmQEA&#10;ACIDAAAOAAAAAAAAAAAAAAAAAC4CAABkcnMvZTJvRG9jLnhtbFBLAQItABQABgAIAAAAIQDI+iyC&#10;4AAAAAsBAAAPAAAAAAAAAAAAAAAAAPMDAABkcnMvZG93bnJldi54bWxQSwUGAAAAAAQABADzAAAA&#10;AAUAAAAA&#10;" filled="f" stroked="f">
              <v:textbox inset="0,0,0,0">
                <w:txbxContent>
                  <w:p w14:paraId="3D60605C"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355D72A1" w14:textId="77777777" w:rsidR="00D80693" w:rsidRDefault="00D80693">
                    <w:pPr>
                      <w:spacing w:before="11"/>
                      <w:ind w:left="20"/>
                      <w:rPr>
                        <w:b/>
                        <w:i/>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390D" w14:textId="77777777" w:rsidR="00D80693" w:rsidRDefault="00D80693">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24288" behindDoc="1" locked="0" layoutInCell="1" allowOverlap="1" wp14:anchorId="744799C3" wp14:editId="79E2B95C">
              <wp:simplePos x="0" y="0"/>
              <wp:positionH relativeFrom="page">
                <wp:posOffset>905052</wp:posOffset>
              </wp:positionH>
              <wp:positionV relativeFrom="page">
                <wp:posOffset>525298</wp:posOffset>
              </wp:positionV>
              <wp:extent cx="1924685" cy="180975"/>
              <wp:effectExtent l="0" t="0" r="0" b="0"/>
              <wp:wrapNone/>
              <wp:docPr id="61119841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180975"/>
                      </a:xfrm>
                      <a:prstGeom prst="rect">
                        <a:avLst/>
                      </a:prstGeom>
                    </wps:spPr>
                    <wps:txbx>
                      <w:txbxContent>
                        <w:p w14:paraId="13D5A502" w14:textId="1FA7AB9D" w:rsidR="00D80693" w:rsidRPr="00D80693" w:rsidRDefault="00D80693">
                          <w:pPr>
                            <w:spacing w:before="11"/>
                            <w:ind w:left="20"/>
                            <w:rPr>
                              <w:b/>
                              <w:bCs/>
                              <w:i/>
                            </w:rPr>
                          </w:pPr>
                        </w:p>
                      </w:txbxContent>
                    </wps:txbx>
                    <wps:bodyPr wrap="square" lIns="0" tIns="0" rIns="0" bIns="0" rtlCol="0">
                      <a:noAutofit/>
                    </wps:bodyPr>
                  </wps:wsp>
                </a:graphicData>
              </a:graphic>
            </wp:anchor>
          </w:drawing>
        </mc:Choice>
        <mc:Fallback>
          <w:pict>
            <v:shapetype w14:anchorId="744799C3" id="_x0000_t202" coordsize="21600,21600" o:spt="202" path="m,l,21600r21600,l21600,xe">
              <v:stroke joinstyle="miter"/>
              <v:path gradientshapeok="t" o:connecttype="rect"/>
            </v:shapetype>
            <v:shape id="_x0000_s1038" type="#_x0000_t202" style="position:absolute;margin-left:71.25pt;margin-top:41.35pt;width:151.55pt;height:14.25pt;z-index:-251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" filled="f" stroked="f">
              <v:textbox inset="0,0,0,0">
                <w:txbxContent>
                  <w:p w14:paraId="13D5A502" w14:textId="1FA7AB9D" w:rsidR="00D80693" w:rsidRPr="00D80693" w:rsidRDefault="00D80693">
                    <w:pPr>
                      <w:spacing w:before="11"/>
                      <w:ind w:left="20"/>
                      <w:rPr>
                        <w:b/>
                        <w:bCs/>
                        <w:i/>
                      </w:rPr>
                    </w:pPr>
                  </w:p>
                </w:txbxContent>
              </v:textbox>
              <w10:wrap anchorx="page" anchory="page"/>
            </v:shape>
          </w:pict>
        </mc:Fallback>
      </mc:AlternateContent>
    </w:r>
    <w:r>
      <w:rPr>
        <w:noProof/>
        <w:sz w:val="20"/>
        <w:lang w:eastAsia="fr-FR"/>
      </w:rPr>
      <mc:AlternateContent>
        <mc:Choice Requires="wps">
          <w:drawing>
            <wp:anchor distT="0" distB="0" distL="0" distR="0" simplePos="0" relativeHeight="251725312" behindDoc="1" locked="0" layoutInCell="1" allowOverlap="1" wp14:anchorId="09EDF171" wp14:editId="085428A3">
              <wp:simplePos x="0" y="0"/>
              <wp:positionH relativeFrom="page">
                <wp:posOffset>4936616</wp:posOffset>
              </wp:positionH>
              <wp:positionV relativeFrom="page">
                <wp:posOffset>525298</wp:posOffset>
              </wp:positionV>
              <wp:extent cx="1737995" cy="180975"/>
              <wp:effectExtent l="0" t="0" r="0" b="0"/>
              <wp:wrapNone/>
              <wp:docPr id="168957753"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0628000B"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7964FF5" w14:textId="77777777" w:rsidR="00D80693" w:rsidRDefault="00D80693">
                          <w:pPr>
                            <w:spacing w:before="11"/>
                            <w:ind w:left="20"/>
                            <w:rPr>
                              <w:b/>
                              <w:i/>
                            </w:rPr>
                          </w:pPr>
                        </w:p>
                      </w:txbxContent>
                    </wps:txbx>
                    <wps:bodyPr wrap="square" lIns="0" tIns="0" rIns="0" bIns="0" rtlCol="0">
                      <a:noAutofit/>
                    </wps:bodyPr>
                  </wps:wsp>
                </a:graphicData>
              </a:graphic>
            </wp:anchor>
          </w:drawing>
        </mc:Choice>
        <mc:Fallback>
          <w:pict>
            <v:shape w14:anchorId="09EDF171" id="_x0000_s1039" type="#_x0000_t202" style="position:absolute;margin-left:388.7pt;margin-top:41.35pt;width:136.85pt;height:14.2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B+kzGtmQEA&#10;ACIDAAAOAAAAAAAAAAAAAAAAAC4CAABkcnMvZTJvRG9jLnhtbFBLAQItABQABgAIAAAAIQDI+iyC&#10;4AAAAAsBAAAPAAAAAAAAAAAAAAAAAPMDAABkcnMvZG93bnJldi54bWxQSwUGAAAAAAQABADzAAAA&#10;AAUAAAAA&#10;" filled="f" stroked="f">
              <v:textbox inset="0,0,0,0">
                <w:txbxContent>
                  <w:p w14:paraId="0628000B"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47964FF5" w14:textId="77777777" w:rsidR="00D80693" w:rsidRDefault="00D80693">
                    <w:pPr>
                      <w:spacing w:before="11"/>
                      <w:ind w:left="20"/>
                      <w:rPr>
                        <w:b/>
                        <w:i/>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B1E3" w14:textId="77777777" w:rsidR="00D80693" w:rsidRDefault="00D80693">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18144" behindDoc="1" locked="0" layoutInCell="1" allowOverlap="1" wp14:anchorId="0F34332D" wp14:editId="3DA92310">
              <wp:simplePos x="0" y="0"/>
              <wp:positionH relativeFrom="page">
                <wp:posOffset>906780</wp:posOffset>
              </wp:positionH>
              <wp:positionV relativeFrom="topMargin">
                <wp:align>bottom</wp:align>
              </wp:positionV>
              <wp:extent cx="4107180" cy="373380"/>
              <wp:effectExtent l="0" t="0" r="0" b="0"/>
              <wp:wrapNone/>
              <wp:docPr id="52965399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1B493F95" w14:textId="3D8D9457" w:rsidR="00D80693" w:rsidRPr="009237F6" w:rsidRDefault="00E25DC6" w:rsidP="009237F6">
                          <w:pPr>
                            <w:rPr>
                              <w:b/>
                              <w:bCs/>
                              <w:i/>
                              <w:iCs/>
                              <w:szCs w:val="24"/>
                              <w:lang w:eastAsia="fr-FR"/>
                            </w:rPr>
                          </w:pPr>
                          <w:r w:rsidRPr="00E25DC6">
                            <w:rPr>
                              <w:b/>
                              <w:bCs/>
                              <w:i/>
                              <w:iCs/>
                              <w:szCs w:val="24"/>
                              <w:lang w:eastAsia="fr-FR"/>
                            </w:rPr>
                            <w:t xml:space="preserve">Yaya TRAORE, Mahamadou Lamine DIAKITE, </w:t>
                          </w:r>
                          <w:proofErr w:type="spellStart"/>
                          <w:r w:rsidRPr="00E25DC6">
                            <w:rPr>
                              <w:b/>
                              <w:bCs/>
                              <w:i/>
                              <w:iCs/>
                              <w:szCs w:val="24"/>
                              <w:lang w:eastAsia="fr-FR"/>
                            </w:rPr>
                            <w:t>Abdramane</w:t>
                          </w:r>
                          <w:proofErr w:type="spellEnd"/>
                          <w:r w:rsidRPr="00E25DC6">
                            <w:rPr>
                              <w:b/>
                              <w:bCs/>
                              <w:i/>
                              <w:iCs/>
                              <w:szCs w:val="24"/>
                              <w:lang w:eastAsia="fr-FR"/>
                            </w:rPr>
                            <w:t xml:space="preserve"> KONE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F34332D" id="_x0000_t202" coordsize="21600,21600" o:spt="202" path="m,l,21600r21600,l21600,xe">
              <v:stroke joinstyle="miter"/>
              <v:path gradientshapeok="t" o:connecttype="rect"/>
            </v:shapetype>
            <v:shape id="_x0000_s1040" type="#_x0000_t202" style="position:absolute;margin-left:71.4pt;margin-top:0;width:323.4pt;height:29.4pt;z-index:-251598336;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" filled="f" stroked="f">
              <v:textbox inset="0,0,0,0">
                <w:txbxContent>
                  <w:p w14:paraId="1B493F95" w14:textId="3D8D9457" w:rsidR="00D80693" w:rsidRPr="009237F6" w:rsidRDefault="00E25DC6" w:rsidP="009237F6">
                    <w:pPr>
                      <w:rPr>
                        <w:b/>
                        <w:bCs/>
                        <w:i/>
                        <w:iCs/>
                        <w:szCs w:val="24"/>
                        <w:lang w:eastAsia="fr-FR"/>
                      </w:rPr>
                    </w:pPr>
                    <w:r w:rsidRPr="00E25DC6">
                      <w:rPr>
                        <w:b/>
                        <w:bCs/>
                        <w:i/>
                        <w:iCs/>
                        <w:szCs w:val="24"/>
                        <w:lang w:eastAsia="fr-FR"/>
                      </w:rPr>
                      <w:t xml:space="preserve">Yaya TRAORE, Mahamadou Lamine DIAKITE, </w:t>
                    </w:r>
                    <w:proofErr w:type="spellStart"/>
                    <w:r w:rsidRPr="00E25DC6">
                      <w:rPr>
                        <w:b/>
                        <w:bCs/>
                        <w:i/>
                        <w:iCs/>
                        <w:szCs w:val="24"/>
                        <w:lang w:eastAsia="fr-FR"/>
                      </w:rPr>
                      <w:t>Abdramane</w:t>
                    </w:r>
                    <w:proofErr w:type="spellEnd"/>
                    <w:r w:rsidRPr="00E25DC6">
                      <w:rPr>
                        <w:b/>
                        <w:bCs/>
                        <w:i/>
                        <w:iCs/>
                        <w:szCs w:val="24"/>
                        <w:lang w:eastAsia="fr-FR"/>
                      </w:rPr>
                      <w:t xml:space="preserve"> KONE</w:t>
                    </w:r>
                  </w:p>
                </w:txbxContent>
              </v:textbox>
              <w10:wrap anchorx="page" anchory="margin"/>
            </v:shape>
          </w:pict>
        </mc:Fallback>
      </mc:AlternateContent>
    </w:r>
    <w:r>
      <w:rPr>
        <w:noProof/>
        <w:sz w:val="20"/>
        <w:lang w:eastAsia="fr-FR"/>
      </w:rPr>
      <mc:AlternateContent>
        <mc:Choice Requires="wps">
          <w:drawing>
            <wp:anchor distT="0" distB="0" distL="0" distR="0" simplePos="0" relativeHeight="251719168" behindDoc="1" locked="0" layoutInCell="1" allowOverlap="1" wp14:anchorId="59D691A2" wp14:editId="179DE96B">
              <wp:simplePos x="0" y="0"/>
              <wp:positionH relativeFrom="page">
                <wp:posOffset>4936616</wp:posOffset>
              </wp:positionH>
              <wp:positionV relativeFrom="page">
                <wp:posOffset>525298</wp:posOffset>
              </wp:positionV>
              <wp:extent cx="1737995" cy="180975"/>
              <wp:effectExtent l="0" t="0" r="0" b="0"/>
              <wp:wrapNone/>
              <wp:docPr id="6172472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6418EE80"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2B828742" w14:textId="77777777" w:rsidR="00D80693" w:rsidRDefault="00D80693">
                          <w:pPr>
                            <w:spacing w:before="11"/>
                            <w:ind w:left="20"/>
                            <w:rPr>
                              <w:b/>
                              <w:i/>
                            </w:rPr>
                          </w:pPr>
                        </w:p>
                      </w:txbxContent>
                    </wps:txbx>
                    <wps:bodyPr wrap="square" lIns="0" tIns="0" rIns="0" bIns="0" rtlCol="0">
                      <a:noAutofit/>
                    </wps:bodyPr>
                  </wps:wsp>
                </a:graphicData>
              </a:graphic>
            </wp:anchor>
          </w:drawing>
        </mc:Choice>
        <mc:Fallback>
          <w:pict>
            <v:shape w14:anchorId="59D691A2" id="_x0000_s1041" type="#_x0000_t202" style="position:absolute;margin-left:388.7pt;margin-top:41.35pt;width:136.85pt;height:14.2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AqPKPZmQEA&#10;ACMDAAAOAAAAAAAAAAAAAAAAAC4CAABkcnMvZTJvRG9jLnhtbFBLAQItABQABgAIAAAAIQDI+iyC&#10;4AAAAAsBAAAPAAAAAAAAAAAAAAAAAPMDAABkcnMvZG93bnJldi54bWxQSwUGAAAAAAQABADzAAAA&#10;AAUAAAAA&#10;" filled="f" stroked="f">
              <v:textbox inset="0,0,0,0">
                <w:txbxContent>
                  <w:p w14:paraId="6418EE80" w14:textId="77777777" w:rsidR="00D80693" w:rsidRDefault="00D80693"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2B828742" w14:textId="77777777" w:rsidR="00D80693" w:rsidRDefault="00D80693">
                    <w:pPr>
                      <w:spacing w:before="11"/>
                      <w:ind w:left="20"/>
                      <w:rPr>
                        <w:b/>
                        <w:i/>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882C" w14:textId="77777777" w:rsidR="004D502A" w:rsidRDefault="004D502A">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72416" behindDoc="1" locked="0" layoutInCell="1" allowOverlap="1" wp14:anchorId="3160BF13" wp14:editId="678F137E">
              <wp:simplePos x="0" y="0"/>
              <wp:positionH relativeFrom="page">
                <wp:posOffset>906780</wp:posOffset>
              </wp:positionH>
              <wp:positionV relativeFrom="topMargin">
                <wp:align>bottom</wp:align>
              </wp:positionV>
              <wp:extent cx="4107180" cy="373380"/>
              <wp:effectExtent l="0" t="0" r="0" b="0"/>
              <wp:wrapNone/>
              <wp:docPr id="7587840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15DE6375" w14:textId="2CE80B46" w:rsidR="004D502A" w:rsidRPr="009237F6" w:rsidRDefault="004D502A" w:rsidP="009237F6">
                          <w:pPr>
                            <w:rPr>
                              <w:b/>
                              <w:bCs/>
                              <w:i/>
                              <w:iCs/>
                              <w:szCs w:val="24"/>
                              <w:lang w:eastAsia="fr-FR"/>
                            </w:rPr>
                          </w:pPr>
                          <w:r w:rsidRPr="004D502A">
                            <w:rPr>
                              <w:b/>
                              <w:bCs/>
                              <w:i/>
                              <w:iCs/>
                              <w:szCs w:val="24"/>
                              <w:lang w:eastAsia="fr-FR"/>
                            </w:rPr>
                            <w:t>Salifou KONE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160BF13" id="_x0000_t202" coordsize="21600,21600" o:spt="202" path="m,l,21600r21600,l21600,xe">
              <v:stroke joinstyle="miter"/>
              <v:path gradientshapeok="t" o:connecttype="rect"/>
            </v:shapetype>
            <v:shape id="_x0000_s1042" type="#_x0000_t202" style="position:absolute;margin-left:71.4pt;margin-top:0;width:323.4pt;height:29.4pt;z-index:-251544064;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tYlgEAACMDAAAOAAAAZHJzL2Uyb0RvYy54bWysUsGO0zAQvSPxD5bvNGmL2FX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" filled="f" stroked="f">
              <v:textbox inset="0,0,0,0">
                <w:txbxContent>
                  <w:p w14:paraId="15DE6375" w14:textId="2CE80B46" w:rsidR="004D502A" w:rsidRPr="009237F6" w:rsidRDefault="004D502A" w:rsidP="009237F6">
                    <w:pPr>
                      <w:rPr>
                        <w:b/>
                        <w:bCs/>
                        <w:i/>
                        <w:iCs/>
                        <w:szCs w:val="24"/>
                        <w:lang w:eastAsia="fr-FR"/>
                      </w:rPr>
                    </w:pPr>
                    <w:r w:rsidRPr="004D502A">
                      <w:rPr>
                        <w:b/>
                        <w:bCs/>
                        <w:i/>
                        <w:iCs/>
                        <w:szCs w:val="24"/>
                        <w:lang w:eastAsia="fr-FR"/>
                      </w:rPr>
                      <w:t>Salifou KONE</w:t>
                    </w:r>
                  </w:p>
                </w:txbxContent>
              </v:textbox>
              <w10:wrap anchorx="page" anchory="margin"/>
            </v:shape>
          </w:pict>
        </mc:Fallback>
      </mc:AlternateContent>
    </w:r>
    <w:r>
      <w:rPr>
        <w:noProof/>
        <w:sz w:val="20"/>
        <w:lang w:eastAsia="fr-FR"/>
      </w:rPr>
      <mc:AlternateContent>
        <mc:Choice Requires="wps">
          <w:drawing>
            <wp:anchor distT="0" distB="0" distL="0" distR="0" simplePos="0" relativeHeight="251773440" behindDoc="1" locked="0" layoutInCell="1" allowOverlap="1" wp14:anchorId="76EBAF92" wp14:editId="4ABB7C55">
              <wp:simplePos x="0" y="0"/>
              <wp:positionH relativeFrom="page">
                <wp:posOffset>4936616</wp:posOffset>
              </wp:positionH>
              <wp:positionV relativeFrom="page">
                <wp:posOffset>525298</wp:posOffset>
              </wp:positionV>
              <wp:extent cx="1737995" cy="180975"/>
              <wp:effectExtent l="0" t="0" r="0" b="0"/>
              <wp:wrapNone/>
              <wp:docPr id="128756044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0F9A37A1" w14:textId="77777777" w:rsidR="004D502A" w:rsidRDefault="004D502A"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2A54D0D7" w14:textId="77777777" w:rsidR="004D502A" w:rsidRDefault="004D502A">
                          <w:pPr>
                            <w:spacing w:before="11"/>
                            <w:ind w:left="20"/>
                            <w:rPr>
                              <w:b/>
                              <w:i/>
                            </w:rPr>
                          </w:pPr>
                        </w:p>
                      </w:txbxContent>
                    </wps:txbx>
                    <wps:bodyPr wrap="square" lIns="0" tIns="0" rIns="0" bIns="0" rtlCol="0">
                      <a:noAutofit/>
                    </wps:bodyPr>
                  </wps:wsp>
                </a:graphicData>
              </a:graphic>
            </wp:anchor>
          </w:drawing>
        </mc:Choice>
        <mc:Fallback>
          <w:pict>
            <v:shape w14:anchorId="76EBAF92" id="_x0000_s1043" type="#_x0000_t202" style="position:absolute;margin-left:388.7pt;margin-top:41.35pt;width:136.85pt;height:14.25pt;z-index:-251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CkjPo6mQEA&#10;ACMDAAAOAAAAAAAAAAAAAAAAAC4CAABkcnMvZTJvRG9jLnhtbFBLAQItABQABgAIAAAAIQDI+iyC&#10;4AAAAAsBAAAPAAAAAAAAAAAAAAAAAPMDAABkcnMvZG93bnJldi54bWxQSwUGAAAAAAQABADzAAAA&#10;AAUAAAAA&#10;" filled="f" stroked="f">
              <v:textbox inset="0,0,0,0">
                <w:txbxContent>
                  <w:p w14:paraId="0F9A37A1" w14:textId="77777777" w:rsidR="004D502A" w:rsidRDefault="004D502A"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2A54D0D7" w14:textId="77777777" w:rsidR="004D502A" w:rsidRDefault="004D502A">
                    <w:pPr>
                      <w:spacing w:before="11"/>
                      <w:ind w:left="20"/>
                      <w:rPr>
                        <w:b/>
                        <w:i/>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6CA5A" w14:textId="77777777" w:rsidR="00813D27" w:rsidRDefault="00813D27">
    <w:pPr>
      <w:pStyle w:val="Corpsdetexte"/>
      <w:spacing w:before="0" w:line="14" w:lineRule="auto"/>
      <w:ind w:left="0"/>
      <w:jc w:val="left"/>
      <w:rPr>
        <w:sz w:val="20"/>
      </w:rPr>
    </w:pPr>
    <w:r>
      <w:rPr>
        <w:noProof/>
        <w:sz w:val="20"/>
        <w:lang w:eastAsia="fr-FR"/>
      </w:rPr>
      <mc:AlternateContent>
        <mc:Choice Requires="wps">
          <w:drawing>
            <wp:anchor distT="0" distB="0" distL="0" distR="0" simplePos="0" relativeHeight="251727360" behindDoc="1" locked="0" layoutInCell="1" allowOverlap="1" wp14:anchorId="79EDC7BE" wp14:editId="3214B730">
              <wp:simplePos x="0" y="0"/>
              <wp:positionH relativeFrom="page">
                <wp:posOffset>906780</wp:posOffset>
              </wp:positionH>
              <wp:positionV relativeFrom="topMargin">
                <wp:align>bottom</wp:align>
              </wp:positionV>
              <wp:extent cx="4107180" cy="373380"/>
              <wp:effectExtent l="0" t="0" r="0" b="0"/>
              <wp:wrapNone/>
              <wp:docPr id="86599089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5EEF6E1A" w14:textId="77777777" w:rsidR="00813D27" w:rsidRPr="00813D27" w:rsidRDefault="00813D27" w:rsidP="004D502A">
                          <w:pPr>
                            <w:rPr>
                              <w:rFonts w:eastAsia="Aptos"/>
                              <w:b/>
                              <w:i/>
                              <w:iCs/>
                              <w:kern w:val="2"/>
                              <w:sz w:val="24"/>
                              <w:szCs w:val="24"/>
                              <w:lang w:val="pt-PT"/>
                              <w14:ligatures w14:val="standardContextual"/>
                            </w:rPr>
                          </w:pPr>
                          <w:r w:rsidRPr="00813D27">
                            <w:rPr>
                              <w:rFonts w:eastAsia="Aptos"/>
                              <w:b/>
                              <w:i/>
                              <w:iCs/>
                              <w:kern w:val="2"/>
                              <w:sz w:val="24"/>
                              <w:szCs w:val="24"/>
                              <w:lang w:val="pt-PT"/>
                              <w14:ligatures w14:val="standardContextual"/>
                            </w:rPr>
                            <w:t>Yacouba Augustin SAVADOGO, Bernadin P. OUEDRAOGO,</w:t>
                          </w:r>
                        </w:p>
                        <w:p w14:paraId="3CFCA9E5" w14:textId="7BFAC89F" w:rsidR="00813D27" w:rsidRPr="00813D27" w:rsidRDefault="00813D27" w:rsidP="004D502A">
                          <w:pPr>
                            <w:rPr>
                              <w:rFonts w:eastAsia="Aptos"/>
                              <w:b/>
                              <w:i/>
                              <w:iCs/>
                              <w:kern w:val="2"/>
                              <w:sz w:val="24"/>
                              <w:szCs w:val="24"/>
                              <w:lang w:val="pt-PT"/>
                              <w14:ligatures w14:val="standardContextual"/>
                            </w:rPr>
                          </w:pPr>
                          <w:r w:rsidRPr="00813D27">
                            <w:rPr>
                              <w:rFonts w:eastAsia="Aptos"/>
                              <w:b/>
                              <w:i/>
                              <w:iCs/>
                              <w:kern w:val="2"/>
                              <w:sz w:val="24"/>
                              <w:szCs w:val="24"/>
                              <w:lang w:val="pt-PT"/>
                              <w14:ligatures w14:val="standardContextual"/>
                            </w:rPr>
                            <w:t>François SAWADOGO</w:t>
                          </w:r>
                        </w:p>
                        <w:p w14:paraId="5656898A" w14:textId="15E2E876" w:rsidR="00813D27" w:rsidRPr="00813D27" w:rsidRDefault="00813D27" w:rsidP="00813D27">
                          <w:pPr>
                            <w:rPr>
                              <w:b/>
                              <w:bCs/>
                              <w:i/>
                              <w:iCs/>
                              <w:szCs w:val="24"/>
                              <w:lang w:val="pt-PT" w:eastAsia="fr-FR"/>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EDC7BE" id="_x0000_t202" coordsize="21600,21600" o:spt="202" path="m,l,21600r21600,l21600,xe">
              <v:stroke joinstyle="miter"/>
              <v:path gradientshapeok="t" o:connecttype="rect"/>
            </v:shapetype>
            <v:shape id="_x0000_s1044" type="#_x0000_t202" style="position:absolute;margin-left:71.4pt;margin-top:0;width:323.4pt;height:29.4pt;z-index:-251589120;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" filled="f" stroked="f">
              <v:textbox inset="0,0,0,0">
                <w:txbxContent>
                  <w:p w14:paraId="5EEF6E1A" w14:textId="77777777" w:rsidR="00813D27" w:rsidRPr="00813D27" w:rsidRDefault="00813D27" w:rsidP="004D502A">
                    <w:pPr>
                      <w:rPr>
                        <w:rFonts w:eastAsia="Aptos"/>
                        <w:b/>
                        <w:i/>
                        <w:iCs/>
                        <w:kern w:val="2"/>
                        <w:sz w:val="24"/>
                        <w:szCs w:val="24"/>
                        <w:lang w:val="pt-PT"/>
                        <w14:ligatures w14:val="standardContextual"/>
                      </w:rPr>
                    </w:pPr>
                    <w:r w:rsidRPr="00813D27">
                      <w:rPr>
                        <w:rFonts w:eastAsia="Aptos"/>
                        <w:b/>
                        <w:i/>
                        <w:iCs/>
                        <w:kern w:val="2"/>
                        <w:sz w:val="24"/>
                        <w:szCs w:val="24"/>
                        <w:lang w:val="pt-PT"/>
                        <w14:ligatures w14:val="standardContextual"/>
                      </w:rPr>
                      <w:t>Yacouba Augustin SAVADOGO, Bernadin P. OUEDRAOGO,</w:t>
                    </w:r>
                  </w:p>
                  <w:p w14:paraId="3CFCA9E5" w14:textId="7BFAC89F" w:rsidR="00813D27" w:rsidRPr="00813D27" w:rsidRDefault="00813D27" w:rsidP="004D502A">
                    <w:pPr>
                      <w:rPr>
                        <w:rFonts w:eastAsia="Aptos"/>
                        <w:b/>
                        <w:i/>
                        <w:iCs/>
                        <w:kern w:val="2"/>
                        <w:sz w:val="24"/>
                        <w:szCs w:val="24"/>
                        <w:lang w:val="pt-PT"/>
                        <w14:ligatures w14:val="standardContextual"/>
                      </w:rPr>
                    </w:pPr>
                    <w:r w:rsidRPr="00813D27">
                      <w:rPr>
                        <w:rFonts w:eastAsia="Aptos"/>
                        <w:b/>
                        <w:i/>
                        <w:iCs/>
                        <w:kern w:val="2"/>
                        <w:sz w:val="24"/>
                        <w:szCs w:val="24"/>
                        <w:lang w:val="pt-PT"/>
                        <w14:ligatures w14:val="standardContextual"/>
                      </w:rPr>
                      <w:t>François SAWADOGO</w:t>
                    </w:r>
                  </w:p>
                  <w:p w14:paraId="5656898A" w14:textId="15E2E876" w:rsidR="00813D27" w:rsidRPr="00813D27" w:rsidRDefault="00813D27" w:rsidP="00813D27">
                    <w:pPr>
                      <w:rPr>
                        <w:b/>
                        <w:bCs/>
                        <w:i/>
                        <w:iCs/>
                        <w:szCs w:val="24"/>
                        <w:lang w:val="pt-PT" w:eastAsia="fr-FR"/>
                      </w:rPr>
                    </w:pPr>
                  </w:p>
                </w:txbxContent>
              </v:textbox>
              <w10:wrap anchorx="page" anchory="margin"/>
            </v:shape>
          </w:pict>
        </mc:Fallback>
      </mc:AlternateContent>
    </w:r>
    <w:r>
      <w:rPr>
        <w:noProof/>
        <w:sz w:val="20"/>
        <w:lang w:eastAsia="fr-FR"/>
      </w:rPr>
      <mc:AlternateContent>
        <mc:Choice Requires="wps">
          <w:drawing>
            <wp:anchor distT="0" distB="0" distL="0" distR="0" simplePos="0" relativeHeight="251728384" behindDoc="1" locked="0" layoutInCell="1" allowOverlap="1" wp14:anchorId="5FC48D51" wp14:editId="126E5750">
              <wp:simplePos x="0" y="0"/>
              <wp:positionH relativeFrom="page">
                <wp:posOffset>4936616</wp:posOffset>
              </wp:positionH>
              <wp:positionV relativeFrom="page">
                <wp:posOffset>525298</wp:posOffset>
              </wp:positionV>
              <wp:extent cx="1737995" cy="180975"/>
              <wp:effectExtent l="0" t="0" r="0" b="0"/>
              <wp:wrapNone/>
              <wp:docPr id="61920755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50E75A02" w14:textId="77777777" w:rsidR="00813D27" w:rsidRDefault="00813D27"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5674E7A0" w14:textId="77777777" w:rsidR="00813D27" w:rsidRDefault="00813D27">
                          <w:pPr>
                            <w:spacing w:before="11"/>
                            <w:ind w:left="20"/>
                            <w:rPr>
                              <w:b/>
                              <w:i/>
                            </w:rPr>
                          </w:pPr>
                        </w:p>
                      </w:txbxContent>
                    </wps:txbx>
                    <wps:bodyPr wrap="square" lIns="0" tIns="0" rIns="0" bIns="0" rtlCol="0">
                      <a:noAutofit/>
                    </wps:bodyPr>
                  </wps:wsp>
                </a:graphicData>
              </a:graphic>
            </wp:anchor>
          </w:drawing>
        </mc:Choice>
        <mc:Fallback>
          <w:pict>
            <v:shape w14:anchorId="5FC48D51" id="_x0000_s1045" type="#_x0000_t202" style="position:absolute;margin-left:388.7pt;margin-top:41.35pt;width:136.85pt;height:14.25pt;z-index:-2515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" filled="f" stroked="f">
              <v:textbox inset="0,0,0,0">
                <w:txbxContent>
                  <w:p w14:paraId="50E75A02" w14:textId="77777777" w:rsidR="00813D27" w:rsidRDefault="00813D27"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5674E7A0" w14:textId="77777777" w:rsidR="00813D27" w:rsidRDefault="00813D27">
                    <w:pPr>
                      <w:spacing w:before="11"/>
                      <w:ind w:left="20"/>
                      <w:rPr>
                        <w:b/>
                        <w:i/>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F7AA" w14:textId="532AC09C" w:rsidR="00813D27" w:rsidRDefault="00813D27" w:rsidP="008F0E54">
    <w:pPr>
      <w:pStyle w:val="Corpsdetexte"/>
      <w:tabs>
        <w:tab w:val="center" w:pos="4536"/>
      </w:tabs>
      <w:spacing w:before="0" w:line="14" w:lineRule="auto"/>
      <w:ind w:left="0"/>
      <w:jc w:val="left"/>
      <w:rPr>
        <w:sz w:val="20"/>
      </w:rPr>
    </w:pPr>
    <w:r>
      <w:rPr>
        <w:noProof/>
        <w:sz w:val="20"/>
        <w:lang w:eastAsia="fr-FR"/>
      </w:rPr>
      <mc:AlternateContent>
        <mc:Choice Requires="wps">
          <w:drawing>
            <wp:anchor distT="0" distB="0" distL="0" distR="0" simplePos="0" relativeHeight="251732480" behindDoc="1" locked="0" layoutInCell="1" allowOverlap="1" wp14:anchorId="6E96FB7D" wp14:editId="313AD63C">
              <wp:simplePos x="0" y="0"/>
              <wp:positionH relativeFrom="page">
                <wp:posOffset>906780</wp:posOffset>
              </wp:positionH>
              <wp:positionV relativeFrom="topMargin">
                <wp:align>bottom</wp:align>
              </wp:positionV>
              <wp:extent cx="4107180" cy="373380"/>
              <wp:effectExtent l="0" t="0" r="0" b="0"/>
              <wp:wrapNone/>
              <wp:docPr id="166828613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180" cy="373380"/>
                      </a:xfrm>
                      <a:prstGeom prst="rect">
                        <a:avLst/>
                      </a:prstGeom>
                    </wps:spPr>
                    <wps:txbx>
                      <w:txbxContent>
                        <w:p w14:paraId="68742749" w14:textId="77777777" w:rsidR="00813D27" w:rsidRPr="00813D27" w:rsidRDefault="00813D27" w:rsidP="00813D27">
                          <w:pPr>
                            <w:spacing w:after="200" w:line="276" w:lineRule="auto"/>
                            <w:rPr>
                              <w:rFonts w:ascii="Calibri" w:eastAsia="Calibri" w:hAnsi="Calibri"/>
                              <w:i/>
                              <w:iCs/>
                              <w:sz w:val="24"/>
                              <w:szCs w:val="24"/>
                            </w:rPr>
                          </w:pPr>
                          <w:r w:rsidRPr="00813D27">
                            <w:rPr>
                              <w:b/>
                              <w:bCs/>
                              <w:i/>
                              <w:iCs/>
                              <w:sz w:val="24"/>
                              <w:szCs w:val="24"/>
                            </w:rPr>
                            <w:t>François</w:t>
                          </w:r>
                          <w:r w:rsidRPr="00813D27">
                            <w:rPr>
                              <w:i/>
                              <w:iCs/>
                              <w:sz w:val="24"/>
                              <w:szCs w:val="24"/>
                            </w:rPr>
                            <w:t xml:space="preserve"> </w:t>
                          </w:r>
                          <w:r w:rsidRPr="00813D27">
                            <w:rPr>
                              <w:b/>
                              <w:bCs/>
                              <w:i/>
                              <w:iCs/>
                              <w:sz w:val="24"/>
                              <w:szCs w:val="24"/>
                            </w:rPr>
                            <w:t>TIENDREBEOGO</w:t>
                          </w:r>
                          <w:r w:rsidRPr="00813D27">
                            <w:rPr>
                              <w:i/>
                              <w:iCs/>
                              <w:sz w:val="24"/>
                              <w:szCs w:val="24"/>
                            </w:rPr>
                            <w:t xml:space="preserve"> </w:t>
                          </w:r>
                        </w:p>
                        <w:p w14:paraId="05243D90" w14:textId="77777777" w:rsidR="00813D27" w:rsidRPr="00813D27" w:rsidRDefault="00813D27" w:rsidP="00813D27">
                          <w:pPr>
                            <w:rPr>
                              <w:b/>
                              <w:bCs/>
                              <w:i/>
                              <w:iCs/>
                              <w:szCs w:val="24"/>
                              <w:lang w:val="pt-PT" w:eastAsia="fr-FR"/>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96FB7D" id="_x0000_t202" coordsize="21600,21600" o:spt="202" path="m,l,21600r21600,l21600,xe">
              <v:stroke joinstyle="miter"/>
              <v:path gradientshapeok="t" o:connecttype="rect"/>
            </v:shapetype>
            <v:shape id="_x0000_s1046" type="#_x0000_t202" style="position:absolute;margin-left:71.4pt;margin-top:0;width:323.4pt;height:29.4pt;z-index:-251584000;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" filled="f" stroked="f">
              <v:textbox inset="0,0,0,0">
                <w:txbxContent>
                  <w:p w14:paraId="68742749" w14:textId="77777777" w:rsidR="00813D27" w:rsidRPr="00813D27" w:rsidRDefault="00813D27" w:rsidP="00813D27">
                    <w:pPr>
                      <w:spacing w:after="200" w:line="276" w:lineRule="auto"/>
                      <w:rPr>
                        <w:rFonts w:ascii="Calibri" w:eastAsia="Calibri" w:hAnsi="Calibri"/>
                        <w:i/>
                        <w:iCs/>
                        <w:sz w:val="24"/>
                        <w:szCs w:val="24"/>
                      </w:rPr>
                    </w:pPr>
                    <w:r w:rsidRPr="00813D27">
                      <w:rPr>
                        <w:b/>
                        <w:bCs/>
                        <w:i/>
                        <w:iCs/>
                        <w:sz w:val="24"/>
                        <w:szCs w:val="24"/>
                      </w:rPr>
                      <w:t>François</w:t>
                    </w:r>
                    <w:r w:rsidRPr="00813D27">
                      <w:rPr>
                        <w:i/>
                        <w:iCs/>
                        <w:sz w:val="24"/>
                        <w:szCs w:val="24"/>
                      </w:rPr>
                      <w:t xml:space="preserve"> </w:t>
                    </w:r>
                    <w:r w:rsidRPr="00813D27">
                      <w:rPr>
                        <w:b/>
                        <w:bCs/>
                        <w:i/>
                        <w:iCs/>
                        <w:sz w:val="24"/>
                        <w:szCs w:val="24"/>
                      </w:rPr>
                      <w:t>TIENDREBEOGO</w:t>
                    </w:r>
                    <w:r w:rsidRPr="00813D27">
                      <w:rPr>
                        <w:i/>
                        <w:iCs/>
                        <w:sz w:val="24"/>
                        <w:szCs w:val="24"/>
                      </w:rPr>
                      <w:t xml:space="preserve"> </w:t>
                    </w:r>
                  </w:p>
                  <w:p w14:paraId="05243D90" w14:textId="77777777" w:rsidR="00813D27" w:rsidRPr="00813D27" w:rsidRDefault="00813D27" w:rsidP="00813D27">
                    <w:pPr>
                      <w:rPr>
                        <w:b/>
                        <w:bCs/>
                        <w:i/>
                        <w:iCs/>
                        <w:szCs w:val="24"/>
                        <w:lang w:val="pt-PT" w:eastAsia="fr-FR"/>
                      </w:rPr>
                    </w:pPr>
                  </w:p>
                </w:txbxContent>
              </v:textbox>
              <w10:wrap anchorx="page" anchory="margin"/>
            </v:shape>
          </w:pict>
        </mc:Fallback>
      </mc:AlternateContent>
    </w:r>
    <w:r>
      <w:rPr>
        <w:noProof/>
        <w:sz w:val="20"/>
        <w:lang w:eastAsia="fr-FR"/>
      </w:rPr>
      <mc:AlternateContent>
        <mc:Choice Requires="wps">
          <w:drawing>
            <wp:anchor distT="0" distB="0" distL="0" distR="0" simplePos="0" relativeHeight="251733504" behindDoc="1" locked="0" layoutInCell="1" allowOverlap="1" wp14:anchorId="39397DF6" wp14:editId="6DA208C0">
              <wp:simplePos x="0" y="0"/>
              <wp:positionH relativeFrom="page">
                <wp:posOffset>4936616</wp:posOffset>
              </wp:positionH>
              <wp:positionV relativeFrom="page">
                <wp:posOffset>525298</wp:posOffset>
              </wp:positionV>
              <wp:extent cx="1737995" cy="180975"/>
              <wp:effectExtent l="0" t="0" r="0" b="0"/>
              <wp:wrapNone/>
              <wp:docPr id="185028443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80975"/>
                      </a:xfrm>
                      <a:prstGeom prst="rect">
                        <a:avLst/>
                      </a:prstGeom>
                    </wps:spPr>
                    <wps:txbx>
                      <w:txbxContent>
                        <w:p w14:paraId="5A5A6F4A" w14:textId="77777777" w:rsidR="00813D27" w:rsidRDefault="00813D27"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5A6C49A4" w14:textId="77777777" w:rsidR="00813D27" w:rsidRDefault="00813D27">
                          <w:pPr>
                            <w:spacing w:before="11"/>
                            <w:ind w:left="20"/>
                            <w:rPr>
                              <w:b/>
                              <w:i/>
                            </w:rPr>
                          </w:pPr>
                        </w:p>
                      </w:txbxContent>
                    </wps:txbx>
                    <wps:bodyPr wrap="square" lIns="0" tIns="0" rIns="0" bIns="0" rtlCol="0">
                      <a:noAutofit/>
                    </wps:bodyPr>
                  </wps:wsp>
                </a:graphicData>
              </a:graphic>
            </wp:anchor>
          </w:drawing>
        </mc:Choice>
        <mc:Fallback>
          <w:pict>
            <v:shape w14:anchorId="39397DF6" id="_x0000_s1047" type="#_x0000_t202" style="position:absolute;margin-left:388.7pt;margin-top:41.35pt;width:136.85pt;height:14.25pt;z-index:-251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" filled="f" stroked="f">
              <v:textbox inset="0,0,0,0">
                <w:txbxContent>
                  <w:p w14:paraId="5A5A6F4A" w14:textId="77777777" w:rsidR="00813D27" w:rsidRDefault="00813D27" w:rsidP="00D80693">
                    <w:pPr>
                      <w:spacing w:before="11"/>
                      <w:ind w:left="20"/>
                      <w:rPr>
                        <w:b/>
                        <w:i/>
                      </w:rPr>
                    </w:pPr>
                    <w:r>
                      <w:rPr>
                        <w:b/>
                        <w:i/>
                      </w:rPr>
                      <w:t>RASEF,</w:t>
                    </w:r>
                    <w:r>
                      <w:rPr>
                        <w:b/>
                        <w:i/>
                        <w:spacing w:val="-3"/>
                      </w:rPr>
                      <w:t xml:space="preserve"> </w:t>
                    </w:r>
                    <w:r>
                      <w:rPr>
                        <w:b/>
                        <w:i/>
                      </w:rPr>
                      <w:t>N°7,</w:t>
                    </w:r>
                    <w:r>
                      <w:rPr>
                        <w:b/>
                        <w:i/>
                        <w:spacing w:val="-3"/>
                      </w:rPr>
                      <w:t xml:space="preserve"> Décembre</w:t>
                    </w:r>
                    <w:r>
                      <w:rPr>
                        <w:b/>
                        <w:i/>
                        <w:spacing w:val="-4"/>
                      </w:rPr>
                      <w:t xml:space="preserve"> 2025</w:t>
                    </w:r>
                  </w:p>
                  <w:p w14:paraId="5A6C49A4" w14:textId="77777777" w:rsidR="00813D27" w:rsidRDefault="00813D27">
                    <w:pPr>
                      <w:spacing w:before="11"/>
                      <w:ind w:left="20"/>
                      <w:rPr>
                        <w:b/>
                        <w:i/>
                      </w:rPr>
                    </w:pPr>
                  </w:p>
                </w:txbxContent>
              </v:textbox>
              <w10:wrap anchorx="page" anchory="page"/>
            </v:shape>
          </w:pict>
        </mc:Fallback>
      </mc:AlternateContent>
    </w:r>
    <w:r w:rsidR="008F0E54">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BF27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EE61"/>
      </v:shape>
    </w:pict>
  </w:numPicBullet>
  <w:abstractNum w:abstractNumId="0" w15:restartNumberingAfterBreak="0">
    <w:nsid w:val="00000001"/>
    <w:multiLevelType w:val="hybridMultilevel"/>
    <w:tmpl w:val="00000001"/>
    <w:lvl w:ilvl="0" w:tplc="E6283FB0">
      <w:start w:val="1"/>
      <w:numFmt w:val="bullet"/>
      <w:lvlText w:val=""/>
      <w:lvlJc w:val="left"/>
      <w:pPr>
        <w:ind w:left="720" w:hanging="360"/>
      </w:pPr>
    </w:lvl>
    <w:lvl w:ilvl="1" w:tplc="93F48DAE">
      <w:numFmt w:val="decimal"/>
      <w:lvlText w:val=""/>
      <w:lvlJc w:val="left"/>
    </w:lvl>
    <w:lvl w:ilvl="2" w:tplc="DA966B1C">
      <w:numFmt w:val="decimal"/>
      <w:lvlText w:val=""/>
      <w:lvlJc w:val="left"/>
    </w:lvl>
    <w:lvl w:ilvl="3" w:tplc="9594CC92">
      <w:numFmt w:val="decimal"/>
      <w:lvlText w:val=""/>
      <w:lvlJc w:val="left"/>
    </w:lvl>
    <w:lvl w:ilvl="4" w:tplc="9A9CC068">
      <w:numFmt w:val="decimal"/>
      <w:lvlText w:val=""/>
      <w:lvlJc w:val="left"/>
    </w:lvl>
    <w:lvl w:ilvl="5" w:tplc="DAD831E2">
      <w:numFmt w:val="decimal"/>
      <w:lvlText w:val=""/>
      <w:lvlJc w:val="left"/>
    </w:lvl>
    <w:lvl w:ilvl="6" w:tplc="32D6A232">
      <w:numFmt w:val="decimal"/>
      <w:lvlText w:val=""/>
      <w:lvlJc w:val="left"/>
    </w:lvl>
    <w:lvl w:ilvl="7" w:tplc="09042AEA">
      <w:numFmt w:val="decimal"/>
      <w:lvlText w:val=""/>
      <w:lvlJc w:val="left"/>
    </w:lvl>
    <w:lvl w:ilvl="8" w:tplc="D7766D6A">
      <w:numFmt w:val="decimal"/>
      <w:lvlText w:val=""/>
      <w:lvlJc w:val="left"/>
    </w:lvl>
  </w:abstractNum>
  <w:abstractNum w:abstractNumId="1" w15:restartNumberingAfterBreak="0">
    <w:nsid w:val="00000003"/>
    <w:multiLevelType w:val="hybridMultilevel"/>
    <w:tmpl w:val="57D647E2"/>
    <w:lvl w:ilvl="0" w:tplc="F808F5CE">
      <w:start w:val="1"/>
      <w:numFmt w:val="bullet"/>
      <w:lvlText w:val="-"/>
      <w:lvlJc w:val="left"/>
      <w:pPr>
        <w:ind w:left="720" w:hanging="360"/>
      </w:pPr>
      <w:rPr>
        <w:rFonts w:ascii="Times New Roman" w:eastAsia="Calibri" w:hAnsi="Times New Roman" w:cs="Times New Roman" w:hint="default"/>
      </w:rPr>
    </w:lvl>
    <w:lvl w:ilvl="1" w:tplc="A8DA4D4C" w:tentative="1">
      <w:start w:val="1"/>
      <w:numFmt w:val="bullet"/>
      <w:lvlText w:val="o"/>
      <w:lvlJc w:val="left"/>
      <w:pPr>
        <w:ind w:left="1440" w:hanging="360"/>
      </w:pPr>
      <w:rPr>
        <w:rFonts w:ascii="Courier New" w:hAnsi="Courier New" w:cs="Courier New" w:hint="default"/>
      </w:rPr>
    </w:lvl>
    <w:lvl w:ilvl="2" w:tplc="BABAF248" w:tentative="1">
      <w:start w:val="1"/>
      <w:numFmt w:val="bullet"/>
      <w:lvlText w:val=""/>
      <w:lvlJc w:val="left"/>
      <w:pPr>
        <w:ind w:left="2160" w:hanging="360"/>
      </w:pPr>
      <w:rPr>
        <w:rFonts w:ascii="Wingdings" w:hAnsi="Wingdings" w:hint="default"/>
      </w:rPr>
    </w:lvl>
    <w:lvl w:ilvl="3" w:tplc="37DAF810" w:tentative="1">
      <w:start w:val="1"/>
      <w:numFmt w:val="bullet"/>
      <w:lvlText w:val=""/>
      <w:lvlJc w:val="left"/>
      <w:pPr>
        <w:ind w:left="2880" w:hanging="360"/>
      </w:pPr>
      <w:rPr>
        <w:rFonts w:ascii="Symbol" w:hAnsi="Symbol" w:hint="default"/>
      </w:rPr>
    </w:lvl>
    <w:lvl w:ilvl="4" w:tplc="3C4A5AC6" w:tentative="1">
      <w:start w:val="1"/>
      <w:numFmt w:val="bullet"/>
      <w:lvlText w:val="o"/>
      <w:lvlJc w:val="left"/>
      <w:pPr>
        <w:ind w:left="3600" w:hanging="360"/>
      </w:pPr>
      <w:rPr>
        <w:rFonts w:ascii="Courier New" w:hAnsi="Courier New" w:cs="Courier New" w:hint="default"/>
      </w:rPr>
    </w:lvl>
    <w:lvl w:ilvl="5" w:tplc="F68ACB92" w:tentative="1">
      <w:start w:val="1"/>
      <w:numFmt w:val="bullet"/>
      <w:lvlText w:val=""/>
      <w:lvlJc w:val="left"/>
      <w:pPr>
        <w:ind w:left="4320" w:hanging="360"/>
      </w:pPr>
      <w:rPr>
        <w:rFonts w:ascii="Wingdings" w:hAnsi="Wingdings" w:hint="default"/>
      </w:rPr>
    </w:lvl>
    <w:lvl w:ilvl="6" w:tplc="287EB234" w:tentative="1">
      <w:start w:val="1"/>
      <w:numFmt w:val="bullet"/>
      <w:lvlText w:val=""/>
      <w:lvlJc w:val="left"/>
      <w:pPr>
        <w:ind w:left="5040" w:hanging="360"/>
      </w:pPr>
      <w:rPr>
        <w:rFonts w:ascii="Symbol" w:hAnsi="Symbol" w:hint="default"/>
      </w:rPr>
    </w:lvl>
    <w:lvl w:ilvl="7" w:tplc="E34A137E" w:tentative="1">
      <w:start w:val="1"/>
      <w:numFmt w:val="bullet"/>
      <w:lvlText w:val="o"/>
      <w:lvlJc w:val="left"/>
      <w:pPr>
        <w:ind w:left="5760" w:hanging="360"/>
      </w:pPr>
      <w:rPr>
        <w:rFonts w:ascii="Courier New" w:hAnsi="Courier New" w:cs="Courier New" w:hint="default"/>
      </w:rPr>
    </w:lvl>
    <w:lvl w:ilvl="8" w:tplc="160C14A0" w:tentative="1">
      <w:start w:val="1"/>
      <w:numFmt w:val="bullet"/>
      <w:lvlText w:val=""/>
      <w:lvlJc w:val="left"/>
      <w:pPr>
        <w:ind w:left="6480" w:hanging="360"/>
      </w:pPr>
      <w:rPr>
        <w:rFonts w:ascii="Wingdings" w:hAnsi="Wingdings" w:hint="default"/>
      </w:rPr>
    </w:lvl>
  </w:abstractNum>
  <w:abstractNum w:abstractNumId="2" w15:restartNumberingAfterBreak="0">
    <w:nsid w:val="00000007"/>
    <w:multiLevelType w:val="multilevel"/>
    <w:tmpl w:val="3586BF1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 w15:restartNumberingAfterBreak="0">
    <w:nsid w:val="00000008"/>
    <w:multiLevelType w:val="multilevel"/>
    <w:tmpl w:val="ECA4F1D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0000014"/>
    <w:multiLevelType w:val="hybridMultilevel"/>
    <w:tmpl w:val="188E6FA8"/>
    <w:lvl w:ilvl="0" w:tplc="826A7D30">
      <w:start w:val="1"/>
      <w:numFmt w:val="bullet"/>
      <w:lvlText w:val="-"/>
      <w:lvlJc w:val="left"/>
      <w:pPr>
        <w:ind w:left="360" w:hanging="360"/>
      </w:pPr>
      <w:rPr>
        <w:rFonts w:ascii="Times New Roman" w:eastAsia="Calibri" w:hAnsi="Times New Roman" w:cs="Times New Roman" w:hint="default"/>
      </w:rPr>
    </w:lvl>
    <w:lvl w:ilvl="1" w:tplc="2F8C5B10" w:tentative="1">
      <w:start w:val="1"/>
      <w:numFmt w:val="bullet"/>
      <w:lvlText w:val="o"/>
      <w:lvlJc w:val="left"/>
      <w:pPr>
        <w:ind w:left="1080" w:hanging="360"/>
      </w:pPr>
      <w:rPr>
        <w:rFonts w:ascii="Courier New" w:hAnsi="Courier New" w:cs="Courier New" w:hint="default"/>
      </w:rPr>
    </w:lvl>
    <w:lvl w:ilvl="2" w:tplc="C8C25DC4" w:tentative="1">
      <w:start w:val="1"/>
      <w:numFmt w:val="bullet"/>
      <w:lvlText w:val=""/>
      <w:lvlJc w:val="left"/>
      <w:pPr>
        <w:ind w:left="1800" w:hanging="360"/>
      </w:pPr>
      <w:rPr>
        <w:rFonts w:ascii="Wingdings" w:hAnsi="Wingdings" w:hint="default"/>
      </w:rPr>
    </w:lvl>
    <w:lvl w:ilvl="3" w:tplc="96442582" w:tentative="1">
      <w:start w:val="1"/>
      <w:numFmt w:val="bullet"/>
      <w:lvlText w:val=""/>
      <w:lvlJc w:val="left"/>
      <w:pPr>
        <w:ind w:left="2520" w:hanging="360"/>
      </w:pPr>
      <w:rPr>
        <w:rFonts w:ascii="Symbol" w:hAnsi="Symbol" w:hint="default"/>
      </w:rPr>
    </w:lvl>
    <w:lvl w:ilvl="4" w:tplc="46FCA878" w:tentative="1">
      <w:start w:val="1"/>
      <w:numFmt w:val="bullet"/>
      <w:lvlText w:val="o"/>
      <w:lvlJc w:val="left"/>
      <w:pPr>
        <w:ind w:left="3240" w:hanging="360"/>
      </w:pPr>
      <w:rPr>
        <w:rFonts w:ascii="Courier New" w:hAnsi="Courier New" w:cs="Courier New" w:hint="default"/>
      </w:rPr>
    </w:lvl>
    <w:lvl w:ilvl="5" w:tplc="92A695AC" w:tentative="1">
      <w:start w:val="1"/>
      <w:numFmt w:val="bullet"/>
      <w:lvlText w:val=""/>
      <w:lvlJc w:val="left"/>
      <w:pPr>
        <w:ind w:left="3960" w:hanging="360"/>
      </w:pPr>
      <w:rPr>
        <w:rFonts w:ascii="Wingdings" w:hAnsi="Wingdings" w:hint="default"/>
      </w:rPr>
    </w:lvl>
    <w:lvl w:ilvl="6" w:tplc="63F2C4A8" w:tentative="1">
      <w:start w:val="1"/>
      <w:numFmt w:val="bullet"/>
      <w:lvlText w:val=""/>
      <w:lvlJc w:val="left"/>
      <w:pPr>
        <w:ind w:left="4680" w:hanging="360"/>
      </w:pPr>
      <w:rPr>
        <w:rFonts w:ascii="Symbol" w:hAnsi="Symbol" w:hint="default"/>
      </w:rPr>
    </w:lvl>
    <w:lvl w:ilvl="7" w:tplc="FA461582" w:tentative="1">
      <w:start w:val="1"/>
      <w:numFmt w:val="bullet"/>
      <w:lvlText w:val="o"/>
      <w:lvlJc w:val="left"/>
      <w:pPr>
        <w:ind w:left="5400" w:hanging="360"/>
      </w:pPr>
      <w:rPr>
        <w:rFonts w:ascii="Courier New" w:hAnsi="Courier New" w:cs="Courier New" w:hint="default"/>
      </w:rPr>
    </w:lvl>
    <w:lvl w:ilvl="8" w:tplc="5B6A644A" w:tentative="1">
      <w:start w:val="1"/>
      <w:numFmt w:val="bullet"/>
      <w:lvlText w:val=""/>
      <w:lvlJc w:val="left"/>
      <w:pPr>
        <w:ind w:left="6120" w:hanging="360"/>
      </w:pPr>
      <w:rPr>
        <w:rFonts w:ascii="Wingdings" w:hAnsi="Wingdings" w:hint="default"/>
      </w:rPr>
    </w:lvl>
  </w:abstractNum>
  <w:abstractNum w:abstractNumId="5" w15:restartNumberingAfterBreak="0">
    <w:nsid w:val="0000006D"/>
    <w:multiLevelType w:val="hybridMultilevel"/>
    <w:tmpl w:val="164A5E6A"/>
    <w:lvl w:ilvl="0" w:tplc="DC509EEE">
      <w:start w:val="1"/>
      <w:numFmt w:val="bullet"/>
      <w:lvlText w:val="-"/>
      <w:lvlJc w:val="left"/>
      <w:pPr>
        <w:ind w:left="360" w:hanging="360"/>
      </w:pPr>
      <w:rPr>
        <w:rFonts w:ascii="Times New Roman" w:eastAsia="Calibri" w:hAnsi="Times New Roman" w:cs="Times New Roman" w:hint="default"/>
      </w:rPr>
    </w:lvl>
    <w:lvl w:ilvl="1" w:tplc="909C3254">
      <w:start w:val="1"/>
      <w:numFmt w:val="bullet"/>
      <w:lvlText w:val="o"/>
      <w:lvlJc w:val="left"/>
      <w:pPr>
        <w:ind w:left="873" w:hanging="360"/>
      </w:pPr>
      <w:rPr>
        <w:rFonts w:ascii="Courier New" w:hAnsi="Courier New" w:cs="Courier New" w:hint="default"/>
      </w:rPr>
    </w:lvl>
    <w:lvl w:ilvl="2" w:tplc="1792B6DC">
      <w:start w:val="1"/>
      <w:numFmt w:val="bullet"/>
      <w:lvlText w:val=""/>
      <w:lvlJc w:val="left"/>
      <w:pPr>
        <w:ind w:left="1593" w:hanging="360"/>
      </w:pPr>
      <w:rPr>
        <w:rFonts w:ascii="Wingdings" w:hAnsi="Wingdings" w:hint="default"/>
      </w:rPr>
    </w:lvl>
    <w:lvl w:ilvl="3" w:tplc="9E022556" w:tentative="1">
      <w:start w:val="1"/>
      <w:numFmt w:val="bullet"/>
      <w:lvlText w:val=""/>
      <w:lvlJc w:val="left"/>
      <w:pPr>
        <w:ind w:left="2313" w:hanging="360"/>
      </w:pPr>
      <w:rPr>
        <w:rFonts w:ascii="Symbol" w:hAnsi="Symbol" w:hint="default"/>
      </w:rPr>
    </w:lvl>
    <w:lvl w:ilvl="4" w:tplc="BCBAC326" w:tentative="1">
      <w:start w:val="1"/>
      <w:numFmt w:val="bullet"/>
      <w:lvlText w:val="o"/>
      <w:lvlJc w:val="left"/>
      <w:pPr>
        <w:ind w:left="3033" w:hanging="360"/>
      </w:pPr>
      <w:rPr>
        <w:rFonts w:ascii="Courier New" w:hAnsi="Courier New" w:cs="Courier New" w:hint="default"/>
      </w:rPr>
    </w:lvl>
    <w:lvl w:ilvl="5" w:tplc="1CFA091C" w:tentative="1">
      <w:start w:val="1"/>
      <w:numFmt w:val="bullet"/>
      <w:lvlText w:val=""/>
      <w:lvlJc w:val="left"/>
      <w:pPr>
        <w:ind w:left="3753" w:hanging="360"/>
      </w:pPr>
      <w:rPr>
        <w:rFonts w:ascii="Wingdings" w:hAnsi="Wingdings" w:hint="default"/>
      </w:rPr>
    </w:lvl>
    <w:lvl w:ilvl="6" w:tplc="C5C23950" w:tentative="1">
      <w:start w:val="1"/>
      <w:numFmt w:val="bullet"/>
      <w:lvlText w:val=""/>
      <w:lvlJc w:val="left"/>
      <w:pPr>
        <w:ind w:left="4473" w:hanging="360"/>
      </w:pPr>
      <w:rPr>
        <w:rFonts w:ascii="Symbol" w:hAnsi="Symbol" w:hint="default"/>
      </w:rPr>
    </w:lvl>
    <w:lvl w:ilvl="7" w:tplc="09EAA968" w:tentative="1">
      <w:start w:val="1"/>
      <w:numFmt w:val="bullet"/>
      <w:lvlText w:val="o"/>
      <w:lvlJc w:val="left"/>
      <w:pPr>
        <w:ind w:left="5193" w:hanging="360"/>
      </w:pPr>
      <w:rPr>
        <w:rFonts w:ascii="Courier New" w:hAnsi="Courier New" w:cs="Courier New" w:hint="default"/>
      </w:rPr>
    </w:lvl>
    <w:lvl w:ilvl="8" w:tplc="AFC46D6E" w:tentative="1">
      <w:start w:val="1"/>
      <w:numFmt w:val="bullet"/>
      <w:lvlText w:val=""/>
      <w:lvlJc w:val="left"/>
      <w:pPr>
        <w:ind w:left="5913" w:hanging="360"/>
      </w:pPr>
      <w:rPr>
        <w:rFonts w:ascii="Wingdings" w:hAnsi="Wingdings" w:hint="default"/>
      </w:rPr>
    </w:lvl>
  </w:abstractNum>
  <w:abstractNum w:abstractNumId="6" w15:restartNumberingAfterBreak="0">
    <w:nsid w:val="0000010E"/>
    <w:multiLevelType w:val="hybridMultilevel"/>
    <w:tmpl w:val="5C768EF0"/>
    <w:lvl w:ilvl="0" w:tplc="30604964">
      <w:start w:val="1"/>
      <w:numFmt w:val="bullet"/>
      <w:lvlText w:val=""/>
      <w:lvlJc w:val="left"/>
      <w:pPr>
        <w:ind w:left="360" w:hanging="360"/>
      </w:pPr>
      <w:rPr>
        <w:rFonts w:ascii="Symbol" w:hAnsi="Symbol" w:hint="default"/>
      </w:rPr>
    </w:lvl>
    <w:lvl w:ilvl="1" w:tplc="1396B12A">
      <w:start w:val="1"/>
      <w:numFmt w:val="bullet"/>
      <w:lvlText w:val="o"/>
      <w:lvlJc w:val="left"/>
      <w:pPr>
        <w:ind w:left="1080" w:hanging="360"/>
      </w:pPr>
      <w:rPr>
        <w:rFonts w:ascii="Courier New" w:hAnsi="Courier New" w:cs="Courier New" w:hint="default"/>
      </w:rPr>
    </w:lvl>
    <w:lvl w:ilvl="2" w:tplc="17009E38">
      <w:start w:val="1"/>
      <w:numFmt w:val="bullet"/>
      <w:lvlText w:val=""/>
      <w:lvlJc w:val="left"/>
      <w:pPr>
        <w:ind w:left="1800" w:hanging="360"/>
      </w:pPr>
      <w:rPr>
        <w:rFonts w:ascii="Wingdings" w:hAnsi="Wingdings" w:hint="default"/>
      </w:rPr>
    </w:lvl>
    <w:lvl w:ilvl="3" w:tplc="7488160E">
      <w:start w:val="1"/>
      <w:numFmt w:val="bullet"/>
      <w:lvlText w:val=""/>
      <w:lvlJc w:val="left"/>
      <w:pPr>
        <w:ind w:left="2520" w:hanging="360"/>
      </w:pPr>
      <w:rPr>
        <w:rFonts w:ascii="Symbol" w:hAnsi="Symbol" w:hint="default"/>
      </w:rPr>
    </w:lvl>
    <w:lvl w:ilvl="4" w:tplc="614043F2">
      <w:start w:val="1"/>
      <w:numFmt w:val="bullet"/>
      <w:lvlText w:val="o"/>
      <w:lvlJc w:val="left"/>
      <w:pPr>
        <w:ind w:left="3240" w:hanging="360"/>
      </w:pPr>
      <w:rPr>
        <w:rFonts w:ascii="Courier New" w:hAnsi="Courier New" w:cs="Courier New" w:hint="default"/>
      </w:rPr>
    </w:lvl>
    <w:lvl w:ilvl="5" w:tplc="1AC2E41C">
      <w:start w:val="1"/>
      <w:numFmt w:val="bullet"/>
      <w:lvlText w:val=""/>
      <w:lvlJc w:val="left"/>
      <w:pPr>
        <w:ind w:left="3960" w:hanging="360"/>
      </w:pPr>
      <w:rPr>
        <w:rFonts w:ascii="Wingdings" w:hAnsi="Wingdings" w:hint="default"/>
      </w:rPr>
    </w:lvl>
    <w:lvl w:ilvl="6" w:tplc="C330B658">
      <w:start w:val="1"/>
      <w:numFmt w:val="bullet"/>
      <w:lvlText w:val=""/>
      <w:lvlJc w:val="left"/>
      <w:pPr>
        <w:ind w:left="4680" w:hanging="360"/>
      </w:pPr>
      <w:rPr>
        <w:rFonts w:ascii="Symbol" w:hAnsi="Symbol" w:hint="default"/>
      </w:rPr>
    </w:lvl>
    <w:lvl w:ilvl="7" w:tplc="E0802FA6">
      <w:start w:val="1"/>
      <w:numFmt w:val="bullet"/>
      <w:lvlText w:val="o"/>
      <w:lvlJc w:val="left"/>
      <w:pPr>
        <w:ind w:left="5400" w:hanging="360"/>
      </w:pPr>
      <w:rPr>
        <w:rFonts w:ascii="Courier New" w:hAnsi="Courier New" w:cs="Courier New" w:hint="default"/>
      </w:rPr>
    </w:lvl>
    <w:lvl w:ilvl="8" w:tplc="55D6645C">
      <w:start w:val="1"/>
      <w:numFmt w:val="bullet"/>
      <w:lvlText w:val=""/>
      <w:lvlJc w:val="left"/>
      <w:pPr>
        <w:ind w:left="6120" w:hanging="360"/>
      </w:pPr>
      <w:rPr>
        <w:rFonts w:ascii="Wingdings" w:hAnsi="Wingdings" w:hint="default"/>
      </w:rPr>
    </w:lvl>
  </w:abstractNum>
  <w:abstractNum w:abstractNumId="7" w15:restartNumberingAfterBreak="0">
    <w:nsid w:val="01647BDD"/>
    <w:multiLevelType w:val="hybridMultilevel"/>
    <w:tmpl w:val="2D66E8B0"/>
    <w:lvl w:ilvl="0" w:tplc="5B24F020">
      <w:start w:val="1"/>
      <w:numFmt w:val="decimal"/>
      <w:lvlText w:val="%1-"/>
      <w:lvlJc w:val="left"/>
      <w:pPr>
        <w:ind w:left="720" w:hanging="360"/>
      </w:pPr>
      <w:rPr>
        <w:rFonts w:hint="default"/>
      </w:rPr>
    </w:lvl>
    <w:lvl w:ilvl="1" w:tplc="A53C58F0" w:tentative="1">
      <w:start w:val="1"/>
      <w:numFmt w:val="lowerLetter"/>
      <w:lvlText w:val="%2."/>
      <w:lvlJc w:val="left"/>
      <w:pPr>
        <w:ind w:left="1440" w:hanging="360"/>
      </w:pPr>
    </w:lvl>
    <w:lvl w:ilvl="2" w:tplc="5D108B86" w:tentative="1">
      <w:start w:val="1"/>
      <w:numFmt w:val="lowerRoman"/>
      <w:lvlText w:val="%3."/>
      <w:lvlJc w:val="right"/>
      <w:pPr>
        <w:ind w:left="2160" w:hanging="180"/>
      </w:pPr>
    </w:lvl>
    <w:lvl w:ilvl="3" w:tplc="3BFCAF9A" w:tentative="1">
      <w:start w:val="1"/>
      <w:numFmt w:val="decimal"/>
      <w:lvlText w:val="%4."/>
      <w:lvlJc w:val="left"/>
      <w:pPr>
        <w:ind w:left="2880" w:hanging="360"/>
      </w:pPr>
    </w:lvl>
    <w:lvl w:ilvl="4" w:tplc="19D2D70A" w:tentative="1">
      <w:start w:val="1"/>
      <w:numFmt w:val="lowerLetter"/>
      <w:lvlText w:val="%5."/>
      <w:lvlJc w:val="left"/>
      <w:pPr>
        <w:ind w:left="3600" w:hanging="360"/>
      </w:pPr>
    </w:lvl>
    <w:lvl w:ilvl="5" w:tplc="5926832A" w:tentative="1">
      <w:start w:val="1"/>
      <w:numFmt w:val="lowerRoman"/>
      <w:lvlText w:val="%6."/>
      <w:lvlJc w:val="right"/>
      <w:pPr>
        <w:ind w:left="4320" w:hanging="180"/>
      </w:pPr>
    </w:lvl>
    <w:lvl w:ilvl="6" w:tplc="7C54FE0E" w:tentative="1">
      <w:start w:val="1"/>
      <w:numFmt w:val="decimal"/>
      <w:lvlText w:val="%7."/>
      <w:lvlJc w:val="left"/>
      <w:pPr>
        <w:ind w:left="5040" w:hanging="360"/>
      </w:pPr>
    </w:lvl>
    <w:lvl w:ilvl="7" w:tplc="0CD48CF6" w:tentative="1">
      <w:start w:val="1"/>
      <w:numFmt w:val="lowerLetter"/>
      <w:lvlText w:val="%8."/>
      <w:lvlJc w:val="left"/>
      <w:pPr>
        <w:ind w:left="5760" w:hanging="360"/>
      </w:pPr>
    </w:lvl>
    <w:lvl w:ilvl="8" w:tplc="334EBC3A" w:tentative="1">
      <w:start w:val="1"/>
      <w:numFmt w:val="lowerRoman"/>
      <w:lvlText w:val="%9."/>
      <w:lvlJc w:val="right"/>
      <w:pPr>
        <w:ind w:left="6480" w:hanging="180"/>
      </w:pPr>
    </w:lvl>
  </w:abstractNum>
  <w:abstractNum w:abstractNumId="8" w15:restartNumberingAfterBreak="0">
    <w:nsid w:val="021052B9"/>
    <w:multiLevelType w:val="hybridMultilevel"/>
    <w:tmpl w:val="88242C02"/>
    <w:lvl w:ilvl="0" w:tplc="CB3AF6F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2D141E"/>
    <w:multiLevelType w:val="hybridMultilevel"/>
    <w:tmpl w:val="B9D235AA"/>
    <w:lvl w:ilvl="0" w:tplc="29CCE7AE">
      <w:start w:val="6"/>
      <w:numFmt w:val="bullet"/>
      <w:lvlText w:val="-"/>
      <w:lvlJc w:val="left"/>
      <w:pPr>
        <w:ind w:left="1068" w:hanging="360"/>
      </w:pPr>
      <w:rPr>
        <w:rFonts w:ascii="Times New Roman" w:eastAsiaTheme="minorHAnsi" w:hAnsi="Times New Roman" w:cs="Times New Roman" w:hint="default"/>
      </w:rPr>
    </w:lvl>
    <w:lvl w:ilvl="1" w:tplc="96EE9B94" w:tentative="1">
      <w:start w:val="1"/>
      <w:numFmt w:val="bullet"/>
      <w:lvlText w:val="o"/>
      <w:lvlJc w:val="left"/>
      <w:pPr>
        <w:ind w:left="1788" w:hanging="360"/>
      </w:pPr>
      <w:rPr>
        <w:rFonts w:ascii="Courier New" w:hAnsi="Courier New" w:cs="Courier New" w:hint="default"/>
      </w:rPr>
    </w:lvl>
    <w:lvl w:ilvl="2" w:tplc="1C74FB06" w:tentative="1">
      <w:start w:val="1"/>
      <w:numFmt w:val="bullet"/>
      <w:lvlText w:val=""/>
      <w:lvlJc w:val="left"/>
      <w:pPr>
        <w:ind w:left="2508" w:hanging="360"/>
      </w:pPr>
      <w:rPr>
        <w:rFonts w:ascii="Wingdings" w:hAnsi="Wingdings" w:hint="default"/>
      </w:rPr>
    </w:lvl>
    <w:lvl w:ilvl="3" w:tplc="CC101A9E" w:tentative="1">
      <w:start w:val="1"/>
      <w:numFmt w:val="bullet"/>
      <w:lvlText w:val=""/>
      <w:lvlJc w:val="left"/>
      <w:pPr>
        <w:ind w:left="3228" w:hanging="360"/>
      </w:pPr>
      <w:rPr>
        <w:rFonts w:ascii="Symbol" w:hAnsi="Symbol" w:hint="default"/>
      </w:rPr>
    </w:lvl>
    <w:lvl w:ilvl="4" w:tplc="9F32AF46" w:tentative="1">
      <w:start w:val="1"/>
      <w:numFmt w:val="bullet"/>
      <w:lvlText w:val="o"/>
      <w:lvlJc w:val="left"/>
      <w:pPr>
        <w:ind w:left="3948" w:hanging="360"/>
      </w:pPr>
      <w:rPr>
        <w:rFonts w:ascii="Courier New" w:hAnsi="Courier New" w:cs="Courier New" w:hint="default"/>
      </w:rPr>
    </w:lvl>
    <w:lvl w:ilvl="5" w:tplc="C6309544" w:tentative="1">
      <w:start w:val="1"/>
      <w:numFmt w:val="bullet"/>
      <w:lvlText w:val=""/>
      <w:lvlJc w:val="left"/>
      <w:pPr>
        <w:ind w:left="4668" w:hanging="360"/>
      </w:pPr>
      <w:rPr>
        <w:rFonts w:ascii="Wingdings" w:hAnsi="Wingdings" w:hint="default"/>
      </w:rPr>
    </w:lvl>
    <w:lvl w:ilvl="6" w:tplc="C478A366" w:tentative="1">
      <w:start w:val="1"/>
      <w:numFmt w:val="bullet"/>
      <w:lvlText w:val=""/>
      <w:lvlJc w:val="left"/>
      <w:pPr>
        <w:ind w:left="5388" w:hanging="360"/>
      </w:pPr>
      <w:rPr>
        <w:rFonts w:ascii="Symbol" w:hAnsi="Symbol" w:hint="default"/>
      </w:rPr>
    </w:lvl>
    <w:lvl w:ilvl="7" w:tplc="02942FB8" w:tentative="1">
      <w:start w:val="1"/>
      <w:numFmt w:val="bullet"/>
      <w:lvlText w:val="o"/>
      <w:lvlJc w:val="left"/>
      <w:pPr>
        <w:ind w:left="6108" w:hanging="360"/>
      </w:pPr>
      <w:rPr>
        <w:rFonts w:ascii="Courier New" w:hAnsi="Courier New" w:cs="Courier New" w:hint="default"/>
      </w:rPr>
    </w:lvl>
    <w:lvl w:ilvl="8" w:tplc="FAA29D72" w:tentative="1">
      <w:start w:val="1"/>
      <w:numFmt w:val="bullet"/>
      <w:lvlText w:val=""/>
      <w:lvlJc w:val="left"/>
      <w:pPr>
        <w:ind w:left="6828" w:hanging="360"/>
      </w:pPr>
      <w:rPr>
        <w:rFonts w:ascii="Wingdings" w:hAnsi="Wingdings" w:hint="default"/>
      </w:rPr>
    </w:lvl>
  </w:abstractNum>
  <w:abstractNum w:abstractNumId="10" w15:restartNumberingAfterBreak="0">
    <w:nsid w:val="0251181E"/>
    <w:multiLevelType w:val="multilevel"/>
    <w:tmpl w:val="842625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D43666"/>
    <w:multiLevelType w:val="multilevel"/>
    <w:tmpl w:val="6F884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3BC01E0"/>
    <w:multiLevelType w:val="hybridMultilevel"/>
    <w:tmpl w:val="27F2D1F6"/>
    <w:lvl w:ilvl="0" w:tplc="2C541C2C">
      <w:start w:val="1"/>
      <w:numFmt w:val="bullet"/>
      <w:lvlText w:val=""/>
      <w:lvlJc w:val="left"/>
      <w:pPr>
        <w:ind w:left="720" w:hanging="360"/>
      </w:pPr>
      <w:rPr>
        <w:rFonts w:ascii="Wingdings" w:hAnsi="Wingdings" w:hint="default"/>
      </w:rPr>
    </w:lvl>
    <w:lvl w:ilvl="1" w:tplc="0EECC68A" w:tentative="1">
      <w:start w:val="1"/>
      <w:numFmt w:val="bullet"/>
      <w:lvlText w:val="o"/>
      <w:lvlJc w:val="left"/>
      <w:pPr>
        <w:ind w:left="1440" w:hanging="360"/>
      </w:pPr>
      <w:rPr>
        <w:rFonts w:ascii="Courier New" w:hAnsi="Courier New" w:cs="Courier New" w:hint="default"/>
      </w:rPr>
    </w:lvl>
    <w:lvl w:ilvl="2" w:tplc="27961F90" w:tentative="1">
      <w:start w:val="1"/>
      <w:numFmt w:val="bullet"/>
      <w:lvlText w:val=""/>
      <w:lvlJc w:val="left"/>
      <w:pPr>
        <w:ind w:left="2160" w:hanging="360"/>
      </w:pPr>
      <w:rPr>
        <w:rFonts w:ascii="Wingdings" w:hAnsi="Wingdings" w:hint="default"/>
      </w:rPr>
    </w:lvl>
    <w:lvl w:ilvl="3" w:tplc="43E28FE4" w:tentative="1">
      <w:start w:val="1"/>
      <w:numFmt w:val="bullet"/>
      <w:lvlText w:val=""/>
      <w:lvlJc w:val="left"/>
      <w:pPr>
        <w:ind w:left="2880" w:hanging="360"/>
      </w:pPr>
      <w:rPr>
        <w:rFonts w:ascii="Symbol" w:hAnsi="Symbol" w:hint="default"/>
      </w:rPr>
    </w:lvl>
    <w:lvl w:ilvl="4" w:tplc="A26A6B4C" w:tentative="1">
      <w:start w:val="1"/>
      <w:numFmt w:val="bullet"/>
      <w:lvlText w:val="o"/>
      <w:lvlJc w:val="left"/>
      <w:pPr>
        <w:ind w:left="3600" w:hanging="360"/>
      </w:pPr>
      <w:rPr>
        <w:rFonts w:ascii="Courier New" w:hAnsi="Courier New" w:cs="Courier New" w:hint="default"/>
      </w:rPr>
    </w:lvl>
    <w:lvl w:ilvl="5" w:tplc="D2C43866" w:tentative="1">
      <w:start w:val="1"/>
      <w:numFmt w:val="bullet"/>
      <w:lvlText w:val=""/>
      <w:lvlJc w:val="left"/>
      <w:pPr>
        <w:ind w:left="4320" w:hanging="360"/>
      </w:pPr>
      <w:rPr>
        <w:rFonts w:ascii="Wingdings" w:hAnsi="Wingdings" w:hint="default"/>
      </w:rPr>
    </w:lvl>
    <w:lvl w:ilvl="6" w:tplc="F8928456" w:tentative="1">
      <w:start w:val="1"/>
      <w:numFmt w:val="bullet"/>
      <w:lvlText w:val=""/>
      <w:lvlJc w:val="left"/>
      <w:pPr>
        <w:ind w:left="5040" w:hanging="360"/>
      </w:pPr>
      <w:rPr>
        <w:rFonts w:ascii="Symbol" w:hAnsi="Symbol" w:hint="default"/>
      </w:rPr>
    </w:lvl>
    <w:lvl w:ilvl="7" w:tplc="46103894" w:tentative="1">
      <w:start w:val="1"/>
      <w:numFmt w:val="bullet"/>
      <w:lvlText w:val="o"/>
      <w:lvlJc w:val="left"/>
      <w:pPr>
        <w:ind w:left="5760" w:hanging="360"/>
      </w:pPr>
      <w:rPr>
        <w:rFonts w:ascii="Courier New" w:hAnsi="Courier New" w:cs="Courier New" w:hint="default"/>
      </w:rPr>
    </w:lvl>
    <w:lvl w:ilvl="8" w:tplc="E8E670C4" w:tentative="1">
      <w:start w:val="1"/>
      <w:numFmt w:val="bullet"/>
      <w:lvlText w:val=""/>
      <w:lvlJc w:val="left"/>
      <w:pPr>
        <w:ind w:left="6480" w:hanging="360"/>
      </w:pPr>
      <w:rPr>
        <w:rFonts w:ascii="Wingdings" w:hAnsi="Wingdings" w:hint="default"/>
      </w:rPr>
    </w:lvl>
  </w:abstractNum>
  <w:abstractNum w:abstractNumId="13" w15:restartNumberingAfterBreak="0">
    <w:nsid w:val="043B086D"/>
    <w:multiLevelType w:val="multilevel"/>
    <w:tmpl w:val="E7703DEA"/>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53D28CF"/>
    <w:multiLevelType w:val="hybridMultilevel"/>
    <w:tmpl w:val="B532C25E"/>
    <w:lvl w:ilvl="0" w:tplc="237E0BB6">
      <w:start w:val="1"/>
      <w:numFmt w:val="bullet"/>
      <w:lvlText w:val="-"/>
      <w:lvlJc w:val="left"/>
      <w:pPr>
        <w:ind w:left="720" w:hanging="360"/>
      </w:pPr>
      <w:rPr>
        <w:rFonts w:ascii="Times New Roman" w:eastAsia="Calibri" w:hAnsi="Times New Roman" w:cs="Times New Roman" w:hint="default"/>
      </w:rPr>
    </w:lvl>
    <w:lvl w:ilvl="1" w:tplc="C33ED782" w:tentative="1">
      <w:start w:val="1"/>
      <w:numFmt w:val="bullet"/>
      <w:lvlText w:val="o"/>
      <w:lvlJc w:val="left"/>
      <w:pPr>
        <w:ind w:left="1440" w:hanging="360"/>
      </w:pPr>
      <w:rPr>
        <w:rFonts w:ascii="Courier New" w:hAnsi="Courier New" w:cs="Courier New" w:hint="default"/>
      </w:rPr>
    </w:lvl>
    <w:lvl w:ilvl="2" w:tplc="38825EA0" w:tentative="1">
      <w:start w:val="1"/>
      <w:numFmt w:val="bullet"/>
      <w:lvlText w:val=""/>
      <w:lvlJc w:val="left"/>
      <w:pPr>
        <w:ind w:left="2160" w:hanging="360"/>
      </w:pPr>
      <w:rPr>
        <w:rFonts w:ascii="Wingdings" w:hAnsi="Wingdings" w:hint="default"/>
      </w:rPr>
    </w:lvl>
    <w:lvl w:ilvl="3" w:tplc="B330E9A4" w:tentative="1">
      <w:start w:val="1"/>
      <w:numFmt w:val="bullet"/>
      <w:lvlText w:val=""/>
      <w:lvlJc w:val="left"/>
      <w:pPr>
        <w:ind w:left="2880" w:hanging="360"/>
      </w:pPr>
      <w:rPr>
        <w:rFonts w:ascii="Symbol" w:hAnsi="Symbol" w:hint="default"/>
      </w:rPr>
    </w:lvl>
    <w:lvl w:ilvl="4" w:tplc="D6447364" w:tentative="1">
      <w:start w:val="1"/>
      <w:numFmt w:val="bullet"/>
      <w:lvlText w:val="o"/>
      <w:lvlJc w:val="left"/>
      <w:pPr>
        <w:ind w:left="3600" w:hanging="360"/>
      </w:pPr>
      <w:rPr>
        <w:rFonts w:ascii="Courier New" w:hAnsi="Courier New" w:cs="Courier New" w:hint="default"/>
      </w:rPr>
    </w:lvl>
    <w:lvl w:ilvl="5" w:tplc="32D20174" w:tentative="1">
      <w:start w:val="1"/>
      <w:numFmt w:val="bullet"/>
      <w:lvlText w:val=""/>
      <w:lvlJc w:val="left"/>
      <w:pPr>
        <w:ind w:left="4320" w:hanging="360"/>
      </w:pPr>
      <w:rPr>
        <w:rFonts w:ascii="Wingdings" w:hAnsi="Wingdings" w:hint="default"/>
      </w:rPr>
    </w:lvl>
    <w:lvl w:ilvl="6" w:tplc="F758AFB0" w:tentative="1">
      <w:start w:val="1"/>
      <w:numFmt w:val="bullet"/>
      <w:lvlText w:val=""/>
      <w:lvlJc w:val="left"/>
      <w:pPr>
        <w:ind w:left="5040" w:hanging="360"/>
      </w:pPr>
      <w:rPr>
        <w:rFonts w:ascii="Symbol" w:hAnsi="Symbol" w:hint="default"/>
      </w:rPr>
    </w:lvl>
    <w:lvl w:ilvl="7" w:tplc="9182B5A6" w:tentative="1">
      <w:start w:val="1"/>
      <w:numFmt w:val="bullet"/>
      <w:lvlText w:val="o"/>
      <w:lvlJc w:val="left"/>
      <w:pPr>
        <w:ind w:left="5760" w:hanging="360"/>
      </w:pPr>
      <w:rPr>
        <w:rFonts w:ascii="Courier New" w:hAnsi="Courier New" w:cs="Courier New" w:hint="default"/>
      </w:rPr>
    </w:lvl>
    <w:lvl w:ilvl="8" w:tplc="41F854BA" w:tentative="1">
      <w:start w:val="1"/>
      <w:numFmt w:val="bullet"/>
      <w:lvlText w:val=""/>
      <w:lvlJc w:val="left"/>
      <w:pPr>
        <w:ind w:left="6480" w:hanging="360"/>
      </w:pPr>
      <w:rPr>
        <w:rFonts w:ascii="Wingdings" w:hAnsi="Wingdings" w:hint="default"/>
      </w:rPr>
    </w:lvl>
  </w:abstractNum>
  <w:abstractNum w:abstractNumId="15" w15:restartNumberingAfterBreak="0">
    <w:nsid w:val="056B7EC2"/>
    <w:multiLevelType w:val="hybridMultilevel"/>
    <w:tmpl w:val="39EA3AD6"/>
    <w:lvl w:ilvl="0" w:tplc="5B14755C">
      <w:start w:val="1"/>
      <w:numFmt w:val="bullet"/>
      <w:lvlText w:val=""/>
      <w:lvlJc w:val="left"/>
      <w:pPr>
        <w:ind w:left="720" w:hanging="360"/>
      </w:pPr>
      <w:rPr>
        <w:rFonts w:ascii="Symbol" w:hAnsi="Symbol" w:hint="default"/>
      </w:rPr>
    </w:lvl>
    <w:lvl w:ilvl="1" w:tplc="B05E97EA" w:tentative="1">
      <w:start w:val="1"/>
      <w:numFmt w:val="bullet"/>
      <w:lvlText w:val="o"/>
      <w:lvlJc w:val="left"/>
      <w:pPr>
        <w:ind w:left="1440" w:hanging="360"/>
      </w:pPr>
      <w:rPr>
        <w:rFonts w:ascii="Courier New" w:hAnsi="Courier New" w:cs="Courier New" w:hint="default"/>
      </w:rPr>
    </w:lvl>
    <w:lvl w:ilvl="2" w:tplc="73143AC4" w:tentative="1">
      <w:start w:val="1"/>
      <w:numFmt w:val="bullet"/>
      <w:lvlText w:val=""/>
      <w:lvlJc w:val="left"/>
      <w:pPr>
        <w:ind w:left="2160" w:hanging="360"/>
      </w:pPr>
      <w:rPr>
        <w:rFonts w:ascii="Wingdings" w:hAnsi="Wingdings" w:hint="default"/>
      </w:rPr>
    </w:lvl>
    <w:lvl w:ilvl="3" w:tplc="B9FEF1BA" w:tentative="1">
      <w:start w:val="1"/>
      <w:numFmt w:val="bullet"/>
      <w:lvlText w:val=""/>
      <w:lvlJc w:val="left"/>
      <w:pPr>
        <w:ind w:left="2880" w:hanging="360"/>
      </w:pPr>
      <w:rPr>
        <w:rFonts w:ascii="Symbol" w:hAnsi="Symbol" w:hint="default"/>
      </w:rPr>
    </w:lvl>
    <w:lvl w:ilvl="4" w:tplc="0BBEE948" w:tentative="1">
      <w:start w:val="1"/>
      <w:numFmt w:val="bullet"/>
      <w:lvlText w:val="o"/>
      <w:lvlJc w:val="left"/>
      <w:pPr>
        <w:ind w:left="3600" w:hanging="360"/>
      </w:pPr>
      <w:rPr>
        <w:rFonts w:ascii="Courier New" w:hAnsi="Courier New" w:cs="Courier New" w:hint="default"/>
      </w:rPr>
    </w:lvl>
    <w:lvl w:ilvl="5" w:tplc="FB466446" w:tentative="1">
      <w:start w:val="1"/>
      <w:numFmt w:val="bullet"/>
      <w:lvlText w:val=""/>
      <w:lvlJc w:val="left"/>
      <w:pPr>
        <w:ind w:left="4320" w:hanging="360"/>
      </w:pPr>
      <w:rPr>
        <w:rFonts w:ascii="Wingdings" w:hAnsi="Wingdings" w:hint="default"/>
      </w:rPr>
    </w:lvl>
    <w:lvl w:ilvl="6" w:tplc="6FEC1984" w:tentative="1">
      <w:start w:val="1"/>
      <w:numFmt w:val="bullet"/>
      <w:lvlText w:val=""/>
      <w:lvlJc w:val="left"/>
      <w:pPr>
        <w:ind w:left="5040" w:hanging="360"/>
      </w:pPr>
      <w:rPr>
        <w:rFonts w:ascii="Symbol" w:hAnsi="Symbol" w:hint="default"/>
      </w:rPr>
    </w:lvl>
    <w:lvl w:ilvl="7" w:tplc="2430BA80" w:tentative="1">
      <w:start w:val="1"/>
      <w:numFmt w:val="bullet"/>
      <w:lvlText w:val="o"/>
      <w:lvlJc w:val="left"/>
      <w:pPr>
        <w:ind w:left="5760" w:hanging="360"/>
      </w:pPr>
      <w:rPr>
        <w:rFonts w:ascii="Courier New" w:hAnsi="Courier New" w:cs="Courier New" w:hint="default"/>
      </w:rPr>
    </w:lvl>
    <w:lvl w:ilvl="8" w:tplc="5D4ECCAE" w:tentative="1">
      <w:start w:val="1"/>
      <w:numFmt w:val="bullet"/>
      <w:lvlText w:val=""/>
      <w:lvlJc w:val="left"/>
      <w:pPr>
        <w:ind w:left="6480" w:hanging="360"/>
      </w:pPr>
      <w:rPr>
        <w:rFonts w:ascii="Wingdings" w:hAnsi="Wingdings" w:hint="default"/>
      </w:rPr>
    </w:lvl>
  </w:abstractNum>
  <w:abstractNum w:abstractNumId="16" w15:restartNumberingAfterBreak="0">
    <w:nsid w:val="05C86D23"/>
    <w:multiLevelType w:val="hybridMultilevel"/>
    <w:tmpl w:val="2E524D98"/>
    <w:lvl w:ilvl="0" w:tplc="E54888C0">
      <w:start w:val="1"/>
      <w:numFmt w:val="bullet"/>
      <w:lvlText w:val=""/>
      <w:lvlJc w:val="left"/>
      <w:pPr>
        <w:ind w:left="1080" w:hanging="360"/>
      </w:pPr>
      <w:rPr>
        <w:rFonts w:ascii="Wingdings" w:hAnsi="Wingdings" w:hint="default"/>
      </w:rPr>
    </w:lvl>
    <w:lvl w:ilvl="1" w:tplc="93C6A810" w:tentative="1">
      <w:start w:val="1"/>
      <w:numFmt w:val="bullet"/>
      <w:lvlText w:val="o"/>
      <w:lvlJc w:val="left"/>
      <w:pPr>
        <w:ind w:left="1800" w:hanging="360"/>
      </w:pPr>
      <w:rPr>
        <w:rFonts w:ascii="Courier New" w:hAnsi="Courier New" w:cs="Courier New" w:hint="default"/>
      </w:rPr>
    </w:lvl>
    <w:lvl w:ilvl="2" w:tplc="017E7E84" w:tentative="1">
      <w:start w:val="1"/>
      <w:numFmt w:val="bullet"/>
      <w:lvlText w:val=""/>
      <w:lvlJc w:val="left"/>
      <w:pPr>
        <w:ind w:left="2520" w:hanging="360"/>
      </w:pPr>
      <w:rPr>
        <w:rFonts w:ascii="Wingdings" w:hAnsi="Wingdings" w:hint="default"/>
      </w:rPr>
    </w:lvl>
    <w:lvl w:ilvl="3" w:tplc="1E1EEE20" w:tentative="1">
      <w:start w:val="1"/>
      <w:numFmt w:val="bullet"/>
      <w:lvlText w:val=""/>
      <w:lvlJc w:val="left"/>
      <w:pPr>
        <w:ind w:left="3240" w:hanging="360"/>
      </w:pPr>
      <w:rPr>
        <w:rFonts w:ascii="Symbol" w:hAnsi="Symbol" w:hint="default"/>
      </w:rPr>
    </w:lvl>
    <w:lvl w:ilvl="4" w:tplc="C57CBDD6" w:tentative="1">
      <w:start w:val="1"/>
      <w:numFmt w:val="bullet"/>
      <w:lvlText w:val="o"/>
      <w:lvlJc w:val="left"/>
      <w:pPr>
        <w:ind w:left="3960" w:hanging="360"/>
      </w:pPr>
      <w:rPr>
        <w:rFonts w:ascii="Courier New" w:hAnsi="Courier New" w:cs="Courier New" w:hint="default"/>
      </w:rPr>
    </w:lvl>
    <w:lvl w:ilvl="5" w:tplc="4DA083C4" w:tentative="1">
      <w:start w:val="1"/>
      <w:numFmt w:val="bullet"/>
      <w:lvlText w:val=""/>
      <w:lvlJc w:val="left"/>
      <w:pPr>
        <w:ind w:left="4680" w:hanging="360"/>
      </w:pPr>
      <w:rPr>
        <w:rFonts w:ascii="Wingdings" w:hAnsi="Wingdings" w:hint="default"/>
      </w:rPr>
    </w:lvl>
    <w:lvl w:ilvl="6" w:tplc="6832C596" w:tentative="1">
      <w:start w:val="1"/>
      <w:numFmt w:val="bullet"/>
      <w:lvlText w:val=""/>
      <w:lvlJc w:val="left"/>
      <w:pPr>
        <w:ind w:left="5400" w:hanging="360"/>
      </w:pPr>
      <w:rPr>
        <w:rFonts w:ascii="Symbol" w:hAnsi="Symbol" w:hint="default"/>
      </w:rPr>
    </w:lvl>
    <w:lvl w:ilvl="7" w:tplc="A9CC6ACA" w:tentative="1">
      <w:start w:val="1"/>
      <w:numFmt w:val="bullet"/>
      <w:lvlText w:val="o"/>
      <w:lvlJc w:val="left"/>
      <w:pPr>
        <w:ind w:left="6120" w:hanging="360"/>
      </w:pPr>
      <w:rPr>
        <w:rFonts w:ascii="Courier New" w:hAnsi="Courier New" w:cs="Courier New" w:hint="default"/>
      </w:rPr>
    </w:lvl>
    <w:lvl w:ilvl="8" w:tplc="25EC10F6" w:tentative="1">
      <w:start w:val="1"/>
      <w:numFmt w:val="bullet"/>
      <w:lvlText w:val=""/>
      <w:lvlJc w:val="left"/>
      <w:pPr>
        <w:ind w:left="6840" w:hanging="360"/>
      </w:pPr>
      <w:rPr>
        <w:rFonts w:ascii="Wingdings" w:hAnsi="Wingdings" w:hint="default"/>
      </w:rPr>
    </w:lvl>
  </w:abstractNum>
  <w:abstractNum w:abstractNumId="17" w15:restartNumberingAfterBreak="0">
    <w:nsid w:val="066D45BA"/>
    <w:multiLevelType w:val="hybridMultilevel"/>
    <w:tmpl w:val="4B16E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E815CD"/>
    <w:multiLevelType w:val="hybridMultilevel"/>
    <w:tmpl w:val="32C61EF0"/>
    <w:lvl w:ilvl="0" w:tplc="44E6B8CA">
      <w:start w:val="1"/>
      <w:numFmt w:val="bullet"/>
      <w:lvlText w:val=""/>
      <w:lvlJc w:val="left"/>
      <w:pPr>
        <w:ind w:left="720" w:hanging="360"/>
      </w:pPr>
      <w:rPr>
        <w:rFonts w:ascii="Symbol" w:hAnsi="Symbol" w:hint="default"/>
      </w:rPr>
    </w:lvl>
    <w:lvl w:ilvl="1" w:tplc="BDB2F822" w:tentative="1">
      <w:start w:val="1"/>
      <w:numFmt w:val="bullet"/>
      <w:lvlText w:val="o"/>
      <w:lvlJc w:val="left"/>
      <w:pPr>
        <w:ind w:left="1440" w:hanging="360"/>
      </w:pPr>
      <w:rPr>
        <w:rFonts w:ascii="Courier New" w:hAnsi="Courier New" w:cs="Courier New" w:hint="default"/>
      </w:rPr>
    </w:lvl>
    <w:lvl w:ilvl="2" w:tplc="BE30D5BA" w:tentative="1">
      <w:start w:val="1"/>
      <w:numFmt w:val="bullet"/>
      <w:lvlText w:val=""/>
      <w:lvlJc w:val="left"/>
      <w:pPr>
        <w:ind w:left="2160" w:hanging="360"/>
      </w:pPr>
      <w:rPr>
        <w:rFonts w:ascii="Wingdings" w:hAnsi="Wingdings" w:hint="default"/>
      </w:rPr>
    </w:lvl>
    <w:lvl w:ilvl="3" w:tplc="C0DEB334" w:tentative="1">
      <w:start w:val="1"/>
      <w:numFmt w:val="bullet"/>
      <w:lvlText w:val=""/>
      <w:lvlJc w:val="left"/>
      <w:pPr>
        <w:ind w:left="2880" w:hanging="360"/>
      </w:pPr>
      <w:rPr>
        <w:rFonts w:ascii="Symbol" w:hAnsi="Symbol" w:hint="default"/>
      </w:rPr>
    </w:lvl>
    <w:lvl w:ilvl="4" w:tplc="67FA6912" w:tentative="1">
      <w:start w:val="1"/>
      <w:numFmt w:val="bullet"/>
      <w:lvlText w:val="o"/>
      <w:lvlJc w:val="left"/>
      <w:pPr>
        <w:ind w:left="3600" w:hanging="360"/>
      </w:pPr>
      <w:rPr>
        <w:rFonts w:ascii="Courier New" w:hAnsi="Courier New" w:cs="Courier New" w:hint="default"/>
      </w:rPr>
    </w:lvl>
    <w:lvl w:ilvl="5" w:tplc="4D9CDD48" w:tentative="1">
      <w:start w:val="1"/>
      <w:numFmt w:val="bullet"/>
      <w:lvlText w:val=""/>
      <w:lvlJc w:val="left"/>
      <w:pPr>
        <w:ind w:left="4320" w:hanging="360"/>
      </w:pPr>
      <w:rPr>
        <w:rFonts w:ascii="Wingdings" w:hAnsi="Wingdings" w:hint="default"/>
      </w:rPr>
    </w:lvl>
    <w:lvl w:ilvl="6" w:tplc="D2EC4A80" w:tentative="1">
      <w:start w:val="1"/>
      <w:numFmt w:val="bullet"/>
      <w:lvlText w:val=""/>
      <w:lvlJc w:val="left"/>
      <w:pPr>
        <w:ind w:left="5040" w:hanging="360"/>
      </w:pPr>
      <w:rPr>
        <w:rFonts w:ascii="Symbol" w:hAnsi="Symbol" w:hint="default"/>
      </w:rPr>
    </w:lvl>
    <w:lvl w:ilvl="7" w:tplc="6F4C2C44" w:tentative="1">
      <w:start w:val="1"/>
      <w:numFmt w:val="bullet"/>
      <w:lvlText w:val="o"/>
      <w:lvlJc w:val="left"/>
      <w:pPr>
        <w:ind w:left="5760" w:hanging="360"/>
      </w:pPr>
      <w:rPr>
        <w:rFonts w:ascii="Courier New" w:hAnsi="Courier New" w:cs="Courier New" w:hint="default"/>
      </w:rPr>
    </w:lvl>
    <w:lvl w:ilvl="8" w:tplc="B712D658" w:tentative="1">
      <w:start w:val="1"/>
      <w:numFmt w:val="bullet"/>
      <w:lvlText w:val=""/>
      <w:lvlJc w:val="left"/>
      <w:pPr>
        <w:ind w:left="6480" w:hanging="360"/>
      </w:pPr>
      <w:rPr>
        <w:rFonts w:ascii="Wingdings" w:hAnsi="Wingdings" w:hint="default"/>
      </w:rPr>
    </w:lvl>
  </w:abstractNum>
  <w:abstractNum w:abstractNumId="19" w15:restartNumberingAfterBreak="0">
    <w:nsid w:val="07364DA5"/>
    <w:multiLevelType w:val="multilevel"/>
    <w:tmpl w:val="09B0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7A0713"/>
    <w:multiLevelType w:val="multilevel"/>
    <w:tmpl w:val="0E809A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7AD34AB"/>
    <w:multiLevelType w:val="multilevel"/>
    <w:tmpl w:val="4F5E4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6A02FF"/>
    <w:multiLevelType w:val="hybridMultilevel"/>
    <w:tmpl w:val="56206DCC"/>
    <w:lvl w:ilvl="0" w:tplc="223EE848">
      <w:start w:val="1"/>
      <w:numFmt w:val="bullet"/>
      <w:lvlText w:val=""/>
      <w:lvlJc w:val="left"/>
      <w:pPr>
        <w:ind w:left="720" w:hanging="360"/>
      </w:pPr>
      <w:rPr>
        <w:rFonts w:ascii="Wingdings" w:hAnsi="Wingdings" w:hint="default"/>
      </w:rPr>
    </w:lvl>
    <w:lvl w:ilvl="1" w:tplc="B7A4A026" w:tentative="1">
      <w:start w:val="1"/>
      <w:numFmt w:val="bullet"/>
      <w:lvlText w:val="o"/>
      <w:lvlJc w:val="left"/>
      <w:pPr>
        <w:ind w:left="1440" w:hanging="360"/>
      </w:pPr>
      <w:rPr>
        <w:rFonts w:ascii="Courier New" w:hAnsi="Courier New" w:cs="Courier New" w:hint="default"/>
      </w:rPr>
    </w:lvl>
    <w:lvl w:ilvl="2" w:tplc="6AE2F0F6" w:tentative="1">
      <w:start w:val="1"/>
      <w:numFmt w:val="bullet"/>
      <w:lvlText w:val=""/>
      <w:lvlJc w:val="left"/>
      <w:pPr>
        <w:ind w:left="2160" w:hanging="360"/>
      </w:pPr>
      <w:rPr>
        <w:rFonts w:ascii="Wingdings" w:hAnsi="Wingdings" w:hint="default"/>
      </w:rPr>
    </w:lvl>
    <w:lvl w:ilvl="3" w:tplc="A814872A" w:tentative="1">
      <w:start w:val="1"/>
      <w:numFmt w:val="bullet"/>
      <w:lvlText w:val=""/>
      <w:lvlJc w:val="left"/>
      <w:pPr>
        <w:ind w:left="2880" w:hanging="360"/>
      </w:pPr>
      <w:rPr>
        <w:rFonts w:ascii="Symbol" w:hAnsi="Symbol" w:hint="default"/>
      </w:rPr>
    </w:lvl>
    <w:lvl w:ilvl="4" w:tplc="C2DE722A" w:tentative="1">
      <w:start w:val="1"/>
      <w:numFmt w:val="bullet"/>
      <w:lvlText w:val="o"/>
      <w:lvlJc w:val="left"/>
      <w:pPr>
        <w:ind w:left="3600" w:hanging="360"/>
      </w:pPr>
      <w:rPr>
        <w:rFonts w:ascii="Courier New" w:hAnsi="Courier New" w:cs="Courier New" w:hint="default"/>
      </w:rPr>
    </w:lvl>
    <w:lvl w:ilvl="5" w:tplc="435EEE72" w:tentative="1">
      <w:start w:val="1"/>
      <w:numFmt w:val="bullet"/>
      <w:lvlText w:val=""/>
      <w:lvlJc w:val="left"/>
      <w:pPr>
        <w:ind w:left="4320" w:hanging="360"/>
      </w:pPr>
      <w:rPr>
        <w:rFonts w:ascii="Wingdings" w:hAnsi="Wingdings" w:hint="default"/>
      </w:rPr>
    </w:lvl>
    <w:lvl w:ilvl="6" w:tplc="0B16BADA" w:tentative="1">
      <w:start w:val="1"/>
      <w:numFmt w:val="bullet"/>
      <w:lvlText w:val=""/>
      <w:lvlJc w:val="left"/>
      <w:pPr>
        <w:ind w:left="5040" w:hanging="360"/>
      </w:pPr>
      <w:rPr>
        <w:rFonts w:ascii="Symbol" w:hAnsi="Symbol" w:hint="default"/>
      </w:rPr>
    </w:lvl>
    <w:lvl w:ilvl="7" w:tplc="AC280136" w:tentative="1">
      <w:start w:val="1"/>
      <w:numFmt w:val="bullet"/>
      <w:lvlText w:val="o"/>
      <w:lvlJc w:val="left"/>
      <w:pPr>
        <w:ind w:left="5760" w:hanging="360"/>
      </w:pPr>
      <w:rPr>
        <w:rFonts w:ascii="Courier New" w:hAnsi="Courier New" w:cs="Courier New" w:hint="default"/>
      </w:rPr>
    </w:lvl>
    <w:lvl w:ilvl="8" w:tplc="DB249258" w:tentative="1">
      <w:start w:val="1"/>
      <w:numFmt w:val="bullet"/>
      <w:lvlText w:val=""/>
      <w:lvlJc w:val="left"/>
      <w:pPr>
        <w:ind w:left="6480" w:hanging="360"/>
      </w:pPr>
      <w:rPr>
        <w:rFonts w:ascii="Wingdings" w:hAnsi="Wingdings" w:hint="default"/>
      </w:rPr>
    </w:lvl>
  </w:abstractNum>
  <w:abstractNum w:abstractNumId="23" w15:restartNumberingAfterBreak="0">
    <w:nsid w:val="09094DDE"/>
    <w:multiLevelType w:val="hybridMultilevel"/>
    <w:tmpl w:val="D7B6F4F6"/>
    <w:lvl w:ilvl="0" w:tplc="FCB689F8">
      <w:numFmt w:val="bullet"/>
      <w:lvlText w:val="-"/>
      <w:lvlJc w:val="left"/>
      <w:pPr>
        <w:ind w:left="720" w:hanging="360"/>
      </w:pPr>
      <w:rPr>
        <w:rFonts w:ascii="Times New Roman" w:eastAsiaTheme="minorHAnsi" w:hAnsi="Times New Roman" w:cs="Times New Roman" w:hint="default"/>
      </w:rPr>
    </w:lvl>
    <w:lvl w:ilvl="1" w:tplc="6CB25282" w:tentative="1">
      <w:start w:val="1"/>
      <w:numFmt w:val="bullet"/>
      <w:lvlText w:val="o"/>
      <w:lvlJc w:val="left"/>
      <w:pPr>
        <w:ind w:left="1440" w:hanging="360"/>
      </w:pPr>
      <w:rPr>
        <w:rFonts w:ascii="Courier New" w:hAnsi="Courier New" w:cs="Courier New" w:hint="default"/>
      </w:rPr>
    </w:lvl>
    <w:lvl w:ilvl="2" w:tplc="AC666406" w:tentative="1">
      <w:start w:val="1"/>
      <w:numFmt w:val="bullet"/>
      <w:lvlText w:val=""/>
      <w:lvlJc w:val="left"/>
      <w:pPr>
        <w:ind w:left="2160" w:hanging="360"/>
      </w:pPr>
      <w:rPr>
        <w:rFonts w:ascii="Wingdings" w:hAnsi="Wingdings" w:hint="default"/>
      </w:rPr>
    </w:lvl>
    <w:lvl w:ilvl="3" w:tplc="98B87750" w:tentative="1">
      <w:start w:val="1"/>
      <w:numFmt w:val="bullet"/>
      <w:lvlText w:val=""/>
      <w:lvlJc w:val="left"/>
      <w:pPr>
        <w:ind w:left="2880" w:hanging="360"/>
      </w:pPr>
      <w:rPr>
        <w:rFonts w:ascii="Symbol" w:hAnsi="Symbol" w:hint="default"/>
      </w:rPr>
    </w:lvl>
    <w:lvl w:ilvl="4" w:tplc="CA165FFC" w:tentative="1">
      <w:start w:val="1"/>
      <w:numFmt w:val="bullet"/>
      <w:lvlText w:val="o"/>
      <w:lvlJc w:val="left"/>
      <w:pPr>
        <w:ind w:left="3600" w:hanging="360"/>
      </w:pPr>
      <w:rPr>
        <w:rFonts w:ascii="Courier New" w:hAnsi="Courier New" w:cs="Courier New" w:hint="default"/>
      </w:rPr>
    </w:lvl>
    <w:lvl w:ilvl="5" w:tplc="A426DCFC" w:tentative="1">
      <w:start w:val="1"/>
      <w:numFmt w:val="bullet"/>
      <w:lvlText w:val=""/>
      <w:lvlJc w:val="left"/>
      <w:pPr>
        <w:ind w:left="4320" w:hanging="360"/>
      </w:pPr>
      <w:rPr>
        <w:rFonts w:ascii="Wingdings" w:hAnsi="Wingdings" w:hint="default"/>
      </w:rPr>
    </w:lvl>
    <w:lvl w:ilvl="6" w:tplc="491E9C60" w:tentative="1">
      <w:start w:val="1"/>
      <w:numFmt w:val="bullet"/>
      <w:lvlText w:val=""/>
      <w:lvlJc w:val="left"/>
      <w:pPr>
        <w:ind w:left="5040" w:hanging="360"/>
      </w:pPr>
      <w:rPr>
        <w:rFonts w:ascii="Symbol" w:hAnsi="Symbol" w:hint="default"/>
      </w:rPr>
    </w:lvl>
    <w:lvl w:ilvl="7" w:tplc="A6FE01B0" w:tentative="1">
      <w:start w:val="1"/>
      <w:numFmt w:val="bullet"/>
      <w:lvlText w:val="o"/>
      <w:lvlJc w:val="left"/>
      <w:pPr>
        <w:ind w:left="5760" w:hanging="360"/>
      </w:pPr>
      <w:rPr>
        <w:rFonts w:ascii="Courier New" w:hAnsi="Courier New" w:cs="Courier New" w:hint="default"/>
      </w:rPr>
    </w:lvl>
    <w:lvl w:ilvl="8" w:tplc="01BCF1B4" w:tentative="1">
      <w:start w:val="1"/>
      <w:numFmt w:val="bullet"/>
      <w:lvlText w:val=""/>
      <w:lvlJc w:val="left"/>
      <w:pPr>
        <w:ind w:left="6480" w:hanging="360"/>
      </w:pPr>
      <w:rPr>
        <w:rFonts w:ascii="Wingdings" w:hAnsi="Wingdings" w:hint="default"/>
      </w:rPr>
    </w:lvl>
  </w:abstractNum>
  <w:abstractNum w:abstractNumId="24" w15:restartNumberingAfterBreak="0">
    <w:nsid w:val="0963593E"/>
    <w:multiLevelType w:val="multilevel"/>
    <w:tmpl w:val="E8DA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0928C5"/>
    <w:multiLevelType w:val="multilevel"/>
    <w:tmpl w:val="84F8C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0A3E17FE"/>
    <w:multiLevelType w:val="hybridMultilevel"/>
    <w:tmpl w:val="422ACBF4"/>
    <w:lvl w:ilvl="0" w:tplc="CB3AF6F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A6D1BAD"/>
    <w:multiLevelType w:val="hybridMultilevel"/>
    <w:tmpl w:val="E736C280"/>
    <w:lvl w:ilvl="0" w:tplc="CB3AF6F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B765256"/>
    <w:multiLevelType w:val="multilevel"/>
    <w:tmpl w:val="1804B28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9B70EB"/>
    <w:multiLevelType w:val="hybridMultilevel"/>
    <w:tmpl w:val="5E9CFD58"/>
    <w:lvl w:ilvl="0" w:tplc="2D4AD3A8">
      <w:start w:val="1"/>
      <w:numFmt w:val="bullet"/>
      <w:lvlText w:val="−"/>
      <w:lvlJc w:val="left"/>
      <w:pPr>
        <w:ind w:left="720" w:hanging="360"/>
      </w:pPr>
      <w:rPr>
        <w:rFonts w:ascii="Arial" w:hAnsi="Arial" w:hint="default"/>
      </w:rPr>
    </w:lvl>
    <w:lvl w:ilvl="1" w:tplc="929870C2" w:tentative="1">
      <w:start w:val="1"/>
      <w:numFmt w:val="bullet"/>
      <w:lvlText w:val="o"/>
      <w:lvlJc w:val="left"/>
      <w:pPr>
        <w:ind w:left="1440" w:hanging="360"/>
      </w:pPr>
      <w:rPr>
        <w:rFonts w:ascii="Courier New" w:hAnsi="Courier New" w:cs="Courier New" w:hint="default"/>
      </w:rPr>
    </w:lvl>
    <w:lvl w:ilvl="2" w:tplc="3E105CC0" w:tentative="1">
      <w:start w:val="1"/>
      <w:numFmt w:val="bullet"/>
      <w:lvlText w:val=""/>
      <w:lvlJc w:val="left"/>
      <w:pPr>
        <w:ind w:left="2160" w:hanging="360"/>
      </w:pPr>
      <w:rPr>
        <w:rFonts w:ascii="Wingdings" w:hAnsi="Wingdings" w:hint="default"/>
      </w:rPr>
    </w:lvl>
    <w:lvl w:ilvl="3" w:tplc="9AA0954A" w:tentative="1">
      <w:start w:val="1"/>
      <w:numFmt w:val="bullet"/>
      <w:lvlText w:val=""/>
      <w:lvlJc w:val="left"/>
      <w:pPr>
        <w:ind w:left="2880" w:hanging="360"/>
      </w:pPr>
      <w:rPr>
        <w:rFonts w:ascii="Symbol" w:hAnsi="Symbol" w:hint="default"/>
      </w:rPr>
    </w:lvl>
    <w:lvl w:ilvl="4" w:tplc="B37AC5E6" w:tentative="1">
      <w:start w:val="1"/>
      <w:numFmt w:val="bullet"/>
      <w:lvlText w:val="o"/>
      <w:lvlJc w:val="left"/>
      <w:pPr>
        <w:ind w:left="3600" w:hanging="360"/>
      </w:pPr>
      <w:rPr>
        <w:rFonts w:ascii="Courier New" w:hAnsi="Courier New" w:cs="Courier New" w:hint="default"/>
      </w:rPr>
    </w:lvl>
    <w:lvl w:ilvl="5" w:tplc="A314A32C" w:tentative="1">
      <w:start w:val="1"/>
      <w:numFmt w:val="bullet"/>
      <w:lvlText w:val=""/>
      <w:lvlJc w:val="left"/>
      <w:pPr>
        <w:ind w:left="4320" w:hanging="360"/>
      </w:pPr>
      <w:rPr>
        <w:rFonts w:ascii="Wingdings" w:hAnsi="Wingdings" w:hint="default"/>
      </w:rPr>
    </w:lvl>
    <w:lvl w:ilvl="6" w:tplc="567E899C" w:tentative="1">
      <w:start w:val="1"/>
      <w:numFmt w:val="bullet"/>
      <w:lvlText w:val=""/>
      <w:lvlJc w:val="left"/>
      <w:pPr>
        <w:ind w:left="5040" w:hanging="360"/>
      </w:pPr>
      <w:rPr>
        <w:rFonts w:ascii="Symbol" w:hAnsi="Symbol" w:hint="default"/>
      </w:rPr>
    </w:lvl>
    <w:lvl w:ilvl="7" w:tplc="A4DE55E8" w:tentative="1">
      <w:start w:val="1"/>
      <w:numFmt w:val="bullet"/>
      <w:lvlText w:val="o"/>
      <w:lvlJc w:val="left"/>
      <w:pPr>
        <w:ind w:left="5760" w:hanging="360"/>
      </w:pPr>
      <w:rPr>
        <w:rFonts w:ascii="Courier New" w:hAnsi="Courier New" w:cs="Courier New" w:hint="default"/>
      </w:rPr>
    </w:lvl>
    <w:lvl w:ilvl="8" w:tplc="13003000" w:tentative="1">
      <w:start w:val="1"/>
      <w:numFmt w:val="bullet"/>
      <w:lvlText w:val=""/>
      <w:lvlJc w:val="left"/>
      <w:pPr>
        <w:ind w:left="6480" w:hanging="360"/>
      </w:pPr>
      <w:rPr>
        <w:rFonts w:ascii="Wingdings" w:hAnsi="Wingdings" w:hint="default"/>
      </w:rPr>
    </w:lvl>
  </w:abstractNum>
  <w:abstractNum w:abstractNumId="30" w15:restartNumberingAfterBreak="0">
    <w:nsid w:val="0DB760A4"/>
    <w:multiLevelType w:val="multilevel"/>
    <w:tmpl w:val="A7F03160"/>
    <w:lvl w:ilvl="0">
      <w:start w:val="1"/>
      <w:numFmt w:val="decimal"/>
      <w:lvlText w:val="%1."/>
      <w:lvlJc w:val="left"/>
      <w:pPr>
        <w:ind w:left="927" w:hanging="360"/>
      </w:pPr>
      <w:rPr>
        <w:rFonts w:hint="default"/>
        <w:b/>
        <w:bCs/>
      </w:rPr>
    </w:lvl>
    <w:lvl w:ilvl="1">
      <w:start w:val="1"/>
      <w:numFmt w:val="decimal"/>
      <w:isLgl/>
      <w:lvlText w:val="%1.%2."/>
      <w:lvlJc w:val="left"/>
      <w:pPr>
        <w:ind w:left="1287" w:hanging="360"/>
      </w:pPr>
      <w:rPr>
        <w:rFonts w:hint="default"/>
        <w:b/>
        <w:bCs/>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1" w15:restartNumberingAfterBreak="0">
    <w:nsid w:val="0DC26F9D"/>
    <w:multiLevelType w:val="hybridMultilevel"/>
    <w:tmpl w:val="629EC46A"/>
    <w:lvl w:ilvl="0" w:tplc="AD52C3D8">
      <w:start w:val="1"/>
      <w:numFmt w:val="bullet"/>
      <w:lvlText w:val=""/>
      <w:lvlJc w:val="left"/>
      <w:pPr>
        <w:ind w:left="720" w:hanging="360"/>
      </w:pPr>
      <w:rPr>
        <w:rFonts w:ascii="Wingdings" w:hAnsi="Wingdings" w:hint="default"/>
      </w:rPr>
    </w:lvl>
    <w:lvl w:ilvl="1" w:tplc="ECE84292" w:tentative="1">
      <w:start w:val="1"/>
      <w:numFmt w:val="bullet"/>
      <w:lvlText w:val="o"/>
      <w:lvlJc w:val="left"/>
      <w:pPr>
        <w:ind w:left="1440" w:hanging="360"/>
      </w:pPr>
      <w:rPr>
        <w:rFonts w:ascii="Courier New" w:hAnsi="Courier New" w:cs="Courier New" w:hint="default"/>
      </w:rPr>
    </w:lvl>
    <w:lvl w:ilvl="2" w:tplc="6FA21AF2" w:tentative="1">
      <w:start w:val="1"/>
      <w:numFmt w:val="bullet"/>
      <w:lvlText w:val=""/>
      <w:lvlJc w:val="left"/>
      <w:pPr>
        <w:ind w:left="2160" w:hanging="360"/>
      </w:pPr>
      <w:rPr>
        <w:rFonts w:ascii="Wingdings" w:hAnsi="Wingdings" w:hint="default"/>
      </w:rPr>
    </w:lvl>
    <w:lvl w:ilvl="3" w:tplc="0028446A" w:tentative="1">
      <w:start w:val="1"/>
      <w:numFmt w:val="bullet"/>
      <w:lvlText w:val=""/>
      <w:lvlJc w:val="left"/>
      <w:pPr>
        <w:ind w:left="2880" w:hanging="360"/>
      </w:pPr>
      <w:rPr>
        <w:rFonts w:ascii="Symbol" w:hAnsi="Symbol" w:hint="default"/>
      </w:rPr>
    </w:lvl>
    <w:lvl w:ilvl="4" w:tplc="FDD8F9D2" w:tentative="1">
      <w:start w:val="1"/>
      <w:numFmt w:val="bullet"/>
      <w:lvlText w:val="o"/>
      <w:lvlJc w:val="left"/>
      <w:pPr>
        <w:ind w:left="3600" w:hanging="360"/>
      </w:pPr>
      <w:rPr>
        <w:rFonts w:ascii="Courier New" w:hAnsi="Courier New" w:cs="Courier New" w:hint="default"/>
      </w:rPr>
    </w:lvl>
    <w:lvl w:ilvl="5" w:tplc="8EAE0CFC" w:tentative="1">
      <w:start w:val="1"/>
      <w:numFmt w:val="bullet"/>
      <w:lvlText w:val=""/>
      <w:lvlJc w:val="left"/>
      <w:pPr>
        <w:ind w:left="4320" w:hanging="360"/>
      </w:pPr>
      <w:rPr>
        <w:rFonts w:ascii="Wingdings" w:hAnsi="Wingdings" w:hint="default"/>
      </w:rPr>
    </w:lvl>
    <w:lvl w:ilvl="6" w:tplc="A1C0B106" w:tentative="1">
      <w:start w:val="1"/>
      <w:numFmt w:val="bullet"/>
      <w:lvlText w:val=""/>
      <w:lvlJc w:val="left"/>
      <w:pPr>
        <w:ind w:left="5040" w:hanging="360"/>
      </w:pPr>
      <w:rPr>
        <w:rFonts w:ascii="Symbol" w:hAnsi="Symbol" w:hint="default"/>
      </w:rPr>
    </w:lvl>
    <w:lvl w:ilvl="7" w:tplc="BA1EC4A8" w:tentative="1">
      <w:start w:val="1"/>
      <w:numFmt w:val="bullet"/>
      <w:lvlText w:val="o"/>
      <w:lvlJc w:val="left"/>
      <w:pPr>
        <w:ind w:left="5760" w:hanging="360"/>
      </w:pPr>
      <w:rPr>
        <w:rFonts w:ascii="Courier New" w:hAnsi="Courier New" w:cs="Courier New" w:hint="default"/>
      </w:rPr>
    </w:lvl>
    <w:lvl w:ilvl="8" w:tplc="F9E8BABA" w:tentative="1">
      <w:start w:val="1"/>
      <w:numFmt w:val="bullet"/>
      <w:lvlText w:val=""/>
      <w:lvlJc w:val="left"/>
      <w:pPr>
        <w:ind w:left="6480" w:hanging="360"/>
      </w:pPr>
      <w:rPr>
        <w:rFonts w:ascii="Wingdings" w:hAnsi="Wingdings" w:hint="default"/>
      </w:rPr>
    </w:lvl>
  </w:abstractNum>
  <w:abstractNum w:abstractNumId="32" w15:restartNumberingAfterBreak="0">
    <w:nsid w:val="0E3B2842"/>
    <w:multiLevelType w:val="multilevel"/>
    <w:tmpl w:val="D06A12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4239A1"/>
    <w:multiLevelType w:val="hybridMultilevel"/>
    <w:tmpl w:val="0A1C4C88"/>
    <w:lvl w:ilvl="0" w:tplc="4B5C6A82">
      <w:start w:val="1"/>
      <w:numFmt w:val="bullet"/>
      <w:lvlText w:val=""/>
      <w:lvlJc w:val="left"/>
      <w:pPr>
        <w:ind w:left="720" w:hanging="360"/>
      </w:pPr>
      <w:rPr>
        <w:rFonts w:ascii="Wingdings" w:hAnsi="Wingdings" w:hint="default"/>
      </w:rPr>
    </w:lvl>
    <w:lvl w:ilvl="1" w:tplc="5CD029CC" w:tentative="1">
      <w:start w:val="1"/>
      <w:numFmt w:val="bullet"/>
      <w:lvlText w:val="o"/>
      <w:lvlJc w:val="left"/>
      <w:pPr>
        <w:ind w:left="1440" w:hanging="360"/>
      </w:pPr>
      <w:rPr>
        <w:rFonts w:ascii="Courier New" w:hAnsi="Courier New" w:cs="Courier New" w:hint="default"/>
      </w:rPr>
    </w:lvl>
    <w:lvl w:ilvl="2" w:tplc="D3F4F06C" w:tentative="1">
      <w:start w:val="1"/>
      <w:numFmt w:val="bullet"/>
      <w:lvlText w:val=""/>
      <w:lvlJc w:val="left"/>
      <w:pPr>
        <w:ind w:left="2160" w:hanging="360"/>
      </w:pPr>
      <w:rPr>
        <w:rFonts w:ascii="Wingdings" w:hAnsi="Wingdings" w:hint="default"/>
      </w:rPr>
    </w:lvl>
    <w:lvl w:ilvl="3" w:tplc="F2565D42" w:tentative="1">
      <w:start w:val="1"/>
      <w:numFmt w:val="bullet"/>
      <w:lvlText w:val=""/>
      <w:lvlJc w:val="left"/>
      <w:pPr>
        <w:ind w:left="2880" w:hanging="360"/>
      </w:pPr>
      <w:rPr>
        <w:rFonts w:ascii="Symbol" w:hAnsi="Symbol" w:hint="default"/>
      </w:rPr>
    </w:lvl>
    <w:lvl w:ilvl="4" w:tplc="23B0812C" w:tentative="1">
      <w:start w:val="1"/>
      <w:numFmt w:val="bullet"/>
      <w:lvlText w:val="o"/>
      <w:lvlJc w:val="left"/>
      <w:pPr>
        <w:ind w:left="3600" w:hanging="360"/>
      </w:pPr>
      <w:rPr>
        <w:rFonts w:ascii="Courier New" w:hAnsi="Courier New" w:cs="Courier New" w:hint="default"/>
      </w:rPr>
    </w:lvl>
    <w:lvl w:ilvl="5" w:tplc="F4A2954C" w:tentative="1">
      <w:start w:val="1"/>
      <w:numFmt w:val="bullet"/>
      <w:lvlText w:val=""/>
      <w:lvlJc w:val="left"/>
      <w:pPr>
        <w:ind w:left="4320" w:hanging="360"/>
      </w:pPr>
      <w:rPr>
        <w:rFonts w:ascii="Wingdings" w:hAnsi="Wingdings" w:hint="default"/>
      </w:rPr>
    </w:lvl>
    <w:lvl w:ilvl="6" w:tplc="F260066A" w:tentative="1">
      <w:start w:val="1"/>
      <w:numFmt w:val="bullet"/>
      <w:lvlText w:val=""/>
      <w:lvlJc w:val="left"/>
      <w:pPr>
        <w:ind w:left="5040" w:hanging="360"/>
      </w:pPr>
      <w:rPr>
        <w:rFonts w:ascii="Symbol" w:hAnsi="Symbol" w:hint="default"/>
      </w:rPr>
    </w:lvl>
    <w:lvl w:ilvl="7" w:tplc="8EAC0384" w:tentative="1">
      <w:start w:val="1"/>
      <w:numFmt w:val="bullet"/>
      <w:lvlText w:val="o"/>
      <w:lvlJc w:val="left"/>
      <w:pPr>
        <w:ind w:left="5760" w:hanging="360"/>
      </w:pPr>
      <w:rPr>
        <w:rFonts w:ascii="Courier New" w:hAnsi="Courier New" w:cs="Courier New" w:hint="default"/>
      </w:rPr>
    </w:lvl>
    <w:lvl w:ilvl="8" w:tplc="61208040" w:tentative="1">
      <w:start w:val="1"/>
      <w:numFmt w:val="bullet"/>
      <w:lvlText w:val=""/>
      <w:lvlJc w:val="left"/>
      <w:pPr>
        <w:ind w:left="6480" w:hanging="360"/>
      </w:pPr>
      <w:rPr>
        <w:rFonts w:ascii="Wingdings" w:hAnsi="Wingdings" w:hint="default"/>
      </w:rPr>
    </w:lvl>
  </w:abstractNum>
  <w:abstractNum w:abstractNumId="34" w15:restartNumberingAfterBreak="0">
    <w:nsid w:val="0FC5186A"/>
    <w:multiLevelType w:val="hybridMultilevel"/>
    <w:tmpl w:val="5A0AA706"/>
    <w:lvl w:ilvl="0" w:tplc="1A685350">
      <w:start w:val="5"/>
      <w:numFmt w:val="bullet"/>
      <w:lvlText w:val="-"/>
      <w:lvlJc w:val="left"/>
      <w:pPr>
        <w:ind w:left="1080" w:hanging="360"/>
      </w:pPr>
      <w:rPr>
        <w:rFonts w:ascii="Times New Roman" w:eastAsiaTheme="minorHAnsi" w:hAnsi="Times New Roman"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10B81C4A"/>
    <w:multiLevelType w:val="hybridMultilevel"/>
    <w:tmpl w:val="091A7FAE"/>
    <w:lvl w:ilvl="0" w:tplc="2440F782">
      <w:start w:val="1"/>
      <w:numFmt w:val="bullet"/>
      <w:lvlText w:val=""/>
      <w:lvlJc w:val="left"/>
      <w:pPr>
        <w:ind w:left="720" w:hanging="360"/>
      </w:pPr>
      <w:rPr>
        <w:rFonts w:ascii="Wingdings" w:hAnsi="Wingdings" w:hint="default"/>
      </w:rPr>
    </w:lvl>
    <w:lvl w:ilvl="1" w:tplc="FB80F38A" w:tentative="1">
      <w:start w:val="1"/>
      <w:numFmt w:val="bullet"/>
      <w:lvlText w:val="o"/>
      <w:lvlJc w:val="left"/>
      <w:pPr>
        <w:ind w:left="1440" w:hanging="360"/>
      </w:pPr>
      <w:rPr>
        <w:rFonts w:ascii="Courier New" w:hAnsi="Courier New" w:cs="Courier New" w:hint="default"/>
      </w:rPr>
    </w:lvl>
    <w:lvl w:ilvl="2" w:tplc="83222B84" w:tentative="1">
      <w:start w:val="1"/>
      <w:numFmt w:val="bullet"/>
      <w:lvlText w:val=""/>
      <w:lvlJc w:val="left"/>
      <w:pPr>
        <w:ind w:left="2160" w:hanging="360"/>
      </w:pPr>
      <w:rPr>
        <w:rFonts w:ascii="Wingdings" w:hAnsi="Wingdings" w:hint="default"/>
      </w:rPr>
    </w:lvl>
    <w:lvl w:ilvl="3" w:tplc="DF507AEC" w:tentative="1">
      <w:start w:val="1"/>
      <w:numFmt w:val="bullet"/>
      <w:lvlText w:val=""/>
      <w:lvlJc w:val="left"/>
      <w:pPr>
        <w:ind w:left="2880" w:hanging="360"/>
      </w:pPr>
      <w:rPr>
        <w:rFonts w:ascii="Symbol" w:hAnsi="Symbol" w:hint="default"/>
      </w:rPr>
    </w:lvl>
    <w:lvl w:ilvl="4" w:tplc="3474AB04" w:tentative="1">
      <w:start w:val="1"/>
      <w:numFmt w:val="bullet"/>
      <w:lvlText w:val="o"/>
      <w:lvlJc w:val="left"/>
      <w:pPr>
        <w:ind w:left="3600" w:hanging="360"/>
      </w:pPr>
      <w:rPr>
        <w:rFonts w:ascii="Courier New" w:hAnsi="Courier New" w:cs="Courier New" w:hint="default"/>
      </w:rPr>
    </w:lvl>
    <w:lvl w:ilvl="5" w:tplc="6AD01630" w:tentative="1">
      <w:start w:val="1"/>
      <w:numFmt w:val="bullet"/>
      <w:lvlText w:val=""/>
      <w:lvlJc w:val="left"/>
      <w:pPr>
        <w:ind w:left="4320" w:hanging="360"/>
      </w:pPr>
      <w:rPr>
        <w:rFonts w:ascii="Wingdings" w:hAnsi="Wingdings" w:hint="default"/>
      </w:rPr>
    </w:lvl>
    <w:lvl w:ilvl="6" w:tplc="B3D8E590" w:tentative="1">
      <w:start w:val="1"/>
      <w:numFmt w:val="bullet"/>
      <w:lvlText w:val=""/>
      <w:lvlJc w:val="left"/>
      <w:pPr>
        <w:ind w:left="5040" w:hanging="360"/>
      </w:pPr>
      <w:rPr>
        <w:rFonts w:ascii="Symbol" w:hAnsi="Symbol" w:hint="default"/>
      </w:rPr>
    </w:lvl>
    <w:lvl w:ilvl="7" w:tplc="721C188C" w:tentative="1">
      <w:start w:val="1"/>
      <w:numFmt w:val="bullet"/>
      <w:lvlText w:val="o"/>
      <w:lvlJc w:val="left"/>
      <w:pPr>
        <w:ind w:left="5760" w:hanging="360"/>
      </w:pPr>
      <w:rPr>
        <w:rFonts w:ascii="Courier New" w:hAnsi="Courier New" w:cs="Courier New" w:hint="default"/>
      </w:rPr>
    </w:lvl>
    <w:lvl w:ilvl="8" w:tplc="348EB4E0" w:tentative="1">
      <w:start w:val="1"/>
      <w:numFmt w:val="bullet"/>
      <w:lvlText w:val=""/>
      <w:lvlJc w:val="left"/>
      <w:pPr>
        <w:ind w:left="6480" w:hanging="360"/>
      </w:pPr>
      <w:rPr>
        <w:rFonts w:ascii="Wingdings" w:hAnsi="Wingdings" w:hint="default"/>
      </w:rPr>
    </w:lvl>
  </w:abstractNum>
  <w:abstractNum w:abstractNumId="36" w15:restartNumberingAfterBreak="0">
    <w:nsid w:val="11052E2D"/>
    <w:multiLevelType w:val="hybridMultilevel"/>
    <w:tmpl w:val="57C6CAE6"/>
    <w:lvl w:ilvl="0" w:tplc="7BF843B2">
      <w:start w:val="1"/>
      <w:numFmt w:val="bullet"/>
      <w:lvlText w:val="-"/>
      <w:lvlJc w:val="left"/>
      <w:pPr>
        <w:ind w:left="1068" w:hanging="360"/>
      </w:pPr>
      <w:rPr>
        <w:rFonts w:ascii="Times New Roman" w:eastAsiaTheme="minorHAnsi" w:hAnsi="Times New Roman" w:cs="Times New Roman" w:hint="default"/>
      </w:rPr>
    </w:lvl>
    <w:lvl w:ilvl="1" w:tplc="7A48B9AA" w:tentative="1">
      <w:start w:val="1"/>
      <w:numFmt w:val="bullet"/>
      <w:lvlText w:val="o"/>
      <w:lvlJc w:val="left"/>
      <w:pPr>
        <w:ind w:left="1788" w:hanging="360"/>
      </w:pPr>
      <w:rPr>
        <w:rFonts w:ascii="Courier New" w:hAnsi="Courier New" w:cs="Courier New" w:hint="default"/>
      </w:rPr>
    </w:lvl>
    <w:lvl w:ilvl="2" w:tplc="32E8345A" w:tentative="1">
      <w:start w:val="1"/>
      <w:numFmt w:val="bullet"/>
      <w:lvlText w:val=""/>
      <w:lvlJc w:val="left"/>
      <w:pPr>
        <w:ind w:left="2508" w:hanging="360"/>
      </w:pPr>
      <w:rPr>
        <w:rFonts w:ascii="Wingdings" w:hAnsi="Wingdings" w:hint="default"/>
      </w:rPr>
    </w:lvl>
    <w:lvl w:ilvl="3" w:tplc="AE9AF47C" w:tentative="1">
      <w:start w:val="1"/>
      <w:numFmt w:val="bullet"/>
      <w:lvlText w:val=""/>
      <w:lvlJc w:val="left"/>
      <w:pPr>
        <w:ind w:left="3228" w:hanging="360"/>
      </w:pPr>
      <w:rPr>
        <w:rFonts w:ascii="Symbol" w:hAnsi="Symbol" w:hint="default"/>
      </w:rPr>
    </w:lvl>
    <w:lvl w:ilvl="4" w:tplc="D974C290" w:tentative="1">
      <w:start w:val="1"/>
      <w:numFmt w:val="bullet"/>
      <w:lvlText w:val="o"/>
      <w:lvlJc w:val="left"/>
      <w:pPr>
        <w:ind w:left="3948" w:hanging="360"/>
      </w:pPr>
      <w:rPr>
        <w:rFonts w:ascii="Courier New" w:hAnsi="Courier New" w:cs="Courier New" w:hint="default"/>
      </w:rPr>
    </w:lvl>
    <w:lvl w:ilvl="5" w:tplc="AA18026E" w:tentative="1">
      <w:start w:val="1"/>
      <w:numFmt w:val="bullet"/>
      <w:lvlText w:val=""/>
      <w:lvlJc w:val="left"/>
      <w:pPr>
        <w:ind w:left="4668" w:hanging="360"/>
      </w:pPr>
      <w:rPr>
        <w:rFonts w:ascii="Wingdings" w:hAnsi="Wingdings" w:hint="default"/>
      </w:rPr>
    </w:lvl>
    <w:lvl w:ilvl="6" w:tplc="90BC1172" w:tentative="1">
      <w:start w:val="1"/>
      <w:numFmt w:val="bullet"/>
      <w:lvlText w:val=""/>
      <w:lvlJc w:val="left"/>
      <w:pPr>
        <w:ind w:left="5388" w:hanging="360"/>
      </w:pPr>
      <w:rPr>
        <w:rFonts w:ascii="Symbol" w:hAnsi="Symbol" w:hint="default"/>
      </w:rPr>
    </w:lvl>
    <w:lvl w:ilvl="7" w:tplc="AA96A814" w:tentative="1">
      <w:start w:val="1"/>
      <w:numFmt w:val="bullet"/>
      <w:lvlText w:val="o"/>
      <w:lvlJc w:val="left"/>
      <w:pPr>
        <w:ind w:left="6108" w:hanging="360"/>
      </w:pPr>
      <w:rPr>
        <w:rFonts w:ascii="Courier New" w:hAnsi="Courier New" w:cs="Courier New" w:hint="default"/>
      </w:rPr>
    </w:lvl>
    <w:lvl w:ilvl="8" w:tplc="941A3F44" w:tentative="1">
      <w:start w:val="1"/>
      <w:numFmt w:val="bullet"/>
      <w:lvlText w:val=""/>
      <w:lvlJc w:val="left"/>
      <w:pPr>
        <w:ind w:left="6828" w:hanging="360"/>
      </w:pPr>
      <w:rPr>
        <w:rFonts w:ascii="Wingdings" w:hAnsi="Wingdings" w:hint="default"/>
      </w:rPr>
    </w:lvl>
  </w:abstractNum>
  <w:abstractNum w:abstractNumId="37" w15:restartNumberingAfterBreak="0">
    <w:nsid w:val="11D71E3C"/>
    <w:multiLevelType w:val="multilevel"/>
    <w:tmpl w:val="BB58A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13252F54"/>
    <w:multiLevelType w:val="multilevel"/>
    <w:tmpl w:val="8E32825E"/>
    <w:lvl w:ilvl="0">
      <w:start w:val="3"/>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9" w15:restartNumberingAfterBreak="0">
    <w:nsid w:val="1389260F"/>
    <w:multiLevelType w:val="multilevel"/>
    <w:tmpl w:val="37A641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40" w15:restartNumberingAfterBreak="0">
    <w:nsid w:val="143851B4"/>
    <w:multiLevelType w:val="multilevel"/>
    <w:tmpl w:val="7646E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B429A8"/>
    <w:multiLevelType w:val="hybridMultilevel"/>
    <w:tmpl w:val="351E15AE"/>
    <w:lvl w:ilvl="0" w:tplc="CA02469C">
      <w:start w:val="3"/>
      <w:numFmt w:val="bullet"/>
      <w:lvlText w:val="-"/>
      <w:lvlJc w:val="left"/>
      <w:pPr>
        <w:ind w:left="720" w:hanging="360"/>
      </w:pPr>
      <w:rPr>
        <w:rFonts w:ascii="Times New Roman" w:eastAsia="Times New Roman" w:hAnsi="Times New Roman" w:cs="Times New Roman" w:hint="default"/>
        <w:b/>
      </w:rPr>
    </w:lvl>
    <w:lvl w:ilvl="1" w:tplc="1A64BCE8" w:tentative="1">
      <w:start w:val="1"/>
      <w:numFmt w:val="bullet"/>
      <w:lvlText w:val="o"/>
      <w:lvlJc w:val="left"/>
      <w:pPr>
        <w:ind w:left="1440" w:hanging="360"/>
      </w:pPr>
      <w:rPr>
        <w:rFonts w:ascii="Courier New" w:hAnsi="Courier New" w:cs="Courier New" w:hint="default"/>
      </w:rPr>
    </w:lvl>
    <w:lvl w:ilvl="2" w:tplc="C1C055C8" w:tentative="1">
      <w:start w:val="1"/>
      <w:numFmt w:val="bullet"/>
      <w:lvlText w:val=""/>
      <w:lvlJc w:val="left"/>
      <w:pPr>
        <w:ind w:left="2160" w:hanging="360"/>
      </w:pPr>
      <w:rPr>
        <w:rFonts w:ascii="Wingdings" w:hAnsi="Wingdings" w:hint="default"/>
      </w:rPr>
    </w:lvl>
    <w:lvl w:ilvl="3" w:tplc="69E85C8E" w:tentative="1">
      <w:start w:val="1"/>
      <w:numFmt w:val="bullet"/>
      <w:lvlText w:val=""/>
      <w:lvlJc w:val="left"/>
      <w:pPr>
        <w:ind w:left="2880" w:hanging="360"/>
      </w:pPr>
      <w:rPr>
        <w:rFonts w:ascii="Symbol" w:hAnsi="Symbol" w:hint="default"/>
      </w:rPr>
    </w:lvl>
    <w:lvl w:ilvl="4" w:tplc="2B083600" w:tentative="1">
      <w:start w:val="1"/>
      <w:numFmt w:val="bullet"/>
      <w:lvlText w:val="o"/>
      <w:lvlJc w:val="left"/>
      <w:pPr>
        <w:ind w:left="3600" w:hanging="360"/>
      </w:pPr>
      <w:rPr>
        <w:rFonts w:ascii="Courier New" w:hAnsi="Courier New" w:cs="Courier New" w:hint="default"/>
      </w:rPr>
    </w:lvl>
    <w:lvl w:ilvl="5" w:tplc="1F28B066" w:tentative="1">
      <w:start w:val="1"/>
      <w:numFmt w:val="bullet"/>
      <w:lvlText w:val=""/>
      <w:lvlJc w:val="left"/>
      <w:pPr>
        <w:ind w:left="4320" w:hanging="360"/>
      </w:pPr>
      <w:rPr>
        <w:rFonts w:ascii="Wingdings" w:hAnsi="Wingdings" w:hint="default"/>
      </w:rPr>
    </w:lvl>
    <w:lvl w:ilvl="6" w:tplc="C1880EDC" w:tentative="1">
      <w:start w:val="1"/>
      <w:numFmt w:val="bullet"/>
      <w:lvlText w:val=""/>
      <w:lvlJc w:val="left"/>
      <w:pPr>
        <w:ind w:left="5040" w:hanging="360"/>
      </w:pPr>
      <w:rPr>
        <w:rFonts w:ascii="Symbol" w:hAnsi="Symbol" w:hint="default"/>
      </w:rPr>
    </w:lvl>
    <w:lvl w:ilvl="7" w:tplc="8236ED98" w:tentative="1">
      <w:start w:val="1"/>
      <w:numFmt w:val="bullet"/>
      <w:lvlText w:val="o"/>
      <w:lvlJc w:val="left"/>
      <w:pPr>
        <w:ind w:left="5760" w:hanging="360"/>
      </w:pPr>
      <w:rPr>
        <w:rFonts w:ascii="Courier New" w:hAnsi="Courier New" w:cs="Courier New" w:hint="default"/>
      </w:rPr>
    </w:lvl>
    <w:lvl w:ilvl="8" w:tplc="78003C4E" w:tentative="1">
      <w:start w:val="1"/>
      <w:numFmt w:val="bullet"/>
      <w:lvlText w:val=""/>
      <w:lvlJc w:val="left"/>
      <w:pPr>
        <w:ind w:left="6480" w:hanging="360"/>
      </w:pPr>
      <w:rPr>
        <w:rFonts w:ascii="Wingdings" w:hAnsi="Wingdings" w:hint="default"/>
      </w:rPr>
    </w:lvl>
  </w:abstractNum>
  <w:abstractNum w:abstractNumId="42" w15:restartNumberingAfterBreak="0">
    <w:nsid w:val="16E86AB4"/>
    <w:multiLevelType w:val="hybridMultilevel"/>
    <w:tmpl w:val="0BAE969C"/>
    <w:lvl w:ilvl="0" w:tplc="D5163904">
      <w:numFmt w:val="bullet"/>
      <w:lvlText w:val="-"/>
      <w:lvlJc w:val="left"/>
      <w:pPr>
        <w:ind w:left="720" w:hanging="360"/>
      </w:pPr>
      <w:rPr>
        <w:rFonts w:ascii="Times New Roman" w:eastAsia="Calibri" w:hAnsi="Times New Roman" w:cs="Times New Roman" w:hint="default"/>
      </w:rPr>
    </w:lvl>
    <w:lvl w:ilvl="1" w:tplc="D3644A0A" w:tentative="1">
      <w:start w:val="1"/>
      <w:numFmt w:val="bullet"/>
      <w:lvlText w:val="o"/>
      <w:lvlJc w:val="left"/>
      <w:pPr>
        <w:ind w:left="1440" w:hanging="360"/>
      </w:pPr>
      <w:rPr>
        <w:rFonts w:ascii="Courier New" w:hAnsi="Courier New" w:cs="Courier New" w:hint="default"/>
      </w:rPr>
    </w:lvl>
    <w:lvl w:ilvl="2" w:tplc="AF94667A" w:tentative="1">
      <w:start w:val="1"/>
      <w:numFmt w:val="bullet"/>
      <w:lvlText w:val=""/>
      <w:lvlJc w:val="left"/>
      <w:pPr>
        <w:ind w:left="2160" w:hanging="360"/>
      </w:pPr>
      <w:rPr>
        <w:rFonts w:ascii="Wingdings" w:hAnsi="Wingdings" w:hint="default"/>
      </w:rPr>
    </w:lvl>
    <w:lvl w:ilvl="3" w:tplc="F516E7EA" w:tentative="1">
      <w:start w:val="1"/>
      <w:numFmt w:val="bullet"/>
      <w:lvlText w:val=""/>
      <w:lvlJc w:val="left"/>
      <w:pPr>
        <w:ind w:left="2880" w:hanging="360"/>
      </w:pPr>
      <w:rPr>
        <w:rFonts w:ascii="Symbol" w:hAnsi="Symbol" w:hint="default"/>
      </w:rPr>
    </w:lvl>
    <w:lvl w:ilvl="4" w:tplc="79E0282C" w:tentative="1">
      <w:start w:val="1"/>
      <w:numFmt w:val="bullet"/>
      <w:lvlText w:val="o"/>
      <w:lvlJc w:val="left"/>
      <w:pPr>
        <w:ind w:left="3600" w:hanging="360"/>
      </w:pPr>
      <w:rPr>
        <w:rFonts w:ascii="Courier New" w:hAnsi="Courier New" w:cs="Courier New" w:hint="default"/>
      </w:rPr>
    </w:lvl>
    <w:lvl w:ilvl="5" w:tplc="8B98A790" w:tentative="1">
      <w:start w:val="1"/>
      <w:numFmt w:val="bullet"/>
      <w:lvlText w:val=""/>
      <w:lvlJc w:val="left"/>
      <w:pPr>
        <w:ind w:left="4320" w:hanging="360"/>
      </w:pPr>
      <w:rPr>
        <w:rFonts w:ascii="Wingdings" w:hAnsi="Wingdings" w:hint="default"/>
      </w:rPr>
    </w:lvl>
    <w:lvl w:ilvl="6" w:tplc="BC3A9D7A" w:tentative="1">
      <w:start w:val="1"/>
      <w:numFmt w:val="bullet"/>
      <w:lvlText w:val=""/>
      <w:lvlJc w:val="left"/>
      <w:pPr>
        <w:ind w:left="5040" w:hanging="360"/>
      </w:pPr>
      <w:rPr>
        <w:rFonts w:ascii="Symbol" w:hAnsi="Symbol" w:hint="default"/>
      </w:rPr>
    </w:lvl>
    <w:lvl w:ilvl="7" w:tplc="E18C5E82" w:tentative="1">
      <w:start w:val="1"/>
      <w:numFmt w:val="bullet"/>
      <w:lvlText w:val="o"/>
      <w:lvlJc w:val="left"/>
      <w:pPr>
        <w:ind w:left="5760" w:hanging="360"/>
      </w:pPr>
      <w:rPr>
        <w:rFonts w:ascii="Courier New" w:hAnsi="Courier New" w:cs="Courier New" w:hint="default"/>
      </w:rPr>
    </w:lvl>
    <w:lvl w:ilvl="8" w:tplc="2D90356C" w:tentative="1">
      <w:start w:val="1"/>
      <w:numFmt w:val="bullet"/>
      <w:lvlText w:val=""/>
      <w:lvlJc w:val="left"/>
      <w:pPr>
        <w:ind w:left="6480" w:hanging="360"/>
      </w:pPr>
      <w:rPr>
        <w:rFonts w:ascii="Wingdings" w:hAnsi="Wingdings" w:hint="default"/>
      </w:rPr>
    </w:lvl>
  </w:abstractNum>
  <w:abstractNum w:abstractNumId="43" w15:restartNumberingAfterBreak="0">
    <w:nsid w:val="18007EC8"/>
    <w:multiLevelType w:val="multilevel"/>
    <w:tmpl w:val="DF322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2153D0"/>
    <w:multiLevelType w:val="multilevel"/>
    <w:tmpl w:val="0FEE9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A055B26"/>
    <w:multiLevelType w:val="hybridMultilevel"/>
    <w:tmpl w:val="93385BBC"/>
    <w:lvl w:ilvl="0" w:tplc="E376C70C">
      <w:start w:val="1"/>
      <w:numFmt w:val="decimal"/>
      <w:lvlText w:val="%1-"/>
      <w:lvlJc w:val="left"/>
      <w:pPr>
        <w:ind w:left="720" w:hanging="360"/>
      </w:pPr>
      <w:rPr>
        <w:rFonts w:hint="default"/>
      </w:rPr>
    </w:lvl>
    <w:lvl w:ilvl="1" w:tplc="D5C693F4" w:tentative="1">
      <w:start w:val="1"/>
      <w:numFmt w:val="lowerLetter"/>
      <w:lvlText w:val="%2."/>
      <w:lvlJc w:val="left"/>
      <w:pPr>
        <w:ind w:left="1440" w:hanging="360"/>
      </w:pPr>
    </w:lvl>
    <w:lvl w:ilvl="2" w:tplc="84228A38" w:tentative="1">
      <w:start w:val="1"/>
      <w:numFmt w:val="lowerRoman"/>
      <w:lvlText w:val="%3."/>
      <w:lvlJc w:val="right"/>
      <w:pPr>
        <w:ind w:left="2160" w:hanging="180"/>
      </w:pPr>
    </w:lvl>
    <w:lvl w:ilvl="3" w:tplc="04BAB924" w:tentative="1">
      <w:start w:val="1"/>
      <w:numFmt w:val="decimal"/>
      <w:lvlText w:val="%4."/>
      <w:lvlJc w:val="left"/>
      <w:pPr>
        <w:ind w:left="2880" w:hanging="360"/>
      </w:pPr>
    </w:lvl>
    <w:lvl w:ilvl="4" w:tplc="3A88CBDC" w:tentative="1">
      <w:start w:val="1"/>
      <w:numFmt w:val="lowerLetter"/>
      <w:lvlText w:val="%5."/>
      <w:lvlJc w:val="left"/>
      <w:pPr>
        <w:ind w:left="3600" w:hanging="360"/>
      </w:pPr>
    </w:lvl>
    <w:lvl w:ilvl="5" w:tplc="5CB28092" w:tentative="1">
      <w:start w:val="1"/>
      <w:numFmt w:val="lowerRoman"/>
      <w:lvlText w:val="%6."/>
      <w:lvlJc w:val="right"/>
      <w:pPr>
        <w:ind w:left="4320" w:hanging="180"/>
      </w:pPr>
    </w:lvl>
    <w:lvl w:ilvl="6" w:tplc="097ADC04" w:tentative="1">
      <w:start w:val="1"/>
      <w:numFmt w:val="decimal"/>
      <w:lvlText w:val="%7."/>
      <w:lvlJc w:val="left"/>
      <w:pPr>
        <w:ind w:left="5040" w:hanging="360"/>
      </w:pPr>
    </w:lvl>
    <w:lvl w:ilvl="7" w:tplc="1AEC1BA4" w:tentative="1">
      <w:start w:val="1"/>
      <w:numFmt w:val="lowerLetter"/>
      <w:lvlText w:val="%8."/>
      <w:lvlJc w:val="left"/>
      <w:pPr>
        <w:ind w:left="5760" w:hanging="360"/>
      </w:pPr>
    </w:lvl>
    <w:lvl w:ilvl="8" w:tplc="D3F02310" w:tentative="1">
      <w:start w:val="1"/>
      <w:numFmt w:val="lowerRoman"/>
      <w:lvlText w:val="%9."/>
      <w:lvlJc w:val="right"/>
      <w:pPr>
        <w:ind w:left="6480" w:hanging="180"/>
      </w:pPr>
    </w:lvl>
  </w:abstractNum>
  <w:abstractNum w:abstractNumId="46" w15:restartNumberingAfterBreak="0">
    <w:nsid w:val="1A7B1081"/>
    <w:multiLevelType w:val="hybridMultilevel"/>
    <w:tmpl w:val="B5200970"/>
    <w:lvl w:ilvl="0" w:tplc="B7CA3A1C">
      <w:start w:val="1"/>
      <w:numFmt w:val="bullet"/>
      <w:lvlText w:val=""/>
      <w:lvlJc w:val="left"/>
      <w:pPr>
        <w:ind w:left="360" w:hanging="360"/>
      </w:pPr>
      <w:rPr>
        <w:rFonts w:ascii="Symbol" w:hAnsi="Symbol" w:hint="default"/>
        <w:sz w:val="24"/>
      </w:rPr>
    </w:lvl>
    <w:lvl w:ilvl="1" w:tplc="BC1054A6">
      <w:start w:val="1"/>
      <w:numFmt w:val="bullet"/>
      <w:lvlText w:val="o"/>
      <w:lvlJc w:val="left"/>
      <w:pPr>
        <w:ind w:left="1800" w:hanging="360"/>
      </w:pPr>
      <w:rPr>
        <w:rFonts w:ascii="Courier New" w:hAnsi="Courier New" w:cs="Courier New" w:hint="default"/>
      </w:rPr>
    </w:lvl>
    <w:lvl w:ilvl="2" w:tplc="CEF89834">
      <w:start w:val="1"/>
      <w:numFmt w:val="bullet"/>
      <w:lvlText w:val=""/>
      <w:lvlJc w:val="left"/>
      <w:pPr>
        <w:ind w:left="2520" w:hanging="360"/>
      </w:pPr>
      <w:rPr>
        <w:rFonts w:ascii="Wingdings" w:hAnsi="Wingdings" w:hint="default"/>
      </w:rPr>
    </w:lvl>
    <w:lvl w:ilvl="3" w:tplc="7556CBC0">
      <w:start w:val="1"/>
      <w:numFmt w:val="bullet"/>
      <w:lvlText w:val=""/>
      <w:lvlJc w:val="left"/>
      <w:pPr>
        <w:ind w:left="3240" w:hanging="360"/>
      </w:pPr>
      <w:rPr>
        <w:rFonts w:ascii="Symbol" w:hAnsi="Symbol" w:hint="default"/>
      </w:rPr>
    </w:lvl>
    <w:lvl w:ilvl="4" w:tplc="30E2AB94">
      <w:start w:val="1"/>
      <w:numFmt w:val="bullet"/>
      <w:lvlText w:val="o"/>
      <w:lvlJc w:val="left"/>
      <w:pPr>
        <w:ind w:left="3960" w:hanging="360"/>
      </w:pPr>
      <w:rPr>
        <w:rFonts w:ascii="Courier New" w:hAnsi="Courier New" w:cs="Courier New" w:hint="default"/>
      </w:rPr>
    </w:lvl>
    <w:lvl w:ilvl="5" w:tplc="BD8AC8CE">
      <w:start w:val="1"/>
      <w:numFmt w:val="bullet"/>
      <w:lvlText w:val=""/>
      <w:lvlJc w:val="left"/>
      <w:pPr>
        <w:ind w:left="4680" w:hanging="360"/>
      </w:pPr>
      <w:rPr>
        <w:rFonts w:ascii="Wingdings" w:hAnsi="Wingdings" w:hint="default"/>
      </w:rPr>
    </w:lvl>
    <w:lvl w:ilvl="6" w:tplc="16EC9B5E">
      <w:start w:val="1"/>
      <w:numFmt w:val="bullet"/>
      <w:lvlText w:val=""/>
      <w:lvlJc w:val="left"/>
      <w:pPr>
        <w:ind w:left="5400" w:hanging="360"/>
      </w:pPr>
      <w:rPr>
        <w:rFonts w:ascii="Symbol" w:hAnsi="Symbol" w:hint="default"/>
      </w:rPr>
    </w:lvl>
    <w:lvl w:ilvl="7" w:tplc="FBDA94A8">
      <w:start w:val="1"/>
      <w:numFmt w:val="bullet"/>
      <w:lvlText w:val="o"/>
      <w:lvlJc w:val="left"/>
      <w:pPr>
        <w:ind w:left="6120" w:hanging="360"/>
      </w:pPr>
      <w:rPr>
        <w:rFonts w:ascii="Courier New" w:hAnsi="Courier New" w:cs="Courier New" w:hint="default"/>
      </w:rPr>
    </w:lvl>
    <w:lvl w:ilvl="8" w:tplc="8D06B5D0">
      <w:start w:val="1"/>
      <w:numFmt w:val="bullet"/>
      <w:lvlText w:val=""/>
      <w:lvlJc w:val="left"/>
      <w:pPr>
        <w:ind w:left="6840" w:hanging="360"/>
      </w:pPr>
      <w:rPr>
        <w:rFonts w:ascii="Wingdings" w:hAnsi="Wingdings" w:hint="default"/>
      </w:rPr>
    </w:lvl>
  </w:abstractNum>
  <w:abstractNum w:abstractNumId="47" w15:restartNumberingAfterBreak="0">
    <w:nsid w:val="1ACB1493"/>
    <w:multiLevelType w:val="hybridMultilevel"/>
    <w:tmpl w:val="5290D816"/>
    <w:lvl w:ilvl="0" w:tplc="037A9FBC">
      <w:start w:val="1"/>
      <w:numFmt w:val="bullet"/>
      <w:lvlText w:val=""/>
      <w:lvlJc w:val="left"/>
      <w:pPr>
        <w:ind w:left="720" w:hanging="360"/>
      </w:pPr>
      <w:rPr>
        <w:rFonts w:ascii="Symbol" w:hAnsi="Symbol" w:hint="default"/>
      </w:rPr>
    </w:lvl>
    <w:lvl w:ilvl="1" w:tplc="85DE3588" w:tentative="1">
      <w:start w:val="1"/>
      <w:numFmt w:val="bullet"/>
      <w:lvlText w:val="o"/>
      <w:lvlJc w:val="left"/>
      <w:pPr>
        <w:ind w:left="1440" w:hanging="360"/>
      </w:pPr>
      <w:rPr>
        <w:rFonts w:ascii="Courier New" w:hAnsi="Courier New" w:cs="Courier New" w:hint="default"/>
      </w:rPr>
    </w:lvl>
    <w:lvl w:ilvl="2" w:tplc="0726832C" w:tentative="1">
      <w:start w:val="1"/>
      <w:numFmt w:val="bullet"/>
      <w:lvlText w:val=""/>
      <w:lvlJc w:val="left"/>
      <w:pPr>
        <w:ind w:left="2160" w:hanging="360"/>
      </w:pPr>
      <w:rPr>
        <w:rFonts w:ascii="Wingdings" w:hAnsi="Wingdings" w:hint="default"/>
      </w:rPr>
    </w:lvl>
    <w:lvl w:ilvl="3" w:tplc="A2D427B6" w:tentative="1">
      <w:start w:val="1"/>
      <w:numFmt w:val="bullet"/>
      <w:lvlText w:val=""/>
      <w:lvlJc w:val="left"/>
      <w:pPr>
        <w:ind w:left="2880" w:hanging="360"/>
      </w:pPr>
      <w:rPr>
        <w:rFonts w:ascii="Symbol" w:hAnsi="Symbol" w:hint="default"/>
      </w:rPr>
    </w:lvl>
    <w:lvl w:ilvl="4" w:tplc="DDFA5862" w:tentative="1">
      <w:start w:val="1"/>
      <w:numFmt w:val="bullet"/>
      <w:lvlText w:val="o"/>
      <w:lvlJc w:val="left"/>
      <w:pPr>
        <w:ind w:left="3600" w:hanging="360"/>
      </w:pPr>
      <w:rPr>
        <w:rFonts w:ascii="Courier New" w:hAnsi="Courier New" w:cs="Courier New" w:hint="default"/>
      </w:rPr>
    </w:lvl>
    <w:lvl w:ilvl="5" w:tplc="35AC7A30" w:tentative="1">
      <w:start w:val="1"/>
      <w:numFmt w:val="bullet"/>
      <w:lvlText w:val=""/>
      <w:lvlJc w:val="left"/>
      <w:pPr>
        <w:ind w:left="4320" w:hanging="360"/>
      </w:pPr>
      <w:rPr>
        <w:rFonts w:ascii="Wingdings" w:hAnsi="Wingdings" w:hint="default"/>
      </w:rPr>
    </w:lvl>
    <w:lvl w:ilvl="6" w:tplc="E3224C32" w:tentative="1">
      <w:start w:val="1"/>
      <w:numFmt w:val="bullet"/>
      <w:lvlText w:val=""/>
      <w:lvlJc w:val="left"/>
      <w:pPr>
        <w:ind w:left="5040" w:hanging="360"/>
      </w:pPr>
      <w:rPr>
        <w:rFonts w:ascii="Symbol" w:hAnsi="Symbol" w:hint="default"/>
      </w:rPr>
    </w:lvl>
    <w:lvl w:ilvl="7" w:tplc="A7281C64" w:tentative="1">
      <w:start w:val="1"/>
      <w:numFmt w:val="bullet"/>
      <w:lvlText w:val="o"/>
      <w:lvlJc w:val="left"/>
      <w:pPr>
        <w:ind w:left="5760" w:hanging="360"/>
      </w:pPr>
      <w:rPr>
        <w:rFonts w:ascii="Courier New" w:hAnsi="Courier New" w:cs="Courier New" w:hint="default"/>
      </w:rPr>
    </w:lvl>
    <w:lvl w:ilvl="8" w:tplc="6FC69762" w:tentative="1">
      <w:start w:val="1"/>
      <w:numFmt w:val="bullet"/>
      <w:lvlText w:val=""/>
      <w:lvlJc w:val="left"/>
      <w:pPr>
        <w:ind w:left="6480" w:hanging="360"/>
      </w:pPr>
      <w:rPr>
        <w:rFonts w:ascii="Wingdings" w:hAnsi="Wingdings" w:hint="default"/>
      </w:rPr>
    </w:lvl>
  </w:abstractNum>
  <w:abstractNum w:abstractNumId="48" w15:restartNumberingAfterBreak="0">
    <w:nsid w:val="1AE752A8"/>
    <w:multiLevelType w:val="multilevel"/>
    <w:tmpl w:val="922870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B87464D"/>
    <w:multiLevelType w:val="hybridMultilevel"/>
    <w:tmpl w:val="6D0251F0"/>
    <w:lvl w:ilvl="0" w:tplc="65A4B90C">
      <w:start w:val="1"/>
      <w:numFmt w:val="bullet"/>
      <w:lvlText w:val=""/>
      <w:lvlJc w:val="left"/>
      <w:pPr>
        <w:ind w:left="720" w:hanging="360"/>
      </w:pPr>
      <w:rPr>
        <w:rFonts w:ascii="Wingdings" w:hAnsi="Wingdings" w:hint="default"/>
      </w:rPr>
    </w:lvl>
    <w:lvl w:ilvl="1" w:tplc="ABDA39C0" w:tentative="1">
      <w:start w:val="1"/>
      <w:numFmt w:val="bullet"/>
      <w:lvlText w:val="o"/>
      <w:lvlJc w:val="left"/>
      <w:pPr>
        <w:ind w:left="1440" w:hanging="360"/>
      </w:pPr>
      <w:rPr>
        <w:rFonts w:ascii="Courier New" w:hAnsi="Courier New" w:cs="Courier New" w:hint="default"/>
      </w:rPr>
    </w:lvl>
    <w:lvl w:ilvl="2" w:tplc="F920CE5C" w:tentative="1">
      <w:start w:val="1"/>
      <w:numFmt w:val="bullet"/>
      <w:lvlText w:val=""/>
      <w:lvlJc w:val="left"/>
      <w:pPr>
        <w:ind w:left="2160" w:hanging="360"/>
      </w:pPr>
      <w:rPr>
        <w:rFonts w:ascii="Wingdings" w:hAnsi="Wingdings" w:hint="default"/>
      </w:rPr>
    </w:lvl>
    <w:lvl w:ilvl="3" w:tplc="589CDF48" w:tentative="1">
      <w:start w:val="1"/>
      <w:numFmt w:val="bullet"/>
      <w:lvlText w:val=""/>
      <w:lvlJc w:val="left"/>
      <w:pPr>
        <w:ind w:left="2880" w:hanging="360"/>
      </w:pPr>
      <w:rPr>
        <w:rFonts w:ascii="Symbol" w:hAnsi="Symbol" w:hint="default"/>
      </w:rPr>
    </w:lvl>
    <w:lvl w:ilvl="4" w:tplc="6902D356" w:tentative="1">
      <w:start w:val="1"/>
      <w:numFmt w:val="bullet"/>
      <w:lvlText w:val="o"/>
      <w:lvlJc w:val="left"/>
      <w:pPr>
        <w:ind w:left="3600" w:hanging="360"/>
      </w:pPr>
      <w:rPr>
        <w:rFonts w:ascii="Courier New" w:hAnsi="Courier New" w:cs="Courier New" w:hint="default"/>
      </w:rPr>
    </w:lvl>
    <w:lvl w:ilvl="5" w:tplc="0EB247F6" w:tentative="1">
      <w:start w:val="1"/>
      <w:numFmt w:val="bullet"/>
      <w:lvlText w:val=""/>
      <w:lvlJc w:val="left"/>
      <w:pPr>
        <w:ind w:left="4320" w:hanging="360"/>
      </w:pPr>
      <w:rPr>
        <w:rFonts w:ascii="Wingdings" w:hAnsi="Wingdings" w:hint="default"/>
      </w:rPr>
    </w:lvl>
    <w:lvl w:ilvl="6" w:tplc="141CF856" w:tentative="1">
      <w:start w:val="1"/>
      <w:numFmt w:val="bullet"/>
      <w:lvlText w:val=""/>
      <w:lvlJc w:val="left"/>
      <w:pPr>
        <w:ind w:left="5040" w:hanging="360"/>
      </w:pPr>
      <w:rPr>
        <w:rFonts w:ascii="Symbol" w:hAnsi="Symbol" w:hint="default"/>
      </w:rPr>
    </w:lvl>
    <w:lvl w:ilvl="7" w:tplc="BEB81362" w:tentative="1">
      <w:start w:val="1"/>
      <w:numFmt w:val="bullet"/>
      <w:lvlText w:val="o"/>
      <w:lvlJc w:val="left"/>
      <w:pPr>
        <w:ind w:left="5760" w:hanging="360"/>
      </w:pPr>
      <w:rPr>
        <w:rFonts w:ascii="Courier New" w:hAnsi="Courier New" w:cs="Courier New" w:hint="default"/>
      </w:rPr>
    </w:lvl>
    <w:lvl w:ilvl="8" w:tplc="0CEAEBF0" w:tentative="1">
      <w:start w:val="1"/>
      <w:numFmt w:val="bullet"/>
      <w:lvlText w:val=""/>
      <w:lvlJc w:val="left"/>
      <w:pPr>
        <w:ind w:left="6480" w:hanging="360"/>
      </w:pPr>
      <w:rPr>
        <w:rFonts w:ascii="Wingdings" w:hAnsi="Wingdings" w:hint="default"/>
      </w:rPr>
    </w:lvl>
  </w:abstractNum>
  <w:abstractNum w:abstractNumId="50" w15:restartNumberingAfterBreak="0">
    <w:nsid w:val="1C006404"/>
    <w:multiLevelType w:val="hybridMultilevel"/>
    <w:tmpl w:val="DA269510"/>
    <w:lvl w:ilvl="0" w:tplc="5CE2DDEE">
      <w:start w:val="1"/>
      <w:numFmt w:val="decimal"/>
      <w:lvlText w:val="%1."/>
      <w:lvlJc w:val="left"/>
      <w:pPr>
        <w:ind w:left="720" w:hanging="360"/>
      </w:pPr>
      <w:rPr>
        <w:rFonts w:hint="default"/>
      </w:rPr>
    </w:lvl>
    <w:lvl w:ilvl="1" w:tplc="6D00185C" w:tentative="1">
      <w:start w:val="1"/>
      <w:numFmt w:val="lowerLetter"/>
      <w:lvlText w:val="%2."/>
      <w:lvlJc w:val="left"/>
      <w:pPr>
        <w:ind w:left="1440" w:hanging="360"/>
      </w:pPr>
    </w:lvl>
    <w:lvl w:ilvl="2" w:tplc="FE5E0DD8" w:tentative="1">
      <w:start w:val="1"/>
      <w:numFmt w:val="lowerRoman"/>
      <w:lvlText w:val="%3."/>
      <w:lvlJc w:val="right"/>
      <w:pPr>
        <w:ind w:left="2160" w:hanging="180"/>
      </w:pPr>
    </w:lvl>
    <w:lvl w:ilvl="3" w:tplc="6AE07FCA" w:tentative="1">
      <w:start w:val="1"/>
      <w:numFmt w:val="decimal"/>
      <w:lvlText w:val="%4."/>
      <w:lvlJc w:val="left"/>
      <w:pPr>
        <w:ind w:left="2880" w:hanging="360"/>
      </w:pPr>
    </w:lvl>
    <w:lvl w:ilvl="4" w:tplc="D2D84D14" w:tentative="1">
      <w:start w:val="1"/>
      <w:numFmt w:val="lowerLetter"/>
      <w:lvlText w:val="%5."/>
      <w:lvlJc w:val="left"/>
      <w:pPr>
        <w:ind w:left="3600" w:hanging="360"/>
      </w:pPr>
    </w:lvl>
    <w:lvl w:ilvl="5" w:tplc="6862F8CC" w:tentative="1">
      <w:start w:val="1"/>
      <w:numFmt w:val="lowerRoman"/>
      <w:lvlText w:val="%6."/>
      <w:lvlJc w:val="right"/>
      <w:pPr>
        <w:ind w:left="4320" w:hanging="180"/>
      </w:pPr>
    </w:lvl>
    <w:lvl w:ilvl="6" w:tplc="6144F5B4" w:tentative="1">
      <w:start w:val="1"/>
      <w:numFmt w:val="decimal"/>
      <w:lvlText w:val="%7."/>
      <w:lvlJc w:val="left"/>
      <w:pPr>
        <w:ind w:left="5040" w:hanging="360"/>
      </w:pPr>
    </w:lvl>
    <w:lvl w:ilvl="7" w:tplc="BAE44A6E" w:tentative="1">
      <w:start w:val="1"/>
      <w:numFmt w:val="lowerLetter"/>
      <w:lvlText w:val="%8."/>
      <w:lvlJc w:val="left"/>
      <w:pPr>
        <w:ind w:left="5760" w:hanging="360"/>
      </w:pPr>
    </w:lvl>
    <w:lvl w:ilvl="8" w:tplc="BB5EB48A" w:tentative="1">
      <w:start w:val="1"/>
      <w:numFmt w:val="lowerRoman"/>
      <w:lvlText w:val="%9."/>
      <w:lvlJc w:val="right"/>
      <w:pPr>
        <w:ind w:left="6480" w:hanging="180"/>
      </w:pPr>
    </w:lvl>
  </w:abstractNum>
  <w:abstractNum w:abstractNumId="51" w15:restartNumberingAfterBreak="0">
    <w:nsid w:val="1C7A2165"/>
    <w:multiLevelType w:val="multilevel"/>
    <w:tmpl w:val="ABCA0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E380913"/>
    <w:multiLevelType w:val="multilevel"/>
    <w:tmpl w:val="219E22FC"/>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1E695B3A"/>
    <w:multiLevelType w:val="multilevel"/>
    <w:tmpl w:val="485A2060"/>
    <w:lvl w:ilvl="0">
      <w:numFmt w:val="bullet"/>
      <w:lvlText w:val="-"/>
      <w:lvlJc w:val="left"/>
      <w:pPr>
        <w:ind w:left="720" w:hanging="360"/>
      </w:pPr>
      <w:rPr>
        <w:rFonts w:ascii="Calibri" w:eastAsiaTheme="minorHAnsi" w:hAnsi="Calibri"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1ED51217"/>
    <w:multiLevelType w:val="hybridMultilevel"/>
    <w:tmpl w:val="B5E6CF78"/>
    <w:lvl w:ilvl="0" w:tplc="96B4E684">
      <w:start w:val="1"/>
      <w:numFmt w:val="bullet"/>
      <w:lvlText w:val="►"/>
      <w:lvlJc w:val="left"/>
      <w:pPr>
        <w:ind w:left="360" w:hanging="360"/>
      </w:pPr>
      <w:rPr>
        <w:rFonts w:ascii="Book Antiqua" w:eastAsiaTheme="minorHAnsi" w:hAnsi="Book Antiqua" w:cstheme="minorBidi" w:hint="default"/>
      </w:rPr>
    </w:lvl>
    <w:lvl w:ilvl="1" w:tplc="158C09F8" w:tentative="1">
      <w:start w:val="1"/>
      <w:numFmt w:val="bullet"/>
      <w:lvlText w:val="o"/>
      <w:lvlJc w:val="left"/>
      <w:pPr>
        <w:ind w:left="1080" w:hanging="360"/>
      </w:pPr>
      <w:rPr>
        <w:rFonts w:ascii="Courier New" w:hAnsi="Courier New" w:cs="Courier New" w:hint="default"/>
      </w:rPr>
    </w:lvl>
    <w:lvl w:ilvl="2" w:tplc="C6AAF9E0" w:tentative="1">
      <w:start w:val="1"/>
      <w:numFmt w:val="bullet"/>
      <w:lvlText w:val=""/>
      <w:lvlJc w:val="left"/>
      <w:pPr>
        <w:ind w:left="1800" w:hanging="360"/>
      </w:pPr>
      <w:rPr>
        <w:rFonts w:ascii="Wingdings" w:hAnsi="Wingdings" w:hint="default"/>
      </w:rPr>
    </w:lvl>
    <w:lvl w:ilvl="3" w:tplc="897E1EA8" w:tentative="1">
      <w:start w:val="1"/>
      <w:numFmt w:val="bullet"/>
      <w:lvlText w:val=""/>
      <w:lvlJc w:val="left"/>
      <w:pPr>
        <w:ind w:left="2520" w:hanging="360"/>
      </w:pPr>
      <w:rPr>
        <w:rFonts w:ascii="Symbol" w:hAnsi="Symbol" w:hint="default"/>
      </w:rPr>
    </w:lvl>
    <w:lvl w:ilvl="4" w:tplc="7AB4D730" w:tentative="1">
      <w:start w:val="1"/>
      <w:numFmt w:val="bullet"/>
      <w:lvlText w:val="o"/>
      <w:lvlJc w:val="left"/>
      <w:pPr>
        <w:ind w:left="3240" w:hanging="360"/>
      </w:pPr>
      <w:rPr>
        <w:rFonts w:ascii="Courier New" w:hAnsi="Courier New" w:cs="Courier New" w:hint="default"/>
      </w:rPr>
    </w:lvl>
    <w:lvl w:ilvl="5" w:tplc="EB9E938A" w:tentative="1">
      <w:start w:val="1"/>
      <w:numFmt w:val="bullet"/>
      <w:lvlText w:val=""/>
      <w:lvlJc w:val="left"/>
      <w:pPr>
        <w:ind w:left="3960" w:hanging="360"/>
      </w:pPr>
      <w:rPr>
        <w:rFonts w:ascii="Wingdings" w:hAnsi="Wingdings" w:hint="default"/>
      </w:rPr>
    </w:lvl>
    <w:lvl w:ilvl="6" w:tplc="9A147AFE" w:tentative="1">
      <w:start w:val="1"/>
      <w:numFmt w:val="bullet"/>
      <w:lvlText w:val=""/>
      <w:lvlJc w:val="left"/>
      <w:pPr>
        <w:ind w:left="4680" w:hanging="360"/>
      </w:pPr>
      <w:rPr>
        <w:rFonts w:ascii="Symbol" w:hAnsi="Symbol" w:hint="default"/>
      </w:rPr>
    </w:lvl>
    <w:lvl w:ilvl="7" w:tplc="BDBAFF64" w:tentative="1">
      <w:start w:val="1"/>
      <w:numFmt w:val="bullet"/>
      <w:lvlText w:val="o"/>
      <w:lvlJc w:val="left"/>
      <w:pPr>
        <w:ind w:left="5400" w:hanging="360"/>
      </w:pPr>
      <w:rPr>
        <w:rFonts w:ascii="Courier New" w:hAnsi="Courier New" w:cs="Courier New" w:hint="default"/>
      </w:rPr>
    </w:lvl>
    <w:lvl w:ilvl="8" w:tplc="429E2180" w:tentative="1">
      <w:start w:val="1"/>
      <w:numFmt w:val="bullet"/>
      <w:lvlText w:val=""/>
      <w:lvlJc w:val="left"/>
      <w:pPr>
        <w:ind w:left="6120" w:hanging="360"/>
      </w:pPr>
      <w:rPr>
        <w:rFonts w:ascii="Wingdings" w:hAnsi="Wingdings" w:hint="default"/>
      </w:rPr>
    </w:lvl>
  </w:abstractNum>
  <w:abstractNum w:abstractNumId="55" w15:restartNumberingAfterBreak="0">
    <w:nsid w:val="1F1E0B3D"/>
    <w:multiLevelType w:val="multilevel"/>
    <w:tmpl w:val="BE1CDE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F3568ED"/>
    <w:multiLevelType w:val="hybridMultilevel"/>
    <w:tmpl w:val="925C36EE"/>
    <w:lvl w:ilvl="0" w:tplc="D20EE448">
      <w:start w:val="1"/>
      <w:numFmt w:val="bullet"/>
      <w:lvlText w:val=""/>
      <w:lvlJc w:val="left"/>
      <w:pPr>
        <w:ind w:left="720" w:hanging="360"/>
      </w:pPr>
      <w:rPr>
        <w:rFonts w:ascii="Symbol" w:hAnsi="Symbol" w:hint="default"/>
      </w:rPr>
    </w:lvl>
    <w:lvl w:ilvl="1" w:tplc="1B4A3898" w:tentative="1">
      <w:start w:val="1"/>
      <w:numFmt w:val="bullet"/>
      <w:lvlText w:val="o"/>
      <w:lvlJc w:val="left"/>
      <w:pPr>
        <w:ind w:left="1440" w:hanging="360"/>
      </w:pPr>
      <w:rPr>
        <w:rFonts w:ascii="Courier New" w:hAnsi="Courier New" w:cs="Courier New" w:hint="default"/>
      </w:rPr>
    </w:lvl>
    <w:lvl w:ilvl="2" w:tplc="9FBC9FAE" w:tentative="1">
      <w:start w:val="1"/>
      <w:numFmt w:val="bullet"/>
      <w:lvlText w:val=""/>
      <w:lvlJc w:val="left"/>
      <w:pPr>
        <w:ind w:left="2160" w:hanging="360"/>
      </w:pPr>
      <w:rPr>
        <w:rFonts w:ascii="Wingdings" w:hAnsi="Wingdings" w:hint="default"/>
      </w:rPr>
    </w:lvl>
    <w:lvl w:ilvl="3" w:tplc="3CC6C0BE" w:tentative="1">
      <w:start w:val="1"/>
      <w:numFmt w:val="bullet"/>
      <w:lvlText w:val=""/>
      <w:lvlJc w:val="left"/>
      <w:pPr>
        <w:ind w:left="2880" w:hanging="360"/>
      </w:pPr>
      <w:rPr>
        <w:rFonts w:ascii="Symbol" w:hAnsi="Symbol" w:hint="default"/>
      </w:rPr>
    </w:lvl>
    <w:lvl w:ilvl="4" w:tplc="DFBCB78A" w:tentative="1">
      <w:start w:val="1"/>
      <w:numFmt w:val="bullet"/>
      <w:lvlText w:val="o"/>
      <w:lvlJc w:val="left"/>
      <w:pPr>
        <w:ind w:left="3600" w:hanging="360"/>
      </w:pPr>
      <w:rPr>
        <w:rFonts w:ascii="Courier New" w:hAnsi="Courier New" w:cs="Courier New" w:hint="default"/>
      </w:rPr>
    </w:lvl>
    <w:lvl w:ilvl="5" w:tplc="DD50D550" w:tentative="1">
      <w:start w:val="1"/>
      <w:numFmt w:val="bullet"/>
      <w:lvlText w:val=""/>
      <w:lvlJc w:val="left"/>
      <w:pPr>
        <w:ind w:left="4320" w:hanging="360"/>
      </w:pPr>
      <w:rPr>
        <w:rFonts w:ascii="Wingdings" w:hAnsi="Wingdings" w:hint="default"/>
      </w:rPr>
    </w:lvl>
    <w:lvl w:ilvl="6" w:tplc="06DA284C" w:tentative="1">
      <w:start w:val="1"/>
      <w:numFmt w:val="bullet"/>
      <w:lvlText w:val=""/>
      <w:lvlJc w:val="left"/>
      <w:pPr>
        <w:ind w:left="5040" w:hanging="360"/>
      </w:pPr>
      <w:rPr>
        <w:rFonts w:ascii="Symbol" w:hAnsi="Symbol" w:hint="default"/>
      </w:rPr>
    </w:lvl>
    <w:lvl w:ilvl="7" w:tplc="69C2B514" w:tentative="1">
      <w:start w:val="1"/>
      <w:numFmt w:val="bullet"/>
      <w:lvlText w:val="o"/>
      <w:lvlJc w:val="left"/>
      <w:pPr>
        <w:ind w:left="5760" w:hanging="360"/>
      </w:pPr>
      <w:rPr>
        <w:rFonts w:ascii="Courier New" w:hAnsi="Courier New" w:cs="Courier New" w:hint="default"/>
      </w:rPr>
    </w:lvl>
    <w:lvl w:ilvl="8" w:tplc="4CB67710" w:tentative="1">
      <w:start w:val="1"/>
      <w:numFmt w:val="bullet"/>
      <w:lvlText w:val=""/>
      <w:lvlJc w:val="left"/>
      <w:pPr>
        <w:ind w:left="6480" w:hanging="360"/>
      </w:pPr>
      <w:rPr>
        <w:rFonts w:ascii="Wingdings" w:hAnsi="Wingdings" w:hint="default"/>
      </w:rPr>
    </w:lvl>
  </w:abstractNum>
  <w:abstractNum w:abstractNumId="57" w15:restartNumberingAfterBreak="0">
    <w:nsid w:val="1FA41BB6"/>
    <w:multiLevelType w:val="hybridMultilevel"/>
    <w:tmpl w:val="35600048"/>
    <w:lvl w:ilvl="0" w:tplc="DF5C5D6A">
      <w:start w:val="1"/>
      <w:numFmt w:val="decimal"/>
      <w:lvlText w:val="%1."/>
      <w:lvlJc w:val="left"/>
      <w:pPr>
        <w:ind w:left="1080" w:hanging="72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58" w15:restartNumberingAfterBreak="0">
    <w:nsid w:val="1FB777F4"/>
    <w:multiLevelType w:val="hybridMultilevel"/>
    <w:tmpl w:val="D108D542"/>
    <w:lvl w:ilvl="0" w:tplc="112C437C">
      <w:start w:val="1"/>
      <w:numFmt w:val="bullet"/>
      <w:lvlText w:val=""/>
      <w:lvlJc w:val="left"/>
      <w:pPr>
        <w:ind w:left="720" w:hanging="360"/>
      </w:pPr>
      <w:rPr>
        <w:rFonts w:ascii="Wingdings" w:hAnsi="Wingdings" w:hint="default"/>
      </w:rPr>
    </w:lvl>
    <w:lvl w:ilvl="1" w:tplc="38C404BC" w:tentative="1">
      <w:start w:val="1"/>
      <w:numFmt w:val="bullet"/>
      <w:lvlText w:val="o"/>
      <w:lvlJc w:val="left"/>
      <w:pPr>
        <w:ind w:left="1440" w:hanging="360"/>
      </w:pPr>
      <w:rPr>
        <w:rFonts w:ascii="Courier New" w:hAnsi="Courier New" w:cs="Courier New" w:hint="default"/>
      </w:rPr>
    </w:lvl>
    <w:lvl w:ilvl="2" w:tplc="1F9CFCBE" w:tentative="1">
      <w:start w:val="1"/>
      <w:numFmt w:val="bullet"/>
      <w:lvlText w:val=""/>
      <w:lvlJc w:val="left"/>
      <w:pPr>
        <w:ind w:left="2160" w:hanging="360"/>
      </w:pPr>
      <w:rPr>
        <w:rFonts w:ascii="Wingdings" w:hAnsi="Wingdings" w:hint="default"/>
      </w:rPr>
    </w:lvl>
    <w:lvl w:ilvl="3" w:tplc="CCCE9A12" w:tentative="1">
      <w:start w:val="1"/>
      <w:numFmt w:val="bullet"/>
      <w:lvlText w:val=""/>
      <w:lvlJc w:val="left"/>
      <w:pPr>
        <w:ind w:left="2880" w:hanging="360"/>
      </w:pPr>
      <w:rPr>
        <w:rFonts w:ascii="Symbol" w:hAnsi="Symbol" w:hint="default"/>
      </w:rPr>
    </w:lvl>
    <w:lvl w:ilvl="4" w:tplc="433CC792" w:tentative="1">
      <w:start w:val="1"/>
      <w:numFmt w:val="bullet"/>
      <w:lvlText w:val="o"/>
      <w:lvlJc w:val="left"/>
      <w:pPr>
        <w:ind w:left="3600" w:hanging="360"/>
      </w:pPr>
      <w:rPr>
        <w:rFonts w:ascii="Courier New" w:hAnsi="Courier New" w:cs="Courier New" w:hint="default"/>
      </w:rPr>
    </w:lvl>
    <w:lvl w:ilvl="5" w:tplc="D50812CA" w:tentative="1">
      <w:start w:val="1"/>
      <w:numFmt w:val="bullet"/>
      <w:lvlText w:val=""/>
      <w:lvlJc w:val="left"/>
      <w:pPr>
        <w:ind w:left="4320" w:hanging="360"/>
      </w:pPr>
      <w:rPr>
        <w:rFonts w:ascii="Wingdings" w:hAnsi="Wingdings" w:hint="default"/>
      </w:rPr>
    </w:lvl>
    <w:lvl w:ilvl="6" w:tplc="0E30BA80" w:tentative="1">
      <w:start w:val="1"/>
      <w:numFmt w:val="bullet"/>
      <w:lvlText w:val=""/>
      <w:lvlJc w:val="left"/>
      <w:pPr>
        <w:ind w:left="5040" w:hanging="360"/>
      </w:pPr>
      <w:rPr>
        <w:rFonts w:ascii="Symbol" w:hAnsi="Symbol" w:hint="default"/>
      </w:rPr>
    </w:lvl>
    <w:lvl w:ilvl="7" w:tplc="38660C30" w:tentative="1">
      <w:start w:val="1"/>
      <w:numFmt w:val="bullet"/>
      <w:lvlText w:val="o"/>
      <w:lvlJc w:val="left"/>
      <w:pPr>
        <w:ind w:left="5760" w:hanging="360"/>
      </w:pPr>
      <w:rPr>
        <w:rFonts w:ascii="Courier New" w:hAnsi="Courier New" w:cs="Courier New" w:hint="default"/>
      </w:rPr>
    </w:lvl>
    <w:lvl w:ilvl="8" w:tplc="D3D2C3E2" w:tentative="1">
      <w:start w:val="1"/>
      <w:numFmt w:val="bullet"/>
      <w:lvlText w:val=""/>
      <w:lvlJc w:val="left"/>
      <w:pPr>
        <w:ind w:left="6480" w:hanging="360"/>
      </w:pPr>
      <w:rPr>
        <w:rFonts w:ascii="Wingdings" w:hAnsi="Wingdings" w:hint="default"/>
      </w:rPr>
    </w:lvl>
  </w:abstractNum>
  <w:abstractNum w:abstractNumId="59" w15:restartNumberingAfterBreak="0">
    <w:nsid w:val="1FC21086"/>
    <w:multiLevelType w:val="multilevel"/>
    <w:tmpl w:val="19D6914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010498B"/>
    <w:multiLevelType w:val="hybridMultilevel"/>
    <w:tmpl w:val="6E9A7C68"/>
    <w:lvl w:ilvl="0" w:tplc="06A8B7A8">
      <w:start w:val="1"/>
      <w:numFmt w:val="upperRoman"/>
      <w:lvlText w:val="%1-"/>
      <w:lvlJc w:val="left"/>
      <w:pPr>
        <w:ind w:left="1080" w:hanging="720"/>
      </w:pPr>
      <w:rPr>
        <w:rFonts w:hint="default"/>
      </w:rPr>
    </w:lvl>
    <w:lvl w:ilvl="1" w:tplc="19728874" w:tentative="1">
      <w:start w:val="1"/>
      <w:numFmt w:val="lowerLetter"/>
      <w:lvlText w:val="%2."/>
      <w:lvlJc w:val="left"/>
      <w:pPr>
        <w:ind w:left="1440" w:hanging="360"/>
      </w:pPr>
    </w:lvl>
    <w:lvl w:ilvl="2" w:tplc="63CE38D2" w:tentative="1">
      <w:start w:val="1"/>
      <w:numFmt w:val="lowerRoman"/>
      <w:lvlText w:val="%3."/>
      <w:lvlJc w:val="right"/>
      <w:pPr>
        <w:ind w:left="2160" w:hanging="180"/>
      </w:pPr>
    </w:lvl>
    <w:lvl w:ilvl="3" w:tplc="37C86F76" w:tentative="1">
      <w:start w:val="1"/>
      <w:numFmt w:val="decimal"/>
      <w:lvlText w:val="%4."/>
      <w:lvlJc w:val="left"/>
      <w:pPr>
        <w:ind w:left="2880" w:hanging="360"/>
      </w:pPr>
    </w:lvl>
    <w:lvl w:ilvl="4" w:tplc="924AB6F0" w:tentative="1">
      <w:start w:val="1"/>
      <w:numFmt w:val="lowerLetter"/>
      <w:lvlText w:val="%5."/>
      <w:lvlJc w:val="left"/>
      <w:pPr>
        <w:ind w:left="3600" w:hanging="360"/>
      </w:pPr>
    </w:lvl>
    <w:lvl w:ilvl="5" w:tplc="8C4CD3C2" w:tentative="1">
      <w:start w:val="1"/>
      <w:numFmt w:val="lowerRoman"/>
      <w:lvlText w:val="%6."/>
      <w:lvlJc w:val="right"/>
      <w:pPr>
        <w:ind w:left="4320" w:hanging="180"/>
      </w:pPr>
    </w:lvl>
    <w:lvl w:ilvl="6" w:tplc="31F29A7E" w:tentative="1">
      <w:start w:val="1"/>
      <w:numFmt w:val="decimal"/>
      <w:lvlText w:val="%7."/>
      <w:lvlJc w:val="left"/>
      <w:pPr>
        <w:ind w:left="5040" w:hanging="360"/>
      </w:pPr>
    </w:lvl>
    <w:lvl w:ilvl="7" w:tplc="7F3A540C" w:tentative="1">
      <w:start w:val="1"/>
      <w:numFmt w:val="lowerLetter"/>
      <w:lvlText w:val="%8."/>
      <w:lvlJc w:val="left"/>
      <w:pPr>
        <w:ind w:left="5760" w:hanging="360"/>
      </w:pPr>
    </w:lvl>
    <w:lvl w:ilvl="8" w:tplc="B858AF86" w:tentative="1">
      <w:start w:val="1"/>
      <w:numFmt w:val="lowerRoman"/>
      <w:lvlText w:val="%9."/>
      <w:lvlJc w:val="right"/>
      <w:pPr>
        <w:ind w:left="6480" w:hanging="180"/>
      </w:pPr>
    </w:lvl>
  </w:abstractNum>
  <w:abstractNum w:abstractNumId="61" w15:restartNumberingAfterBreak="0">
    <w:nsid w:val="20771BBE"/>
    <w:multiLevelType w:val="hybridMultilevel"/>
    <w:tmpl w:val="F8441064"/>
    <w:lvl w:ilvl="0" w:tplc="9CD2AD18">
      <w:start w:val="1"/>
      <w:numFmt w:val="decimal"/>
      <w:lvlText w:val="%1."/>
      <w:lvlJc w:val="left"/>
      <w:pPr>
        <w:ind w:left="720" w:hanging="360"/>
      </w:pPr>
      <w:rPr>
        <w:rFonts w:hint="default"/>
      </w:rPr>
    </w:lvl>
    <w:lvl w:ilvl="1" w:tplc="F5AE9888" w:tentative="1">
      <w:start w:val="1"/>
      <w:numFmt w:val="lowerLetter"/>
      <w:lvlText w:val="%2."/>
      <w:lvlJc w:val="left"/>
      <w:pPr>
        <w:ind w:left="1440" w:hanging="360"/>
      </w:pPr>
    </w:lvl>
    <w:lvl w:ilvl="2" w:tplc="490494FC" w:tentative="1">
      <w:start w:val="1"/>
      <w:numFmt w:val="lowerRoman"/>
      <w:lvlText w:val="%3."/>
      <w:lvlJc w:val="right"/>
      <w:pPr>
        <w:ind w:left="2160" w:hanging="180"/>
      </w:pPr>
    </w:lvl>
    <w:lvl w:ilvl="3" w:tplc="1E2E1684" w:tentative="1">
      <w:start w:val="1"/>
      <w:numFmt w:val="decimal"/>
      <w:lvlText w:val="%4."/>
      <w:lvlJc w:val="left"/>
      <w:pPr>
        <w:ind w:left="2880" w:hanging="360"/>
      </w:pPr>
    </w:lvl>
    <w:lvl w:ilvl="4" w:tplc="46F6CD3E" w:tentative="1">
      <w:start w:val="1"/>
      <w:numFmt w:val="lowerLetter"/>
      <w:lvlText w:val="%5."/>
      <w:lvlJc w:val="left"/>
      <w:pPr>
        <w:ind w:left="3600" w:hanging="360"/>
      </w:pPr>
    </w:lvl>
    <w:lvl w:ilvl="5" w:tplc="4B56A2D6" w:tentative="1">
      <w:start w:val="1"/>
      <w:numFmt w:val="lowerRoman"/>
      <w:lvlText w:val="%6."/>
      <w:lvlJc w:val="right"/>
      <w:pPr>
        <w:ind w:left="4320" w:hanging="180"/>
      </w:pPr>
    </w:lvl>
    <w:lvl w:ilvl="6" w:tplc="951258B0" w:tentative="1">
      <w:start w:val="1"/>
      <w:numFmt w:val="decimal"/>
      <w:lvlText w:val="%7."/>
      <w:lvlJc w:val="left"/>
      <w:pPr>
        <w:ind w:left="5040" w:hanging="360"/>
      </w:pPr>
    </w:lvl>
    <w:lvl w:ilvl="7" w:tplc="BE58BB20" w:tentative="1">
      <w:start w:val="1"/>
      <w:numFmt w:val="lowerLetter"/>
      <w:lvlText w:val="%8."/>
      <w:lvlJc w:val="left"/>
      <w:pPr>
        <w:ind w:left="5760" w:hanging="360"/>
      </w:pPr>
    </w:lvl>
    <w:lvl w:ilvl="8" w:tplc="510820CA" w:tentative="1">
      <w:start w:val="1"/>
      <w:numFmt w:val="lowerRoman"/>
      <w:lvlText w:val="%9."/>
      <w:lvlJc w:val="right"/>
      <w:pPr>
        <w:ind w:left="6480" w:hanging="180"/>
      </w:pPr>
    </w:lvl>
  </w:abstractNum>
  <w:abstractNum w:abstractNumId="62" w15:restartNumberingAfterBreak="0">
    <w:nsid w:val="217E221D"/>
    <w:multiLevelType w:val="hybridMultilevel"/>
    <w:tmpl w:val="A91C125C"/>
    <w:lvl w:ilvl="0" w:tplc="B9E8AC92">
      <w:start w:val="4"/>
      <w:numFmt w:val="bullet"/>
      <w:lvlText w:val="-"/>
      <w:lvlJc w:val="left"/>
      <w:pPr>
        <w:ind w:left="720" w:hanging="360"/>
      </w:pPr>
      <w:rPr>
        <w:rFonts w:ascii="Times New Roman" w:eastAsia="Times New Roman" w:hAnsi="Times New Roman" w:cs="Times New Roman" w:hint="default"/>
      </w:rPr>
    </w:lvl>
    <w:lvl w:ilvl="1" w:tplc="D9E26982" w:tentative="1">
      <w:start w:val="1"/>
      <w:numFmt w:val="bullet"/>
      <w:lvlText w:val="o"/>
      <w:lvlJc w:val="left"/>
      <w:pPr>
        <w:ind w:left="1440" w:hanging="360"/>
      </w:pPr>
      <w:rPr>
        <w:rFonts w:ascii="Courier New" w:hAnsi="Courier New" w:cs="Courier New" w:hint="default"/>
      </w:rPr>
    </w:lvl>
    <w:lvl w:ilvl="2" w:tplc="F9EA325E" w:tentative="1">
      <w:start w:val="1"/>
      <w:numFmt w:val="bullet"/>
      <w:lvlText w:val=""/>
      <w:lvlJc w:val="left"/>
      <w:pPr>
        <w:ind w:left="2160" w:hanging="360"/>
      </w:pPr>
      <w:rPr>
        <w:rFonts w:ascii="Wingdings" w:hAnsi="Wingdings" w:hint="default"/>
      </w:rPr>
    </w:lvl>
    <w:lvl w:ilvl="3" w:tplc="8CCCD16E" w:tentative="1">
      <w:start w:val="1"/>
      <w:numFmt w:val="bullet"/>
      <w:lvlText w:val=""/>
      <w:lvlJc w:val="left"/>
      <w:pPr>
        <w:ind w:left="2880" w:hanging="360"/>
      </w:pPr>
      <w:rPr>
        <w:rFonts w:ascii="Symbol" w:hAnsi="Symbol" w:hint="default"/>
      </w:rPr>
    </w:lvl>
    <w:lvl w:ilvl="4" w:tplc="0866A516" w:tentative="1">
      <w:start w:val="1"/>
      <w:numFmt w:val="bullet"/>
      <w:lvlText w:val="o"/>
      <w:lvlJc w:val="left"/>
      <w:pPr>
        <w:ind w:left="3600" w:hanging="360"/>
      </w:pPr>
      <w:rPr>
        <w:rFonts w:ascii="Courier New" w:hAnsi="Courier New" w:cs="Courier New" w:hint="default"/>
      </w:rPr>
    </w:lvl>
    <w:lvl w:ilvl="5" w:tplc="DC8EE84E" w:tentative="1">
      <w:start w:val="1"/>
      <w:numFmt w:val="bullet"/>
      <w:lvlText w:val=""/>
      <w:lvlJc w:val="left"/>
      <w:pPr>
        <w:ind w:left="4320" w:hanging="360"/>
      </w:pPr>
      <w:rPr>
        <w:rFonts w:ascii="Wingdings" w:hAnsi="Wingdings" w:hint="default"/>
      </w:rPr>
    </w:lvl>
    <w:lvl w:ilvl="6" w:tplc="7F460D4C" w:tentative="1">
      <w:start w:val="1"/>
      <w:numFmt w:val="bullet"/>
      <w:lvlText w:val=""/>
      <w:lvlJc w:val="left"/>
      <w:pPr>
        <w:ind w:left="5040" w:hanging="360"/>
      </w:pPr>
      <w:rPr>
        <w:rFonts w:ascii="Symbol" w:hAnsi="Symbol" w:hint="default"/>
      </w:rPr>
    </w:lvl>
    <w:lvl w:ilvl="7" w:tplc="79A658DE" w:tentative="1">
      <w:start w:val="1"/>
      <w:numFmt w:val="bullet"/>
      <w:lvlText w:val="o"/>
      <w:lvlJc w:val="left"/>
      <w:pPr>
        <w:ind w:left="5760" w:hanging="360"/>
      </w:pPr>
      <w:rPr>
        <w:rFonts w:ascii="Courier New" w:hAnsi="Courier New" w:cs="Courier New" w:hint="default"/>
      </w:rPr>
    </w:lvl>
    <w:lvl w:ilvl="8" w:tplc="A36E5DFC" w:tentative="1">
      <w:start w:val="1"/>
      <w:numFmt w:val="bullet"/>
      <w:lvlText w:val=""/>
      <w:lvlJc w:val="left"/>
      <w:pPr>
        <w:ind w:left="6480" w:hanging="360"/>
      </w:pPr>
      <w:rPr>
        <w:rFonts w:ascii="Wingdings" w:hAnsi="Wingdings" w:hint="default"/>
      </w:rPr>
    </w:lvl>
  </w:abstractNum>
  <w:abstractNum w:abstractNumId="63" w15:restartNumberingAfterBreak="0">
    <w:nsid w:val="21AE47A8"/>
    <w:multiLevelType w:val="hybridMultilevel"/>
    <w:tmpl w:val="80B2BE26"/>
    <w:lvl w:ilvl="0" w:tplc="1A685350">
      <w:start w:val="5"/>
      <w:numFmt w:val="bullet"/>
      <w:lvlText w:val="-"/>
      <w:lvlJc w:val="left"/>
      <w:pPr>
        <w:ind w:left="1440" w:hanging="360"/>
      </w:pPr>
      <w:rPr>
        <w:rFonts w:ascii="Times New Roman" w:eastAsiaTheme="minorHAnsi" w:hAnsi="Times New Roman"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21DB0402"/>
    <w:multiLevelType w:val="multilevel"/>
    <w:tmpl w:val="2BCA336E"/>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22141DF1"/>
    <w:multiLevelType w:val="multilevel"/>
    <w:tmpl w:val="3E2EEB9E"/>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22401AD8"/>
    <w:multiLevelType w:val="hybridMultilevel"/>
    <w:tmpl w:val="308A7834"/>
    <w:lvl w:ilvl="0" w:tplc="A57AE6B8">
      <w:start w:val="1"/>
      <w:numFmt w:val="bullet"/>
      <w:lvlText w:val=""/>
      <w:lvlJc w:val="left"/>
      <w:pPr>
        <w:ind w:left="720" w:hanging="360"/>
      </w:pPr>
      <w:rPr>
        <w:rFonts w:ascii="Wingdings" w:hAnsi="Wingdings" w:hint="default"/>
      </w:rPr>
    </w:lvl>
    <w:lvl w:ilvl="1" w:tplc="9EACBCC8" w:tentative="1">
      <w:start w:val="1"/>
      <w:numFmt w:val="bullet"/>
      <w:lvlText w:val="o"/>
      <w:lvlJc w:val="left"/>
      <w:pPr>
        <w:ind w:left="1440" w:hanging="360"/>
      </w:pPr>
      <w:rPr>
        <w:rFonts w:ascii="Courier New" w:hAnsi="Courier New" w:cs="Courier New" w:hint="default"/>
      </w:rPr>
    </w:lvl>
    <w:lvl w:ilvl="2" w:tplc="EB9C5276" w:tentative="1">
      <w:start w:val="1"/>
      <w:numFmt w:val="bullet"/>
      <w:lvlText w:val=""/>
      <w:lvlJc w:val="left"/>
      <w:pPr>
        <w:ind w:left="2160" w:hanging="360"/>
      </w:pPr>
      <w:rPr>
        <w:rFonts w:ascii="Wingdings" w:hAnsi="Wingdings" w:hint="default"/>
      </w:rPr>
    </w:lvl>
    <w:lvl w:ilvl="3" w:tplc="F40AC15E" w:tentative="1">
      <w:start w:val="1"/>
      <w:numFmt w:val="bullet"/>
      <w:lvlText w:val=""/>
      <w:lvlJc w:val="left"/>
      <w:pPr>
        <w:ind w:left="2880" w:hanging="360"/>
      </w:pPr>
      <w:rPr>
        <w:rFonts w:ascii="Symbol" w:hAnsi="Symbol" w:hint="default"/>
      </w:rPr>
    </w:lvl>
    <w:lvl w:ilvl="4" w:tplc="A350E53C" w:tentative="1">
      <w:start w:val="1"/>
      <w:numFmt w:val="bullet"/>
      <w:lvlText w:val="o"/>
      <w:lvlJc w:val="left"/>
      <w:pPr>
        <w:ind w:left="3600" w:hanging="360"/>
      </w:pPr>
      <w:rPr>
        <w:rFonts w:ascii="Courier New" w:hAnsi="Courier New" w:cs="Courier New" w:hint="default"/>
      </w:rPr>
    </w:lvl>
    <w:lvl w:ilvl="5" w:tplc="EAECEBA6" w:tentative="1">
      <w:start w:val="1"/>
      <w:numFmt w:val="bullet"/>
      <w:lvlText w:val=""/>
      <w:lvlJc w:val="left"/>
      <w:pPr>
        <w:ind w:left="4320" w:hanging="360"/>
      </w:pPr>
      <w:rPr>
        <w:rFonts w:ascii="Wingdings" w:hAnsi="Wingdings" w:hint="default"/>
      </w:rPr>
    </w:lvl>
    <w:lvl w:ilvl="6" w:tplc="E72C29F6" w:tentative="1">
      <w:start w:val="1"/>
      <w:numFmt w:val="bullet"/>
      <w:lvlText w:val=""/>
      <w:lvlJc w:val="left"/>
      <w:pPr>
        <w:ind w:left="5040" w:hanging="360"/>
      </w:pPr>
      <w:rPr>
        <w:rFonts w:ascii="Symbol" w:hAnsi="Symbol" w:hint="default"/>
      </w:rPr>
    </w:lvl>
    <w:lvl w:ilvl="7" w:tplc="15A2465C" w:tentative="1">
      <w:start w:val="1"/>
      <w:numFmt w:val="bullet"/>
      <w:lvlText w:val="o"/>
      <w:lvlJc w:val="left"/>
      <w:pPr>
        <w:ind w:left="5760" w:hanging="360"/>
      </w:pPr>
      <w:rPr>
        <w:rFonts w:ascii="Courier New" w:hAnsi="Courier New" w:cs="Courier New" w:hint="default"/>
      </w:rPr>
    </w:lvl>
    <w:lvl w:ilvl="8" w:tplc="ABEAC4F6" w:tentative="1">
      <w:start w:val="1"/>
      <w:numFmt w:val="bullet"/>
      <w:lvlText w:val=""/>
      <w:lvlJc w:val="left"/>
      <w:pPr>
        <w:ind w:left="6480" w:hanging="360"/>
      </w:pPr>
      <w:rPr>
        <w:rFonts w:ascii="Wingdings" w:hAnsi="Wingdings" w:hint="default"/>
      </w:rPr>
    </w:lvl>
  </w:abstractNum>
  <w:abstractNum w:abstractNumId="67" w15:restartNumberingAfterBreak="0">
    <w:nsid w:val="229A30D0"/>
    <w:multiLevelType w:val="multilevel"/>
    <w:tmpl w:val="A83C8CC8"/>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229B5F28"/>
    <w:multiLevelType w:val="multilevel"/>
    <w:tmpl w:val="DF929BC2"/>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rPr>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38F6EF5"/>
    <w:multiLevelType w:val="hybridMultilevel"/>
    <w:tmpl w:val="FB323AA8"/>
    <w:lvl w:ilvl="0" w:tplc="0A9C3D18">
      <w:start w:val="1"/>
      <w:numFmt w:val="bullet"/>
      <w:lvlText w:val="−"/>
      <w:lvlJc w:val="left"/>
      <w:pPr>
        <w:ind w:left="720" w:hanging="360"/>
      </w:pPr>
      <w:rPr>
        <w:rFonts w:ascii="Arial" w:hAnsi="Arial" w:hint="default"/>
      </w:rPr>
    </w:lvl>
    <w:lvl w:ilvl="1" w:tplc="3AE27CCC" w:tentative="1">
      <w:start w:val="1"/>
      <w:numFmt w:val="bullet"/>
      <w:lvlText w:val="o"/>
      <w:lvlJc w:val="left"/>
      <w:pPr>
        <w:ind w:left="1440" w:hanging="360"/>
      </w:pPr>
      <w:rPr>
        <w:rFonts w:ascii="Courier New" w:hAnsi="Courier New" w:cs="Courier New" w:hint="default"/>
      </w:rPr>
    </w:lvl>
    <w:lvl w:ilvl="2" w:tplc="151E7A1A" w:tentative="1">
      <w:start w:val="1"/>
      <w:numFmt w:val="bullet"/>
      <w:lvlText w:val=""/>
      <w:lvlJc w:val="left"/>
      <w:pPr>
        <w:ind w:left="2160" w:hanging="360"/>
      </w:pPr>
      <w:rPr>
        <w:rFonts w:ascii="Wingdings" w:hAnsi="Wingdings" w:hint="default"/>
      </w:rPr>
    </w:lvl>
    <w:lvl w:ilvl="3" w:tplc="C270BC34" w:tentative="1">
      <w:start w:val="1"/>
      <w:numFmt w:val="bullet"/>
      <w:lvlText w:val=""/>
      <w:lvlJc w:val="left"/>
      <w:pPr>
        <w:ind w:left="2880" w:hanging="360"/>
      </w:pPr>
      <w:rPr>
        <w:rFonts w:ascii="Symbol" w:hAnsi="Symbol" w:hint="default"/>
      </w:rPr>
    </w:lvl>
    <w:lvl w:ilvl="4" w:tplc="9E047CA2" w:tentative="1">
      <w:start w:val="1"/>
      <w:numFmt w:val="bullet"/>
      <w:lvlText w:val="o"/>
      <w:lvlJc w:val="left"/>
      <w:pPr>
        <w:ind w:left="3600" w:hanging="360"/>
      </w:pPr>
      <w:rPr>
        <w:rFonts w:ascii="Courier New" w:hAnsi="Courier New" w:cs="Courier New" w:hint="default"/>
      </w:rPr>
    </w:lvl>
    <w:lvl w:ilvl="5" w:tplc="DCAE8B88" w:tentative="1">
      <w:start w:val="1"/>
      <w:numFmt w:val="bullet"/>
      <w:lvlText w:val=""/>
      <w:lvlJc w:val="left"/>
      <w:pPr>
        <w:ind w:left="4320" w:hanging="360"/>
      </w:pPr>
      <w:rPr>
        <w:rFonts w:ascii="Wingdings" w:hAnsi="Wingdings" w:hint="default"/>
      </w:rPr>
    </w:lvl>
    <w:lvl w:ilvl="6" w:tplc="7ABCDC9A" w:tentative="1">
      <w:start w:val="1"/>
      <w:numFmt w:val="bullet"/>
      <w:lvlText w:val=""/>
      <w:lvlJc w:val="left"/>
      <w:pPr>
        <w:ind w:left="5040" w:hanging="360"/>
      </w:pPr>
      <w:rPr>
        <w:rFonts w:ascii="Symbol" w:hAnsi="Symbol" w:hint="default"/>
      </w:rPr>
    </w:lvl>
    <w:lvl w:ilvl="7" w:tplc="B5BC7B1E" w:tentative="1">
      <w:start w:val="1"/>
      <w:numFmt w:val="bullet"/>
      <w:lvlText w:val="o"/>
      <w:lvlJc w:val="left"/>
      <w:pPr>
        <w:ind w:left="5760" w:hanging="360"/>
      </w:pPr>
      <w:rPr>
        <w:rFonts w:ascii="Courier New" w:hAnsi="Courier New" w:cs="Courier New" w:hint="default"/>
      </w:rPr>
    </w:lvl>
    <w:lvl w:ilvl="8" w:tplc="D4F2F87E" w:tentative="1">
      <w:start w:val="1"/>
      <w:numFmt w:val="bullet"/>
      <w:lvlText w:val=""/>
      <w:lvlJc w:val="left"/>
      <w:pPr>
        <w:ind w:left="6480" w:hanging="360"/>
      </w:pPr>
      <w:rPr>
        <w:rFonts w:ascii="Wingdings" w:hAnsi="Wingdings" w:hint="default"/>
      </w:rPr>
    </w:lvl>
  </w:abstractNum>
  <w:abstractNum w:abstractNumId="70" w15:restartNumberingAfterBreak="0">
    <w:nsid w:val="23D55B36"/>
    <w:multiLevelType w:val="multilevel"/>
    <w:tmpl w:val="E2C2D3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3DD124D"/>
    <w:multiLevelType w:val="hybridMultilevel"/>
    <w:tmpl w:val="89424786"/>
    <w:lvl w:ilvl="0" w:tplc="BD423536">
      <w:start w:val="1"/>
      <w:numFmt w:val="bullet"/>
      <w:lvlText w:val=""/>
      <w:lvlJc w:val="left"/>
      <w:pPr>
        <w:ind w:left="720" w:hanging="360"/>
      </w:pPr>
      <w:rPr>
        <w:rFonts w:ascii="Wingdings" w:hAnsi="Wingdings" w:hint="default"/>
      </w:rPr>
    </w:lvl>
    <w:lvl w:ilvl="1" w:tplc="D1A8BCCA" w:tentative="1">
      <w:start w:val="1"/>
      <w:numFmt w:val="bullet"/>
      <w:lvlText w:val="o"/>
      <w:lvlJc w:val="left"/>
      <w:pPr>
        <w:ind w:left="1440" w:hanging="360"/>
      </w:pPr>
      <w:rPr>
        <w:rFonts w:ascii="Courier New" w:hAnsi="Courier New" w:cs="Courier New" w:hint="default"/>
      </w:rPr>
    </w:lvl>
    <w:lvl w:ilvl="2" w:tplc="2E56E4EA" w:tentative="1">
      <w:start w:val="1"/>
      <w:numFmt w:val="bullet"/>
      <w:lvlText w:val=""/>
      <w:lvlJc w:val="left"/>
      <w:pPr>
        <w:ind w:left="2160" w:hanging="360"/>
      </w:pPr>
      <w:rPr>
        <w:rFonts w:ascii="Wingdings" w:hAnsi="Wingdings" w:hint="default"/>
      </w:rPr>
    </w:lvl>
    <w:lvl w:ilvl="3" w:tplc="99A01EE2" w:tentative="1">
      <w:start w:val="1"/>
      <w:numFmt w:val="bullet"/>
      <w:lvlText w:val=""/>
      <w:lvlJc w:val="left"/>
      <w:pPr>
        <w:ind w:left="2880" w:hanging="360"/>
      </w:pPr>
      <w:rPr>
        <w:rFonts w:ascii="Symbol" w:hAnsi="Symbol" w:hint="default"/>
      </w:rPr>
    </w:lvl>
    <w:lvl w:ilvl="4" w:tplc="39BA23C8" w:tentative="1">
      <w:start w:val="1"/>
      <w:numFmt w:val="bullet"/>
      <w:lvlText w:val="o"/>
      <w:lvlJc w:val="left"/>
      <w:pPr>
        <w:ind w:left="3600" w:hanging="360"/>
      </w:pPr>
      <w:rPr>
        <w:rFonts w:ascii="Courier New" w:hAnsi="Courier New" w:cs="Courier New" w:hint="default"/>
      </w:rPr>
    </w:lvl>
    <w:lvl w:ilvl="5" w:tplc="18CCCDDA" w:tentative="1">
      <w:start w:val="1"/>
      <w:numFmt w:val="bullet"/>
      <w:lvlText w:val=""/>
      <w:lvlJc w:val="left"/>
      <w:pPr>
        <w:ind w:left="4320" w:hanging="360"/>
      </w:pPr>
      <w:rPr>
        <w:rFonts w:ascii="Wingdings" w:hAnsi="Wingdings" w:hint="default"/>
      </w:rPr>
    </w:lvl>
    <w:lvl w:ilvl="6" w:tplc="98BAAEDC" w:tentative="1">
      <w:start w:val="1"/>
      <w:numFmt w:val="bullet"/>
      <w:lvlText w:val=""/>
      <w:lvlJc w:val="left"/>
      <w:pPr>
        <w:ind w:left="5040" w:hanging="360"/>
      </w:pPr>
      <w:rPr>
        <w:rFonts w:ascii="Symbol" w:hAnsi="Symbol" w:hint="default"/>
      </w:rPr>
    </w:lvl>
    <w:lvl w:ilvl="7" w:tplc="E0860556" w:tentative="1">
      <w:start w:val="1"/>
      <w:numFmt w:val="bullet"/>
      <w:lvlText w:val="o"/>
      <w:lvlJc w:val="left"/>
      <w:pPr>
        <w:ind w:left="5760" w:hanging="360"/>
      </w:pPr>
      <w:rPr>
        <w:rFonts w:ascii="Courier New" w:hAnsi="Courier New" w:cs="Courier New" w:hint="default"/>
      </w:rPr>
    </w:lvl>
    <w:lvl w:ilvl="8" w:tplc="0FE4E7A0" w:tentative="1">
      <w:start w:val="1"/>
      <w:numFmt w:val="bullet"/>
      <w:lvlText w:val=""/>
      <w:lvlJc w:val="left"/>
      <w:pPr>
        <w:ind w:left="6480" w:hanging="360"/>
      </w:pPr>
      <w:rPr>
        <w:rFonts w:ascii="Wingdings" w:hAnsi="Wingdings" w:hint="default"/>
      </w:rPr>
    </w:lvl>
  </w:abstractNum>
  <w:abstractNum w:abstractNumId="72" w15:restartNumberingAfterBreak="0">
    <w:nsid w:val="251E3266"/>
    <w:multiLevelType w:val="multilevel"/>
    <w:tmpl w:val="4D7295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67E7965"/>
    <w:multiLevelType w:val="hybridMultilevel"/>
    <w:tmpl w:val="5374F2F6"/>
    <w:lvl w:ilvl="0" w:tplc="E50EFDA6">
      <w:start w:val="6"/>
      <w:numFmt w:val="bullet"/>
      <w:lvlText w:val="-"/>
      <w:lvlJc w:val="left"/>
      <w:pPr>
        <w:ind w:left="720" w:hanging="360"/>
      </w:pPr>
      <w:rPr>
        <w:rFonts w:ascii="Times New Roman" w:eastAsiaTheme="minorHAnsi" w:hAnsi="Times New Roman" w:cs="Times New Roman" w:hint="default"/>
      </w:rPr>
    </w:lvl>
    <w:lvl w:ilvl="1" w:tplc="63F4118E" w:tentative="1">
      <w:start w:val="1"/>
      <w:numFmt w:val="bullet"/>
      <w:lvlText w:val="o"/>
      <w:lvlJc w:val="left"/>
      <w:pPr>
        <w:ind w:left="1440" w:hanging="360"/>
      </w:pPr>
      <w:rPr>
        <w:rFonts w:ascii="Courier New" w:hAnsi="Courier New" w:cs="Courier New" w:hint="default"/>
      </w:rPr>
    </w:lvl>
    <w:lvl w:ilvl="2" w:tplc="B792F956" w:tentative="1">
      <w:start w:val="1"/>
      <w:numFmt w:val="bullet"/>
      <w:lvlText w:val=""/>
      <w:lvlJc w:val="left"/>
      <w:pPr>
        <w:ind w:left="2160" w:hanging="360"/>
      </w:pPr>
      <w:rPr>
        <w:rFonts w:ascii="Wingdings" w:hAnsi="Wingdings" w:hint="default"/>
      </w:rPr>
    </w:lvl>
    <w:lvl w:ilvl="3" w:tplc="EE3E45E6" w:tentative="1">
      <w:start w:val="1"/>
      <w:numFmt w:val="bullet"/>
      <w:lvlText w:val=""/>
      <w:lvlJc w:val="left"/>
      <w:pPr>
        <w:ind w:left="2880" w:hanging="360"/>
      </w:pPr>
      <w:rPr>
        <w:rFonts w:ascii="Symbol" w:hAnsi="Symbol" w:hint="default"/>
      </w:rPr>
    </w:lvl>
    <w:lvl w:ilvl="4" w:tplc="13F648B0" w:tentative="1">
      <w:start w:val="1"/>
      <w:numFmt w:val="bullet"/>
      <w:lvlText w:val="o"/>
      <w:lvlJc w:val="left"/>
      <w:pPr>
        <w:ind w:left="3600" w:hanging="360"/>
      </w:pPr>
      <w:rPr>
        <w:rFonts w:ascii="Courier New" w:hAnsi="Courier New" w:cs="Courier New" w:hint="default"/>
      </w:rPr>
    </w:lvl>
    <w:lvl w:ilvl="5" w:tplc="1AE41E6A" w:tentative="1">
      <w:start w:val="1"/>
      <w:numFmt w:val="bullet"/>
      <w:lvlText w:val=""/>
      <w:lvlJc w:val="left"/>
      <w:pPr>
        <w:ind w:left="4320" w:hanging="360"/>
      </w:pPr>
      <w:rPr>
        <w:rFonts w:ascii="Wingdings" w:hAnsi="Wingdings" w:hint="default"/>
      </w:rPr>
    </w:lvl>
    <w:lvl w:ilvl="6" w:tplc="351CDE98" w:tentative="1">
      <w:start w:val="1"/>
      <w:numFmt w:val="bullet"/>
      <w:lvlText w:val=""/>
      <w:lvlJc w:val="left"/>
      <w:pPr>
        <w:ind w:left="5040" w:hanging="360"/>
      </w:pPr>
      <w:rPr>
        <w:rFonts w:ascii="Symbol" w:hAnsi="Symbol" w:hint="default"/>
      </w:rPr>
    </w:lvl>
    <w:lvl w:ilvl="7" w:tplc="E60E68B2" w:tentative="1">
      <w:start w:val="1"/>
      <w:numFmt w:val="bullet"/>
      <w:lvlText w:val="o"/>
      <w:lvlJc w:val="left"/>
      <w:pPr>
        <w:ind w:left="5760" w:hanging="360"/>
      </w:pPr>
      <w:rPr>
        <w:rFonts w:ascii="Courier New" w:hAnsi="Courier New" w:cs="Courier New" w:hint="default"/>
      </w:rPr>
    </w:lvl>
    <w:lvl w:ilvl="8" w:tplc="E60CFE40" w:tentative="1">
      <w:start w:val="1"/>
      <w:numFmt w:val="bullet"/>
      <w:lvlText w:val=""/>
      <w:lvlJc w:val="left"/>
      <w:pPr>
        <w:ind w:left="6480" w:hanging="360"/>
      </w:pPr>
      <w:rPr>
        <w:rFonts w:ascii="Wingdings" w:hAnsi="Wingdings" w:hint="default"/>
      </w:rPr>
    </w:lvl>
  </w:abstractNum>
  <w:abstractNum w:abstractNumId="74" w15:restartNumberingAfterBreak="0">
    <w:nsid w:val="2682080F"/>
    <w:multiLevelType w:val="multilevel"/>
    <w:tmpl w:val="D0C25DA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A71EB2"/>
    <w:multiLevelType w:val="multilevel"/>
    <w:tmpl w:val="2DC68626"/>
    <w:lvl w:ilvl="0">
      <w:start w:val="1"/>
      <w:numFmt w:val="decimal"/>
      <w:lvlText w:val="%1."/>
      <w:lvlJc w:val="left"/>
      <w:pPr>
        <w:ind w:left="1080" w:hanging="72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26E42728"/>
    <w:multiLevelType w:val="multilevel"/>
    <w:tmpl w:val="A426C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8EA534E"/>
    <w:multiLevelType w:val="hybridMultilevel"/>
    <w:tmpl w:val="F9362640"/>
    <w:lvl w:ilvl="0" w:tplc="26C84648">
      <w:start w:val="3"/>
      <w:numFmt w:val="bullet"/>
      <w:lvlText w:val="-"/>
      <w:lvlJc w:val="left"/>
      <w:pPr>
        <w:ind w:left="720" w:hanging="360"/>
      </w:pPr>
      <w:rPr>
        <w:rFonts w:ascii="Times New Roman" w:eastAsia="Times New Roman" w:hAnsi="Times New Roman" w:cs="Times New Roman" w:hint="default"/>
      </w:rPr>
    </w:lvl>
    <w:lvl w:ilvl="1" w:tplc="B6044FE0" w:tentative="1">
      <w:start w:val="1"/>
      <w:numFmt w:val="bullet"/>
      <w:lvlText w:val="o"/>
      <w:lvlJc w:val="left"/>
      <w:pPr>
        <w:ind w:left="1440" w:hanging="360"/>
      </w:pPr>
      <w:rPr>
        <w:rFonts w:ascii="Courier New" w:hAnsi="Courier New" w:cs="Courier New" w:hint="default"/>
      </w:rPr>
    </w:lvl>
    <w:lvl w:ilvl="2" w:tplc="BE4CDDEE" w:tentative="1">
      <w:start w:val="1"/>
      <w:numFmt w:val="bullet"/>
      <w:lvlText w:val=""/>
      <w:lvlJc w:val="left"/>
      <w:pPr>
        <w:ind w:left="2160" w:hanging="360"/>
      </w:pPr>
      <w:rPr>
        <w:rFonts w:ascii="Wingdings" w:hAnsi="Wingdings" w:hint="default"/>
      </w:rPr>
    </w:lvl>
    <w:lvl w:ilvl="3" w:tplc="90F6905A" w:tentative="1">
      <w:start w:val="1"/>
      <w:numFmt w:val="bullet"/>
      <w:lvlText w:val=""/>
      <w:lvlJc w:val="left"/>
      <w:pPr>
        <w:ind w:left="2880" w:hanging="360"/>
      </w:pPr>
      <w:rPr>
        <w:rFonts w:ascii="Symbol" w:hAnsi="Symbol" w:hint="default"/>
      </w:rPr>
    </w:lvl>
    <w:lvl w:ilvl="4" w:tplc="66F09C7C" w:tentative="1">
      <w:start w:val="1"/>
      <w:numFmt w:val="bullet"/>
      <w:lvlText w:val="o"/>
      <w:lvlJc w:val="left"/>
      <w:pPr>
        <w:ind w:left="3600" w:hanging="360"/>
      </w:pPr>
      <w:rPr>
        <w:rFonts w:ascii="Courier New" w:hAnsi="Courier New" w:cs="Courier New" w:hint="default"/>
      </w:rPr>
    </w:lvl>
    <w:lvl w:ilvl="5" w:tplc="C35AECD2" w:tentative="1">
      <w:start w:val="1"/>
      <w:numFmt w:val="bullet"/>
      <w:lvlText w:val=""/>
      <w:lvlJc w:val="left"/>
      <w:pPr>
        <w:ind w:left="4320" w:hanging="360"/>
      </w:pPr>
      <w:rPr>
        <w:rFonts w:ascii="Wingdings" w:hAnsi="Wingdings" w:hint="default"/>
      </w:rPr>
    </w:lvl>
    <w:lvl w:ilvl="6" w:tplc="C2C2066C" w:tentative="1">
      <w:start w:val="1"/>
      <w:numFmt w:val="bullet"/>
      <w:lvlText w:val=""/>
      <w:lvlJc w:val="left"/>
      <w:pPr>
        <w:ind w:left="5040" w:hanging="360"/>
      </w:pPr>
      <w:rPr>
        <w:rFonts w:ascii="Symbol" w:hAnsi="Symbol" w:hint="default"/>
      </w:rPr>
    </w:lvl>
    <w:lvl w:ilvl="7" w:tplc="A4E08F40" w:tentative="1">
      <w:start w:val="1"/>
      <w:numFmt w:val="bullet"/>
      <w:lvlText w:val="o"/>
      <w:lvlJc w:val="left"/>
      <w:pPr>
        <w:ind w:left="5760" w:hanging="360"/>
      </w:pPr>
      <w:rPr>
        <w:rFonts w:ascii="Courier New" w:hAnsi="Courier New" w:cs="Courier New" w:hint="default"/>
      </w:rPr>
    </w:lvl>
    <w:lvl w:ilvl="8" w:tplc="1D767C54" w:tentative="1">
      <w:start w:val="1"/>
      <w:numFmt w:val="bullet"/>
      <w:lvlText w:val=""/>
      <w:lvlJc w:val="left"/>
      <w:pPr>
        <w:ind w:left="6480" w:hanging="360"/>
      </w:pPr>
      <w:rPr>
        <w:rFonts w:ascii="Wingdings" w:hAnsi="Wingdings" w:hint="default"/>
      </w:rPr>
    </w:lvl>
  </w:abstractNum>
  <w:abstractNum w:abstractNumId="78" w15:restartNumberingAfterBreak="0">
    <w:nsid w:val="2B621201"/>
    <w:multiLevelType w:val="multilevel"/>
    <w:tmpl w:val="7610C85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BAB6FE8"/>
    <w:multiLevelType w:val="hybridMultilevel"/>
    <w:tmpl w:val="BEEA8768"/>
    <w:lvl w:ilvl="0" w:tplc="E89A008C">
      <w:start w:val="1"/>
      <w:numFmt w:val="decimal"/>
      <w:lvlText w:val="%1-"/>
      <w:lvlJc w:val="left"/>
      <w:pPr>
        <w:ind w:left="720" w:hanging="360"/>
      </w:pPr>
      <w:rPr>
        <w:rFonts w:hint="default"/>
        <w:color w:val="000000" w:themeColor="text1"/>
      </w:rPr>
    </w:lvl>
    <w:lvl w:ilvl="1" w:tplc="41221D08" w:tentative="1">
      <w:start w:val="1"/>
      <w:numFmt w:val="lowerLetter"/>
      <w:lvlText w:val="%2."/>
      <w:lvlJc w:val="left"/>
      <w:pPr>
        <w:ind w:left="1440" w:hanging="360"/>
      </w:pPr>
    </w:lvl>
    <w:lvl w:ilvl="2" w:tplc="26BA2BEC" w:tentative="1">
      <w:start w:val="1"/>
      <w:numFmt w:val="lowerRoman"/>
      <w:lvlText w:val="%3."/>
      <w:lvlJc w:val="right"/>
      <w:pPr>
        <w:ind w:left="2160" w:hanging="180"/>
      </w:pPr>
    </w:lvl>
    <w:lvl w:ilvl="3" w:tplc="6A28EF4C" w:tentative="1">
      <w:start w:val="1"/>
      <w:numFmt w:val="decimal"/>
      <w:lvlText w:val="%4."/>
      <w:lvlJc w:val="left"/>
      <w:pPr>
        <w:ind w:left="2880" w:hanging="360"/>
      </w:pPr>
    </w:lvl>
    <w:lvl w:ilvl="4" w:tplc="BE6E1860" w:tentative="1">
      <w:start w:val="1"/>
      <w:numFmt w:val="lowerLetter"/>
      <w:lvlText w:val="%5."/>
      <w:lvlJc w:val="left"/>
      <w:pPr>
        <w:ind w:left="3600" w:hanging="360"/>
      </w:pPr>
    </w:lvl>
    <w:lvl w:ilvl="5" w:tplc="8D3CB4C8" w:tentative="1">
      <w:start w:val="1"/>
      <w:numFmt w:val="lowerRoman"/>
      <w:lvlText w:val="%6."/>
      <w:lvlJc w:val="right"/>
      <w:pPr>
        <w:ind w:left="4320" w:hanging="180"/>
      </w:pPr>
    </w:lvl>
    <w:lvl w:ilvl="6" w:tplc="CDBE6D66" w:tentative="1">
      <w:start w:val="1"/>
      <w:numFmt w:val="decimal"/>
      <w:lvlText w:val="%7."/>
      <w:lvlJc w:val="left"/>
      <w:pPr>
        <w:ind w:left="5040" w:hanging="360"/>
      </w:pPr>
    </w:lvl>
    <w:lvl w:ilvl="7" w:tplc="5E568320" w:tentative="1">
      <w:start w:val="1"/>
      <w:numFmt w:val="lowerLetter"/>
      <w:lvlText w:val="%8."/>
      <w:lvlJc w:val="left"/>
      <w:pPr>
        <w:ind w:left="5760" w:hanging="360"/>
      </w:pPr>
    </w:lvl>
    <w:lvl w:ilvl="8" w:tplc="0012130A" w:tentative="1">
      <w:start w:val="1"/>
      <w:numFmt w:val="lowerRoman"/>
      <w:lvlText w:val="%9."/>
      <w:lvlJc w:val="right"/>
      <w:pPr>
        <w:ind w:left="6480" w:hanging="180"/>
      </w:pPr>
    </w:lvl>
  </w:abstractNum>
  <w:abstractNum w:abstractNumId="80" w15:restartNumberingAfterBreak="0">
    <w:nsid w:val="2C7A7B8A"/>
    <w:multiLevelType w:val="multilevel"/>
    <w:tmpl w:val="1DDCDB7A"/>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CDF1E56"/>
    <w:multiLevelType w:val="multilevel"/>
    <w:tmpl w:val="193C5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DE84C44"/>
    <w:multiLevelType w:val="multilevel"/>
    <w:tmpl w:val="A37ECAC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3" w15:restartNumberingAfterBreak="0">
    <w:nsid w:val="2F074B29"/>
    <w:multiLevelType w:val="hybridMultilevel"/>
    <w:tmpl w:val="B29A674C"/>
    <w:lvl w:ilvl="0" w:tplc="F8100FCC">
      <w:start w:val="1"/>
      <w:numFmt w:val="bullet"/>
      <w:lvlText w:val=""/>
      <w:lvlPicBulletId w:val="0"/>
      <w:lvlJc w:val="left"/>
      <w:pPr>
        <w:ind w:left="720" w:hanging="360"/>
      </w:pPr>
      <w:rPr>
        <w:rFonts w:ascii="Symbol" w:hAnsi="Symbol" w:hint="default"/>
      </w:rPr>
    </w:lvl>
    <w:lvl w:ilvl="1" w:tplc="671045E6" w:tentative="1">
      <w:start w:val="1"/>
      <w:numFmt w:val="bullet"/>
      <w:lvlText w:val="o"/>
      <w:lvlJc w:val="left"/>
      <w:pPr>
        <w:ind w:left="1440" w:hanging="360"/>
      </w:pPr>
      <w:rPr>
        <w:rFonts w:ascii="Courier New" w:hAnsi="Courier New" w:cs="Courier New" w:hint="default"/>
      </w:rPr>
    </w:lvl>
    <w:lvl w:ilvl="2" w:tplc="F3245B9C" w:tentative="1">
      <w:start w:val="1"/>
      <w:numFmt w:val="bullet"/>
      <w:lvlText w:val=""/>
      <w:lvlJc w:val="left"/>
      <w:pPr>
        <w:ind w:left="2160" w:hanging="360"/>
      </w:pPr>
      <w:rPr>
        <w:rFonts w:ascii="Wingdings" w:hAnsi="Wingdings" w:hint="default"/>
      </w:rPr>
    </w:lvl>
    <w:lvl w:ilvl="3" w:tplc="EA660B28" w:tentative="1">
      <w:start w:val="1"/>
      <w:numFmt w:val="bullet"/>
      <w:lvlText w:val=""/>
      <w:lvlJc w:val="left"/>
      <w:pPr>
        <w:ind w:left="2880" w:hanging="360"/>
      </w:pPr>
      <w:rPr>
        <w:rFonts w:ascii="Symbol" w:hAnsi="Symbol" w:hint="default"/>
      </w:rPr>
    </w:lvl>
    <w:lvl w:ilvl="4" w:tplc="4FAE2C5A" w:tentative="1">
      <w:start w:val="1"/>
      <w:numFmt w:val="bullet"/>
      <w:lvlText w:val="o"/>
      <w:lvlJc w:val="left"/>
      <w:pPr>
        <w:ind w:left="3600" w:hanging="360"/>
      </w:pPr>
      <w:rPr>
        <w:rFonts w:ascii="Courier New" w:hAnsi="Courier New" w:cs="Courier New" w:hint="default"/>
      </w:rPr>
    </w:lvl>
    <w:lvl w:ilvl="5" w:tplc="E52EB4DA" w:tentative="1">
      <w:start w:val="1"/>
      <w:numFmt w:val="bullet"/>
      <w:lvlText w:val=""/>
      <w:lvlJc w:val="left"/>
      <w:pPr>
        <w:ind w:left="4320" w:hanging="360"/>
      </w:pPr>
      <w:rPr>
        <w:rFonts w:ascii="Wingdings" w:hAnsi="Wingdings" w:hint="default"/>
      </w:rPr>
    </w:lvl>
    <w:lvl w:ilvl="6" w:tplc="863C3026" w:tentative="1">
      <w:start w:val="1"/>
      <w:numFmt w:val="bullet"/>
      <w:lvlText w:val=""/>
      <w:lvlJc w:val="left"/>
      <w:pPr>
        <w:ind w:left="5040" w:hanging="360"/>
      </w:pPr>
      <w:rPr>
        <w:rFonts w:ascii="Symbol" w:hAnsi="Symbol" w:hint="default"/>
      </w:rPr>
    </w:lvl>
    <w:lvl w:ilvl="7" w:tplc="75049E54" w:tentative="1">
      <w:start w:val="1"/>
      <w:numFmt w:val="bullet"/>
      <w:lvlText w:val="o"/>
      <w:lvlJc w:val="left"/>
      <w:pPr>
        <w:ind w:left="5760" w:hanging="360"/>
      </w:pPr>
      <w:rPr>
        <w:rFonts w:ascii="Courier New" w:hAnsi="Courier New" w:cs="Courier New" w:hint="default"/>
      </w:rPr>
    </w:lvl>
    <w:lvl w:ilvl="8" w:tplc="A9E2C790" w:tentative="1">
      <w:start w:val="1"/>
      <w:numFmt w:val="bullet"/>
      <w:lvlText w:val=""/>
      <w:lvlJc w:val="left"/>
      <w:pPr>
        <w:ind w:left="6480" w:hanging="360"/>
      </w:pPr>
      <w:rPr>
        <w:rFonts w:ascii="Wingdings" w:hAnsi="Wingdings" w:hint="default"/>
      </w:rPr>
    </w:lvl>
  </w:abstractNum>
  <w:abstractNum w:abstractNumId="84" w15:restartNumberingAfterBreak="0">
    <w:nsid w:val="30A02696"/>
    <w:multiLevelType w:val="multilevel"/>
    <w:tmpl w:val="F1A62946"/>
    <w:lvl w:ilvl="0">
      <w:start w:val="3"/>
      <w:numFmt w:val="bullet"/>
      <w:lvlText w:val="-"/>
      <w:lvlJc w:val="left"/>
      <w:pPr>
        <w:tabs>
          <w:tab w:val="num" w:pos="360"/>
        </w:tabs>
        <w:ind w:left="360" w:hanging="360"/>
      </w:pPr>
      <w:rPr>
        <w:rFonts w:ascii="Times New Roman" w:eastAsiaTheme="minorHAnsi"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30A6122B"/>
    <w:multiLevelType w:val="hybridMultilevel"/>
    <w:tmpl w:val="9FA2A552"/>
    <w:lvl w:ilvl="0" w:tplc="CB3AF6F8">
      <w:start w:val="3"/>
      <w:numFmt w:val="bullet"/>
      <w:lvlText w:val="-"/>
      <w:lvlJc w:val="left"/>
      <w:pPr>
        <w:ind w:left="720" w:hanging="360"/>
      </w:pPr>
      <w:rPr>
        <w:rFonts w:ascii="Times New Roman" w:eastAsiaTheme="minorHAnsi" w:hAnsi="Times New Roman" w:cs="Times New Roman" w:hint="default"/>
      </w:rPr>
    </w:lvl>
    <w:lvl w:ilvl="1" w:tplc="08062A62" w:tentative="1">
      <w:start w:val="1"/>
      <w:numFmt w:val="bullet"/>
      <w:lvlText w:val="o"/>
      <w:lvlJc w:val="left"/>
      <w:pPr>
        <w:ind w:left="1440" w:hanging="360"/>
      </w:pPr>
      <w:rPr>
        <w:rFonts w:ascii="Courier New" w:hAnsi="Courier New" w:cs="Courier New" w:hint="default"/>
      </w:rPr>
    </w:lvl>
    <w:lvl w:ilvl="2" w:tplc="48E27A84" w:tentative="1">
      <w:start w:val="1"/>
      <w:numFmt w:val="bullet"/>
      <w:lvlText w:val=""/>
      <w:lvlJc w:val="left"/>
      <w:pPr>
        <w:ind w:left="2160" w:hanging="360"/>
      </w:pPr>
      <w:rPr>
        <w:rFonts w:ascii="Wingdings" w:hAnsi="Wingdings" w:hint="default"/>
      </w:rPr>
    </w:lvl>
    <w:lvl w:ilvl="3" w:tplc="829AE8B2" w:tentative="1">
      <w:start w:val="1"/>
      <w:numFmt w:val="bullet"/>
      <w:lvlText w:val=""/>
      <w:lvlJc w:val="left"/>
      <w:pPr>
        <w:ind w:left="2880" w:hanging="360"/>
      </w:pPr>
      <w:rPr>
        <w:rFonts w:ascii="Symbol" w:hAnsi="Symbol" w:hint="default"/>
      </w:rPr>
    </w:lvl>
    <w:lvl w:ilvl="4" w:tplc="AA086E4E" w:tentative="1">
      <w:start w:val="1"/>
      <w:numFmt w:val="bullet"/>
      <w:lvlText w:val="o"/>
      <w:lvlJc w:val="left"/>
      <w:pPr>
        <w:ind w:left="3600" w:hanging="360"/>
      </w:pPr>
      <w:rPr>
        <w:rFonts w:ascii="Courier New" w:hAnsi="Courier New" w:cs="Courier New" w:hint="default"/>
      </w:rPr>
    </w:lvl>
    <w:lvl w:ilvl="5" w:tplc="205E417C" w:tentative="1">
      <w:start w:val="1"/>
      <w:numFmt w:val="bullet"/>
      <w:lvlText w:val=""/>
      <w:lvlJc w:val="left"/>
      <w:pPr>
        <w:ind w:left="4320" w:hanging="360"/>
      </w:pPr>
      <w:rPr>
        <w:rFonts w:ascii="Wingdings" w:hAnsi="Wingdings" w:hint="default"/>
      </w:rPr>
    </w:lvl>
    <w:lvl w:ilvl="6" w:tplc="91AA8896" w:tentative="1">
      <w:start w:val="1"/>
      <w:numFmt w:val="bullet"/>
      <w:lvlText w:val=""/>
      <w:lvlJc w:val="left"/>
      <w:pPr>
        <w:ind w:left="5040" w:hanging="360"/>
      </w:pPr>
      <w:rPr>
        <w:rFonts w:ascii="Symbol" w:hAnsi="Symbol" w:hint="default"/>
      </w:rPr>
    </w:lvl>
    <w:lvl w:ilvl="7" w:tplc="571EA15A" w:tentative="1">
      <w:start w:val="1"/>
      <w:numFmt w:val="bullet"/>
      <w:lvlText w:val="o"/>
      <w:lvlJc w:val="left"/>
      <w:pPr>
        <w:ind w:left="5760" w:hanging="360"/>
      </w:pPr>
      <w:rPr>
        <w:rFonts w:ascii="Courier New" w:hAnsi="Courier New" w:cs="Courier New" w:hint="default"/>
      </w:rPr>
    </w:lvl>
    <w:lvl w:ilvl="8" w:tplc="A4305800" w:tentative="1">
      <w:start w:val="1"/>
      <w:numFmt w:val="bullet"/>
      <w:lvlText w:val=""/>
      <w:lvlJc w:val="left"/>
      <w:pPr>
        <w:ind w:left="6480" w:hanging="360"/>
      </w:pPr>
      <w:rPr>
        <w:rFonts w:ascii="Wingdings" w:hAnsi="Wingdings" w:hint="default"/>
      </w:rPr>
    </w:lvl>
  </w:abstractNum>
  <w:abstractNum w:abstractNumId="86" w15:restartNumberingAfterBreak="0">
    <w:nsid w:val="321B64CF"/>
    <w:multiLevelType w:val="hybridMultilevel"/>
    <w:tmpl w:val="0152F33E"/>
    <w:lvl w:ilvl="0" w:tplc="A024FC34">
      <w:start w:val="2"/>
      <w:numFmt w:val="bullet"/>
      <w:lvlText w:val="-"/>
      <w:lvlJc w:val="left"/>
      <w:pPr>
        <w:ind w:left="720" w:hanging="360"/>
      </w:pPr>
      <w:rPr>
        <w:rFonts w:ascii="Times New Roman" w:eastAsia="Calibri" w:hAnsi="Times New Roman" w:cs="Times New Roman" w:hint="default"/>
      </w:rPr>
    </w:lvl>
    <w:lvl w:ilvl="1" w:tplc="051C6584" w:tentative="1">
      <w:start w:val="1"/>
      <w:numFmt w:val="bullet"/>
      <w:lvlText w:val="o"/>
      <w:lvlJc w:val="left"/>
      <w:pPr>
        <w:ind w:left="1440" w:hanging="360"/>
      </w:pPr>
      <w:rPr>
        <w:rFonts w:ascii="Courier New" w:hAnsi="Courier New" w:cs="Courier New" w:hint="default"/>
      </w:rPr>
    </w:lvl>
    <w:lvl w:ilvl="2" w:tplc="E3F865F6" w:tentative="1">
      <w:start w:val="1"/>
      <w:numFmt w:val="bullet"/>
      <w:lvlText w:val=""/>
      <w:lvlJc w:val="left"/>
      <w:pPr>
        <w:ind w:left="2160" w:hanging="360"/>
      </w:pPr>
      <w:rPr>
        <w:rFonts w:ascii="Wingdings" w:hAnsi="Wingdings" w:hint="default"/>
      </w:rPr>
    </w:lvl>
    <w:lvl w:ilvl="3" w:tplc="FA263BBE" w:tentative="1">
      <w:start w:val="1"/>
      <w:numFmt w:val="bullet"/>
      <w:lvlText w:val=""/>
      <w:lvlJc w:val="left"/>
      <w:pPr>
        <w:ind w:left="2880" w:hanging="360"/>
      </w:pPr>
      <w:rPr>
        <w:rFonts w:ascii="Symbol" w:hAnsi="Symbol" w:hint="default"/>
      </w:rPr>
    </w:lvl>
    <w:lvl w:ilvl="4" w:tplc="3B266B92" w:tentative="1">
      <w:start w:val="1"/>
      <w:numFmt w:val="bullet"/>
      <w:lvlText w:val="o"/>
      <w:lvlJc w:val="left"/>
      <w:pPr>
        <w:ind w:left="3600" w:hanging="360"/>
      </w:pPr>
      <w:rPr>
        <w:rFonts w:ascii="Courier New" w:hAnsi="Courier New" w:cs="Courier New" w:hint="default"/>
      </w:rPr>
    </w:lvl>
    <w:lvl w:ilvl="5" w:tplc="22487FA2" w:tentative="1">
      <w:start w:val="1"/>
      <w:numFmt w:val="bullet"/>
      <w:lvlText w:val=""/>
      <w:lvlJc w:val="left"/>
      <w:pPr>
        <w:ind w:left="4320" w:hanging="360"/>
      </w:pPr>
      <w:rPr>
        <w:rFonts w:ascii="Wingdings" w:hAnsi="Wingdings" w:hint="default"/>
      </w:rPr>
    </w:lvl>
    <w:lvl w:ilvl="6" w:tplc="F80ECE50" w:tentative="1">
      <w:start w:val="1"/>
      <w:numFmt w:val="bullet"/>
      <w:lvlText w:val=""/>
      <w:lvlJc w:val="left"/>
      <w:pPr>
        <w:ind w:left="5040" w:hanging="360"/>
      </w:pPr>
      <w:rPr>
        <w:rFonts w:ascii="Symbol" w:hAnsi="Symbol" w:hint="default"/>
      </w:rPr>
    </w:lvl>
    <w:lvl w:ilvl="7" w:tplc="6894750A" w:tentative="1">
      <w:start w:val="1"/>
      <w:numFmt w:val="bullet"/>
      <w:lvlText w:val="o"/>
      <w:lvlJc w:val="left"/>
      <w:pPr>
        <w:ind w:left="5760" w:hanging="360"/>
      </w:pPr>
      <w:rPr>
        <w:rFonts w:ascii="Courier New" w:hAnsi="Courier New" w:cs="Courier New" w:hint="default"/>
      </w:rPr>
    </w:lvl>
    <w:lvl w:ilvl="8" w:tplc="7AB4AAAA" w:tentative="1">
      <w:start w:val="1"/>
      <w:numFmt w:val="bullet"/>
      <w:lvlText w:val=""/>
      <w:lvlJc w:val="left"/>
      <w:pPr>
        <w:ind w:left="6480" w:hanging="360"/>
      </w:pPr>
      <w:rPr>
        <w:rFonts w:ascii="Wingdings" w:hAnsi="Wingdings" w:hint="default"/>
      </w:rPr>
    </w:lvl>
  </w:abstractNum>
  <w:abstractNum w:abstractNumId="87" w15:restartNumberingAfterBreak="0">
    <w:nsid w:val="33A3298E"/>
    <w:multiLevelType w:val="multilevel"/>
    <w:tmpl w:val="AE72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4667B2A"/>
    <w:multiLevelType w:val="hybridMultilevel"/>
    <w:tmpl w:val="DB04AAA6"/>
    <w:lvl w:ilvl="0" w:tplc="CB3AF6F8">
      <w:start w:val="3"/>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4A30DE8"/>
    <w:multiLevelType w:val="hybridMultilevel"/>
    <w:tmpl w:val="D87ED3D8"/>
    <w:lvl w:ilvl="0" w:tplc="8A1A706C">
      <w:start w:val="1"/>
      <w:numFmt w:val="upperRoman"/>
      <w:lvlText w:val="%1-"/>
      <w:lvlJc w:val="left"/>
      <w:pPr>
        <w:ind w:left="1080" w:hanging="720"/>
      </w:pPr>
      <w:rPr>
        <w:rFonts w:hint="default"/>
      </w:rPr>
    </w:lvl>
    <w:lvl w:ilvl="1" w:tplc="3A58AF98" w:tentative="1">
      <w:start w:val="1"/>
      <w:numFmt w:val="lowerLetter"/>
      <w:lvlText w:val="%2."/>
      <w:lvlJc w:val="left"/>
      <w:pPr>
        <w:ind w:left="1440" w:hanging="360"/>
      </w:pPr>
    </w:lvl>
    <w:lvl w:ilvl="2" w:tplc="E2B4BB7A" w:tentative="1">
      <w:start w:val="1"/>
      <w:numFmt w:val="lowerRoman"/>
      <w:lvlText w:val="%3."/>
      <w:lvlJc w:val="right"/>
      <w:pPr>
        <w:ind w:left="2160" w:hanging="180"/>
      </w:pPr>
    </w:lvl>
    <w:lvl w:ilvl="3" w:tplc="B49E89DE" w:tentative="1">
      <w:start w:val="1"/>
      <w:numFmt w:val="decimal"/>
      <w:lvlText w:val="%4."/>
      <w:lvlJc w:val="left"/>
      <w:pPr>
        <w:ind w:left="2880" w:hanging="360"/>
      </w:pPr>
    </w:lvl>
    <w:lvl w:ilvl="4" w:tplc="960497BC" w:tentative="1">
      <w:start w:val="1"/>
      <w:numFmt w:val="lowerLetter"/>
      <w:lvlText w:val="%5."/>
      <w:lvlJc w:val="left"/>
      <w:pPr>
        <w:ind w:left="3600" w:hanging="360"/>
      </w:pPr>
    </w:lvl>
    <w:lvl w:ilvl="5" w:tplc="9D94DFD4" w:tentative="1">
      <w:start w:val="1"/>
      <w:numFmt w:val="lowerRoman"/>
      <w:lvlText w:val="%6."/>
      <w:lvlJc w:val="right"/>
      <w:pPr>
        <w:ind w:left="4320" w:hanging="180"/>
      </w:pPr>
    </w:lvl>
    <w:lvl w:ilvl="6" w:tplc="8814CC68" w:tentative="1">
      <w:start w:val="1"/>
      <w:numFmt w:val="decimal"/>
      <w:lvlText w:val="%7."/>
      <w:lvlJc w:val="left"/>
      <w:pPr>
        <w:ind w:left="5040" w:hanging="360"/>
      </w:pPr>
    </w:lvl>
    <w:lvl w:ilvl="7" w:tplc="57664AFA" w:tentative="1">
      <w:start w:val="1"/>
      <w:numFmt w:val="lowerLetter"/>
      <w:lvlText w:val="%8."/>
      <w:lvlJc w:val="left"/>
      <w:pPr>
        <w:ind w:left="5760" w:hanging="360"/>
      </w:pPr>
    </w:lvl>
    <w:lvl w:ilvl="8" w:tplc="DE1ED4B4" w:tentative="1">
      <w:start w:val="1"/>
      <w:numFmt w:val="lowerRoman"/>
      <w:lvlText w:val="%9."/>
      <w:lvlJc w:val="right"/>
      <w:pPr>
        <w:ind w:left="6480" w:hanging="180"/>
      </w:pPr>
    </w:lvl>
  </w:abstractNum>
  <w:abstractNum w:abstractNumId="90" w15:restartNumberingAfterBreak="0">
    <w:nsid w:val="34EE3AF4"/>
    <w:multiLevelType w:val="hybridMultilevel"/>
    <w:tmpl w:val="3F22843A"/>
    <w:lvl w:ilvl="0" w:tplc="9342DC0E">
      <w:numFmt w:val="bullet"/>
      <w:lvlText w:val="-"/>
      <w:lvlJc w:val="left"/>
      <w:pPr>
        <w:ind w:left="720" w:hanging="360"/>
      </w:pPr>
      <w:rPr>
        <w:rFonts w:ascii="Arial" w:eastAsiaTheme="minorHAnsi" w:hAnsi="Arial" w:cs="Arial" w:hint="default"/>
      </w:rPr>
    </w:lvl>
    <w:lvl w:ilvl="1" w:tplc="A8789236" w:tentative="1">
      <w:start w:val="1"/>
      <w:numFmt w:val="bullet"/>
      <w:lvlText w:val="o"/>
      <w:lvlJc w:val="left"/>
      <w:pPr>
        <w:ind w:left="1440" w:hanging="360"/>
      </w:pPr>
      <w:rPr>
        <w:rFonts w:ascii="Courier New" w:hAnsi="Courier New" w:cs="Courier New" w:hint="default"/>
      </w:rPr>
    </w:lvl>
    <w:lvl w:ilvl="2" w:tplc="B9765E06" w:tentative="1">
      <w:start w:val="1"/>
      <w:numFmt w:val="bullet"/>
      <w:lvlText w:val=""/>
      <w:lvlJc w:val="left"/>
      <w:pPr>
        <w:ind w:left="2160" w:hanging="360"/>
      </w:pPr>
      <w:rPr>
        <w:rFonts w:ascii="Wingdings" w:hAnsi="Wingdings" w:hint="default"/>
      </w:rPr>
    </w:lvl>
    <w:lvl w:ilvl="3" w:tplc="7E143E4C" w:tentative="1">
      <w:start w:val="1"/>
      <w:numFmt w:val="bullet"/>
      <w:lvlText w:val=""/>
      <w:lvlJc w:val="left"/>
      <w:pPr>
        <w:ind w:left="2880" w:hanging="360"/>
      </w:pPr>
      <w:rPr>
        <w:rFonts w:ascii="Symbol" w:hAnsi="Symbol" w:hint="default"/>
      </w:rPr>
    </w:lvl>
    <w:lvl w:ilvl="4" w:tplc="567C6B40" w:tentative="1">
      <w:start w:val="1"/>
      <w:numFmt w:val="bullet"/>
      <w:lvlText w:val="o"/>
      <w:lvlJc w:val="left"/>
      <w:pPr>
        <w:ind w:left="3600" w:hanging="360"/>
      </w:pPr>
      <w:rPr>
        <w:rFonts w:ascii="Courier New" w:hAnsi="Courier New" w:cs="Courier New" w:hint="default"/>
      </w:rPr>
    </w:lvl>
    <w:lvl w:ilvl="5" w:tplc="D8ACEAEC" w:tentative="1">
      <w:start w:val="1"/>
      <w:numFmt w:val="bullet"/>
      <w:lvlText w:val=""/>
      <w:lvlJc w:val="left"/>
      <w:pPr>
        <w:ind w:left="4320" w:hanging="360"/>
      </w:pPr>
      <w:rPr>
        <w:rFonts w:ascii="Wingdings" w:hAnsi="Wingdings" w:hint="default"/>
      </w:rPr>
    </w:lvl>
    <w:lvl w:ilvl="6" w:tplc="F60E3716" w:tentative="1">
      <w:start w:val="1"/>
      <w:numFmt w:val="bullet"/>
      <w:lvlText w:val=""/>
      <w:lvlJc w:val="left"/>
      <w:pPr>
        <w:ind w:left="5040" w:hanging="360"/>
      </w:pPr>
      <w:rPr>
        <w:rFonts w:ascii="Symbol" w:hAnsi="Symbol" w:hint="default"/>
      </w:rPr>
    </w:lvl>
    <w:lvl w:ilvl="7" w:tplc="AF2A5CBC" w:tentative="1">
      <w:start w:val="1"/>
      <w:numFmt w:val="bullet"/>
      <w:lvlText w:val="o"/>
      <w:lvlJc w:val="left"/>
      <w:pPr>
        <w:ind w:left="5760" w:hanging="360"/>
      </w:pPr>
      <w:rPr>
        <w:rFonts w:ascii="Courier New" w:hAnsi="Courier New" w:cs="Courier New" w:hint="default"/>
      </w:rPr>
    </w:lvl>
    <w:lvl w:ilvl="8" w:tplc="FAF2A18E" w:tentative="1">
      <w:start w:val="1"/>
      <w:numFmt w:val="bullet"/>
      <w:lvlText w:val=""/>
      <w:lvlJc w:val="left"/>
      <w:pPr>
        <w:ind w:left="6480" w:hanging="360"/>
      </w:pPr>
      <w:rPr>
        <w:rFonts w:ascii="Wingdings" w:hAnsi="Wingdings" w:hint="default"/>
      </w:rPr>
    </w:lvl>
  </w:abstractNum>
  <w:abstractNum w:abstractNumId="91" w15:restartNumberingAfterBreak="0">
    <w:nsid w:val="354B40AF"/>
    <w:multiLevelType w:val="multilevel"/>
    <w:tmpl w:val="32F2F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58618E6"/>
    <w:multiLevelType w:val="multilevel"/>
    <w:tmpl w:val="07EE7F1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58D278E"/>
    <w:multiLevelType w:val="hybridMultilevel"/>
    <w:tmpl w:val="1DB031BA"/>
    <w:lvl w:ilvl="0" w:tplc="06764A12">
      <w:start w:val="1"/>
      <w:numFmt w:val="bullet"/>
      <w:lvlText w:val=""/>
      <w:lvlPicBulletId w:val="0"/>
      <w:lvlJc w:val="left"/>
      <w:pPr>
        <w:ind w:left="720" w:hanging="360"/>
      </w:pPr>
      <w:rPr>
        <w:rFonts w:ascii="Symbol" w:hAnsi="Symbol" w:hint="default"/>
      </w:rPr>
    </w:lvl>
    <w:lvl w:ilvl="1" w:tplc="173A5122" w:tentative="1">
      <w:start w:val="1"/>
      <w:numFmt w:val="bullet"/>
      <w:lvlText w:val="o"/>
      <w:lvlJc w:val="left"/>
      <w:pPr>
        <w:ind w:left="1440" w:hanging="360"/>
      </w:pPr>
      <w:rPr>
        <w:rFonts w:ascii="Courier New" w:hAnsi="Courier New" w:cs="Courier New" w:hint="default"/>
      </w:rPr>
    </w:lvl>
    <w:lvl w:ilvl="2" w:tplc="F984C46A" w:tentative="1">
      <w:start w:val="1"/>
      <w:numFmt w:val="bullet"/>
      <w:lvlText w:val=""/>
      <w:lvlJc w:val="left"/>
      <w:pPr>
        <w:ind w:left="2160" w:hanging="360"/>
      </w:pPr>
      <w:rPr>
        <w:rFonts w:ascii="Wingdings" w:hAnsi="Wingdings" w:hint="default"/>
      </w:rPr>
    </w:lvl>
    <w:lvl w:ilvl="3" w:tplc="D1006F62" w:tentative="1">
      <w:start w:val="1"/>
      <w:numFmt w:val="bullet"/>
      <w:lvlText w:val=""/>
      <w:lvlJc w:val="left"/>
      <w:pPr>
        <w:ind w:left="2880" w:hanging="360"/>
      </w:pPr>
      <w:rPr>
        <w:rFonts w:ascii="Symbol" w:hAnsi="Symbol" w:hint="default"/>
      </w:rPr>
    </w:lvl>
    <w:lvl w:ilvl="4" w:tplc="933E1456" w:tentative="1">
      <w:start w:val="1"/>
      <w:numFmt w:val="bullet"/>
      <w:lvlText w:val="o"/>
      <w:lvlJc w:val="left"/>
      <w:pPr>
        <w:ind w:left="3600" w:hanging="360"/>
      </w:pPr>
      <w:rPr>
        <w:rFonts w:ascii="Courier New" w:hAnsi="Courier New" w:cs="Courier New" w:hint="default"/>
      </w:rPr>
    </w:lvl>
    <w:lvl w:ilvl="5" w:tplc="9A82DC26" w:tentative="1">
      <w:start w:val="1"/>
      <w:numFmt w:val="bullet"/>
      <w:lvlText w:val=""/>
      <w:lvlJc w:val="left"/>
      <w:pPr>
        <w:ind w:left="4320" w:hanging="360"/>
      </w:pPr>
      <w:rPr>
        <w:rFonts w:ascii="Wingdings" w:hAnsi="Wingdings" w:hint="default"/>
      </w:rPr>
    </w:lvl>
    <w:lvl w:ilvl="6" w:tplc="21F2B5CA" w:tentative="1">
      <w:start w:val="1"/>
      <w:numFmt w:val="bullet"/>
      <w:lvlText w:val=""/>
      <w:lvlJc w:val="left"/>
      <w:pPr>
        <w:ind w:left="5040" w:hanging="360"/>
      </w:pPr>
      <w:rPr>
        <w:rFonts w:ascii="Symbol" w:hAnsi="Symbol" w:hint="default"/>
      </w:rPr>
    </w:lvl>
    <w:lvl w:ilvl="7" w:tplc="AE4E8A22" w:tentative="1">
      <w:start w:val="1"/>
      <w:numFmt w:val="bullet"/>
      <w:lvlText w:val="o"/>
      <w:lvlJc w:val="left"/>
      <w:pPr>
        <w:ind w:left="5760" w:hanging="360"/>
      </w:pPr>
      <w:rPr>
        <w:rFonts w:ascii="Courier New" w:hAnsi="Courier New" w:cs="Courier New" w:hint="default"/>
      </w:rPr>
    </w:lvl>
    <w:lvl w:ilvl="8" w:tplc="E31685C6" w:tentative="1">
      <w:start w:val="1"/>
      <w:numFmt w:val="bullet"/>
      <w:lvlText w:val=""/>
      <w:lvlJc w:val="left"/>
      <w:pPr>
        <w:ind w:left="6480" w:hanging="360"/>
      </w:pPr>
      <w:rPr>
        <w:rFonts w:ascii="Wingdings" w:hAnsi="Wingdings" w:hint="default"/>
      </w:rPr>
    </w:lvl>
  </w:abstractNum>
  <w:abstractNum w:abstractNumId="94" w15:restartNumberingAfterBreak="0">
    <w:nsid w:val="35A94A41"/>
    <w:multiLevelType w:val="hybridMultilevel"/>
    <w:tmpl w:val="1A1062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35BE08DE"/>
    <w:multiLevelType w:val="multilevel"/>
    <w:tmpl w:val="415CB18C"/>
    <w:lvl w:ilvl="0">
      <w:start w:val="1"/>
      <w:numFmt w:val="decimal"/>
      <w:lvlText w:val="%1."/>
      <w:lvlJc w:val="left"/>
      <w:pPr>
        <w:ind w:left="720" w:hanging="360"/>
      </w:pPr>
      <w:rPr>
        <w:rFonts w:hint="default"/>
        <w:sz w:val="28"/>
      </w:rPr>
    </w:lvl>
    <w:lvl w:ilvl="1">
      <w:start w:val="1"/>
      <w:numFmt w:val="decimal"/>
      <w:isLgl/>
      <w:lvlText w:val="%1.%2."/>
      <w:lvlJc w:val="left"/>
      <w:pPr>
        <w:ind w:left="1776" w:hanging="360"/>
      </w:pPr>
      <w:rPr>
        <w:rFonts w:eastAsiaTheme="minorHAnsi" w:hint="default"/>
        <w:b/>
        <w:i w:val="0"/>
      </w:rPr>
    </w:lvl>
    <w:lvl w:ilvl="2">
      <w:start w:val="1"/>
      <w:numFmt w:val="decimal"/>
      <w:isLgl/>
      <w:lvlText w:val="%1.%2.%3."/>
      <w:lvlJc w:val="left"/>
      <w:pPr>
        <w:ind w:left="3192" w:hanging="720"/>
      </w:pPr>
      <w:rPr>
        <w:rFonts w:eastAsiaTheme="minorHAnsi" w:hint="default"/>
        <w:b/>
        <w:i w:val="0"/>
      </w:rPr>
    </w:lvl>
    <w:lvl w:ilvl="3">
      <w:start w:val="1"/>
      <w:numFmt w:val="decimal"/>
      <w:isLgl/>
      <w:lvlText w:val="%1.%2.%3.%4."/>
      <w:lvlJc w:val="left"/>
      <w:pPr>
        <w:ind w:left="4248" w:hanging="720"/>
      </w:pPr>
      <w:rPr>
        <w:rFonts w:eastAsiaTheme="minorHAnsi" w:hint="default"/>
        <w:b/>
        <w:i/>
      </w:rPr>
    </w:lvl>
    <w:lvl w:ilvl="4">
      <w:start w:val="1"/>
      <w:numFmt w:val="decimal"/>
      <w:isLgl/>
      <w:lvlText w:val="%1.%2.%3.%4.%5."/>
      <w:lvlJc w:val="left"/>
      <w:pPr>
        <w:ind w:left="5664" w:hanging="1080"/>
      </w:pPr>
      <w:rPr>
        <w:rFonts w:eastAsiaTheme="minorHAnsi" w:hint="default"/>
        <w:b/>
        <w:i/>
      </w:rPr>
    </w:lvl>
    <w:lvl w:ilvl="5">
      <w:start w:val="1"/>
      <w:numFmt w:val="decimal"/>
      <w:isLgl/>
      <w:lvlText w:val="%1.%2.%3.%4.%5.%6."/>
      <w:lvlJc w:val="left"/>
      <w:pPr>
        <w:ind w:left="6720" w:hanging="1080"/>
      </w:pPr>
      <w:rPr>
        <w:rFonts w:eastAsiaTheme="minorHAnsi" w:hint="default"/>
        <w:b/>
        <w:i/>
      </w:rPr>
    </w:lvl>
    <w:lvl w:ilvl="6">
      <w:start w:val="1"/>
      <w:numFmt w:val="decimal"/>
      <w:isLgl/>
      <w:lvlText w:val="%1.%2.%3.%4.%5.%6.%7."/>
      <w:lvlJc w:val="left"/>
      <w:pPr>
        <w:ind w:left="8136" w:hanging="1440"/>
      </w:pPr>
      <w:rPr>
        <w:rFonts w:eastAsiaTheme="minorHAnsi" w:hint="default"/>
        <w:b/>
        <w:i/>
      </w:rPr>
    </w:lvl>
    <w:lvl w:ilvl="7">
      <w:start w:val="1"/>
      <w:numFmt w:val="decimal"/>
      <w:isLgl/>
      <w:lvlText w:val="%1.%2.%3.%4.%5.%6.%7.%8."/>
      <w:lvlJc w:val="left"/>
      <w:pPr>
        <w:ind w:left="9192" w:hanging="1440"/>
      </w:pPr>
      <w:rPr>
        <w:rFonts w:eastAsiaTheme="minorHAnsi" w:hint="default"/>
        <w:b/>
        <w:i/>
      </w:rPr>
    </w:lvl>
    <w:lvl w:ilvl="8">
      <w:start w:val="1"/>
      <w:numFmt w:val="decimal"/>
      <w:isLgl/>
      <w:lvlText w:val="%1.%2.%3.%4.%5.%6.%7.%8.%9."/>
      <w:lvlJc w:val="left"/>
      <w:pPr>
        <w:ind w:left="10608" w:hanging="1800"/>
      </w:pPr>
      <w:rPr>
        <w:rFonts w:eastAsiaTheme="minorHAnsi" w:hint="default"/>
        <w:b/>
        <w:i/>
      </w:rPr>
    </w:lvl>
  </w:abstractNum>
  <w:abstractNum w:abstractNumId="96" w15:restartNumberingAfterBreak="0">
    <w:nsid w:val="35C879EC"/>
    <w:multiLevelType w:val="hybridMultilevel"/>
    <w:tmpl w:val="57CCC13E"/>
    <w:lvl w:ilvl="0" w:tplc="E3164BEE">
      <w:start w:val="1"/>
      <w:numFmt w:val="bullet"/>
      <w:lvlText w:val=""/>
      <w:lvlJc w:val="left"/>
      <w:pPr>
        <w:ind w:left="720" w:hanging="360"/>
      </w:pPr>
      <w:rPr>
        <w:rFonts w:ascii="Symbol" w:hAnsi="Symbol" w:hint="default"/>
      </w:rPr>
    </w:lvl>
    <w:lvl w:ilvl="1" w:tplc="5EF44978" w:tentative="1">
      <w:start w:val="1"/>
      <w:numFmt w:val="bullet"/>
      <w:lvlText w:val="o"/>
      <w:lvlJc w:val="left"/>
      <w:pPr>
        <w:ind w:left="1440" w:hanging="360"/>
      </w:pPr>
      <w:rPr>
        <w:rFonts w:ascii="Courier New" w:hAnsi="Courier New" w:cs="Courier New" w:hint="default"/>
      </w:rPr>
    </w:lvl>
    <w:lvl w:ilvl="2" w:tplc="0750FE48" w:tentative="1">
      <w:start w:val="1"/>
      <w:numFmt w:val="bullet"/>
      <w:lvlText w:val=""/>
      <w:lvlJc w:val="left"/>
      <w:pPr>
        <w:ind w:left="2160" w:hanging="360"/>
      </w:pPr>
      <w:rPr>
        <w:rFonts w:ascii="Wingdings" w:hAnsi="Wingdings" w:hint="default"/>
      </w:rPr>
    </w:lvl>
    <w:lvl w:ilvl="3" w:tplc="C2E682FA" w:tentative="1">
      <w:start w:val="1"/>
      <w:numFmt w:val="bullet"/>
      <w:lvlText w:val=""/>
      <w:lvlJc w:val="left"/>
      <w:pPr>
        <w:ind w:left="2880" w:hanging="360"/>
      </w:pPr>
      <w:rPr>
        <w:rFonts w:ascii="Symbol" w:hAnsi="Symbol" w:hint="default"/>
      </w:rPr>
    </w:lvl>
    <w:lvl w:ilvl="4" w:tplc="22BA8B26" w:tentative="1">
      <w:start w:val="1"/>
      <w:numFmt w:val="bullet"/>
      <w:lvlText w:val="o"/>
      <w:lvlJc w:val="left"/>
      <w:pPr>
        <w:ind w:left="3600" w:hanging="360"/>
      </w:pPr>
      <w:rPr>
        <w:rFonts w:ascii="Courier New" w:hAnsi="Courier New" w:cs="Courier New" w:hint="default"/>
      </w:rPr>
    </w:lvl>
    <w:lvl w:ilvl="5" w:tplc="D06E8824" w:tentative="1">
      <w:start w:val="1"/>
      <w:numFmt w:val="bullet"/>
      <w:lvlText w:val=""/>
      <w:lvlJc w:val="left"/>
      <w:pPr>
        <w:ind w:left="4320" w:hanging="360"/>
      </w:pPr>
      <w:rPr>
        <w:rFonts w:ascii="Wingdings" w:hAnsi="Wingdings" w:hint="default"/>
      </w:rPr>
    </w:lvl>
    <w:lvl w:ilvl="6" w:tplc="347AB4F4" w:tentative="1">
      <w:start w:val="1"/>
      <w:numFmt w:val="bullet"/>
      <w:lvlText w:val=""/>
      <w:lvlJc w:val="left"/>
      <w:pPr>
        <w:ind w:left="5040" w:hanging="360"/>
      </w:pPr>
      <w:rPr>
        <w:rFonts w:ascii="Symbol" w:hAnsi="Symbol" w:hint="default"/>
      </w:rPr>
    </w:lvl>
    <w:lvl w:ilvl="7" w:tplc="7F30C7CE" w:tentative="1">
      <w:start w:val="1"/>
      <w:numFmt w:val="bullet"/>
      <w:lvlText w:val="o"/>
      <w:lvlJc w:val="left"/>
      <w:pPr>
        <w:ind w:left="5760" w:hanging="360"/>
      </w:pPr>
      <w:rPr>
        <w:rFonts w:ascii="Courier New" w:hAnsi="Courier New" w:cs="Courier New" w:hint="default"/>
      </w:rPr>
    </w:lvl>
    <w:lvl w:ilvl="8" w:tplc="B2804828" w:tentative="1">
      <w:start w:val="1"/>
      <w:numFmt w:val="bullet"/>
      <w:lvlText w:val=""/>
      <w:lvlJc w:val="left"/>
      <w:pPr>
        <w:ind w:left="6480" w:hanging="360"/>
      </w:pPr>
      <w:rPr>
        <w:rFonts w:ascii="Wingdings" w:hAnsi="Wingdings" w:hint="default"/>
      </w:rPr>
    </w:lvl>
  </w:abstractNum>
  <w:abstractNum w:abstractNumId="97" w15:restartNumberingAfterBreak="0">
    <w:nsid w:val="36A8047F"/>
    <w:multiLevelType w:val="hybridMultilevel"/>
    <w:tmpl w:val="35CE8424"/>
    <w:lvl w:ilvl="0" w:tplc="CB3AF6F8">
      <w:start w:val="3"/>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36AE7340"/>
    <w:multiLevelType w:val="multilevel"/>
    <w:tmpl w:val="7C5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7BC71AC"/>
    <w:multiLevelType w:val="hybridMultilevel"/>
    <w:tmpl w:val="4F96855A"/>
    <w:lvl w:ilvl="0" w:tplc="7688DF72">
      <w:start w:val="1"/>
      <w:numFmt w:val="decimal"/>
      <w:lvlText w:val="%1."/>
      <w:lvlJc w:val="left"/>
      <w:pPr>
        <w:ind w:left="720" w:hanging="360"/>
      </w:pPr>
      <w:rPr>
        <w:rFonts w:hint="default"/>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37F62A42"/>
    <w:multiLevelType w:val="multilevel"/>
    <w:tmpl w:val="30A20BC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390A759F"/>
    <w:multiLevelType w:val="hybridMultilevel"/>
    <w:tmpl w:val="75CEECB0"/>
    <w:lvl w:ilvl="0" w:tplc="32EAA7F8">
      <w:start w:val="1"/>
      <w:numFmt w:val="bullet"/>
      <w:lvlText w:val=""/>
      <w:lvlJc w:val="left"/>
      <w:pPr>
        <w:ind w:left="720" w:hanging="360"/>
      </w:pPr>
      <w:rPr>
        <w:rFonts w:ascii="Wingdings" w:hAnsi="Wingdings" w:hint="default"/>
      </w:rPr>
    </w:lvl>
    <w:lvl w:ilvl="1" w:tplc="5A26D52C" w:tentative="1">
      <w:start w:val="1"/>
      <w:numFmt w:val="bullet"/>
      <w:lvlText w:val="o"/>
      <w:lvlJc w:val="left"/>
      <w:pPr>
        <w:ind w:left="1440" w:hanging="360"/>
      </w:pPr>
      <w:rPr>
        <w:rFonts w:ascii="Courier New" w:hAnsi="Courier New" w:cs="Courier New" w:hint="default"/>
      </w:rPr>
    </w:lvl>
    <w:lvl w:ilvl="2" w:tplc="9840763E" w:tentative="1">
      <w:start w:val="1"/>
      <w:numFmt w:val="bullet"/>
      <w:lvlText w:val=""/>
      <w:lvlJc w:val="left"/>
      <w:pPr>
        <w:ind w:left="2160" w:hanging="360"/>
      </w:pPr>
      <w:rPr>
        <w:rFonts w:ascii="Wingdings" w:hAnsi="Wingdings" w:hint="default"/>
      </w:rPr>
    </w:lvl>
    <w:lvl w:ilvl="3" w:tplc="BAB42402" w:tentative="1">
      <w:start w:val="1"/>
      <w:numFmt w:val="bullet"/>
      <w:lvlText w:val=""/>
      <w:lvlJc w:val="left"/>
      <w:pPr>
        <w:ind w:left="2880" w:hanging="360"/>
      </w:pPr>
      <w:rPr>
        <w:rFonts w:ascii="Symbol" w:hAnsi="Symbol" w:hint="default"/>
      </w:rPr>
    </w:lvl>
    <w:lvl w:ilvl="4" w:tplc="AF0E4CF6" w:tentative="1">
      <w:start w:val="1"/>
      <w:numFmt w:val="bullet"/>
      <w:lvlText w:val="o"/>
      <w:lvlJc w:val="left"/>
      <w:pPr>
        <w:ind w:left="3600" w:hanging="360"/>
      </w:pPr>
      <w:rPr>
        <w:rFonts w:ascii="Courier New" w:hAnsi="Courier New" w:cs="Courier New" w:hint="default"/>
      </w:rPr>
    </w:lvl>
    <w:lvl w:ilvl="5" w:tplc="07A6BA6E" w:tentative="1">
      <w:start w:val="1"/>
      <w:numFmt w:val="bullet"/>
      <w:lvlText w:val=""/>
      <w:lvlJc w:val="left"/>
      <w:pPr>
        <w:ind w:left="4320" w:hanging="360"/>
      </w:pPr>
      <w:rPr>
        <w:rFonts w:ascii="Wingdings" w:hAnsi="Wingdings" w:hint="default"/>
      </w:rPr>
    </w:lvl>
    <w:lvl w:ilvl="6" w:tplc="7CE49AAE" w:tentative="1">
      <w:start w:val="1"/>
      <w:numFmt w:val="bullet"/>
      <w:lvlText w:val=""/>
      <w:lvlJc w:val="left"/>
      <w:pPr>
        <w:ind w:left="5040" w:hanging="360"/>
      </w:pPr>
      <w:rPr>
        <w:rFonts w:ascii="Symbol" w:hAnsi="Symbol" w:hint="default"/>
      </w:rPr>
    </w:lvl>
    <w:lvl w:ilvl="7" w:tplc="AA10AFD4" w:tentative="1">
      <w:start w:val="1"/>
      <w:numFmt w:val="bullet"/>
      <w:lvlText w:val="o"/>
      <w:lvlJc w:val="left"/>
      <w:pPr>
        <w:ind w:left="5760" w:hanging="360"/>
      </w:pPr>
      <w:rPr>
        <w:rFonts w:ascii="Courier New" w:hAnsi="Courier New" w:cs="Courier New" w:hint="default"/>
      </w:rPr>
    </w:lvl>
    <w:lvl w:ilvl="8" w:tplc="05D4179A" w:tentative="1">
      <w:start w:val="1"/>
      <w:numFmt w:val="bullet"/>
      <w:lvlText w:val=""/>
      <w:lvlJc w:val="left"/>
      <w:pPr>
        <w:ind w:left="6480" w:hanging="360"/>
      </w:pPr>
      <w:rPr>
        <w:rFonts w:ascii="Wingdings" w:hAnsi="Wingdings" w:hint="default"/>
      </w:rPr>
    </w:lvl>
  </w:abstractNum>
  <w:abstractNum w:abstractNumId="102" w15:restartNumberingAfterBreak="0">
    <w:nsid w:val="39CE59B2"/>
    <w:multiLevelType w:val="multilevel"/>
    <w:tmpl w:val="BB925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9DB47AA"/>
    <w:multiLevelType w:val="multilevel"/>
    <w:tmpl w:val="3A342C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39EA7F94"/>
    <w:multiLevelType w:val="multilevel"/>
    <w:tmpl w:val="07EE7F1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FF23A3"/>
    <w:multiLevelType w:val="multilevel"/>
    <w:tmpl w:val="69AC4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3ADC3720"/>
    <w:multiLevelType w:val="multilevel"/>
    <w:tmpl w:val="9C6C4892"/>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3BBC4DA0"/>
    <w:multiLevelType w:val="hybridMultilevel"/>
    <w:tmpl w:val="6032B174"/>
    <w:lvl w:ilvl="0" w:tplc="96FCE36E">
      <w:start w:val="1"/>
      <w:numFmt w:val="bullet"/>
      <w:lvlText w:val=""/>
      <w:lvlPicBulletId w:val="0"/>
      <w:lvlJc w:val="left"/>
      <w:pPr>
        <w:ind w:left="720" w:hanging="360"/>
      </w:pPr>
      <w:rPr>
        <w:rFonts w:ascii="Symbol" w:hAnsi="Symbol" w:hint="default"/>
      </w:rPr>
    </w:lvl>
    <w:lvl w:ilvl="1" w:tplc="6F883318" w:tentative="1">
      <w:start w:val="1"/>
      <w:numFmt w:val="bullet"/>
      <w:lvlText w:val="o"/>
      <w:lvlJc w:val="left"/>
      <w:pPr>
        <w:ind w:left="1440" w:hanging="360"/>
      </w:pPr>
      <w:rPr>
        <w:rFonts w:ascii="Courier New" w:hAnsi="Courier New" w:cs="Courier New" w:hint="default"/>
      </w:rPr>
    </w:lvl>
    <w:lvl w:ilvl="2" w:tplc="991C66E0" w:tentative="1">
      <w:start w:val="1"/>
      <w:numFmt w:val="bullet"/>
      <w:lvlText w:val=""/>
      <w:lvlJc w:val="left"/>
      <w:pPr>
        <w:ind w:left="2160" w:hanging="360"/>
      </w:pPr>
      <w:rPr>
        <w:rFonts w:ascii="Wingdings" w:hAnsi="Wingdings" w:hint="default"/>
      </w:rPr>
    </w:lvl>
    <w:lvl w:ilvl="3" w:tplc="3E2818F0" w:tentative="1">
      <w:start w:val="1"/>
      <w:numFmt w:val="bullet"/>
      <w:lvlText w:val=""/>
      <w:lvlJc w:val="left"/>
      <w:pPr>
        <w:ind w:left="2880" w:hanging="360"/>
      </w:pPr>
      <w:rPr>
        <w:rFonts w:ascii="Symbol" w:hAnsi="Symbol" w:hint="default"/>
      </w:rPr>
    </w:lvl>
    <w:lvl w:ilvl="4" w:tplc="1F381C5E" w:tentative="1">
      <w:start w:val="1"/>
      <w:numFmt w:val="bullet"/>
      <w:lvlText w:val="o"/>
      <w:lvlJc w:val="left"/>
      <w:pPr>
        <w:ind w:left="3600" w:hanging="360"/>
      </w:pPr>
      <w:rPr>
        <w:rFonts w:ascii="Courier New" w:hAnsi="Courier New" w:cs="Courier New" w:hint="default"/>
      </w:rPr>
    </w:lvl>
    <w:lvl w:ilvl="5" w:tplc="A3C09048" w:tentative="1">
      <w:start w:val="1"/>
      <w:numFmt w:val="bullet"/>
      <w:lvlText w:val=""/>
      <w:lvlJc w:val="left"/>
      <w:pPr>
        <w:ind w:left="4320" w:hanging="360"/>
      </w:pPr>
      <w:rPr>
        <w:rFonts w:ascii="Wingdings" w:hAnsi="Wingdings" w:hint="default"/>
      </w:rPr>
    </w:lvl>
    <w:lvl w:ilvl="6" w:tplc="C6B6CBA8" w:tentative="1">
      <w:start w:val="1"/>
      <w:numFmt w:val="bullet"/>
      <w:lvlText w:val=""/>
      <w:lvlJc w:val="left"/>
      <w:pPr>
        <w:ind w:left="5040" w:hanging="360"/>
      </w:pPr>
      <w:rPr>
        <w:rFonts w:ascii="Symbol" w:hAnsi="Symbol" w:hint="default"/>
      </w:rPr>
    </w:lvl>
    <w:lvl w:ilvl="7" w:tplc="6F3A61AE" w:tentative="1">
      <w:start w:val="1"/>
      <w:numFmt w:val="bullet"/>
      <w:lvlText w:val="o"/>
      <w:lvlJc w:val="left"/>
      <w:pPr>
        <w:ind w:left="5760" w:hanging="360"/>
      </w:pPr>
      <w:rPr>
        <w:rFonts w:ascii="Courier New" w:hAnsi="Courier New" w:cs="Courier New" w:hint="default"/>
      </w:rPr>
    </w:lvl>
    <w:lvl w:ilvl="8" w:tplc="AAECC39A" w:tentative="1">
      <w:start w:val="1"/>
      <w:numFmt w:val="bullet"/>
      <w:lvlText w:val=""/>
      <w:lvlJc w:val="left"/>
      <w:pPr>
        <w:ind w:left="6480" w:hanging="360"/>
      </w:pPr>
      <w:rPr>
        <w:rFonts w:ascii="Wingdings" w:hAnsi="Wingdings" w:hint="default"/>
      </w:rPr>
    </w:lvl>
  </w:abstractNum>
  <w:abstractNum w:abstractNumId="108" w15:restartNumberingAfterBreak="0">
    <w:nsid w:val="3BF84C32"/>
    <w:multiLevelType w:val="hybridMultilevel"/>
    <w:tmpl w:val="CF2C45A0"/>
    <w:lvl w:ilvl="0" w:tplc="CB3AF6F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3DBB6D4A"/>
    <w:multiLevelType w:val="multilevel"/>
    <w:tmpl w:val="DF929BC2"/>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rPr>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3E0A4A5E"/>
    <w:multiLevelType w:val="multilevel"/>
    <w:tmpl w:val="5A6408A8"/>
    <w:lvl w:ilvl="0">
      <w:start w:val="1"/>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111" w15:restartNumberingAfterBreak="0">
    <w:nsid w:val="3EBD20F5"/>
    <w:multiLevelType w:val="hybridMultilevel"/>
    <w:tmpl w:val="95CC2516"/>
    <w:lvl w:ilvl="0" w:tplc="F668A51C">
      <w:start w:val="3"/>
      <w:numFmt w:val="bullet"/>
      <w:lvlText w:val="-"/>
      <w:lvlJc w:val="left"/>
      <w:pPr>
        <w:ind w:left="720" w:hanging="360"/>
      </w:pPr>
      <w:rPr>
        <w:rFonts w:ascii="Times New Roman" w:eastAsia="Times New Roman" w:hAnsi="Times New Roman" w:cs="Times New Roman" w:hint="default"/>
        <w:b/>
      </w:rPr>
    </w:lvl>
    <w:lvl w:ilvl="1" w:tplc="8B4ED7A4" w:tentative="1">
      <w:start w:val="1"/>
      <w:numFmt w:val="bullet"/>
      <w:lvlText w:val="o"/>
      <w:lvlJc w:val="left"/>
      <w:pPr>
        <w:ind w:left="1440" w:hanging="360"/>
      </w:pPr>
      <w:rPr>
        <w:rFonts w:ascii="Courier New" w:hAnsi="Courier New" w:cs="Courier New" w:hint="default"/>
      </w:rPr>
    </w:lvl>
    <w:lvl w:ilvl="2" w:tplc="6C72B454" w:tentative="1">
      <w:start w:val="1"/>
      <w:numFmt w:val="bullet"/>
      <w:lvlText w:val=""/>
      <w:lvlJc w:val="left"/>
      <w:pPr>
        <w:ind w:left="2160" w:hanging="360"/>
      </w:pPr>
      <w:rPr>
        <w:rFonts w:ascii="Wingdings" w:hAnsi="Wingdings" w:hint="default"/>
      </w:rPr>
    </w:lvl>
    <w:lvl w:ilvl="3" w:tplc="7DFA5452" w:tentative="1">
      <w:start w:val="1"/>
      <w:numFmt w:val="bullet"/>
      <w:lvlText w:val=""/>
      <w:lvlJc w:val="left"/>
      <w:pPr>
        <w:ind w:left="2880" w:hanging="360"/>
      </w:pPr>
      <w:rPr>
        <w:rFonts w:ascii="Symbol" w:hAnsi="Symbol" w:hint="default"/>
      </w:rPr>
    </w:lvl>
    <w:lvl w:ilvl="4" w:tplc="65F854DA" w:tentative="1">
      <w:start w:val="1"/>
      <w:numFmt w:val="bullet"/>
      <w:lvlText w:val="o"/>
      <w:lvlJc w:val="left"/>
      <w:pPr>
        <w:ind w:left="3600" w:hanging="360"/>
      </w:pPr>
      <w:rPr>
        <w:rFonts w:ascii="Courier New" w:hAnsi="Courier New" w:cs="Courier New" w:hint="default"/>
      </w:rPr>
    </w:lvl>
    <w:lvl w:ilvl="5" w:tplc="9112F632" w:tentative="1">
      <w:start w:val="1"/>
      <w:numFmt w:val="bullet"/>
      <w:lvlText w:val=""/>
      <w:lvlJc w:val="left"/>
      <w:pPr>
        <w:ind w:left="4320" w:hanging="360"/>
      </w:pPr>
      <w:rPr>
        <w:rFonts w:ascii="Wingdings" w:hAnsi="Wingdings" w:hint="default"/>
      </w:rPr>
    </w:lvl>
    <w:lvl w:ilvl="6" w:tplc="63E48DAA" w:tentative="1">
      <w:start w:val="1"/>
      <w:numFmt w:val="bullet"/>
      <w:lvlText w:val=""/>
      <w:lvlJc w:val="left"/>
      <w:pPr>
        <w:ind w:left="5040" w:hanging="360"/>
      </w:pPr>
      <w:rPr>
        <w:rFonts w:ascii="Symbol" w:hAnsi="Symbol" w:hint="default"/>
      </w:rPr>
    </w:lvl>
    <w:lvl w:ilvl="7" w:tplc="4EEE7D36" w:tentative="1">
      <w:start w:val="1"/>
      <w:numFmt w:val="bullet"/>
      <w:lvlText w:val="o"/>
      <w:lvlJc w:val="left"/>
      <w:pPr>
        <w:ind w:left="5760" w:hanging="360"/>
      </w:pPr>
      <w:rPr>
        <w:rFonts w:ascii="Courier New" w:hAnsi="Courier New" w:cs="Courier New" w:hint="default"/>
      </w:rPr>
    </w:lvl>
    <w:lvl w:ilvl="8" w:tplc="DE96B994" w:tentative="1">
      <w:start w:val="1"/>
      <w:numFmt w:val="bullet"/>
      <w:lvlText w:val=""/>
      <w:lvlJc w:val="left"/>
      <w:pPr>
        <w:ind w:left="6480" w:hanging="360"/>
      </w:pPr>
      <w:rPr>
        <w:rFonts w:ascii="Wingdings" w:hAnsi="Wingdings" w:hint="default"/>
      </w:rPr>
    </w:lvl>
  </w:abstractNum>
  <w:abstractNum w:abstractNumId="112" w15:restartNumberingAfterBreak="0">
    <w:nsid w:val="40BF1CC7"/>
    <w:multiLevelType w:val="hybridMultilevel"/>
    <w:tmpl w:val="2EA8397E"/>
    <w:lvl w:ilvl="0" w:tplc="0BBEB5F6">
      <w:start w:val="1"/>
      <w:numFmt w:val="decimal"/>
      <w:lvlText w:val="%1."/>
      <w:lvlJc w:val="left"/>
      <w:pPr>
        <w:ind w:left="720" w:hanging="360"/>
      </w:pPr>
      <w:rPr>
        <w:rFonts w:hint="default"/>
      </w:rPr>
    </w:lvl>
    <w:lvl w:ilvl="1" w:tplc="3BA47B50" w:tentative="1">
      <w:start w:val="1"/>
      <w:numFmt w:val="lowerLetter"/>
      <w:lvlText w:val="%2."/>
      <w:lvlJc w:val="left"/>
      <w:pPr>
        <w:ind w:left="1440" w:hanging="360"/>
      </w:pPr>
    </w:lvl>
    <w:lvl w:ilvl="2" w:tplc="2E7A51BC" w:tentative="1">
      <w:start w:val="1"/>
      <w:numFmt w:val="lowerRoman"/>
      <w:lvlText w:val="%3."/>
      <w:lvlJc w:val="right"/>
      <w:pPr>
        <w:ind w:left="2160" w:hanging="180"/>
      </w:pPr>
    </w:lvl>
    <w:lvl w:ilvl="3" w:tplc="FA0EB838" w:tentative="1">
      <w:start w:val="1"/>
      <w:numFmt w:val="decimal"/>
      <w:lvlText w:val="%4."/>
      <w:lvlJc w:val="left"/>
      <w:pPr>
        <w:ind w:left="2880" w:hanging="360"/>
      </w:pPr>
    </w:lvl>
    <w:lvl w:ilvl="4" w:tplc="CB1CA7EE" w:tentative="1">
      <w:start w:val="1"/>
      <w:numFmt w:val="lowerLetter"/>
      <w:lvlText w:val="%5."/>
      <w:lvlJc w:val="left"/>
      <w:pPr>
        <w:ind w:left="3600" w:hanging="360"/>
      </w:pPr>
    </w:lvl>
    <w:lvl w:ilvl="5" w:tplc="D06EB4F4" w:tentative="1">
      <w:start w:val="1"/>
      <w:numFmt w:val="lowerRoman"/>
      <w:lvlText w:val="%6."/>
      <w:lvlJc w:val="right"/>
      <w:pPr>
        <w:ind w:left="4320" w:hanging="180"/>
      </w:pPr>
    </w:lvl>
    <w:lvl w:ilvl="6" w:tplc="A7C00208" w:tentative="1">
      <w:start w:val="1"/>
      <w:numFmt w:val="decimal"/>
      <w:lvlText w:val="%7."/>
      <w:lvlJc w:val="left"/>
      <w:pPr>
        <w:ind w:left="5040" w:hanging="360"/>
      </w:pPr>
    </w:lvl>
    <w:lvl w:ilvl="7" w:tplc="68DE6EDC" w:tentative="1">
      <w:start w:val="1"/>
      <w:numFmt w:val="lowerLetter"/>
      <w:lvlText w:val="%8."/>
      <w:lvlJc w:val="left"/>
      <w:pPr>
        <w:ind w:left="5760" w:hanging="360"/>
      </w:pPr>
    </w:lvl>
    <w:lvl w:ilvl="8" w:tplc="4BF21266" w:tentative="1">
      <w:start w:val="1"/>
      <w:numFmt w:val="lowerRoman"/>
      <w:lvlText w:val="%9."/>
      <w:lvlJc w:val="right"/>
      <w:pPr>
        <w:ind w:left="6480" w:hanging="180"/>
      </w:pPr>
    </w:lvl>
  </w:abstractNum>
  <w:abstractNum w:abstractNumId="113" w15:restartNumberingAfterBreak="0">
    <w:nsid w:val="41884F09"/>
    <w:multiLevelType w:val="hybridMultilevel"/>
    <w:tmpl w:val="A906F0EE"/>
    <w:lvl w:ilvl="0" w:tplc="8BE0AAF6">
      <w:start w:val="1"/>
      <w:numFmt w:val="decimal"/>
      <w:lvlText w:val="%1-"/>
      <w:lvlJc w:val="left"/>
      <w:pPr>
        <w:ind w:left="720" w:hanging="360"/>
      </w:pPr>
      <w:rPr>
        <w:rFonts w:ascii="Times New Roman" w:eastAsiaTheme="minorHAnsi" w:hAnsi="Times New Roman" w:cs="Times New Roman"/>
      </w:rPr>
    </w:lvl>
    <w:lvl w:ilvl="1" w:tplc="3ACAC3B4" w:tentative="1">
      <w:start w:val="1"/>
      <w:numFmt w:val="bullet"/>
      <w:lvlText w:val="o"/>
      <w:lvlJc w:val="left"/>
      <w:pPr>
        <w:ind w:left="1440" w:hanging="360"/>
      </w:pPr>
      <w:rPr>
        <w:rFonts w:ascii="Courier New" w:hAnsi="Courier New" w:cs="Courier New" w:hint="default"/>
      </w:rPr>
    </w:lvl>
    <w:lvl w:ilvl="2" w:tplc="634E2992" w:tentative="1">
      <w:start w:val="1"/>
      <w:numFmt w:val="bullet"/>
      <w:lvlText w:val=""/>
      <w:lvlJc w:val="left"/>
      <w:pPr>
        <w:ind w:left="2160" w:hanging="360"/>
      </w:pPr>
      <w:rPr>
        <w:rFonts w:ascii="Wingdings" w:hAnsi="Wingdings" w:hint="default"/>
      </w:rPr>
    </w:lvl>
    <w:lvl w:ilvl="3" w:tplc="4EAC7D4E" w:tentative="1">
      <w:start w:val="1"/>
      <w:numFmt w:val="bullet"/>
      <w:lvlText w:val=""/>
      <w:lvlJc w:val="left"/>
      <w:pPr>
        <w:ind w:left="2880" w:hanging="360"/>
      </w:pPr>
      <w:rPr>
        <w:rFonts w:ascii="Symbol" w:hAnsi="Symbol" w:hint="default"/>
      </w:rPr>
    </w:lvl>
    <w:lvl w:ilvl="4" w:tplc="9B2C935C" w:tentative="1">
      <w:start w:val="1"/>
      <w:numFmt w:val="bullet"/>
      <w:lvlText w:val="o"/>
      <w:lvlJc w:val="left"/>
      <w:pPr>
        <w:ind w:left="3600" w:hanging="360"/>
      </w:pPr>
      <w:rPr>
        <w:rFonts w:ascii="Courier New" w:hAnsi="Courier New" w:cs="Courier New" w:hint="default"/>
      </w:rPr>
    </w:lvl>
    <w:lvl w:ilvl="5" w:tplc="98AA22AE" w:tentative="1">
      <w:start w:val="1"/>
      <w:numFmt w:val="bullet"/>
      <w:lvlText w:val=""/>
      <w:lvlJc w:val="left"/>
      <w:pPr>
        <w:ind w:left="4320" w:hanging="360"/>
      </w:pPr>
      <w:rPr>
        <w:rFonts w:ascii="Wingdings" w:hAnsi="Wingdings" w:hint="default"/>
      </w:rPr>
    </w:lvl>
    <w:lvl w:ilvl="6" w:tplc="F7D2E1AC" w:tentative="1">
      <w:start w:val="1"/>
      <w:numFmt w:val="bullet"/>
      <w:lvlText w:val=""/>
      <w:lvlJc w:val="left"/>
      <w:pPr>
        <w:ind w:left="5040" w:hanging="360"/>
      </w:pPr>
      <w:rPr>
        <w:rFonts w:ascii="Symbol" w:hAnsi="Symbol" w:hint="default"/>
      </w:rPr>
    </w:lvl>
    <w:lvl w:ilvl="7" w:tplc="44E0AFBA" w:tentative="1">
      <w:start w:val="1"/>
      <w:numFmt w:val="bullet"/>
      <w:lvlText w:val="o"/>
      <w:lvlJc w:val="left"/>
      <w:pPr>
        <w:ind w:left="5760" w:hanging="360"/>
      </w:pPr>
      <w:rPr>
        <w:rFonts w:ascii="Courier New" w:hAnsi="Courier New" w:cs="Courier New" w:hint="default"/>
      </w:rPr>
    </w:lvl>
    <w:lvl w:ilvl="8" w:tplc="02385F52" w:tentative="1">
      <w:start w:val="1"/>
      <w:numFmt w:val="bullet"/>
      <w:lvlText w:val=""/>
      <w:lvlJc w:val="left"/>
      <w:pPr>
        <w:ind w:left="6480" w:hanging="360"/>
      </w:pPr>
      <w:rPr>
        <w:rFonts w:ascii="Wingdings" w:hAnsi="Wingdings" w:hint="default"/>
      </w:rPr>
    </w:lvl>
  </w:abstractNum>
  <w:abstractNum w:abstractNumId="114" w15:restartNumberingAfterBreak="0">
    <w:nsid w:val="41EC3960"/>
    <w:multiLevelType w:val="multilevel"/>
    <w:tmpl w:val="B4B04A48"/>
    <w:lvl w:ilvl="0">
      <w:start w:val="2"/>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4"/>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15" w15:restartNumberingAfterBreak="0">
    <w:nsid w:val="42050A86"/>
    <w:multiLevelType w:val="multilevel"/>
    <w:tmpl w:val="CE86A89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43001CB7"/>
    <w:multiLevelType w:val="hybridMultilevel"/>
    <w:tmpl w:val="93CEC1C8"/>
    <w:lvl w:ilvl="0" w:tplc="B92431C6">
      <w:numFmt w:val="bullet"/>
      <w:lvlText w:val="-"/>
      <w:lvlJc w:val="left"/>
      <w:pPr>
        <w:ind w:left="720" w:hanging="360"/>
      </w:pPr>
      <w:rPr>
        <w:rFonts w:ascii="Times New Roman" w:eastAsia="Times New Roman" w:hAnsi="Times New Roman" w:cs="Times New Roman" w:hint="default"/>
      </w:rPr>
    </w:lvl>
    <w:lvl w:ilvl="1" w:tplc="04244418" w:tentative="1">
      <w:start w:val="1"/>
      <w:numFmt w:val="bullet"/>
      <w:lvlText w:val="o"/>
      <w:lvlJc w:val="left"/>
      <w:pPr>
        <w:ind w:left="1440" w:hanging="360"/>
      </w:pPr>
      <w:rPr>
        <w:rFonts w:ascii="Courier New" w:hAnsi="Courier New" w:cs="Courier New" w:hint="default"/>
      </w:rPr>
    </w:lvl>
    <w:lvl w:ilvl="2" w:tplc="B6F2F026" w:tentative="1">
      <w:start w:val="1"/>
      <w:numFmt w:val="bullet"/>
      <w:lvlText w:val=""/>
      <w:lvlJc w:val="left"/>
      <w:pPr>
        <w:ind w:left="2160" w:hanging="360"/>
      </w:pPr>
      <w:rPr>
        <w:rFonts w:ascii="Wingdings" w:hAnsi="Wingdings" w:hint="default"/>
      </w:rPr>
    </w:lvl>
    <w:lvl w:ilvl="3" w:tplc="A814707E" w:tentative="1">
      <w:start w:val="1"/>
      <w:numFmt w:val="bullet"/>
      <w:lvlText w:val=""/>
      <w:lvlJc w:val="left"/>
      <w:pPr>
        <w:ind w:left="2880" w:hanging="360"/>
      </w:pPr>
      <w:rPr>
        <w:rFonts w:ascii="Symbol" w:hAnsi="Symbol" w:hint="default"/>
      </w:rPr>
    </w:lvl>
    <w:lvl w:ilvl="4" w:tplc="06CC0C00" w:tentative="1">
      <w:start w:val="1"/>
      <w:numFmt w:val="bullet"/>
      <w:lvlText w:val="o"/>
      <w:lvlJc w:val="left"/>
      <w:pPr>
        <w:ind w:left="3600" w:hanging="360"/>
      </w:pPr>
      <w:rPr>
        <w:rFonts w:ascii="Courier New" w:hAnsi="Courier New" w:cs="Courier New" w:hint="default"/>
      </w:rPr>
    </w:lvl>
    <w:lvl w:ilvl="5" w:tplc="BEB26056" w:tentative="1">
      <w:start w:val="1"/>
      <w:numFmt w:val="bullet"/>
      <w:lvlText w:val=""/>
      <w:lvlJc w:val="left"/>
      <w:pPr>
        <w:ind w:left="4320" w:hanging="360"/>
      </w:pPr>
      <w:rPr>
        <w:rFonts w:ascii="Wingdings" w:hAnsi="Wingdings" w:hint="default"/>
      </w:rPr>
    </w:lvl>
    <w:lvl w:ilvl="6" w:tplc="5E5C4A82" w:tentative="1">
      <w:start w:val="1"/>
      <w:numFmt w:val="bullet"/>
      <w:lvlText w:val=""/>
      <w:lvlJc w:val="left"/>
      <w:pPr>
        <w:ind w:left="5040" w:hanging="360"/>
      </w:pPr>
      <w:rPr>
        <w:rFonts w:ascii="Symbol" w:hAnsi="Symbol" w:hint="default"/>
      </w:rPr>
    </w:lvl>
    <w:lvl w:ilvl="7" w:tplc="CFA6C786" w:tentative="1">
      <w:start w:val="1"/>
      <w:numFmt w:val="bullet"/>
      <w:lvlText w:val="o"/>
      <w:lvlJc w:val="left"/>
      <w:pPr>
        <w:ind w:left="5760" w:hanging="360"/>
      </w:pPr>
      <w:rPr>
        <w:rFonts w:ascii="Courier New" w:hAnsi="Courier New" w:cs="Courier New" w:hint="default"/>
      </w:rPr>
    </w:lvl>
    <w:lvl w:ilvl="8" w:tplc="F4F888D8" w:tentative="1">
      <w:start w:val="1"/>
      <w:numFmt w:val="bullet"/>
      <w:lvlText w:val=""/>
      <w:lvlJc w:val="left"/>
      <w:pPr>
        <w:ind w:left="6480" w:hanging="360"/>
      </w:pPr>
      <w:rPr>
        <w:rFonts w:ascii="Wingdings" w:hAnsi="Wingdings" w:hint="default"/>
      </w:rPr>
    </w:lvl>
  </w:abstractNum>
  <w:abstractNum w:abstractNumId="117" w15:restartNumberingAfterBreak="0">
    <w:nsid w:val="43EA3162"/>
    <w:multiLevelType w:val="hybridMultilevel"/>
    <w:tmpl w:val="7D965E82"/>
    <w:lvl w:ilvl="0" w:tplc="102CD3B6">
      <w:start w:val="1"/>
      <w:numFmt w:val="bullet"/>
      <w:lvlText w:val=""/>
      <w:lvlJc w:val="left"/>
      <w:pPr>
        <w:ind w:left="720" w:hanging="360"/>
      </w:pPr>
      <w:rPr>
        <w:rFonts w:ascii="Wingdings" w:hAnsi="Wingdings" w:hint="default"/>
      </w:rPr>
    </w:lvl>
    <w:lvl w:ilvl="1" w:tplc="90A469CE" w:tentative="1">
      <w:start w:val="1"/>
      <w:numFmt w:val="bullet"/>
      <w:lvlText w:val="o"/>
      <w:lvlJc w:val="left"/>
      <w:pPr>
        <w:ind w:left="1440" w:hanging="360"/>
      </w:pPr>
      <w:rPr>
        <w:rFonts w:ascii="Courier New" w:hAnsi="Courier New" w:cs="Courier New" w:hint="default"/>
      </w:rPr>
    </w:lvl>
    <w:lvl w:ilvl="2" w:tplc="75001EC2" w:tentative="1">
      <w:start w:val="1"/>
      <w:numFmt w:val="bullet"/>
      <w:lvlText w:val=""/>
      <w:lvlJc w:val="left"/>
      <w:pPr>
        <w:ind w:left="2160" w:hanging="360"/>
      </w:pPr>
      <w:rPr>
        <w:rFonts w:ascii="Wingdings" w:hAnsi="Wingdings" w:hint="default"/>
      </w:rPr>
    </w:lvl>
    <w:lvl w:ilvl="3" w:tplc="689C7F7E" w:tentative="1">
      <w:start w:val="1"/>
      <w:numFmt w:val="bullet"/>
      <w:lvlText w:val=""/>
      <w:lvlJc w:val="left"/>
      <w:pPr>
        <w:ind w:left="2880" w:hanging="360"/>
      </w:pPr>
      <w:rPr>
        <w:rFonts w:ascii="Symbol" w:hAnsi="Symbol" w:hint="default"/>
      </w:rPr>
    </w:lvl>
    <w:lvl w:ilvl="4" w:tplc="827E978E" w:tentative="1">
      <w:start w:val="1"/>
      <w:numFmt w:val="bullet"/>
      <w:lvlText w:val="o"/>
      <w:lvlJc w:val="left"/>
      <w:pPr>
        <w:ind w:left="3600" w:hanging="360"/>
      </w:pPr>
      <w:rPr>
        <w:rFonts w:ascii="Courier New" w:hAnsi="Courier New" w:cs="Courier New" w:hint="default"/>
      </w:rPr>
    </w:lvl>
    <w:lvl w:ilvl="5" w:tplc="BFF6D74E" w:tentative="1">
      <w:start w:val="1"/>
      <w:numFmt w:val="bullet"/>
      <w:lvlText w:val=""/>
      <w:lvlJc w:val="left"/>
      <w:pPr>
        <w:ind w:left="4320" w:hanging="360"/>
      </w:pPr>
      <w:rPr>
        <w:rFonts w:ascii="Wingdings" w:hAnsi="Wingdings" w:hint="default"/>
      </w:rPr>
    </w:lvl>
    <w:lvl w:ilvl="6" w:tplc="87DEBF6C" w:tentative="1">
      <w:start w:val="1"/>
      <w:numFmt w:val="bullet"/>
      <w:lvlText w:val=""/>
      <w:lvlJc w:val="left"/>
      <w:pPr>
        <w:ind w:left="5040" w:hanging="360"/>
      </w:pPr>
      <w:rPr>
        <w:rFonts w:ascii="Symbol" w:hAnsi="Symbol" w:hint="default"/>
      </w:rPr>
    </w:lvl>
    <w:lvl w:ilvl="7" w:tplc="1DD27BD8" w:tentative="1">
      <w:start w:val="1"/>
      <w:numFmt w:val="bullet"/>
      <w:lvlText w:val="o"/>
      <w:lvlJc w:val="left"/>
      <w:pPr>
        <w:ind w:left="5760" w:hanging="360"/>
      </w:pPr>
      <w:rPr>
        <w:rFonts w:ascii="Courier New" w:hAnsi="Courier New" w:cs="Courier New" w:hint="default"/>
      </w:rPr>
    </w:lvl>
    <w:lvl w:ilvl="8" w:tplc="ABAECFDC" w:tentative="1">
      <w:start w:val="1"/>
      <w:numFmt w:val="bullet"/>
      <w:lvlText w:val=""/>
      <w:lvlJc w:val="left"/>
      <w:pPr>
        <w:ind w:left="6480" w:hanging="360"/>
      </w:pPr>
      <w:rPr>
        <w:rFonts w:ascii="Wingdings" w:hAnsi="Wingdings" w:hint="default"/>
      </w:rPr>
    </w:lvl>
  </w:abstractNum>
  <w:abstractNum w:abstractNumId="118" w15:restartNumberingAfterBreak="0">
    <w:nsid w:val="447B6FED"/>
    <w:multiLevelType w:val="multilevel"/>
    <w:tmpl w:val="40182A5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9" w15:restartNumberingAfterBreak="0">
    <w:nsid w:val="448016BC"/>
    <w:multiLevelType w:val="hybridMultilevel"/>
    <w:tmpl w:val="7136B120"/>
    <w:lvl w:ilvl="0" w:tplc="16CA8A3C">
      <w:start w:val="1"/>
      <w:numFmt w:val="bullet"/>
      <w:lvlText w:val=""/>
      <w:lvlJc w:val="left"/>
      <w:pPr>
        <w:ind w:left="720" w:hanging="360"/>
      </w:pPr>
      <w:rPr>
        <w:rFonts w:ascii="Symbol" w:eastAsiaTheme="minorHAnsi" w:hAnsi="Symbol" w:cstheme="minorBidi" w:hint="default"/>
      </w:rPr>
    </w:lvl>
    <w:lvl w:ilvl="1" w:tplc="C532B482" w:tentative="1">
      <w:start w:val="1"/>
      <w:numFmt w:val="bullet"/>
      <w:lvlText w:val="o"/>
      <w:lvlJc w:val="left"/>
      <w:pPr>
        <w:ind w:left="1440" w:hanging="360"/>
      </w:pPr>
      <w:rPr>
        <w:rFonts w:ascii="Courier New" w:hAnsi="Courier New" w:cs="Courier New" w:hint="default"/>
      </w:rPr>
    </w:lvl>
    <w:lvl w:ilvl="2" w:tplc="8E9ECAF8" w:tentative="1">
      <w:start w:val="1"/>
      <w:numFmt w:val="bullet"/>
      <w:lvlText w:val=""/>
      <w:lvlJc w:val="left"/>
      <w:pPr>
        <w:ind w:left="2160" w:hanging="360"/>
      </w:pPr>
      <w:rPr>
        <w:rFonts w:ascii="Wingdings" w:hAnsi="Wingdings" w:hint="default"/>
      </w:rPr>
    </w:lvl>
    <w:lvl w:ilvl="3" w:tplc="31A620E4" w:tentative="1">
      <w:start w:val="1"/>
      <w:numFmt w:val="bullet"/>
      <w:lvlText w:val=""/>
      <w:lvlJc w:val="left"/>
      <w:pPr>
        <w:ind w:left="2880" w:hanging="360"/>
      </w:pPr>
      <w:rPr>
        <w:rFonts w:ascii="Symbol" w:hAnsi="Symbol" w:hint="default"/>
      </w:rPr>
    </w:lvl>
    <w:lvl w:ilvl="4" w:tplc="3522DAA8" w:tentative="1">
      <w:start w:val="1"/>
      <w:numFmt w:val="bullet"/>
      <w:lvlText w:val="o"/>
      <w:lvlJc w:val="left"/>
      <w:pPr>
        <w:ind w:left="3600" w:hanging="360"/>
      </w:pPr>
      <w:rPr>
        <w:rFonts w:ascii="Courier New" w:hAnsi="Courier New" w:cs="Courier New" w:hint="default"/>
      </w:rPr>
    </w:lvl>
    <w:lvl w:ilvl="5" w:tplc="E73EC86E" w:tentative="1">
      <w:start w:val="1"/>
      <w:numFmt w:val="bullet"/>
      <w:lvlText w:val=""/>
      <w:lvlJc w:val="left"/>
      <w:pPr>
        <w:ind w:left="4320" w:hanging="360"/>
      </w:pPr>
      <w:rPr>
        <w:rFonts w:ascii="Wingdings" w:hAnsi="Wingdings" w:hint="default"/>
      </w:rPr>
    </w:lvl>
    <w:lvl w:ilvl="6" w:tplc="BEEA8656" w:tentative="1">
      <w:start w:val="1"/>
      <w:numFmt w:val="bullet"/>
      <w:lvlText w:val=""/>
      <w:lvlJc w:val="left"/>
      <w:pPr>
        <w:ind w:left="5040" w:hanging="360"/>
      </w:pPr>
      <w:rPr>
        <w:rFonts w:ascii="Symbol" w:hAnsi="Symbol" w:hint="default"/>
      </w:rPr>
    </w:lvl>
    <w:lvl w:ilvl="7" w:tplc="36BAF24E" w:tentative="1">
      <w:start w:val="1"/>
      <w:numFmt w:val="bullet"/>
      <w:lvlText w:val="o"/>
      <w:lvlJc w:val="left"/>
      <w:pPr>
        <w:ind w:left="5760" w:hanging="360"/>
      </w:pPr>
      <w:rPr>
        <w:rFonts w:ascii="Courier New" w:hAnsi="Courier New" w:cs="Courier New" w:hint="default"/>
      </w:rPr>
    </w:lvl>
    <w:lvl w:ilvl="8" w:tplc="3ECCAA52" w:tentative="1">
      <w:start w:val="1"/>
      <w:numFmt w:val="bullet"/>
      <w:lvlText w:val=""/>
      <w:lvlJc w:val="left"/>
      <w:pPr>
        <w:ind w:left="6480" w:hanging="360"/>
      </w:pPr>
      <w:rPr>
        <w:rFonts w:ascii="Wingdings" w:hAnsi="Wingdings" w:hint="default"/>
      </w:rPr>
    </w:lvl>
  </w:abstractNum>
  <w:abstractNum w:abstractNumId="120" w15:restartNumberingAfterBreak="0">
    <w:nsid w:val="44814BEE"/>
    <w:multiLevelType w:val="multilevel"/>
    <w:tmpl w:val="ADEA961C"/>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44AD739E"/>
    <w:multiLevelType w:val="multilevel"/>
    <w:tmpl w:val="91F84ABA"/>
    <w:lvl w:ilvl="0">
      <w:start w:val="2"/>
      <w:numFmt w:val="decimal"/>
      <w:lvlText w:val="%1."/>
      <w:lvlJc w:val="left"/>
      <w:pPr>
        <w:ind w:left="540" w:hanging="540"/>
      </w:pPr>
      <w:rPr>
        <w:rFonts w:hint="default"/>
        <w:b/>
        <w:i/>
      </w:rPr>
    </w:lvl>
    <w:lvl w:ilvl="1">
      <w:start w:val="2"/>
      <w:numFmt w:val="decimal"/>
      <w:lvlText w:val="%1.%2."/>
      <w:lvlJc w:val="left"/>
      <w:pPr>
        <w:ind w:left="540" w:hanging="540"/>
      </w:pPr>
      <w:rPr>
        <w:rFonts w:hint="default"/>
        <w:b/>
        <w:i/>
      </w:rPr>
    </w:lvl>
    <w:lvl w:ilvl="2">
      <w:start w:val="2"/>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22" w15:restartNumberingAfterBreak="0">
    <w:nsid w:val="45BE5FF3"/>
    <w:multiLevelType w:val="multilevel"/>
    <w:tmpl w:val="96409A74"/>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461E3A7B"/>
    <w:multiLevelType w:val="hybridMultilevel"/>
    <w:tmpl w:val="BB3A1B22"/>
    <w:lvl w:ilvl="0" w:tplc="49D00248">
      <w:start w:val="1"/>
      <w:numFmt w:val="bullet"/>
      <w:lvlText w:val=""/>
      <w:lvlPicBulletId w:val="0"/>
      <w:lvlJc w:val="left"/>
      <w:pPr>
        <w:ind w:left="720" w:hanging="360"/>
      </w:pPr>
      <w:rPr>
        <w:rFonts w:ascii="Symbol" w:hAnsi="Symbol" w:hint="default"/>
      </w:rPr>
    </w:lvl>
    <w:lvl w:ilvl="1" w:tplc="DB62C906" w:tentative="1">
      <w:start w:val="1"/>
      <w:numFmt w:val="bullet"/>
      <w:lvlText w:val="o"/>
      <w:lvlJc w:val="left"/>
      <w:pPr>
        <w:ind w:left="1440" w:hanging="360"/>
      </w:pPr>
      <w:rPr>
        <w:rFonts w:ascii="Courier New" w:hAnsi="Courier New" w:cs="Courier New" w:hint="default"/>
      </w:rPr>
    </w:lvl>
    <w:lvl w:ilvl="2" w:tplc="80DABE8A" w:tentative="1">
      <w:start w:val="1"/>
      <w:numFmt w:val="bullet"/>
      <w:lvlText w:val=""/>
      <w:lvlJc w:val="left"/>
      <w:pPr>
        <w:ind w:left="2160" w:hanging="360"/>
      </w:pPr>
      <w:rPr>
        <w:rFonts w:ascii="Wingdings" w:hAnsi="Wingdings" w:hint="default"/>
      </w:rPr>
    </w:lvl>
    <w:lvl w:ilvl="3" w:tplc="69EE47A0" w:tentative="1">
      <w:start w:val="1"/>
      <w:numFmt w:val="bullet"/>
      <w:lvlText w:val=""/>
      <w:lvlJc w:val="left"/>
      <w:pPr>
        <w:ind w:left="2880" w:hanging="360"/>
      </w:pPr>
      <w:rPr>
        <w:rFonts w:ascii="Symbol" w:hAnsi="Symbol" w:hint="default"/>
      </w:rPr>
    </w:lvl>
    <w:lvl w:ilvl="4" w:tplc="337A4EC4" w:tentative="1">
      <w:start w:val="1"/>
      <w:numFmt w:val="bullet"/>
      <w:lvlText w:val="o"/>
      <w:lvlJc w:val="left"/>
      <w:pPr>
        <w:ind w:left="3600" w:hanging="360"/>
      </w:pPr>
      <w:rPr>
        <w:rFonts w:ascii="Courier New" w:hAnsi="Courier New" w:cs="Courier New" w:hint="default"/>
      </w:rPr>
    </w:lvl>
    <w:lvl w:ilvl="5" w:tplc="153E4058" w:tentative="1">
      <w:start w:val="1"/>
      <w:numFmt w:val="bullet"/>
      <w:lvlText w:val=""/>
      <w:lvlJc w:val="left"/>
      <w:pPr>
        <w:ind w:left="4320" w:hanging="360"/>
      </w:pPr>
      <w:rPr>
        <w:rFonts w:ascii="Wingdings" w:hAnsi="Wingdings" w:hint="default"/>
      </w:rPr>
    </w:lvl>
    <w:lvl w:ilvl="6" w:tplc="BB765202" w:tentative="1">
      <w:start w:val="1"/>
      <w:numFmt w:val="bullet"/>
      <w:lvlText w:val=""/>
      <w:lvlJc w:val="left"/>
      <w:pPr>
        <w:ind w:left="5040" w:hanging="360"/>
      </w:pPr>
      <w:rPr>
        <w:rFonts w:ascii="Symbol" w:hAnsi="Symbol" w:hint="default"/>
      </w:rPr>
    </w:lvl>
    <w:lvl w:ilvl="7" w:tplc="ACE66A6C" w:tentative="1">
      <w:start w:val="1"/>
      <w:numFmt w:val="bullet"/>
      <w:lvlText w:val="o"/>
      <w:lvlJc w:val="left"/>
      <w:pPr>
        <w:ind w:left="5760" w:hanging="360"/>
      </w:pPr>
      <w:rPr>
        <w:rFonts w:ascii="Courier New" w:hAnsi="Courier New" w:cs="Courier New" w:hint="default"/>
      </w:rPr>
    </w:lvl>
    <w:lvl w:ilvl="8" w:tplc="14B6F722" w:tentative="1">
      <w:start w:val="1"/>
      <w:numFmt w:val="bullet"/>
      <w:lvlText w:val=""/>
      <w:lvlJc w:val="left"/>
      <w:pPr>
        <w:ind w:left="6480" w:hanging="360"/>
      </w:pPr>
      <w:rPr>
        <w:rFonts w:ascii="Wingdings" w:hAnsi="Wingdings" w:hint="default"/>
      </w:rPr>
    </w:lvl>
  </w:abstractNum>
  <w:abstractNum w:abstractNumId="124" w15:restartNumberingAfterBreak="0">
    <w:nsid w:val="475A1270"/>
    <w:multiLevelType w:val="multilevel"/>
    <w:tmpl w:val="CF00AD7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pStyle w:val="Heading40"/>
      <w:isLgl/>
      <w:lvlText w:val="%1.%2.%3."/>
      <w:lvlJc w:val="left"/>
      <w:pPr>
        <w:ind w:left="720" w:hanging="720"/>
      </w:pPr>
      <w:rPr>
        <w:rFonts w:hint="default"/>
        <w:b/>
      </w:rPr>
    </w:lvl>
    <w:lvl w:ilvl="3">
      <w:start w:val="1"/>
      <w:numFmt w:val="decimal"/>
      <w:isLgl/>
      <w:lvlText w:val="%1.%2.%3.%4."/>
      <w:lvlJc w:val="left"/>
      <w:pPr>
        <w:ind w:left="720" w:hanging="720"/>
      </w:pPr>
      <w:rPr>
        <w:rFonts w:hint="default"/>
        <w:b/>
        <w:i/>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48CC0017"/>
    <w:multiLevelType w:val="hybridMultilevel"/>
    <w:tmpl w:val="2CDC4AAE"/>
    <w:lvl w:ilvl="0" w:tplc="CC902E78">
      <w:start w:val="5"/>
      <w:numFmt w:val="bullet"/>
      <w:lvlText w:val="-"/>
      <w:lvlJc w:val="left"/>
      <w:pPr>
        <w:ind w:left="720" w:hanging="360"/>
      </w:pPr>
      <w:rPr>
        <w:rFonts w:ascii="Times New Roman" w:eastAsiaTheme="minorHAnsi" w:hAnsi="Times New Roman" w:cs="Times New Roman" w:hint="default"/>
      </w:rPr>
    </w:lvl>
    <w:lvl w:ilvl="1" w:tplc="F5A45FD6" w:tentative="1">
      <w:start w:val="1"/>
      <w:numFmt w:val="bullet"/>
      <w:lvlText w:val="o"/>
      <w:lvlJc w:val="left"/>
      <w:pPr>
        <w:ind w:left="1440" w:hanging="360"/>
      </w:pPr>
      <w:rPr>
        <w:rFonts w:ascii="Courier New" w:hAnsi="Courier New" w:cs="Courier New" w:hint="default"/>
      </w:rPr>
    </w:lvl>
    <w:lvl w:ilvl="2" w:tplc="EFBA4EC4" w:tentative="1">
      <w:start w:val="1"/>
      <w:numFmt w:val="bullet"/>
      <w:lvlText w:val=""/>
      <w:lvlJc w:val="left"/>
      <w:pPr>
        <w:ind w:left="2160" w:hanging="360"/>
      </w:pPr>
      <w:rPr>
        <w:rFonts w:ascii="Wingdings" w:hAnsi="Wingdings" w:hint="default"/>
      </w:rPr>
    </w:lvl>
    <w:lvl w:ilvl="3" w:tplc="1C94BBCA" w:tentative="1">
      <w:start w:val="1"/>
      <w:numFmt w:val="bullet"/>
      <w:lvlText w:val=""/>
      <w:lvlJc w:val="left"/>
      <w:pPr>
        <w:ind w:left="2880" w:hanging="360"/>
      </w:pPr>
      <w:rPr>
        <w:rFonts w:ascii="Symbol" w:hAnsi="Symbol" w:hint="default"/>
      </w:rPr>
    </w:lvl>
    <w:lvl w:ilvl="4" w:tplc="CC16EA8A" w:tentative="1">
      <w:start w:val="1"/>
      <w:numFmt w:val="bullet"/>
      <w:lvlText w:val="o"/>
      <w:lvlJc w:val="left"/>
      <w:pPr>
        <w:ind w:left="3600" w:hanging="360"/>
      </w:pPr>
      <w:rPr>
        <w:rFonts w:ascii="Courier New" w:hAnsi="Courier New" w:cs="Courier New" w:hint="default"/>
      </w:rPr>
    </w:lvl>
    <w:lvl w:ilvl="5" w:tplc="48B6C38A" w:tentative="1">
      <w:start w:val="1"/>
      <w:numFmt w:val="bullet"/>
      <w:lvlText w:val=""/>
      <w:lvlJc w:val="left"/>
      <w:pPr>
        <w:ind w:left="4320" w:hanging="360"/>
      </w:pPr>
      <w:rPr>
        <w:rFonts w:ascii="Wingdings" w:hAnsi="Wingdings" w:hint="default"/>
      </w:rPr>
    </w:lvl>
    <w:lvl w:ilvl="6" w:tplc="40880576" w:tentative="1">
      <w:start w:val="1"/>
      <w:numFmt w:val="bullet"/>
      <w:lvlText w:val=""/>
      <w:lvlJc w:val="left"/>
      <w:pPr>
        <w:ind w:left="5040" w:hanging="360"/>
      </w:pPr>
      <w:rPr>
        <w:rFonts w:ascii="Symbol" w:hAnsi="Symbol" w:hint="default"/>
      </w:rPr>
    </w:lvl>
    <w:lvl w:ilvl="7" w:tplc="F130529C" w:tentative="1">
      <w:start w:val="1"/>
      <w:numFmt w:val="bullet"/>
      <w:lvlText w:val="o"/>
      <w:lvlJc w:val="left"/>
      <w:pPr>
        <w:ind w:left="5760" w:hanging="360"/>
      </w:pPr>
      <w:rPr>
        <w:rFonts w:ascii="Courier New" w:hAnsi="Courier New" w:cs="Courier New" w:hint="default"/>
      </w:rPr>
    </w:lvl>
    <w:lvl w:ilvl="8" w:tplc="79DEDD56" w:tentative="1">
      <w:start w:val="1"/>
      <w:numFmt w:val="bullet"/>
      <w:lvlText w:val=""/>
      <w:lvlJc w:val="left"/>
      <w:pPr>
        <w:ind w:left="6480" w:hanging="360"/>
      </w:pPr>
      <w:rPr>
        <w:rFonts w:ascii="Wingdings" w:hAnsi="Wingdings" w:hint="default"/>
      </w:rPr>
    </w:lvl>
  </w:abstractNum>
  <w:abstractNum w:abstractNumId="126" w15:restartNumberingAfterBreak="0">
    <w:nsid w:val="48E40C6E"/>
    <w:multiLevelType w:val="hybridMultilevel"/>
    <w:tmpl w:val="2C6ED5EC"/>
    <w:lvl w:ilvl="0" w:tplc="B8E48FC0">
      <w:start w:val="3"/>
      <w:numFmt w:val="bullet"/>
      <w:lvlText w:val="-"/>
      <w:lvlJc w:val="left"/>
      <w:pPr>
        <w:ind w:left="720" w:hanging="360"/>
      </w:pPr>
      <w:rPr>
        <w:rFonts w:ascii="Times New Roman" w:eastAsiaTheme="minorHAnsi" w:hAnsi="Times New Roman" w:cs="Times New Roman" w:hint="default"/>
      </w:rPr>
    </w:lvl>
    <w:lvl w:ilvl="1" w:tplc="36326720" w:tentative="1">
      <w:start w:val="1"/>
      <w:numFmt w:val="bullet"/>
      <w:lvlText w:val="o"/>
      <w:lvlJc w:val="left"/>
      <w:pPr>
        <w:ind w:left="1440" w:hanging="360"/>
      </w:pPr>
      <w:rPr>
        <w:rFonts w:ascii="Courier New" w:hAnsi="Courier New" w:cs="Courier New" w:hint="default"/>
      </w:rPr>
    </w:lvl>
    <w:lvl w:ilvl="2" w:tplc="CB087B28" w:tentative="1">
      <w:start w:val="1"/>
      <w:numFmt w:val="bullet"/>
      <w:lvlText w:val=""/>
      <w:lvlJc w:val="left"/>
      <w:pPr>
        <w:ind w:left="2160" w:hanging="360"/>
      </w:pPr>
      <w:rPr>
        <w:rFonts w:ascii="Wingdings" w:hAnsi="Wingdings" w:hint="default"/>
      </w:rPr>
    </w:lvl>
    <w:lvl w:ilvl="3" w:tplc="26FACDC0" w:tentative="1">
      <w:start w:val="1"/>
      <w:numFmt w:val="bullet"/>
      <w:lvlText w:val=""/>
      <w:lvlJc w:val="left"/>
      <w:pPr>
        <w:ind w:left="2880" w:hanging="360"/>
      </w:pPr>
      <w:rPr>
        <w:rFonts w:ascii="Symbol" w:hAnsi="Symbol" w:hint="default"/>
      </w:rPr>
    </w:lvl>
    <w:lvl w:ilvl="4" w:tplc="C502781E" w:tentative="1">
      <w:start w:val="1"/>
      <w:numFmt w:val="bullet"/>
      <w:lvlText w:val="o"/>
      <w:lvlJc w:val="left"/>
      <w:pPr>
        <w:ind w:left="3600" w:hanging="360"/>
      </w:pPr>
      <w:rPr>
        <w:rFonts w:ascii="Courier New" w:hAnsi="Courier New" w:cs="Courier New" w:hint="default"/>
      </w:rPr>
    </w:lvl>
    <w:lvl w:ilvl="5" w:tplc="880EFEB8" w:tentative="1">
      <w:start w:val="1"/>
      <w:numFmt w:val="bullet"/>
      <w:lvlText w:val=""/>
      <w:lvlJc w:val="left"/>
      <w:pPr>
        <w:ind w:left="4320" w:hanging="360"/>
      </w:pPr>
      <w:rPr>
        <w:rFonts w:ascii="Wingdings" w:hAnsi="Wingdings" w:hint="default"/>
      </w:rPr>
    </w:lvl>
    <w:lvl w:ilvl="6" w:tplc="61CE7B08" w:tentative="1">
      <w:start w:val="1"/>
      <w:numFmt w:val="bullet"/>
      <w:lvlText w:val=""/>
      <w:lvlJc w:val="left"/>
      <w:pPr>
        <w:ind w:left="5040" w:hanging="360"/>
      </w:pPr>
      <w:rPr>
        <w:rFonts w:ascii="Symbol" w:hAnsi="Symbol" w:hint="default"/>
      </w:rPr>
    </w:lvl>
    <w:lvl w:ilvl="7" w:tplc="83FE2620" w:tentative="1">
      <w:start w:val="1"/>
      <w:numFmt w:val="bullet"/>
      <w:lvlText w:val="o"/>
      <w:lvlJc w:val="left"/>
      <w:pPr>
        <w:ind w:left="5760" w:hanging="360"/>
      </w:pPr>
      <w:rPr>
        <w:rFonts w:ascii="Courier New" w:hAnsi="Courier New" w:cs="Courier New" w:hint="default"/>
      </w:rPr>
    </w:lvl>
    <w:lvl w:ilvl="8" w:tplc="EDF2168E" w:tentative="1">
      <w:start w:val="1"/>
      <w:numFmt w:val="bullet"/>
      <w:lvlText w:val=""/>
      <w:lvlJc w:val="left"/>
      <w:pPr>
        <w:ind w:left="6480" w:hanging="360"/>
      </w:pPr>
      <w:rPr>
        <w:rFonts w:ascii="Wingdings" w:hAnsi="Wingdings" w:hint="default"/>
      </w:rPr>
    </w:lvl>
  </w:abstractNum>
  <w:abstractNum w:abstractNumId="127" w15:restartNumberingAfterBreak="0">
    <w:nsid w:val="490638EA"/>
    <w:multiLevelType w:val="multilevel"/>
    <w:tmpl w:val="644C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AA55C5E"/>
    <w:multiLevelType w:val="multilevel"/>
    <w:tmpl w:val="7AC8C1B0"/>
    <w:lvl w:ilvl="0">
      <w:start w:val="1"/>
      <w:numFmt w:val="decimal"/>
      <w:lvlText w:val="%1."/>
      <w:lvlJc w:val="left"/>
      <w:pPr>
        <w:ind w:left="720" w:hanging="360"/>
      </w:pPr>
      <w:rPr>
        <w:rFonts w:ascii="Times New Roman" w:hAnsi="Times New Roman" w:cs="Times New Roman" w:hint="default"/>
        <w:sz w:val="28"/>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4B776C13"/>
    <w:multiLevelType w:val="multilevel"/>
    <w:tmpl w:val="E6060A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0" w15:restartNumberingAfterBreak="0">
    <w:nsid w:val="4BA4224C"/>
    <w:multiLevelType w:val="multilevel"/>
    <w:tmpl w:val="D7DEF676"/>
    <w:lvl w:ilvl="0">
      <w:start w:val="1"/>
      <w:numFmt w:val="decimal"/>
      <w:lvlText w:val="%1."/>
      <w:lvlJc w:val="left"/>
      <w:pPr>
        <w:ind w:left="720" w:hanging="360"/>
      </w:pPr>
      <w:rPr>
        <w:rFonts w:hint="default"/>
      </w:rPr>
    </w:lvl>
    <w:lvl w:ilvl="1">
      <w:start w:val="1"/>
      <w:numFmt w:val="decimal"/>
      <w:isLgl/>
      <w:lvlText w:val="%1.%2."/>
      <w:lvlJc w:val="left"/>
      <w:pPr>
        <w:ind w:left="1712" w:hanging="720"/>
      </w:pPr>
      <w:rPr>
        <w:rFonts w:hint="default"/>
        <w:b/>
      </w:rPr>
    </w:lvl>
    <w:lvl w:ilvl="2">
      <w:start w:val="1"/>
      <w:numFmt w:val="decimal"/>
      <w:isLgl/>
      <w:lvlText w:val="%1.%2.%3."/>
      <w:lvlJc w:val="left"/>
      <w:pPr>
        <w:ind w:left="2072" w:hanging="1080"/>
      </w:pPr>
      <w:rPr>
        <w:rFonts w:hint="default"/>
        <w:b/>
      </w:rPr>
    </w:lvl>
    <w:lvl w:ilvl="3">
      <w:start w:val="1"/>
      <w:numFmt w:val="decimal"/>
      <w:isLgl/>
      <w:lvlText w:val="%1.%2.%3.%4."/>
      <w:lvlJc w:val="left"/>
      <w:pPr>
        <w:ind w:left="8280" w:hanging="1440"/>
      </w:pPr>
      <w:rPr>
        <w:rFonts w:hint="default"/>
        <w:b/>
      </w:rPr>
    </w:lvl>
    <w:lvl w:ilvl="4">
      <w:start w:val="1"/>
      <w:numFmt w:val="decimal"/>
      <w:isLgl/>
      <w:lvlText w:val="%1.%2.%3.%4.%5."/>
      <w:lvlJc w:val="left"/>
      <w:pPr>
        <w:ind w:left="10440" w:hanging="1440"/>
      </w:pPr>
      <w:rPr>
        <w:rFonts w:hint="default"/>
        <w:b/>
      </w:rPr>
    </w:lvl>
    <w:lvl w:ilvl="5">
      <w:start w:val="1"/>
      <w:numFmt w:val="decimal"/>
      <w:isLgl/>
      <w:lvlText w:val="%1.%2.%3.%4.%5.%6."/>
      <w:lvlJc w:val="left"/>
      <w:pPr>
        <w:ind w:left="12960" w:hanging="1800"/>
      </w:pPr>
      <w:rPr>
        <w:rFonts w:hint="default"/>
        <w:b/>
      </w:rPr>
    </w:lvl>
    <w:lvl w:ilvl="6">
      <w:start w:val="1"/>
      <w:numFmt w:val="decimal"/>
      <w:isLgl/>
      <w:lvlText w:val="%1.%2.%3.%4.%5.%6.%7."/>
      <w:lvlJc w:val="left"/>
      <w:pPr>
        <w:ind w:left="15480" w:hanging="2160"/>
      </w:pPr>
      <w:rPr>
        <w:rFonts w:hint="default"/>
        <w:b/>
      </w:rPr>
    </w:lvl>
    <w:lvl w:ilvl="7">
      <w:start w:val="1"/>
      <w:numFmt w:val="decimal"/>
      <w:isLgl/>
      <w:lvlText w:val="%1.%2.%3.%4.%5.%6.%7.%8."/>
      <w:lvlJc w:val="left"/>
      <w:pPr>
        <w:ind w:left="18000" w:hanging="2520"/>
      </w:pPr>
      <w:rPr>
        <w:rFonts w:hint="default"/>
        <w:b/>
      </w:rPr>
    </w:lvl>
    <w:lvl w:ilvl="8">
      <w:start w:val="1"/>
      <w:numFmt w:val="decimal"/>
      <w:isLgl/>
      <w:lvlText w:val="%1.%2.%3.%4.%5.%6.%7.%8.%9."/>
      <w:lvlJc w:val="left"/>
      <w:pPr>
        <w:ind w:left="20520" w:hanging="2880"/>
      </w:pPr>
      <w:rPr>
        <w:rFonts w:hint="default"/>
        <w:b/>
      </w:rPr>
    </w:lvl>
  </w:abstractNum>
  <w:abstractNum w:abstractNumId="131" w15:restartNumberingAfterBreak="0">
    <w:nsid w:val="4C215CC2"/>
    <w:multiLevelType w:val="multilevel"/>
    <w:tmpl w:val="A55C23AC"/>
    <w:lvl w:ilvl="0">
      <w:start w:val="1"/>
      <w:numFmt w:val="decimal"/>
      <w:lvlText w:val="%1."/>
      <w:lvlJc w:val="left"/>
      <w:pPr>
        <w:ind w:left="1287" w:hanging="360"/>
      </w:pPr>
    </w:lvl>
    <w:lvl w:ilvl="1">
      <w:start w:val="1"/>
      <w:numFmt w:val="decimal"/>
      <w:isLgl/>
      <w:lvlText w:val="%1.%2"/>
      <w:lvlJc w:val="left"/>
      <w:pPr>
        <w:ind w:left="1777" w:hanging="360"/>
      </w:pPr>
      <w:rPr>
        <w:rFonts w:hint="default"/>
      </w:rPr>
    </w:lvl>
    <w:lvl w:ilvl="2">
      <w:start w:val="1"/>
      <w:numFmt w:val="decimal"/>
      <w:isLgl/>
      <w:lvlText w:val="%1.%2.%3"/>
      <w:lvlJc w:val="left"/>
      <w:pPr>
        <w:ind w:left="2627" w:hanging="720"/>
      </w:pPr>
      <w:rPr>
        <w:rFonts w:hint="default"/>
      </w:rPr>
    </w:lvl>
    <w:lvl w:ilvl="3">
      <w:start w:val="1"/>
      <w:numFmt w:val="decimal"/>
      <w:isLgl/>
      <w:lvlText w:val="%1.%2.%3.%4"/>
      <w:lvlJc w:val="left"/>
      <w:pPr>
        <w:ind w:left="3117" w:hanging="720"/>
      </w:pPr>
      <w:rPr>
        <w:rFonts w:hint="default"/>
      </w:rPr>
    </w:lvl>
    <w:lvl w:ilvl="4">
      <w:start w:val="1"/>
      <w:numFmt w:val="decimal"/>
      <w:isLgl/>
      <w:lvlText w:val="%1.%2.%3.%4.%5"/>
      <w:lvlJc w:val="left"/>
      <w:pPr>
        <w:ind w:left="3967" w:hanging="1080"/>
      </w:pPr>
      <w:rPr>
        <w:rFonts w:hint="default"/>
      </w:rPr>
    </w:lvl>
    <w:lvl w:ilvl="5">
      <w:start w:val="1"/>
      <w:numFmt w:val="decimal"/>
      <w:isLgl/>
      <w:lvlText w:val="%1.%2.%3.%4.%5.%6"/>
      <w:lvlJc w:val="left"/>
      <w:pPr>
        <w:ind w:left="4457" w:hanging="1080"/>
      </w:pPr>
      <w:rPr>
        <w:rFonts w:hint="default"/>
      </w:rPr>
    </w:lvl>
    <w:lvl w:ilvl="6">
      <w:start w:val="1"/>
      <w:numFmt w:val="decimal"/>
      <w:isLgl/>
      <w:lvlText w:val="%1.%2.%3.%4.%5.%6.%7"/>
      <w:lvlJc w:val="left"/>
      <w:pPr>
        <w:ind w:left="5307" w:hanging="1440"/>
      </w:pPr>
      <w:rPr>
        <w:rFonts w:hint="default"/>
      </w:rPr>
    </w:lvl>
    <w:lvl w:ilvl="7">
      <w:start w:val="1"/>
      <w:numFmt w:val="decimal"/>
      <w:isLgl/>
      <w:lvlText w:val="%1.%2.%3.%4.%5.%6.%7.%8"/>
      <w:lvlJc w:val="left"/>
      <w:pPr>
        <w:ind w:left="5797" w:hanging="1440"/>
      </w:pPr>
      <w:rPr>
        <w:rFonts w:hint="default"/>
      </w:rPr>
    </w:lvl>
    <w:lvl w:ilvl="8">
      <w:start w:val="1"/>
      <w:numFmt w:val="decimal"/>
      <w:isLgl/>
      <w:lvlText w:val="%1.%2.%3.%4.%5.%6.%7.%8.%9"/>
      <w:lvlJc w:val="left"/>
      <w:pPr>
        <w:ind w:left="6647" w:hanging="1800"/>
      </w:pPr>
      <w:rPr>
        <w:rFonts w:hint="default"/>
      </w:rPr>
    </w:lvl>
  </w:abstractNum>
  <w:abstractNum w:abstractNumId="132" w15:restartNumberingAfterBreak="0">
    <w:nsid w:val="4CF941F9"/>
    <w:multiLevelType w:val="hybridMultilevel"/>
    <w:tmpl w:val="0DE8D5D6"/>
    <w:lvl w:ilvl="0" w:tplc="6CC64538">
      <w:start w:val="1"/>
      <w:numFmt w:val="bullet"/>
      <w:lvlText w:val="-"/>
      <w:lvlJc w:val="left"/>
      <w:pPr>
        <w:ind w:left="720" w:hanging="360"/>
      </w:pPr>
      <w:rPr>
        <w:rFonts w:ascii="Times New Roman" w:eastAsia="Times New Roman" w:hAnsi="Times New Roman" w:cs="Times New Roman" w:hint="default"/>
      </w:rPr>
    </w:lvl>
    <w:lvl w:ilvl="1" w:tplc="01AA130E" w:tentative="1">
      <w:start w:val="1"/>
      <w:numFmt w:val="bullet"/>
      <w:lvlText w:val="o"/>
      <w:lvlJc w:val="left"/>
      <w:pPr>
        <w:ind w:left="1440" w:hanging="360"/>
      </w:pPr>
      <w:rPr>
        <w:rFonts w:ascii="Courier New" w:hAnsi="Courier New" w:cs="Courier New" w:hint="default"/>
      </w:rPr>
    </w:lvl>
    <w:lvl w:ilvl="2" w:tplc="83FCD592" w:tentative="1">
      <w:start w:val="1"/>
      <w:numFmt w:val="bullet"/>
      <w:lvlText w:val=""/>
      <w:lvlJc w:val="left"/>
      <w:pPr>
        <w:ind w:left="2160" w:hanging="360"/>
      </w:pPr>
      <w:rPr>
        <w:rFonts w:ascii="Wingdings" w:hAnsi="Wingdings" w:hint="default"/>
      </w:rPr>
    </w:lvl>
    <w:lvl w:ilvl="3" w:tplc="C6761A8A" w:tentative="1">
      <w:start w:val="1"/>
      <w:numFmt w:val="bullet"/>
      <w:lvlText w:val=""/>
      <w:lvlJc w:val="left"/>
      <w:pPr>
        <w:ind w:left="2880" w:hanging="360"/>
      </w:pPr>
      <w:rPr>
        <w:rFonts w:ascii="Symbol" w:hAnsi="Symbol" w:hint="default"/>
      </w:rPr>
    </w:lvl>
    <w:lvl w:ilvl="4" w:tplc="7E88C614" w:tentative="1">
      <w:start w:val="1"/>
      <w:numFmt w:val="bullet"/>
      <w:lvlText w:val="o"/>
      <w:lvlJc w:val="left"/>
      <w:pPr>
        <w:ind w:left="3600" w:hanging="360"/>
      </w:pPr>
      <w:rPr>
        <w:rFonts w:ascii="Courier New" w:hAnsi="Courier New" w:cs="Courier New" w:hint="default"/>
      </w:rPr>
    </w:lvl>
    <w:lvl w:ilvl="5" w:tplc="A5E61020" w:tentative="1">
      <w:start w:val="1"/>
      <w:numFmt w:val="bullet"/>
      <w:lvlText w:val=""/>
      <w:lvlJc w:val="left"/>
      <w:pPr>
        <w:ind w:left="4320" w:hanging="360"/>
      </w:pPr>
      <w:rPr>
        <w:rFonts w:ascii="Wingdings" w:hAnsi="Wingdings" w:hint="default"/>
      </w:rPr>
    </w:lvl>
    <w:lvl w:ilvl="6" w:tplc="1EDE88C2" w:tentative="1">
      <w:start w:val="1"/>
      <w:numFmt w:val="bullet"/>
      <w:lvlText w:val=""/>
      <w:lvlJc w:val="left"/>
      <w:pPr>
        <w:ind w:left="5040" w:hanging="360"/>
      </w:pPr>
      <w:rPr>
        <w:rFonts w:ascii="Symbol" w:hAnsi="Symbol" w:hint="default"/>
      </w:rPr>
    </w:lvl>
    <w:lvl w:ilvl="7" w:tplc="F28EB8BE" w:tentative="1">
      <w:start w:val="1"/>
      <w:numFmt w:val="bullet"/>
      <w:lvlText w:val="o"/>
      <w:lvlJc w:val="left"/>
      <w:pPr>
        <w:ind w:left="5760" w:hanging="360"/>
      </w:pPr>
      <w:rPr>
        <w:rFonts w:ascii="Courier New" w:hAnsi="Courier New" w:cs="Courier New" w:hint="default"/>
      </w:rPr>
    </w:lvl>
    <w:lvl w:ilvl="8" w:tplc="DE1EA43E" w:tentative="1">
      <w:start w:val="1"/>
      <w:numFmt w:val="bullet"/>
      <w:lvlText w:val=""/>
      <w:lvlJc w:val="left"/>
      <w:pPr>
        <w:ind w:left="6480" w:hanging="360"/>
      </w:pPr>
      <w:rPr>
        <w:rFonts w:ascii="Wingdings" w:hAnsi="Wingdings" w:hint="default"/>
      </w:rPr>
    </w:lvl>
  </w:abstractNum>
  <w:abstractNum w:abstractNumId="133" w15:restartNumberingAfterBreak="0">
    <w:nsid w:val="4D3F2749"/>
    <w:multiLevelType w:val="hybridMultilevel"/>
    <w:tmpl w:val="B9522F6C"/>
    <w:lvl w:ilvl="0" w:tplc="B3C0493A">
      <w:start w:val="1"/>
      <w:numFmt w:val="bullet"/>
      <w:lvlText w:val="−"/>
      <w:lvlJc w:val="left"/>
      <w:pPr>
        <w:ind w:left="1080" w:hanging="360"/>
      </w:pPr>
      <w:rPr>
        <w:rFonts w:ascii="Arial" w:hAnsi="Arial" w:hint="default"/>
      </w:rPr>
    </w:lvl>
    <w:lvl w:ilvl="1" w:tplc="C1FC8CE8" w:tentative="1">
      <w:start w:val="1"/>
      <w:numFmt w:val="bullet"/>
      <w:lvlText w:val="o"/>
      <w:lvlJc w:val="left"/>
      <w:pPr>
        <w:ind w:left="1800" w:hanging="360"/>
      </w:pPr>
      <w:rPr>
        <w:rFonts w:ascii="Courier New" w:hAnsi="Courier New" w:cs="Courier New" w:hint="default"/>
      </w:rPr>
    </w:lvl>
    <w:lvl w:ilvl="2" w:tplc="3F7ABFFA" w:tentative="1">
      <w:start w:val="1"/>
      <w:numFmt w:val="bullet"/>
      <w:lvlText w:val=""/>
      <w:lvlJc w:val="left"/>
      <w:pPr>
        <w:ind w:left="2520" w:hanging="360"/>
      </w:pPr>
      <w:rPr>
        <w:rFonts w:ascii="Wingdings" w:hAnsi="Wingdings" w:hint="default"/>
      </w:rPr>
    </w:lvl>
    <w:lvl w:ilvl="3" w:tplc="54B870EA" w:tentative="1">
      <w:start w:val="1"/>
      <w:numFmt w:val="bullet"/>
      <w:lvlText w:val=""/>
      <w:lvlJc w:val="left"/>
      <w:pPr>
        <w:ind w:left="3240" w:hanging="360"/>
      </w:pPr>
      <w:rPr>
        <w:rFonts w:ascii="Symbol" w:hAnsi="Symbol" w:hint="default"/>
      </w:rPr>
    </w:lvl>
    <w:lvl w:ilvl="4" w:tplc="3F249BB6" w:tentative="1">
      <w:start w:val="1"/>
      <w:numFmt w:val="bullet"/>
      <w:lvlText w:val="o"/>
      <w:lvlJc w:val="left"/>
      <w:pPr>
        <w:ind w:left="3960" w:hanging="360"/>
      </w:pPr>
      <w:rPr>
        <w:rFonts w:ascii="Courier New" w:hAnsi="Courier New" w:cs="Courier New" w:hint="default"/>
      </w:rPr>
    </w:lvl>
    <w:lvl w:ilvl="5" w:tplc="2CC619F2" w:tentative="1">
      <w:start w:val="1"/>
      <w:numFmt w:val="bullet"/>
      <w:lvlText w:val=""/>
      <w:lvlJc w:val="left"/>
      <w:pPr>
        <w:ind w:left="4680" w:hanging="360"/>
      </w:pPr>
      <w:rPr>
        <w:rFonts w:ascii="Wingdings" w:hAnsi="Wingdings" w:hint="default"/>
      </w:rPr>
    </w:lvl>
    <w:lvl w:ilvl="6" w:tplc="B6405A5E" w:tentative="1">
      <w:start w:val="1"/>
      <w:numFmt w:val="bullet"/>
      <w:lvlText w:val=""/>
      <w:lvlJc w:val="left"/>
      <w:pPr>
        <w:ind w:left="5400" w:hanging="360"/>
      </w:pPr>
      <w:rPr>
        <w:rFonts w:ascii="Symbol" w:hAnsi="Symbol" w:hint="default"/>
      </w:rPr>
    </w:lvl>
    <w:lvl w:ilvl="7" w:tplc="316C412A" w:tentative="1">
      <w:start w:val="1"/>
      <w:numFmt w:val="bullet"/>
      <w:lvlText w:val="o"/>
      <w:lvlJc w:val="left"/>
      <w:pPr>
        <w:ind w:left="6120" w:hanging="360"/>
      </w:pPr>
      <w:rPr>
        <w:rFonts w:ascii="Courier New" w:hAnsi="Courier New" w:cs="Courier New" w:hint="default"/>
      </w:rPr>
    </w:lvl>
    <w:lvl w:ilvl="8" w:tplc="324C181C" w:tentative="1">
      <w:start w:val="1"/>
      <w:numFmt w:val="bullet"/>
      <w:lvlText w:val=""/>
      <w:lvlJc w:val="left"/>
      <w:pPr>
        <w:ind w:left="6840" w:hanging="360"/>
      </w:pPr>
      <w:rPr>
        <w:rFonts w:ascii="Wingdings" w:hAnsi="Wingdings" w:hint="default"/>
      </w:rPr>
    </w:lvl>
  </w:abstractNum>
  <w:abstractNum w:abstractNumId="134" w15:restartNumberingAfterBreak="0">
    <w:nsid w:val="4E0719AE"/>
    <w:multiLevelType w:val="multilevel"/>
    <w:tmpl w:val="DCDEA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EA73360"/>
    <w:multiLevelType w:val="multilevel"/>
    <w:tmpl w:val="66C64D0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EF30D4B"/>
    <w:multiLevelType w:val="multilevel"/>
    <w:tmpl w:val="4EF30D4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50AE7203"/>
    <w:multiLevelType w:val="hybridMultilevel"/>
    <w:tmpl w:val="71402532"/>
    <w:lvl w:ilvl="0" w:tplc="0BAC4426">
      <w:start w:val="1"/>
      <w:numFmt w:val="bullet"/>
      <w:lvlText w:val="-"/>
      <w:lvlJc w:val="left"/>
      <w:pPr>
        <w:ind w:left="720" w:hanging="360"/>
      </w:pPr>
      <w:rPr>
        <w:rFonts w:ascii="Times New Roman" w:eastAsia="Calibri" w:hAnsi="Times New Roman" w:cs="Times New Roman" w:hint="default"/>
      </w:rPr>
    </w:lvl>
    <w:lvl w:ilvl="1" w:tplc="E21CF480" w:tentative="1">
      <w:start w:val="1"/>
      <w:numFmt w:val="bullet"/>
      <w:lvlText w:val="o"/>
      <w:lvlJc w:val="left"/>
      <w:pPr>
        <w:ind w:left="1440" w:hanging="360"/>
      </w:pPr>
      <w:rPr>
        <w:rFonts w:ascii="Courier New" w:hAnsi="Courier New" w:cs="Courier New" w:hint="default"/>
      </w:rPr>
    </w:lvl>
    <w:lvl w:ilvl="2" w:tplc="720809C6" w:tentative="1">
      <w:start w:val="1"/>
      <w:numFmt w:val="bullet"/>
      <w:lvlText w:val=""/>
      <w:lvlJc w:val="left"/>
      <w:pPr>
        <w:ind w:left="2160" w:hanging="360"/>
      </w:pPr>
      <w:rPr>
        <w:rFonts w:ascii="Wingdings" w:hAnsi="Wingdings" w:hint="default"/>
      </w:rPr>
    </w:lvl>
    <w:lvl w:ilvl="3" w:tplc="6644D1DE" w:tentative="1">
      <w:start w:val="1"/>
      <w:numFmt w:val="bullet"/>
      <w:lvlText w:val=""/>
      <w:lvlJc w:val="left"/>
      <w:pPr>
        <w:ind w:left="2880" w:hanging="360"/>
      </w:pPr>
      <w:rPr>
        <w:rFonts w:ascii="Symbol" w:hAnsi="Symbol" w:hint="default"/>
      </w:rPr>
    </w:lvl>
    <w:lvl w:ilvl="4" w:tplc="C2E69B32" w:tentative="1">
      <w:start w:val="1"/>
      <w:numFmt w:val="bullet"/>
      <w:lvlText w:val="o"/>
      <w:lvlJc w:val="left"/>
      <w:pPr>
        <w:ind w:left="3600" w:hanging="360"/>
      </w:pPr>
      <w:rPr>
        <w:rFonts w:ascii="Courier New" w:hAnsi="Courier New" w:cs="Courier New" w:hint="default"/>
      </w:rPr>
    </w:lvl>
    <w:lvl w:ilvl="5" w:tplc="729A0978" w:tentative="1">
      <w:start w:val="1"/>
      <w:numFmt w:val="bullet"/>
      <w:lvlText w:val=""/>
      <w:lvlJc w:val="left"/>
      <w:pPr>
        <w:ind w:left="4320" w:hanging="360"/>
      </w:pPr>
      <w:rPr>
        <w:rFonts w:ascii="Wingdings" w:hAnsi="Wingdings" w:hint="default"/>
      </w:rPr>
    </w:lvl>
    <w:lvl w:ilvl="6" w:tplc="BC442706" w:tentative="1">
      <w:start w:val="1"/>
      <w:numFmt w:val="bullet"/>
      <w:lvlText w:val=""/>
      <w:lvlJc w:val="left"/>
      <w:pPr>
        <w:ind w:left="5040" w:hanging="360"/>
      </w:pPr>
      <w:rPr>
        <w:rFonts w:ascii="Symbol" w:hAnsi="Symbol" w:hint="default"/>
      </w:rPr>
    </w:lvl>
    <w:lvl w:ilvl="7" w:tplc="9E5CB20E" w:tentative="1">
      <w:start w:val="1"/>
      <w:numFmt w:val="bullet"/>
      <w:lvlText w:val="o"/>
      <w:lvlJc w:val="left"/>
      <w:pPr>
        <w:ind w:left="5760" w:hanging="360"/>
      </w:pPr>
      <w:rPr>
        <w:rFonts w:ascii="Courier New" w:hAnsi="Courier New" w:cs="Courier New" w:hint="default"/>
      </w:rPr>
    </w:lvl>
    <w:lvl w:ilvl="8" w:tplc="3848729A" w:tentative="1">
      <w:start w:val="1"/>
      <w:numFmt w:val="bullet"/>
      <w:lvlText w:val=""/>
      <w:lvlJc w:val="left"/>
      <w:pPr>
        <w:ind w:left="6480" w:hanging="360"/>
      </w:pPr>
      <w:rPr>
        <w:rFonts w:ascii="Wingdings" w:hAnsi="Wingdings" w:hint="default"/>
      </w:rPr>
    </w:lvl>
  </w:abstractNum>
  <w:abstractNum w:abstractNumId="138" w15:restartNumberingAfterBreak="0">
    <w:nsid w:val="5161495D"/>
    <w:multiLevelType w:val="multilevel"/>
    <w:tmpl w:val="5F58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E91FB6"/>
    <w:multiLevelType w:val="multilevel"/>
    <w:tmpl w:val="2C94B7F2"/>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0" w15:restartNumberingAfterBreak="0">
    <w:nsid w:val="53EE06DD"/>
    <w:multiLevelType w:val="hybridMultilevel"/>
    <w:tmpl w:val="0B147916"/>
    <w:lvl w:ilvl="0" w:tplc="F1363B46">
      <w:start w:val="1"/>
      <w:numFmt w:val="bullet"/>
      <w:lvlText w:val=""/>
      <w:lvlJc w:val="left"/>
      <w:pPr>
        <w:ind w:left="720" w:hanging="360"/>
      </w:pPr>
      <w:rPr>
        <w:rFonts w:ascii="Wingdings" w:hAnsi="Wingdings" w:hint="default"/>
      </w:rPr>
    </w:lvl>
    <w:lvl w:ilvl="1" w:tplc="63ECACA4" w:tentative="1">
      <w:start w:val="1"/>
      <w:numFmt w:val="bullet"/>
      <w:lvlText w:val="o"/>
      <w:lvlJc w:val="left"/>
      <w:pPr>
        <w:ind w:left="1440" w:hanging="360"/>
      </w:pPr>
      <w:rPr>
        <w:rFonts w:ascii="Courier New" w:hAnsi="Courier New" w:cs="Courier New" w:hint="default"/>
      </w:rPr>
    </w:lvl>
    <w:lvl w:ilvl="2" w:tplc="A73AC4EE" w:tentative="1">
      <w:start w:val="1"/>
      <w:numFmt w:val="bullet"/>
      <w:lvlText w:val=""/>
      <w:lvlJc w:val="left"/>
      <w:pPr>
        <w:ind w:left="2160" w:hanging="360"/>
      </w:pPr>
      <w:rPr>
        <w:rFonts w:ascii="Wingdings" w:hAnsi="Wingdings" w:hint="default"/>
      </w:rPr>
    </w:lvl>
    <w:lvl w:ilvl="3" w:tplc="834C66D0" w:tentative="1">
      <w:start w:val="1"/>
      <w:numFmt w:val="bullet"/>
      <w:lvlText w:val=""/>
      <w:lvlJc w:val="left"/>
      <w:pPr>
        <w:ind w:left="2880" w:hanging="360"/>
      </w:pPr>
      <w:rPr>
        <w:rFonts w:ascii="Symbol" w:hAnsi="Symbol" w:hint="default"/>
      </w:rPr>
    </w:lvl>
    <w:lvl w:ilvl="4" w:tplc="A09E5958" w:tentative="1">
      <w:start w:val="1"/>
      <w:numFmt w:val="bullet"/>
      <w:lvlText w:val="o"/>
      <w:lvlJc w:val="left"/>
      <w:pPr>
        <w:ind w:left="3600" w:hanging="360"/>
      </w:pPr>
      <w:rPr>
        <w:rFonts w:ascii="Courier New" w:hAnsi="Courier New" w:cs="Courier New" w:hint="default"/>
      </w:rPr>
    </w:lvl>
    <w:lvl w:ilvl="5" w:tplc="FBE4197C" w:tentative="1">
      <w:start w:val="1"/>
      <w:numFmt w:val="bullet"/>
      <w:lvlText w:val=""/>
      <w:lvlJc w:val="left"/>
      <w:pPr>
        <w:ind w:left="4320" w:hanging="360"/>
      </w:pPr>
      <w:rPr>
        <w:rFonts w:ascii="Wingdings" w:hAnsi="Wingdings" w:hint="default"/>
      </w:rPr>
    </w:lvl>
    <w:lvl w:ilvl="6" w:tplc="27E62746" w:tentative="1">
      <w:start w:val="1"/>
      <w:numFmt w:val="bullet"/>
      <w:lvlText w:val=""/>
      <w:lvlJc w:val="left"/>
      <w:pPr>
        <w:ind w:left="5040" w:hanging="360"/>
      </w:pPr>
      <w:rPr>
        <w:rFonts w:ascii="Symbol" w:hAnsi="Symbol" w:hint="default"/>
      </w:rPr>
    </w:lvl>
    <w:lvl w:ilvl="7" w:tplc="1C289350" w:tentative="1">
      <w:start w:val="1"/>
      <w:numFmt w:val="bullet"/>
      <w:lvlText w:val="o"/>
      <w:lvlJc w:val="left"/>
      <w:pPr>
        <w:ind w:left="5760" w:hanging="360"/>
      </w:pPr>
      <w:rPr>
        <w:rFonts w:ascii="Courier New" w:hAnsi="Courier New" w:cs="Courier New" w:hint="default"/>
      </w:rPr>
    </w:lvl>
    <w:lvl w:ilvl="8" w:tplc="EC60A9E2" w:tentative="1">
      <w:start w:val="1"/>
      <w:numFmt w:val="bullet"/>
      <w:lvlText w:val=""/>
      <w:lvlJc w:val="left"/>
      <w:pPr>
        <w:ind w:left="6480" w:hanging="360"/>
      </w:pPr>
      <w:rPr>
        <w:rFonts w:ascii="Wingdings" w:hAnsi="Wingdings" w:hint="default"/>
      </w:rPr>
    </w:lvl>
  </w:abstractNum>
  <w:abstractNum w:abstractNumId="141" w15:restartNumberingAfterBreak="0">
    <w:nsid w:val="54672AA6"/>
    <w:multiLevelType w:val="multilevel"/>
    <w:tmpl w:val="C1C65046"/>
    <w:lvl w:ilvl="0">
      <w:start w:val="7"/>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2" w15:restartNumberingAfterBreak="0">
    <w:nsid w:val="54B26FC4"/>
    <w:multiLevelType w:val="multilevel"/>
    <w:tmpl w:val="1AA489E6"/>
    <w:lvl w:ilvl="0">
      <w:start w:val="2"/>
      <w:numFmt w:val="decimal"/>
      <w:lvlText w:val="%1"/>
      <w:lvlJc w:val="left"/>
      <w:pPr>
        <w:ind w:left="360" w:hanging="360"/>
      </w:pPr>
      <w:rPr>
        <w:rFonts w:hint="default"/>
      </w:rPr>
    </w:lvl>
    <w:lvl w:ilvl="1">
      <w:start w:val="2"/>
      <w:numFmt w:val="decimal"/>
      <w:lvlText w:val="%1.%2"/>
      <w:lvlJc w:val="left"/>
      <w:pPr>
        <w:ind w:left="291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3" w15:restartNumberingAfterBreak="0">
    <w:nsid w:val="54F75C00"/>
    <w:multiLevelType w:val="multilevel"/>
    <w:tmpl w:val="FEFEFE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44" w15:restartNumberingAfterBreak="0">
    <w:nsid w:val="55667DDF"/>
    <w:multiLevelType w:val="multilevel"/>
    <w:tmpl w:val="74685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58B0088"/>
    <w:multiLevelType w:val="hybridMultilevel"/>
    <w:tmpl w:val="3C0C21B8"/>
    <w:lvl w:ilvl="0" w:tplc="606EFAE6">
      <w:start w:val="2"/>
      <w:numFmt w:val="decimal"/>
      <w:lvlText w:val="%1."/>
      <w:lvlJc w:val="left"/>
      <w:pPr>
        <w:ind w:left="1068" w:hanging="360"/>
      </w:pPr>
      <w:rPr>
        <w:rFonts w:hint="default"/>
      </w:rPr>
    </w:lvl>
    <w:lvl w:ilvl="1" w:tplc="F51CD008" w:tentative="1">
      <w:start w:val="1"/>
      <w:numFmt w:val="lowerLetter"/>
      <w:lvlText w:val="%2."/>
      <w:lvlJc w:val="left"/>
      <w:pPr>
        <w:ind w:left="1788" w:hanging="360"/>
      </w:pPr>
    </w:lvl>
    <w:lvl w:ilvl="2" w:tplc="376488FA" w:tentative="1">
      <w:start w:val="1"/>
      <w:numFmt w:val="lowerRoman"/>
      <w:lvlText w:val="%3."/>
      <w:lvlJc w:val="right"/>
      <w:pPr>
        <w:ind w:left="2508" w:hanging="180"/>
      </w:pPr>
    </w:lvl>
    <w:lvl w:ilvl="3" w:tplc="602AA130" w:tentative="1">
      <w:start w:val="1"/>
      <w:numFmt w:val="decimal"/>
      <w:lvlText w:val="%4."/>
      <w:lvlJc w:val="left"/>
      <w:pPr>
        <w:ind w:left="3228" w:hanging="360"/>
      </w:pPr>
    </w:lvl>
    <w:lvl w:ilvl="4" w:tplc="4D564BC6" w:tentative="1">
      <w:start w:val="1"/>
      <w:numFmt w:val="lowerLetter"/>
      <w:lvlText w:val="%5."/>
      <w:lvlJc w:val="left"/>
      <w:pPr>
        <w:ind w:left="3948" w:hanging="360"/>
      </w:pPr>
    </w:lvl>
    <w:lvl w:ilvl="5" w:tplc="5FEA1940" w:tentative="1">
      <w:start w:val="1"/>
      <w:numFmt w:val="lowerRoman"/>
      <w:lvlText w:val="%6."/>
      <w:lvlJc w:val="right"/>
      <w:pPr>
        <w:ind w:left="4668" w:hanging="180"/>
      </w:pPr>
    </w:lvl>
    <w:lvl w:ilvl="6" w:tplc="329C01F8" w:tentative="1">
      <w:start w:val="1"/>
      <w:numFmt w:val="decimal"/>
      <w:lvlText w:val="%7."/>
      <w:lvlJc w:val="left"/>
      <w:pPr>
        <w:ind w:left="5388" w:hanging="360"/>
      </w:pPr>
    </w:lvl>
    <w:lvl w:ilvl="7" w:tplc="E3444D14" w:tentative="1">
      <w:start w:val="1"/>
      <w:numFmt w:val="lowerLetter"/>
      <w:lvlText w:val="%8."/>
      <w:lvlJc w:val="left"/>
      <w:pPr>
        <w:ind w:left="6108" w:hanging="360"/>
      </w:pPr>
    </w:lvl>
    <w:lvl w:ilvl="8" w:tplc="5B3469FA" w:tentative="1">
      <w:start w:val="1"/>
      <w:numFmt w:val="lowerRoman"/>
      <w:lvlText w:val="%9."/>
      <w:lvlJc w:val="right"/>
      <w:pPr>
        <w:ind w:left="6828" w:hanging="180"/>
      </w:pPr>
    </w:lvl>
  </w:abstractNum>
  <w:abstractNum w:abstractNumId="146" w15:restartNumberingAfterBreak="0">
    <w:nsid w:val="56617E92"/>
    <w:multiLevelType w:val="hybridMultilevel"/>
    <w:tmpl w:val="4A2AA1A0"/>
    <w:lvl w:ilvl="0" w:tplc="24E49EC8">
      <w:start w:val="1"/>
      <w:numFmt w:val="bullet"/>
      <w:lvlText w:val=""/>
      <w:lvlJc w:val="left"/>
      <w:pPr>
        <w:ind w:left="720" w:hanging="360"/>
      </w:pPr>
      <w:rPr>
        <w:rFonts w:ascii="Wingdings" w:hAnsi="Wingdings" w:hint="default"/>
      </w:rPr>
    </w:lvl>
    <w:lvl w:ilvl="1" w:tplc="E242ADDC" w:tentative="1">
      <w:start w:val="1"/>
      <w:numFmt w:val="bullet"/>
      <w:lvlText w:val="o"/>
      <w:lvlJc w:val="left"/>
      <w:pPr>
        <w:ind w:left="1440" w:hanging="360"/>
      </w:pPr>
      <w:rPr>
        <w:rFonts w:ascii="Courier New" w:hAnsi="Courier New" w:cs="Courier New" w:hint="default"/>
      </w:rPr>
    </w:lvl>
    <w:lvl w:ilvl="2" w:tplc="53B82580" w:tentative="1">
      <w:start w:val="1"/>
      <w:numFmt w:val="bullet"/>
      <w:lvlText w:val=""/>
      <w:lvlJc w:val="left"/>
      <w:pPr>
        <w:ind w:left="2160" w:hanging="360"/>
      </w:pPr>
      <w:rPr>
        <w:rFonts w:ascii="Wingdings" w:hAnsi="Wingdings" w:hint="default"/>
      </w:rPr>
    </w:lvl>
    <w:lvl w:ilvl="3" w:tplc="13E6C5A2" w:tentative="1">
      <w:start w:val="1"/>
      <w:numFmt w:val="bullet"/>
      <w:lvlText w:val=""/>
      <w:lvlJc w:val="left"/>
      <w:pPr>
        <w:ind w:left="2880" w:hanging="360"/>
      </w:pPr>
      <w:rPr>
        <w:rFonts w:ascii="Symbol" w:hAnsi="Symbol" w:hint="default"/>
      </w:rPr>
    </w:lvl>
    <w:lvl w:ilvl="4" w:tplc="8E667B78" w:tentative="1">
      <w:start w:val="1"/>
      <w:numFmt w:val="bullet"/>
      <w:lvlText w:val="o"/>
      <w:lvlJc w:val="left"/>
      <w:pPr>
        <w:ind w:left="3600" w:hanging="360"/>
      </w:pPr>
      <w:rPr>
        <w:rFonts w:ascii="Courier New" w:hAnsi="Courier New" w:cs="Courier New" w:hint="default"/>
      </w:rPr>
    </w:lvl>
    <w:lvl w:ilvl="5" w:tplc="3E7690DA" w:tentative="1">
      <w:start w:val="1"/>
      <w:numFmt w:val="bullet"/>
      <w:lvlText w:val=""/>
      <w:lvlJc w:val="left"/>
      <w:pPr>
        <w:ind w:left="4320" w:hanging="360"/>
      </w:pPr>
      <w:rPr>
        <w:rFonts w:ascii="Wingdings" w:hAnsi="Wingdings" w:hint="default"/>
      </w:rPr>
    </w:lvl>
    <w:lvl w:ilvl="6" w:tplc="86D2930E" w:tentative="1">
      <w:start w:val="1"/>
      <w:numFmt w:val="bullet"/>
      <w:lvlText w:val=""/>
      <w:lvlJc w:val="left"/>
      <w:pPr>
        <w:ind w:left="5040" w:hanging="360"/>
      </w:pPr>
      <w:rPr>
        <w:rFonts w:ascii="Symbol" w:hAnsi="Symbol" w:hint="default"/>
      </w:rPr>
    </w:lvl>
    <w:lvl w:ilvl="7" w:tplc="228A6572" w:tentative="1">
      <w:start w:val="1"/>
      <w:numFmt w:val="bullet"/>
      <w:lvlText w:val="o"/>
      <w:lvlJc w:val="left"/>
      <w:pPr>
        <w:ind w:left="5760" w:hanging="360"/>
      </w:pPr>
      <w:rPr>
        <w:rFonts w:ascii="Courier New" w:hAnsi="Courier New" w:cs="Courier New" w:hint="default"/>
      </w:rPr>
    </w:lvl>
    <w:lvl w:ilvl="8" w:tplc="54DE36BC" w:tentative="1">
      <w:start w:val="1"/>
      <w:numFmt w:val="bullet"/>
      <w:lvlText w:val=""/>
      <w:lvlJc w:val="left"/>
      <w:pPr>
        <w:ind w:left="6480" w:hanging="360"/>
      </w:pPr>
      <w:rPr>
        <w:rFonts w:ascii="Wingdings" w:hAnsi="Wingdings" w:hint="default"/>
      </w:rPr>
    </w:lvl>
  </w:abstractNum>
  <w:abstractNum w:abstractNumId="147" w15:restartNumberingAfterBreak="0">
    <w:nsid w:val="56AE23A4"/>
    <w:multiLevelType w:val="multilevel"/>
    <w:tmpl w:val="D27EB5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56D57789"/>
    <w:multiLevelType w:val="multilevel"/>
    <w:tmpl w:val="221E211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15:restartNumberingAfterBreak="0">
    <w:nsid w:val="56E302A2"/>
    <w:multiLevelType w:val="hybridMultilevel"/>
    <w:tmpl w:val="E95C3616"/>
    <w:lvl w:ilvl="0" w:tplc="730AD896">
      <w:start w:val="1"/>
      <w:numFmt w:val="decimal"/>
      <w:lvlText w:val="%1."/>
      <w:lvlJc w:val="left"/>
      <w:pPr>
        <w:ind w:left="720" w:hanging="360"/>
      </w:pPr>
      <w:rPr>
        <w:rFonts w:hint="default"/>
      </w:rPr>
    </w:lvl>
    <w:lvl w:ilvl="1" w:tplc="AD12F9B2" w:tentative="1">
      <w:start w:val="1"/>
      <w:numFmt w:val="lowerLetter"/>
      <w:lvlText w:val="%2."/>
      <w:lvlJc w:val="left"/>
      <w:pPr>
        <w:ind w:left="1440" w:hanging="360"/>
      </w:pPr>
    </w:lvl>
    <w:lvl w:ilvl="2" w:tplc="C3204688" w:tentative="1">
      <w:start w:val="1"/>
      <w:numFmt w:val="lowerRoman"/>
      <w:lvlText w:val="%3."/>
      <w:lvlJc w:val="right"/>
      <w:pPr>
        <w:ind w:left="2160" w:hanging="180"/>
      </w:pPr>
    </w:lvl>
    <w:lvl w:ilvl="3" w:tplc="236EBB92" w:tentative="1">
      <w:start w:val="1"/>
      <w:numFmt w:val="decimal"/>
      <w:lvlText w:val="%4."/>
      <w:lvlJc w:val="left"/>
      <w:pPr>
        <w:ind w:left="2880" w:hanging="360"/>
      </w:pPr>
    </w:lvl>
    <w:lvl w:ilvl="4" w:tplc="450663E0" w:tentative="1">
      <w:start w:val="1"/>
      <w:numFmt w:val="lowerLetter"/>
      <w:lvlText w:val="%5."/>
      <w:lvlJc w:val="left"/>
      <w:pPr>
        <w:ind w:left="3600" w:hanging="360"/>
      </w:pPr>
    </w:lvl>
    <w:lvl w:ilvl="5" w:tplc="1C5431DE" w:tentative="1">
      <w:start w:val="1"/>
      <w:numFmt w:val="lowerRoman"/>
      <w:lvlText w:val="%6."/>
      <w:lvlJc w:val="right"/>
      <w:pPr>
        <w:ind w:left="4320" w:hanging="180"/>
      </w:pPr>
    </w:lvl>
    <w:lvl w:ilvl="6" w:tplc="99B2BEC8" w:tentative="1">
      <w:start w:val="1"/>
      <w:numFmt w:val="decimal"/>
      <w:lvlText w:val="%7."/>
      <w:lvlJc w:val="left"/>
      <w:pPr>
        <w:ind w:left="5040" w:hanging="360"/>
      </w:pPr>
    </w:lvl>
    <w:lvl w:ilvl="7" w:tplc="7BC0E1F4" w:tentative="1">
      <w:start w:val="1"/>
      <w:numFmt w:val="lowerLetter"/>
      <w:lvlText w:val="%8."/>
      <w:lvlJc w:val="left"/>
      <w:pPr>
        <w:ind w:left="5760" w:hanging="360"/>
      </w:pPr>
    </w:lvl>
    <w:lvl w:ilvl="8" w:tplc="13E0E24C" w:tentative="1">
      <w:start w:val="1"/>
      <w:numFmt w:val="lowerRoman"/>
      <w:lvlText w:val="%9."/>
      <w:lvlJc w:val="right"/>
      <w:pPr>
        <w:ind w:left="6480" w:hanging="180"/>
      </w:pPr>
    </w:lvl>
  </w:abstractNum>
  <w:abstractNum w:abstractNumId="150" w15:restartNumberingAfterBreak="0">
    <w:nsid w:val="574C3F9E"/>
    <w:multiLevelType w:val="hybridMultilevel"/>
    <w:tmpl w:val="C7D498A8"/>
    <w:lvl w:ilvl="0" w:tplc="DF601F74">
      <w:start w:val="1"/>
      <w:numFmt w:val="bullet"/>
      <w:lvlText w:val=""/>
      <w:lvlJc w:val="left"/>
      <w:pPr>
        <w:ind w:left="720" w:hanging="360"/>
      </w:pPr>
      <w:rPr>
        <w:rFonts w:ascii="Wingdings" w:hAnsi="Wingdings" w:hint="default"/>
      </w:rPr>
    </w:lvl>
    <w:lvl w:ilvl="1" w:tplc="FBA69A7A" w:tentative="1">
      <w:start w:val="1"/>
      <w:numFmt w:val="bullet"/>
      <w:lvlText w:val="o"/>
      <w:lvlJc w:val="left"/>
      <w:pPr>
        <w:ind w:left="1440" w:hanging="360"/>
      </w:pPr>
      <w:rPr>
        <w:rFonts w:ascii="Courier New" w:hAnsi="Courier New" w:cs="Courier New" w:hint="default"/>
      </w:rPr>
    </w:lvl>
    <w:lvl w:ilvl="2" w:tplc="AB8806BA" w:tentative="1">
      <w:start w:val="1"/>
      <w:numFmt w:val="bullet"/>
      <w:lvlText w:val=""/>
      <w:lvlJc w:val="left"/>
      <w:pPr>
        <w:ind w:left="2160" w:hanging="360"/>
      </w:pPr>
      <w:rPr>
        <w:rFonts w:ascii="Wingdings" w:hAnsi="Wingdings" w:hint="default"/>
      </w:rPr>
    </w:lvl>
    <w:lvl w:ilvl="3" w:tplc="8AD6BF88" w:tentative="1">
      <w:start w:val="1"/>
      <w:numFmt w:val="bullet"/>
      <w:lvlText w:val=""/>
      <w:lvlJc w:val="left"/>
      <w:pPr>
        <w:ind w:left="2880" w:hanging="360"/>
      </w:pPr>
      <w:rPr>
        <w:rFonts w:ascii="Symbol" w:hAnsi="Symbol" w:hint="default"/>
      </w:rPr>
    </w:lvl>
    <w:lvl w:ilvl="4" w:tplc="619AD014" w:tentative="1">
      <w:start w:val="1"/>
      <w:numFmt w:val="bullet"/>
      <w:lvlText w:val="o"/>
      <w:lvlJc w:val="left"/>
      <w:pPr>
        <w:ind w:left="3600" w:hanging="360"/>
      </w:pPr>
      <w:rPr>
        <w:rFonts w:ascii="Courier New" w:hAnsi="Courier New" w:cs="Courier New" w:hint="default"/>
      </w:rPr>
    </w:lvl>
    <w:lvl w:ilvl="5" w:tplc="242AE228" w:tentative="1">
      <w:start w:val="1"/>
      <w:numFmt w:val="bullet"/>
      <w:lvlText w:val=""/>
      <w:lvlJc w:val="left"/>
      <w:pPr>
        <w:ind w:left="4320" w:hanging="360"/>
      </w:pPr>
      <w:rPr>
        <w:rFonts w:ascii="Wingdings" w:hAnsi="Wingdings" w:hint="default"/>
      </w:rPr>
    </w:lvl>
    <w:lvl w:ilvl="6" w:tplc="944A7B60" w:tentative="1">
      <w:start w:val="1"/>
      <w:numFmt w:val="bullet"/>
      <w:lvlText w:val=""/>
      <w:lvlJc w:val="left"/>
      <w:pPr>
        <w:ind w:left="5040" w:hanging="360"/>
      </w:pPr>
      <w:rPr>
        <w:rFonts w:ascii="Symbol" w:hAnsi="Symbol" w:hint="default"/>
      </w:rPr>
    </w:lvl>
    <w:lvl w:ilvl="7" w:tplc="A7865E0E" w:tentative="1">
      <w:start w:val="1"/>
      <w:numFmt w:val="bullet"/>
      <w:lvlText w:val="o"/>
      <w:lvlJc w:val="left"/>
      <w:pPr>
        <w:ind w:left="5760" w:hanging="360"/>
      </w:pPr>
      <w:rPr>
        <w:rFonts w:ascii="Courier New" w:hAnsi="Courier New" w:cs="Courier New" w:hint="default"/>
      </w:rPr>
    </w:lvl>
    <w:lvl w:ilvl="8" w:tplc="9932A4CE" w:tentative="1">
      <w:start w:val="1"/>
      <w:numFmt w:val="bullet"/>
      <w:lvlText w:val=""/>
      <w:lvlJc w:val="left"/>
      <w:pPr>
        <w:ind w:left="6480" w:hanging="360"/>
      </w:pPr>
      <w:rPr>
        <w:rFonts w:ascii="Wingdings" w:hAnsi="Wingdings" w:hint="default"/>
      </w:rPr>
    </w:lvl>
  </w:abstractNum>
  <w:abstractNum w:abstractNumId="151" w15:restartNumberingAfterBreak="0">
    <w:nsid w:val="57714039"/>
    <w:multiLevelType w:val="multilevel"/>
    <w:tmpl w:val="4EB6EC4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57924E64"/>
    <w:multiLevelType w:val="hybridMultilevel"/>
    <w:tmpl w:val="142424B4"/>
    <w:lvl w:ilvl="0" w:tplc="E998F78A">
      <w:start w:val="1"/>
      <w:numFmt w:val="bullet"/>
      <w:lvlText w:val=""/>
      <w:lvlJc w:val="left"/>
      <w:pPr>
        <w:tabs>
          <w:tab w:val="num" w:pos="720"/>
        </w:tabs>
        <w:ind w:left="720" w:hanging="360"/>
      </w:pPr>
      <w:rPr>
        <w:rFonts w:ascii="Wingdings 3" w:hAnsi="Wingdings 3" w:hint="default"/>
      </w:rPr>
    </w:lvl>
    <w:lvl w:ilvl="1" w:tplc="0FC41F48" w:tentative="1">
      <w:start w:val="1"/>
      <w:numFmt w:val="bullet"/>
      <w:lvlText w:val=""/>
      <w:lvlJc w:val="left"/>
      <w:pPr>
        <w:tabs>
          <w:tab w:val="num" w:pos="1440"/>
        </w:tabs>
        <w:ind w:left="1440" w:hanging="360"/>
      </w:pPr>
      <w:rPr>
        <w:rFonts w:ascii="Wingdings 3" w:hAnsi="Wingdings 3" w:hint="default"/>
      </w:rPr>
    </w:lvl>
    <w:lvl w:ilvl="2" w:tplc="5EDA47BA" w:tentative="1">
      <w:start w:val="1"/>
      <w:numFmt w:val="bullet"/>
      <w:lvlText w:val=""/>
      <w:lvlJc w:val="left"/>
      <w:pPr>
        <w:tabs>
          <w:tab w:val="num" w:pos="2160"/>
        </w:tabs>
        <w:ind w:left="2160" w:hanging="360"/>
      </w:pPr>
      <w:rPr>
        <w:rFonts w:ascii="Wingdings 3" w:hAnsi="Wingdings 3" w:hint="default"/>
      </w:rPr>
    </w:lvl>
    <w:lvl w:ilvl="3" w:tplc="0CA2DFE4" w:tentative="1">
      <w:start w:val="1"/>
      <w:numFmt w:val="bullet"/>
      <w:lvlText w:val=""/>
      <w:lvlJc w:val="left"/>
      <w:pPr>
        <w:tabs>
          <w:tab w:val="num" w:pos="2880"/>
        </w:tabs>
        <w:ind w:left="2880" w:hanging="360"/>
      </w:pPr>
      <w:rPr>
        <w:rFonts w:ascii="Wingdings 3" w:hAnsi="Wingdings 3" w:hint="default"/>
      </w:rPr>
    </w:lvl>
    <w:lvl w:ilvl="4" w:tplc="E2F8F2B8" w:tentative="1">
      <w:start w:val="1"/>
      <w:numFmt w:val="bullet"/>
      <w:lvlText w:val=""/>
      <w:lvlJc w:val="left"/>
      <w:pPr>
        <w:tabs>
          <w:tab w:val="num" w:pos="3600"/>
        </w:tabs>
        <w:ind w:left="3600" w:hanging="360"/>
      </w:pPr>
      <w:rPr>
        <w:rFonts w:ascii="Wingdings 3" w:hAnsi="Wingdings 3" w:hint="default"/>
      </w:rPr>
    </w:lvl>
    <w:lvl w:ilvl="5" w:tplc="2F042702" w:tentative="1">
      <w:start w:val="1"/>
      <w:numFmt w:val="bullet"/>
      <w:lvlText w:val=""/>
      <w:lvlJc w:val="left"/>
      <w:pPr>
        <w:tabs>
          <w:tab w:val="num" w:pos="4320"/>
        </w:tabs>
        <w:ind w:left="4320" w:hanging="360"/>
      </w:pPr>
      <w:rPr>
        <w:rFonts w:ascii="Wingdings 3" w:hAnsi="Wingdings 3" w:hint="default"/>
      </w:rPr>
    </w:lvl>
    <w:lvl w:ilvl="6" w:tplc="FDBA7CD4" w:tentative="1">
      <w:start w:val="1"/>
      <w:numFmt w:val="bullet"/>
      <w:lvlText w:val=""/>
      <w:lvlJc w:val="left"/>
      <w:pPr>
        <w:tabs>
          <w:tab w:val="num" w:pos="5040"/>
        </w:tabs>
        <w:ind w:left="5040" w:hanging="360"/>
      </w:pPr>
      <w:rPr>
        <w:rFonts w:ascii="Wingdings 3" w:hAnsi="Wingdings 3" w:hint="default"/>
      </w:rPr>
    </w:lvl>
    <w:lvl w:ilvl="7" w:tplc="38A8FE5A" w:tentative="1">
      <w:start w:val="1"/>
      <w:numFmt w:val="bullet"/>
      <w:lvlText w:val=""/>
      <w:lvlJc w:val="left"/>
      <w:pPr>
        <w:tabs>
          <w:tab w:val="num" w:pos="5760"/>
        </w:tabs>
        <w:ind w:left="5760" w:hanging="360"/>
      </w:pPr>
      <w:rPr>
        <w:rFonts w:ascii="Wingdings 3" w:hAnsi="Wingdings 3" w:hint="default"/>
      </w:rPr>
    </w:lvl>
    <w:lvl w:ilvl="8" w:tplc="83FCD526" w:tentative="1">
      <w:start w:val="1"/>
      <w:numFmt w:val="bullet"/>
      <w:lvlText w:val=""/>
      <w:lvlJc w:val="left"/>
      <w:pPr>
        <w:tabs>
          <w:tab w:val="num" w:pos="6480"/>
        </w:tabs>
        <w:ind w:left="6480" w:hanging="360"/>
      </w:pPr>
      <w:rPr>
        <w:rFonts w:ascii="Wingdings 3" w:hAnsi="Wingdings 3" w:hint="default"/>
      </w:rPr>
    </w:lvl>
  </w:abstractNum>
  <w:abstractNum w:abstractNumId="153" w15:restartNumberingAfterBreak="0">
    <w:nsid w:val="58271E58"/>
    <w:multiLevelType w:val="multilevel"/>
    <w:tmpl w:val="867CD6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58CD7214"/>
    <w:multiLevelType w:val="hybridMultilevel"/>
    <w:tmpl w:val="D818992C"/>
    <w:lvl w:ilvl="0" w:tplc="848C85CE">
      <w:start w:val="1"/>
      <w:numFmt w:val="decimal"/>
      <w:lvlText w:val="%1."/>
      <w:lvlJc w:val="left"/>
      <w:pPr>
        <w:ind w:left="705" w:hanging="360"/>
      </w:pPr>
      <w:rPr>
        <w:b/>
        <w:bCs/>
      </w:rPr>
    </w:lvl>
    <w:lvl w:ilvl="1" w:tplc="C6B0F6FC">
      <w:start w:val="1"/>
      <w:numFmt w:val="lowerLetter"/>
      <w:lvlText w:val="%2."/>
      <w:lvlJc w:val="left"/>
      <w:pPr>
        <w:ind w:left="1425" w:hanging="360"/>
      </w:pPr>
    </w:lvl>
    <w:lvl w:ilvl="2" w:tplc="C50CD358" w:tentative="1">
      <w:start w:val="1"/>
      <w:numFmt w:val="lowerRoman"/>
      <w:lvlText w:val="%3."/>
      <w:lvlJc w:val="right"/>
      <w:pPr>
        <w:ind w:left="2145" w:hanging="180"/>
      </w:pPr>
    </w:lvl>
    <w:lvl w:ilvl="3" w:tplc="550E58D4" w:tentative="1">
      <w:start w:val="1"/>
      <w:numFmt w:val="decimal"/>
      <w:lvlText w:val="%4."/>
      <w:lvlJc w:val="left"/>
      <w:pPr>
        <w:ind w:left="2865" w:hanging="360"/>
      </w:pPr>
    </w:lvl>
    <w:lvl w:ilvl="4" w:tplc="400A42D0" w:tentative="1">
      <w:start w:val="1"/>
      <w:numFmt w:val="lowerLetter"/>
      <w:lvlText w:val="%5."/>
      <w:lvlJc w:val="left"/>
      <w:pPr>
        <w:ind w:left="3585" w:hanging="360"/>
      </w:pPr>
    </w:lvl>
    <w:lvl w:ilvl="5" w:tplc="B05A18C8" w:tentative="1">
      <w:start w:val="1"/>
      <w:numFmt w:val="lowerRoman"/>
      <w:lvlText w:val="%6."/>
      <w:lvlJc w:val="right"/>
      <w:pPr>
        <w:ind w:left="4305" w:hanging="180"/>
      </w:pPr>
    </w:lvl>
    <w:lvl w:ilvl="6" w:tplc="FD58B86E" w:tentative="1">
      <w:start w:val="1"/>
      <w:numFmt w:val="decimal"/>
      <w:lvlText w:val="%7."/>
      <w:lvlJc w:val="left"/>
      <w:pPr>
        <w:ind w:left="5025" w:hanging="360"/>
      </w:pPr>
    </w:lvl>
    <w:lvl w:ilvl="7" w:tplc="EB1E931C" w:tentative="1">
      <w:start w:val="1"/>
      <w:numFmt w:val="lowerLetter"/>
      <w:lvlText w:val="%8."/>
      <w:lvlJc w:val="left"/>
      <w:pPr>
        <w:ind w:left="5745" w:hanging="360"/>
      </w:pPr>
    </w:lvl>
    <w:lvl w:ilvl="8" w:tplc="2C60CAB0" w:tentative="1">
      <w:start w:val="1"/>
      <w:numFmt w:val="lowerRoman"/>
      <w:lvlText w:val="%9."/>
      <w:lvlJc w:val="right"/>
      <w:pPr>
        <w:ind w:left="6465" w:hanging="180"/>
      </w:pPr>
    </w:lvl>
  </w:abstractNum>
  <w:abstractNum w:abstractNumId="155" w15:restartNumberingAfterBreak="0">
    <w:nsid w:val="58EE6AC4"/>
    <w:multiLevelType w:val="hybridMultilevel"/>
    <w:tmpl w:val="4EC8B718"/>
    <w:lvl w:ilvl="0" w:tplc="1E12E82A">
      <w:start w:val="1"/>
      <w:numFmt w:val="upperRoman"/>
      <w:lvlText w:val="%1."/>
      <w:lvlJc w:val="left"/>
      <w:pPr>
        <w:ind w:left="1080" w:hanging="720"/>
      </w:pPr>
      <w:rPr>
        <w:rFonts w:hint="default"/>
      </w:rPr>
    </w:lvl>
    <w:lvl w:ilvl="1" w:tplc="33165852" w:tentative="1">
      <w:start w:val="1"/>
      <w:numFmt w:val="lowerLetter"/>
      <w:lvlText w:val="%2."/>
      <w:lvlJc w:val="left"/>
      <w:pPr>
        <w:ind w:left="1440" w:hanging="360"/>
      </w:pPr>
    </w:lvl>
    <w:lvl w:ilvl="2" w:tplc="AC887BD8" w:tentative="1">
      <w:start w:val="1"/>
      <w:numFmt w:val="lowerRoman"/>
      <w:lvlText w:val="%3."/>
      <w:lvlJc w:val="right"/>
      <w:pPr>
        <w:ind w:left="2160" w:hanging="180"/>
      </w:pPr>
    </w:lvl>
    <w:lvl w:ilvl="3" w:tplc="ADC298FE" w:tentative="1">
      <w:start w:val="1"/>
      <w:numFmt w:val="decimal"/>
      <w:lvlText w:val="%4."/>
      <w:lvlJc w:val="left"/>
      <w:pPr>
        <w:ind w:left="2880" w:hanging="360"/>
      </w:pPr>
    </w:lvl>
    <w:lvl w:ilvl="4" w:tplc="BD864876" w:tentative="1">
      <w:start w:val="1"/>
      <w:numFmt w:val="lowerLetter"/>
      <w:lvlText w:val="%5."/>
      <w:lvlJc w:val="left"/>
      <w:pPr>
        <w:ind w:left="3600" w:hanging="360"/>
      </w:pPr>
    </w:lvl>
    <w:lvl w:ilvl="5" w:tplc="4F2812A6" w:tentative="1">
      <w:start w:val="1"/>
      <w:numFmt w:val="lowerRoman"/>
      <w:lvlText w:val="%6."/>
      <w:lvlJc w:val="right"/>
      <w:pPr>
        <w:ind w:left="4320" w:hanging="180"/>
      </w:pPr>
    </w:lvl>
    <w:lvl w:ilvl="6" w:tplc="AAFAD240" w:tentative="1">
      <w:start w:val="1"/>
      <w:numFmt w:val="decimal"/>
      <w:lvlText w:val="%7."/>
      <w:lvlJc w:val="left"/>
      <w:pPr>
        <w:ind w:left="5040" w:hanging="360"/>
      </w:pPr>
    </w:lvl>
    <w:lvl w:ilvl="7" w:tplc="62AA78FA" w:tentative="1">
      <w:start w:val="1"/>
      <w:numFmt w:val="lowerLetter"/>
      <w:lvlText w:val="%8."/>
      <w:lvlJc w:val="left"/>
      <w:pPr>
        <w:ind w:left="5760" w:hanging="360"/>
      </w:pPr>
    </w:lvl>
    <w:lvl w:ilvl="8" w:tplc="71A666D4" w:tentative="1">
      <w:start w:val="1"/>
      <w:numFmt w:val="lowerRoman"/>
      <w:lvlText w:val="%9."/>
      <w:lvlJc w:val="right"/>
      <w:pPr>
        <w:ind w:left="6480" w:hanging="180"/>
      </w:pPr>
    </w:lvl>
  </w:abstractNum>
  <w:abstractNum w:abstractNumId="156" w15:restartNumberingAfterBreak="0">
    <w:nsid w:val="5947405B"/>
    <w:multiLevelType w:val="hybridMultilevel"/>
    <w:tmpl w:val="2C32F884"/>
    <w:lvl w:ilvl="0" w:tplc="78C23978">
      <w:start w:val="1"/>
      <w:numFmt w:val="bullet"/>
      <w:lvlText w:val=""/>
      <w:lvlJc w:val="left"/>
      <w:pPr>
        <w:ind w:left="720" w:hanging="360"/>
      </w:pPr>
      <w:rPr>
        <w:rFonts w:ascii="Wingdings" w:hAnsi="Wingdings" w:hint="default"/>
      </w:rPr>
    </w:lvl>
    <w:lvl w:ilvl="1" w:tplc="0FE6421E" w:tentative="1">
      <w:start w:val="1"/>
      <w:numFmt w:val="bullet"/>
      <w:lvlText w:val="o"/>
      <w:lvlJc w:val="left"/>
      <w:pPr>
        <w:ind w:left="1440" w:hanging="360"/>
      </w:pPr>
      <w:rPr>
        <w:rFonts w:ascii="Courier New" w:hAnsi="Courier New" w:cs="Courier New" w:hint="default"/>
      </w:rPr>
    </w:lvl>
    <w:lvl w:ilvl="2" w:tplc="0BE25CE2" w:tentative="1">
      <w:start w:val="1"/>
      <w:numFmt w:val="bullet"/>
      <w:lvlText w:val=""/>
      <w:lvlJc w:val="left"/>
      <w:pPr>
        <w:ind w:left="2160" w:hanging="360"/>
      </w:pPr>
      <w:rPr>
        <w:rFonts w:ascii="Wingdings" w:hAnsi="Wingdings" w:hint="default"/>
      </w:rPr>
    </w:lvl>
    <w:lvl w:ilvl="3" w:tplc="AE00D356" w:tentative="1">
      <w:start w:val="1"/>
      <w:numFmt w:val="bullet"/>
      <w:lvlText w:val=""/>
      <w:lvlJc w:val="left"/>
      <w:pPr>
        <w:ind w:left="2880" w:hanging="360"/>
      </w:pPr>
      <w:rPr>
        <w:rFonts w:ascii="Symbol" w:hAnsi="Symbol" w:hint="default"/>
      </w:rPr>
    </w:lvl>
    <w:lvl w:ilvl="4" w:tplc="20B2AA84" w:tentative="1">
      <w:start w:val="1"/>
      <w:numFmt w:val="bullet"/>
      <w:lvlText w:val="o"/>
      <w:lvlJc w:val="left"/>
      <w:pPr>
        <w:ind w:left="3600" w:hanging="360"/>
      </w:pPr>
      <w:rPr>
        <w:rFonts w:ascii="Courier New" w:hAnsi="Courier New" w:cs="Courier New" w:hint="default"/>
      </w:rPr>
    </w:lvl>
    <w:lvl w:ilvl="5" w:tplc="348ADBA8" w:tentative="1">
      <w:start w:val="1"/>
      <w:numFmt w:val="bullet"/>
      <w:lvlText w:val=""/>
      <w:lvlJc w:val="left"/>
      <w:pPr>
        <w:ind w:left="4320" w:hanging="360"/>
      </w:pPr>
      <w:rPr>
        <w:rFonts w:ascii="Wingdings" w:hAnsi="Wingdings" w:hint="default"/>
      </w:rPr>
    </w:lvl>
    <w:lvl w:ilvl="6" w:tplc="7EF4FF78" w:tentative="1">
      <w:start w:val="1"/>
      <w:numFmt w:val="bullet"/>
      <w:lvlText w:val=""/>
      <w:lvlJc w:val="left"/>
      <w:pPr>
        <w:ind w:left="5040" w:hanging="360"/>
      </w:pPr>
      <w:rPr>
        <w:rFonts w:ascii="Symbol" w:hAnsi="Symbol" w:hint="default"/>
      </w:rPr>
    </w:lvl>
    <w:lvl w:ilvl="7" w:tplc="6B921AC8" w:tentative="1">
      <w:start w:val="1"/>
      <w:numFmt w:val="bullet"/>
      <w:lvlText w:val="o"/>
      <w:lvlJc w:val="left"/>
      <w:pPr>
        <w:ind w:left="5760" w:hanging="360"/>
      </w:pPr>
      <w:rPr>
        <w:rFonts w:ascii="Courier New" w:hAnsi="Courier New" w:cs="Courier New" w:hint="default"/>
      </w:rPr>
    </w:lvl>
    <w:lvl w:ilvl="8" w:tplc="C68C5FC2" w:tentative="1">
      <w:start w:val="1"/>
      <w:numFmt w:val="bullet"/>
      <w:lvlText w:val=""/>
      <w:lvlJc w:val="left"/>
      <w:pPr>
        <w:ind w:left="6480" w:hanging="360"/>
      </w:pPr>
      <w:rPr>
        <w:rFonts w:ascii="Wingdings" w:hAnsi="Wingdings" w:hint="default"/>
      </w:rPr>
    </w:lvl>
  </w:abstractNum>
  <w:abstractNum w:abstractNumId="157" w15:restartNumberingAfterBreak="0">
    <w:nsid w:val="59CA578E"/>
    <w:multiLevelType w:val="hybridMultilevel"/>
    <w:tmpl w:val="5E068AF4"/>
    <w:lvl w:ilvl="0" w:tplc="819A6AC8">
      <w:start w:val="1"/>
      <w:numFmt w:val="bullet"/>
      <w:lvlText w:val=""/>
      <w:lvlJc w:val="left"/>
      <w:pPr>
        <w:ind w:left="720" w:hanging="360"/>
      </w:pPr>
      <w:rPr>
        <w:rFonts w:ascii="Wingdings" w:hAnsi="Wingdings" w:hint="default"/>
      </w:rPr>
    </w:lvl>
    <w:lvl w:ilvl="1" w:tplc="12F838C2" w:tentative="1">
      <w:start w:val="1"/>
      <w:numFmt w:val="bullet"/>
      <w:lvlText w:val="o"/>
      <w:lvlJc w:val="left"/>
      <w:pPr>
        <w:ind w:left="1440" w:hanging="360"/>
      </w:pPr>
      <w:rPr>
        <w:rFonts w:ascii="Courier New" w:hAnsi="Courier New" w:cs="Courier New" w:hint="default"/>
      </w:rPr>
    </w:lvl>
    <w:lvl w:ilvl="2" w:tplc="EC04DCA2" w:tentative="1">
      <w:start w:val="1"/>
      <w:numFmt w:val="bullet"/>
      <w:lvlText w:val=""/>
      <w:lvlJc w:val="left"/>
      <w:pPr>
        <w:ind w:left="2160" w:hanging="360"/>
      </w:pPr>
      <w:rPr>
        <w:rFonts w:ascii="Wingdings" w:hAnsi="Wingdings" w:hint="default"/>
      </w:rPr>
    </w:lvl>
    <w:lvl w:ilvl="3" w:tplc="B212E62C" w:tentative="1">
      <w:start w:val="1"/>
      <w:numFmt w:val="bullet"/>
      <w:lvlText w:val=""/>
      <w:lvlJc w:val="left"/>
      <w:pPr>
        <w:ind w:left="2880" w:hanging="360"/>
      </w:pPr>
      <w:rPr>
        <w:rFonts w:ascii="Symbol" w:hAnsi="Symbol" w:hint="default"/>
      </w:rPr>
    </w:lvl>
    <w:lvl w:ilvl="4" w:tplc="B3D68BFA" w:tentative="1">
      <w:start w:val="1"/>
      <w:numFmt w:val="bullet"/>
      <w:lvlText w:val="o"/>
      <w:lvlJc w:val="left"/>
      <w:pPr>
        <w:ind w:left="3600" w:hanging="360"/>
      </w:pPr>
      <w:rPr>
        <w:rFonts w:ascii="Courier New" w:hAnsi="Courier New" w:cs="Courier New" w:hint="default"/>
      </w:rPr>
    </w:lvl>
    <w:lvl w:ilvl="5" w:tplc="7764BA46" w:tentative="1">
      <w:start w:val="1"/>
      <w:numFmt w:val="bullet"/>
      <w:lvlText w:val=""/>
      <w:lvlJc w:val="left"/>
      <w:pPr>
        <w:ind w:left="4320" w:hanging="360"/>
      </w:pPr>
      <w:rPr>
        <w:rFonts w:ascii="Wingdings" w:hAnsi="Wingdings" w:hint="default"/>
      </w:rPr>
    </w:lvl>
    <w:lvl w:ilvl="6" w:tplc="B080A66C" w:tentative="1">
      <w:start w:val="1"/>
      <w:numFmt w:val="bullet"/>
      <w:lvlText w:val=""/>
      <w:lvlJc w:val="left"/>
      <w:pPr>
        <w:ind w:left="5040" w:hanging="360"/>
      </w:pPr>
      <w:rPr>
        <w:rFonts w:ascii="Symbol" w:hAnsi="Symbol" w:hint="default"/>
      </w:rPr>
    </w:lvl>
    <w:lvl w:ilvl="7" w:tplc="F230B91A" w:tentative="1">
      <w:start w:val="1"/>
      <w:numFmt w:val="bullet"/>
      <w:lvlText w:val="o"/>
      <w:lvlJc w:val="left"/>
      <w:pPr>
        <w:ind w:left="5760" w:hanging="360"/>
      </w:pPr>
      <w:rPr>
        <w:rFonts w:ascii="Courier New" w:hAnsi="Courier New" w:cs="Courier New" w:hint="default"/>
      </w:rPr>
    </w:lvl>
    <w:lvl w:ilvl="8" w:tplc="8C10AFF0" w:tentative="1">
      <w:start w:val="1"/>
      <w:numFmt w:val="bullet"/>
      <w:lvlText w:val=""/>
      <w:lvlJc w:val="left"/>
      <w:pPr>
        <w:ind w:left="6480" w:hanging="360"/>
      </w:pPr>
      <w:rPr>
        <w:rFonts w:ascii="Wingdings" w:hAnsi="Wingdings" w:hint="default"/>
      </w:rPr>
    </w:lvl>
  </w:abstractNum>
  <w:abstractNum w:abstractNumId="158" w15:restartNumberingAfterBreak="0">
    <w:nsid w:val="5A147148"/>
    <w:multiLevelType w:val="hybridMultilevel"/>
    <w:tmpl w:val="E4343BA2"/>
    <w:lvl w:ilvl="0" w:tplc="78D8833C">
      <w:start w:val="1"/>
      <w:numFmt w:val="bullet"/>
      <w:lvlText w:val=""/>
      <w:lvlJc w:val="left"/>
      <w:pPr>
        <w:ind w:left="720" w:hanging="360"/>
      </w:pPr>
      <w:rPr>
        <w:rFonts w:ascii="Wingdings" w:hAnsi="Wingdings" w:hint="default"/>
      </w:rPr>
    </w:lvl>
    <w:lvl w:ilvl="1" w:tplc="F65EFA54" w:tentative="1">
      <w:start w:val="1"/>
      <w:numFmt w:val="bullet"/>
      <w:lvlText w:val="o"/>
      <w:lvlJc w:val="left"/>
      <w:pPr>
        <w:ind w:left="1440" w:hanging="360"/>
      </w:pPr>
      <w:rPr>
        <w:rFonts w:ascii="Courier New" w:hAnsi="Courier New" w:cs="Courier New" w:hint="default"/>
      </w:rPr>
    </w:lvl>
    <w:lvl w:ilvl="2" w:tplc="07FCA492" w:tentative="1">
      <w:start w:val="1"/>
      <w:numFmt w:val="bullet"/>
      <w:lvlText w:val=""/>
      <w:lvlJc w:val="left"/>
      <w:pPr>
        <w:ind w:left="2160" w:hanging="360"/>
      </w:pPr>
      <w:rPr>
        <w:rFonts w:ascii="Wingdings" w:hAnsi="Wingdings" w:hint="default"/>
      </w:rPr>
    </w:lvl>
    <w:lvl w:ilvl="3" w:tplc="EFE265BE" w:tentative="1">
      <w:start w:val="1"/>
      <w:numFmt w:val="bullet"/>
      <w:lvlText w:val=""/>
      <w:lvlJc w:val="left"/>
      <w:pPr>
        <w:ind w:left="2880" w:hanging="360"/>
      </w:pPr>
      <w:rPr>
        <w:rFonts w:ascii="Symbol" w:hAnsi="Symbol" w:hint="default"/>
      </w:rPr>
    </w:lvl>
    <w:lvl w:ilvl="4" w:tplc="C85613A2" w:tentative="1">
      <w:start w:val="1"/>
      <w:numFmt w:val="bullet"/>
      <w:lvlText w:val="o"/>
      <w:lvlJc w:val="left"/>
      <w:pPr>
        <w:ind w:left="3600" w:hanging="360"/>
      </w:pPr>
      <w:rPr>
        <w:rFonts w:ascii="Courier New" w:hAnsi="Courier New" w:cs="Courier New" w:hint="default"/>
      </w:rPr>
    </w:lvl>
    <w:lvl w:ilvl="5" w:tplc="AD9CB684" w:tentative="1">
      <w:start w:val="1"/>
      <w:numFmt w:val="bullet"/>
      <w:lvlText w:val=""/>
      <w:lvlJc w:val="left"/>
      <w:pPr>
        <w:ind w:left="4320" w:hanging="360"/>
      </w:pPr>
      <w:rPr>
        <w:rFonts w:ascii="Wingdings" w:hAnsi="Wingdings" w:hint="default"/>
      </w:rPr>
    </w:lvl>
    <w:lvl w:ilvl="6" w:tplc="82AA39CC" w:tentative="1">
      <w:start w:val="1"/>
      <w:numFmt w:val="bullet"/>
      <w:lvlText w:val=""/>
      <w:lvlJc w:val="left"/>
      <w:pPr>
        <w:ind w:left="5040" w:hanging="360"/>
      </w:pPr>
      <w:rPr>
        <w:rFonts w:ascii="Symbol" w:hAnsi="Symbol" w:hint="default"/>
      </w:rPr>
    </w:lvl>
    <w:lvl w:ilvl="7" w:tplc="9774C0FA" w:tentative="1">
      <w:start w:val="1"/>
      <w:numFmt w:val="bullet"/>
      <w:lvlText w:val="o"/>
      <w:lvlJc w:val="left"/>
      <w:pPr>
        <w:ind w:left="5760" w:hanging="360"/>
      </w:pPr>
      <w:rPr>
        <w:rFonts w:ascii="Courier New" w:hAnsi="Courier New" w:cs="Courier New" w:hint="default"/>
      </w:rPr>
    </w:lvl>
    <w:lvl w:ilvl="8" w:tplc="F2DA1D82" w:tentative="1">
      <w:start w:val="1"/>
      <w:numFmt w:val="bullet"/>
      <w:lvlText w:val=""/>
      <w:lvlJc w:val="left"/>
      <w:pPr>
        <w:ind w:left="6480" w:hanging="360"/>
      </w:pPr>
      <w:rPr>
        <w:rFonts w:ascii="Wingdings" w:hAnsi="Wingdings" w:hint="default"/>
      </w:rPr>
    </w:lvl>
  </w:abstractNum>
  <w:abstractNum w:abstractNumId="159" w15:restartNumberingAfterBreak="0">
    <w:nsid w:val="5B046113"/>
    <w:multiLevelType w:val="multilevel"/>
    <w:tmpl w:val="5B046113"/>
    <w:lvl w:ilvl="0">
      <w:start w:val="1"/>
      <w:numFmt w:val="bullet"/>
      <w:lvlText w:val="-"/>
      <w:lvlJc w:val="left"/>
      <w:pPr>
        <w:ind w:left="1080" w:hanging="360"/>
      </w:pPr>
      <w:rPr>
        <w:rFonts w:ascii="Times New Roman" w:hAnsi="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0" w15:restartNumberingAfterBreak="0">
    <w:nsid w:val="5B062FBF"/>
    <w:multiLevelType w:val="hybridMultilevel"/>
    <w:tmpl w:val="C4CC3C9E"/>
    <w:lvl w:ilvl="0" w:tplc="92B0CBFE">
      <w:start w:val="1"/>
      <w:numFmt w:val="bullet"/>
      <w:lvlText w:val=""/>
      <w:lvlJc w:val="left"/>
      <w:pPr>
        <w:ind w:left="720" w:hanging="360"/>
      </w:pPr>
      <w:rPr>
        <w:rFonts w:ascii="Wingdings" w:hAnsi="Wingdings" w:hint="default"/>
      </w:rPr>
    </w:lvl>
    <w:lvl w:ilvl="1" w:tplc="896A42B6" w:tentative="1">
      <w:start w:val="1"/>
      <w:numFmt w:val="bullet"/>
      <w:lvlText w:val="o"/>
      <w:lvlJc w:val="left"/>
      <w:pPr>
        <w:ind w:left="1440" w:hanging="360"/>
      </w:pPr>
      <w:rPr>
        <w:rFonts w:ascii="Courier New" w:hAnsi="Courier New" w:cs="Courier New" w:hint="default"/>
      </w:rPr>
    </w:lvl>
    <w:lvl w:ilvl="2" w:tplc="9FC4C75E" w:tentative="1">
      <w:start w:val="1"/>
      <w:numFmt w:val="bullet"/>
      <w:lvlText w:val=""/>
      <w:lvlJc w:val="left"/>
      <w:pPr>
        <w:ind w:left="2160" w:hanging="360"/>
      </w:pPr>
      <w:rPr>
        <w:rFonts w:ascii="Wingdings" w:hAnsi="Wingdings" w:hint="default"/>
      </w:rPr>
    </w:lvl>
    <w:lvl w:ilvl="3" w:tplc="F8C65D58" w:tentative="1">
      <w:start w:val="1"/>
      <w:numFmt w:val="bullet"/>
      <w:lvlText w:val=""/>
      <w:lvlJc w:val="left"/>
      <w:pPr>
        <w:ind w:left="2880" w:hanging="360"/>
      </w:pPr>
      <w:rPr>
        <w:rFonts w:ascii="Symbol" w:hAnsi="Symbol" w:hint="default"/>
      </w:rPr>
    </w:lvl>
    <w:lvl w:ilvl="4" w:tplc="57AAA89E" w:tentative="1">
      <w:start w:val="1"/>
      <w:numFmt w:val="bullet"/>
      <w:lvlText w:val="o"/>
      <w:lvlJc w:val="left"/>
      <w:pPr>
        <w:ind w:left="3600" w:hanging="360"/>
      </w:pPr>
      <w:rPr>
        <w:rFonts w:ascii="Courier New" w:hAnsi="Courier New" w:cs="Courier New" w:hint="default"/>
      </w:rPr>
    </w:lvl>
    <w:lvl w:ilvl="5" w:tplc="23A857DE" w:tentative="1">
      <w:start w:val="1"/>
      <w:numFmt w:val="bullet"/>
      <w:lvlText w:val=""/>
      <w:lvlJc w:val="left"/>
      <w:pPr>
        <w:ind w:left="4320" w:hanging="360"/>
      </w:pPr>
      <w:rPr>
        <w:rFonts w:ascii="Wingdings" w:hAnsi="Wingdings" w:hint="default"/>
      </w:rPr>
    </w:lvl>
    <w:lvl w:ilvl="6" w:tplc="63FAE9F6" w:tentative="1">
      <w:start w:val="1"/>
      <w:numFmt w:val="bullet"/>
      <w:lvlText w:val=""/>
      <w:lvlJc w:val="left"/>
      <w:pPr>
        <w:ind w:left="5040" w:hanging="360"/>
      </w:pPr>
      <w:rPr>
        <w:rFonts w:ascii="Symbol" w:hAnsi="Symbol" w:hint="default"/>
      </w:rPr>
    </w:lvl>
    <w:lvl w:ilvl="7" w:tplc="36C0DAFC" w:tentative="1">
      <w:start w:val="1"/>
      <w:numFmt w:val="bullet"/>
      <w:lvlText w:val="o"/>
      <w:lvlJc w:val="left"/>
      <w:pPr>
        <w:ind w:left="5760" w:hanging="360"/>
      </w:pPr>
      <w:rPr>
        <w:rFonts w:ascii="Courier New" w:hAnsi="Courier New" w:cs="Courier New" w:hint="default"/>
      </w:rPr>
    </w:lvl>
    <w:lvl w:ilvl="8" w:tplc="716EF276" w:tentative="1">
      <w:start w:val="1"/>
      <w:numFmt w:val="bullet"/>
      <w:lvlText w:val=""/>
      <w:lvlJc w:val="left"/>
      <w:pPr>
        <w:ind w:left="6480" w:hanging="360"/>
      </w:pPr>
      <w:rPr>
        <w:rFonts w:ascii="Wingdings" w:hAnsi="Wingdings" w:hint="default"/>
      </w:rPr>
    </w:lvl>
  </w:abstractNum>
  <w:abstractNum w:abstractNumId="161" w15:restartNumberingAfterBreak="0">
    <w:nsid w:val="5BD122E6"/>
    <w:multiLevelType w:val="multilevel"/>
    <w:tmpl w:val="07EE7F1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5BE22F43"/>
    <w:multiLevelType w:val="hybridMultilevel"/>
    <w:tmpl w:val="08388CD6"/>
    <w:lvl w:ilvl="0" w:tplc="3AF88EB2">
      <w:start w:val="1"/>
      <w:numFmt w:val="decimal"/>
      <w:lvlText w:val="%1."/>
      <w:lvlJc w:val="left"/>
      <w:pPr>
        <w:ind w:left="345" w:hanging="360"/>
      </w:pPr>
      <w:rPr>
        <w:rFonts w:hint="default"/>
      </w:rPr>
    </w:lvl>
    <w:lvl w:ilvl="1" w:tplc="EEF004FE">
      <w:start w:val="1"/>
      <w:numFmt w:val="lowerLetter"/>
      <w:lvlText w:val="%2."/>
      <w:lvlJc w:val="left"/>
      <w:pPr>
        <w:ind w:left="1065" w:hanging="360"/>
      </w:pPr>
    </w:lvl>
    <w:lvl w:ilvl="2" w:tplc="D7E4D446" w:tentative="1">
      <w:start w:val="1"/>
      <w:numFmt w:val="lowerRoman"/>
      <w:lvlText w:val="%3."/>
      <w:lvlJc w:val="right"/>
      <w:pPr>
        <w:ind w:left="1785" w:hanging="180"/>
      </w:pPr>
    </w:lvl>
    <w:lvl w:ilvl="3" w:tplc="42C859E4" w:tentative="1">
      <w:start w:val="1"/>
      <w:numFmt w:val="decimal"/>
      <w:lvlText w:val="%4."/>
      <w:lvlJc w:val="left"/>
      <w:pPr>
        <w:ind w:left="2505" w:hanging="360"/>
      </w:pPr>
    </w:lvl>
    <w:lvl w:ilvl="4" w:tplc="E542C8C6" w:tentative="1">
      <w:start w:val="1"/>
      <w:numFmt w:val="lowerLetter"/>
      <w:lvlText w:val="%5."/>
      <w:lvlJc w:val="left"/>
      <w:pPr>
        <w:ind w:left="3225" w:hanging="360"/>
      </w:pPr>
    </w:lvl>
    <w:lvl w:ilvl="5" w:tplc="0CE05D80" w:tentative="1">
      <w:start w:val="1"/>
      <w:numFmt w:val="lowerRoman"/>
      <w:lvlText w:val="%6."/>
      <w:lvlJc w:val="right"/>
      <w:pPr>
        <w:ind w:left="3945" w:hanging="180"/>
      </w:pPr>
    </w:lvl>
    <w:lvl w:ilvl="6" w:tplc="6DE212D2" w:tentative="1">
      <w:start w:val="1"/>
      <w:numFmt w:val="decimal"/>
      <w:lvlText w:val="%7."/>
      <w:lvlJc w:val="left"/>
      <w:pPr>
        <w:ind w:left="4665" w:hanging="360"/>
      </w:pPr>
    </w:lvl>
    <w:lvl w:ilvl="7" w:tplc="3F1A16C6" w:tentative="1">
      <w:start w:val="1"/>
      <w:numFmt w:val="lowerLetter"/>
      <w:lvlText w:val="%8."/>
      <w:lvlJc w:val="left"/>
      <w:pPr>
        <w:ind w:left="5385" w:hanging="360"/>
      </w:pPr>
    </w:lvl>
    <w:lvl w:ilvl="8" w:tplc="01A09A50" w:tentative="1">
      <w:start w:val="1"/>
      <w:numFmt w:val="lowerRoman"/>
      <w:lvlText w:val="%9."/>
      <w:lvlJc w:val="right"/>
      <w:pPr>
        <w:ind w:left="6105" w:hanging="180"/>
      </w:pPr>
    </w:lvl>
  </w:abstractNum>
  <w:abstractNum w:abstractNumId="163" w15:restartNumberingAfterBreak="0">
    <w:nsid w:val="5C2A7610"/>
    <w:multiLevelType w:val="hybridMultilevel"/>
    <w:tmpl w:val="100E504E"/>
    <w:lvl w:ilvl="0" w:tplc="B6CC5758">
      <w:start w:val="1"/>
      <w:numFmt w:val="upperRoman"/>
      <w:lvlText w:val="%1."/>
      <w:lvlJc w:val="left"/>
      <w:pPr>
        <w:ind w:left="1080" w:hanging="720"/>
      </w:pPr>
      <w:rPr>
        <w:rFonts w:hint="default"/>
      </w:rPr>
    </w:lvl>
    <w:lvl w:ilvl="1" w:tplc="28B4E438" w:tentative="1">
      <w:start w:val="1"/>
      <w:numFmt w:val="lowerLetter"/>
      <w:lvlText w:val="%2."/>
      <w:lvlJc w:val="left"/>
      <w:pPr>
        <w:ind w:left="1440" w:hanging="360"/>
      </w:pPr>
    </w:lvl>
    <w:lvl w:ilvl="2" w:tplc="CEE8131A" w:tentative="1">
      <w:start w:val="1"/>
      <w:numFmt w:val="lowerRoman"/>
      <w:lvlText w:val="%3."/>
      <w:lvlJc w:val="right"/>
      <w:pPr>
        <w:ind w:left="2160" w:hanging="180"/>
      </w:pPr>
    </w:lvl>
    <w:lvl w:ilvl="3" w:tplc="3252F986" w:tentative="1">
      <w:start w:val="1"/>
      <w:numFmt w:val="decimal"/>
      <w:lvlText w:val="%4."/>
      <w:lvlJc w:val="left"/>
      <w:pPr>
        <w:ind w:left="2880" w:hanging="360"/>
      </w:pPr>
    </w:lvl>
    <w:lvl w:ilvl="4" w:tplc="31B65AD6" w:tentative="1">
      <w:start w:val="1"/>
      <w:numFmt w:val="lowerLetter"/>
      <w:lvlText w:val="%5."/>
      <w:lvlJc w:val="left"/>
      <w:pPr>
        <w:ind w:left="3600" w:hanging="360"/>
      </w:pPr>
    </w:lvl>
    <w:lvl w:ilvl="5" w:tplc="3F06472C" w:tentative="1">
      <w:start w:val="1"/>
      <w:numFmt w:val="lowerRoman"/>
      <w:lvlText w:val="%6."/>
      <w:lvlJc w:val="right"/>
      <w:pPr>
        <w:ind w:left="4320" w:hanging="180"/>
      </w:pPr>
    </w:lvl>
    <w:lvl w:ilvl="6" w:tplc="E0966878" w:tentative="1">
      <w:start w:val="1"/>
      <w:numFmt w:val="decimal"/>
      <w:lvlText w:val="%7."/>
      <w:lvlJc w:val="left"/>
      <w:pPr>
        <w:ind w:left="5040" w:hanging="360"/>
      </w:pPr>
    </w:lvl>
    <w:lvl w:ilvl="7" w:tplc="2F8A3CC8" w:tentative="1">
      <w:start w:val="1"/>
      <w:numFmt w:val="lowerLetter"/>
      <w:lvlText w:val="%8."/>
      <w:lvlJc w:val="left"/>
      <w:pPr>
        <w:ind w:left="5760" w:hanging="360"/>
      </w:pPr>
    </w:lvl>
    <w:lvl w:ilvl="8" w:tplc="203E4D72" w:tentative="1">
      <w:start w:val="1"/>
      <w:numFmt w:val="lowerRoman"/>
      <w:lvlText w:val="%9."/>
      <w:lvlJc w:val="right"/>
      <w:pPr>
        <w:ind w:left="6480" w:hanging="180"/>
      </w:pPr>
    </w:lvl>
  </w:abstractNum>
  <w:abstractNum w:abstractNumId="164" w15:restartNumberingAfterBreak="0">
    <w:nsid w:val="5D7E77B7"/>
    <w:multiLevelType w:val="multilevel"/>
    <w:tmpl w:val="5D7E77B7"/>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5D8744F4"/>
    <w:multiLevelType w:val="multilevel"/>
    <w:tmpl w:val="6E66D0C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6" w15:restartNumberingAfterBreak="0">
    <w:nsid w:val="5DAC63D5"/>
    <w:multiLevelType w:val="multilevel"/>
    <w:tmpl w:val="73028EF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72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E313E1C"/>
    <w:multiLevelType w:val="multilevel"/>
    <w:tmpl w:val="842625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DF44CA"/>
    <w:multiLevelType w:val="hybridMultilevel"/>
    <w:tmpl w:val="5F98D990"/>
    <w:lvl w:ilvl="0" w:tplc="226E5C24">
      <w:start w:val="1"/>
      <w:numFmt w:val="bullet"/>
      <w:lvlText w:val="−"/>
      <w:lvlJc w:val="left"/>
      <w:pPr>
        <w:ind w:left="720" w:hanging="360"/>
      </w:pPr>
      <w:rPr>
        <w:rFonts w:ascii="Arial" w:hAnsi="Arial" w:hint="default"/>
      </w:rPr>
    </w:lvl>
    <w:lvl w:ilvl="1" w:tplc="38440646" w:tentative="1">
      <w:start w:val="1"/>
      <w:numFmt w:val="bullet"/>
      <w:lvlText w:val="o"/>
      <w:lvlJc w:val="left"/>
      <w:pPr>
        <w:ind w:left="1440" w:hanging="360"/>
      </w:pPr>
      <w:rPr>
        <w:rFonts w:ascii="Courier New" w:hAnsi="Courier New" w:cs="Courier New" w:hint="default"/>
      </w:rPr>
    </w:lvl>
    <w:lvl w:ilvl="2" w:tplc="0DC241D8" w:tentative="1">
      <w:start w:val="1"/>
      <w:numFmt w:val="bullet"/>
      <w:lvlText w:val=""/>
      <w:lvlJc w:val="left"/>
      <w:pPr>
        <w:ind w:left="2160" w:hanging="360"/>
      </w:pPr>
      <w:rPr>
        <w:rFonts w:ascii="Wingdings" w:hAnsi="Wingdings" w:hint="default"/>
      </w:rPr>
    </w:lvl>
    <w:lvl w:ilvl="3" w:tplc="82B4C6B4" w:tentative="1">
      <w:start w:val="1"/>
      <w:numFmt w:val="bullet"/>
      <w:lvlText w:val=""/>
      <w:lvlJc w:val="left"/>
      <w:pPr>
        <w:ind w:left="2880" w:hanging="360"/>
      </w:pPr>
      <w:rPr>
        <w:rFonts w:ascii="Symbol" w:hAnsi="Symbol" w:hint="default"/>
      </w:rPr>
    </w:lvl>
    <w:lvl w:ilvl="4" w:tplc="5C6CFA54" w:tentative="1">
      <w:start w:val="1"/>
      <w:numFmt w:val="bullet"/>
      <w:lvlText w:val="o"/>
      <w:lvlJc w:val="left"/>
      <w:pPr>
        <w:ind w:left="3600" w:hanging="360"/>
      </w:pPr>
      <w:rPr>
        <w:rFonts w:ascii="Courier New" w:hAnsi="Courier New" w:cs="Courier New" w:hint="default"/>
      </w:rPr>
    </w:lvl>
    <w:lvl w:ilvl="5" w:tplc="0BD08F62" w:tentative="1">
      <w:start w:val="1"/>
      <w:numFmt w:val="bullet"/>
      <w:lvlText w:val=""/>
      <w:lvlJc w:val="left"/>
      <w:pPr>
        <w:ind w:left="4320" w:hanging="360"/>
      </w:pPr>
      <w:rPr>
        <w:rFonts w:ascii="Wingdings" w:hAnsi="Wingdings" w:hint="default"/>
      </w:rPr>
    </w:lvl>
    <w:lvl w:ilvl="6" w:tplc="0E6EEAC0" w:tentative="1">
      <w:start w:val="1"/>
      <w:numFmt w:val="bullet"/>
      <w:lvlText w:val=""/>
      <w:lvlJc w:val="left"/>
      <w:pPr>
        <w:ind w:left="5040" w:hanging="360"/>
      </w:pPr>
      <w:rPr>
        <w:rFonts w:ascii="Symbol" w:hAnsi="Symbol" w:hint="default"/>
      </w:rPr>
    </w:lvl>
    <w:lvl w:ilvl="7" w:tplc="60A2BAA8" w:tentative="1">
      <w:start w:val="1"/>
      <w:numFmt w:val="bullet"/>
      <w:lvlText w:val="o"/>
      <w:lvlJc w:val="left"/>
      <w:pPr>
        <w:ind w:left="5760" w:hanging="360"/>
      </w:pPr>
      <w:rPr>
        <w:rFonts w:ascii="Courier New" w:hAnsi="Courier New" w:cs="Courier New" w:hint="default"/>
      </w:rPr>
    </w:lvl>
    <w:lvl w:ilvl="8" w:tplc="39CEEEC4" w:tentative="1">
      <w:start w:val="1"/>
      <w:numFmt w:val="bullet"/>
      <w:lvlText w:val=""/>
      <w:lvlJc w:val="left"/>
      <w:pPr>
        <w:ind w:left="6480" w:hanging="360"/>
      </w:pPr>
      <w:rPr>
        <w:rFonts w:ascii="Wingdings" w:hAnsi="Wingdings" w:hint="default"/>
      </w:rPr>
    </w:lvl>
  </w:abstractNum>
  <w:abstractNum w:abstractNumId="169" w15:restartNumberingAfterBreak="0">
    <w:nsid w:val="60446A56"/>
    <w:multiLevelType w:val="multilevel"/>
    <w:tmpl w:val="6E66D0C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60F554CD"/>
    <w:multiLevelType w:val="multilevel"/>
    <w:tmpl w:val="16A06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60FA1503"/>
    <w:multiLevelType w:val="multilevel"/>
    <w:tmpl w:val="07EE7F1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10012B0"/>
    <w:multiLevelType w:val="hybridMultilevel"/>
    <w:tmpl w:val="5538C880"/>
    <w:lvl w:ilvl="0" w:tplc="3EB8ADEA">
      <w:start w:val="1"/>
      <w:numFmt w:val="bullet"/>
      <w:lvlText w:val=""/>
      <w:lvlJc w:val="left"/>
      <w:pPr>
        <w:ind w:left="720" w:hanging="360"/>
      </w:pPr>
      <w:rPr>
        <w:rFonts w:ascii="Wingdings" w:hAnsi="Wingdings" w:hint="default"/>
      </w:rPr>
    </w:lvl>
    <w:lvl w:ilvl="1" w:tplc="7A20BE44" w:tentative="1">
      <w:start w:val="1"/>
      <w:numFmt w:val="bullet"/>
      <w:lvlText w:val="o"/>
      <w:lvlJc w:val="left"/>
      <w:pPr>
        <w:ind w:left="1440" w:hanging="360"/>
      </w:pPr>
      <w:rPr>
        <w:rFonts w:ascii="Courier New" w:hAnsi="Courier New" w:cs="Courier New" w:hint="default"/>
      </w:rPr>
    </w:lvl>
    <w:lvl w:ilvl="2" w:tplc="B39E53BA" w:tentative="1">
      <w:start w:val="1"/>
      <w:numFmt w:val="bullet"/>
      <w:lvlText w:val=""/>
      <w:lvlJc w:val="left"/>
      <w:pPr>
        <w:ind w:left="2160" w:hanging="360"/>
      </w:pPr>
      <w:rPr>
        <w:rFonts w:ascii="Wingdings" w:hAnsi="Wingdings" w:hint="default"/>
      </w:rPr>
    </w:lvl>
    <w:lvl w:ilvl="3" w:tplc="98AA16D8" w:tentative="1">
      <w:start w:val="1"/>
      <w:numFmt w:val="bullet"/>
      <w:lvlText w:val=""/>
      <w:lvlJc w:val="left"/>
      <w:pPr>
        <w:ind w:left="2880" w:hanging="360"/>
      </w:pPr>
      <w:rPr>
        <w:rFonts w:ascii="Symbol" w:hAnsi="Symbol" w:hint="default"/>
      </w:rPr>
    </w:lvl>
    <w:lvl w:ilvl="4" w:tplc="E5E086A0" w:tentative="1">
      <w:start w:val="1"/>
      <w:numFmt w:val="bullet"/>
      <w:lvlText w:val="o"/>
      <w:lvlJc w:val="left"/>
      <w:pPr>
        <w:ind w:left="3600" w:hanging="360"/>
      </w:pPr>
      <w:rPr>
        <w:rFonts w:ascii="Courier New" w:hAnsi="Courier New" w:cs="Courier New" w:hint="default"/>
      </w:rPr>
    </w:lvl>
    <w:lvl w:ilvl="5" w:tplc="2B1AD926" w:tentative="1">
      <w:start w:val="1"/>
      <w:numFmt w:val="bullet"/>
      <w:lvlText w:val=""/>
      <w:lvlJc w:val="left"/>
      <w:pPr>
        <w:ind w:left="4320" w:hanging="360"/>
      </w:pPr>
      <w:rPr>
        <w:rFonts w:ascii="Wingdings" w:hAnsi="Wingdings" w:hint="default"/>
      </w:rPr>
    </w:lvl>
    <w:lvl w:ilvl="6" w:tplc="39FC0ABE" w:tentative="1">
      <w:start w:val="1"/>
      <w:numFmt w:val="bullet"/>
      <w:lvlText w:val=""/>
      <w:lvlJc w:val="left"/>
      <w:pPr>
        <w:ind w:left="5040" w:hanging="360"/>
      </w:pPr>
      <w:rPr>
        <w:rFonts w:ascii="Symbol" w:hAnsi="Symbol" w:hint="default"/>
      </w:rPr>
    </w:lvl>
    <w:lvl w:ilvl="7" w:tplc="7FA44F26" w:tentative="1">
      <w:start w:val="1"/>
      <w:numFmt w:val="bullet"/>
      <w:lvlText w:val="o"/>
      <w:lvlJc w:val="left"/>
      <w:pPr>
        <w:ind w:left="5760" w:hanging="360"/>
      </w:pPr>
      <w:rPr>
        <w:rFonts w:ascii="Courier New" w:hAnsi="Courier New" w:cs="Courier New" w:hint="default"/>
      </w:rPr>
    </w:lvl>
    <w:lvl w:ilvl="8" w:tplc="F6B2BBBC" w:tentative="1">
      <w:start w:val="1"/>
      <w:numFmt w:val="bullet"/>
      <w:lvlText w:val=""/>
      <w:lvlJc w:val="left"/>
      <w:pPr>
        <w:ind w:left="6480" w:hanging="360"/>
      </w:pPr>
      <w:rPr>
        <w:rFonts w:ascii="Wingdings" w:hAnsi="Wingdings" w:hint="default"/>
      </w:rPr>
    </w:lvl>
  </w:abstractNum>
  <w:abstractNum w:abstractNumId="173" w15:restartNumberingAfterBreak="0">
    <w:nsid w:val="61C33BD9"/>
    <w:multiLevelType w:val="multilevel"/>
    <w:tmpl w:val="66C29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62D973D4"/>
    <w:multiLevelType w:val="hybridMultilevel"/>
    <w:tmpl w:val="FF38C862"/>
    <w:lvl w:ilvl="0" w:tplc="4F06036E">
      <w:start w:val="1"/>
      <w:numFmt w:val="bullet"/>
      <w:lvlText w:val=""/>
      <w:lvlJc w:val="left"/>
      <w:pPr>
        <w:ind w:left="720" w:hanging="360"/>
      </w:pPr>
      <w:rPr>
        <w:rFonts w:ascii="Wingdings" w:hAnsi="Wingdings" w:hint="default"/>
      </w:rPr>
    </w:lvl>
    <w:lvl w:ilvl="1" w:tplc="123CC380" w:tentative="1">
      <w:start w:val="1"/>
      <w:numFmt w:val="bullet"/>
      <w:lvlText w:val="o"/>
      <w:lvlJc w:val="left"/>
      <w:pPr>
        <w:ind w:left="1440" w:hanging="360"/>
      </w:pPr>
      <w:rPr>
        <w:rFonts w:ascii="Courier New" w:hAnsi="Courier New" w:cs="Courier New" w:hint="default"/>
      </w:rPr>
    </w:lvl>
    <w:lvl w:ilvl="2" w:tplc="8D4648B8" w:tentative="1">
      <w:start w:val="1"/>
      <w:numFmt w:val="bullet"/>
      <w:lvlText w:val=""/>
      <w:lvlJc w:val="left"/>
      <w:pPr>
        <w:ind w:left="2160" w:hanging="360"/>
      </w:pPr>
      <w:rPr>
        <w:rFonts w:ascii="Wingdings" w:hAnsi="Wingdings" w:hint="default"/>
      </w:rPr>
    </w:lvl>
    <w:lvl w:ilvl="3" w:tplc="50CC2200" w:tentative="1">
      <w:start w:val="1"/>
      <w:numFmt w:val="bullet"/>
      <w:lvlText w:val=""/>
      <w:lvlJc w:val="left"/>
      <w:pPr>
        <w:ind w:left="2880" w:hanging="360"/>
      </w:pPr>
      <w:rPr>
        <w:rFonts w:ascii="Symbol" w:hAnsi="Symbol" w:hint="default"/>
      </w:rPr>
    </w:lvl>
    <w:lvl w:ilvl="4" w:tplc="BD760628" w:tentative="1">
      <w:start w:val="1"/>
      <w:numFmt w:val="bullet"/>
      <w:lvlText w:val="o"/>
      <w:lvlJc w:val="left"/>
      <w:pPr>
        <w:ind w:left="3600" w:hanging="360"/>
      </w:pPr>
      <w:rPr>
        <w:rFonts w:ascii="Courier New" w:hAnsi="Courier New" w:cs="Courier New" w:hint="default"/>
      </w:rPr>
    </w:lvl>
    <w:lvl w:ilvl="5" w:tplc="81BA3BA8" w:tentative="1">
      <w:start w:val="1"/>
      <w:numFmt w:val="bullet"/>
      <w:lvlText w:val=""/>
      <w:lvlJc w:val="left"/>
      <w:pPr>
        <w:ind w:left="4320" w:hanging="360"/>
      </w:pPr>
      <w:rPr>
        <w:rFonts w:ascii="Wingdings" w:hAnsi="Wingdings" w:hint="default"/>
      </w:rPr>
    </w:lvl>
    <w:lvl w:ilvl="6" w:tplc="160054EA" w:tentative="1">
      <w:start w:val="1"/>
      <w:numFmt w:val="bullet"/>
      <w:lvlText w:val=""/>
      <w:lvlJc w:val="left"/>
      <w:pPr>
        <w:ind w:left="5040" w:hanging="360"/>
      </w:pPr>
      <w:rPr>
        <w:rFonts w:ascii="Symbol" w:hAnsi="Symbol" w:hint="default"/>
      </w:rPr>
    </w:lvl>
    <w:lvl w:ilvl="7" w:tplc="106AFBAA" w:tentative="1">
      <w:start w:val="1"/>
      <w:numFmt w:val="bullet"/>
      <w:lvlText w:val="o"/>
      <w:lvlJc w:val="left"/>
      <w:pPr>
        <w:ind w:left="5760" w:hanging="360"/>
      </w:pPr>
      <w:rPr>
        <w:rFonts w:ascii="Courier New" w:hAnsi="Courier New" w:cs="Courier New" w:hint="default"/>
      </w:rPr>
    </w:lvl>
    <w:lvl w:ilvl="8" w:tplc="48B489AE" w:tentative="1">
      <w:start w:val="1"/>
      <w:numFmt w:val="bullet"/>
      <w:lvlText w:val=""/>
      <w:lvlJc w:val="left"/>
      <w:pPr>
        <w:ind w:left="6480" w:hanging="360"/>
      </w:pPr>
      <w:rPr>
        <w:rFonts w:ascii="Wingdings" w:hAnsi="Wingdings" w:hint="default"/>
      </w:rPr>
    </w:lvl>
  </w:abstractNum>
  <w:abstractNum w:abstractNumId="175" w15:restartNumberingAfterBreak="0">
    <w:nsid w:val="63D939B0"/>
    <w:multiLevelType w:val="multilevel"/>
    <w:tmpl w:val="A9CEEB4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4EF68DE"/>
    <w:multiLevelType w:val="hybridMultilevel"/>
    <w:tmpl w:val="84E6FA08"/>
    <w:lvl w:ilvl="0" w:tplc="A09AA72E">
      <w:numFmt w:val="bullet"/>
      <w:lvlText w:val="-"/>
      <w:lvlJc w:val="left"/>
      <w:pPr>
        <w:ind w:left="720" w:hanging="360"/>
      </w:pPr>
      <w:rPr>
        <w:rFonts w:ascii="Times New Roman" w:eastAsia="Times New Roman" w:hAnsi="Times New Roman" w:cs="Times New Roman" w:hint="default"/>
      </w:rPr>
    </w:lvl>
    <w:lvl w:ilvl="1" w:tplc="119A89CE" w:tentative="1">
      <w:start w:val="1"/>
      <w:numFmt w:val="bullet"/>
      <w:lvlText w:val="o"/>
      <w:lvlJc w:val="left"/>
      <w:pPr>
        <w:ind w:left="1440" w:hanging="360"/>
      </w:pPr>
      <w:rPr>
        <w:rFonts w:ascii="Courier New" w:hAnsi="Courier New" w:cs="Courier New" w:hint="default"/>
      </w:rPr>
    </w:lvl>
    <w:lvl w:ilvl="2" w:tplc="34DE8178" w:tentative="1">
      <w:start w:val="1"/>
      <w:numFmt w:val="bullet"/>
      <w:lvlText w:val=""/>
      <w:lvlJc w:val="left"/>
      <w:pPr>
        <w:ind w:left="2160" w:hanging="360"/>
      </w:pPr>
      <w:rPr>
        <w:rFonts w:ascii="Wingdings" w:hAnsi="Wingdings" w:hint="default"/>
      </w:rPr>
    </w:lvl>
    <w:lvl w:ilvl="3" w:tplc="3C841774" w:tentative="1">
      <w:start w:val="1"/>
      <w:numFmt w:val="bullet"/>
      <w:lvlText w:val=""/>
      <w:lvlJc w:val="left"/>
      <w:pPr>
        <w:ind w:left="2880" w:hanging="360"/>
      </w:pPr>
      <w:rPr>
        <w:rFonts w:ascii="Symbol" w:hAnsi="Symbol" w:hint="default"/>
      </w:rPr>
    </w:lvl>
    <w:lvl w:ilvl="4" w:tplc="090C55C8" w:tentative="1">
      <w:start w:val="1"/>
      <w:numFmt w:val="bullet"/>
      <w:lvlText w:val="o"/>
      <w:lvlJc w:val="left"/>
      <w:pPr>
        <w:ind w:left="3600" w:hanging="360"/>
      </w:pPr>
      <w:rPr>
        <w:rFonts w:ascii="Courier New" w:hAnsi="Courier New" w:cs="Courier New" w:hint="default"/>
      </w:rPr>
    </w:lvl>
    <w:lvl w:ilvl="5" w:tplc="68F4E3A6" w:tentative="1">
      <w:start w:val="1"/>
      <w:numFmt w:val="bullet"/>
      <w:lvlText w:val=""/>
      <w:lvlJc w:val="left"/>
      <w:pPr>
        <w:ind w:left="4320" w:hanging="360"/>
      </w:pPr>
      <w:rPr>
        <w:rFonts w:ascii="Wingdings" w:hAnsi="Wingdings" w:hint="default"/>
      </w:rPr>
    </w:lvl>
    <w:lvl w:ilvl="6" w:tplc="1E585E1E" w:tentative="1">
      <w:start w:val="1"/>
      <w:numFmt w:val="bullet"/>
      <w:lvlText w:val=""/>
      <w:lvlJc w:val="left"/>
      <w:pPr>
        <w:ind w:left="5040" w:hanging="360"/>
      </w:pPr>
      <w:rPr>
        <w:rFonts w:ascii="Symbol" w:hAnsi="Symbol" w:hint="default"/>
      </w:rPr>
    </w:lvl>
    <w:lvl w:ilvl="7" w:tplc="348C6574" w:tentative="1">
      <w:start w:val="1"/>
      <w:numFmt w:val="bullet"/>
      <w:lvlText w:val="o"/>
      <w:lvlJc w:val="left"/>
      <w:pPr>
        <w:ind w:left="5760" w:hanging="360"/>
      </w:pPr>
      <w:rPr>
        <w:rFonts w:ascii="Courier New" w:hAnsi="Courier New" w:cs="Courier New" w:hint="default"/>
      </w:rPr>
    </w:lvl>
    <w:lvl w:ilvl="8" w:tplc="74E03478" w:tentative="1">
      <w:start w:val="1"/>
      <w:numFmt w:val="bullet"/>
      <w:lvlText w:val=""/>
      <w:lvlJc w:val="left"/>
      <w:pPr>
        <w:ind w:left="6480" w:hanging="360"/>
      </w:pPr>
      <w:rPr>
        <w:rFonts w:ascii="Wingdings" w:hAnsi="Wingdings" w:hint="default"/>
      </w:rPr>
    </w:lvl>
  </w:abstractNum>
  <w:abstractNum w:abstractNumId="177" w15:restartNumberingAfterBreak="0">
    <w:nsid w:val="65117F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6551333A"/>
    <w:multiLevelType w:val="hybridMultilevel"/>
    <w:tmpl w:val="D640F474"/>
    <w:lvl w:ilvl="0" w:tplc="D15A1080">
      <w:start w:val="1"/>
      <w:numFmt w:val="bullet"/>
      <w:lvlText w:val=""/>
      <w:lvlJc w:val="left"/>
      <w:pPr>
        <w:ind w:left="720" w:hanging="360"/>
      </w:pPr>
      <w:rPr>
        <w:rFonts w:ascii="Symbol" w:hAnsi="Symbol" w:hint="default"/>
      </w:rPr>
    </w:lvl>
    <w:lvl w:ilvl="1" w:tplc="601EDBFE" w:tentative="1">
      <w:start w:val="1"/>
      <w:numFmt w:val="bullet"/>
      <w:lvlText w:val="o"/>
      <w:lvlJc w:val="left"/>
      <w:pPr>
        <w:ind w:left="1440" w:hanging="360"/>
      </w:pPr>
      <w:rPr>
        <w:rFonts w:ascii="Courier New" w:hAnsi="Courier New" w:cs="Courier New" w:hint="default"/>
      </w:rPr>
    </w:lvl>
    <w:lvl w:ilvl="2" w:tplc="3CB41BA2" w:tentative="1">
      <w:start w:val="1"/>
      <w:numFmt w:val="bullet"/>
      <w:lvlText w:val=""/>
      <w:lvlJc w:val="left"/>
      <w:pPr>
        <w:ind w:left="2160" w:hanging="360"/>
      </w:pPr>
      <w:rPr>
        <w:rFonts w:ascii="Wingdings" w:hAnsi="Wingdings" w:hint="default"/>
      </w:rPr>
    </w:lvl>
    <w:lvl w:ilvl="3" w:tplc="858CADE0" w:tentative="1">
      <w:start w:val="1"/>
      <w:numFmt w:val="bullet"/>
      <w:lvlText w:val=""/>
      <w:lvlJc w:val="left"/>
      <w:pPr>
        <w:ind w:left="2880" w:hanging="360"/>
      </w:pPr>
      <w:rPr>
        <w:rFonts w:ascii="Symbol" w:hAnsi="Symbol" w:hint="default"/>
      </w:rPr>
    </w:lvl>
    <w:lvl w:ilvl="4" w:tplc="FD7C2374" w:tentative="1">
      <w:start w:val="1"/>
      <w:numFmt w:val="bullet"/>
      <w:lvlText w:val="o"/>
      <w:lvlJc w:val="left"/>
      <w:pPr>
        <w:ind w:left="3600" w:hanging="360"/>
      </w:pPr>
      <w:rPr>
        <w:rFonts w:ascii="Courier New" w:hAnsi="Courier New" w:cs="Courier New" w:hint="default"/>
      </w:rPr>
    </w:lvl>
    <w:lvl w:ilvl="5" w:tplc="76588F1C" w:tentative="1">
      <w:start w:val="1"/>
      <w:numFmt w:val="bullet"/>
      <w:lvlText w:val=""/>
      <w:lvlJc w:val="left"/>
      <w:pPr>
        <w:ind w:left="4320" w:hanging="360"/>
      </w:pPr>
      <w:rPr>
        <w:rFonts w:ascii="Wingdings" w:hAnsi="Wingdings" w:hint="default"/>
      </w:rPr>
    </w:lvl>
    <w:lvl w:ilvl="6" w:tplc="C0667AD6" w:tentative="1">
      <w:start w:val="1"/>
      <w:numFmt w:val="bullet"/>
      <w:lvlText w:val=""/>
      <w:lvlJc w:val="left"/>
      <w:pPr>
        <w:ind w:left="5040" w:hanging="360"/>
      </w:pPr>
      <w:rPr>
        <w:rFonts w:ascii="Symbol" w:hAnsi="Symbol" w:hint="default"/>
      </w:rPr>
    </w:lvl>
    <w:lvl w:ilvl="7" w:tplc="D2602342" w:tentative="1">
      <w:start w:val="1"/>
      <w:numFmt w:val="bullet"/>
      <w:lvlText w:val="o"/>
      <w:lvlJc w:val="left"/>
      <w:pPr>
        <w:ind w:left="5760" w:hanging="360"/>
      </w:pPr>
      <w:rPr>
        <w:rFonts w:ascii="Courier New" w:hAnsi="Courier New" w:cs="Courier New" w:hint="default"/>
      </w:rPr>
    </w:lvl>
    <w:lvl w:ilvl="8" w:tplc="ED0C97AC" w:tentative="1">
      <w:start w:val="1"/>
      <w:numFmt w:val="bullet"/>
      <w:lvlText w:val=""/>
      <w:lvlJc w:val="left"/>
      <w:pPr>
        <w:ind w:left="6480" w:hanging="360"/>
      </w:pPr>
      <w:rPr>
        <w:rFonts w:ascii="Wingdings" w:hAnsi="Wingdings" w:hint="default"/>
      </w:rPr>
    </w:lvl>
  </w:abstractNum>
  <w:abstractNum w:abstractNumId="179" w15:restartNumberingAfterBreak="0">
    <w:nsid w:val="66A87F0D"/>
    <w:multiLevelType w:val="hybridMultilevel"/>
    <w:tmpl w:val="39723222"/>
    <w:lvl w:ilvl="0" w:tplc="588A40D2">
      <w:start w:val="13"/>
      <w:numFmt w:val="bullet"/>
      <w:lvlText w:val="-"/>
      <w:lvlJc w:val="left"/>
      <w:pPr>
        <w:ind w:left="720" w:hanging="360"/>
      </w:pPr>
      <w:rPr>
        <w:rFonts w:ascii="Times New Roman" w:eastAsiaTheme="minorHAnsi" w:hAnsi="Times New Roman" w:cs="Times New Roman" w:hint="default"/>
      </w:rPr>
    </w:lvl>
    <w:lvl w:ilvl="1" w:tplc="14463682" w:tentative="1">
      <w:start w:val="1"/>
      <w:numFmt w:val="bullet"/>
      <w:lvlText w:val="o"/>
      <w:lvlJc w:val="left"/>
      <w:pPr>
        <w:ind w:left="1440" w:hanging="360"/>
      </w:pPr>
      <w:rPr>
        <w:rFonts w:ascii="Courier New" w:hAnsi="Courier New" w:cs="Courier New" w:hint="default"/>
      </w:rPr>
    </w:lvl>
    <w:lvl w:ilvl="2" w:tplc="868C3510" w:tentative="1">
      <w:start w:val="1"/>
      <w:numFmt w:val="bullet"/>
      <w:lvlText w:val=""/>
      <w:lvlJc w:val="left"/>
      <w:pPr>
        <w:ind w:left="2160" w:hanging="360"/>
      </w:pPr>
      <w:rPr>
        <w:rFonts w:ascii="Wingdings" w:hAnsi="Wingdings" w:hint="default"/>
      </w:rPr>
    </w:lvl>
    <w:lvl w:ilvl="3" w:tplc="27066DBC" w:tentative="1">
      <w:start w:val="1"/>
      <w:numFmt w:val="bullet"/>
      <w:lvlText w:val=""/>
      <w:lvlJc w:val="left"/>
      <w:pPr>
        <w:ind w:left="2880" w:hanging="360"/>
      </w:pPr>
      <w:rPr>
        <w:rFonts w:ascii="Symbol" w:hAnsi="Symbol" w:hint="default"/>
      </w:rPr>
    </w:lvl>
    <w:lvl w:ilvl="4" w:tplc="6186AB92" w:tentative="1">
      <w:start w:val="1"/>
      <w:numFmt w:val="bullet"/>
      <w:lvlText w:val="o"/>
      <w:lvlJc w:val="left"/>
      <w:pPr>
        <w:ind w:left="3600" w:hanging="360"/>
      </w:pPr>
      <w:rPr>
        <w:rFonts w:ascii="Courier New" w:hAnsi="Courier New" w:cs="Courier New" w:hint="default"/>
      </w:rPr>
    </w:lvl>
    <w:lvl w:ilvl="5" w:tplc="6D8623A4" w:tentative="1">
      <w:start w:val="1"/>
      <w:numFmt w:val="bullet"/>
      <w:lvlText w:val=""/>
      <w:lvlJc w:val="left"/>
      <w:pPr>
        <w:ind w:left="4320" w:hanging="360"/>
      </w:pPr>
      <w:rPr>
        <w:rFonts w:ascii="Wingdings" w:hAnsi="Wingdings" w:hint="default"/>
      </w:rPr>
    </w:lvl>
    <w:lvl w:ilvl="6" w:tplc="A4C49D8C" w:tentative="1">
      <w:start w:val="1"/>
      <w:numFmt w:val="bullet"/>
      <w:lvlText w:val=""/>
      <w:lvlJc w:val="left"/>
      <w:pPr>
        <w:ind w:left="5040" w:hanging="360"/>
      </w:pPr>
      <w:rPr>
        <w:rFonts w:ascii="Symbol" w:hAnsi="Symbol" w:hint="default"/>
      </w:rPr>
    </w:lvl>
    <w:lvl w:ilvl="7" w:tplc="99E44BE4" w:tentative="1">
      <w:start w:val="1"/>
      <w:numFmt w:val="bullet"/>
      <w:lvlText w:val="o"/>
      <w:lvlJc w:val="left"/>
      <w:pPr>
        <w:ind w:left="5760" w:hanging="360"/>
      </w:pPr>
      <w:rPr>
        <w:rFonts w:ascii="Courier New" w:hAnsi="Courier New" w:cs="Courier New" w:hint="default"/>
      </w:rPr>
    </w:lvl>
    <w:lvl w:ilvl="8" w:tplc="CAB4E00E" w:tentative="1">
      <w:start w:val="1"/>
      <w:numFmt w:val="bullet"/>
      <w:lvlText w:val=""/>
      <w:lvlJc w:val="left"/>
      <w:pPr>
        <w:ind w:left="6480" w:hanging="360"/>
      </w:pPr>
      <w:rPr>
        <w:rFonts w:ascii="Wingdings" w:hAnsi="Wingdings" w:hint="default"/>
      </w:rPr>
    </w:lvl>
  </w:abstractNum>
  <w:abstractNum w:abstractNumId="180" w15:restartNumberingAfterBreak="0">
    <w:nsid w:val="66B86767"/>
    <w:multiLevelType w:val="hybridMultilevel"/>
    <w:tmpl w:val="8206938A"/>
    <w:lvl w:ilvl="0" w:tplc="AA0AD9DA">
      <w:start w:val="1"/>
      <w:numFmt w:val="bullet"/>
      <w:lvlText w:val=""/>
      <w:lvlJc w:val="left"/>
      <w:pPr>
        <w:ind w:left="720" w:hanging="360"/>
      </w:pPr>
      <w:rPr>
        <w:rFonts w:ascii="Wingdings" w:hAnsi="Wingdings" w:hint="default"/>
      </w:rPr>
    </w:lvl>
    <w:lvl w:ilvl="1" w:tplc="04D26164" w:tentative="1">
      <w:start w:val="1"/>
      <w:numFmt w:val="bullet"/>
      <w:lvlText w:val="o"/>
      <w:lvlJc w:val="left"/>
      <w:pPr>
        <w:ind w:left="1440" w:hanging="360"/>
      </w:pPr>
      <w:rPr>
        <w:rFonts w:ascii="Courier New" w:hAnsi="Courier New" w:cs="Courier New" w:hint="default"/>
      </w:rPr>
    </w:lvl>
    <w:lvl w:ilvl="2" w:tplc="9CD28D72" w:tentative="1">
      <w:start w:val="1"/>
      <w:numFmt w:val="bullet"/>
      <w:lvlText w:val=""/>
      <w:lvlJc w:val="left"/>
      <w:pPr>
        <w:ind w:left="2160" w:hanging="360"/>
      </w:pPr>
      <w:rPr>
        <w:rFonts w:ascii="Wingdings" w:hAnsi="Wingdings" w:hint="default"/>
      </w:rPr>
    </w:lvl>
    <w:lvl w:ilvl="3" w:tplc="B61A85B8" w:tentative="1">
      <w:start w:val="1"/>
      <w:numFmt w:val="bullet"/>
      <w:lvlText w:val=""/>
      <w:lvlJc w:val="left"/>
      <w:pPr>
        <w:ind w:left="2880" w:hanging="360"/>
      </w:pPr>
      <w:rPr>
        <w:rFonts w:ascii="Symbol" w:hAnsi="Symbol" w:hint="default"/>
      </w:rPr>
    </w:lvl>
    <w:lvl w:ilvl="4" w:tplc="67326F7C" w:tentative="1">
      <w:start w:val="1"/>
      <w:numFmt w:val="bullet"/>
      <w:lvlText w:val="o"/>
      <w:lvlJc w:val="left"/>
      <w:pPr>
        <w:ind w:left="3600" w:hanging="360"/>
      </w:pPr>
      <w:rPr>
        <w:rFonts w:ascii="Courier New" w:hAnsi="Courier New" w:cs="Courier New" w:hint="default"/>
      </w:rPr>
    </w:lvl>
    <w:lvl w:ilvl="5" w:tplc="64767CF4" w:tentative="1">
      <w:start w:val="1"/>
      <w:numFmt w:val="bullet"/>
      <w:lvlText w:val=""/>
      <w:lvlJc w:val="left"/>
      <w:pPr>
        <w:ind w:left="4320" w:hanging="360"/>
      </w:pPr>
      <w:rPr>
        <w:rFonts w:ascii="Wingdings" w:hAnsi="Wingdings" w:hint="default"/>
      </w:rPr>
    </w:lvl>
    <w:lvl w:ilvl="6" w:tplc="02BE6CB6" w:tentative="1">
      <w:start w:val="1"/>
      <w:numFmt w:val="bullet"/>
      <w:lvlText w:val=""/>
      <w:lvlJc w:val="left"/>
      <w:pPr>
        <w:ind w:left="5040" w:hanging="360"/>
      </w:pPr>
      <w:rPr>
        <w:rFonts w:ascii="Symbol" w:hAnsi="Symbol" w:hint="default"/>
      </w:rPr>
    </w:lvl>
    <w:lvl w:ilvl="7" w:tplc="196832F2" w:tentative="1">
      <w:start w:val="1"/>
      <w:numFmt w:val="bullet"/>
      <w:lvlText w:val="o"/>
      <w:lvlJc w:val="left"/>
      <w:pPr>
        <w:ind w:left="5760" w:hanging="360"/>
      </w:pPr>
      <w:rPr>
        <w:rFonts w:ascii="Courier New" w:hAnsi="Courier New" w:cs="Courier New" w:hint="default"/>
      </w:rPr>
    </w:lvl>
    <w:lvl w:ilvl="8" w:tplc="C4FCA1F8" w:tentative="1">
      <w:start w:val="1"/>
      <w:numFmt w:val="bullet"/>
      <w:lvlText w:val=""/>
      <w:lvlJc w:val="left"/>
      <w:pPr>
        <w:ind w:left="6480" w:hanging="360"/>
      </w:pPr>
      <w:rPr>
        <w:rFonts w:ascii="Wingdings" w:hAnsi="Wingdings" w:hint="default"/>
      </w:rPr>
    </w:lvl>
  </w:abstractNum>
  <w:abstractNum w:abstractNumId="181" w15:restartNumberingAfterBreak="0">
    <w:nsid w:val="66C43E88"/>
    <w:multiLevelType w:val="multilevel"/>
    <w:tmpl w:val="842625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7074C51"/>
    <w:multiLevelType w:val="multilevel"/>
    <w:tmpl w:val="DF929BC2"/>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rPr>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68C46305"/>
    <w:multiLevelType w:val="hybridMultilevel"/>
    <w:tmpl w:val="63D2E974"/>
    <w:lvl w:ilvl="0" w:tplc="7A7E9242">
      <w:start w:val="1"/>
      <w:numFmt w:val="decimal"/>
      <w:lvlText w:val="%1-"/>
      <w:lvlJc w:val="left"/>
      <w:pPr>
        <w:ind w:left="1777" w:hanging="360"/>
      </w:pPr>
      <w:rPr>
        <w:rFonts w:hint="default"/>
      </w:rPr>
    </w:lvl>
    <w:lvl w:ilvl="1" w:tplc="7674C044" w:tentative="1">
      <w:start w:val="1"/>
      <w:numFmt w:val="lowerLetter"/>
      <w:lvlText w:val="%2."/>
      <w:lvlJc w:val="left"/>
      <w:pPr>
        <w:ind w:left="2497" w:hanging="360"/>
      </w:pPr>
    </w:lvl>
    <w:lvl w:ilvl="2" w:tplc="77961AC6" w:tentative="1">
      <w:start w:val="1"/>
      <w:numFmt w:val="lowerRoman"/>
      <w:lvlText w:val="%3."/>
      <w:lvlJc w:val="right"/>
      <w:pPr>
        <w:ind w:left="3217" w:hanging="180"/>
      </w:pPr>
    </w:lvl>
    <w:lvl w:ilvl="3" w:tplc="7B26D5F8" w:tentative="1">
      <w:start w:val="1"/>
      <w:numFmt w:val="decimal"/>
      <w:lvlText w:val="%4."/>
      <w:lvlJc w:val="left"/>
      <w:pPr>
        <w:ind w:left="3937" w:hanging="360"/>
      </w:pPr>
    </w:lvl>
    <w:lvl w:ilvl="4" w:tplc="3EACB6D2" w:tentative="1">
      <w:start w:val="1"/>
      <w:numFmt w:val="lowerLetter"/>
      <w:lvlText w:val="%5."/>
      <w:lvlJc w:val="left"/>
      <w:pPr>
        <w:ind w:left="4657" w:hanging="360"/>
      </w:pPr>
    </w:lvl>
    <w:lvl w:ilvl="5" w:tplc="3DB82FFE" w:tentative="1">
      <w:start w:val="1"/>
      <w:numFmt w:val="lowerRoman"/>
      <w:lvlText w:val="%6."/>
      <w:lvlJc w:val="right"/>
      <w:pPr>
        <w:ind w:left="5377" w:hanging="180"/>
      </w:pPr>
    </w:lvl>
    <w:lvl w:ilvl="6" w:tplc="70B2CB06" w:tentative="1">
      <w:start w:val="1"/>
      <w:numFmt w:val="decimal"/>
      <w:lvlText w:val="%7."/>
      <w:lvlJc w:val="left"/>
      <w:pPr>
        <w:ind w:left="6097" w:hanging="360"/>
      </w:pPr>
    </w:lvl>
    <w:lvl w:ilvl="7" w:tplc="44DC0FB6" w:tentative="1">
      <w:start w:val="1"/>
      <w:numFmt w:val="lowerLetter"/>
      <w:lvlText w:val="%8."/>
      <w:lvlJc w:val="left"/>
      <w:pPr>
        <w:ind w:left="6817" w:hanging="360"/>
      </w:pPr>
    </w:lvl>
    <w:lvl w:ilvl="8" w:tplc="0ACA3A06" w:tentative="1">
      <w:start w:val="1"/>
      <w:numFmt w:val="lowerRoman"/>
      <w:lvlText w:val="%9."/>
      <w:lvlJc w:val="right"/>
      <w:pPr>
        <w:ind w:left="7537" w:hanging="180"/>
      </w:pPr>
    </w:lvl>
  </w:abstractNum>
  <w:abstractNum w:abstractNumId="184" w15:restartNumberingAfterBreak="0">
    <w:nsid w:val="69180213"/>
    <w:multiLevelType w:val="hybridMultilevel"/>
    <w:tmpl w:val="69E26910"/>
    <w:lvl w:ilvl="0" w:tplc="616AB7E8">
      <w:start w:val="1"/>
      <w:numFmt w:val="bullet"/>
      <w:lvlText w:val=""/>
      <w:lvlJc w:val="left"/>
      <w:pPr>
        <w:ind w:left="780" w:hanging="360"/>
      </w:pPr>
      <w:rPr>
        <w:rFonts w:ascii="Symbol" w:hAnsi="Symbol" w:hint="default"/>
      </w:rPr>
    </w:lvl>
    <w:lvl w:ilvl="1" w:tplc="CF7EC696" w:tentative="1">
      <w:start w:val="1"/>
      <w:numFmt w:val="bullet"/>
      <w:lvlText w:val="o"/>
      <w:lvlJc w:val="left"/>
      <w:pPr>
        <w:ind w:left="1500" w:hanging="360"/>
      </w:pPr>
      <w:rPr>
        <w:rFonts w:ascii="Courier New" w:hAnsi="Courier New" w:cs="Courier New" w:hint="default"/>
      </w:rPr>
    </w:lvl>
    <w:lvl w:ilvl="2" w:tplc="043CC9B0" w:tentative="1">
      <w:start w:val="1"/>
      <w:numFmt w:val="bullet"/>
      <w:lvlText w:val=""/>
      <w:lvlJc w:val="left"/>
      <w:pPr>
        <w:ind w:left="2220" w:hanging="360"/>
      </w:pPr>
      <w:rPr>
        <w:rFonts w:ascii="Wingdings" w:hAnsi="Wingdings" w:hint="default"/>
      </w:rPr>
    </w:lvl>
    <w:lvl w:ilvl="3" w:tplc="104E069E" w:tentative="1">
      <w:start w:val="1"/>
      <w:numFmt w:val="bullet"/>
      <w:lvlText w:val=""/>
      <w:lvlJc w:val="left"/>
      <w:pPr>
        <w:ind w:left="2940" w:hanging="360"/>
      </w:pPr>
      <w:rPr>
        <w:rFonts w:ascii="Symbol" w:hAnsi="Symbol" w:hint="default"/>
      </w:rPr>
    </w:lvl>
    <w:lvl w:ilvl="4" w:tplc="2B26AEDE" w:tentative="1">
      <w:start w:val="1"/>
      <w:numFmt w:val="bullet"/>
      <w:lvlText w:val="o"/>
      <w:lvlJc w:val="left"/>
      <w:pPr>
        <w:ind w:left="3660" w:hanging="360"/>
      </w:pPr>
      <w:rPr>
        <w:rFonts w:ascii="Courier New" w:hAnsi="Courier New" w:cs="Courier New" w:hint="default"/>
      </w:rPr>
    </w:lvl>
    <w:lvl w:ilvl="5" w:tplc="EBEAF52C" w:tentative="1">
      <w:start w:val="1"/>
      <w:numFmt w:val="bullet"/>
      <w:lvlText w:val=""/>
      <w:lvlJc w:val="left"/>
      <w:pPr>
        <w:ind w:left="4380" w:hanging="360"/>
      </w:pPr>
      <w:rPr>
        <w:rFonts w:ascii="Wingdings" w:hAnsi="Wingdings" w:hint="default"/>
      </w:rPr>
    </w:lvl>
    <w:lvl w:ilvl="6" w:tplc="55168B74" w:tentative="1">
      <w:start w:val="1"/>
      <w:numFmt w:val="bullet"/>
      <w:lvlText w:val=""/>
      <w:lvlJc w:val="left"/>
      <w:pPr>
        <w:ind w:left="5100" w:hanging="360"/>
      </w:pPr>
      <w:rPr>
        <w:rFonts w:ascii="Symbol" w:hAnsi="Symbol" w:hint="default"/>
      </w:rPr>
    </w:lvl>
    <w:lvl w:ilvl="7" w:tplc="5EDC7B24" w:tentative="1">
      <w:start w:val="1"/>
      <w:numFmt w:val="bullet"/>
      <w:lvlText w:val="o"/>
      <w:lvlJc w:val="left"/>
      <w:pPr>
        <w:ind w:left="5820" w:hanging="360"/>
      </w:pPr>
      <w:rPr>
        <w:rFonts w:ascii="Courier New" w:hAnsi="Courier New" w:cs="Courier New" w:hint="default"/>
      </w:rPr>
    </w:lvl>
    <w:lvl w:ilvl="8" w:tplc="A31283B8" w:tentative="1">
      <w:start w:val="1"/>
      <w:numFmt w:val="bullet"/>
      <w:lvlText w:val=""/>
      <w:lvlJc w:val="left"/>
      <w:pPr>
        <w:ind w:left="6540" w:hanging="360"/>
      </w:pPr>
      <w:rPr>
        <w:rFonts w:ascii="Wingdings" w:hAnsi="Wingdings" w:hint="default"/>
      </w:rPr>
    </w:lvl>
  </w:abstractNum>
  <w:abstractNum w:abstractNumId="185" w15:restartNumberingAfterBreak="0">
    <w:nsid w:val="69B34673"/>
    <w:multiLevelType w:val="hybridMultilevel"/>
    <w:tmpl w:val="BBFA0058"/>
    <w:lvl w:ilvl="0" w:tplc="50589856">
      <w:numFmt w:val="bullet"/>
      <w:lvlText w:val="-"/>
      <w:lvlJc w:val="left"/>
      <w:pPr>
        <w:ind w:left="720" w:hanging="360"/>
      </w:pPr>
      <w:rPr>
        <w:rFonts w:ascii="Times New Roman" w:eastAsia="Times New Roman" w:hAnsi="Times New Roman" w:cs="Times New Roman" w:hint="default"/>
      </w:rPr>
    </w:lvl>
    <w:lvl w:ilvl="1" w:tplc="8070E56C" w:tentative="1">
      <w:start w:val="1"/>
      <w:numFmt w:val="bullet"/>
      <w:lvlText w:val="o"/>
      <w:lvlJc w:val="left"/>
      <w:pPr>
        <w:ind w:left="1440" w:hanging="360"/>
      </w:pPr>
      <w:rPr>
        <w:rFonts w:ascii="Courier New" w:hAnsi="Courier New" w:cs="Courier New" w:hint="default"/>
      </w:rPr>
    </w:lvl>
    <w:lvl w:ilvl="2" w:tplc="1354BF2A" w:tentative="1">
      <w:start w:val="1"/>
      <w:numFmt w:val="bullet"/>
      <w:lvlText w:val=""/>
      <w:lvlJc w:val="left"/>
      <w:pPr>
        <w:ind w:left="2160" w:hanging="360"/>
      </w:pPr>
      <w:rPr>
        <w:rFonts w:ascii="Wingdings" w:hAnsi="Wingdings" w:hint="default"/>
      </w:rPr>
    </w:lvl>
    <w:lvl w:ilvl="3" w:tplc="59A8DAE4" w:tentative="1">
      <w:start w:val="1"/>
      <w:numFmt w:val="bullet"/>
      <w:lvlText w:val=""/>
      <w:lvlJc w:val="left"/>
      <w:pPr>
        <w:ind w:left="2880" w:hanging="360"/>
      </w:pPr>
      <w:rPr>
        <w:rFonts w:ascii="Symbol" w:hAnsi="Symbol" w:hint="default"/>
      </w:rPr>
    </w:lvl>
    <w:lvl w:ilvl="4" w:tplc="D512B6B6" w:tentative="1">
      <w:start w:val="1"/>
      <w:numFmt w:val="bullet"/>
      <w:lvlText w:val="o"/>
      <w:lvlJc w:val="left"/>
      <w:pPr>
        <w:ind w:left="3600" w:hanging="360"/>
      </w:pPr>
      <w:rPr>
        <w:rFonts w:ascii="Courier New" w:hAnsi="Courier New" w:cs="Courier New" w:hint="default"/>
      </w:rPr>
    </w:lvl>
    <w:lvl w:ilvl="5" w:tplc="D45A3804" w:tentative="1">
      <w:start w:val="1"/>
      <w:numFmt w:val="bullet"/>
      <w:lvlText w:val=""/>
      <w:lvlJc w:val="left"/>
      <w:pPr>
        <w:ind w:left="4320" w:hanging="360"/>
      </w:pPr>
      <w:rPr>
        <w:rFonts w:ascii="Wingdings" w:hAnsi="Wingdings" w:hint="default"/>
      </w:rPr>
    </w:lvl>
    <w:lvl w:ilvl="6" w:tplc="8398FA54" w:tentative="1">
      <w:start w:val="1"/>
      <w:numFmt w:val="bullet"/>
      <w:lvlText w:val=""/>
      <w:lvlJc w:val="left"/>
      <w:pPr>
        <w:ind w:left="5040" w:hanging="360"/>
      </w:pPr>
      <w:rPr>
        <w:rFonts w:ascii="Symbol" w:hAnsi="Symbol" w:hint="default"/>
      </w:rPr>
    </w:lvl>
    <w:lvl w:ilvl="7" w:tplc="244603C8" w:tentative="1">
      <w:start w:val="1"/>
      <w:numFmt w:val="bullet"/>
      <w:lvlText w:val="o"/>
      <w:lvlJc w:val="left"/>
      <w:pPr>
        <w:ind w:left="5760" w:hanging="360"/>
      </w:pPr>
      <w:rPr>
        <w:rFonts w:ascii="Courier New" w:hAnsi="Courier New" w:cs="Courier New" w:hint="default"/>
      </w:rPr>
    </w:lvl>
    <w:lvl w:ilvl="8" w:tplc="49FEFC98" w:tentative="1">
      <w:start w:val="1"/>
      <w:numFmt w:val="bullet"/>
      <w:lvlText w:val=""/>
      <w:lvlJc w:val="left"/>
      <w:pPr>
        <w:ind w:left="6480" w:hanging="360"/>
      </w:pPr>
      <w:rPr>
        <w:rFonts w:ascii="Wingdings" w:hAnsi="Wingdings" w:hint="default"/>
      </w:rPr>
    </w:lvl>
  </w:abstractNum>
  <w:abstractNum w:abstractNumId="186" w15:restartNumberingAfterBreak="0">
    <w:nsid w:val="69DD0493"/>
    <w:multiLevelType w:val="multilevel"/>
    <w:tmpl w:val="C680C1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7" w15:restartNumberingAfterBreak="0">
    <w:nsid w:val="6A1C7672"/>
    <w:multiLevelType w:val="multilevel"/>
    <w:tmpl w:val="03F2ADE6"/>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8" w15:restartNumberingAfterBreak="0">
    <w:nsid w:val="6AE51DD4"/>
    <w:multiLevelType w:val="hybridMultilevel"/>
    <w:tmpl w:val="2960D07C"/>
    <w:lvl w:ilvl="0" w:tplc="1A685350">
      <w:start w:val="5"/>
      <w:numFmt w:val="bullet"/>
      <w:lvlText w:val="-"/>
      <w:lvlJc w:val="left"/>
      <w:pPr>
        <w:ind w:left="108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6B7709C0"/>
    <w:multiLevelType w:val="hybridMultilevel"/>
    <w:tmpl w:val="5A6EB70A"/>
    <w:lvl w:ilvl="0" w:tplc="2944981A">
      <w:start w:val="1"/>
      <w:numFmt w:val="bullet"/>
      <w:lvlText w:val=""/>
      <w:lvlJc w:val="left"/>
      <w:pPr>
        <w:ind w:left="360" w:hanging="360"/>
      </w:pPr>
      <w:rPr>
        <w:rFonts w:ascii="Symbol" w:hAnsi="Symbol" w:hint="default"/>
      </w:rPr>
    </w:lvl>
    <w:lvl w:ilvl="1" w:tplc="B2D65D2A" w:tentative="1">
      <w:start w:val="1"/>
      <w:numFmt w:val="bullet"/>
      <w:lvlText w:val="o"/>
      <w:lvlJc w:val="left"/>
      <w:pPr>
        <w:ind w:left="1080" w:hanging="360"/>
      </w:pPr>
      <w:rPr>
        <w:rFonts w:ascii="Courier New" w:hAnsi="Courier New" w:cs="Courier New" w:hint="default"/>
      </w:rPr>
    </w:lvl>
    <w:lvl w:ilvl="2" w:tplc="8C3C53A8" w:tentative="1">
      <w:start w:val="1"/>
      <w:numFmt w:val="bullet"/>
      <w:lvlText w:val=""/>
      <w:lvlJc w:val="left"/>
      <w:pPr>
        <w:ind w:left="1800" w:hanging="360"/>
      </w:pPr>
      <w:rPr>
        <w:rFonts w:ascii="Wingdings" w:hAnsi="Wingdings" w:hint="default"/>
      </w:rPr>
    </w:lvl>
    <w:lvl w:ilvl="3" w:tplc="CCF43378" w:tentative="1">
      <w:start w:val="1"/>
      <w:numFmt w:val="bullet"/>
      <w:lvlText w:val=""/>
      <w:lvlJc w:val="left"/>
      <w:pPr>
        <w:ind w:left="2520" w:hanging="360"/>
      </w:pPr>
      <w:rPr>
        <w:rFonts w:ascii="Symbol" w:hAnsi="Symbol" w:hint="default"/>
      </w:rPr>
    </w:lvl>
    <w:lvl w:ilvl="4" w:tplc="DDD00FCA" w:tentative="1">
      <w:start w:val="1"/>
      <w:numFmt w:val="bullet"/>
      <w:lvlText w:val="o"/>
      <w:lvlJc w:val="left"/>
      <w:pPr>
        <w:ind w:left="3240" w:hanging="360"/>
      </w:pPr>
      <w:rPr>
        <w:rFonts w:ascii="Courier New" w:hAnsi="Courier New" w:cs="Courier New" w:hint="default"/>
      </w:rPr>
    </w:lvl>
    <w:lvl w:ilvl="5" w:tplc="3BE8967E" w:tentative="1">
      <w:start w:val="1"/>
      <w:numFmt w:val="bullet"/>
      <w:lvlText w:val=""/>
      <w:lvlJc w:val="left"/>
      <w:pPr>
        <w:ind w:left="3960" w:hanging="360"/>
      </w:pPr>
      <w:rPr>
        <w:rFonts w:ascii="Wingdings" w:hAnsi="Wingdings" w:hint="default"/>
      </w:rPr>
    </w:lvl>
    <w:lvl w:ilvl="6" w:tplc="07C2E8FA" w:tentative="1">
      <w:start w:val="1"/>
      <w:numFmt w:val="bullet"/>
      <w:lvlText w:val=""/>
      <w:lvlJc w:val="left"/>
      <w:pPr>
        <w:ind w:left="4680" w:hanging="360"/>
      </w:pPr>
      <w:rPr>
        <w:rFonts w:ascii="Symbol" w:hAnsi="Symbol" w:hint="default"/>
      </w:rPr>
    </w:lvl>
    <w:lvl w:ilvl="7" w:tplc="6BA65A5A" w:tentative="1">
      <w:start w:val="1"/>
      <w:numFmt w:val="bullet"/>
      <w:lvlText w:val="o"/>
      <w:lvlJc w:val="left"/>
      <w:pPr>
        <w:ind w:left="5400" w:hanging="360"/>
      </w:pPr>
      <w:rPr>
        <w:rFonts w:ascii="Courier New" w:hAnsi="Courier New" w:cs="Courier New" w:hint="default"/>
      </w:rPr>
    </w:lvl>
    <w:lvl w:ilvl="8" w:tplc="82D47676" w:tentative="1">
      <w:start w:val="1"/>
      <w:numFmt w:val="bullet"/>
      <w:lvlText w:val=""/>
      <w:lvlJc w:val="left"/>
      <w:pPr>
        <w:ind w:left="6120" w:hanging="360"/>
      </w:pPr>
      <w:rPr>
        <w:rFonts w:ascii="Wingdings" w:hAnsi="Wingdings" w:hint="default"/>
      </w:rPr>
    </w:lvl>
  </w:abstractNum>
  <w:abstractNum w:abstractNumId="190" w15:restartNumberingAfterBreak="0">
    <w:nsid w:val="6B7A62E6"/>
    <w:multiLevelType w:val="hybridMultilevel"/>
    <w:tmpl w:val="9B7C7AC0"/>
    <w:lvl w:ilvl="0" w:tplc="A1FE0180">
      <w:start w:val="1"/>
      <w:numFmt w:val="bullet"/>
      <w:lvlText w:val=""/>
      <w:lvlJc w:val="left"/>
      <w:pPr>
        <w:ind w:left="720" w:hanging="360"/>
      </w:pPr>
      <w:rPr>
        <w:rFonts w:ascii="Wingdings" w:hAnsi="Wingdings" w:hint="default"/>
      </w:rPr>
    </w:lvl>
    <w:lvl w:ilvl="1" w:tplc="071E6AE8" w:tentative="1">
      <w:start w:val="1"/>
      <w:numFmt w:val="bullet"/>
      <w:lvlText w:val="o"/>
      <w:lvlJc w:val="left"/>
      <w:pPr>
        <w:ind w:left="1440" w:hanging="360"/>
      </w:pPr>
      <w:rPr>
        <w:rFonts w:ascii="Courier New" w:hAnsi="Courier New" w:cs="Courier New" w:hint="default"/>
      </w:rPr>
    </w:lvl>
    <w:lvl w:ilvl="2" w:tplc="A21210CA" w:tentative="1">
      <w:start w:val="1"/>
      <w:numFmt w:val="bullet"/>
      <w:lvlText w:val=""/>
      <w:lvlJc w:val="left"/>
      <w:pPr>
        <w:ind w:left="2160" w:hanging="360"/>
      </w:pPr>
      <w:rPr>
        <w:rFonts w:ascii="Wingdings" w:hAnsi="Wingdings" w:hint="default"/>
      </w:rPr>
    </w:lvl>
    <w:lvl w:ilvl="3" w:tplc="6172F10C" w:tentative="1">
      <w:start w:val="1"/>
      <w:numFmt w:val="bullet"/>
      <w:lvlText w:val=""/>
      <w:lvlJc w:val="left"/>
      <w:pPr>
        <w:ind w:left="2880" w:hanging="360"/>
      </w:pPr>
      <w:rPr>
        <w:rFonts w:ascii="Symbol" w:hAnsi="Symbol" w:hint="default"/>
      </w:rPr>
    </w:lvl>
    <w:lvl w:ilvl="4" w:tplc="DB4A392C" w:tentative="1">
      <w:start w:val="1"/>
      <w:numFmt w:val="bullet"/>
      <w:lvlText w:val="o"/>
      <w:lvlJc w:val="left"/>
      <w:pPr>
        <w:ind w:left="3600" w:hanging="360"/>
      </w:pPr>
      <w:rPr>
        <w:rFonts w:ascii="Courier New" w:hAnsi="Courier New" w:cs="Courier New" w:hint="default"/>
      </w:rPr>
    </w:lvl>
    <w:lvl w:ilvl="5" w:tplc="96BE8CEC" w:tentative="1">
      <w:start w:val="1"/>
      <w:numFmt w:val="bullet"/>
      <w:lvlText w:val=""/>
      <w:lvlJc w:val="left"/>
      <w:pPr>
        <w:ind w:left="4320" w:hanging="360"/>
      </w:pPr>
      <w:rPr>
        <w:rFonts w:ascii="Wingdings" w:hAnsi="Wingdings" w:hint="default"/>
      </w:rPr>
    </w:lvl>
    <w:lvl w:ilvl="6" w:tplc="C47EB97C" w:tentative="1">
      <w:start w:val="1"/>
      <w:numFmt w:val="bullet"/>
      <w:lvlText w:val=""/>
      <w:lvlJc w:val="left"/>
      <w:pPr>
        <w:ind w:left="5040" w:hanging="360"/>
      </w:pPr>
      <w:rPr>
        <w:rFonts w:ascii="Symbol" w:hAnsi="Symbol" w:hint="default"/>
      </w:rPr>
    </w:lvl>
    <w:lvl w:ilvl="7" w:tplc="60F2C146" w:tentative="1">
      <w:start w:val="1"/>
      <w:numFmt w:val="bullet"/>
      <w:lvlText w:val="o"/>
      <w:lvlJc w:val="left"/>
      <w:pPr>
        <w:ind w:left="5760" w:hanging="360"/>
      </w:pPr>
      <w:rPr>
        <w:rFonts w:ascii="Courier New" w:hAnsi="Courier New" w:cs="Courier New" w:hint="default"/>
      </w:rPr>
    </w:lvl>
    <w:lvl w:ilvl="8" w:tplc="1A06CFD4" w:tentative="1">
      <w:start w:val="1"/>
      <w:numFmt w:val="bullet"/>
      <w:lvlText w:val=""/>
      <w:lvlJc w:val="left"/>
      <w:pPr>
        <w:ind w:left="6480" w:hanging="360"/>
      </w:pPr>
      <w:rPr>
        <w:rFonts w:ascii="Wingdings" w:hAnsi="Wingdings" w:hint="default"/>
      </w:rPr>
    </w:lvl>
  </w:abstractNum>
  <w:abstractNum w:abstractNumId="191" w15:restartNumberingAfterBreak="0">
    <w:nsid w:val="6D1344F0"/>
    <w:multiLevelType w:val="hybridMultilevel"/>
    <w:tmpl w:val="0D0AA770"/>
    <w:lvl w:ilvl="0" w:tplc="683093F6">
      <w:start w:val="1"/>
      <w:numFmt w:val="bullet"/>
      <w:lvlText w:val=""/>
      <w:lvlJc w:val="left"/>
      <w:pPr>
        <w:ind w:left="720" w:hanging="360"/>
      </w:pPr>
      <w:rPr>
        <w:rFonts w:ascii="Symbol" w:hAnsi="Symbol" w:hint="default"/>
      </w:rPr>
    </w:lvl>
    <w:lvl w:ilvl="1" w:tplc="F0547AA2" w:tentative="1">
      <w:start w:val="1"/>
      <w:numFmt w:val="bullet"/>
      <w:lvlText w:val="o"/>
      <w:lvlJc w:val="left"/>
      <w:pPr>
        <w:ind w:left="1440" w:hanging="360"/>
      </w:pPr>
      <w:rPr>
        <w:rFonts w:ascii="Courier New" w:hAnsi="Courier New" w:cs="Courier New" w:hint="default"/>
      </w:rPr>
    </w:lvl>
    <w:lvl w:ilvl="2" w:tplc="2826A3D4" w:tentative="1">
      <w:start w:val="1"/>
      <w:numFmt w:val="bullet"/>
      <w:lvlText w:val=""/>
      <w:lvlJc w:val="left"/>
      <w:pPr>
        <w:ind w:left="2160" w:hanging="360"/>
      </w:pPr>
      <w:rPr>
        <w:rFonts w:ascii="Wingdings" w:hAnsi="Wingdings" w:hint="default"/>
      </w:rPr>
    </w:lvl>
    <w:lvl w:ilvl="3" w:tplc="927E5048" w:tentative="1">
      <w:start w:val="1"/>
      <w:numFmt w:val="bullet"/>
      <w:lvlText w:val=""/>
      <w:lvlJc w:val="left"/>
      <w:pPr>
        <w:ind w:left="2880" w:hanging="360"/>
      </w:pPr>
      <w:rPr>
        <w:rFonts w:ascii="Symbol" w:hAnsi="Symbol" w:hint="default"/>
      </w:rPr>
    </w:lvl>
    <w:lvl w:ilvl="4" w:tplc="586C8008" w:tentative="1">
      <w:start w:val="1"/>
      <w:numFmt w:val="bullet"/>
      <w:lvlText w:val="o"/>
      <w:lvlJc w:val="left"/>
      <w:pPr>
        <w:ind w:left="3600" w:hanging="360"/>
      </w:pPr>
      <w:rPr>
        <w:rFonts w:ascii="Courier New" w:hAnsi="Courier New" w:cs="Courier New" w:hint="default"/>
      </w:rPr>
    </w:lvl>
    <w:lvl w:ilvl="5" w:tplc="276CC528" w:tentative="1">
      <w:start w:val="1"/>
      <w:numFmt w:val="bullet"/>
      <w:lvlText w:val=""/>
      <w:lvlJc w:val="left"/>
      <w:pPr>
        <w:ind w:left="4320" w:hanging="360"/>
      </w:pPr>
      <w:rPr>
        <w:rFonts w:ascii="Wingdings" w:hAnsi="Wingdings" w:hint="default"/>
      </w:rPr>
    </w:lvl>
    <w:lvl w:ilvl="6" w:tplc="218A04FC" w:tentative="1">
      <w:start w:val="1"/>
      <w:numFmt w:val="bullet"/>
      <w:lvlText w:val=""/>
      <w:lvlJc w:val="left"/>
      <w:pPr>
        <w:ind w:left="5040" w:hanging="360"/>
      </w:pPr>
      <w:rPr>
        <w:rFonts w:ascii="Symbol" w:hAnsi="Symbol" w:hint="default"/>
      </w:rPr>
    </w:lvl>
    <w:lvl w:ilvl="7" w:tplc="A3522070" w:tentative="1">
      <w:start w:val="1"/>
      <w:numFmt w:val="bullet"/>
      <w:lvlText w:val="o"/>
      <w:lvlJc w:val="left"/>
      <w:pPr>
        <w:ind w:left="5760" w:hanging="360"/>
      </w:pPr>
      <w:rPr>
        <w:rFonts w:ascii="Courier New" w:hAnsi="Courier New" w:cs="Courier New" w:hint="default"/>
      </w:rPr>
    </w:lvl>
    <w:lvl w:ilvl="8" w:tplc="E3E0CA9E" w:tentative="1">
      <w:start w:val="1"/>
      <w:numFmt w:val="bullet"/>
      <w:lvlText w:val=""/>
      <w:lvlJc w:val="left"/>
      <w:pPr>
        <w:ind w:left="6480" w:hanging="360"/>
      </w:pPr>
      <w:rPr>
        <w:rFonts w:ascii="Wingdings" w:hAnsi="Wingdings" w:hint="default"/>
      </w:rPr>
    </w:lvl>
  </w:abstractNum>
  <w:abstractNum w:abstractNumId="192" w15:restartNumberingAfterBreak="0">
    <w:nsid w:val="6D5E0A08"/>
    <w:multiLevelType w:val="multilevel"/>
    <w:tmpl w:val="838ABDD0"/>
    <w:lvl w:ilvl="0">
      <w:start w:val="1"/>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3" w15:restartNumberingAfterBreak="0">
    <w:nsid w:val="6D651589"/>
    <w:multiLevelType w:val="multilevel"/>
    <w:tmpl w:val="7640E78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b/>
        <w:bCs/>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94" w15:restartNumberingAfterBreak="0">
    <w:nsid w:val="6DCD0F22"/>
    <w:multiLevelType w:val="hybridMultilevel"/>
    <w:tmpl w:val="8C7AA7A4"/>
    <w:lvl w:ilvl="0" w:tplc="602AB882">
      <w:start w:val="1"/>
      <w:numFmt w:val="bullet"/>
      <w:lvlText w:val=""/>
      <w:lvlJc w:val="left"/>
      <w:pPr>
        <w:ind w:left="720" w:hanging="360"/>
      </w:pPr>
      <w:rPr>
        <w:rFonts w:ascii="Symbol" w:hAnsi="Symbol" w:hint="default"/>
      </w:rPr>
    </w:lvl>
    <w:lvl w:ilvl="1" w:tplc="D2BAB4BE" w:tentative="1">
      <w:start w:val="1"/>
      <w:numFmt w:val="bullet"/>
      <w:lvlText w:val="o"/>
      <w:lvlJc w:val="left"/>
      <w:pPr>
        <w:ind w:left="1440" w:hanging="360"/>
      </w:pPr>
      <w:rPr>
        <w:rFonts w:ascii="Courier New" w:hAnsi="Courier New" w:cs="Courier New" w:hint="default"/>
      </w:rPr>
    </w:lvl>
    <w:lvl w:ilvl="2" w:tplc="4A9A48F4" w:tentative="1">
      <w:start w:val="1"/>
      <w:numFmt w:val="bullet"/>
      <w:lvlText w:val=""/>
      <w:lvlJc w:val="left"/>
      <w:pPr>
        <w:ind w:left="2160" w:hanging="360"/>
      </w:pPr>
      <w:rPr>
        <w:rFonts w:ascii="Wingdings" w:hAnsi="Wingdings" w:hint="default"/>
      </w:rPr>
    </w:lvl>
    <w:lvl w:ilvl="3" w:tplc="487C1C4C" w:tentative="1">
      <w:start w:val="1"/>
      <w:numFmt w:val="bullet"/>
      <w:lvlText w:val=""/>
      <w:lvlJc w:val="left"/>
      <w:pPr>
        <w:ind w:left="2880" w:hanging="360"/>
      </w:pPr>
      <w:rPr>
        <w:rFonts w:ascii="Symbol" w:hAnsi="Symbol" w:hint="default"/>
      </w:rPr>
    </w:lvl>
    <w:lvl w:ilvl="4" w:tplc="E69EB8DC" w:tentative="1">
      <w:start w:val="1"/>
      <w:numFmt w:val="bullet"/>
      <w:lvlText w:val="o"/>
      <w:lvlJc w:val="left"/>
      <w:pPr>
        <w:ind w:left="3600" w:hanging="360"/>
      </w:pPr>
      <w:rPr>
        <w:rFonts w:ascii="Courier New" w:hAnsi="Courier New" w:cs="Courier New" w:hint="default"/>
      </w:rPr>
    </w:lvl>
    <w:lvl w:ilvl="5" w:tplc="5B94C526" w:tentative="1">
      <w:start w:val="1"/>
      <w:numFmt w:val="bullet"/>
      <w:lvlText w:val=""/>
      <w:lvlJc w:val="left"/>
      <w:pPr>
        <w:ind w:left="4320" w:hanging="360"/>
      </w:pPr>
      <w:rPr>
        <w:rFonts w:ascii="Wingdings" w:hAnsi="Wingdings" w:hint="default"/>
      </w:rPr>
    </w:lvl>
    <w:lvl w:ilvl="6" w:tplc="BCF6AE0A" w:tentative="1">
      <w:start w:val="1"/>
      <w:numFmt w:val="bullet"/>
      <w:lvlText w:val=""/>
      <w:lvlJc w:val="left"/>
      <w:pPr>
        <w:ind w:left="5040" w:hanging="360"/>
      </w:pPr>
      <w:rPr>
        <w:rFonts w:ascii="Symbol" w:hAnsi="Symbol" w:hint="default"/>
      </w:rPr>
    </w:lvl>
    <w:lvl w:ilvl="7" w:tplc="34A03B98" w:tentative="1">
      <w:start w:val="1"/>
      <w:numFmt w:val="bullet"/>
      <w:lvlText w:val="o"/>
      <w:lvlJc w:val="left"/>
      <w:pPr>
        <w:ind w:left="5760" w:hanging="360"/>
      </w:pPr>
      <w:rPr>
        <w:rFonts w:ascii="Courier New" w:hAnsi="Courier New" w:cs="Courier New" w:hint="default"/>
      </w:rPr>
    </w:lvl>
    <w:lvl w:ilvl="8" w:tplc="C7AED8C2" w:tentative="1">
      <w:start w:val="1"/>
      <w:numFmt w:val="bullet"/>
      <w:lvlText w:val=""/>
      <w:lvlJc w:val="left"/>
      <w:pPr>
        <w:ind w:left="6480" w:hanging="360"/>
      </w:pPr>
      <w:rPr>
        <w:rFonts w:ascii="Wingdings" w:hAnsi="Wingdings" w:hint="default"/>
      </w:rPr>
    </w:lvl>
  </w:abstractNum>
  <w:abstractNum w:abstractNumId="195" w15:restartNumberingAfterBreak="0">
    <w:nsid w:val="6DF469BC"/>
    <w:multiLevelType w:val="hybridMultilevel"/>
    <w:tmpl w:val="CC50C2D4"/>
    <w:lvl w:ilvl="0" w:tplc="69CC4F18">
      <w:start w:val="2"/>
      <w:numFmt w:val="bullet"/>
      <w:lvlText w:val="-"/>
      <w:lvlJc w:val="left"/>
      <w:pPr>
        <w:ind w:left="720" w:hanging="360"/>
      </w:pPr>
      <w:rPr>
        <w:rFonts w:ascii="Times New Roman" w:eastAsia="Times New Roman" w:hAnsi="Times New Roman" w:cs="Times New Roman" w:hint="default"/>
      </w:rPr>
    </w:lvl>
    <w:lvl w:ilvl="1" w:tplc="DE4E1586" w:tentative="1">
      <w:start w:val="1"/>
      <w:numFmt w:val="bullet"/>
      <w:lvlText w:val="o"/>
      <w:lvlJc w:val="left"/>
      <w:pPr>
        <w:ind w:left="1440" w:hanging="360"/>
      </w:pPr>
      <w:rPr>
        <w:rFonts w:ascii="Courier New" w:hAnsi="Courier New" w:cs="Courier New" w:hint="default"/>
      </w:rPr>
    </w:lvl>
    <w:lvl w:ilvl="2" w:tplc="3DFA0D7C" w:tentative="1">
      <w:start w:val="1"/>
      <w:numFmt w:val="bullet"/>
      <w:lvlText w:val=""/>
      <w:lvlJc w:val="left"/>
      <w:pPr>
        <w:ind w:left="2160" w:hanging="360"/>
      </w:pPr>
      <w:rPr>
        <w:rFonts w:ascii="Wingdings" w:hAnsi="Wingdings" w:hint="default"/>
      </w:rPr>
    </w:lvl>
    <w:lvl w:ilvl="3" w:tplc="B740ACD0" w:tentative="1">
      <w:start w:val="1"/>
      <w:numFmt w:val="bullet"/>
      <w:lvlText w:val=""/>
      <w:lvlJc w:val="left"/>
      <w:pPr>
        <w:ind w:left="2880" w:hanging="360"/>
      </w:pPr>
      <w:rPr>
        <w:rFonts w:ascii="Symbol" w:hAnsi="Symbol" w:hint="default"/>
      </w:rPr>
    </w:lvl>
    <w:lvl w:ilvl="4" w:tplc="20385A6C" w:tentative="1">
      <w:start w:val="1"/>
      <w:numFmt w:val="bullet"/>
      <w:lvlText w:val="o"/>
      <w:lvlJc w:val="left"/>
      <w:pPr>
        <w:ind w:left="3600" w:hanging="360"/>
      </w:pPr>
      <w:rPr>
        <w:rFonts w:ascii="Courier New" w:hAnsi="Courier New" w:cs="Courier New" w:hint="default"/>
      </w:rPr>
    </w:lvl>
    <w:lvl w:ilvl="5" w:tplc="6EBEE066" w:tentative="1">
      <w:start w:val="1"/>
      <w:numFmt w:val="bullet"/>
      <w:lvlText w:val=""/>
      <w:lvlJc w:val="left"/>
      <w:pPr>
        <w:ind w:left="4320" w:hanging="360"/>
      </w:pPr>
      <w:rPr>
        <w:rFonts w:ascii="Wingdings" w:hAnsi="Wingdings" w:hint="default"/>
      </w:rPr>
    </w:lvl>
    <w:lvl w:ilvl="6" w:tplc="596C0F90" w:tentative="1">
      <w:start w:val="1"/>
      <w:numFmt w:val="bullet"/>
      <w:lvlText w:val=""/>
      <w:lvlJc w:val="left"/>
      <w:pPr>
        <w:ind w:left="5040" w:hanging="360"/>
      </w:pPr>
      <w:rPr>
        <w:rFonts w:ascii="Symbol" w:hAnsi="Symbol" w:hint="default"/>
      </w:rPr>
    </w:lvl>
    <w:lvl w:ilvl="7" w:tplc="59BC0B3C" w:tentative="1">
      <w:start w:val="1"/>
      <w:numFmt w:val="bullet"/>
      <w:lvlText w:val="o"/>
      <w:lvlJc w:val="left"/>
      <w:pPr>
        <w:ind w:left="5760" w:hanging="360"/>
      </w:pPr>
      <w:rPr>
        <w:rFonts w:ascii="Courier New" w:hAnsi="Courier New" w:cs="Courier New" w:hint="default"/>
      </w:rPr>
    </w:lvl>
    <w:lvl w:ilvl="8" w:tplc="62606400" w:tentative="1">
      <w:start w:val="1"/>
      <w:numFmt w:val="bullet"/>
      <w:lvlText w:val=""/>
      <w:lvlJc w:val="left"/>
      <w:pPr>
        <w:ind w:left="6480" w:hanging="360"/>
      </w:pPr>
      <w:rPr>
        <w:rFonts w:ascii="Wingdings" w:hAnsi="Wingdings" w:hint="default"/>
      </w:rPr>
    </w:lvl>
  </w:abstractNum>
  <w:abstractNum w:abstractNumId="196" w15:restartNumberingAfterBreak="0">
    <w:nsid w:val="6E4B0E0A"/>
    <w:multiLevelType w:val="multilevel"/>
    <w:tmpl w:val="69FC461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72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E4B7E0A"/>
    <w:multiLevelType w:val="multilevel"/>
    <w:tmpl w:val="217CEB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8" w15:restartNumberingAfterBreak="0">
    <w:nsid w:val="6E940226"/>
    <w:multiLevelType w:val="hybridMultilevel"/>
    <w:tmpl w:val="0052AEBC"/>
    <w:lvl w:ilvl="0" w:tplc="4588EDD0">
      <w:start w:val="3"/>
      <w:numFmt w:val="bullet"/>
      <w:lvlText w:val="-"/>
      <w:lvlJc w:val="left"/>
      <w:pPr>
        <w:ind w:left="720" w:hanging="360"/>
      </w:pPr>
      <w:rPr>
        <w:rFonts w:ascii="Segoe UI Symbol" w:eastAsia="Calibri" w:hAnsi="Segoe UI Symbol" w:cs="Segoe UI Symbol" w:hint="default"/>
      </w:rPr>
    </w:lvl>
    <w:lvl w:ilvl="1" w:tplc="C5A87A1A" w:tentative="1">
      <w:start w:val="1"/>
      <w:numFmt w:val="bullet"/>
      <w:lvlText w:val="o"/>
      <w:lvlJc w:val="left"/>
      <w:pPr>
        <w:ind w:left="1440" w:hanging="360"/>
      </w:pPr>
      <w:rPr>
        <w:rFonts w:ascii="Courier New" w:hAnsi="Courier New" w:cs="Courier New" w:hint="default"/>
      </w:rPr>
    </w:lvl>
    <w:lvl w:ilvl="2" w:tplc="BBD2FC14" w:tentative="1">
      <w:start w:val="1"/>
      <w:numFmt w:val="bullet"/>
      <w:lvlText w:val=""/>
      <w:lvlJc w:val="left"/>
      <w:pPr>
        <w:ind w:left="2160" w:hanging="360"/>
      </w:pPr>
      <w:rPr>
        <w:rFonts w:ascii="Wingdings" w:hAnsi="Wingdings" w:hint="default"/>
      </w:rPr>
    </w:lvl>
    <w:lvl w:ilvl="3" w:tplc="16946C0C" w:tentative="1">
      <w:start w:val="1"/>
      <w:numFmt w:val="bullet"/>
      <w:lvlText w:val=""/>
      <w:lvlJc w:val="left"/>
      <w:pPr>
        <w:ind w:left="2880" w:hanging="360"/>
      </w:pPr>
      <w:rPr>
        <w:rFonts w:ascii="Symbol" w:hAnsi="Symbol" w:hint="default"/>
      </w:rPr>
    </w:lvl>
    <w:lvl w:ilvl="4" w:tplc="91329D14" w:tentative="1">
      <w:start w:val="1"/>
      <w:numFmt w:val="bullet"/>
      <w:lvlText w:val="o"/>
      <w:lvlJc w:val="left"/>
      <w:pPr>
        <w:ind w:left="3600" w:hanging="360"/>
      </w:pPr>
      <w:rPr>
        <w:rFonts w:ascii="Courier New" w:hAnsi="Courier New" w:cs="Courier New" w:hint="default"/>
      </w:rPr>
    </w:lvl>
    <w:lvl w:ilvl="5" w:tplc="B9406C18" w:tentative="1">
      <w:start w:val="1"/>
      <w:numFmt w:val="bullet"/>
      <w:lvlText w:val=""/>
      <w:lvlJc w:val="left"/>
      <w:pPr>
        <w:ind w:left="4320" w:hanging="360"/>
      </w:pPr>
      <w:rPr>
        <w:rFonts w:ascii="Wingdings" w:hAnsi="Wingdings" w:hint="default"/>
      </w:rPr>
    </w:lvl>
    <w:lvl w:ilvl="6" w:tplc="2BB669F4" w:tentative="1">
      <w:start w:val="1"/>
      <w:numFmt w:val="bullet"/>
      <w:lvlText w:val=""/>
      <w:lvlJc w:val="left"/>
      <w:pPr>
        <w:ind w:left="5040" w:hanging="360"/>
      </w:pPr>
      <w:rPr>
        <w:rFonts w:ascii="Symbol" w:hAnsi="Symbol" w:hint="default"/>
      </w:rPr>
    </w:lvl>
    <w:lvl w:ilvl="7" w:tplc="14206262" w:tentative="1">
      <w:start w:val="1"/>
      <w:numFmt w:val="bullet"/>
      <w:lvlText w:val="o"/>
      <w:lvlJc w:val="left"/>
      <w:pPr>
        <w:ind w:left="5760" w:hanging="360"/>
      </w:pPr>
      <w:rPr>
        <w:rFonts w:ascii="Courier New" w:hAnsi="Courier New" w:cs="Courier New" w:hint="default"/>
      </w:rPr>
    </w:lvl>
    <w:lvl w:ilvl="8" w:tplc="D9B6CED0" w:tentative="1">
      <w:start w:val="1"/>
      <w:numFmt w:val="bullet"/>
      <w:lvlText w:val=""/>
      <w:lvlJc w:val="left"/>
      <w:pPr>
        <w:ind w:left="6480" w:hanging="360"/>
      </w:pPr>
      <w:rPr>
        <w:rFonts w:ascii="Wingdings" w:hAnsi="Wingdings" w:hint="default"/>
      </w:rPr>
    </w:lvl>
  </w:abstractNum>
  <w:abstractNum w:abstractNumId="199" w15:restartNumberingAfterBreak="0">
    <w:nsid w:val="6EB26C9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ED41D34"/>
    <w:multiLevelType w:val="hybridMultilevel"/>
    <w:tmpl w:val="7CA2D60A"/>
    <w:lvl w:ilvl="0" w:tplc="BD24B354">
      <w:numFmt w:val="bullet"/>
      <w:lvlText w:val="-"/>
      <w:lvlJc w:val="left"/>
      <w:pPr>
        <w:ind w:left="720" w:hanging="360"/>
      </w:pPr>
      <w:rPr>
        <w:rFonts w:ascii="Times New Roman" w:eastAsia="Times New Roman" w:hAnsi="Times New Roman" w:cs="Times New Roman" w:hint="default"/>
      </w:rPr>
    </w:lvl>
    <w:lvl w:ilvl="1" w:tplc="0D5CF814" w:tentative="1">
      <w:start w:val="1"/>
      <w:numFmt w:val="bullet"/>
      <w:lvlText w:val="o"/>
      <w:lvlJc w:val="left"/>
      <w:pPr>
        <w:ind w:left="1440" w:hanging="360"/>
      </w:pPr>
      <w:rPr>
        <w:rFonts w:ascii="Courier New" w:hAnsi="Courier New" w:cs="Courier New" w:hint="default"/>
      </w:rPr>
    </w:lvl>
    <w:lvl w:ilvl="2" w:tplc="AB78C59C" w:tentative="1">
      <w:start w:val="1"/>
      <w:numFmt w:val="bullet"/>
      <w:lvlText w:val=""/>
      <w:lvlJc w:val="left"/>
      <w:pPr>
        <w:ind w:left="2160" w:hanging="360"/>
      </w:pPr>
      <w:rPr>
        <w:rFonts w:ascii="Wingdings" w:hAnsi="Wingdings" w:hint="default"/>
      </w:rPr>
    </w:lvl>
    <w:lvl w:ilvl="3" w:tplc="7416E94E" w:tentative="1">
      <w:start w:val="1"/>
      <w:numFmt w:val="bullet"/>
      <w:lvlText w:val=""/>
      <w:lvlJc w:val="left"/>
      <w:pPr>
        <w:ind w:left="2880" w:hanging="360"/>
      </w:pPr>
      <w:rPr>
        <w:rFonts w:ascii="Symbol" w:hAnsi="Symbol" w:hint="default"/>
      </w:rPr>
    </w:lvl>
    <w:lvl w:ilvl="4" w:tplc="0E2272A6" w:tentative="1">
      <w:start w:val="1"/>
      <w:numFmt w:val="bullet"/>
      <w:lvlText w:val="o"/>
      <w:lvlJc w:val="left"/>
      <w:pPr>
        <w:ind w:left="3600" w:hanging="360"/>
      </w:pPr>
      <w:rPr>
        <w:rFonts w:ascii="Courier New" w:hAnsi="Courier New" w:cs="Courier New" w:hint="default"/>
      </w:rPr>
    </w:lvl>
    <w:lvl w:ilvl="5" w:tplc="CC906DE6" w:tentative="1">
      <w:start w:val="1"/>
      <w:numFmt w:val="bullet"/>
      <w:lvlText w:val=""/>
      <w:lvlJc w:val="left"/>
      <w:pPr>
        <w:ind w:left="4320" w:hanging="360"/>
      </w:pPr>
      <w:rPr>
        <w:rFonts w:ascii="Wingdings" w:hAnsi="Wingdings" w:hint="default"/>
      </w:rPr>
    </w:lvl>
    <w:lvl w:ilvl="6" w:tplc="A1C466E2" w:tentative="1">
      <w:start w:val="1"/>
      <w:numFmt w:val="bullet"/>
      <w:lvlText w:val=""/>
      <w:lvlJc w:val="left"/>
      <w:pPr>
        <w:ind w:left="5040" w:hanging="360"/>
      </w:pPr>
      <w:rPr>
        <w:rFonts w:ascii="Symbol" w:hAnsi="Symbol" w:hint="default"/>
      </w:rPr>
    </w:lvl>
    <w:lvl w:ilvl="7" w:tplc="4AB2F0FE" w:tentative="1">
      <w:start w:val="1"/>
      <w:numFmt w:val="bullet"/>
      <w:lvlText w:val="o"/>
      <w:lvlJc w:val="left"/>
      <w:pPr>
        <w:ind w:left="5760" w:hanging="360"/>
      </w:pPr>
      <w:rPr>
        <w:rFonts w:ascii="Courier New" w:hAnsi="Courier New" w:cs="Courier New" w:hint="default"/>
      </w:rPr>
    </w:lvl>
    <w:lvl w:ilvl="8" w:tplc="08D66634" w:tentative="1">
      <w:start w:val="1"/>
      <w:numFmt w:val="bullet"/>
      <w:lvlText w:val=""/>
      <w:lvlJc w:val="left"/>
      <w:pPr>
        <w:ind w:left="6480" w:hanging="360"/>
      </w:pPr>
      <w:rPr>
        <w:rFonts w:ascii="Wingdings" w:hAnsi="Wingdings" w:hint="default"/>
      </w:rPr>
    </w:lvl>
  </w:abstractNum>
  <w:abstractNum w:abstractNumId="201" w15:restartNumberingAfterBreak="0">
    <w:nsid w:val="6F277D7A"/>
    <w:multiLevelType w:val="multilevel"/>
    <w:tmpl w:val="123CE072"/>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2" w15:restartNumberingAfterBreak="0">
    <w:nsid w:val="6F3526CF"/>
    <w:multiLevelType w:val="hybridMultilevel"/>
    <w:tmpl w:val="FDAA0DAE"/>
    <w:lvl w:ilvl="0" w:tplc="3126FF58">
      <w:start w:val="1"/>
      <w:numFmt w:val="bullet"/>
      <w:lvlText w:val="-"/>
      <w:lvlJc w:val="left"/>
      <w:pPr>
        <w:ind w:left="720" w:hanging="360"/>
      </w:pPr>
      <w:rPr>
        <w:rFonts w:ascii="Calibri" w:hAnsi="Calibri" w:hint="default"/>
      </w:rPr>
    </w:lvl>
    <w:lvl w:ilvl="1" w:tplc="6E0056FC" w:tentative="1">
      <w:start w:val="1"/>
      <w:numFmt w:val="bullet"/>
      <w:lvlText w:val="o"/>
      <w:lvlJc w:val="left"/>
      <w:pPr>
        <w:ind w:left="1440" w:hanging="360"/>
      </w:pPr>
      <w:rPr>
        <w:rFonts w:ascii="Courier New" w:hAnsi="Courier New" w:cs="Courier New" w:hint="default"/>
      </w:rPr>
    </w:lvl>
    <w:lvl w:ilvl="2" w:tplc="68C4852A" w:tentative="1">
      <w:start w:val="1"/>
      <w:numFmt w:val="bullet"/>
      <w:lvlText w:val=""/>
      <w:lvlJc w:val="left"/>
      <w:pPr>
        <w:ind w:left="2160" w:hanging="360"/>
      </w:pPr>
      <w:rPr>
        <w:rFonts w:ascii="Wingdings" w:hAnsi="Wingdings" w:hint="default"/>
      </w:rPr>
    </w:lvl>
    <w:lvl w:ilvl="3" w:tplc="1FBCD2F8" w:tentative="1">
      <w:start w:val="1"/>
      <w:numFmt w:val="bullet"/>
      <w:lvlText w:val=""/>
      <w:lvlJc w:val="left"/>
      <w:pPr>
        <w:ind w:left="2880" w:hanging="360"/>
      </w:pPr>
      <w:rPr>
        <w:rFonts w:ascii="Symbol" w:hAnsi="Symbol" w:hint="default"/>
      </w:rPr>
    </w:lvl>
    <w:lvl w:ilvl="4" w:tplc="2D00B0D2" w:tentative="1">
      <w:start w:val="1"/>
      <w:numFmt w:val="bullet"/>
      <w:lvlText w:val="o"/>
      <w:lvlJc w:val="left"/>
      <w:pPr>
        <w:ind w:left="3600" w:hanging="360"/>
      </w:pPr>
      <w:rPr>
        <w:rFonts w:ascii="Courier New" w:hAnsi="Courier New" w:cs="Courier New" w:hint="default"/>
      </w:rPr>
    </w:lvl>
    <w:lvl w:ilvl="5" w:tplc="1C2E77B4" w:tentative="1">
      <w:start w:val="1"/>
      <w:numFmt w:val="bullet"/>
      <w:lvlText w:val=""/>
      <w:lvlJc w:val="left"/>
      <w:pPr>
        <w:ind w:left="4320" w:hanging="360"/>
      </w:pPr>
      <w:rPr>
        <w:rFonts w:ascii="Wingdings" w:hAnsi="Wingdings" w:hint="default"/>
      </w:rPr>
    </w:lvl>
    <w:lvl w:ilvl="6" w:tplc="C1BE3554" w:tentative="1">
      <w:start w:val="1"/>
      <w:numFmt w:val="bullet"/>
      <w:lvlText w:val=""/>
      <w:lvlJc w:val="left"/>
      <w:pPr>
        <w:ind w:left="5040" w:hanging="360"/>
      </w:pPr>
      <w:rPr>
        <w:rFonts w:ascii="Symbol" w:hAnsi="Symbol" w:hint="default"/>
      </w:rPr>
    </w:lvl>
    <w:lvl w:ilvl="7" w:tplc="56ECF530" w:tentative="1">
      <w:start w:val="1"/>
      <w:numFmt w:val="bullet"/>
      <w:lvlText w:val="o"/>
      <w:lvlJc w:val="left"/>
      <w:pPr>
        <w:ind w:left="5760" w:hanging="360"/>
      </w:pPr>
      <w:rPr>
        <w:rFonts w:ascii="Courier New" w:hAnsi="Courier New" w:cs="Courier New" w:hint="default"/>
      </w:rPr>
    </w:lvl>
    <w:lvl w:ilvl="8" w:tplc="C2F23CEA" w:tentative="1">
      <w:start w:val="1"/>
      <w:numFmt w:val="bullet"/>
      <w:lvlText w:val=""/>
      <w:lvlJc w:val="left"/>
      <w:pPr>
        <w:ind w:left="6480" w:hanging="360"/>
      </w:pPr>
      <w:rPr>
        <w:rFonts w:ascii="Wingdings" w:hAnsi="Wingdings" w:hint="default"/>
      </w:rPr>
    </w:lvl>
  </w:abstractNum>
  <w:abstractNum w:abstractNumId="203" w15:restartNumberingAfterBreak="0">
    <w:nsid w:val="6F875352"/>
    <w:multiLevelType w:val="multilevel"/>
    <w:tmpl w:val="C734AF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B946D5"/>
    <w:multiLevelType w:val="hybridMultilevel"/>
    <w:tmpl w:val="E996CD90"/>
    <w:lvl w:ilvl="0" w:tplc="10862430">
      <w:start w:val="1"/>
      <w:numFmt w:val="bullet"/>
      <w:lvlText w:val="–"/>
      <w:lvlJc w:val="left"/>
      <w:pPr>
        <w:ind w:left="360" w:hanging="360"/>
      </w:pPr>
      <w:rPr>
        <w:rFonts w:ascii="Times New Roman" w:hAnsi="Times New Roman" w:cs="Times New Roman" w:hint="default"/>
      </w:rPr>
    </w:lvl>
    <w:lvl w:ilvl="1" w:tplc="935A81A6" w:tentative="1">
      <w:start w:val="1"/>
      <w:numFmt w:val="bullet"/>
      <w:lvlText w:val="o"/>
      <w:lvlJc w:val="left"/>
      <w:pPr>
        <w:ind w:left="1080" w:hanging="360"/>
      </w:pPr>
      <w:rPr>
        <w:rFonts w:ascii="Courier New" w:hAnsi="Courier New" w:cs="Courier New" w:hint="default"/>
      </w:rPr>
    </w:lvl>
    <w:lvl w:ilvl="2" w:tplc="3BBE4104" w:tentative="1">
      <w:start w:val="1"/>
      <w:numFmt w:val="bullet"/>
      <w:lvlText w:val=""/>
      <w:lvlJc w:val="left"/>
      <w:pPr>
        <w:ind w:left="1800" w:hanging="360"/>
      </w:pPr>
      <w:rPr>
        <w:rFonts w:ascii="Wingdings" w:hAnsi="Wingdings" w:hint="default"/>
      </w:rPr>
    </w:lvl>
    <w:lvl w:ilvl="3" w:tplc="BFF6DB74" w:tentative="1">
      <w:start w:val="1"/>
      <w:numFmt w:val="bullet"/>
      <w:lvlText w:val=""/>
      <w:lvlJc w:val="left"/>
      <w:pPr>
        <w:ind w:left="2520" w:hanging="360"/>
      </w:pPr>
      <w:rPr>
        <w:rFonts w:ascii="Symbol" w:hAnsi="Symbol" w:hint="default"/>
      </w:rPr>
    </w:lvl>
    <w:lvl w:ilvl="4" w:tplc="A32430F0" w:tentative="1">
      <w:start w:val="1"/>
      <w:numFmt w:val="bullet"/>
      <w:lvlText w:val="o"/>
      <w:lvlJc w:val="left"/>
      <w:pPr>
        <w:ind w:left="3240" w:hanging="360"/>
      </w:pPr>
      <w:rPr>
        <w:rFonts w:ascii="Courier New" w:hAnsi="Courier New" w:cs="Courier New" w:hint="default"/>
      </w:rPr>
    </w:lvl>
    <w:lvl w:ilvl="5" w:tplc="D0D29344" w:tentative="1">
      <w:start w:val="1"/>
      <w:numFmt w:val="bullet"/>
      <w:lvlText w:val=""/>
      <w:lvlJc w:val="left"/>
      <w:pPr>
        <w:ind w:left="3960" w:hanging="360"/>
      </w:pPr>
      <w:rPr>
        <w:rFonts w:ascii="Wingdings" w:hAnsi="Wingdings" w:hint="default"/>
      </w:rPr>
    </w:lvl>
    <w:lvl w:ilvl="6" w:tplc="13E0EDA4" w:tentative="1">
      <w:start w:val="1"/>
      <w:numFmt w:val="bullet"/>
      <w:lvlText w:val=""/>
      <w:lvlJc w:val="left"/>
      <w:pPr>
        <w:ind w:left="4680" w:hanging="360"/>
      </w:pPr>
      <w:rPr>
        <w:rFonts w:ascii="Symbol" w:hAnsi="Symbol" w:hint="default"/>
      </w:rPr>
    </w:lvl>
    <w:lvl w:ilvl="7" w:tplc="4B648B24" w:tentative="1">
      <w:start w:val="1"/>
      <w:numFmt w:val="bullet"/>
      <w:lvlText w:val="o"/>
      <w:lvlJc w:val="left"/>
      <w:pPr>
        <w:ind w:left="5400" w:hanging="360"/>
      </w:pPr>
      <w:rPr>
        <w:rFonts w:ascii="Courier New" w:hAnsi="Courier New" w:cs="Courier New" w:hint="default"/>
      </w:rPr>
    </w:lvl>
    <w:lvl w:ilvl="8" w:tplc="5EC66D3A" w:tentative="1">
      <w:start w:val="1"/>
      <w:numFmt w:val="bullet"/>
      <w:lvlText w:val=""/>
      <w:lvlJc w:val="left"/>
      <w:pPr>
        <w:ind w:left="6120" w:hanging="360"/>
      </w:pPr>
      <w:rPr>
        <w:rFonts w:ascii="Wingdings" w:hAnsi="Wingdings" w:hint="default"/>
      </w:rPr>
    </w:lvl>
  </w:abstractNum>
  <w:abstractNum w:abstractNumId="205" w15:restartNumberingAfterBreak="0">
    <w:nsid w:val="72515969"/>
    <w:multiLevelType w:val="multilevel"/>
    <w:tmpl w:val="B05EB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734A31BF"/>
    <w:multiLevelType w:val="hybridMultilevel"/>
    <w:tmpl w:val="0A3C0768"/>
    <w:lvl w:ilvl="0" w:tplc="4F46A15A">
      <w:start w:val="1"/>
      <w:numFmt w:val="bullet"/>
      <w:lvlText w:val=""/>
      <w:lvlJc w:val="left"/>
      <w:pPr>
        <w:ind w:left="720" w:hanging="360"/>
      </w:pPr>
      <w:rPr>
        <w:rFonts w:ascii="Wingdings" w:hAnsi="Wingdings" w:hint="default"/>
      </w:rPr>
    </w:lvl>
    <w:lvl w:ilvl="1" w:tplc="7794D6D0" w:tentative="1">
      <w:start w:val="1"/>
      <w:numFmt w:val="bullet"/>
      <w:lvlText w:val="o"/>
      <w:lvlJc w:val="left"/>
      <w:pPr>
        <w:ind w:left="1440" w:hanging="360"/>
      </w:pPr>
      <w:rPr>
        <w:rFonts w:ascii="Courier New" w:hAnsi="Courier New" w:cs="Courier New" w:hint="default"/>
      </w:rPr>
    </w:lvl>
    <w:lvl w:ilvl="2" w:tplc="8230F1A0" w:tentative="1">
      <w:start w:val="1"/>
      <w:numFmt w:val="bullet"/>
      <w:lvlText w:val=""/>
      <w:lvlJc w:val="left"/>
      <w:pPr>
        <w:ind w:left="2160" w:hanging="360"/>
      </w:pPr>
      <w:rPr>
        <w:rFonts w:ascii="Wingdings" w:hAnsi="Wingdings" w:hint="default"/>
      </w:rPr>
    </w:lvl>
    <w:lvl w:ilvl="3" w:tplc="2962178E" w:tentative="1">
      <w:start w:val="1"/>
      <w:numFmt w:val="bullet"/>
      <w:lvlText w:val=""/>
      <w:lvlJc w:val="left"/>
      <w:pPr>
        <w:ind w:left="2880" w:hanging="360"/>
      </w:pPr>
      <w:rPr>
        <w:rFonts w:ascii="Symbol" w:hAnsi="Symbol" w:hint="default"/>
      </w:rPr>
    </w:lvl>
    <w:lvl w:ilvl="4" w:tplc="18643C0A" w:tentative="1">
      <w:start w:val="1"/>
      <w:numFmt w:val="bullet"/>
      <w:lvlText w:val="o"/>
      <w:lvlJc w:val="left"/>
      <w:pPr>
        <w:ind w:left="3600" w:hanging="360"/>
      </w:pPr>
      <w:rPr>
        <w:rFonts w:ascii="Courier New" w:hAnsi="Courier New" w:cs="Courier New" w:hint="default"/>
      </w:rPr>
    </w:lvl>
    <w:lvl w:ilvl="5" w:tplc="D8E4318C" w:tentative="1">
      <w:start w:val="1"/>
      <w:numFmt w:val="bullet"/>
      <w:lvlText w:val=""/>
      <w:lvlJc w:val="left"/>
      <w:pPr>
        <w:ind w:left="4320" w:hanging="360"/>
      </w:pPr>
      <w:rPr>
        <w:rFonts w:ascii="Wingdings" w:hAnsi="Wingdings" w:hint="default"/>
      </w:rPr>
    </w:lvl>
    <w:lvl w:ilvl="6" w:tplc="14426954" w:tentative="1">
      <w:start w:val="1"/>
      <w:numFmt w:val="bullet"/>
      <w:lvlText w:val=""/>
      <w:lvlJc w:val="left"/>
      <w:pPr>
        <w:ind w:left="5040" w:hanging="360"/>
      </w:pPr>
      <w:rPr>
        <w:rFonts w:ascii="Symbol" w:hAnsi="Symbol" w:hint="default"/>
      </w:rPr>
    </w:lvl>
    <w:lvl w:ilvl="7" w:tplc="344A6EB8" w:tentative="1">
      <w:start w:val="1"/>
      <w:numFmt w:val="bullet"/>
      <w:lvlText w:val="o"/>
      <w:lvlJc w:val="left"/>
      <w:pPr>
        <w:ind w:left="5760" w:hanging="360"/>
      </w:pPr>
      <w:rPr>
        <w:rFonts w:ascii="Courier New" w:hAnsi="Courier New" w:cs="Courier New" w:hint="default"/>
      </w:rPr>
    </w:lvl>
    <w:lvl w:ilvl="8" w:tplc="FE9E88AA" w:tentative="1">
      <w:start w:val="1"/>
      <w:numFmt w:val="bullet"/>
      <w:lvlText w:val=""/>
      <w:lvlJc w:val="left"/>
      <w:pPr>
        <w:ind w:left="6480" w:hanging="360"/>
      </w:pPr>
      <w:rPr>
        <w:rFonts w:ascii="Wingdings" w:hAnsi="Wingdings" w:hint="default"/>
      </w:rPr>
    </w:lvl>
  </w:abstractNum>
  <w:abstractNum w:abstractNumId="207" w15:restartNumberingAfterBreak="0">
    <w:nsid w:val="734F65CF"/>
    <w:multiLevelType w:val="multilevel"/>
    <w:tmpl w:val="DFA8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4A35F27"/>
    <w:multiLevelType w:val="hybridMultilevel"/>
    <w:tmpl w:val="29E0CE3C"/>
    <w:lvl w:ilvl="0" w:tplc="2D544F2A">
      <w:start w:val="1"/>
      <w:numFmt w:val="bullet"/>
      <w:lvlText w:val="o"/>
      <w:lvlJc w:val="left"/>
      <w:pPr>
        <w:ind w:left="1080" w:hanging="360"/>
      </w:pPr>
      <w:rPr>
        <w:rFonts w:ascii="Courier New" w:hAnsi="Courier New" w:cs="Courier New" w:hint="default"/>
      </w:rPr>
    </w:lvl>
    <w:lvl w:ilvl="1" w:tplc="83667568" w:tentative="1">
      <w:start w:val="1"/>
      <w:numFmt w:val="bullet"/>
      <w:lvlText w:val="o"/>
      <w:lvlJc w:val="left"/>
      <w:pPr>
        <w:ind w:left="1800" w:hanging="360"/>
      </w:pPr>
      <w:rPr>
        <w:rFonts w:ascii="Courier New" w:hAnsi="Courier New" w:cs="Courier New" w:hint="default"/>
      </w:rPr>
    </w:lvl>
    <w:lvl w:ilvl="2" w:tplc="BC28BC10" w:tentative="1">
      <w:start w:val="1"/>
      <w:numFmt w:val="bullet"/>
      <w:lvlText w:val=""/>
      <w:lvlJc w:val="left"/>
      <w:pPr>
        <w:ind w:left="2520" w:hanging="360"/>
      </w:pPr>
      <w:rPr>
        <w:rFonts w:ascii="Wingdings" w:hAnsi="Wingdings" w:hint="default"/>
      </w:rPr>
    </w:lvl>
    <w:lvl w:ilvl="3" w:tplc="5ECAF170" w:tentative="1">
      <w:start w:val="1"/>
      <w:numFmt w:val="bullet"/>
      <w:lvlText w:val=""/>
      <w:lvlJc w:val="left"/>
      <w:pPr>
        <w:ind w:left="3240" w:hanging="360"/>
      </w:pPr>
      <w:rPr>
        <w:rFonts w:ascii="Symbol" w:hAnsi="Symbol" w:hint="default"/>
      </w:rPr>
    </w:lvl>
    <w:lvl w:ilvl="4" w:tplc="FA985830" w:tentative="1">
      <w:start w:val="1"/>
      <w:numFmt w:val="bullet"/>
      <w:lvlText w:val="o"/>
      <w:lvlJc w:val="left"/>
      <w:pPr>
        <w:ind w:left="3960" w:hanging="360"/>
      </w:pPr>
      <w:rPr>
        <w:rFonts w:ascii="Courier New" w:hAnsi="Courier New" w:cs="Courier New" w:hint="default"/>
      </w:rPr>
    </w:lvl>
    <w:lvl w:ilvl="5" w:tplc="A21EFAA8" w:tentative="1">
      <w:start w:val="1"/>
      <w:numFmt w:val="bullet"/>
      <w:lvlText w:val=""/>
      <w:lvlJc w:val="left"/>
      <w:pPr>
        <w:ind w:left="4680" w:hanging="360"/>
      </w:pPr>
      <w:rPr>
        <w:rFonts w:ascii="Wingdings" w:hAnsi="Wingdings" w:hint="default"/>
      </w:rPr>
    </w:lvl>
    <w:lvl w:ilvl="6" w:tplc="BC1059FE" w:tentative="1">
      <w:start w:val="1"/>
      <w:numFmt w:val="bullet"/>
      <w:lvlText w:val=""/>
      <w:lvlJc w:val="left"/>
      <w:pPr>
        <w:ind w:left="5400" w:hanging="360"/>
      </w:pPr>
      <w:rPr>
        <w:rFonts w:ascii="Symbol" w:hAnsi="Symbol" w:hint="default"/>
      </w:rPr>
    </w:lvl>
    <w:lvl w:ilvl="7" w:tplc="CBD669BC" w:tentative="1">
      <w:start w:val="1"/>
      <w:numFmt w:val="bullet"/>
      <w:lvlText w:val="o"/>
      <w:lvlJc w:val="left"/>
      <w:pPr>
        <w:ind w:left="6120" w:hanging="360"/>
      </w:pPr>
      <w:rPr>
        <w:rFonts w:ascii="Courier New" w:hAnsi="Courier New" w:cs="Courier New" w:hint="default"/>
      </w:rPr>
    </w:lvl>
    <w:lvl w:ilvl="8" w:tplc="A72EFF48" w:tentative="1">
      <w:start w:val="1"/>
      <w:numFmt w:val="bullet"/>
      <w:lvlText w:val=""/>
      <w:lvlJc w:val="left"/>
      <w:pPr>
        <w:ind w:left="6840" w:hanging="360"/>
      </w:pPr>
      <w:rPr>
        <w:rFonts w:ascii="Wingdings" w:hAnsi="Wingdings" w:hint="default"/>
      </w:rPr>
    </w:lvl>
  </w:abstractNum>
  <w:abstractNum w:abstractNumId="209" w15:restartNumberingAfterBreak="0">
    <w:nsid w:val="76614A70"/>
    <w:multiLevelType w:val="multilevel"/>
    <w:tmpl w:val="F4F4C9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6783DD7"/>
    <w:multiLevelType w:val="multilevel"/>
    <w:tmpl w:val="4C7C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6CB16AB"/>
    <w:multiLevelType w:val="multilevel"/>
    <w:tmpl w:val="83B8A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996"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2" w15:restartNumberingAfterBreak="0">
    <w:nsid w:val="771C4786"/>
    <w:multiLevelType w:val="hybridMultilevel"/>
    <w:tmpl w:val="4926AF00"/>
    <w:lvl w:ilvl="0" w:tplc="2EC2558A">
      <w:start w:val="1"/>
      <w:numFmt w:val="bullet"/>
      <w:lvlText w:val="-"/>
      <w:lvlJc w:val="left"/>
      <w:pPr>
        <w:ind w:left="360" w:hanging="360"/>
      </w:pPr>
      <w:rPr>
        <w:rFonts w:ascii="Times New Roman" w:eastAsia="Times New Roman" w:hAnsi="Times New Roman" w:cs="Times New Roman" w:hint="default"/>
      </w:rPr>
    </w:lvl>
    <w:lvl w:ilvl="1" w:tplc="F45869E6" w:tentative="1">
      <w:start w:val="1"/>
      <w:numFmt w:val="bullet"/>
      <w:lvlText w:val="o"/>
      <w:lvlJc w:val="left"/>
      <w:pPr>
        <w:ind w:left="1080" w:hanging="360"/>
      </w:pPr>
      <w:rPr>
        <w:rFonts w:ascii="Courier New" w:hAnsi="Courier New" w:cs="Courier New" w:hint="default"/>
      </w:rPr>
    </w:lvl>
    <w:lvl w:ilvl="2" w:tplc="258A63D0" w:tentative="1">
      <w:start w:val="1"/>
      <w:numFmt w:val="bullet"/>
      <w:lvlText w:val=""/>
      <w:lvlJc w:val="left"/>
      <w:pPr>
        <w:ind w:left="1800" w:hanging="360"/>
      </w:pPr>
      <w:rPr>
        <w:rFonts w:ascii="Wingdings" w:hAnsi="Wingdings" w:hint="default"/>
      </w:rPr>
    </w:lvl>
    <w:lvl w:ilvl="3" w:tplc="B4C21C7E" w:tentative="1">
      <w:start w:val="1"/>
      <w:numFmt w:val="bullet"/>
      <w:lvlText w:val=""/>
      <w:lvlJc w:val="left"/>
      <w:pPr>
        <w:ind w:left="2520" w:hanging="360"/>
      </w:pPr>
      <w:rPr>
        <w:rFonts w:ascii="Symbol" w:hAnsi="Symbol" w:hint="default"/>
      </w:rPr>
    </w:lvl>
    <w:lvl w:ilvl="4" w:tplc="823470E8" w:tentative="1">
      <w:start w:val="1"/>
      <w:numFmt w:val="bullet"/>
      <w:lvlText w:val="o"/>
      <w:lvlJc w:val="left"/>
      <w:pPr>
        <w:ind w:left="3240" w:hanging="360"/>
      </w:pPr>
      <w:rPr>
        <w:rFonts w:ascii="Courier New" w:hAnsi="Courier New" w:cs="Courier New" w:hint="default"/>
      </w:rPr>
    </w:lvl>
    <w:lvl w:ilvl="5" w:tplc="F0241DA4" w:tentative="1">
      <w:start w:val="1"/>
      <w:numFmt w:val="bullet"/>
      <w:lvlText w:val=""/>
      <w:lvlJc w:val="left"/>
      <w:pPr>
        <w:ind w:left="3960" w:hanging="360"/>
      </w:pPr>
      <w:rPr>
        <w:rFonts w:ascii="Wingdings" w:hAnsi="Wingdings" w:hint="default"/>
      </w:rPr>
    </w:lvl>
    <w:lvl w:ilvl="6" w:tplc="8060456A" w:tentative="1">
      <w:start w:val="1"/>
      <w:numFmt w:val="bullet"/>
      <w:lvlText w:val=""/>
      <w:lvlJc w:val="left"/>
      <w:pPr>
        <w:ind w:left="4680" w:hanging="360"/>
      </w:pPr>
      <w:rPr>
        <w:rFonts w:ascii="Symbol" w:hAnsi="Symbol" w:hint="default"/>
      </w:rPr>
    </w:lvl>
    <w:lvl w:ilvl="7" w:tplc="8AC63158" w:tentative="1">
      <w:start w:val="1"/>
      <w:numFmt w:val="bullet"/>
      <w:lvlText w:val="o"/>
      <w:lvlJc w:val="left"/>
      <w:pPr>
        <w:ind w:left="5400" w:hanging="360"/>
      </w:pPr>
      <w:rPr>
        <w:rFonts w:ascii="Courier New" w:hAnsi="Courier New" w:cs="Courier New" w:hint="default"/>
      </w:rPr>
    </w:lvl>
    <w:lvl w:ilvl="8" w:tplc="8A80E65A" w:tentative="1">
      <w:start w:val="1"/>
      <w:numFmt w:val="bullet"/>
      <w:lvlText w:val=""/>
      <w:lvlJc w:val="left"/>
      <w:pPr>
        <w:ind w:left="6120" w:hanging="360"/>
      </w:pPr>
      <w:rPr>
        <w:rFonts w:ascii="Wingdings" w:hAnsi="Wingdings" w:hint="default"/>
      </w:rPr>
    </w:lvl>
  </w:abstractNum>
  <w:abstractNum w:abstractNumId="213" w15:restartNumberingAfterBreak="0">
    <w:nsid w:val="78C57D1D"/>
    <w:multiLevelType w:val="hybridMultilevel"/>
    <w:tmpl w:val="3F842536"/>
    <w:lvl w:ilvl="0" w:tplc="280C0009">
      <w:start w:val="1"/>
      <w:numFmt w:val="bullet"/>
      <w:lvlText w:val=""/>
      <w:lvlJc w:val="left"/>
      <w:pPr>
        <w:ind w:left="720" w:hanging="360"/>
      </w:pPr>
      <w:rPr>
        <w:rFonts w:ascii="Wingdings" w:hAnsi="Wingding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214" w15:restartNumberingAfterBreak="0">
    <w:nsid w:val="78C61FA2"/>
    <w:multiLevelType w:val="multilevel"/>
    <w:tmpl w:val="E062C4DE"/>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5" w15:restartNumberingAfterBreak="0">
    <w:nsid w:val="791D17D3"/>
    <w:multiLevelType w:val="multilevel"/>
    <w:tmpl w:val="4C24645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981200B"/>
    <w:multiLevelType w:val="hybridMultilevel"/>
    <w:tmpl w:val="1CAE9ACA"/>
    <w:lvl w:ilvl="0" w:tplc="98521FF8">
      <w:start w:val="1"/>
      <w:numFmt w:val="bullet"/>
      <w:lvlText w:val=""/>
      <w:lvlJc w:val="left"/>
      <w:pPr>
        <w:ind w:left="845" w:hanging="360"/>
      </w:pPr>
      <w:rPr>
        <w:rFonts w:ascii="Wingdings" w:hAnsi="Wingdings" w:hint="default"/>
      </w:rPr>
    </w:lvl>
    <w:lvl w:ilvl="1" w:tplc="DB306B0A" w:tentative="1">
      <w:start w:val="1"/>
      <w:numFmt w:val="bullet"/>
      <w:lvlText w:val="o"/>
      <w:lvlJc w:val="left"/>
      <w:pPr>
        <w:ind w:left="1565" w:hanging="360"/>
      </w:pPr>
      <w:rPr>
        <w:rFonts w:ascii="Courier New" w:hAnsi="Courier New" w:cs="Courier New" w:hint="default"/>
      </w:rPr>
    </w:lvl>
    <w:lvl w:ilvl="2" w:tplc="D0DAB208" w:tentative="1">
      <w:start w:val="1"/>
      <w:numFmt w:val="bullet"/>
      <w:lvlText w:val=""/>
      <w:lvlJc w:val="left"/>
      <w:pPr>
        <w:ind w:left="2285" w:hanging="360"/>
      </w:pPr>
      <w:rPr>
        <w:rFonts w:ascii="Wingdings" w:hAnsi="Wingdings" w:hint="default"/>
      </w:rPr>
    </w:lvl>
    <w:lvl w:ilvl="3" w:tplc="6920830A" w:tentative="1">
      <w:start w:val="1"/>
      <w:numFmt w:val="bullet"/>
      <w:lvlText w:val=""/>
      <w:lvlJc w:val="left"/>
      <w:pPr>
        <w:ind w:left="3005" w:hanging="360"/>
      </w:pPr>
      <w:rPr>
        <w:rFonts w:ascii="Symbol" w:hAnsi="Symbol" w:hint="default"/>
      </w:rPr>
    </w:lvl>
    <w:lvl w:ilvl="4" w:tplc="A42CBB16" w:tentative="1">
      <w:start w:val="1"/>
      <w:numFmt w:val="bullet"/>
      <w:lvlText w:val="o"/>
      <w:lvlJc w:val="left"/>
      <w:pPr>
        <w:ind w:left="3725" w:hanging="360"/>
      </w:pPr>
      <w:rPr>
        <w:rFonts w:ascii="Courier New" w:hAnsi="Courier New" w:cs="Courier New" w:hint="default"/>
      </w:rPr>
    </w:lvl>
    <w:lvl w:ilvl="5" w:tplc="D29A078E" w:tentative="1">
      <w:start w:val="1"/>
      <w:numFmt w:val="bullet"/>
      <w:lvlText w:val=""/>
      <w:lvlJc w:val="left"/>
      <w:pPr>
        <w:ind w:left="4445" w:hanging="360"/>
      </w:pPr>
      <w:rPr>
        <w:rFonts w:ascii="Wingdings" w:hAnsi="Wingdings" w:hint="default"/>
      </w:rPr>
    </w:lvl>
    <w:lvl w:ilvl="6" w:tplc="38022DE0" w:tentative="1">
      <w:start w:val="1"/>
      <w:numFmt w:val="bullet"/>
      <w:lvlText w:val=""/>
      <w:lvlJc w:val="left"/>
      <w:pPr>
        <w:ind w:left="5165" w:hanging="360"/>
      </w:pPr>
      <w:rPr>
        <w:rFonts w:ascii="Symbol" w:hAnsi="Symbol" w:hint="default"/>
      </w:rPr>
    </w:lvl>
    <w:lvl w:ilvl="7" w:tplc="64D491DC" w:tentative="1">
      <w:start w:val="1"/>
      <w:numFmt w:val="bullet"/>
      <w:lvlText w:val="o"/>
      <w:lvlJc w:val="left"/>
      <w:pPr>
        <w:ind w:left="5885" w:hanging="360"/>
      </w:pPr>
      <w:rPr>
        <w:rFonts w:ascii="Courier New" w:hAnsi="Courier New" w:cs="Courier New" w:hint="default"/>
      </w:rPr>
    </w:lvl>
    <w:lvl w:ilvl="8" w:tplc="0B3C442E" w:tentative="1">
      <w:start w:val="1"/>
      <w:numFmt w:val="bullet"/>
      <w:lvlText w:val=""/>
      <w:lvlJc w:val="left"/>
      <w:pPr>
        <w:ind w:left="6605" w:hanging="360"/>
      </w:pPr>
      <w:rPr>
        <w:rFonts w:ascii="Wingdings" w:hAnsi="Wingdings" w:hint="default"/>
      </w:rPr>
    </w:lvl>
  </w:abstractNum>
  <w:abstractNum w:abstractNumId="217" w15:restartNumberingAfterBreak="0">
    <w:nsid w:val="7A5E2CE6"/>
    <w:multiLevelType w:val="hybridMultilevel"/>
    <w:tmpl w:val="7450A60E"/>
    <w:lvl w:ilvl="0" w:tplc="865AAC0A">
      <w:start w:val="1"/>
      <w:numFmt w:val="bullet"/>
      <w:lvlText w:val=""/>
      <w:lvlJc w:val="left"/>
      <w:pPr>
        <w:ind w:left="720" w:hanging="360"/>
      </w:pPr>
      <w:rPr>
        <w:rFonts w:ascii="Wingdings" w:hAnsi="Wingdings" w:hint="default"/>
      </w:rPr>
    </w:lvl>
    <w:lvl w:ilvl="1" w:tplc="6D74978A" w:tentative="1">
      <w:start w:val="1"/>
      <w:numFmt w:val="bullet"/>
      <w:lvlText w:val="o"/>
      <w:lvlJc w:val="left"/>
      <w:pPr>
        <w:ind w:left="1440" w:hanging="360"/>
      </w:pPr>
      <w:rPr>
        <w:rFonts w:ascii="Courier New" w:hAnsi="Courier New" w:cs="Courier New" w:hint="default"/>
      </w:rPr>
    </w:lvl>
    <w:lvl w:ilvl="2" w:tplc="100CF7D6" w:tentative="1">
      <w:start w:val="1"/>
      <w:numFmt w:val="bullet"/>
      <w:lvlText w:val=""/>
      <w:lvlJc w:val="left"/>
      <w:pPr>
        <w:ind w:left="2160" w:hanging="360"/>
      </w:pPr>
      <w:rPr>
        <w:rFonts w:ascii="Wingdings" w:hAnsi="Wingdings" w:hint="default"/>
      </w:rPr>
    </w:lvl>
    <w:lvl w:ilvl="3" w:tplc="556CA3D0" w:tentative="1">
      <w:start w:val="1"/>
      <w:numFmt w:val="bullet"/>
      <w:lvlText w:val=""/>
      <w:lvlJc w:val="left"/>
      <w:pPr>
        <w:ind w:left="2880" w:hanging="360"/>
      </w:pPr>
      <w:rPr>
        <w:rFonts w:ascii="Symbol" w:hAnsi="Symbol" w:hint="default"/>
      </w:rPr>
    </w:lvl>
    <w:lvl w:ilvl="4" w:tplc="0AF4A2E0" w:tentative="1">
      <w:start w:val="1"/>
      <w:numFmt w:val="bullet"/>
      <w:lvlText w:val="o"/>
      <w:lvlJc w:val="left"/>
      <w:pPr>
        <w:ind w:left="3600" w:hanging="360"/>
      </w:pPr>
      <w:rPr>
        <w:rFonts w:ascii="Courier New" w:hAnsi="Courier New" w:cs="Courier New" w:hint="default"/>
      </w:rPr>
    </w:lvl>
    <w:lvl w:ilvl="5" w:tplc="1BCE1BEE" w:tentative="1">
      <w:start w:val="1"/>
      <w:numFmt w:val="bullet"/>
      <w:lvlText w:val=""/>
      <w:lvlJc w:val="left"/>
      <w:pPr>
        <w:ind w:left="4320" w:hanging="360"/>
      </w:pPr>
      <w:rPr>
        <w:rFonts w:ascii="Wingdings" w:hAnsi="Wingdings" w:hint="default"/>
      </w:rPr>
    </w:lvl>
    <w:lvl w:ilvl="6" w:tplc="C9EAC3E6" w:tentative="1">
      <w:start w:val="1"/>
      <w:numFmt w:val="bullet"/>
      <w:lvlText w:val=""/>
      <w:lvlJc w:val="left"/>
      <w:pPr>
        <w:ind w:left="5040" w:hanging="360"/>
      </w:pPr>
      <w:rPr>
        <w:rFonts w:ascii="Symbol" w:hAnsi="Symbol" w:hint="default"/>
      </w:rPr>
    </w:lvl>
    <w:lvl w:ilvl="7" w:tplc="F88E2144" w:tentative="1">
      <w:start w:val="1"/>
      <w:numFmt w:val="bullet"/>
      <w:lvlText w:val="o"/>
      <w:lvlJc w:val="left"/>
      <w:pPr>
        <w:ind w:left="5760" w:hanging="360"/>
      </w:pPr>
      <w:rPr>
        <w:rFonts w:ascii="Courier New" w:hAnsi="Courier New" w:cs="Courier New" w:hint="default"/>
      </w:rPr>
    </w:lvl>
    <w:lvl w:ilvl="8" w:tplc="86E47D82" w:tentative="1">
      <w:start w:val="1"/>
      <w:numFmt w:val="bullet"/>
      <w:lvlText w:val=""/>
      <w:lvlJc w:val="left"/>
      <w:pPr>
        <w:ind w:left="6480" w:hanging="360"/>
      </w:pPr>
      <w:rPr>
        <w:rFonts w:ascii="Wingdings" w:hAnsi="Wingdings" w:hint="default"/>
      </w:rPr>
    </w:lvl>
  </w:abstractNum>
  <w:abstractNum w:abstractNumId="218" w15:restartNumberingAfterBreak="0">
    <w:nsid w:val="7AAA2661"/>
    <w:multiLevelType w:val="hybridMultilevel"/>
    <w:tmpl w:val="06AE8A5A"/>
    <w:lvl w:ilvl="0" w:tplc="D496010E">
      <w:start w:val="1"/>
      <w:numFmt w:val="bullet"/>
      <w:lvlText w:val=""/>
      <w:lvlJc w:val="left"/>
      <w:pPr>
        <w:ind w:left="720" w:hanging="360"/>
      </w:pPr>
      <w:rPr>
        <w:rFonts w:ascii="Symbol" w:hAnsi="Symbol" w:hint="default"/>
      </w:rPr>
    </w:lvl>
    <w:lvl w:ilvl="1" w:tplc="F5DC999A" w:tentative="1">
      <w:start w:val="1"/>
      <w:numFmt w:val="bullet"/>
      <w:lvlText w:val="o"/>
      <w:lvlJc w:val="left"/>
      <w:pPr>
        <w:ind w:left="1440" w:hanging="360"/>
      </w:pPr>
      <w:rPr>
        <w:rFonts w:ascii="Courier New" w:hAnsi="Courier New" w:cs="Courier New" w:hint="default"/>
      </w:rPr>
    </w:lvl>
    <w:lvl w:ilvl="2" w:tplc="4EA0B5CA" w:tentative="1">
      <w:start w:val="1"/>
      <w:numFmt w:val="bullet"/>
      <w:lvlText w:val=""/>
      <w:lvlJc w:val="left"/>
      <w:pPr>
        <w:ind w:left="2160" w:hanging="360"/>
      </w:pPr>
      <w:rPr>
        <w:rFonts w:ascii="Wingdings" w:hAnsi="Wingdings" w:hint="default"/>
      </w:rPr>
    </w:lvl>
    <w:lvl w:ilvl="3" w:tplc="B95A4D02" w:tentative="1">
      <w:start w:val="1"/>
      <w:numFmt w:val="bullet"/>
      <w:lvlText w:val=""/>
      <w:lvlJc w:val="left"/>
      <w:pPr>
        <w:ind w:left="2880" w:hanging="360"/>
      </w:pPr>
      <w:rPr>
        <w:rFonts w:ascii="Symbol" w:hAnsi="Symbol" w:hint="default"/>
      </w:rPr>
    </w:lvl>
    <w:lvl w:ilvl="4" w:tplc="DBF02084" w:tentative="1">
      <w:start w:val="1"/>
      <w:numFmt w:val="bullet"/>
      <w:lvlText w:val="o"/>
      <w:lvlJc w:val="left"/>
      <w:pPr>
        <w:ind w:left="3600" w:hanging="360"/>
      </w:pPr>
      <w:rPr>
        <w:rFonts w:ascii="Courier New" w:hAnsi="Courier New" w:cs="Courier New" w:hint="default"/>
      </w:rPr>
    </w:lvl>
    <w:lvl w:ilvl="5" w:tplc="BDCCBC60" w:tentative="1">
      <w:start w:val="1"/>
      <w:numFmt w:val="bullet"/>
      <w:lvlText w:val=""/>
      <w:lvlJc w:val="left"/>
      <w:pPr>
        <w:ind w:left="4320" w:hanging="360"/>
      </w:pPr>
      <w:rPr>
        <w:rFonts w:ascii="Wingdings" w:hAnsi="Wingdings" w:hint="default"/>
      </w:rPr>
    </w:lvl>
    <w:lvl w:ilvl="6" w:tplc="41441F7C" w:tentative="1">
      <w:start w:val="1"/>
      <w:numFmt w:val="bullet"/>
      <w:lvlText w:val=""/>
      <w:lvlJc w:val="left"/>
      <w:pPr>
        <w:ind w:left="5040" w:hanging="360"/>
      </w:pPr>
      <w:rPr>
        <w:rFonts w:ascii="Symbol" w:hAnsi="Symbol" w:hint="default"/>
      </w:rPr>
    </w:lvl>
    <w:lvl w:ilvl="7" w:tplc="38EADE58" w:tentative="1">
      <w:start w:val="1"/>
      <w:numFmt w:val="bullet"/>
      <w:lvlText w:val="o"/>
      <w:lvlJc w:val="left"/>
      <w:pPr>
        <w:ind w:left="5760" w:hanging="360"/>
      </w:pPr>
      <w:rPr>
        <w:rFonts w:ascii="Courier New" w:hAnsi="Courier New" w:cs="Courier New" w:hint="default"/>
      </w:rPr>
    </w:lvl>
    <w:lvl w:ilvl="8" w:tplc="86329E72" w:tentative="1">
      <w:start w:val="1"/>
      <w:numFmt w:val="bullet"/>
      <w:lvlText w:val=""/>
      <w:lvlJc w:val="left"/>
      <w:pPr>
        <w:ind w:left="6480" w:hanging="360"/>
      </w:pPr>
      <w:rPr>
        <w:rFonts w:ascii="Wingdings" w:hAnsi="Wingdings" w:hint="default"/>
      </w:rPr>
    </w:lvl>
  </w:abstractNum>
  <w:abstractNum w:abstractNumId="219" w15:restartNumberingAfterBreak="0">
    <w:nsid w:val="7AB662AF"/>
    <w:multiLevelType w:val="hybridMultilevel"/>
    <w:tmpl w:val="45B21110"/>
    <w:lvl w:ilvl="0" w:tplc="319A499C">
      <w:start w:val="1"/>
      <w:numFmt w:val="bullet"/>
      <w:lvlText w:val=""/>
      <w:lvlJc w:val="left"/>
      <w:pPr>
        <w:ind w:left="720" w:hanging="360"/>
      </w:pPr>
      <w:rPr>
        <w:rFonts w:ascii="Wingdings" w:hAnsi="Wingdings" w:hint="default"/>
      </w:rPr>
    </w:lvl>
    <w:lvl w:ilvl="1" w:tplc="3A22A680" w:tentative="1">
      <w:start w:val="1"/>
      <w:numFmt w:val="bullet"/>
      <w:lvlText w:val="o"/>
      <w:lvlJc w:val="left"/>
      <w:pPr>
        <w:ind w:left="1440" w:hanging="360"/>
      </w:pPr>
      <w:rPr>
        <w:rFonts w:ascii="Courier New" w:hAnsi="Courier New" w:cs="Courier New" w:hint="default"/>
      </w:rPr>
    </w:lvl>
    <w:lvl w:ilvl="2" w:tplc="2AFC88CC" w:tentative="1">
      <w:start w:val="1"/>
      <w:numFmt w:val="bullet"/>
      <w:lvlText w:val=""/>
      <w:lvlJc w:val="left"/>
      <w:pPr>
        <w:ind w:left="2160" w:hanging="360"/>
      </w:pPr>
      <w:rPr>
        <w:rFonts w:ascii="Wingdings" w:hAnsi="Wingdings" w:hint="default"/>
      </w:rPr>
    </w:lvl>
    <w:lvl w:ilvl="3" w:tplc="A4780C2E" w:tentative="1">
      <w:start w:val="1"/>
      <w:numFmt w:val="bullet"/>
      <w:lvlText w:val=""/>
      <w:lvlJc w:val="left"/>
      <w:pPr>
        <w:ind w:left="2880" w:hanging="360"/>
      </w:pPr>
      <w:rPr>
        <w:rFonts w:ascii="Symbol" w:hAnsi="Symbol" w:hint="default"/>
      </w:rPr>
    </w:lvl>
    <w:lvl w:ilvl="4" w:tplc="AFA60B90" w:tentative="1">
      <w:start w:val="1"/>
      <w:numFmt w:val="bullet"/>
      <w:lvlText w:val="o"/>
      <w:lvlJc w:val="left"/>
      <w:pPr>
        <w:ind w:left="3600" w:hanging="360"/>
      </w:pPr>
      <w:rPr>
        <w:rFonts w:ascii="Courier New" w:hAnsi="Courier New" w:cs="Courier New" w:hint="default"/>
      </w:rPr>
    </w:lvl>
    <w:lvl w:ilvl="5" w:tplc="05EED5B8" w:tentative="1">
      <w:start w:val="1"/>
      <w:numFmt w:val="bullet"/>
      <w:lvlText w:val=""/>
      <w:lvlJc w:val="left"/>
      <w:pPr>
        <w:ind w:left="4320" w:hanging="360"/>
      </w:pPr>
      <w:rPr>
        <w:rFonts w:ascii="Wingdings" w:hAnsi="Wingdings" w:hint="default"/>
      </w:rPr>
    </w:lvl>
    <w:lvl w:ilvl="6" w:tplc="75DE6520" w:tentative="1">
      <w:start w:val="1"/>
      <w:numFmt w:val="bullet"/>
      <w:lvlText w:val=""/>
      <w:lvlJc w:val="left"/>
      <w:pPr>
        <w:ind w:left="5040" w:hanging="360"/>
      </w:pPr>
      <w:rPr>
        <w:rFonts w:ascii="Symbol" w:hAnsi="Symbol" w:hint="default"/>
      </w:rPr>
    </w:lvl>
    <w:lvl w:ilvl="7" w:tplc="E18074E6" w:tentative="1">
      <w:start w:val="1"/>
      <w:numFmt w:val="bullet"/>
      <w:lvlText w:val="o"/>
      <w:lvlJc w:val="left"/>
      <w:pPr>
        <w:ind w:left="5760" w:hanging="360"/>
      </w:pPr>
      <w:rPr>
        <w:rFonts w:ascii="Courier New" w:hAnsi="Courier New" w:cs="Courier New" w:hint="default"/>
      </w:rPr>
    </w:lvl>
    <w:lvl w:ilvl="8" w:tplc="FE26A4D2" w:tentative="1">
      <w:start w:val="1"/>
      <w:numFmt w:val="bullet"/>
      <w:lvlText w:val=""/>
      <w:lvlJc w:val="left"/>
      <w:pPr>
        <w:ind w:left="6480" w:hanging="360"/>
      </w:pPr>
      <w:rPr>
        <w:rFonts w:ascii="Wingdings" w:hAnsi="Wingdings" w:hint="default"/>
      </w:rPr>
    </w:lvl>
  </w:abstractNum>
  <w:abstractNum w:abstractNumId="220" w15:restartNumberingAfterBreak="0">
    <w:nsid w:val="7AFD0A0E"/>
    <w:multiLevelType w:val="hybridMultilevel"/>
    <w:tmpl w:val="3B92C62A"/>
    <w:lvl w:ilvl="0" w:tplc="A1327226">
      <w:start w:val="1"/>
      <w:numFmt w:val="decimal"/>
      <w:lvlText w:val="%1."/>
      <w:lvlJc w:val="left"/>
      <w:pPr>
        <w:ind w:left="717" w:hanging="735"/>
      </w:pPr>
      <w:rPr>
        <w:rFonts w:hint="default"/>
      </w:rPr>
    </w:lvl>
    <w:lvl w:ilvl="1" w:tplc="787471CC" w:tentative="1">
      <w:start w:val="1"/>
      <w:numFmt w:val="lowerLetter"/>
      <w:lvlText w:val="%2."/>
      <w:lvlJc w:val="left"/>
      <w:pPr>
        <w:ind w:left="1062" w:hanging="360"/>
      </w:pPr>
    </w:lvl>
    <w:lvl w:ilvl="2" w:tplc="3170158C" w:tentative="1">
      <w:start w:val="1"/>
      <w:numFmt w:val="lowerRoman"/>
      <w:lvlText w:val="%3."/>
      <w:lvlJc w:val="right"/>
      <w:pPr>
        <w:ind w:left="1782" w:hanging="180"/>
      </w:pPr>
    </w:lvl>
    <w:lvl w:ilvl="3" w:tplc="F4C6090E" w:tentative="1">
      <w:start w:val="1"/>
      <w:numFmt w:val="decimal"/>
      <w:lvlText w:val="%4."/>
      <w:lvlJc w:val="left"/>
      <w:pPr>
        <w:ind w:left="2502" w:hanging="360"/>
      </w:pPr>
    </w:lvl>
    <w:lvl w:ilvl="4" w:tplc="A7C4A098" w:tentative="1">
      <w:start w:val="1"/>
      <w:numFmt w:val="lowerLetter"/>
      <w:lvlText w:val="%5."/>
      <w:lvlJc w:val="left"/>
      <w:pPr>
        <w:ind w:left="3222" w:hanging="360"/>
      </w:pPr>
    </w:lvl>
    <w:lvl w:ilvl="5" w:tplc="85129A6C" w:tentative="1">
      <w:start w:val="1"/>
      <w:numFmt w:val="lowerRoman"/>
      <w:lvlText w:val="%6."/>
      <w:lvlJc w:val="right"/>
      <w:pPr>
        <w:ind w:left="3942" w:hanging="180"/>
      </w:pPr>
    </w:lvl>
    <w:lvl w:ilvl="6" w:tplc="B4C22022" w:tentative="1">
      <w:start w:val="1"/>
      <w:numFmt w:val="decimal"/>
      <w:lvlText w:val="%7."/>
      <w:lvlJc w:val="left"/>
      <w:pPr>
        <w:ind w:left="4662" w:hanging="360"/>
      </w:pPr>
    </w:lvl>
    <w:lvl w:ilvl="7" w:tplc="0658A786" w:tentative="1">
      <w:start w:val="1"/>
      <w:numFmt w:val="lowerLetter"/>
      <w:lvlText w:val="%8."/>
      <w:lvlJc w:val="left"/>
      <w:pPr>
        <w:ind w:left="5382" w:hanging="360"/>
      </w:pPr>
    </w:lvl>
    <w:lvl w:ilvl="8" w:tplc="6F1AD0C2" w:tentative="1">
      <w:start w:val="1"/>
      <w:numFmt w:val="lowerRoman"/>
      <w:lvlText w:val="%9."/>
      <w:lvlJc w:val="right"/>
      <w:pPr>
        <w:ind w:left="6102" w:hanging="180"/>
      </w:pPr>
    </w:lvl>
  </w:abstractNum>
  <w:abstractNum w:abstractNumId="221" w15:restartNumberingAfterBreak="0">
    <w:nsid w:val="7C8E2661"/>
    <w:multiLevelType w:val="hybridMultilevel"/>
    <w:tmpl w:val="435C7566"/>
    <w:lvl w:ilvl="0" w:tplc="D4600948">
      <w:start w:val="1"/>
      <w:numFmt w:val="bullet"/>
      <w:lvlText w:val=""/>
      <w:lvlJc w:val="left"/>
      <w:pPr>
        <w:ind w:left="720" w:hanging="360"/>
      </w:pPr>
      <w:rPr>
        <w:rFonts w:ascii="Symbol" w:hAnsi="Symbol" w:hint="default"/>
      </w:rPr>
    </w:lvl>
    <w:lvl w:ilvl="1" w:tplc="6C7C4AD6" w:tentative="1">
      <w:start w:val="1"/>
      <w:numFmt w:val="bullet"/>
      <w:lvlText w:val="o"/>
      <w:lvlJc w:val="left"/>
      <w:pPr>
        <w:ind w:left="1440" w:hanging="360"/>
      </w:pPr>
      <w:rPr>
        <w:rFonts w:ascii="Courier New" w:hAnsi="Courier New" w:cs="Courier New" w:hint="default"/>
      </w:rPr>
    </w:lvl>
    <w:lvl w:ilvl="2" w:tplc="593A8118" w:tentative="1">
      <w:start w:val="1"/>
      <w:numFmt w:val="bullet"/>
      <w:lvlText w:val=""/>
      <w:lvlJc w:val="left"/>
      <w:pPr>
        <w:ind w:left="2160" w:hanging="360"/>
      </w:pPr>
      <w:rPr>
        <w:rFonts w:ascii="Wingdings" w:hAnsi="Wingdings" w:hint="default"/>
      </w:rPr>
    </w:lvl>
    <w:lvl w:ilvl="3" w:tplc="17488880" w:tentative="1">
      <w:start w:val="1"/>
      <w:numFmt w:val="bullet"/>
      <w:lvlText w:val=""/>
      <w:lvlJc w:val="left"/>
      <w:pPr>
        <w:ind w:left="2880" w:hanging="360"/>
      </w:pPr>
      <w:rPr>
        <w:rFonts w:ascii="Symbol" w:hAnsi="Symbol" w:hint="default"/>
      </w:rPr>
    </w:lvl>
    <w:lvl w:ilvl="4" w:tplc="0866AC7C" w:tentative="1">
      <w:start w:val="1"/>
      <w:numFmt w:val="bullet"/>
      <w:lvlText w:val="o"/>
      <w:lvlJc w:val="left"/>
      <w:pPr>
        <w:ind w:left="3600" w:hanging="360"/>
      </w:pPr>
      <w:rPr>
        <w:rFonts w:ascii="Courier New" w:hAnsi="Courier New" w:cs="Courier New" w:hint="default"/>
      </w:rPr>
    </w:lvl>
    <w:lvl w:ilvl="5" w:tplc="A9BAF0A4" w:tentative="1">
      <w:start w:val="1"/>
      <w:numFmt w:val="bullet"/>
      <w:lvlText w:val=""/>
      <w:lvlJc w:val="left"/>
      <w:pPr>
        <w:ind w:left="4320" w:hanging="360"/>
      </w:pPr>
      <w:rPr>
        <w:rFonts w:ascii="Wingdings" w:hAnsi="Wingdings" w:hint="default"/>
      </w:rPr>
    </w:lvl>
    <w:lvl w:ilvl="6" w:tplc="4E14B652" w:tentative="1">
      <w:start w:val="1"/>
      <w:numFmt w:val="bullet"/>
      <w:lvlText w:val=""/>
      <w:lvlJc w:val="left"/>
      <w:pPr>
        <w:ind w:left="5040" w:hanging="360"/>
      </w:pPr>
      <w:rPr>
        <w:rFonts w:ascii="Symbol" w:hAnsi="Symbol" w:hint="default"/>
      </w:rPr>
    </w:lvl>
    <w:lvl w:ilvl="7" w:tplc="FB707970" w:tentative="1">
      <w:start w:val="1"/>
      <w:numFmt w:val="bullet"/>
      <w:lvlText w:val="o"/>
      <w:lvlJc w:val="left"/>
      <w:pPr>
        <w:ind w:left="5760" w:hanging="360"/>
      </w:pPr>
      <w:rPr>
        <w:rFonts w:ascii="Courier New" w:hAnsi="Courier New" w:cs="Courier New" w:hint="default"/>
      </w:rPr>
    </w:lvl>
    <w:lvl w:ilvl="8" w:tplc="646ABA9E" w:tentative="1">
      <w:start w:val="1"/>
      <w:numFmt w:val="bullet"/>
      <w:lvlText w:val=""/>
      <w:lvlJc w:val="left"/>
      <w:pPr>
        <w:ind w:left="6480" w:hanging="360"/>
      </w:pPr>
      <w:rPr>
        <w:rFonts w:ascii="Wingdings" w:hAnsi="Wingdings" w:hint="default"/>
      </w:rPr>
    </w:lvl>
  </w:abstractNum>
  <w:abstractNum w:abstractNumId="222" w15:restartNumberingAfterBreak="0">
    <w:nsid w:val="7CC85CA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15:restartNumberingAfterBreak="0">
    <w:nsid w:val="7CC9714B"/>
    <w:multiLevelType w:val="hybridMultilevel"/>
    <w:tmpl w:val="594C3668"/>
    <w:lvl w:ilvl="0" w:tplc="CB3AF6F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7DC83725"/>
    <w:multiLevelType w:val="multilevel"/>
    <w:tmpl w:val="075E09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5" w15:restartNumberingAfterBreak="0">
    <w:nsid w:val="7DF73BE8"/>
    <w:multiLevelType w:val="multilevel"/>
    <w:tmpl w:val="3F6EEF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num w:numId="1" w16cid:durableId="2044403591">
    <w:abstractNumId w:val="57"/>
  </w:num>
  <w:num w:numId="2" w16cid:durableId="1309046786">
    <w:abstractNumId w:val="95"/>
  </w:num>
  <w:num w:numId="3" w16cid:durableId="1689715089">
    <w:abstractNumId w:val="217"/>
  </w:num>
  <w:num w:numId="4" w16cid:durableId="840391828">
    <w:abstractNumId w:val="33"/>
  </w:num>
  <w:num w:numId="5" w16cid:durableId="790049878">
    <w:abstractNumId w:val="45"/>
  </w:num>
  <w:num w:numId="6" w16cid:durableId="1850832196">
    <w:abstractNumId w:val="150"/>
  </w:num>
  <w:num w:numId="7" w16cid:durableId="967395326">
    <w:abstractNumId w:val="117"/>
  </w:num>
  <w:num w:numId="8" w16cid:durableId="1610117382">
    <w:abstractNumId w:val="113"/>
  </w:num>
  <w:num w:numId="9" w16cid:durableId="1686059312">
    <w:abstractNumId w:val="156"/>
  </w:num>
  <w:num w:numId="10" w16cid:durableId="1429158696">
    <w:abstractNumId w:val="66"/>
  </w:num>
  <w:num w:numId="11" w16cid:durableId="1326739258">
    <w:abstractNumId w:val="79"/>
  </w:num>
  <w:num w:numId="12" w16cid:durableId="1718044764">
    <w:abstractNumId w:val="199"/>
  </w:num>
  <w:num w:numId="13" w16cid:durableId="1275746159">
    <w:abstractNumId w:val="115"/>
  </w:num>
  <w:num w:numId="14" w16cid:durableId="414061015">
    <w:abstractNumId w:val="58"/>
  </w:num>
  <w:num w:numId="15" w16cid:durableId="491987364">
    <w:abstractNumId w:val="91"/>
  </w:num>
  <w:num w:numId="16" w16cid:durableId="787503129">
    <w:abstractNumId w:val="154"/>
  </w:num>
  <w:num w:numId="17" w16cid:durableId="845898497">
    <w:abstractNumId w:val="110"/>
  </w:num>
  <w:num w:numId="18" w16cid:durableId="1144539236">
    <w:abstractNumId w:val="178"/>
  </w:num>
  <w:num w:numId="19" w16cid:durableId="475995199">
    <w:abstractNumId w:val="96"/>
  </w:num>
  <w:num w:numId="20" w16cid:durableId="1429735400">
    <w:abstractNumId w:val="221"/>
  </w:num>
  <w:num w:numId="21" w16cid:durableId="1540314401">
    <w:abstractNumId w:val="208"/>
  </w:num>
  <w:num w:numId="22" w16cid:durableId="1400791768">
    <w:abstractNumId w:val="32"/>
  </w:num>
  <w:num w:numId="23" w16cid:durableId="989484984">
    <w:abstractNumId w:val="119"/>
  </w:num>
  <w:num w:numId="24" w16cid:durableId="1200893677">
    <w:abstractNumId w:val="106"/>
  </w:num>
  <w:num w:numId="25" w16cid:durableId="1523664326">
    <w:abstractNumId w:val="197"/>
  </w:num>
  <w:num w:numId="26" w16cid:durableId="832528062">
    <w:abstractNumId w:val="148"/>
  </w:num>
  <w:num w:numId="27" w16cid:durableId="376779292">
    <w:abstractNumId w:val="101"/>
  </w:num>
  <w:num w:numId="28" w16cid:durableId="625039998">
    <w:abstractNumId w:val="135"/>
  </w:num>
  <w:num w:numId="29" w16cid:durableId="89084118">
    <w:abstractNumId w:val="141"/>
  </w:num>
  <w:num w:numId="30" w16cid:durableId="982779512">
    <w:abstractNumId w:val="209"/>
  </w:num>
  <w:num w:numId="31" w16cid:durableId="1955163368">
    <w:abstractNumId w:val="23"/>
  </w:num>
  <w:num w:numId="32" w16cid:durableId="1279751192">
    <w:abstractNumId w:val="103"/>
  </w:num>
  <w:num w:numId="33" w16cid:durableId="1953392389">
    <w:abstractNumId w:val="128"/>
  </w:num>
  <w:num w:numId="34" w16cid:durableId="1257786793">
    <w:abstractNumId w:val="175"/>
  </w:num>
  <w:num w:numId="35" w16cid:durableId="955285355">
    <w:abstractNumId w:val="177"/>
  </w:num>
  <w:num w:numId="36" w16cid:durableId="1565020958">
    <w:abstractNumId w:val="92"/>
  </w:num>
  <w:num w:numId="37" w16cid:durableId="1106850431">
    <w:abstractNumId w:val="104"/>
  </w:num>
  <w:num w:numId="38" w16cid:durableId="232392370">
    <w:abstractNumId w:val="161"/>
  </w:num>
  <w:num w:numId="39" w16cid:durableId="413478341">
    <w:abstractNumId w:val="222"/>
  </w:num>
  <w:num w:numId="40" w16cid:durableId="1186139118">
    <w:abstractNumId w:val="171"/>
  </w:num>
  <w:num w:numId="41" w16cid:durableId="203948803">
    <w:abstractNumId w:val="202"/>
  </w:num>
  <w:num w:numId="42" w16cid:durableId="376929562">
    <w:abstractNumId w:val="78"/>
  </w:num>
  <w:num w:numId="43" w16cid:durableId="1949267308">
    <w:abstractNumId w:val="109"/>
  </w:num>
  <w:num w:numId="44" w16cid:durableId="1068456397">
    <w:abstractNumId w:val="182"/>
  </w:num>
  <w:num w:numId="45" w16cid:durableId="1665233319">
    <w:abstractNumId w:val="68"/>
  </w:num>
  <w:num w:numId="46" w16cid:durableId="1541168730">
    <w:abstractNumId w:val="165"/>
  </w:num>
  <w:num w:numId="47" w16cid:durableId="1521121850">
    <w:abstractNumId w:val="157"/>
  </w:num>
  <w:num w:numId="48" w16cid:durableId="599410830">
    <w:abstractNumId w:val="125"/>
  </w:num>
  <w:num w:numId="49" w16cid:durableId="1643467039">
    <w:abstractNumId w:val="49"/>
  </w:num>
  <w:num w:numId="50" w16cid:durableId="857499301">
    <w:abstractNumId w:val="100"/>
  </w:num>
  <w:num w:numId="51" w16cid:durableId="632442496">
    <w:abstractNumId w:val="53"/>
  </w:num>
  <w:num w:numId="52" w16cid:durableId="678586001">
    <w:abstractNumId w:val="126"/>
  </w:num>
  <w:num w:numId="53" w16cid:durableId="1693651824">
    <w:abstractNumId w:val="185"/>
  </w:num>
  <w:num w:numId="54" w16cid:durableId="834490463">
    <w:abstractNumId w:val="176"/>
  </w:num>
  <w:num w:numId="55" w16cid:durableId="1876582028">
    <w:abstractNumId w:val="116"/>
  </w:num>
  <w:num w:numId="56" w16cid:durableId="755057273">
    <w:abstractNumId w:val="187"/>
  </w:num>
  <w:num w:numId="57" w16cid:durableId="1989742639">
    <w:abstractNumId w:val="207"/>
  </w:num>
  <w:num w:numId="58" w16cid:durableId="305206697">
    <w:abstractNumId w:val="121"/>
  </w:num>
  <w:num w:numId="59" w16cid:durableId="37972620">
    <w:abstractNumId w:val="158"/>
  </w:num>
  <w:num w:numId="60" w16cid:durableId="131413111">
    <w:abstractNumId w:val="7"/>
  </w:num>
  <w:num w:numId="61" w16cid:durableId="1168979895">
    <w:abstractNumId w:val="211"/>
  </w:num>
  <w:num w:numId="62" w16cid:durableId="563370272">
    <w:abstractNumId w:val="105"/>
  </w:num>
  <w:num w:numId="63" w16cid:durableId="1207524150">
    <w:abstractNumId w:val="140"/>
  </w:num>
  <w:num w:numId="64" w16cid:durableId="1007027204">
    <w:abstractNumId w:val="34"/>
  </w:num>
  <w:num w:numId="65" w16cid:durableId="1894535398">
    <w:abstractNumId w:val="75"/>
  </w:num>
  <w:num w:numId="66" w16cid:durableId="1181510582">
    <w:abstractNumId w:val="169"/>
  </w:num>
  <w:num w:numId="67" w16cid:durableId="458304415">
    <w:abstractNumId w:val="80"/>
  </w:num>
  <w:num w:numId="68" w16cid:durableId="647317813">
    <w:abstractNumId w:val="164"/>
  </w:num>
  <w:num w:numId="69" w16cid:durableId="1132557168">
    <w:abstractNumId w:val="159"/>
  </w:num>
  <w:num w:numId="70" w16cid:durableId="601256037">
    <w:abstractNumId w:val="90"/>
  </w:num>
  <w:num w:numId="71" w16cid:durableId="529610137">
    <w:abstractNumId w:val="61"/>
  </w:num>
  <w:num w:numId="72" w16cid:durableId="20983544">
    <w:abstractNumId w:val="70"/>
  </w:num>
  <w:num w:numId="73" w16cid:durableId="1787651983">
    <w:abstractNumId w:val="191"/>
  </w:num>
  <w:num w:numId="74" w16cid:durableId="1618901465">
    <w:abstractNumId w:val="98"/>
  </w:num>
  <w:num w:numId="75" w16cid:durableId="629439422">
    <w:abstractNumId w:val="24"/>
  </w:num>
  <w:num w:numId="76" w16cid:durableId="20712341">
    <w:abstractNumId w:val="43"/>
  </w:num>
  <w:num w:numId="77" w16cid:durableId="446195789">
    <w:abstractNumId w:val="40"/>
  </w:num>
  <w:num w:numId="78" w16cid:durableId="1735396322">
    <w:abstractNumId w:val="146"/>
  </w:num>
  <w:num w:numId="79" w16cid:durableId="970018347">
    <w:abstractNumId w:val="180"/>
  </w:num>
  <w:num w:numId="80" w16cid:durableId="660623044">
    <w:abstractNumId w:val="174"/>
  </w:num>
  <w:num w:numId="81" w16cid:durableId="1177235132">
    <w:abstractNumId w:val="10"/>
  </w:num>
  <w:num w:numId="82" w16cid:durableId="353533618">
    <w:abstractNumId w:val="181"/>
  </w:num>
  <w:num w:numId="83" w16cid:durableId="1078283704">
    <w:abstractNumId w:val="167"/>
  </w:num>
  <w:num w:numId="84" w16cid:durableId="1454785801">
    <w:abstractNumId w:val="196"/>
  </w:num>
  <w:num w:numId="85" w16cid:durableId="1208373579">
    <w:abstractNumId w:val="166"/>
  </w:num>
  <w:num w:numId="86" w16cid:durableId="825321579">
    <w:abstractNumId w:val="172"/>
  </w:num>
  <w:num w:numId="87" w16cid:durableId="2031107533">
    <w:abstractNumId w:val="21"/>
  </w:num>
  <w:num w:numId="88" w16cid:durableId="425274757">
    <w:abstractNumId w:val="215"/>
  </w:num>
  <w:num w:numId="89" w16cid:durableId="1741292248">
    <w:abstractNumId w:val="37"/>
  </w:num>
  <w:num w:numId="90" w16cid:durableId="1794320891">
    <w:abstractNumId w:val="55"/>
  </w:num>
  <w:num w:numId="91" w16cid:durableId="608581881">
    <w:abstractNumId w:val="38"/>
  </w:num>
  <w:num w:numId="92" w16cid:durableId="174423955">
    <w:abstractNumId w:val="73"/>
  </w:num>
  <w:num w:numId="93" w16cid:durableId="24136193">
    <w:abstractNumId w:val="112"/>
  </w:num>
  <w:num w:numId="94" w16cid:durableId="1578320515">
    <w:abstractNumId w:val="44"/>
  </w:num>
  <w:num w:numId="95" w16cid:durableId="583686913">
    <w:abstractNumId w:val="77"/>
  </w:num>
  <w:num w:numId="96" w16cid:durableId="1047218379">
    <w:abstractNumId w:val="218"/>
  </w:num>
  <w:num w:numId="97" w16cid:durableId="448741662">
    <w:abstractNumId w:val="15"/>
  </w:num>
  <w:num w:numId="98" w16cid:durableId="655646950">
    <w:abstractNumId w:val="12"/>
  </w:num>
  <w:num w:numId="99" w16cid:durableId="2071995237">
    <w:abstractNumId w:val="16"/>
  </w:num>
  <w:num w:numId="100" w16cid:durableId="836462136">
    <w:abstractNumId w:val="69"/>
  </w:num>
  <w:num w:numId="101" w16cid:durableId="1204289718">
    <w:abstractNumId w:val="93"/>
  </w:num>
  <w:num w:numId="102" w16cid:durableId="1852377488">
    <w:abstractNumId w:val="29"/>
  </w:num>
  <w:num w:numId="103" w16cid:durableId="767699485">
    <w:abstractNumId w:val="194"/>
  </w:num>
  <w:num w:numId="104" w16cid:durableId="1537813865">
    <w:abstractNumId w:val="168"/>
  </w:num>
  <w:num w:numId="105" w16cid:durableId="1671563154">
    <w:abstractNumId w:val="83"/>
  </w:num>
  <w:num w:numId="106" w16cid:durableId="615529626">
    <w:abstractNumId w:val="133"/>
  </w:num>
  <w:num w:numId="107" w16cid:durableId="1211186802">
    <w:abstractNumId w:val="107"/>
  </w:num>
  <w:num w:numId="108" w16cid:durableId="238250520">
    <w:abstractNumId w:val="147"/>
  </w:num>
  <w:num w:numId="109" w16cid:durableId="2056542766">
    <w:abstractNumId w:val="200"/>
  </w:num>
  <w:num w:numId="110" w16cid:durableId="2030719330">
    <w:abstractNumId w:val="47"/>
  </w:num>
  <w:num w:numId="111" w16cid:durableId="444429019">
    <w:abstractNumId w:val="56"/>
  </w:num>
  <w:num w:numId="112" w16cid:durableId="1982954101">
    <w:abstractNumId w:val="74"/>
  </w:num>
  <w:num w:numId="113" w16cid:durableId="1366756604">
    <w:abstractNumId w:val="123"/>
  </w:num>
  <w:num w:numId="114" w16cid:durableId="1007245225">
    <w:abstractNumId w:val="145"/>
  </w:num>
  <w:num w:numId="115" w16cid:durableId="1159728942">
    <w:abstractNumId w:val="149"/>
  </w:num>
  <w:num w:numId="116" w16cid:durableId="1223297717">
    <w:abstractNumId w:val="163"/>
  </w:num>
  <w:num w:numId="117" w16cid:durableId="1045375288">
    <w:abstractNumId w:val="9"/>
  </w:num>
  <w:num w:numId="118" w16cid:durableId="1102532976">
    <w:abstractNumId w:val="89"/>
  </w:num>
  <w:num w:numId="119" w16cid:durableId="1271931233">
    <w:abstractNumId w:val="22"/>
  </w:num>
  <w:num w:numId="120" w16cid:durableId="28802010">
    <w:abstractNumId w:val="190"/>
  </w:num>
  <w:num w:numId="121" w16cid:durableId="1924416118">
    <w:abstractNumId w:val="35"/>
  </w:num>
  <w:num w:numId="122" w16cid:durableId="1344823877">
    <w:abstractNumId w:val="184"/>
  </w:num>
  <w:num w:numId="123" w16cid:durableId="227689237">
    <w:abstractNumId w:val="179"/>
  </w:num>
  <w:num w:numId="124" w16cid:durableId="738942200">
    <w:abstractNumId w:val="71"/>
  </w:num>
  <w:num w:numId="125" w16cid:durableId="2019236193">
    <w:abstractNumId w:val="160"/>
  </w:num>
  <w:num w:numId="126" w16cid:durableId="513804892">
    <w:abstractNumId w:val="213"/>
  </w:num>
  <w:num w:numId="127" w16cid:durableId="1087456673">
    <w:abstractNumId w:val="188"/>
  </w:num>
  <w:num w:numId="128" w16cid:durableId="1122919701">
    <w:abstractNumId w:val="153"/>
  </w:num>
  <w:num w:numId="129" w16cid:durableId="533420728">
    <w:abstractNumId w:val="205"/>
  </w:num>
  <w:num w:numId="130" w16cid:durableId="1432748155">
    <w:abstractNumId w:val="67"/>
  </w:num>
  <w:num w:numId="131" w16cid:durableId="443233178">
    <w:abstractNumId w:val="99"/>
  </w:num>
  <w:num w:numId="132" w16cid:durableId="1001927766">
    <w:abstractNumId w:val="186"/>
  </w:num>
  <w:num w:numId="133" w16cid:durableId="854927780">
    <w:abstractNumId w:val="63"/>
  </w:num>
  <w:num w:numId="134" w16cid:durableId="1604846321">
    <w:abstractNumId w:val="59"/>
  </w:num>
  <w:num w:numId="135" w16cid:durableId="470949986">
    <w:abstractNumId w:val="39"/>
  </w:num>
  <w:num w:numId="136" w16cid:durableId="725684242">
    <w:abstractNumId w:val="20"/>
  </w:num>
  <w:num w:numId="137" w16cid:durableId="911965685">
    <w:abstractNumId w:val="155"/>
  </w:num>
  <w:num w:numId="138" w16cid:durableId="2117283373">
    <w:abstractNumId w:val="214"/>
  </w:num>
  <w:num w:numId="139" w16cid:durableId="1973055830">
    <w:abstractNumId w:val="152"/>
  </w:num>
  <w:num w:numId="140" w16cid:durableId="1031107951">
    <w:abstractNumId w:val="0"/>
  </w:num>
  <w:num w:numId="141" w16cid:durableId="1241479978">
    <w:abstractNumId w:val="143"/>
  </w:num>
  <w:num w:numId="142" w16cid:durableId="1161434897">
    <w:abstractNumId w:val="151"/>
  </w:num>
  <w:num w:numId="143" w16cid:durableId="847184357">
    <w:abstractNumId w:val="127"/>
  </w:num>
  <w:num w:numId="144" w16cid:durableId="957371482">
    <w:abstractNumId w:val="19"/>
  </w:num>
  <w:num w:numId="145" w16cid:durableId="1424760668">
    <w:abstractNumId w:val="18"/>
  </w:num>
  <w:num w:numId="146" w16cid:durableId="1504082161">
    <w:abstractNumId w:val="31"/>
  </w:num>
  <w:num w:numId="147" w16cid:durableId="110366223">
    <w:abstractNumId w:val="216"/>
  </w:num>
  <w:num w:numId="148" w16cid:durableId="1050573538">
    <w:abstractNumId w:val="183"/>
  </w:num>
  <w:num w:numId="149" w16cid:durableId="637030454">
    <w:abstractNumId w:val="131"/>
  </w:num>
  <w:num w:numId="150" w16cid:durableId="1291008863">
    <w:abstractNumId w:val="142"/>
  </w:num>
  <w:num w:numId="151" w16cid:durableId="1833056634">
    <w:abstractNumId w:val="132"/>
  </w:num>
  <w:num w:numId="152" w16cid:durableId="2078623548">
    <w:abstractNumId w:val="195"/>
  </w:num>
  <w:num w:numId="153" w16cid:durableId="130055879">
    <w:abstractNumId w:val="62"/>
  </w:num>
  <w:num w:numId="154" w16cid:durableId="1832062855">
    <w:abstractNumId w:val="72"/>
  </w:num>
  <w:num w:numId="155" w16cid:durableId="488713414">
    <w:abstractNumId w:val="41"/>
  </w:num>
  <w:num w:numId="156" w16cid:durableId="68427153">
    <w:abstractNumId w:val="111"/>
  </w:num>
  <w:num w:numId="157" w16cid:durableId="345788706">
    <w:abstractNumId w:val="50"/>
  </w:num>
  <w:num w:numId="158" w16cid:durableId="1790780781">
    <w:abstractNumId w:val="28"/>
  </w:num>
  <w:num w:numId="159" w16cid:durableId="1835950251">
    <w:abstractNumId w:val="204"/>
  </w:num>
  <w:num w:numId="160" w16cid:durableId="1037505150">
    <w:abstractNumId w:val="85"/>
  </w:num>
  <w:num w:numId="161" w16cid:durableId="1706632682">
    <w:abstractNumId w:val="54"/>
  </w:num>
  <w:num w:numId="162" w16cid:durableId="1979533178">
    <w:abstractNumId w:val="52"/>
  </w:num>
  <w:num w:numId="163" w16cid:durableId="1147017459">
    <w:abstractNumId w:val="139"/>
  </w:num>
  <w:num w:numId="164" w16cid:durableId="1670715747">
    <w:abstractNumId w:val="192"/>
  </w:num>
  <w:num w:numId="165" w16cid:durableId="987636518">
    <w:abstractNumId w:val="65"/>
  </w:num>
  <w:num w:numId="166" w16cid:durableId="1289511450">
    <w:abstractNumId w:val="130"/>
  </w:num>
  <w:num w:numId="167" w16cid:durableId="1850555534">
    <w:abstractNumId w:val="42"/>
  </w:num>
  <w:num w:numId="168" w16cid:durableId="1437677256">
    <w:abstractNumId w:val="86"/>
  </w:num>
  <w:num w:numId="169" w16cid:durableId="1708018332">
    <w:abstractNumId w:val="220"/>
  </w:num>
  <w:num w:numId="170" w16cid:durableId="904493739">
    <w:abstractNumId w:val="120"/>
  </w:num>
  <w:num w:numId="171" w16cid:durableId="103885734">
    <w:abstractNumId w:val="144"/>
  </w:num>
  <w:num w:numId="172" w16cid:durableId="1830561223">
    <w:abstractNumId w:val="11"/>
  </w:num>
  <w:num w:numId="173" w16cid:durableId="1996180116">
    <w:abstractNumId w:val="81"/>
  </w:num>
  <w:num w:numId="174" w16cid:durableId="999432913">
    <w:abstractNumId w:val="173"/>
  </w:num>
  <w:num w:numId="175" w16cid:durableId="736394943">
    <w:abstractNumId w:val="87"/>
  </w:num>
  <w:num w:numId="176" w16cid:durableId="1805658463">
    <w:abstractNumId w:val="76"/>
  </w:num>
  <w:num w:numId="177" w16cid:durableId="1282493587">
    <w:abstractNumId w:val="170"/>
  </w:num>
  <w:num w:numId="178" w16cid:durableId="2103910880">
    <w:abstractNumId w:val="134"/>
  </w:num>
  <w:num w:numId="179" w16cid:durableId="940451119">
    <w:abstractNumId w:val="13"/>
  </w:num>
  <w:num w:numId="180" w16cid:durableId="569657271">
    <w:abstractNumId w:val="60"/>
  </w:num>
  <w:num w:numId="181" w16cid:durableId="865480051">
    <w:abstractNumId w:val="203"/>
  </w:num>
  <w:num w:numId="182" w16cid:durableId="1816023360">
    <w:abstractNumId w:val="210"/>
  </w:num>
  <w:num w:numId="183" w16cid:durableId="1702633882">
    <w:abstractNumId w:val="138"/>
  </w:num>
  <w:num w:numId="184" w16cid:durableId="1871261374">
    <w:abstractNumId w:val="51"/>
  </w:num>
  <w:num w:numId="185" w16cid:durableId="1286496743">
    <w:abstractNumId w:val="206"/>
  </w:num>
  <w:num w:numId="186" w16cid:durableId="1763798928">
    <w:abstractNumId w:val="219"/>
  </w:num>
  <w:num w:numId="187" w16cid:durableId="1275557021">
    <w:abstractNumId w:val="162"/>
  </w:num>
  <w:num w:numId="188" w16cid:durableId="772090845">
    <w:abstractNumId w:val="193"/>
  </w:num>
  <w:num w:numId="189" w16cid:durableId="1229076808">
    <w:abstractNumId w:val="64"/>
  </w:num>
  <w:num w:numId="190" w16cid:durableId="1057321846">
    <w:abstractNumId w:val="1"/>
  </w:num>
  <w:num w:numId="191" w16cid:durableId="117067897">
    <w:abstractNumId w:val="129"/>
  </w:num>
  <w:num w:numId="192" w16cid:durableId="546529062">
    <w:abstractNumId w:val="137"/>
  </w:num>
  <w:num w:numId="193" w16cid:durableId="1818063730">
    <w:abstractNumId w:val="14"/>
  </w:num>
  <w:num w:numId="194" w16cid:durableId="316031478">
    <w:abstractNumId w:val="198"/>
  </w:num>
  <w:num w:numId="195" w16cid:durableId="644548638">
    <w:abstractNumId w:val="124"/>
  </w:num>
  <w:num w:numId="196" w16cid:durableId="995719244">
    <w:abstractNumId w:val="6"/>
  </w:num>
  <w:num w:numId="197" w16cid:durableId="630356057">
    <w:abstractNumId w:val="189"/>
  </w:num>
  <w:num w:numId="198" w16cid:durableId="1082681811">
    <w:abstractNumId w:val="212"/>
  </w:num>
  <w:num w:numId="199" w16cid:durableId="825822289">
    <w:abstractNumId w:val="46"/>
  </w:num>
  <w:num w:numId="200" w16cid:durableId="409696414">
    <w:abstractNumId w:val="5"/>
  </w:num>
  <w:num w:numId="201" w16cid:durableId="1604453500">
    <w:abstractNumId w:val="4"/>
  </w:num>
  <w:num w:numId="202" w16cid:durableId="979772026">
    <w:abstractNumId w:val="2"/>
  </w:num>
  <w:num w:numId="203" w16cid:durableId="1578008459">
    <w:abstractNumId w:val="3"/>
  </w:num>
  <w:num w:numId="204" w16cid:durableId="1355497187">
    <w:abstractNumId w:val="30"/>
  </w:num>
  <w:num w:numId="205" w16cid:durableId="315914393">
    <w:abstractNumId w:val="114"/>
  </w:num>
  <w:num w:numId="206" w16cid:durableId="994604577">
    <w:abstractNumId w:val="201"/>
  </w:num>
  <w:num w:numId="207" w16cid:durableId="881210624">
    <w:abstractNumId w:val="136"/>
  </w:num>
  <w:num w:numId="208" w16cid:durableId="702900566">
    <w:abstractNumId w:val="82"/>
  </w:num>
  <w:num w:numId="209" w16cid:durableId="778764932">
    <w:abstractNumId w:val="48"/>
  </w:num>
  <w:num w:numId="210" w16cid:durableId="1234463747">
    <w:abstractNumId w:val="102"/>
  </w:num>
  <w:num w:numId="211" w16cid:durableId="70978749">
    <w:abstractNumId w:val="36"/>
  </w:num>
  <w:num w:numId="212" w16cid:durableId="890654683">
    <w:abstractNumId w:val="224"/>
  </w:num>
  <w:num w:numId="213" w16cid:durableId="670448199">
    <w:abstractNumId w:val="25"/>
  </w:num>
  <w:num w:numId="214" w16cid:durableId="1844008529">
    <w:abstractNumId w:val="122"/>
  </w:num>
  <w:num w:numId="215" w16cid:durableId="1063600483">
    <w:abstractNumId w:val="118"/>
  </w:num>
  <w:num w:numId="216" w16cid:durableId="1851916735">
    <w:abstractNumId w:val="94"/>
  </w:num>
  <w:num w:numId="217" w16cid:durableId="283535323">
    <w:abstractNumId w:val="17"/>
  </w:num>
  <w:num w:numId="218" w16cid:durableId="980575749">
    <w:abstractNumId w:val="97"/>
  </w:num>
  <w:num w:numId="219" w16cid:durableId="1425998103">
    <w:abstractNumId w:val="223"/>
  </w:num>
  <w:num w:numId="220" w16cid:durableId="705178439">
    <w:abstractNumId w:val="8"/>
  </w:num>
  <w:num w:numId="221" w16cid:durableId="1257518424">
    <w:abstractNumId w:val="108"/>
  </w:num>
  <w:num w:numId="222" w16cid:durableId="1836610546">
    <w:abstractNumId w:val="225"/>
  </w:num>
  <w:num w:numId="223" w16cid:durableId="1942371277">
    <w:abstractNumId w:val="84"/>
  </w:num>
  <w:num w:numId="224" w16cid:durableId="1196037564">
    <w:abstractNumId w:val="27"/>
  </w:num>
  <w:num w:numId="225" w16cid:durableId="28384250">
    <w:abstractNumId w:val="26"/>
  </w:num>
  <w:num w:numId="226" w16cid:durableId="1574119602">
    <w:abstractNumId w:val="8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numRestart w:val="eachPage"/>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8F7"/>
    <w:rsid w:val="00006899"/>
    <w:rsid w:val="00010BA8"/>
    <w:rsid w:val="00011539"/>
    <w:rsid w:val="00012C2D"/>
    <w:rsid w:val="00024026"/>
    <w:rsid w:val="00026258"/>
    <w:rsid w:val="000268FE"/>
    <w:rsid w:val="00064B54"/>
    <w:rsid w:val="0006726B"/>
    <w:rsid w:val="00071A16"/>
    <w:rsid w:val="000911A7"/>
    <w:rsid w:val="0009161C"/>
    <w:rsid w:val="000B5694"/>
    <w:rsid w:val="000C3C8C"/>
    <w:rsid w:val="00100593"/>
    <w:rsid w:val="00102D91"/>
    <w:rsid w:val="001248F7"/>
    <w:rsid w:val="00140D62"/>
    <w:rsid w:val="00141F1B"/>
    <w:rsid w:val="0016777C"/>
    <w:rsid w:val="001928FA"/>
    <w:rsid w:val="001947E3"/>
    <w:rsid w:val="001B071B"/>
    <w:rsid w:val="001B1B8E"/>
    <w:rsid w:val="001B2C70"/>
    <w:rsid w:val="00200F73"/>
    <w:rsid w:val="00204D12"/>
    <w:rsid w:val="00225AD7"/>
    <w:rsid w:val="00227DE5"/>
    <w:rsid w:val="00230501"/>
    <w:rsid w:val="00234F13"/>
    <w:rsid w:val="00235995"/>
    <w:rsid w:val="002410D0"/>
    <w:rsid w:val="00247BE5"/>
    <w:rsid w:val="00285D3F"/>
    <w:rsid w:val="0028601D"/>
    <w:rsid w:val="0029099B"/>
    <w:rsid w:val="002C40DC"/>
    <w:rsid w:val="00314431"/>
    <w:rsid w:val="00322328"/>
    <w:rsid w:val="00342BF5"/>
    <w:rsid w:val="0034671E"/>
    <w:rsid w:val="003518BE"/>
    <w:rsid w:val="003604E8"/>
    <w:rsid w:val="003807C0"/>
    <w:rsid w:val="003834A7"/>
    <w:rsid w:val="003873B1"/>
    <w:rsid w:val="003A0087"/>
    <w:rsid w:val="003B63AE"/>
    <w:rsid w:val="003B7C12"/>
    <w:rsid w:val="003C670C"/>
    <w:rsid w:val="003E60CA"/>
    <w:rsid w:val="004349B3"/>
    <w:rsid w:val="004376DC"/>
    <w:rsid w:val="0044722A"/>
    <w:rsid w:val="0045245F"/>
    <w:rsid w:val="00464975"/>
    <w:rsid w:val="00482B1D"/>
    <w:rsid w:val="0049686C"/>
    <w:rsid w:val="004970C2"/>
    <w:rsid w:val="004C2ACF"/>
    <w:rsid w:val="004D502A"/>
    <w:rsid w:val="004E0912"/>
    <w:rsid w:val="004E3830"/>
    <w:rsid w:val="004F3C88"/>
    <w:rsid w:val="0055708D"/>
    <w:rsid w:val="00570475"/>
    <w:rsid w:val="00570B74"/>
    <w:rsid w:val="00591104"/>
    <w:rsid w:val="005B6654"/>
    <w:rsid w:val="005E3942"/>
    <w:rsid w:val="005F26D9"/>
    <w:rsid w:val="005F5658"/>
    <w:rsid w:val="00625651"/>
    <w:rsid w:val="0066598D"/>
    <w:rsid w:val="00683B2C"/>
    <w:rsid w:val="00683CCD"/>
    <w:rsid w:val="006877D4"/>
    <w:rsid w:val="00691CB5"/>
    <w:rsid w:val="00694CFE"/>
    <w:rsid w:val="006B1567"/>
    <w:rsid w:val="006B7A49"/>
    <w:rsid w:val="006C410C"/>
    <w:rsid w:val="006C61DE"/>
    <w:rsid w:val="006D34B0"/>
    <w:rsid w:val="006E3020"/>
    <w:rsid w:val="006E43AB"/>
    <w:rsid w:val="006E646D"/>
    <w:rsid w:val="006F7475"/>
    <w:rsid w:val="00735D3E"/>
    <w:rsid w:val="00735FFA"/>
    <w:rsid w:val="00756378"/>
    <w:rsid w:val="00773102"/>
    <w:rsid w:val="007944D2"/>
    <w:rsid w:val="007A07AD"/>
    <w:rsid w:val="007A5B08"/>
    <w:rsid w:val="007A6FE8"/>
    <w:rsid w:val="007B1632"/>
    <w:rsid w:val="007B22B9"/>
    <w:rsid w:val="007F3BB6"/>
    <w:rsid w:val="008130B5"/>
    <w:rsid w:val="00813D27"/>
    <w:rsid w:val="008176AA"/>
    <w:rsid w:val="008276DA"/>
    <w:rsid w:val="00827D78"/>
    <w:rsid w:val="008443C0"/>
    <w:rsid w:val="008577E2"/>
    <w:rsid w:val="008866D2"/>
    <w:rsid w:val="00894828"/>
    <w:rsid w:val="00895004"/>
    <w:rsid w:val="008970BA"/>
    <w:rsid w:val="008A7D46"/>
    <w:rsid w:val="008B2205"/>
    <w:rsid w:val="008B5AEA"/>
    <w:rsid w:val="008C026D"/>
    <w:rsid w:val="008C765A"/>
    <w:rsid w:val="008F0E54"/>
    <w:rsid w:val="00915BD9"/>
    <w:rsid w:val="009237F6"/>
    <w:rsid w:val="00951EBA"/>
    <w:rsid w:val="00955F8D"/>
    <w:rsid w:val="0097391D"/>
    <w:rsid w:val="00976C0D"/>
    <w:rsid w:val="00997948"/>
    <w:rsid w:val="009A5A29"/>
    <w:rsid w:val="009C2E95"/>
    <w:rsid w:val="009D0713"/>
    <w:rsid w:val="009D60CB"/>
    <w:rsid w:val="009F0A2D"/>
    <w:rsid w:val="00A13311"/>
    <w:rsid w:val="00A2275C"/>
    <w:rsid w:val="00A474E8"/>
    <w:rsid w:val="00A71921"/>
    <w:rsid w:val="00A80681"/>
    <w:rsid w:val="00A81700"/>
    <w:rsid w:val="00A9357F"/>
    <w:rsid w:val="00AB0B21"/>
    <w:rsid w:val="00AD6E86"/>
    <w:rsid w:val="00B03157"/>
    <w:rsid w:val="00B06AA1"/>
    <w:rsid w:val="00B07861"/>
    <w:rsid w:val="00B24103"/>
    <w:rsid w:val="00B26C86"/>
    <w:rsid w:val="00B31729"/>
    <w:rsid w:val="00B37E4D"/>
    <w:rsid w:val="00B44BBA"/>
    <w:rsid w:val="00B45D2E"/>
    <w:rsid w:val="00B5348A"/>
    <w:rsid w:val="00B92D9C"/>
    <w:rsid w:val="00B97C69"/>
    <w:rsid w:val="00BB63BD"/>
    <w:rsid w:val="00BD3B47"/>
    <w:rsid w:val="00BF5946"/>
    <w:rsid w:val="00C119D5"/>
    <w:rsid w:val="00C15B47"/>
    <w:rsid w:val="00C542E3"/>
    <w:rsid w:val="00C82357"/>
    <w:rsid w:val="00C84751"/>
    <w:rsid w:val="00C901A9"/>
    <w:rsid w:val="00CB380A"/>
    <w:rsid w:val="00CD045B"/>
    <w:rsid w:val="00CD0F7C"/>
    <w:rsid w:val="00CF73D0"/>
    <w:rsid w:val="00D14646"/>
    <w:rsid w:val="00D32569"/>
    <w:rsid w:val="00D51032"/>
    <w:rsid w:val="00D80693"/>
    <w:rsid w:val="00D92213"/>
    <w:rsid w:val="00D936F6"/>
    <w:rsid w:val="00DA5992"/>
    <w:rsid w:val="00DD17A3"/>
    <w:rsid w:val="00DD349D"/>
    <w:rsid w:val="00E01032"/>
    <w:rsid w:val="00E03905"/>
    <w:rsid w:val="00E12A8E"/>
    <w:rsid w:val="00E24DC0"/>
    <w:rsid w:val="00E25DC6"/>
    <w:rsid w:val="00E30F36"/>
    <w:rsid w:val="00E3654C"/>
    <w:rsid w:val="00E524DD"/>
    <w:rsid w:val="00E82F39"/>
    <w:rsid w:val="00E83461"/>
    <w:rsid w:val="00E96848"/>
    <w:rsid w:val="00E96C3F"/>
    <w:rsid w:val="00EB6827"/>
    <w:rsid w:val="00EC7C1A"/>
    <w:rsid w:val="00ED5DB8"/>
    <w:rsid w:val="00F429F0"/>
    <w:rsid w:val="00F61DA4"/>
    <w:rsid w:val="00F822C2"/>
    <w:rsid w:val="00F91220"/>
    <w:rsid w:val="00FA6918"/>
    <w:rsid w:val="00FB2CE1"/>
    <w:rsid w:val="00FB449A"/>
    <w:rsid w:val="00FF165D"/>
    <w:rsid w:val="00FF495D"/>
    <w:rsid w:val="00FF68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85A88"/>
  <w15:docId w15:val="{06AADBA0-B00E-47D7-A753-F5193B9B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link w:val="Titre1Car"/>
    <w:uiPriority w:val="9"/>
    <w:qFormat/>
    <w:pPr>
      <w:spacing w:before="1"/>
      <w:ind w:left="165" w:right="102"/>
      <w:jc w:val="center"/>
      <w:outlineLvl w:val="0"/>
    </w:pPr>
    <w:rPr>
      <w:b/>
      <w:bCs/>
      <w:sz w:val="28"/>
      <w:szCs w:val="28"/>
    </w:rPr>
  </w:style>
  <w:style w:type="paragraph" w:styleId="Titre2">
    <w:name w:val="heading 2"/>
    <w:basedOn w:val="Normal"/>
    <w:link w:val="Titre2Car"/>
    <w:uiPriority w:val="9"/>
    <w:qFormat/>
    <w:pPr>
      <w:spacing w:before="1"/>
      <w:ind w:left="141"/>
      <w:jc w:val="both"/>
      <w:outlineLvl w:val="1"/>
    </w:pPr>
    <w:rPr>
      <w:b/>
      <w:bCs/>
      <w:sz w:val="28"/>
      <w:szCs w:val="28"/>
    </w:rPr>
  </w:style>
  <w:style w:type="paragraph" w:styleId="Titre3">
    <w:name w:val="heading 3"/>
    <w:basedOn w:val="Normal"/>
    <w:link w:val="Titre3Car"/>
    <w:uiPriority w:val="9"/>
    <w:qFormat/>
    <w:pPr>
      <w:spacing w:before="1"/>
      <w:ind w:left="165" w:right="451"/>
      <w:jc w:val="center"/>
      <w:outlineLvl w:val="2"/>
    </w:pPr>
    <w:rPr>
      <w:sz w:val="28"/>
      <w:szCs w:val="28"/>
    </w:rPr>
  </w:style>
  <w:style w:type="paragraph" w:styleId="Titre4">
    <w:name w:val="heading 4"/>
    <w:basedOn w:val="Normal"/>
    <w:link w:val="Titre4Car"/>
    <w:qFormat/>
    <w:pPr>
      <w:spacing w:before="120"/>
      <w:ind w:left="561"/>
      <w:jc w:val="both"/>
      <w:outlineLvl w:val="3"/>
    </w:pPr>
    <w:rPr>
      <w:b/>
      <w:bCs/>
      <w:sz w:val="24"/>
      <w:szCs w:val="24"/>
    </w:rPr>
  </w:style>
  <w:style w:type="paragraph" w:styleId="Titre5">
    <w:name w:val="heading 5"/>
    <w:basedOn w:val="Normal"/>
    <w:link w:val="Titre5Car"/>
    <w:uiPriority w:val="9"/>
    <w:qFormat/>
    <w:pPr>
      <w:spacing w:before="120"/>
      <w:ind w:left="141"/>
      <w:jc w:val="both"/>
      <w:outlineLvl w:val="4"/>
    </w:pPr>
    <w:rPr>
      <w:b/>
      <w:bCs/>
      <w:i/>
      <w:iCs/>
      <w:sz w:val="24"/>
      <w:szCs w:val="24"/>
    </w:rPr>
  </w:style>
  <w:style w:type="paragraph" w:styleId="Titre6">
    <w:name w:val="heading 6"/>
    <w:basedOn w:val="Normal"/>
    <w:next w:val="Normal"/>
    <w:link w:val="Titre6Car"/>
    <w:uiPriority w:val="9"/>
    <w:semiHidden/>
    <w:unhideWhenUsed/>
    <w:qFormat/>
    <w:rsid w:val="00D80693"/>
    <w:pPr>
      <w:keepNext/>
      <w:keepLines/>
      <w:widowControl/>
      <w:autoSpaceDE/>
      <w:autoSpaceDN/>
      <w:spacing w:before="40" w:line="259" w:lineRule="auto"/>
      <w:outlineLvl w:val="5"/>
    </w:pPr>
    <w:rPr>
      <w:rFonts w:ascii="Aptos" w:hAnsi="Aptos"/>
      <w:i/>
      <w:iCs/>
      <w:color w:val="595959"/>
      <w:lang w:val="fr-SN"/>
    </w:rPr>
  </w:style>
  <w:style w:type="paragraph" w:styleId="Titre8">
    <w:name w:val="heading 8"/>
    <w:basedOn w:val="Normal"/>
    <w:next w:val="Normal"/>
    <w:link w:val="Titre8Car"/>
    <w:uiPriority w:val="9"/>
    <w:semiHidden/>
    <w:unhideWhenUsed/>
    <w:qFormat/>
    <w:rsid w:val="00D80693"/>
    <w:pPr>
      <w:keepNext/>
      <w:keepLines/>
      <w:widowControl/>
      <w:autoSpaceDE/>
      <w:autoSpaceDN/>
      <w:spacing w:before="80"/>
      <w:outlineLvl w:val="7"/>
    </w:pPr>
    <w:rPr>
      <w:rFonts w:ascii="Calibri Light" w:eastAsia="DengXian Light" w:hAnsi="Calibri Light"/>
      <w:color w:val="833C0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0"/>
      <w:ind w:left="568"/>
    </w:pPr>
    <w:rPr>
      <w:rFonts w:ascii="Calibri" w:eastAsia="Calibri" w:hAnsi="Calibri" w:cs="Calibri"/>
    </w:rPr>
  </w:style>
  <w:style w:type="paragraph" w:styleId="TM2">
    <w:name w:val="toc 2"/>
    <w:basedOn w:val="Normal"/>
    <w:uiPriority w:val="39"/>
    <w:qFormat/>
    <w:pPr>
      <w:spacing w:before="120"/>
      <w:ind w:left="568"/>
    </w:pPr>
    <w:rPr>
      <w:rFonts w:ascii="Calibri" w:eastAsia="Calibri" w:hAnsi="Calibri" w:cs="Calibri"/>
    </w:rPr>
  </w:style>
  <w:style w:type="paragraph" w:styleId="TM3">
    <w:name w:val="toc 3"/>
    <w:basedOn w:val="Normal"/>
    <w:uiPriority w:val="39"/>
    <w:qFormat/>
    <w:pPr>
      <w:spacing w:before="99"/>
      <w:ind w:left="568"/>
    </w:pPr>
    <w:rPr>
      <w:rFonts w:ascii="Calibri" w:eastAsia="Calibri" w:hAnsi="Calibri" w:cs="Calibri"/>
      <w:i/>
      <w:iCs/>
    </w:rPr>
  </w:style>
  <w:style w:type="paragraph" w:styleId="Corpsdetexte">
    <w:name w:val="Body Text"/>
    <w:basedOn w:val="Normal"/>
    <w:link w:val="CorpsdetexteCar"/>
    <w:uiPriority w:val="1"/>
    <w:qFormat/>
    <w:pPr>
      <w:spacing w:before="120"/>
      <w:ind w:left="141"/>
      <w:jc w:val="both"/>
    </w:pPr>
    <w:rPr>
      <w:sz w:val="24"/>
      <w:szCs w:val="24"/>
    </w:rPr>
  </w:style>
  <w:style w:type="paragraph" w:styleId="Paragraphedeliste">
    <w:name w:val="List Paragraph"/>
    <w:basedOn w:val="Normal"/>
    <w:link w:val="ParagraphedelisteCar"/>
    <w:uiPriority w:val="34"/>
    <w:qFormat/>
    <w:pPr>
      <w:spacing w:before="120"/>
      <w:ind w:left="861" w:hanging="360"/>
      <w:jc w:val="both"/>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3518BE"/>
    <w:pPr>
      <w:tabs>
        <w:tab w:val="center" w:pos="4536"/>
        <w:tab w:val="right" w:pos="9072"/>
      </w:tabs>
    </w:pPr>
  </w:style>
  <w:style w:type="character" w:customStyle="1" w:styleId="En-tteCar">
    <w:name w:val="En-tête Car"/>
    <w:basedOn w:val="Policepardfaut"/>
    <w:link w:val="En-tte"/>
    <w:uiPriority w:val="99"/>
    <w:rsid w:val="003518BE"/>
    <w:rPr>
      <w:rFonts w:ascii="Times New Roman" w:eastAsia="Times New Roman" w:hAnsi="Times New Roman" w:cs="Times New Roman"/>
      <w:lang w:val="fr-FR"/>
    </w:rPr>
  </w:style>
  <w:style w:type="paragraph" w:styleId="Pieddepage">
    <w:name w:val="footer"/>
    <w:basedOn w:val="Normal"/>
    <w:link w:val="PieddepageCar"/>
    <w:uiPriority w:val="99"/>
    <w:unhideWhenUsed/>
    <w:rsid w:val="003518BE"/>
    <w:pPr>
      <w:tabs>
        <w:tab w:val="center" w:pos="4536"/>
        <w:tab w:val="right" w:pos="9072"/>
      </w:tabs>
    </w:pPr>
  </w:style>
  <w:style w:type="character" w:customStyle="1" w:styleId="PieddepageCar">
    <w:name w:val="Pied de page Car"/>
    <w:basedOn w:val="Policepardfaut"/>
    <w:link w:val="Pieddepage"/>
    <w:uiPriority w:val="99"/>
    <w:rsid w:val="003518BE"/>
    <w:rPr>
      <w:rFonts w:ascii="Times New Roman" w:eastAsia="Times New Roman" w:hAnsi="Times New Roman" w:cs="Times New Roman"/>
      <w:lang w:val="fr-FR"/>
    </w:rPr>
  </w:style>
  <w:style w:type="table" w:styleId="Grilledutableau">
    <w:name w:val="Table Grid"/>
    <w:basedOn w:val="TableauNormal"/>
    <w:uiPriority w:val="39"/>
    <w:rsid w:val="003834A7"/>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D5DB8"/>
  </w:style>
  <w:style w:type="character" w:customStyle="1" w:styleId="Titre3Car">
    <w:name w:val="Titre 3 Car"/>
    <w:basedOn w:val="Policepardfaut"/>
    <w:link w:val="Titre3"/>
    <w:uiPriority w:val="9"/>
    <w:rsid w:val="00ED5DB8"/>
    <w:rPr>
      <w:rFonts w:ascii="Times New Roman" w:eastAsia="Times New Roman" w:hAnsi="Times New Roman" w:cs="Times New Roman"/>
      <w:sz w:val="28"/>
      <w:szCs w:val="28"/>
      <w:lang w:val="fr-FR"/>
    </w:rPr>
  </w:style>
  <w:style w:type="character" w:customStyle="1" w:styleId="Lienhypertexte1">
    <w:name w:val="Lien hypertexte1"/>
    <w:basedOn w:val="Policepardfaut"/>
    <w:uiPriority w:val="99"/>
    <w:unhideWhenUsed/>
    <w:rsid w:val="00ED5DB8"/>
    <w:rPr>
      <w:color w:val="0563C1"/>
      <w:u w:val="single"/>
    </w:rPr>
  </w:style>
  <w:style w:type="character" w:customStyle="1" w:styleId="Titre4Car">
    <w:name w:val="Titre 4 Car"/>
    <w:basedOn w:val="Policepardfaut"/>
    <w:link w:val="Titre4"/>
    <w:uiPriority w:val="9"/>
    <w:rsid w:val="00ED5DB8"/>
    <w:rPr>
      <w:rFonts w:ascii="Times New Roman" w:eastAsia="Times New Roman" w:hAnsi="Times New Roman" w:cs="Times New Roman"/>
      <w:b/>
      <w:bCs/>
      <w:sz w:val="24"/>
      <w:szCs w:val="24"/>
      <w:lang w:val="fr-FR"/>
    </w:rPr>
  </w:style>
  <w:style w:type="character" w:styleId="Marquedecommentaire">
    <w:name w:val="annotation reference"/>
    <w:basedOn w:val="Policepardfaut"/>
    <w:uiPriority w:val="99"/>
    <w:semiHidden/>
    <w:unhideWhenUsed/>
    <w:rsid w:val="00ED5DB8"/>
    <w:rPr>
      <w:sz w:val="16"/>
      <w:szCs w:val="16"/>
    </w:rPr>
  </w:style>
  <w:style w:type="paragraph" w:styleId="Commentaire">
    <w:name w:val="annotation text"/>
    <w:basedOn w:val="Normal"/>
    <w:link w:val="CommentaireCar"/>
    <w:uiPriority w:val="99"/>
    <w:semiHidden/>
    <w:unhideWhenUsed/>
    <w:rsid w:val="00ED5DB8"/>
    <w:pPr>
      <w:widowControl/>
      <w:autoSpaceDE/>
      <w:autoSpaceDN/>
      <w:spacing w:after="160"/>
    </w:pPr>
    <w:rPr>
      <w:rFonts w:ascii="Calibri" w:eastAsia="Calibri" w:hAnsi="Calibri"/>
      <w:sz w:val="20"/>
      <w:szCs w:val="20"/>
    </w:rPr>
  </w:style>
  <w:style w:type="character" w:customStyle="1" w:styleId="CommentaireCar">
    <w:name w:val="Commentaire Car"/>
    <w:basedOn w:val="Policepardfaut"/>
    <w:link w:val="Commentaire"/>
    <w:uiPriority w:val="99"/>
    <w:semiHidden/>
    <w:rsid w:val="00ED5DB8"/>
    <w:rPr>
      <w:rFonts w:ascii="Calibri" w:eastAsia="Calibri" w:hAnsi="Calibri"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ED5DB8"/>
    <w:rPr>
      <w:b/>
      <w:bCs/>
    </w:rPr>
  </w:style>
  <w:style w:type="character" w:customStyle="1" w:styleId="ObjetducommentaireCar">
    <w:name w:val="Objet du commentaire Car"/>
    <w:basedOn w:val="CommentaireCar"/>
    <w:link w:val="Objetducommentaire"/>
    <w:uiPriority w:val="99"/>
    <w:semiHidden/>
    <w:rsid w:val="00ED5DB8"/>
    <w:rPr>
      <w:rFonts w:ascii="Calibri" w:eastAsia="Calibri" w:hAnsi="Calibri" w:cs="Times New Roman"/>
      <w:b/>
      <w:bCs/>
      <w:sz w:val="20"/>
      <w:szCs w:val="20"/>
      <w:lang w:val="fr-FR"/>
    </w:rPr>
  </w:style>
  <w:style w:type="paragraph" w:styleId="Textedebulles">
    <w:name w:val="Balloon Text"/>
    <w:basedOn w:val="Normal"/>
    <w:link w:val="TextedebullesCar"/>
    <w:uiPriority w:val="99"/>
    <w:semiHidden/>
    <w:unhideWhenUsed/>
    <w:rsid w:val="00ED5DB8"/>
    <w:pPr>
      <w:widowControl/>
      <w:autoSpaceDE/>
      <w:autoSpaceDN/>
    </w:pPr>
    <w:rPr>
      <w:rFonts w:ascii="Segoe UI" w:eastAsia="Calibri" w:hAnsi="Segoe UI" w:cs="Segoe UI"/>
      <w:sz w:val="18"/>
      <w:szCs w:val="18"/>
    </w:rPr>
  </w:style>
  <w:style w:type="character" w:customStyle="1" w:styleId="TextedebullesCar">
    <w:name w:val="Texte de bulles Car"/>
    <w:basedOn w:val="Policepardfaut"/>
    <w:link w:val="Textedebulles"/>
    <w:uiPriority w:val="99"/>
    <w:semiHidden/>
    <w:rsid w:val="00ED5DB8"/>
    <w:rPr>
      <w:rFonts w:ascii="Segoe UI" w:eastAsia="Calibri" w:hAnsi="Segoe UI" w:cs="Segoe UI"/>
      <w:sz w:val="18"/>
      <w:szCs w:val="18"/>
      <w:lang w:val="fr-FR"/>
    </w:rPr>
  </w:style>
  <w:style w:type="character" w:customStyle="1" w:styleId="fadeinm1hgl8">
    <w:name w:val="_fadein_m1hgl_8"/>
    <w:basedOn w:val="Policepardfaut"/>
    <w:rsid w:val="00ED5DB8"/>
  </w:style>
  <w:style w:type="paragraph" w:styleId="NormalWeb">
    <w:name w:val="Normal (Web)"/>
    <w:basedOn w:val="Normal"/>
    <w:uiPriority w:val="99"/>
    <w:unhideWhenUsed/>
    <w:rsid w:val="00ED5DB8"/>
    <w:pPr>
      <w:widowControl/>
      <w:autoSpaceDE/>
      <w:autoSpaceDN/>
      <w:spacing w:before="100" w:beforeAutospacing="1" w:after="100" w:afterAutospacing="1"/>
    </w:pPr>
    <w:rPr>
      <w:sz w:val="24"/>
      <w:szCs w:val="24"/>
      <w:lang w:eastAsia="fr-FR"/>
    </w:rPr>
  </w:style>
  <w:style w:type="paragraph" w:customStyle="1" w:styleId="Sansinterligne1">
    <w:name w:val="Sans interligne1"/>
    <w:next w:val="Sansinterligne"/>
    <w:link w:val="SansinterligneCar"/>
    <w:uiPriority w:val="1"/>
    <w:qFormat/>
    <w:rsid w:val="00ED5DB8"/>
    <w:pPr>
      <w:widowControl/>
      <w:autoSpaceDE/>
      <w:autoSpaceDN/>
    </w:pPr>
    <w:rPr>
      <w:rFonts w:ascii="Times New Roman" w:eastAsia="Times New Roman" w:hAnsi="Times New Roman"/>
      <w:b/>
      <w:color w:val="000000"/>
      <w:sz w:val="24"/>
      <w:szCs w:val="21"/>
      <w:lang w:val="fr-FR"/>
    </w:rPr>
  </w:style>
  <w:style w:type="character" w:customStyle="1" w:styleId="SansinterligneCar">
    <w:name w:val="Sans interligne Car"/>
    <w:basedOn w:val="Policepardfaut"/>
    <w:link w:val="Sansinterligne1"/>
    <w:uiPriority w:val="1"/>
    <w:rsid w:val="00ED5DB8"/>
    <w:rPr>
      <w:rFonts w:ascii="Times New Roman" w:eastAsia="Times New Roman" w:hAnsi="Times New Roman"/>
      <w:b/>
      <w:color w:val="000000"/>
      <w:sz w:val="24"/>
      <w:szCs w:val="21"/>
    </w:rPr>
  </w:style>
  <w:style w:type="character" w:customStyle="1" w:styleId="Titre2Car">
    <w:name w:val="Titre 2 Car"/>
    <w:basedOn w:val="Policepardfaut"/>
    <w:link w:val="Titre2"/>
    <w:uiPriority w:val="9"/>
    <w:rsid w:val="00ED5DB8"/>
    <w:rPr>
      <w:rFonts w:ascii="Times New Roman" w:eastAsia="Times New Roman" w:hAnsi="Times New Roman" w:cs="Times New Roman"/>
      <w:b/>
      <w:bCs/>
      <w:sz w:val="28"/>
      <w:szCs w:val="28"/>
      <w:lang w:val="fr-FR"/>
    </w:rPr>
  </w:style>
  <w:style w:type="character" w:customStyle="1" w:styleId="Titre1Car">
    <w:name w:val="Titre 1 Car"/>
    <w:basedOn w:val="Policepardfaut"/>
    <w:link w:val="Titre1"/>
    <w:uiPriority w:val="9"/>
    <w:rsid w:val="00ED5DB8"/>
    <w:rPr>
      <w:rFonts w:ascii="Times New Roman" w:eastAsia="Times New Roman" w:hAnsi="Times New Roman" w:cs="Times New Roman"/>
      <w:b/>
      <w:bCs/>
      <w:sz w:val="28"/>
      <w:szCs w:val="28"/>
      <w:lang w:val="fr-FR"/>
    </w:rPr>
  </w:style>
  <w:style w:type="paragraph" w:customStyle="1" w:styleId="Lgende1">
    <w:name w:val="Légende1"/>
    <w:basedOn w:val="Normal"/>
    <w:next w:val="Normal"/>
    <w:uiPriority w:val="35"/>
    <w:unhideWhenUsed/>
    <w:qFormat/>
    <w:rsid w:val="00ED5DB8"/>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TableGrid0">
    <w:name w:val="Table Grid_0"/>
    <w:basedOn w:val="TableauNormal"/>
    <w:uiPriority w:val="39"/>
    <w:rsid w:val="00ED5DB8"/>
    <w:pPr>
      <w:widowControl/>
      <w:autoSpaceDE/>
      <w:autoSpaceDN/>
    </w:pPr>
    <w:rPr>
      <w:kern w:val="2"/>
      <w:sz w:val="24"/>
      <w:szCs w:val="24"/>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next w:val="Grilledetableauclaire"/>
    <w:uiPriority w:val="40"/>
    <w:rsid w:val="00ED5DB8"/>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1">
    <w:name w:val="Bibliographie1"/>
    <w:basedOn w:val="Normal"/>
    <w:next w:val="Normal"/>
    <w:uiPriority w:val="37"/>
    <w:unhideWhenUsed/>
    <w:rsid w:val="00ED5DB8"/>
    <w:pPr>
      <w:widowControl/>
      <w:autoSpaceDE/>
      <w:autoSpaceDN/>
      <w:spacing w:after="160" w:line="300" w:lineRule="auto"/>
    </w:pPr>
    <w:rPr>
      <w:rFonts w:ascii="Calibri" w:hAnsi="Calibri"/>
      <w:sz w:val="21"/>
      <w:szCs w:val="21"/>
    </w:rPr>
  </w:style>
  <w:style w:type="character" w:styleId="lev">
    <w:name w:val="Strong"/>
    <w:uiPriority w:val="22"/>
    <w:qFormat/>
    <w:rsid w:val="00ED5DB8"/>
    <w:rPr>
      <w:b/>
      <w:bCs/>
    </w:rPr>
  </w:style>
  <w:style w:type="character" w:styleId="Appelnotedebasdep">
    <w:name w:val="footnote reference"/>
    <w:uiPriority w:val="99"/>
    <w:semiHidden/>
    <w:unhideWhenUsed/>
    <w:rsid w:val="00ED5DB8"/>
    <w:rPr>
      <w:vertAlign w:val="superscript"/>
    </w:rPr>
  </w:style>
  <w:style w:type="paragraph" w:styleId="Notedebasdepage">
    <w:name w:val="footnote text"/>
    <w:basedOn w:val="Normal"/>
    <w:link w:val="NotedebasdepageCar"/>
    <w:uiPriority w:val="99"/>
    <w:unhideWhenUsed/>
    <w:rsid w:val="00ED5DB8"/>
    <w:pPr>
      <w:widowControl/>
      <w:autoSpaceDE/>
      <w:autoSpaceDN/>
    </w:pPr>
    <w:rPr>
      <w:rFonts w:ascii="Calibri" w:eastAsia="Calibri" w:hAnsi="Calibri"/>
      <w:sz w:val="20"/>
      <w:szCs w:val="20"/>
    </w:rPr>
  </w:style>
  <w:style w:type="character" w:customStyle="1" w:styleId="NotedebasdepageCar">
    <w:name w:val="Note de bas de page Car"/>
    <w:basedOn w:val="Policepardfaut"/>
    <w:link w:val="Notedebasdepage"/>
    <w:uiPriority w:val="99"/>
    <w:rsid w:val="00ED5DB8"/>
    <w:rPr>
      <w:rFonts w:ascii="Calibri" w:eastAsia="Calibri" w:hAnsi="Calibri" w:cs="Times New Roman"/>
      <w:sz w:val="20"/>
      <w:szCs w:val="20"/>
      <w:lang w:val="fr-FR"/>
    </w:rPr>
  </w:style>
  <w:style w:type="paragraph" w:customStyle="1" w:styleId="Default">
    <w:name w:val="Default"/>
    <w:rsid w:val="00ED5DB8"/>
    <w:pPr>
      <w:widowControl/>
      <w:adjustRightInd w:val="0"/>
    </w:pPr>
    <w:rPr>
      <w:rFonts w:ascii="Times New Roman" w:hAnsi="Times New Roman" w:cs="Times New Roman"/>
      <w:color w:val="000000"/>
      <w:sz w:val="24"/>
      <w:szCs w:val="24"/>
      <w:lang w:val="fr-FR"/>
    </w:rPr>
  </w:style>
  <w:style w:type="table" w:customStyle="1" w:styleId="TableGrid1">
    <w:name w:val="Table Grid_1"/>
    <w:basedOn w:val="TableauNormal"/>
    <w:uiPriority w:val="59"/>
    <w:rsid w:val="00ED5DB8"/>
    <w:pPr>
      <w:widowControl/>
      <w:autoSpaceDE/>
      <w:autoSpaceDN/>
    </w:pPr>
    <w:rPr>
      <w:rFonts w:ascii="Calibri" w:eastAsia="Calibri" w:hAnsi="Calibri" w:cs="SimSu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auNormal"/>
    <w:uiPriority w:val="39"/>
    <w:qFormat/>
    <w:rsid w:val="00ED5DB8"/>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_1_0"/>
    <w:basedOn w:val="TableauNormal"/>
    <w:uiPriority w:val="59"/>
    <w:rsid w:val="00ED5DB8"/>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auNormal"/>
    <w:uiPriority w:val="39"/>
    <w:rsid w:val="00ED5DB8"/>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auNormal"/>
    <w:uiPriority w:val="39"/>
    <w:rsid w:val="00ED5DB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0">
    <w:name w:val="Table Grid_0_0_0"/>
    <w:basedOn w:val="TableauNormal"/>
    <w:uiPriority w:val="39"/>
    <w:rsid w:val="00ED5DB8"/>
    <w:pPr>
      <w:widowControl/>
      <w:autoSpaceDE/>
      <w:autoSpaceDN/>
    </w:pPr>
    <w:rPr>
      <w:rFonts w:ascii="Calibri" w:eastAsia="DengXian" w:hAnsi="Calibri" w:cs="Times New Roman"/>
      <w:kern w:val="2"/>
      <w:sz w:val="24"/>
      <w:szCs w:val="24"/>
      <w:lang w:val="fr-FR"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auNormal"/>
    <w:next w:val="Tableausimple2"/>
    <w:uiPriority w:val="42"/>
    <w:rsid w:val="00ED5DB8"/>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0">
    <w:name w:val="Table Grid_1_0_0"/>
    <w:basedOn w:val="TableauNormal"/>
    <w:uiPriority w:val="39"/>
    <w:rsid w:val="00ED5DB8"/>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auNormal"/>
    <w:uiPriority w:val="39"/>
    <w:rsid w:val="00ED5DB8"/>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ED5DB8"/>
  </w:style>
  <w:style w:type="table" w:customStyle="1" w:styleId="TableGrid01">
    <w:name w:val="Table Grid_0_1"/>
    <w:basedOn w:val="TableauNormal"/>
    <w:uiPriority w:val="39"/>
    <w:rsid w:val="00ED5DB8"/>
    <w:pPr>
      <w:widowControl/>
      <w:autoSpaceDE/>
      <w:autoSpaceDN/>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auNormal"/>
    <w:uiPriority w:val="39"/>
    <w:rsid w:val="00ED5DB8"/>
    <w:pPr>
      <w:widowControl/>
      <w:autoSpaceDE/>
      <w:autoSpaceDN/>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ED5DB8"/>
    <w:pPr>
      <w:widowControl/>
      <w:autoSpaceDE/>
      <w:autoSpaceDN/>
      <w:spacing w:line="276" w:lineRule="auto"/>
    </w:pPr>
    <w:rPr>
      <w:rFonts w:ascii="Arial" w:eastAsia="Arial" w:hAnsi="Arial" w:cs="Arial"/>
      <w:lang w:val="fr" w:eastAsia="fr-FR"/>
    </w:rPr>
    <w:tblPr>
      <w:tblCellMar>
        <w:top w:w="0" w:type="dxa"/>
        <w:left w:w="0" w:type="dxa"/>
        <w:bottom w:w="0" w:type="dxa"/>
        <w:right w:w="0" w:type="dxa"/>
      </w:tblCellMar>
    </w:tblPr>
  </w:style>
  <w:style w:type="table" w:customStyle="1" w:styleId="a">
    <w:name w:val="a"/>
    <w:basedOn w:val="TableNormal0"/>
    <w:rsid w:val="00ED5DB8"/>
    <w:pPr>
      <w:spacing w:after="160" w:line="259" w:lineRule="auto"/>
    </w:pPr>
    <w:rPr>
      <w:rFonts w:ascii="Aptos" w:eastAsia="Aptos" w:hAnsi="Aptos" w:cs="Times New Roman"/>
      <w:kern w:val="2"/>
      <w:lang w:val="en-US"/>
      <w14:ligatures w14:val="standardContextual"/>
    </w:rPr>
    <w:tblPr>
      <w:tblStyleRowBandSize w:val="1"/>
      <w:tblStyleColBandSize w:val="1"/>
      <w:tblCellMar>
        <w:top w:w="100" w:type="dxa"/>
        <w:left w:w="100" w:type="dxa"/>
        <w:bottom w:w="100" w:type="dxa"/>
        <w:right w:w="100" w:type="dxa"/>
      </w:tblCellMar>
    </w:tblPr>
  </w:style>
  <w:style w:type="table" w:customStyle="1" w:styleId="Grilledutableau1">
    <w:name w:val="Grille du tableau1"/>
    <w:basedOn w:val="TableauNormal"/>
    <w:uiPriority w:val="59"/>
    <w:rsid w:val="00ED5DB8"/>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TableauNormal"/>
    <w:uiPriority w:val="39"/>
    <w:rsid w:val="00ED5DB8"/>
    <w:pPr>
      <w:widowControl/>
      <w:autoSpaceDE/>
      <w:autoSpaceDN/>
    </w:pPr>
    <w:rPr>
      <w:rFonts w:ascii="Calibri" w:eastAsia="Calibri" w:hAnsi="Calibri" w:cs="Times New Roman"/>
      <w:kern w:val="2"/>
      <w:sz w:val="24"/>
      <w:szCs w:val="24"/>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ED5DB8"/>
    <w:rPr>
      <w:i/>
      <w:iCs/>
    </w:rPr>
  </w:style>
  <w:style w:type="table" w:customStyle="1" w:styleId="a0">
    <w:name w:val="a0"/>
    <w:basedOn w:val="TableNormal0"/>
    <w:rsid w:val="00ED5DB8"/>
    <w:rPr>
      <w:lang w:val="fr-FR"/>
    </w:rPr>
    <w:tblPr>
      <w:tblStyleRowBandSize w:val="1"/>
      <w:tblStyleColBandSize w:val="1"/>
      <w:tblCellMar>
        <w:top w:w="100" w:type="dxa"/>
        <w:left w:w="100" w:type="dxa"/>
        <w:bottom w:w="100" w:type="dxa"/>
        <w:right w:w="100" w:type="dxa"/>
      </w:tblCellMar>
    </w:tblPr>
  </w:style>
  <w:style w:type="table" w:customStyle="1" w:styleId="a3">
    <w:name w:val="a3"/>
    <w:basedOn w:val="TableNormal0"/>
    <w:rsid w:val="00ED5DB8"/>
    <w:rPr>
      <w:lang w:val="fr-FR"/>
    </w:rPr>
    <w:tblPr>
      <w:tblStyleRowBandSize w:val="1"/>
      <w:tblStyleColBandSize w:val="1"/>
      <w:tblCellMar>
        <w:top w:w="100" w:type="dxa"/>
        <w:left w:w="100" w:type="dxa"/>
        <w:bottom w:w="100" w:type="dxa"/>
        <w:right w:w="100" w:type="dxa"/>
      </w:tblCellMar>
    </w:tblPr>
  </w:style>
  <w:style w:type="table" w:customStyle="1" w:styleId="TableGrid02">
    <w:name w:val="Table Grid_0_2"/>
    <w:basedOn w:val="TableauNormal"/>
    <w:uiPriority w:val="39"/>
    <w:rsid w:val="00ED5DB8"/>
    <w:pPr>
      <w:widowControl/>
      <w:autoSpaceDE/>
      <w:autoSpaceDN/>
    </w:pPr>
    <w:rPr>
      <w:rFonts w:ascii="Calibri" w:eastAsia="Calibri" w:hAnsi="Calibri" w:cs="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_1_1"/>
    <w:basedOn w:val="TableauNormal"/>
    <w:uiPriority w:val="39"/>
    <w:rsid w:val="00ED5DB8"/>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551731197msonormal">
    <w:name w:val="yiv5551731197msonormal"/>
    <w:basedOn w:val="Normal"/>
    <w:rsid w:val="00ED5DB8"/>
    <w:pPr>
      <w:widowControl/>
      <w:autoSpaceDE/>
      <w:spacing w:before="100" w:after="100"/>
    </w:pPr>
    <w:rPr>
      <w:sz w:val="24"/>
      <w:szCs w:val="24"/>
      <w:lang w:eastAsia="fr-FR"/>
    </w:rPr>
  </w:style>
  <w:style w:type="table" w:customStyle="1" w:styleId="TableGrid20">
    <w:name w:val="Table Grid_2_0"/>
    <w:basedOn w:val="TableauNormal"/>
    <w:uiPriority w:val="39"/>
    <w:rsid w:val="00ED5DB8"/>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1">
    <w:name w:val="Table Grid_0_0_1"/>
    <w:basedOn w:val="TableauNormal"/>
    <w:uiPriority w:val="39"/>
    <w:rsid w:val="00ED5DB8"/>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_1_0_1"/>
    <w:basedOn w:val="TableauNormal"/>
    <w:uiPriority w:val="39"/>
    <w:rsid w:val="00ED5DB8"/>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ED5DB8"/>
  </w:style>
  <w:style w:type="character" w:customStyle="1" w:styleId="auteur">
    <w:name w:val="auteur"/>
    <w:basedOn w:val="Policepardfaut"/>
    <w:rsid w:val="00ED5DB8"/>
  </w:style>
  <w:style w:type="character" w:customStyle="1" w:styleId="in-revue">
    <w:name w:val="in-revue"/>
    <w:basedOn w:val="Policepardfaut"/>
    <w:rsid w:val="00ED5DB8"/>
  </w:style>
  <w:style w:type="character" w:customStyle="1" w:styleId="titre-revue">
    <w:name w:val="titre-revue"/>
    <w:basedOn w:val="Policepardfaut"/>
    <w:rsid w:val="00ED5DB8"/>
  </w:style>
  <w:style w:type="character" w:customStyle="1" w:styleId="hgkelc">
    <w:name w:val="hgkelc"/>
    <w:basedOn w:val="Policepardfaut"/>
    <w:rsid w:val="00ED5DB8"/>
  </w:style>
  <w:style w:type="character" w:customStyle="1" w:styleId="CorpsdetexteCar">
    <w:name w:val="Corps de texte Car"/>
    <w:basedOn w:val="Policepardfaut"/>
    <w:link w:val="Corpsdetexte"/>
    <w:uiPriority w:val="1"/>
    <w:rsid w:val="00ED5DB8"/>
    <w:rPr>
      <w:rFonts w:ascii="Times New Roman" w:eastAsia="Times New Roman" w:hAnsi="Times New Roman" w:cs="Times New Roman"/>
      <w:sz w:val="24"/>
      <w:szCs w:val="24"/>
      <w:lang w:val="fr-FR"/>
    </w:rPr>
  </w:style>
  <w:style w:type="character" w:customStyle="1" w:styleId="ml-05">
    <w:name w:val="ml-0.5"/>
    <w:basedOn w:val="Policepardfaut"/>
    <w:rsid w:val="00ED5DB8"/>
  </w:style>
  <w:style w:type="character" w:customStyle="1" w:styleId="text-gray-900">
    <w:name w:val="text-gray-900"/>
    <w:basedOn w:val="Policepardfaut"/>
    <w:rsid w:val="00ED5DB8"/>
  </w:style>
  <w:style w:type="character" w:customStyle="1" w:styleId="Mentionnonrsolue1">
    <w:name w:val="Mention non résolue1"/>
    <w:basedOn w:val="Policepardfaut"/>
    <w:uiPriority w:val="99"/>
    <w:semiHidden/>
    <w:unhideWhenUsed/>
    <w:rsid w:val="00ED5DB8"/>
    <w:rPr>
      <w:color w:val="605E5C"/>
      <w:shd w:val="clear" w:color="auto" w:fill="E1DFDD"/>
    </w:rPr>
  </w:style>
  <w:style w:type="character" w:customStyle="1" w:styleId="Lienhypertextesuivivisit1">
    <w:name w:val="Lien hypertexte suivi visité1"/>
    <w:basedOn w:val="Policepardfaut"/>
    <w:uiPriority w:val="99"/>
    <w:semiHidden/>
    <w:unhideWhenUsed/>
    <w:rsid w:val="00ED5DB8"/>
    <w:rPr>
      <w:color w:val="954F72"/>
      <w:u w:val="single"/>
    </w:rPr>
  </w:style>
  <w:style w:type="character" w:styleId="Lienhypertexte">
    <w:name w:val="Hyperlink"/>
    <w:basedOn w:val="Policepardfaut"/>
    <w:uiPriority w:val="99"/>
    <w:unhideWhenUsed/>
    <w:rsid w:val="00ED5DB8"/>
    <w:rPr>
      <w:color w:val="0000FF" w:themeColor="hyperlink"/>
      <w:u w:val="single"/>
    </w:rPr>
  </w:style>
  <w:style w:type="paragraph" w:styleId="Sansinterligne">
    <w:name w:val="No Spacing"/>
    <w:uiPriority w:val="1"/>
    <w:qFormat/>
    <w:rsid w:val="00ED5DB8"/>
    <w:rPr>
      <w:rFonts w:ascii="Times New Roman" w:eastAsia="Times New Roman" w:hAnsi="Times New Roman" w:cs="Times New Roman"/>
      <w:lang w:val="fr-FR"/>
    </w:rPr>
  </w:style>
  <w:style w:type="table" w:styleId="Grilledetableauclaire">
    <w:name w:val="Grid Table Light"/>
    <w:basedOn w:val="TableauNormal"/>
    <w:uiPriority w:val="40"/>
    <w:rsid w:val="00ED5D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ED5D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suivivisit">
    <w:name w:val="FollowedHyperlink"/>
    <w:basedOn w:val="Policepardfaut"/>
    <w:uiPriority w:val="99"/>
    <w:semiHidden/>
    <w:unhideWhenUsed/>
    <w:rsid w:val="00ED5DB8"/>
    <w:rPr>
      <w:color w:val="800080" w:themeColor="followedHyperlink"/>
      <w:u w:val="single"/>
    </w:rPr>
  </w:style>
  <w:style w:type="numbering" w:customStyle="1" w:styleId="Aucuneliste2">
    <w:name w:val="Aucune liste2"/>
    <w:next w:val="Aucuneliste"/>
    <w:uiPriority w:val="99"/>
    <w:semiHidden/>
    <w:unhideWhenUsed/>
    <w:rsid w:val="00234F13"/>
  </w:style>
  <w:style w:type="paragraph" w:customStyle="1" w:styleId="Lgende2">
    <w:name w:val="Légende2"/>
    <w:basedOn w:val="Normal"/>
    <w:next w:val="Normal"/>
    <w:uiPriority w:val="35"/>
    <w:unhideWhenUsed/>
    <w:qFormat/>
    <w:rsid w:val="00234F13"/>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2">
    <w:name w:val="Grille de tableau claire2"/>
    <w:basedOn w:val="TableauNormal"/>
    <w:next w:val="Grilledetableauclaire"/>
    <w:uiPriority w:val="40"/>
    <w:rsid w:val="00234F13"/>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2">
    <w:name w:val="Bibliographie2"/>
    <w:basedOn w:val="Normal"/>
    <w:next w:val="Normal"/>
    <w:uiPriority w:val="37"/>
    <w:unhideWhenUsed/>
    <w:rsid w:val="00234F13"/>
    <w:pPr>
      <w:widowControl/>
      <w:autoSpaceDE/>
      <w:autoSpaceDN/>
      <w:spacing w:after="160" w:line="300" w:lineRule="auto"/>
    </w:pPr>
    <w:rPr>
      <w:rFonts w:ascii="Calibri" w:hAnsi="Calibri"/>
      <w:sz w:val="21"/>
      <w:szCs w:val="21"/>
    </w:rPr>
  </w:style>
  <w:style w:type="table" w:customStyle="1" w:styleId="TableGrid0010">
    <w:name w:val="Table Grid_0_01"/>
    <w:basedOn w:val="TableauNormal"/>
    <w:uiPriority w:val="39"/>
    <w:qFormat/>
    <w:rsid w:val="00234F13"/>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2">
    <w:name w:val="Tableau simple 22"/>
    <w:basedOn w:val="TableauNormal"/>
    <w:next w:val="Tableausimple2"/>
    <w:uiPriority w:val="42"/>
    <w:rsid w:val="00234F13"/>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3">
    <w:name w:val="Aucune liste3"/>
    <w:next w:val="Aucuneliste"/>
    <w:uiPriority w:val="99"/>
    <w:semiHidden/>
    <w:unhideWhenUsed/>
    <w:rsid w:val="00234F13"/>
  </w:style>
  <w:style w:type="paragraph" w:customStyle="1" w:styleId="Lgende3">
    <w:name w:val="Légende3"/>
    <w:basedOn w:val="Normal"/>
    <w:next w:val="Normal"/>
    <w:uiPriority w:val="35"/>
    <w:unhideWhenUsed/>
    <w:qFormat/>
    <w:rsid w:val="00234F13"/>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3">
    <w:name w:val="Grille de tableau claire3"/>
    <w:basedOn w:val="TableauNormal"/>
    <w:next w:val="Grilledetableauclaire"/>
    <w:uiPriority w:val="40"/>
    <w:rsid w:val="00234F13"/>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3">
    <w:name w:val="Bibliographie3"/>
    <w:basedOn w:val="Normal"/>
    <w:next w:val="Normal"/>
    <w:uiPriority w:val="37"/>
    <w:unhideWhenUsed/>
    <w:rsid w:val="00234F13"/>
    <w:pPr>
      <w:widowControl/>
      <w:autoSpaceDE/>
      <w:autoSpaceDN/>
      <w:spacing w:after="160" w:line="300" w:lineRule="auto"/>
    </w:pPr>
    <w:rPr>
      <w:rFonts w:ascii="Calibri" w:hAnsi="Calibri"/>
      <w:sz w:val="21"/>
      <w:szCs w:val="21"/>
    </w:rPr>
  </w:style>
  <w:style w:type="table" w:customStyle="1" w:styleId="TableGrid002">
    <w:name w:val="Table Grid_0_02"/>
    <w:basedOn w:val="TableauNormal"/>
    <w:uiPriority w:val="39"/>
    <w:qFormat/>
    <w:rsid w:val="00234F13"/>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3">
    <w:name w:val="Tableau simple 23"/>
    <w:basedOn w:val="TableauNormal"/>
    <w:next w:val="Tableausimple2"/>
    <w:uiPriority w:val="42"/>
    <w:rsid w:val="00234F13"/>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4">
    <w:name w:val="Aucune liste4"/>
    <w:next w:val="Aucuneliste"/>
    <w:uiPriority w:val="99"/>
    <w:semiHidden/>
    <w:unhideWhenUsed/>
    <w:rsid w:val="006C410C"/>
  </w:style>
  <w:style w:type="paragraph" w:customStyle="1" w:styleId="Lgende4">
    <w:name w:val="Légende4"/>
    <w:basedOn w:val="Normal"/>
    <w:next w:val="Normal"/>
    <w:uiPriority w:val="35"/>
    <w:unhideWhenUsed/>
    <w:qFormat/>
    <w:rsid w:val="006C410C"/>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4">
    <w:name w:val="Grille de tableau claire4"/>
    <w:basedOn w:val="TableauNormal"/>
    <w:next w:val="Grilledetableauclaire"/>
    <w:uiPriority w:val="40"/>
    <w:rsid w:val="006C410C"/>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4">
    <w:name w:val="Bibliographie4"/>
    <w:basedOn w:val="Normal"/>
    <w:next w:val="Normal"/>
    <w:uiPriority w:val="37"/>
    <w:unhideWhenUsed/>
    <w:rsid w:val="006C410C"/>
    <w:pPr>
      <w:widowControl/>
      <w:autoSpaceDE/>
      <w:autoSpaceDN/>
      <w:spacing w:after="160" w:line="300" w:lineRule="auto"/>
    </w:pPr>
    <w:rPr>
      <w:rFonts w:ascii="Calibri" w:hAnsi="Calibri"/>
      <w:sz w:val="21"/>
      <w:szCs w:val="21"/>
    </w:rPr>
  </w:style>
  <w:style w:type="table" w:customStyle="1" w:styleId="TableGrid003">
    <w:name w:val="Table Grid_0_03"/>
    <w:basedOn w:val="TableauNormal"/>
    <w:uiPriority w:val="39"/>
    <w:qFormat/>
    <w:rsid w:val="006C410C"/>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4">
    <w:name w:val="Tableau simple 24"/>
    <w:basedOn w:val="TableauNormal"/>
    <w:next w:val="Tableausimple2"/>
    <w:uiPriority w:val="42"/>
    <w:rsid w:val="006C410C"/>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5">
    <w:name w:val="Aucune liste5"/>
    <w:next w:val="Aucuneliste"/>
    <w:uiPriority w:val="99"/>
    <w:semiHidden/>
    <w:unhideWhenUsed/>
    <w:rsid w:val="009F0A2D"/>
  </w:style>
  <w:style w:type="paragraph" w:customStyle="1" w:styleId="Lgende5">
    <w:name w:val="Légende5"/>
    <w:basedOn w:val="Normal"/>
    <w:next w:val="Normal"/>
    <w:uiPriority w:val="35"/>
    <w:unhideWhenUsed/>
    <w:qFormat/>
    <w:rsid w:val="009F0A2D"/>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5">
    <w:name w:val="Grille de tableau claire5"/>
    <w:basedOn w:val="TableauNormal"/>
    <w:next w:val="Grilledetableauclaire"/>
    <w:uiPriority w:val="40"/>
    <w:rsid w:val="009F0A2D"/>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5">
    <w:name w:val="Bibliographie5"/>
    <w:basedOn w:val="Normal"/>
    <w:next w:val="Normal"/>
    <w:uiPriority w:val="37"/>
    <w:unhideWhenUsed/>
    <w:rsid w:val="009F0A2D"/>
    <w:pPr>
      <w:widowControl/>
      <w:autoSpaceDE/>
      <w:autoSpaceDN/>
      <w:spacing w:after="160" w:line="300" w:lineRule="auto"/>
    </w:pPr>
    <w:rPr>
      <w:rFonts w:ascii="Calibri" w:hAnsi="Calibri"/>
      <w:sz w:val="21"/>
      <w:szCs w:val="21"/>
    </w:rPr>
  </w:style>
  <w:style w:type="table" w:customStyle="1" w:styleId="TableGrid004">
    <w:name w:val="Table Grid_0_04"/>
    <w:basedOn w:val="TableauNormal"/>
    <w:uiPriority w:val="39"/>
    <w:qFormat/>
    <w:rsid w:val="009F0A2D"/>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5">
    <w:name w:val="Tableau simple 25"/>
    <w:basedOn w:val="TableauNormal"/>
    <w:next w:val="Tableausimple2"/>
    <w:uiPriority w:val="42"/>
    <w:rsid w:val="009F0A2D"/>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6">
    <w:name w:val="Aucune liste6"/>
    <w:next w:val="Aucuneliste"/>
    <w:uiPriority w:val="99"/>
    <w:semiHidden/>
    <w:unhideWhenUsed/>
    <w:rsid w:val="007A5B08"/>
  </w:style>
  <w:style w:type="paragraph" w:customStyle="1" w:styleId="Lgende6">
    <w:name w:val="Légende6"/>
    <w:basedOn w:val="Normal"/>
    <w:next w:val="Normal"/>
    <w:uiPriority w:val="35"/>
    <w:unhideWhenUsed/>
    <w:qFormat/>
    <w:rsid w:val="007A5B08"/>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6">
    <w:name w:val="Grille de tableau claire6"/>
    <w:basedOn w:val="TableauNormal"/>
    <w:next w:val="Grilledetableauclaire"/>
    <w:uiPriority w:val="40"/>
    <w:rsid w:val="007A5B08"/>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6">
    <w:name w:val="Bibliographie6"/>
    <w:basedOn w:val="Normal"/>
    <w:next w:val="Normal"/>
    <w:uiPriority w:val="37"/>
    <w:unhideWhenUsed/>
    <w:rsid w:val="007A5B08"/>
    <w:pPr>
      <w:widowControl/>
      <w:autoSpaceDE/>
      <w:autoSpaceDN/>
      <w:spacing w:after="160" w:line="300" w:lineRule="auto"/>
    </w:pPr>
    <w:rPr>
      <w:rFonts w:ascii="Calibri" w:hAnsi="Calibri"/>
      <w:sz w:val="21"/>
      <w:szCs w:val="21"/>
    </w:rPr>
  </w:style>
  <w:style w:type="table" w:customStyle="1" w:styleId="TableGrid005">
    <w:name w:val="Table Grid_0_05"/>
    <w:basedOn w:val="TableauNormal"/>
    <w:uiPriority w:val="39"/>
    <w:qFormat/>
    <w:rsid w:val="007A5B08"/>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6">
    <w:name w:val="Tableau simple 26"/>
    <w:basedOn w:val="TableauNormal"/>
    <w:next w:val="Tableausimple2"/>
    <w:uiPriority w:val="42"/>
    <w:rsid w:val="007A5B08"/>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7">
    <w:name w:val="Aucune liste7"/>
    <w:next w:val="Aucuneliste"/>
    <w:uiPriority w:val="99"/>
    <w:semiHidden/>
    <w:unhideWhenUsed/>
    <w:rsid w:val="007B1632"/>
  </w:style>
  <w:style w:type="paragraph" w:customStyle="1" w:styleId="Lgende7">
    <w:name w:val="Légende7"/>
    <w:basedOn w:val="Normal"/>
    <w:next w:val="Normal"/>
    <w:uiPriority w:val="35"/>
    <w:unhideWhenUsed/>
    <w:qFormat/>
    <w:rsid w:val="007B1632"/>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7">
    <w:name w:val="Grille de tableau claire7"/>
    <w:basedOn w:val="TableauNormal"/>
    <w:next w:val="Grilledetableauclaire"/>
    <w:uiPriority w:val="40"/>
    <w:rsid w:val="007B1632"/>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7">
    <w:name w:val="Bibliographie7"/>
    <w:basedOn w:val="Normal"/>
    <w:next w:val="Normal"/>
    <w:uiPriority w:val="37"/>
    <w:unhideWhenUsed/>
    <w:rsid w:val="007B1632"/>
    <w:pPr>
      <w:widowControl/>
      <w:autoSpaceDE/>
      <w:autoSpaceDN/>
      <w:spacing w:after="160" w:line="300" w:lineRule="auto"/>
    </w:pPr>
    <w:rPr>
      <w:rFonts w:ascii="Calibri" w:hAnsi="Calibri"/>
      <w:sz w:val="21"/>
      <w:szCs w:val="21"/>
    </w:rPr>
  </w:style>
  <w:style w:type="table" w:customStyle="1" w:styleId="TableGrid006">
    <w:name w:val="Table Grid_0_06"/>
    <w:basedOn w:val="TableauNormal"/>
    <w:uiPriority w:val="39"/>
    <w:qFormat/>
    <w:rsid w:val="007B1632"/>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7">
    <w:name w:val="Tableau simple 27"/>
    <w:basedOn w:val="TableauNormal"/>
    <w:next w:val="Tableausimple2"/>
    <w:uiPriority w:val="42"/>
    <w:rsid w:val="007B1632"/>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8">
    <w:name w:val="Aucune liste8"/>
    <w:next w:val="Aucuneliste"/>
    <w:uiPriority w:val="99"/>
    <w:semiHidden/>
    <w:unhideWhenUsed/>
    <w:rsid w:val="00694CFE"/>
  </w:style>
  <w:style w:type="paragraph" w:customStyle="1" w:styleId="Lgende8">
    <w:name w:val="Légende8"/>
    <w:basedOn w:val="Normal"/>
    <w:next w:val="Normal"/>
    <w:uiPriority w:val="35"/>
    <w:unhideWhenUsed/>
    <w:qFormat/>
    <w:rsid w:val="00694CFE"/>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8">
    <w:name w:val="Grille de tableau claire8"/>
    <w:basedOn w:val="TableauNormal"/>
    <w:next w:val="Grilledetableauclaire"/>
    <w:uiPriority w:val="40"/>
    <w:rsid w:val="00694CFE"/>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8">
    <w:name w:val="Bibliographie8"/>
    <w:basedOn w:val="Normal"/>
    <w:next w:val="Normal"/>
    <w:uiPriority w:val="37"/>
    <w:unhideWhenUsed/>
    <w:rsid w:val="00694CFE"/>
    <w:pPr>
      <w:widowControl/>
      <w:autoSpaceDE/>
      <w:autoSpaceDN/>
      <w:spacing w:after="160" w:line="300" w:lineRule="auto"/>
    </w:pPr>
    <w:rPr>
      <w:rFonts w:ascii="Calibri" w:hAnsi="Calibri"/>
      <w:sz w:val="21"/>
      <w:szCs w:val="21"/>
    </w:rPr>
  </w:style>
  <w:style w:type="table" w:customStyle="1" w:styleId="TableGrid007">
    <w:name w:val="Table Grid_0_07"/>
    <w:basedOn w:val="TableauNormal"/>
    <w:uiPriority w:val="39"/>
    <w:qFormat/>
    <w:rsid w:val="00694CFE"/>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8">
    <w:name w:val="Tableau simple 28"/>
    <w:basedOn w:val="TableauNormal"/>
    <w:next w:val="Tableausimple2"/>
    <w:uiPriority w:val="42"/>
    <w:rsid w:val="00694CFE"/>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9">
    <w:name w:val="Aucune liste9"/>
    <w:next w:val="Aucuneliste"/>
    <w:uiPriority w:val="99"/>
    <w:semiHidden/>
    <w:unhideWhenUsed/>
    <w:rsid w:val="00FF165D"/>
  </w:style>
  <w:style w:type="paragraph" w:customStyle="1" w:styleId="Lgende9">
    <w:name w:val="Légende9"/>
    <w:basedOn w:val="Normal"/>
    <w:next w:val="Normal"/>
    <w:uiPriority w:val="35"/>
    <w:unhideWhenUsed/>
    <w:qFormat/>
    <w:rsid w:val="00FF165D"/>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9">
    <w:name w:val="Grille de tableau claire9"/>
    <w:basedOn w:val="TableauNormal"/>
    <w:next w:val="Grilledetableauclaire"/>
    <w:uiPriority w:val="40"/>
    <w:rsid w:val="00FF165D"/>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9">
    <w:name w:val="Bibliographie9"/>
    <w:basedOn w:val="Normal"/>
    <w:next w:val="Normal"/>
    <w:uiPriority w:val="37"/>
    <w:unhideWhenUsed/>
    <w:rsid w:val="00FF165D"/>
    <w:pPr>
      <w:widowControl/>
      <w:autoSpaceDE/>
      <w:autoSpaceDN/>
      <w:spacing w:after="160" w:line="300" w:lineRule="auto"/>
    </w:pPr>
    <w:rPr>
      <w:rFonts w:ascii="Calibri" w:hAnsi="Calibri"/>
      <w:sz w:val="21"/>
      <w:szCs w:val="21"/>
    </w:rPr>
  </w:style>
  <w:style w:type="table" w:customStyle="1" w:styleId="TableGrid008">
    <w:name w:val="Table Grid_0_08"/>
    <w:basedOn w:val="TableauNormal"/>
    <w:uiPriority w:val="39"/>
    <w:qFormat/>
    <w:rsid w:val="00FF165D"/>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9">
    <w:name w:val="Tableau simple 29"/>
    <w:basedOn w:val="TableauNormal"/>
    <w:next w:val="Tableausimple2"/>
    <w:uiPriority w:val="42"/>
    <w:rsid w:val="00FF165D"/>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10">
    <w:name w:val="Aucune liste10"/>
    <w:next w:val="Aucuneliste"/>
    <w:uiPriority w:val="99"/>
    <w:semiHidden/>
    <w:unhideWhenUsed/>
    <w:rsid w:val="00C15B47"/>
  </w:style>
  <w:style w:type="paragraph" w:customStyle="1" w:styleId="Lgende10">
    <w:name w:val="Légende10"/>
    <w:basedOn w:val="Normal"/>
    <w:next w:val="Normal"/>
    <w:uiPriority w:val="35"/>
    <w:unhideWhenUsed/>
    <w:qFormat/>
    <w:rsid w:val="00C15B47"/>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Grilledetableauclaire10">
    <w:name w:val="Grille de tableau claire10"/>
    <w:basedOn w:val="TableauNormal"/>
    <w:next w:val="Grilledetableauclaire"/>
    <w:uiPriority w:val="40"/>
    <w:rsid w:val="00C15B47"/>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10">
    <w:name w:val="Bibliographie10"/>
    <w:basedOn w:val="Normal"/>
    <w:next w:val="Normal"/>
    <w:uiPriority w:val="37"/>
    <w:unhideWhenUsed/>
    <w:rsid w:val="00C15B47"/>
    <w:pPr>
      <w:widowControl/>
      <w:autoSpaceDE/>
      <w:autoSpaceDN/>
      <w:spacing w:after="160" w:line="300" w:lineRule="auto"/>
    </w:pPr>
    <w:rPr>
      <w:rFonts w:ascii="Calibri" w:hAnsi="Calibri"/>
      <w:sz w:val="21"/>
      <w:szCs w:val="21"/>
    </w:rPr>
  </w:style>
  <w:style w:type="table" w:customStyle="1" w:styleId="TableGrid009">
    <w:name w:val="Table Grid_0_09"/>
    <w:basedOn w:val="TableauNormal"/>
    <w:uiPriority w:val="39"/>
    <w:qFormat/>
    <w:rsid w:val="00C15B47"/>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210">
    <w:name w:val="Tableau simple 210"/>
    <w:basedOn w:val="TableauNormal"/>
    <w:next w:val="Tableausimple2"/>
    <w:uiPriority w:val="42"/>
    <w:rsid w:val="00C15B47"/>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1">
    <w:name w:val="a01"/>
    <w:basedOn w:val="TableNormal0"/>
    <w:rsid w:val="00C15B47"/>
    <w:rPr>
      <w:lang w:val="fr-FR"/>
    </w:rPr>
    <w:tblPr>
      <w:tblStyleRowBandSize w:val="1"/>
      <w:tblStyleColBandSize w:val="1"/>
      <w:tblCellMar>
        <w:top w:w="100" w:type="dxa"/>
        <w:left w:w="100" w:type="dxa"/>
        <w:bottom w:w="100" w:type="dxa"/>
        <w:right w:w="100" w:type="dxa"/>
      </w:tblCellMar>
    </w:tblPr>
  </w:style>
  <w:style w:type="table" w:customStyle="1" w:styleId="a31">
    <w:name w:val="a31"/>
    <w:basedOn w:val="TableNormal0"/>
    <w:rsid w:val="00C15B47"/>
    <w:rPr>
      <w:lang w:val="fr-FR"/>
    </w:rPr>
    <w:tblPr>
      <w:tblStyleRowBandSize w:val="1"/>
      <w:tblStyleColBandSize w:val="1"/>
      <w:tblCellMar>
        <w:top w:w="100" w:type="dxa"/>
        <w:left w:w="100" w:type="dxa"/>
        <w:bottom w:w="100" w:type="dxa"/>
        <w:right w:w="100" w:type="dxa"/>
      </w:tblCellMar>
    </w:tblPr>
  </w:style>
  <w:style w:type="table" w:customStyle="1" w:styleId="TableGrid021">
    <w:name w:val="Table Grid_0_21"/>
    <w:basedOn w:val="TableauNormal"/>
    <w:uiPriority w:val="39"/>
    <w:rsid w:val="00C15B47"/>
    <w:pPr>
      <w:widowControl/>
      <w:autoSpaceDE/>
      <w:autoSpaceDN/>
    </w:pPr>
    <w:rPr>
      <w:rFonts w:ascii="Calibri" w:eastAsia="Calibri" w:hAnsi="Calibri" w:cs="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_1_11"/>
    <w:basedOn w:val="TableauNormal"/>
    <w:uiPriority w:val="39"/>
    <w:rsid w:val="00AB0B21"/>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_2_01"/>
    <w:basedOn w:val="TableauNormal"/>
    <w:uiPriority w:val="39"/>
    <w:rsid w:val="00F91220"/>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11">
    <w:name w:val="Table Grid_0_0_11"/>
    <w:basedOn w:val="TableauNormal"/>
    <w:uiPriority w:val="39"/>
    <w:rsid w:val="00683CCD"/>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683CCD"/>
  </w:style>
  <w:style w:type="table" w:customStyle="1" w:styleId="Grilledutableau2">
    <w:name w:val="Grille du tableau2"/>
    <w:basedOn w:val="TableauNormal"/>
    <w:next w:val="Grilledutableau"/>
    <w:uiPriority w:val="59"/>
    <w:rsid w:val="00683CCD"/>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11">
    <w:name w:val="Légende11"/>
    <w:basedOn w:val="Normal"/>
    <w:next w:val="Normal"/>
    <w:uiPriority w:val="35"/>
    <w:unhideWhenUsed/>
    <w:qFormat/>
    <w:rsid w:val="00683CCD"/>
    <w:pPr>
      <w:widowControl/>
      <w:autoSpaceDE/>
      <w:autoSpaceDN/>
      <w:spacing w:after="200"/>
    </w:pPr>
    <w:rPr>
      <w:rFonts w:ascii="Calibri" w:eastAsia="Calibri" w:hAnsi="Calibri"/>
      <w:i/>
      <w:iCs/>
      <w:color w:val="44546A"/>
      <w:kern w:val="2"/>
      <w:sz w:val="18"/>
      <w:szCs w:val="18"/>
      <w14:ligatures w14:val="standardContextual"/>
    </w:rPr>
  </w:style>
  <w:style w:type="table" w:customStyle="1" w:styleId="TableGrid010">
    <w:name w:val="Table Grid_01"/>
    <w:basedOn w:val="TableauNormal"/>
    <w:uiPriority w:val="39"/>
    <w:rsid w:val="00683CCD"/>
    <w:pPr>
      <w:widowControl/>
      <w:autoSpaceDE/>
      <w:autoSpaceDN/>
    </w:pPr>
    <w:rPr>
      <w:kern w:val="2"/>
      <w:sz w:val="24"/>
      <w:szCs w:val="24"/>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1">
    <w:name w:val="Grille de tableau claire11"/>
    <w:basedOn w:val="TableauNormal"/>
    <w:next w:val="Grilledetableauclaire"/>
    <w:uiPriority w:val="40"/>
    <w:rsid w:val="00683CCD"/>
    <w:pPr>
      <w:widowControl/>
      <w:autoSpaceDE/>
      <w:autoSpaceDN/>
    </w:pPr>
    <w:rPr>
      <w:kern w:val="2"/>
      <w:sz w:val="24"/>
      <w:szCs w:val="24"/>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ibliographie11">
    <w:name w:val="Bibliographie11"/>
    <w:basedOn w:val="Normal"/>
    <w:next w:val="Normal"/>
    <w:uiPriority w:val="37"/>
    <w:unhideWhenUsed/>
    <w:rsid w:val="00683CCD"/>
    <w:pPr>
      <w:widowControl/>
      <w:autoSpaceDE/>
      <w:autoSpaceDN/>
      <w:spacing w:after="160" w:line="300" w:lineRule="auto"/>
    </w:pPr>
    <w:rPr>
      <w:rFonts w:ascii="Calibri" w:hAnsi="Calibri"/>
      <w:sz w:val="21"/>
      <w:szCs w:val="21"/>
    </w:rPr>
  </w:style>
  <w:style w:type="table" w:customStyle="1" w:styleId="TableGrid110">
    <w:name w:val="Table Grid_11"/>
    <w:basedOn w:val="TableauNormal"/>
    <w:uiPriority w:val="59"/>
    <w:rsid w:val="00683CCD"/>
    <w:pPr>
      <w:widowControl/>
      <w:autoSpaceDE/>
      <w:autoSpaceDN/>
    </w:pPr>
    <w:rPr>
      <w:rFonts w:ascii="Calibri" w:eastAsia="Calibri" w:hAnsi="Calibri" w:cs="SimSu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100">
    <w:name w:val="Table Grid_0_010"/>
    <w:basedOn w:val="TableauNormal"/>
    <w:uiPriority w:val="39"/>
    <w:qFormat/>
    <w:rsid w:val="00683CCD"/>
    <w:pPr>
      <w:widowControl/>
      <w:autoSpaceDE/>
      <w:autoSpaceDN/>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0">
    <w:name w:val="Table Grid_1_01"/>
    <w:basedOn w:val="TableauNormal"/>
    <w:uiPriority w:val="39"/>
    <w:rsid w:val="00683CCD"/>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_21"/>
    <w:basedOn w:val="TableauNormal"/>
    <w:uiPriority w:val="39"/>
    <w:rsid w:val="00683CCD"/>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_31"/>
    <w:basedOn w:val="TableauNormal"/>
    <w:uiPriority w:val="39"/>
    <w:rsid w:val="00683CC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01">
    <w:name w:val="Table Grid_0_0_01"/>
    <w:basedOn w:val="TableauNormal"/>
    <w:uiPriority w:val="39"/>
    <w:rsid w:val="00683CCD"/>
    <w:pPr>
      <w:widowControl/>
      <w:autoSpaceDE/>
      <w:autoSpaceDN/>
    </w:pPr>
    <w:rPr>
      <w:rFonts w:ascii="Calibri" w:eastAsia="DengXian" w:hAnsi="Calibri" w:cs="Times New Roman"/>
      <w:kern w:val="2"/>
      <w:sz w:val="24"/>
      <w:szCs w:val="24"/>
      <w:lang w:val="fr-FR"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1">
    <w:name w:val="Tableau simple 211"/>
    <w:basedOn w:val="TableauNormal"/>
    <w:next w:val="Tableausimple2"/>
    <w:uiPriority w:val="42"/>
    <w:rsid w:val="00683CCD"/>
    <w:pPr>
      <w:widowControl/>
      <w:autoSpaceDE/>
      <w:autoSpaceDN/>
    </w:pPr>
    <w:rPr>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01">
    <w:name w:val="Table Grid_1_0_01"/>
    <w:basedOn w:val="TableauNormal"/>
    <w:uiPriority w:val="39"/>
    <w:rsid w:val="00683CCD"/>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_41"/>
    <w:basedOn w:val="TableauNormal"/>
    <w:uiPriority w:val="39"/>
    <w:rsid w:val="00683CCD"/>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1">
    <w:name w:val="Table Grid_0_11"/>
    <w:basedOn w:val="TableauNormal"/>
    <w:uiPriority w:val="39"/>
    <w:rsid w:val="00683CCD"/>
    <w:pPr>
      <w:widowControl/>
      <w:autoSpaceDE/>
      <w:autoSpaceDN/>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_51"/>
    <w:basedOn w:val="TableauNormal"/>
    <w:uiPriority w:val="39"/>
    <w:rsid w:val="00683CCD"/>
    <w:pPr>
      <w:widowControl/>
      <w:autoSpaceDE/>
      <w:autoSpaceDN/>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1">
    <w:name w:val="Table Normal_01"/>
    <w:rsid w:val="00683CCD"/>
    <w:pPr>
      <w:widowControl/>
      <w:autoSpaceDE/>
      <w:autoSpaceDN/>
      <w:spacing w:line="276" w:lineRule="auto"/>
    </w:pPr>
    <w:rPr>
      <w:rFonts w:ascii="Arial" w:eastAsia="Arial" w:hAnsi="Arial" w:cs="Arial"/>
      <w:lang w:val="fr" w:eastAsia="fr-FR"/>
    </w:rPr>
    <w:tblPr>
      <w:tblCellMar>
        <w:top w:w="0" w:type="dxa"/>
        <w:left w:w="0" w:type="dxa"/>
        <w:bottom w:w="0" w:type="dxa"/>
        <w:right w:w="0" w:type="dxa"/>
      </w:tblCellMar>
    </w:tblPr>
  </w:style>
  <w:style w:type="table" w:customStyle="1" w:styleId="a1">
    <w:name w:val="a1"/>
    <w:basedOn w:val="TableNormal0"/>
    <w:rsid w:val="00683CCD"/>
    <w:pPr>
      <w:spacing w:after="160" w:line="259" w:lineRule="auto"/>
    </w:pPr>
    <w:rPr>
      <w:rFonts w:ascii="Aptos" w:eastAsia="Aptos" w:hAnsi="Aptos" w:cs="Times New Roman"/>
      <w:kern w:val="2"/>
      <w:lang w:val="en-US"/>
      <w14:ligatures w14:val="standardContextual"/>
    </w:rPr>
    <w:tblPr>
      <w:tblStyleRowBandSize w:val="1"/>
      <w:tblStyleColBandSize w:val="1"/>
      <w:tblCellMar>
        <w:top w:w="100" w:type="dxa"/>
        <w:left w:w="100" w:type="dxa"/>
        <w:bottom w:w="100" w:type="dxa"/>
        <w:right w:w="100" w:type="dxa"/>
      </w:tblCellMar>
    </w:tblPr>
  </w:style>
  <w:style w:type="table" w:customStyle="1" w:styleId="Grilledutableau11">
    <w:name w:val="Grille du tableau11"/>
    <w:basedOn w:val="TableauNormal"/>
    <w:uiPriority w:val="39"/>
    <w:rsid w:val="00683CCD"/>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_61"/>
    <w:basedOn w:val="TableauNormal"/>
    <w:uiPriority w:val="39"/>
    <w:rsid w:val="00683CCD"/>
    <w:pPr>
      <w:widowControl/>
      <w:autoSpaceDE/>
      <w:autoSpaceDN/>
    </w:pPr>
    <w:rPr>
      <w:rFonts w:ascii="Calibri" w:eastAsia="Calibri" w:hAnsi="Calibri" w:cs="Times New Roman"/>
      <w:kern w:val="2"/>
      <w:sz w:val="24"/>
      <w:szCs w:val="24"/>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2">
    <w:name w:val="a02"/>
    <w:basedOn w:val="TableNormal0"/>
    <w:rsid w:val="00683CCD"/>
    <w:rPr>
      <w:lang w:val="fr-FR"/>
    </w:rPr>
    <w:tblPr>
      <w:tblStyleRowBandSize w:val="1"/>
      <w:tblStyleColBandSize w:val="1"/>
      <w:tblCellMar>
        <w:top w:w="100" w:type="dxa"/>
        <w:left w:w="100" w:type="dxa"/>
        <w:bottom w:w="100" w:type="dxa"/>
        <w:right w:w="100" w:type="dxa"/>
      </w:tblCellMar>
    </w:tblPr>
  </w:style>
  <w:style w:type="table" w:customStyle="1" w:styleId="a32">
    <w:name w:val="a32"/>
    <w:basedOn w:val="TableNormal0"/>
    <w:rsid w:val="00683CCD"/>
    <w:rPr>
      <w:lang w:val="fr-FR"/>
    </w:rPr>
    <w:tblPr>
      <w:tblStyleRowBandSize w:val="1"/>
      <w:tblStyleColBandSize w:val="1"/>
      <w:tblCellMar>
        <w:top w:w="100" w:type="dxa"/>
        <w:left w:w="100" w:type="dxa"/>
        <w:bottom w:w="100" w:type="dxa"/>
        <w:right w:w="100" w:type="dxa"/>
      </w:tblCellMar>
    </w:tblPr>
  </w:style>
  <w:style w:type="table" w:customStyle="1" w:styleId="TableGrid022">
    <w:name w:val="Table Grid_0_22"/>
    <w:basedOn w:val="TableauNormal"/>
    <w:uiPriority w:val="39"/>
    <w:rsid w:val="00683CCD"/>
    <w:pPr>
      <w:widowControl/>
      <w:autoSpaceDE/>
      <w:autoSpaceDN/>
    </w:pPr>
    <w:rPr>
      <w:rFonts w:ascii="Calibri" w:eastAsia="Calibri" w:hAnsi="Calibri" w:cs="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_1_12"/>
    <w:basedOn w:val="TableauNormal"/>
    <w:uiPriority w:val="39"/>
    <w:rsid w:val="00683CCD"/>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_2_02"/>
    <w:basedOn w:val="TableauNormal"/>
    <w:uiPriority w:val="39"/>
    <w:rsid w:val="00683CCD"/>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12">
    <w:name w:val="Table Grid_0_0_12"/>
    <w:basedOn w:val="TableauNormal"/>
    <w:uiPriority w:val="39"/>
    <w:rsid w:val="00683CCD"/>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_1_0_11"/>
    <w:basedOn w:val="TableauNormal"/>
    <w:uiPriority w:val="39"/>
    <w:rsid w:val="00683CCD"/>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7391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4">
    <w:name w:val="toc 4"/>
    <w:basedOn w:val="Normal"/>
    <w:next w:val="Normal"/>
    <w:autoRedefine/>
    <w:uiPriority w:val="39"/>
    <w:unhideWhenUsed/>
    <w:rsid w:val="00E01032"/>
    <w:pPr>
      <w:widowControl/>
      <w:autoSpaceDE/>
      <w:autoSpaceDN/>
      <w:spacing w:after="100" w:line="278" w:lineRule="auto"/>
      <w:ind w:left="720"/>
    </w:pPr>
    <w:rPr>
      <w:rFonts w:asciiTheme="minorHAnsi" w:eastAsiaTheme="minorEastAsia" w:hAnsiTheme="minorHAnsi" w:cstheme="minorBidi"/>
      <w:kern w:val="2"/>
      <w:sz w:val="24"/>
      <w:szCs w:val="24"/>
      <w:lang w:eastAsia="fr-FR"/>
      <w14:ligatures w14:val="standardContextual"/>
    </w:rPr>
  </w:style>
  <w:style w:type="paragraph" w:styleId="TM5">
    <w:name w:val="toc 5"/>
    <w:basedOn w:val="Normal"/>
    <w:next w:val="Normal"/>
    <w:autoRedefine/>
    <w:uiPriority w:val="39"/>
    <w:unhideWhenUsed/>
    <w:rsid w:val="00E01032"/>
    <w:pPr>
      <w:widowControl/>
      <w:autoSpaceDE/>
      <w:autoSpaceDN/>
      <w:spacing w:after="100" w:line="278" w:lineRule="auto"/>
      <w:ind w:left="960"/>
    </w:pPr>
    <w:rPr>
      <w:rFonts w:asciiTheme="minorHAnsi" w:eastAsiaTheme="minorEastAsia" w:hAnsiTheme="minorHAnsi" w:cstheme="minorBidi"/>
      <w:kern w:val="2"/>
      <w:sz w:val="24"/>
      <w:szCs w:val="24"/>
      <w:lang w:eastAsia="fr-FR"/>
      <w14:ligatures w14:val="standardContextual"/>
    </w:rPr>
  </w:style>
  <w:style w:type="paragraph" w:styleId="TM6">
    <w:name w:val="toc 6"/>
    <w:basedOn w:val="Normal"/>
    <w:next w:val="Normal"/>
    <w:autoRedefine/>
    <w:uiPriority w:val="39"/>
    <w:unhideWhenUsed/>
    <w:rsid w:val="00E01032"/>
    <w:pPr>
      <w:widowControl/>
      <w:autoSpaceDE/>
      <w:autoSpaceDN/>
      <w:spacing w:after="100" w:line="278" w:lineRule="auto"/>
      <w:ind w:left="1200"/>
    </w:pPr>
    <w:rPr>
      <w:rFonts w:asciiTheme="minorHAnsi" w:eastAsiaTheme="minorEastAsia" w:hAnsiTheme="minorHAnsi" w:cstheme="minorBidi"/>
      <w:kern w:val="2"/>
      <w:sz w:val="24"/>
      <w:szCs w:val="24"/>
      <w:lang w:eastAsia="fr-FR"/>
      <w14:ligatures w14:val="standardContextual"/>
    </w:rPr>
  </w:style>
  <w:style w:type="paragraph" w:styleId="TM7">
    <w:name w:val="toc 7"/>
    <w:basedOn w:val="Normal"/>
    <w:next w:val="Normal"/>
    <w:autoRedefine/>
    <w:uiPriority w:val="39"/>
    <w:unhideWhenUsed/>
    <w:rsid w:val="00E01032"/>
    <w:pPr>
      <w:widowControl/>
      <w:autoSpaceDE/>
      <w:autoSpaceDN/>
      <w:spacing w:after="100" w:line="278" w:lineRule="auto"/>
      <w:ind w:left="1440"/>
    </w:pPr>
    <w:rPr>
      <w:rFonts w:asciiTheme="minorHAnsi" w:eastAsiaTheme="minorEastAsia" w:hAnsiTheme="minorHAnsi" w:cstheme="minorBidi"/>
      <w:kern w:val="2"/>
      <w:sz w:val="24"/>
      <w:szCs w:val="24"/>
      <w:lang w:eastAsia="fr-FR"/>
      <w14:ligatures w14:val="standardContextual"/>
    </w:rPr>
  </w:style>
  <w:style w:type="paragraph" w:styleId="TM8">
    <w:name w:val="toc 8"/>
    <w:basedOn w:val="Normal"/>
    <w:next w:val="Normal"/>
    <w:autoRedefine/>
    <w:uiPriority w:val="39"/>
    <w:unhideWhenUsed/>
    <w:rsid w:val="00E01032"/>
    <w:pPr>
      <w:widowControl/>
      <w:autoSpaceDE/>
      <w:autoSpaceDN/>
      <w:spacing w:after="100" w:line="278" w:lineRule="auto"/>
      <w:ind w:left="1680"/>
    </w:pPr>
    <w:rPr>
      <w:rFonts w:asciiTheme="minorHAnsi" w:eastAsiaTheme="minorEastAsia" w:hAnsiTheme="minorHAnsi" w:cstheme="minorBidi"/>
      <w:kern w:val="2"/>
      <w:sz w:val="24"/>
      <w:szCs w:val="24"/>
      <w:lang w:eastAsia="fr-FR"/>
      <w14:ligatures w14:val="standardContextual"/>
    </w:rPr>
  </w:style>
  <w:style w:type="paragraph" w:styleId="TM9">
    <w:name w:val="toc 9"/>
    <w:basedOn w:val="Normal"/>
    <w:next w:val="Normal"/>
    <w:autoRedefine/>
    <w:uiPriority w:val="39"/>
    <w:unhideWhenUsed/>
    <w:rsid w:val="00E01032"/>
    <w:pPr>
      <w:widowControl/>
      <w:autoSpaceDE/>
      <w:autoSpaceDN/>
      <w:spacing w:after="100" w:line="278" w:lineRule="auto"/>
      <w:ind w:left="1920"/>
    </w:pPr>
    <w:rPr>
      <w:rFonts w:asciiTheme="minorHAnsi" w:eastAsiaTheme="minorEastAsia" w:hAnsiTheme="minorHAnsi" w:cstheme="minorBidi"/>
      <w:kern w:val="2"/>
      <w:sz w:val="24"/>
      <w:szCs w:val="24"/>
      <w:lang w:eastAsia="fr-FR"/>
      <w14:ligatures w14:val="standardContextual"/>
    </w:rPr>
  </w:style>
  <w:style w:type="character" w:styleId="Mentionnonrsolue">
    <w:name w:val="Unresolved Mention"/>
    <w:basedOn w:val="Policepardfaut"/>
    <w:uiPriority w:val="99"/>
    <w:semiHidden/>
    <w:unhideWhenUsed/>
    <w:rsid w:val="00E01032"/>
    <w:rPr>
      <w:color w:val="605E5C"/>
      <w:shd w:val="clear" w:color="auto" w:fill="E1DFDD"/>
    </w:rPr>
  </w:style>
  <w:style w:type="character" w:customStyle="1" w:styleId="Titre6Car">
    <w:name w:val="Titre 6 Car"/>
    <w:basedOn w:val="Policepardfaut"/>
    <w:link w:val="Titre6"/>
    <w:uiPriority w:val="9"/>
    <w:semiHidden/>
    <w:rsid w:val="00D80693"/>
    <w:rPr>
      <w:rFonts w:ascii="Aptos" w:eastAsia="Times New Roman" w:hAnsi="Aptos" w:cs="Times New Roman"/>
      <w:i/>
      <w:iCs/>
      <w:color w:val="595959"/>
      <w:lang w:val="fr-SN"/>
    </w:rPr>
  </w:style>
  <w:style w:type="character" w:customStyle="1" w:styleId="Titre8Car">
    <w:name w:val="Titre 8 Car"/>
    <w:basedOn w:val="Policepardfaut"/>
    <w:link w:val="Titre8"/>
    <w:uiPriority w:val="9"/>
    <w:semiHidden/>
    <w:rsid w:val="00D80693"/>
    <w:rPr>
      <w:rFonts w:ascii="Calibri Light" w:eastAsia="DengXian Light" w:hAnsi="Calibri Light" w:cs="Times New Roman"/>
      <w:color w:val="833C0B"/>
      <w:lang w:val="fr-FR"/>
    </w:rPr>
  </w:style>
  <w:style w:type="paragraph" w:styleId="Bibliographie">
    <w:name w:val="Bibliography"/>
    <w:basedOn w:val="Normal"/>
    <w:next w:val="Normal"/>
    <w:uiPriority w:val="37"/>
    <w:unhideWhenUsed/>
    <w:rsid w:val="00D80693"/>
    <w:pPr>
      <w:widowControl/>
      <w:autoSpaceDE/>
      <w:autoSpaceDN/>
      <w:spacing w:after="160" w:line="259" w:lineRule="auto"/>
    </w:pPr>
    <w:rPr>
      <w:rFonts w:asciiTheme="minorHAnsi" w:eastAsiaTheme="minorHAnsi" w:hAnsiTheme="minorHAnsi" w:cstheme="minorBidi"/>
    </w:rPr>
  </w:style>
  <w:style w:type="character" w:customStyle="1" w:styleId="ParagraphedelisteCar">
    <w:name w:val="Paragraphe de liste Car"/>
    <w:link w:val="Paragraphedeliste"/>
    <w:uiPriority w:val="34"/>
    <w:qFormat/>
    <w:rsid w:val="00D80693"/>
    <w:rPr>
      <w:rFonts w:ascii="Times New Roman" w:eastAsia="Times New Roman" w:hAnsi="Times New Roman" w:cs="Times New Roman"/>
      <w:lang w:val="fr-FR"/>
    </w:rPr>
  </w:style>
  <w:style w:type="paragraph" w:styleId="Rvision">
    <w:name w:val="Revision"/>
    <w:hidden/>
    <w:uiPriority w:val="99"/>
    <w:semiHidden/>
    <w:rsid w:val="00D80693"/>
    <w:pPr>
      <w:widowControl/>
      <w:autoSpaceDE/>
      <w:autoSpaceDN/>
    </w:pPr>
    <w:rPr>
      <w:lang w:val="fr-FR"/>
    </w:rPr>
  </w:style>
  <w:style w:type="paragraph" w:customStyle="1" w:styleId="Texte">
    <w:name w:val="Texte"/>
    <w:rsid w:val="00D80693"/>
    <w:pPr>
      <w:widowControl/>
      <w:autoSpaceDE/>
      <w:autoSpaceDN/>
      <w:spacing w:before="60" w:after="60" w:line="360" w:lineRule="auto"/>
      <w:jc w:val="both"/>
    </w:pPr>
    <w:rPr>
      <w:rFonts w:ascii="Times New Roman" w:eastAsia="Times New Roman" w:hAnsi="Times New Roman" w:cs="Times New Roman"/>
      <w:sz w:val="24"/>
      <w:szCs w:val="24"/>
      <w:lang w:val="fr-FR" w:eastAsia="fr-FR"/>
    </w:rPr>
  </w:style>
  <w:style w:type="paragraph" w:styleId="Lgende">
    <w:name w:val="caption"/>
    <w:basedOn w:val="Normal"/>
    <w:next w:val="Normal"/>
    <w:autoRedefine/>
    <w:uiPriority w:val="35"/>
    <w:unhideWhenUsed/>
    <w:qFormat/>
    <w:rsid w:val="00D80693"/>
    <w:pPr>
      <w:keepNext/>
      <w:widowControl/>
      <w:autoSpaceDE/>
      <w:autoSpaceDN/>
      <w:jc w:val="center"/>
    </w:pPr>
    <w:rPr>
      <w:rFonts w:eastAsia="Calibri"/>
      <w:b/>
      <w:bCs/>
      <w:i/>
    </w:rPr>
  </w:style>
  <w:style w:type="table" w:styleId="Tableausimple1">
    <w:name w:val="Plain Table 1"/>
    <w:basedOn w:val="TableauNormal"/>
    <w:uiPriority w:val="41"/>
    <w:rsid w:val="00D80693"/>
    <w:pPr>
      <w:widowControl/>
      <w:autoSpaceDE/>
      <w:autoSpaceDN/>
    </w:pPr>
    <w:rPr>
      <w:kern w:val="2"/>
      <w:lang w:val="fr-FR"/>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6">
    <w:name w:val="Grille du tableau6"/>
    <w:basedOn w:val="TableauNormal"/>
    <w:next w:val="TableGrid01"/>
    <w:uiPriority w:val="59"/>
    <w:rsid w:val="00D80693"/>
    <w:pPr>
      <w:widowControl/>
      <w:autoSpaceDE/>
      <w:autoSpaceDN/>
    </w:pPr>
    <w:rPr>
      <w:rFonts w:ascii="Aptos" w:eastAsia="Times New Roman"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D80693"/>
    <w:rPr>
      <w:rFonts w:ascii="Times New Roman" w:eastAsia="Times New Roman" w:hAnsi="Times New Roman" w:cs="Times New Roman"/>
      <w:b/>
      <w:bCs/>
      <w:i/>
      <w:iCs/>
      <w:sz w:val="24"/>
      <w:szCs w:val="24"/>
      <w:lang w:val="fr-FR"/>
    </w:rPr>
  </w:style>
  <w:style w:type="table" w:customStyle="1" w:styleId="TableNormal00">
    <w:name w:val="TableNormal_0"/>
    <w:rsid w:val="00D80693"/>
    <w:pPr>
      <w:widowControl/>
      <w:autoSpaceDE/>
      <w:autoSpaceDN/>
      <w:spacing w:line="276" w:lineRule="auto"/>
    </w:pPr>
    <w:rPr>
      <w:rFonts w:ascii="Arial" w:eastAsia="Arial" w:hAnsi="Arial" w:cs="Arial"/>
      <w:lang w:val="fr" w:eastAsia="fr-SN"/>
    </w:rPr>
    <w:tblPr>
      <w:tblCellMar>
        <w:top w:w="100" w:type="dxa"/>
        <w:left w:w="100" w:type="dxa"/>
        <w:bottom w:w="100" w:type="dxa"/>
        <w:right w:w="100" w:type="dxa"/>
      </w:tblCellMar>
    </w:tblPr>
  </w:style>
  <w:style w:type="table" w:customStyle="1" w:styleId="a4">
    <w:name w:val="a4"/>
    <w:basedOn w:val="TableNormal00"/>
    <w:rsid w:val="00D80693"/>
    <w:pPr>
      <w:spacing w:after="160" w:line="259" w:lineRule="auto"/>
    </w:pPr>
    <w:rPr>
      <w:kern w:val="2"/>
      <w14:ligatures w14:val="standardContextual"/>
    </w:rPr>
    <w:tblPr>
      <w:tblStyleRowBandSize w:val="1"/>
      <w:tblStyleColBandSize w:val="1"/>
    </w:tblPr>
  </w:style>
  <w:style w:type="paragraph" w:customStyle="1" w:styleId="my-0">
    <w:name w:val="my-0"/>
    <w:basedOn w:val="Normal"/>
    <w:rsid w:val="00D80693"/>
    <w:pPr>
      <w:widowControl/>
      <w:autoSpaceDE/>
      <w:autoSpaceDN/>
      <w:spacing w:before="100" w:beforeAutospacing="1" w:after="100" w:afterAutospacing="1"/>
    </w:pPr>
    <w:rPr>
      <w:sz w:val="24"/>
      <w:szCs w:val="24"/>
      <w:lang w:eastAsia="fr-FR"/>
    </w:rPr>
  </w:style>
  <w:style w:type="table" w:customStyle="1" w:styleId="Grilledutableau10">
    <w:name w:val="Grille du tableau1_0"/>
    <w:basedOn w:val="TableauNormal"/>
    <w:next w:val="TableGrid000"/>
    <w:uiPriority w:val="39"/>
    <w:rsid w:val="00D80693"/>
    <w:pPr>
      <w:widowControl/>
      <w:autoSpaceDE/>
      <w:autoSpaceDN/>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0">
    <w:name w:val="Plain Table 2_0"/>
    <w:basedOn w:val="TableauNormal"/>
    <w:uiPriority w:val="42"/>
    <w:rsid w:val="00D80693"/>
    <w:pPr>
      <w:widowControl/>
      <w:autoSpaceDE/>
      <w:autoSpaceDN/>
    </w:pPr>
    <w:rPr>
      <w:rFonts w:ascii="Calibri" w:eastAsia="Calibri" w:hAnsi="Calibri" w:cs="Times New Roman"/>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40">
    <w:name w:val="Heading 4_0"/>
    <w:basedOn w:val="Normal"/>
    <w:next w:val="Normal0"/>
    <w:link w:val="Titre4Car0"/>
    <w:autoRedefine/>
    <w:uiPriority w:val="9"/>
    <w:unhideWhenUsed/>
    <w:qFormat/>
    <w:rsid w:val="00D80693"/>
    <w:pPr>
      <w:keepNext/>
      <w:keepLines/>
      <w:widowControl/>
      <w:numPr>
        <w:ilvl w:val="2"/>
        <w:numId w:val="195"/>
      </w:numPr>
      <w:autoSpaceDE/>
      <w:autoSpaceDN/>
      <w:spacing w:after="240"/>
      <w:jc w:val="both"/>
      <w:outlineLvl w:val="3"/>
    </w:pPr>
    <w:rPr>
      <w:b/>
      <w:iCs/>
      <w:color w:val="0D0D0D"/>
      <w:sz w:val="24"/>
      <w:szCs w:val="24"/>
      <w:lang w:eastAsia="fr-FR"/>
    </w:rPr>
  </w:style>
  <w:style w:type="paragraph" w:customStyle="1" w:styleId="Normal0">
    <w:name w:val="Normal_0"/>
    <w:qFormat/>
    <w:rsid w:val="00D80693"/>
    <w:pPr>
      <w:widowControl/>
      <w:autoSpaceDE/>
      <w:autoSpaceDN/>
      <w:spacing w:after="160" w:line="259" w:lineRule="auto"/>
    </w:pPr>
    <w:rPr>
      <w:rFonts w:ascii="Calibri" w:eastAsia="Calibri" w:hAnsi="Calibri" w:cs="Times New Roman"/>
      <w:lang w:val="fr-FR"/>
    </w:rPr>
  </w:style>
  <w:style w:type="character" w:customStyle="1" w:styleId="Titre4Car0">
    <w:name w:val="Titre 4 Car_0"/>
    <w:basedOn w:val="Policepardfaut"/>
    <w:link w:val="Heading40"/>
    <w:uiPriority w:val="9"/>
    <w:rsid w:val="00D80693"/>
    <w:rPr>
      <w:rFonts w:ascii="Times New Roman" w:eastAsia="Times New Roman" w:hAnsi="Times New Roman" w:cs="Times New Roman"/>
      <w:b/>
      <w:iCs/>
      <w:color w:val="0D0D0D"/>
      <w:sz w:val="24"/>
      <w:szCs w:val="24"/>
      <w:lang w:val="fr-FR" w:eastAsia="fr-FR"/>
    </w:rPr>
  </w:style>
  <w:style w:type="table" w:customStyle="1" w:styleId="TableauGrille5Fonc-Accentuation31">
    <w:name w:val="Tableau Grille 5 Foncé - Accentuation 31"/>
    <w:basedOn w:val="TableauNormal"/>
    <w:uiPriority w:val="50"/>
    <w:rsid w:val="00D80693"/>
    <w:pPr>
      <w:widowControl/>
      <w:autoSpaceDE/>
      <w:autoSpaceDN/>
    </w:pPr>
    <w:rPr>
      <w:rFonts w:ascii="Calibri" w:eastAsia="Calibri" w:hAnsi="Calibri" w:cs="Times New Roman"/>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DEDED"/>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00">
    <w:name w:val="Plain Table 2_0_0"/>
    <w:basedOn w:val="TableauNormal"/>
    <w:uiPriority w:val="42"/>
    <w:rsid w:val="00D80693"/>
    <w:pPr>
      <w:widowControl/>
      <w:autoSpaceDE/>
      <w:autoSpaceDN/>
    </w:pPr>
    <w:rPr>
      <w:rFonts w:ascii="Calibri" w:eastAsia="Calibri" w:hAnsi="Calibri" w:cs="Times New Roman"/>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582213">
      <w:bodyDiv w:val="1"/>
      <w:marLeft w:val="0"/>
      <w:marRight w:val="0"/>
      <w:marTop w:val="0"/>
      <w:marBottom w:val="0"/>
      <w:divBdr>
        <w:top w:val="none" w:sz="0" w:space="0" w:color="auto"/>
        <w:left w:val="none" w:sz="0" w:space="0" w:color="auto"/>
        <w:bottom w:val="none" w:sz="0" w:space="0" w:color="auto"/>
        <w:right w:val="none" w:sz="0" w:space="0" w:color="auto"/>
      </w:divBdr>
    </w:div>
    <w:div w:id="726147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hyperlink" Target="http://esjindex.org/search.php?id=6997" TargetMode="External"/><Relationship Id="rId42" Type="http://schemas.openxmlformats.org/officeDocument/2006/relationships/chart" Target="charts/chart9.xml"/><Relationship Id="rId47" Type="http://schemas.openxmlformats.org/officeDocument/2006/relationships/hyperlink" Target="https://doi.org/107202/1036552ar;P.92" TargetMode="External"/><Relationship Id="rId63" Type="http://schemas.openxmlformats.org/officeDocument/2006/relationships/hyperlink" Target="https://doi.org/10.48734/akofena.n015.vol.2.18.2025" TargetMode="External"/><Relationship Id="rId68" Type="http://schemas.openxmlformats.org/officeDocument/2006/relationships/image" Target="media/image12.png"/><Relationship Id="rId84" Type="http://schemas.openxmlformats.org/officeDocument/2006/relationships/hyperlink" Target="https://assets.td.org" TargetMode="External"/><Relationship Id="rId89" Type="http://schemas.openxmlformats.org/officeDocument/2006/relationships/image" Target="media/image14.png"/><Relationship Id="rId112" Type="http://schemas.openxmlformats.org/officeDocument/2006/relationships/footer" Target="footer9.xml"/><Relationship Id="rId133" Type="http://schemas.openxmlformats.org/officeDocument/2006/relationships/hyperlink" Target="https://www.lemonde.fr/afrique/article/2020/10/06/la-sante-mentale-reste-taboue-dans-l-agenda-du-developpement-en-afrique/" TargetMode="External"/><Relationship Id="rId138" Type="http://schemas.openxmlformats.org/officeDocument/2006/relationships/footer" Target="footer16.xml"/><Relationship Id="rId154" Type="http://schemas.openxmlformats.org/officeDocument/2006/relationships/hyperlink" Target="https://doi.org/10.1111/beer.12718" TargetMode="External"/><Relationship Id="rId159" Type="http://schemas.openxmlformats.org/officeDocument/2006/relationships/header" Target="header27.xml"/><Relationship Id="rId175" Type="http://schemas.openxmlformats.org/officeDocument/2006/relationships/header" Target="header31.xml"/><Relationship Id="rId170" Type="http://schemas.openxmlformats.org/officeDocument/2006/relationships/hyperlink" Target="https://doi.org/10.3406/bupsy.1959.7968" TargetMode="External"/><Relationship Id="rId191" Type="http://schemas.openxmlformats.org/officeDocument/2006/relationships/footer" Target="footer21.xml"/><Relationship Id="rId16" Type="http://schemas.openxmlformats.org/officeDocument/2006/relationships/header" Target="header1.xml"/><Relationship Id="rId107" Type="http://schemas.openxmlformats.org/officeDocument/2006/relationships/image" Target="media/image24.png"/><Relationship Id="rId11" Type="http://schemas.openxmlformats.org/officeDocument/2006/relationships/image" Target="media/image40.jpeg"/><Relationship Id="rId32" Type="http://schemas.openxmlformats.org/officeDocument/2006/relationships/footer" Target="footer3.xml"/><Relationship Id="rId37" Type="http://schemas.openxmlformats.org/officeDocument/2006/relationships/chart" Target="charts/chart4.xml"/><Relationship Id="rId53" Type="http://schemas.openxmlformats.org/officeDocument/2006/relationships/hyperlink" Target="https://doi.org/10.46322/ajessms.v19i1.205" TargetMode="External"/><Relationship Id="rId58" Type="http://schemas.openxmlformats.org/officeDocument/2006/relationships/hyperlink" Target="https://theses.hal.science/tel-00498380v1" TargetMode="External"/><Relationship Id="rId74" Type="http://schemas.openxmlformats.org/officeDocument/2006/relationships/hyperlink" Target="https://doi.org/10.1080/00224545.1992.9922993" TargetMode="External"/><Relationship Id="rId79" Type="http://schemas.openxmlformats.org/officeDocument/2006/relationships/header" Target="header11.xml"/><Relationship Id="rId102" Type="http://schemas.openxmlformats.org/officeDocument/2006/relationships/image" Target="media/image19.png"/><Relationship Id="rId123" Type="http://schemas.openxmlformats.org/officeDocument/2006/relationships/diagramData" Target="diagrams/data1.xml"/><Relationship Id="rId128" Type="http://schemas.openxmlformats.org/officeDocument/2006/relationships/header" Target="header21.xml"/><Relationship Id="rId144" Type="http://schemas.openxmlformats.org/officeDocument/2006/relationships/hyperlink" Target="https://doi.org/10.1016/S0065-2601(8)60108-2" TargetMode="External"/><Relationship Id="rId149" Type="http://schemas.openxmlformats.org/officeDocument/2006/relationships/hyperlink" Target="https://doi.org/10.1007/s10734-024-01334-7"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se-realiser.com/efficacite-personnelle/" TargetMode="External"/><Relationship Id="rId160" Type="http://schemas.openxmlformats.org/officeDocument/2006/relationships/header" Target="header28.xml"/><Relationship Id="rId165" Type="http://schemas.openxmlformats.org/officeDocument/2006/relationships/hyperlink" Target="https://www.ecoledeslettres.fr/philosophie-chronique-n-8-un-an-dateliers-philo-engrande-section/" TargetMode="External"/><Relationship Id="rId181" Type="http://schemas.openxmlformats.org/officeDocument/2006/relationships/hyperlink" Target="https://www.proquest.com/openview/9d885eff91551408e89da7dd986952ea/1?pq-origsite=gscholar&amp;cbl=44724" TargetMode="External"/><Relationship Id="rId186" Type="http://schemas.openxmlformats.org/officeDocument/2006/relationships/hyperlink" Target="https://doi.org/10.1007/s11528-014-0821-0." TargetMode="External"/><Relationship Id="rId22" Type="http://schemas.openxmlformats.org/officeDocument/2006/relationships/image" Target="media/image10.jpeg"/><Relationship Id="rId27" Type="http://schemas.openxmlformats.org/officeDocument/2006/relationships/header" Target="header2.xml"/><Relationship Id="rId43" Type="http://schemas.openxmlformats.org/officeDocument/2006/relationships/hyperlink" Target="https://doi.org/10.1080/26399699.2022.2045671" TargetMode="External"/><Relationship Id="rId48" Type="http://schemas.openxmlformats.org/officeDocument/2006/relationships/hyperlink" Target="https://doi.org/10.4000/ed.6874" TargetMode="External"/><Relationship Id="rId64" Type="http://schemas.openxmlformats.org/officeDocument/2006/relationships/hyperlink" Target="https://shs.cairn.info/les-nouvelles-frontieres-de-l-integrite-academique--9782376877486-page-177?lang=fr" TargetMode="External"/><Relationship Id="rId69" Type="http://schemas.openxmlformats.org/officeDocument/2006/relationships/image" Target="media/image13.emf"/><Relationship Id="rId113" Type="http://schemas.openxmlformats.org/officeDocument/2006/relationships/chart" Target="charts/chart11.xml"/><Relationship Id="rId118" Type="http://schemas.openxmlformats.org/officeDocument/2006/relationships/footer" Target="footer10.xml"/><Relationship Id="rId134" Type="http://schemas.openxmlformats.org/officeDocument/2006/relationships/header" Target="header23.xml"/><Relationship Id="rId139" Type="http://schemas.openxmlformats.org/officeDocument/2006/relationships/header" Target="header26.xml"/><Relationship Id="rId80" Type="http://schemas.openxmlformats.org/officeDocument/2006/relationships/footer" Target="footer6.xml"/><Relationship Id="rId85" Type="http://schemas.openxmlformats.org/officeDocument/2006/relationships/hyperlink" Target="https://doi.org/10.1111/j.1467-9620.2006.00684.x" TargetMode="External"/><Relationship Id="rId150" Type="http://schemas.openxmlformats.org/officeDocument/2006/relationships/hyperlink" Target="https://doi.org/10.1057/9780230288829_9" TargetMode="External"/><Relationship Id="rId155" Type="http://schemas.openxmlformats.org/officeDocument/2006/relationships/hyperlink" Target="https://doi.org/10.1177/0149206308316058" TargetMode="External"/><Relationship Id="rId171" Type="http://schemas.openxmlformats.org/officeDocument/2006/relationships/hyperlink" Target="https://doi.org/10.7202/016190ar" TargetMode="External"/><Relationship Id="rId176" Type="http://schemas.openxmlformats.org/officeDocument/2006/relationships/footer" Target="footer20.xml"/><Relationship Id="rId192"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header" Target="header5.xml"/><Relationship Id="rId38" Type="http://schemas.openxmlformats.org/officeDocument/2006/relationships/chart" Target="charts/chart5.xml"/><Relationship Id="rId59" Type="http://schemas.openxmlformats.org/officeDocument/2006/relationships/hyperlink" Target="https://doi.org/10.4000/rechercheformation.621" TargetMode="External"/><Relationship Id="rId103" Type="http://schemas.openxmlformats.org/officeDocument/2006/relationships/image" Target="media/image20.png"/><Relationship Id="rId108" Type="http://schemas.openxmlformats.org/officeDocument/2006/relationships/hyperlink" Target="https://doi.org/10.4000/alsic.1466" TargetMode="External"/><Relationship Id="rId124" Type="http://schemas.openxmlformats.org/officeDocument/2006/relationships/diagramLayout" Target="diagrams/layout1.xml"/><Relationship Id="rId129" Type="http://schemas.openxmlformats.org/officeDocument/2006/relationships/footer" Target="footer13.xml"/><Relationship Id="rId54" Type="http://schemas.openxmlformats.org/officeDocument/2006/relationships/hyperlink" Target="https://unesdoc.unesco.org/ark:/48223/pf0000384567" TargetMode="External"/><Relationship Id="rId70" Type="http://schemas.openxmlformats.org/officeDocument/2006/relationships/header" Target="header8.xml"/><Relationship Id="rId75" Type="http://schemas.openxmlformats.org/officeDocument/2006/relationships/hyperlink" Target="https://doi.org/10.1177/0013164497053001018" TargetMode="External"/><Relationship Id="rId91" Type="http://schemas.openxmlformats.org/officeDocument/2006/relationships/image" Target="media/image16.png"/><Relationship Id="rId96" Type="http://schemas.openxmlformats.org/officeDocument/2006/relationships/header" Target="header14.xml"/><Relationship Id="rId140" Type="http://schemas.openxmlformats.org/officeDocument/2006/relationships/footer" Target="footer17.xml"/><Relationship Id="rId145" Type="http://schemas.openxmlformats.org/officeDocument/2006/relationships/hyperlink" Target="https://doi.org/10.1108/S0742-730120220000040003" TargetMode="External"/><Relationship Id="rId161" Type="http://schemas.openxmlformats.org/officeDocument/2006/relationships/footer" Target="footer18.xml"/><Relationship Id="rId166" Type="http://schemas.openxmlformats.org/officeDocument/2006/relationships/hyperlink" Target="https://chaireunescophiloenfants.univ-nantes.fr/recherche" TargetMode="External"/><Relationship Id="rId182" Type="http://schemas.openxmlformats.org/officeDocument/2006/relationships/hyperlink" Target="https://www.proquest.com/indexingvolumeissuelinkhandler/44724/The+Canadian+Journal+for+the+Study+of+Adult+Education/01999Y05Y01$23May+1999$3b++Vol.+13+$281$29/13/1;jsessionid=11001B582FB8C6645DA9234ECBFA1661.i-044243084811ff9d0" TargetMode="External"/><Relationship Id="rId187"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eseau-mirabel.info/" TargetMode="External"/><Relationship Id="rId28" Type="http://schemas.openxmlformats.org/officeDocument/2006/relationships/footer" Target="footer1.xml"/><Relationship Id="rId49" Type="http://schemas.openxmlformats.org/officeDocument/2006/relationships/hyperlink" Target="https://doi.org/10.1080/03075079.2022.2134567" TargetMode="External"/><Relationship Id="rId114" Type="http://schemas.openxmlformats.org/officeDocument/2006/relationships/chart" Target="charts/chart12.xml"/><Relationship Id="rId119" Type="http://schemas.openxmlformats.org/officeDocument/2006/relationships/footer" Target="footer11.xml"/><Relationship Id="rId44" Type="http://schemas.openxmlformats.org/officeDocument/2006/relationships/hyperlink" Target="https://doi.org/" TargetMode="External"/><Relationship Id="rId60" Type="http://schemas.openxmlformats.org/officeDocument/2006/relationships/hyperlink" Target="https://doi.org/10.4000/echogeo.22889" TargetMode="External"/><Relationship Id="rId65" Type="http://schemas.openxmlformats.org/officeDocument/2006/relationships/hyperlink" Target="https://revues.acaref.net/wp-content/uploads/sites/3/2024/04/2-Akimou-TCHAGNAAOU.pdf" TargetMode="External"/><Relationship Id="rId81" Type="http://schemas.openxmlformats.org/officeDocument/2006/relationships/footer" Target="footer7.xml"/><Relationship Id="rId86" Type="http://schemas.openxmlformats.org/officeDocument/2006/relationships/hyperlink" Target="https://doi.org/10.1016/0364-0213(88)90023-7" TargetMode="External"/><Relationship Id="rId130" Type="http://schemas.openxmlformats.org/officeDocument/2006/relationships/header" Target="header22.xml"/><Relationship Id="rId135" Type="http://schemas.openxmlformats.org/officeDocument/2006/relationships/header" Target="header24.xml"/><Relationship Id="rId151" Type="http://schemas.openxmlformats.org/officeDocument/2006/relationships/hyperlink" Target="https://doi.org/10.1177/014920639001600208" TargetMode="External"/><Relationship Id="rId156" Type="http://schemas.openxmlformats.org/officeDocument/2006/relationships/hyperlink" Target="https://doi.org/10.1016/j.leagua.2011.07.014" TargetMode="External"/><Relationship Id="rId177" Type="http://schemas.openxmlformats.org/officeDocument/2006/relationships/image" Target="media/image26.png"/><Relationship Id="rId172" Type="http://schemas.openxmlformats.org/officeDocument/2006/relationships/hyperlink" Target="http://www.crdp-montpellier/ressources/agora" TargetMode="External"/><Relationship Id="rId193"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chart" Target="charts/chart6.xml"/><Relationship Id="rId109" Type="http://schemas.openxmlformats.org/officeDocument/2006/relationships/hyperlink" Target="https://doi.org/10.4000/alsic.1466" TargetMode="External"/><Relationship Id="rId34" Type="http://schemas.openxmlformats.org/officeDocument/2006/relationships/chart" Target="charts/chart1.xml"/><Relationship Id="rId50" Type="http://schemas.openxmlformats.org/officeDocument/2006/relationships/hyperlink" Target="https://doi.org/10.4000/ed.12345" TargetMode="External"/><Relationship Id="rId55" Type="http://schemas.openxmlformats.org/officeDocument/2006/relationships/header" Target="header6.xml"/><Relationship Id="rId76" Type="http://schemas.openxmlformats.org/officeDocument/2006/relationships/header" Target="header10.xml"/><Relationship Id="rId97" Type="http://schemas.openxmlformats.org/officeDocument/2006/relationships/hyperlink" Target="https://doi.org/10.1002/1098-2736(200103)38:3%3C296::AID-TEA1007%3E3.0.CO;2-R" TargetMode="External"/><Relationship Id="rId104" Type="http://schemas.openxmlformats.org/officeDocument/2006/relationships/image" Target="media/image21.png"/><Relationship Id="rId120" Type="http://schemas.openxmlformats.org/officeDocument/2006/relationships/image" Target="media/image25.png"/><Relationship Id="rId125" Type="http://schemas.openxmlformats.org/officeDocument/2006/relationships/diagramQuickStyle" Target="diagrams/quickStyle1.xml"/><Relationship Id="rId141" Type="http://schemas.openxmlformats.org/officeDocument/2006/relationships/chart" Target="charts/chart14.xml"/><Relationship Id="rId146" Type="http://schemas.openxmlformats.org/officeDocument/2006/relationships/hyperlink" Target="https://doi.org/10.1016/j.leaqua.2006.10.004" TargetMode="External"/><Relationship Id="rId167" Type="http://schemas.openxmlformats.org/officeDocument/2006/relationships/hyperlink" Target="https://biblioth&#232;que.uqac.uquebec.ca/index.htm" TargetMode="External"/><Relationship Id="rId188" Type="http://schemas.openxmlformats.org/officeDocument/2006/relationships/chart" Target="charts/chart17.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chart" Target="charts/chart10.xml"/><Relationship Id="rId162" Type="http://schemas.openxmlformats.org/officeDocument/2006/relationships/header" Target="header29.xml"/><Relationship Id="rId183" Type="http://schemas.openxmlformats.org/officeDocument/2006/relationships/hyperlink" Target="http://w3.uqo.ca/inclusion/g/1600c.htm"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revue-rasef.org/accueil_026.htm" TargetMode="External"/><Relationship Id="rId40" Type="http://schemas.openxmlformats.org/officeDocument/2006/relationships/chart" Target="charts/chart7.xml"/><Relationship Id="rId45" Type="http://schemas.openxmlformats.org/officeDocument/2006/relationships/hyperlink" Target="https://doi.org/10.48625/rised.v15i2.1234" TargetMode="External"/><Relationship Id="rId66" Type="http://schemas.openxmlformats.org/officeDocument/2006/relationships/header" Target="header7.xml"/><Relationship Id="rId87" Type="http://schemas.openxmlformats.org/officeDocument/2006/relationships/header" Target="header12.xml"/><Relationship Id="rId110" Type="http://schemas.openxmlformats.org/officeDocument/2006/relationships/header" Target="header16.xml"/><Relationship Id="rId115" Type="http://schemas.openxmlformats.org/officeDocument/2006/relationships/chart" Target="charts/chart13.xml"/><Relationship Id="rId131" Type="http://schemas.openxmlformats.org/officeDocument/2006/relationships/footer" Target="footer14.xml"/><Relationship Id="rId136" Type="http://schemas.openxmlformats.org/officeDocument/2006/relationships/header" Target="header25.xml"/><Relationship Id="rId157" Type="http://schemas.openxmlformats.org/officeDocument/2006/relationships/hyperlink" Target="https://doi.org/10.1177/0002764203260212" TargetMode="External"/><Relationship Id="rId178" Type="http://schemas.openxmlformats.org/officeDocument/2006/relationships/image" Target="media/image27.png"/><Relationship Id="rId61" Type="http://schemas.openxmlformats.org/officeDocument/2006/relationships/hyperlink" Target="https://doi.org/10.4000/ripes.333" TargetMode="External"/><Relationship Id="rId82" Type="http://schemas.openxmlformats.org/officeDocument/2006/relationships/footer" Target="footer8.xml"/><Relationship Id="rId152" Type="http://schemas.openxmlformats.org/officeDocument/2006/relationships/hyperlink" Target="https://doi.org/10.4102/sajhrm.v22i0.2697" TargetMode="External"/><Relationship Id="rId173" Type="http://schemas.openxmlformats.org/officeDocument/2006/relationships/header" Target="header30.xml"/><Relationship Id="rId19" Type="http://schemas.openxmlformats.org/officeDocument/2006/relationships/image" Target="media/image9.jpeg"/><Relationship Id="rId14" Type="http://schemas.openxmlformats.org/officeDocument/2006/relationships/hyperlink" Target="mailto:revueracese@gmail.com" TargetMode="External"/><Relationship Id="rId30" Type="http://schemas.openxmlformats.org/officeDocument/2006/relationships/footer" Target="footer2.xml"/><Relationship Id="rId35" Type="http://schemas.openxmlformats.org/officeDocument/2006/relationships/chart" Target="charts/chart2.xml"/><Relationship Id="rId56" Type="http://schemas.openxmlformats.org/officeDocument/2006/relationships/hyperlink" Target="https://doi.org/10.4000/pratiques.12131" TargetMode="External"/><Relationship Id="rId77" Type="http://schemas.openxmlformats.org/officeDocument/2006/relationships/hyperlink" Target="https://www.persee.fr/collection/rfp" TargetMode="External"/><Relationship Id="rId100" Type="http://schemas.openxmlformats.org/officeDocument/2006/relationships/image" Target="media/image17.png"/><Relationship Id="rId105" Type="http://schemas.openxmlformats.org/officeDocument/2006/relationships/image" Target="media/image22.png"/><Relationship Id="rId126" Type="http://schemas.openxmlformats.org/officeDocument/2006/relationships/diagramColors" Target="diagrams/colors1.xml"/><Relationship Id="rId147" Type="http://schemas.openxmlformats.org/officeDocument/2006/relationships/hyperlink" Target="https://doi.org/10.1037/1061-4087.53.3.182" TargetMode="External"/><Relationship Id="rId168" Type="http://schemas.openxmlformats.org/officeDocument/2006/relationships/hyperlink" Target="https://biblioth&#232;que.uqac.uquebec.ca/index.htm" TargetMode="External"/><Relationship Id="rId8" Type="http://schemas.openxmlformats.org/officeDocument/2006/relationships/image" Target="media/image2.jpeg"/><Relationship Id="rId51" Type="http://schemas.openxmlformats.org/officeDocument/2006/relationships/hyperlink" Target="https://doi.org/10.4000/rfp.12345" TargetMode="External"/><Relationship Id="rId72" Type="http://schemas.openxmlformats.org/officeDocument/2006/relationships/header" Target="header9.xml"/><Relationship Id="rId93" Type="http://schemas.openxmlformats.org/officeDocument/2006/relationships/hyperlink" Target="https://classiques.uqam.ca/contemporains/jodelet_denise/representations_sociales/representations_sociales.html" TargetMode="External"/><Relationship Id="rId98" Type="http://schemas.openxmlformats.org/officeDocument/2006/relationships/hyperlink" Target="https://doi.org/10.7202/1085030ar" TargetMode="External"/><Relationship Id="rId121" Type="http://schemas.openxmlformats.org/officeDocument/2006/relationships/header" Target="header20.xml"/><Relationship Id="rId142" Type="http://schemas.openxmlformats.org/officeDocument/2006/relationships/chart" Target="charts/chart15.xml"/><Relationship Id="rId163" Type="http://schemas.openxmlformats.org/officeDocument/2006/relationships/footer" Target="footer19.xml"/><Relationship Id="rId184" Type="http://schemas.openxmlformats.org/officeDocument/2006/relationships/hyperlink" Target="http://w3.uqo.ca/inclusion/g/1600c.htm" TargetMode="External"/><Relationship Id="rId189" Type="http://schemas.openxmlformats.org/officeDocument/2006/relationships/chart" Target="charts/chart18.xml"/><Relationship Id="rId3" Type="http://schemas.openxmlformats.org/officeDocument/2006/relationships/styles" Target="styles.xml"/><Relationship Id="rId25" Type="http://schemas.openxmlformats.org/officeDocument/2006/relationships/hyperlink" Target="http://www.revue-rasef.org/" TargetMode="External"/><Relationship Id="rId46" Type="http://schemas.openxmlformats.org/officeDocument/2006/relationships/hyperlink" Target="https://doi.org/10.3917/pum.kars.2023.01" TargetMode="External"/><Relationship Id="rId67" Type="http://schemas.openxmlformats.org/officeDocument/2006/relationships/image" Target="media/image11.png"/><Relationship Id="rId116" Type="http://schemas.openxmlformats.org/officeDocument/2006/relationships/header" Target="header18.xml"/><Relationship Id="rId137" Type="http://schemas.openxmlformats.org/officeDocument/2006/relationships/footer" Target="footer15.xml"/><Relationship Id="rId158" Type="http://schemas.openxmlformats.org/officeDocument/2006/relationships/hyperlink" Target="https://doi.org/10.1146/annurev-lawsocsci-110722-074236" TargetMode="External"/><Relationship Id="rId20" Type="http://schemas.openxmlformats.org/officeDocument/2006/relationships/hyperlink" Target="http://esjindex.org/index.php" TargetMode="External"/><Relationship Id="rId41" Type="http://schemas.openxmlformats.org/officeDocument/2006/relationships/chart" Target="charts/chart8.xml"/><Relationship Id="rId62" Type="http://schemas.openxmlformats.org/officeDocument/2006/relationships/hyperlink" Target="https://doi.org/10.4000/130x0" TargetMode="External"/><Relationship Id="rId83" Type="http://schemas.openxmlformats.org/officeDocument/2006/relationships/hyperlink" Target="https://educational-innovation.sydney" TargetMode="External"/><Relationship Id="rId88" Type="http://schemas.openxmlformats.org/officeDocument/2006/relationships/header" Target="header13.xml"/><Relationship Id="rId111" Type="http://schemas.openxmlformats.org/officeDocument/2006/relationships/header" Target="header17.xml"/><Relationship Id="rId132" Type="http://schemas.openxmlformats.org/officeDocument/2006/relationships/hyperlink" Target="https://www.persee.fr/authority/297675" TargetMode="External"/><Relationship Id="rId153" Type="http://schemas.openxmlformats.org/officeDocument/2006/relationships/hyperlink" Target="https://doi.org/10.1177/10596011221102297" TargetMode="External"/><Relationship Id="rId174" Type="http://schemas.openxmlformats.org/officeDocument/2006/relationships/hyperlink" Target="https://www.prc.cm/fr/actualites/discours/7046-message-du-chef-de-l-etat-a-l-occasion-de-la-58eme-edition-de-la-fete-de-la-jeunesse" TargetMode="External"/><Relationship Id="rId179" Type="http://schemas.openxmlformats.org/officeDocument/2006/relationships/image" Target="media/image28.png"/><Relationship Id="rId190" Type="http://schemas.openxmlformats.org/officeDocument/2006/relationships/header" Target="header33.xml"/><Relationship Id="rId15" Type="http://schemas.openxmlformats.org/officeDocument/2006/relationships/hyperlink" Target="mailto:revueracese@gmail.com" TargetMode="External"/><Relationship Id="rId36" Type="http://schemas.openxmlformats.org/officeDocument/2006/relationships/chart" Target="charts/chart3.xml"/><Relationship Id="rId57" Type="http://schemas.openxmlformats.org/officeDocument/2006/relationships/hyperlink" Target="http://hdl.handle.net/11143/17357" TargetMode="External"/><Relationship Id="rId106" Type="http://schemas.openxmlformats.org/officeDocument/2006/relationships/image" Target="media/image23.png"/><Relationship Id="rId127" Type="http://schemas.microsoft.com/office/2007/relationships/diagramDrawing" Target="diagrams/drawing1.xml"/><Relationship Id="rId10" Type="http://schemas.openxmlformats.org/officeDocument/2006/relationships/image" Target="media/image4.jpeg"/><Relationship Id="rId31" Type="http://schemas.openxmlformats.org/officeDocument/2006/relationships/header" Target="header4.xml"/><Relationship Id="rId52" Type="http://schemas.openxmlformats.org/officeDocument/2006/relationships/hyperlink" Target="https://doi.org/10.3102/00346543211053215" TargetMode="External"/><Relationship Id="rId73" Type="http://schemas.openxmlformats.org/officeDocument/2006/relationships/footer" Target="footer5.xml"/><Relationship Id="rId78" Type="http://schemas.openxmlformats.org/officeDocument/2006/relationships/hyperlink" Target="https://www.persee.fr/issue/rfp_0556-7807_1997_num_121_1?sectionId=rfp_0556-7807_1997_num_121_1_3008_t1_0181_0000_2" TargetMode="External"/><Relationship Id="rId94" Type="http://schemas.openxmlformats.org/officeDocument/2006/relationships/hyperlink" Target="https://www.dvv-international.de/fr/education-des-adultes-et-developpement/numeros/ead-652005/objectifs-du-millenaire-pour-le-developpement-education-pour-tous/education-des-adultes-et-developpement-de-lafrique-dans-le-contexte-de-la-mondialisation" TargetMode="External"/><Relationship Id="rId99" Type="http://schemas.openxmlformats.org/officeDocument/2006/relationships/header" Target="header15.xml"/><Relationship Id="rId101" Type="http://schemas.openxmlformats.org/officeDocument/2006/relationships/image" Target="media/image18.png"/><Relationship Id="rId122" Type="http://schemas.openxmlformats.org/officeDocument/2006/relationships/footer" Target="footer12.xml"/><Relationship Id="rId143" Type="http://schemas.openxmlformats.org/officeDocument/2006/relationships/chart" Target="charts/chart16.xml"/><Relationship Id="rId148" Type="http://schemas.openxmlformats.org/officeDocument/2006/relationships/hyperlink" Target="https://doi.org/10.3917/th.833.0235" TargetMode="External"/><Relationship Id="rId164" Type="http://schemas.openxmlformats.org/officeDocument/2006/relationships/hyperlink" Target="https://revue-rdm.com/1988/ingenierie-didactique-2/" TargetMode="External"/><Relationship Id="rId169" Type="http://schemas.openxmlformats.org/officeDocument/2006/relationships/hyperlink" Target="https://philoenfant.org/2015/11/12/82-pays-ou-se-pratique-la-philosophie-pour-enfants/" TargetMode="External"/><Relationship Id="rId18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dx.doi.org/10.1037/0022-0663.80.3.260" TargetMode="External"/><Relationship Id="rId26" Type="http://schemas.openxmlformats.org/officeDocument/2006/relationships/hyperlink" Target="mailto:revueraces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unesdoc.unesco.org/ark:/48223/pf000021477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2.bin"/></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Classeur1"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ohamed%20Lamine\Desktop\Lamine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81487306379149E-2"/>
          <c:y val="1.4768807972679134E-2"/>
          <c:w val="0.91295059709696602"/>
          <c:h val="0.8465356659672717"/>
        </c:manualLayout>
      </c:layout>
      <c:barChart>
        <c:barDir val="col"/>
        <c:grouping val="clustered"/>
        <c:varyColors val="0"/>
        <c:ser>
          <c:idx val="0"/>
          <c:order val="0"/>
          <c:tx>
            <c:strRef>
              <c:f>Feuil2!$A$2</c:f>
              <c:strCache>
                <c:ptCount val="1"/>
                <c:pt idx="0">
                  <c:v>variables</c:v>
                </c:pt>
              </c:strCache>
            </c:strRef>
          </c:tx>
          <c:spPr>
            <a:solidFill>
              <a:schemeClr val="accent1"/>
            </a:solidFill>
            <a:ln w="19050">
              <a:solidFill>
                <a:schemeClr val="lt1"/>
              </a:solidFill>
            </a:ln>
            <a:effectLst/>
          </c:spPr>
          <c:invertIfNegative val="0"/>
          <c:cat>
            <c:strRef>
              <c:f>Feuil2!$B$1:$J$1</c:f>
              <c:strCache>
                <c:ptCount val="9"/>
                <c:pt idx="0">
                  <c:v>LFDS</c:v>
                </c:pt>
                <c:pt idx="1">
                  <c:v>LBS</c:v>
                </c:pt>
                <c:pt idx="2">
                  <c:v>LBF</c:v>
                </c:pt>
                <c:pt idx="3">
                  <c:v>LAM</c:v>
                </c:pt>
                <c:pt idx="4">
                  <c:v>LMSARR</c:v>
                </c:pt>
                <c:pt idx="5">
                  <c:v>LMBodj</c:v>
                </c:pt>
                <c:pt idx="6">
                  <c:v>LBAD</c:v>
                </c:pt>
                <c:pt idx="7">
                  <c:v>Total </c:v>
                </c:pt>
                <c:pt idx="8">
                  <c:v>%</c:v>
                </c:pt>
              </c:strCache>
            </c:strRef>
          </c:cat>
          <c:val>
            <c:numRef>
              <c:f>Feuil2!$B$2:$J$2</c:f>
              <c:numCache>
                <c:formatCode>General</c:formatCode>
                <c:ptCount val="9"/>
              </c:numCache>
            </c:numRef>
          </c:val>
          <c:extLst>
            <c:ext xmlns:c16="http://schemas.microsoft.com/office/drawing/2014/chart" uri="{C3380CC4-5D6E-409C-BE32-E72D297353CC}">
              <c16:uniqueId val="{00000000-8BCA-4BF9-A5C9-8F630144A9EC}"/>
            </c:ext>
          </c:extLst>
        </c:ser>
        <c:ser>
          <c:idx val="1"/>
          <c:order val="1"/>
          <c:tx>
            <c:strRef>
              <c:f>Feuil2!$A$3</c:f>
              <c:strCache>
                <c:ptCount val="1"/>
                <c:pt idx="0">
                  <c:v> Classes aux lycées</c:v>
                </c:pt>
              </c:strCache>
            </c:strRef>
          </c:tx>
          <c:spPr>
            <a:solidFill>
              <a:schemeClr val="accent2"/>
            </a:solidFill>
            <a:ln w="19050">
              <a:solidFill>
                <a:schemeClr val="lt1"/>
              </a:solidFill>
            </a:ln>
            <a:effectLst/>
          </c:spPr>
          <c:invertIfNegative val="0"/>
          <c:cat>
            <c:strRef>
              <c:f>Feuil2!$B$1:$J$1</c:f>
              <c:strCache>
                <c:ptCount val="9"/>
                <c:pt idx="0">
                  <c:v>LFDS</c:v>
                </c:pt>
                <c:pt idx="1">
                  <c:v>LBS</c:v>
                </c:pt>
                <c:pt idx="2">
                  <c:v>LBF</c:v>
                </c:pt>
                <c:pt idx="3">
                  <c:v>LAM</c:v>
                </c:pt>
                <c:pt idx="4">
                  <c:v>LMSARR</c:v>
                </c:pt>
                <c:pt idx="5">
                  <c:v>LMBodj</c:v>
                </c:pt>
                <c:pt idx="6">
                  <c:v>LBAD</c:v>
                </c:pt>
                <c:pt idx="7">
                  <c:v>Total </c:v>
                </c:pt>
                <c:pt idx="8">
                  <c:v>%</c:v>
                </c:pt>
              </c:strCache>
            </c:strRef>
          </c:cat>
          <c:val>
            <c:numRef>
              <c:f>Feuil2!$B$3:$J$3</c:f>
              <c:numCache>
                <c:formatCode>General</c:formatCode>
                <c:ptCount val="9"/>
                <c:pt idx="0">
                  <c:v>32</c:v>
                </c:pt>
                <c:pt idx="1">
                  <c:v>17</c:v>
                </c:pt>
                <c:pt idx="2">
                  <c:v>27</c:v>
                </c:pt>
                <c:pt idx="3">
                  <c:v>30</c:v>
                </c:pt>
                <c:pt idx="4">
                  <c:v>30</c:v>
                </c:pt>
                <c:pt idx="5">
                  <c:v>34</c:v>
                </c:pt>
                <c:pt idx="6">
                  <c:v>37</c:v>
                </c:pt>
                <c:pt idx="7">
                  <c:v>207</c:v>
                </c:pt>
                <c:pt idx="8" formatCode="0%">
                  <c:v>1</c:v>
                </c:pt>
              </c:numCache>
            </c:numRef>
          </c:val>
          <c:extLst>
            <c:ext xmlns:c16="http://schemas.microsoft.com/office/drawing/2014/chart" uri="{C3380CC4-5D6E-409C-BE32-E72D297353CC}">
              <c16:uniqueId val="{00000001-8BCA-4BF9-A5C9-8F630144A9EC}"/>
            </c:ext>
          </c:extLst>
        </c:ser>
        <c:ser>
          <c:idx val="2"/>
          <c:order val="2"/>
          <c:tx>
            <c:strRef>
              <c:f>Feuil2!$A$4</c:f>
              <c:strCache>
                <c:ptCount val="1"/>
                <c:pt idx="0">
                  <c:v>Professeurs Mathématiques</c:v>
                </c:pt>
              </c:strCache>
            </c:strRef>
          </c:tx>
          <c:spPr>
            <a:solidFill>
              <a:schemeClr val="accent3"/>
            </a:solidFill>
            <a:ln w="19050">
              <a:solidFill>
                <a:schemeClr val="lt1"/>
              </a:solidFill>
            </a:ln>
            <a:effectLst/>
          </c:spPr>
          <c:invertIfNegative val="0"/>
          <c:cat>
            <c:strRef>
              <c:f>Feuil2!$B$1:$J$1</c:f>
              <c:strCache>
                <c:ptCount val="9"/>
                <c:pt idx="0">
                  <c:v>LFDS</c:v>
                </c:pt>
                <c:pt idx="1">
                  <c:v>LBS</c:v>
                </c:pt>
                <c:pt idx="2">
                  <c:v>LBF</c:v>
                </c:pt>
                <c:pt idx="3">
                  <c:v>LAM</c:v>
                </c:pt>
                <c:pt idx="4">
                  <c:v>LMSARR</c:v>
                </c:pt>
                <c:pt idx="5">
                  <c:v>LMBodj</c:v>
                </c:pt>
                <c:pt idx="6">
                  <c:v>LBAD</c:v>
                </c:pt>
                <c:pt idx="7">
                  <c:v>Total </c:v>
                </c:pt>
                <c:pt idx="8">
                  <c:v>%</c:v>
                </c:pt>
              </c:strCache>
            </c:strRef>
          </c:cat>
          <c:val>
            <c:numRef>
              <c:f>Feuil2!$B$4:$J$4</c:f>
              <c:numCache>
                <c:formatCode>General</c:formatCode>
                <c:ptCount val="9"/>
                <c:pt idx="0">
                  <c:v>19</c:v>
                </c:pt>
                <c:pt idx="1">
                  <c:v>6</c:v>
                </c:pt>
                <c:pt idx="2">
                  <c:v>8</c:v>
                </c:pt>
                <c:pt idx="3">
                  <c:v>15</c:v>
                </c:pt>
                <c:pt idx="4">
                  <c:v>6</c:v>
                </c:pt>
                <c:pt idx="5">
                  <c:v>11</c:v>
                </c:pt>
                <c:pt idx="6">
                  <c:v>9</c:v>
                </c:pt>
                <c:pt idx="7">
                  <c:v>74</c:v>
                </c:pt>
                <c:pt idx="8" formatCode="0%">
                  <c:v>1</c:v>
                </c:pt>
              </c:numCache>
            </c:numRef>
          </c:val>
          <c:extLst>
            <c:ext xmlns:c16="http://schemas.microsoft.com/office/drawing/2014/chart" uri="{C3380CC4-5D6E-409C-BE32-E72D297353CC}">
              <c16:uniqueId val="{00000002-8BCA-4BF9-A5C9-8F630144A9EC}"/>
            </c:ext>
          </c:extLst>
        </c:ser>
        <c:ser>
          <c:idx val="3"/>
          <c:order val="3"/>
          <c:tx>
            <c:strRef>
              <c:f>Feuil2!$A$5</c:f>
              <c:strCache>
                <c:ptCount val="1"/>
                <c:pt idx="0">
                  <c:v>Classes terminales</c:v>
                </c:pt>
              </c:strCache>
            </c:strRef>
          </c:tx>
          <c:spPr>
            <a:solidFill>
              <a:schemeClr val="accent4"/>
            </a:solidFill>
            <a:ln w="19050">
              <a:solidFill>
                <a:schemeClr val="lt1"/>
              </a:solidFill>
            </a:ln>
            <a:effectLst/>
          </c:spPr>
          <c:invertIfNegative val="0"/>
          <c:cat>
            <c:strRef>
              <c:f>Feuil2!$B$1:$J$1</c:f>
              <c:strCache>
                <c:ptCount val="9"/>
                <c:pt idx="0">
                  <c:v>LFDS</c:v>
                </c:pt>
                <c:pt idx="1">
                  <c:v>LBS</c:v>
                </c:pt>
                <c:pt idx="2">
                  <c:v>LBF</c:v>
                </c:pt>
                <c:pt idx="3">
                  <c:v>LAM</c:v>
                </c:pt>
                <c:pt idx="4">
                  <c:v>LMSARR</c:v>
                </c:pt>
                <c:pt idx="5">
                  <c:v>LMBodj</c:v>
                </c:pt>
                <c:pt idx="6">
                  <c:v>LBAD</c:v>
                </c:pt>
                <c:pt idx="7">
                  <c:v>Total </c:v>
                </c:pt>
                <c:pt idx="8">
                  <c:v>%</c:v>
                </c:pt>
              </c:strCache>
            </c:strRef>
          </c:cat>
          <c:val>
            <c:numRef>
              <c:f>Feuil2!$B$5:$J$5</c:f>
              <c:numCache>
                <c:formatCode>General</c:formatCode>
                <c:ptCount val="9"/>
                <c:pt idx="0">
                  <c:v>14</c:v>
                </c:pt>
                <c:pt idx="1">
                  <c:v>6</c:v>
                </c:pt>
                <c:pt idx="2">
                  <c:v>11</c:v>
                </c:pt>
                <c:pt idx="3">
                  <c:v>10</c:v>
                </c:pt>
                <c:pt idx="4">
                  <c:v>11</c:v>
                </c:pt>
                <c:pt idx="5">
                  <c:v>18</c:v>
                </c:pt>
                <c:pt idx="6">
                  <c:v>11</c:v>
                </c:pt>
                <c:pt idx="7">
                  <c:v>81</c:v>
                </c:pt>
                <c:pt idx="8" formatCode="0%">
                  <c:v>1</c:v>
                </c:pt>
              </c:numCache>
            </c:numRef>
          </c:val>
          <c:extLst>
            <c:ext xmlns:c16="http://schemas.microsoft.com/office/drawing/2014/chart" uri="{C3380CC4-5D6E-409C-BE32-E72D297353CC}">
              <c16:uniqueId val="{00000003-8BCA-4BF9-A5C9-8F630144A9EC}"/>
            </c:ext>
          </c:extLst>
        </c:ser>
        <c:ser>
          <c:idx val="4"/>
          <c:order val="4"/>
          <c:tx>
            <c:strRef>
              <c:f>Feuil2!$A$6</c:f>
              <c:strCache>
                <c:ptCount val="1"/>
                <c:pt idx="0">
                  <c:v>Laboratoire</c:v>
                </c:pt>
              </c:strCache>
            </c:strRef>
          </c:tx>
          <c:spPr>
            <a:solidFill>
              <a:schemeClr val="accent5"/>
            </a:solidFill>
            <a:ln w="19050">
              <a:solidFill>
                <a:schemeClr val="lt1"/>
              </a:solidFill>
            </a:ln>
            <a:effectLst/>
          </c:spPr>
          <c:invertIfNegative val="0"/>
          <c:cat>
            <c:strRef>
              <c:f>Feuil2!$B$1:$J$1</c:f>
              <c:strCache>
                <c:ptCount val="9"/>
                <c:pt idx="0">
                  <c:v>LFDS</c:v>
                </c:pt>
                <c:pt idx="1">
                  <c:v>LBS</c:v>
                </c:pt>
                <c:pt idx="2">
                  <c:v>LBF</c:v>
                </c:pt>
                <c:pt idx="3">
                  <c:v>LAM</c:v>
                </c:pt>
                <c:pt idx="4">
                  <c:v>LMSARR</c:v>
                </c:pt>
                <c:pt idx="5">
                  <c:v>LMBodj</c:v>
                </c:pt>
                <c:pt idx="6">
                  <c:v>LBAD</c:v>
                </c:pt>
                <c:pt idx="7">
                  <c:v>Total </c:v>
                </c:pt>
                <c:pt idx="8">
                  <c:v>%</c:v>
                </c:pt>
              </c:strCache>
            </c:strRef>
          </c:cat>
          <c:val>
            <c:numRef>
              <c:f>Feuil2!$B$6:$J$6</c:f>
              <c:numCache>
                <c:formatCode>General</c:formatCode>
                <c:ptCount val="9"/>
                <c:pt idx="0">
                  <c:v>2</c:v>
                </c:pt>
                <c:pt idx="1">
                  <c:v>1</c:v>
                </c:pt>
                <c:pt idx="2">
                  <c:v>1</c:v>
                </c:pt>
                <c:pt idx="3">
                  <c:v>1</c:v>
                </c:pt>
                <c:pt idx="4">
                  <c:v>0</c:v>
                </c:pt>
                <c:pt idx="5">
                  <c:v>1</c:v>
                </c:pt>
                <c:pt idx="6">
                  <c:v>2</c:v>
                </c:pt>
                <c:pt idx="7">
                  <c:v>8</c:v>
                </c:pt>
                <c:pt idx="8" formatCode="0%">
                  <c:v>1</c:v>
                </c:pt>
              </c:numCache>
            </c:numRef>
          </c:val>
          <c:extLst>
            <c:ext xmlns:c16="http://schemas.microsoft.com/office/drawing/2014/chart" uri="{C3380CC4-5D6E-409C-BE32-E72D297353CC}">
              <c16:uniqueId val="{00000004-8BCA-4BF9-A5C9-8F630144A9EC}"/>
            </c:ext>
          </c:extLst>
        </c:ser>
        <c:ser>
          <c:idx val="5"/>
          <c:order val="5"/>
          <c:tx>
            <c:strRef>
              <c:f>Feuil2!$A$7</c:f>
              <c:strCache>
                <c:ptCount val="1"/>
                <c:pt idx="0">
                  <c:v>Total </c:v>
                </c:pt>
              </c:strCache>
            </c:strRef>
          </c:tx>
          <c:spPr>
            <a:solidFill>
              <a:schemeClr val="accent6"/>
            </a:solidFill>
            <a:ln w="19050">
              <a:solidFill>
                <a:schemeClr val="lt1"/>
              </a:solidFill>
            </a:ln>
            <a:effectLst/>
          </c:spPr>
          <c:invertIfNegative val="0"/>
          <c:cat>
            <c:strRef>
              <c:f>Feuil2!$B$1:$J$1</c:f>
              <c:strCache>
                <c:ptCount val="9"/>
                <c:pt idx="0">
                  <c:v>LFDS</c:v>
                </c:pt>
                <c:pt idx="1">
                  <c:v>LBS</c:v>
                </c:pt>
                <c:pt idx="2">
                  <c:v>LBF</c:v>
                </c:pt>
                <c:pt idx="3">
                  <c:v>LAM</c:v>
                </c:pt>
                <c:pt idx="4">
                  <c:v>LMSARR</c:v>
                </c:pt>
                <c:pt idx="5">
                  <c:v>LMBodj</c:v>
                </c:pt>
                <c:pt idx="6">
                  <c:v>LBAD</c:v>
                </c:pt>
                <c:pt idx="7">
                  <c:v>Total </c:v>
                </c:pt>
                <c:pt idx="8">
                  <c:v>%</c:v>
                </c:pt>
              </c:strCache>
            </c:strRef>
          </c:cat>
          <c:val>
            <c:numRef>
              <c:f>Feuil2!$B$7:$J$7</c:f>
              <c:numCache>
                <c:formatCode>General</c:formatCode>
                <c:ptCount val="9"/>
                <c:pt idx="0">
                  <c:v>67</c:v>
                </c:pt>
                <c:pt idx="1">
                  <c:v>30</c:v>
                </c:pt>
                <c:pt idx="2">
                  <c:v>47</c:v>
                </c:pt>
                <c:pt idx="3">
                  <c:v>56</c:v>
                </c:pt>
                <c:pt idx="4">
                  <c:v>47</c:v>
                </c:pt>
                <c:pt idx="5">
                  <c:v>64</c:v>
                </c:pt>
                <c:pt idx="6">
                  <c:v>59</c:v>
                </c:pt>
                <c:pt idx="7">
                  <c:v>370</c:v>
                </c:pt>
                <c:pt idx="8" formatCode="0%">
                  <c:v>1</c:v>
                </c:pt>
              </c:numCache>
            </c:numRef>
          </c:val>
          <c:extLst>
            <c:ext xmlns:c16="http://schemas.microsoft.com/office/drawing/2014/chart" uri="{C3380CC4-5D6E-409C-BE32-E72D297353CC}">
              <c16:uniqueId val="{00000005-8BCA-4BF9-A5C9-8F630144A9EC}"/>
            </c:ext>
          </c:extLst>
        </c:ser>
        <c:dLbls>
          <c:showLegendKey val="0"/>
          <c:showVal val="0"/>
          <c:showCatName val="0"/>
          <c:showSerName val="0"/>
          <c:showPercent val="0"/>
          <c:showBubbleSize val="0"/>
        </c:dLbls>
        <c:gapWidth val="150"/>
        <c:axId val="486052296"/>
        <c:axId val="486053864"/>
      </c:barChart>
      <c:catAx>
        <c:axId val="486052296"/>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6053864"/>
        <c:crosses val="autoZero"/>
        <c:auto val="1"/>
        <c:lblAlgn val="ctr"/>
        <c:lblOffset val="100"/>
        <c:noMultiLvlLbl val="0"/>
      </c:catAx>
      <c:valAx>
        <c:axId val="48605386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605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col"/>
        <c:grouping val="clustered"/>
        <c:varyColors val="0"/>
        <c:ser>
          <c:idx val="0"/>
          <c:order val="0"/>
          <c:tx>
            <c:strRef>
              <c:f>'Vecuu economiquue '!$G$3</c:f>
              <c:strCache>
                <c:ptCount val="1"/>
                <c:pt idx="0">
                  <c:v>Avis des acteurs de l'ENF</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explosion val="14"/>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B2F-40A7-8336-230AC07025E6}"/>
              </c:ext>
            </c:extLst>
          </c:dPt>
          <c:dPt>
            <c:idx val="1"/>
            <c:invertIfNegative val="0"/>
            <c:bubble3D val="0"/>
            <c:explosion val="13"/>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B2F-40A7-8336-230AC07025E6}"/>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B2F-40A7-8336-230AC07025E6}"/>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B2F-40A7-8336-230AC07025E6}"/>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B2F-40A7-8336-230AC07025E6}"/>
              </c:ext>
            </c:extLst>
          </c:dPt>
          <c:dPt>
            <c:idx val="5"/>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B2F-40A7-8336-230AC07025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'Vecuu economiquue '!$F$4:$F$9</c:f>
              <c:strCache>
                <c:ptCount val="6"/>
                <c:pt idx="0">
                  <c:v>Totalement d'accord </c:v>
                </c:pt>
                <c:pt idx="1">
                  <c:v>En partie d'accord </c:v>
                </c:pt>
                <c:pt idx="2">
                  <c:v>Ni d'accod ni pas d'accord </c:v>
                </c:pt>
                <c:pt idx="3">
                  <c:v>En partie pas d'accord </c:v>
                </c:pt>
                <c:pt idx="4">
                  <c:v>Totalement pas d'accord </c:v>
                </c:pt>
                <c:pt idx="5">
                  <c:v>Je ne sais pas </c:v>
                </c:pt>
              </c:strCache>
            </c:strRef>
          </c:cat>
          <c:val>
            <c:numRef>
              <c:f>'Vecuu economiquue '!$G$4:$G$9</c:f>
              <c:numCache>
                <c:formatCode>General</c:formatCode>
                <c:ptCount val="6"/>
                <c:pt idx="0">
                  <c:v>46</c:v>
                </c:pt>
                <c:pt idx="1">
                  <c:v>57</c:v>
                </c:pt>
                <c:pt idx="2">
                  <c:v>3</c:v>
                </c:pt>
                <c:pt idx="3">
                  <c:v>0</c:v>
                </c:pt>
                <c:pt idx="4">
                  <c:v>0</c:v>
                </c:pt>
                <c:pt idx="5">
                  <c:v>0</c:v>
                </c:pt>
              </c:numCache>
            </c:numRef>
          </c:val>
          <c:extLst>
            <c:ext xmlns:c16="http://schemas.microsoft.com/office/drawing/2014/chart" uri="{C3380CC4-5D6E-409C-BE32-E72D297353CC}">
              <c16:uniqueId val="{0000000C-7B2F-40A7-8336-230AC07025E6}"/>
            </c:ext>
          </c:extLst>
        </c:ser>
        <c:dLbls>
          <c:showLegendKey val="0"/>
          <c:showVal val="0"/>
          <c:showCatName val="0"/>
          <c:showSerName val="0"/>
          <c:showPercent val="0"/>
          <c:showBubbleSize val="0"/>
        </c:dLbls>
        <c:gapWidth val="100"/>
        <c:axId val="625748600"/>
        <c:axId val="625747880"/>
      </c:barChart>
      <c:catAx>
        <c:axId val="625748600"/>
        <c:scaling>
          <c:orientation val="minMax"/>
        </c:scaling>
        <c:delete val="0"/>
        <c:axPos val="b"/>
        <c:numFmt formatCode="General" sourceLinked="1"/>
        <c:majorTickMark val="out"/>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625747880"/>
        <c:crosses val="autoZero"/>
        <c:auto val="1"/>
        <c:lblAlgn val="ctr"/>
        <c:lblOffset val="100"/>
        <c:noMultiLvlLbl val="0"/>
      </c:catAx>
      <c:valAx>
        <c:axId val="625747880"/>
        <c:scaling>
          <c:orientation val="minMax"/>
        </c:scaling>
        <c:delete val="0"/>
        <c:axPos val="l"/>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625748600"/>
        <c:crosses val="autoZero"/>
        <c:crossBetween val="between"/>
      </c:valAx>
      <c:spPr>
        <a:noFill/>
        <a:ln>
          <a:noFill/>
        </a:ln>
        <a:effectLst/>
      </c:spPr>
    </c:plotArea>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Repartition des enquetes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Feuil1!$B$1</c:f>
              <c:strCache>
                <c:ptCount val="1"/>
                <c:pt idx="0">
                  <c:v>Hommes</c:v>
                </c:pt>
              </c:strCache>
            </c:strRef>
          </c:tx>
          <c:spPr>
            <a:solidFill>
              <a:schemeClr val="accent1"/>
            </a:solidFill>
            <a:ln>
              <a:noFill/>
            </a:ln>
            <a:effectLst/>
          </c:spPr>
          <c:invertIfNegative val="0"/>
          <c:cat>
            <c:strRef>
              <c:f>Feuil1!$A$2:$A$6</c:f>
              <c:strCache>
                <c:ptCount val="5"/>
                <c:pt idx="0">
                  <c:v>Enseignants</c:v>
                </c:pt>
                <c:pt idx="1">
                  <c:v>Apprenants</c:v>
                </c:pt>
                <c:pt idx="2">
                  <c:v>Parents</c:v>
                </c:pt>
                <c:pt idx="3">
                  <c:v>Professionnels TIC</c:v>
                </c:pt>
                <c:pt idx="4">
                  <c:v>Autres</c:v>
                </c:pt>
              </c:strCache>
            </c:strRef>
          </c:cat>
          <c:val>
            <c:numRef>
              <c:f>Feuil1!$B$2:$B$6</c:f>
              <c:numCache>
                <c:formatCode>General</c:formatCode>
                <c:ptCount val="5"/>
                <c:pt idx="0">
                  <c:v>30</c:v>
                </c:pt>
                <c:pt idx="1">
                  <c:v>35</c:v>
                </c:pt>
                <c:pt idx="2">
                  <c:v>35</c:v>
                </c:pt>
                <c:pt idx="3">
                  <c:v>35</c:v>
                </c:pt>
                <c:pt idx="4">
                  <c:v>30</c:v>
                </c:pt>
              </c:numCache>
            </c:numRef>
          </c:val>
          <c:extLst>
            <c:ext xmlns:c16="http://schemas.microsoft.com/office/drawing/2014/chart" uri="{C3380CC4-5D6E-409C-BE32-E72D297353CC}">
              <c16:uniqueId val="{00000000-2BED-4937-9B5E-21B77EE91723}"/>
            </c:ext>
          </c:extLst>
        </c:ser>
        <c:ser>
          <c:idx val="1"/>
          <c:order val="1"/>
          <c:tx>
            <c:strRef>
              <c:f>Feuil1!$C$1</c:f>
              <c:strCache>
                <c:ptCount val="1"/>
                <c:pt idx="0">
                  <c:v>Femmes</c:v>
                </c:pt>
              </c:strCache>
            </c:strRef>
          </c:tx>
          <c:spPr>
            <a:solidFill>
              <a:schemeClr val="accent2"/>
            </a:solidFill>
            <a:ln>
              <a:noFill/>
            </a:ln>
            <a:effectLst/>
          </c:spPr>
          <c:invertIfNegative val="0"/>
          <c:cat>
            <c:strRef>
              <c:f>Feuil1!$A$2:$A$6</c:f>
              <c:strCache>
                <c:ptCount val="5"/>
                <c:pt idx="0">
                  <c:v>Enseignants</c:v>
                </c:pt>
                <c:pt idx="1">
                  <c:v>Apprenants</c:v>
                </c:pt>
                <c:pt idx="2">
                  <c:v>Parents</c:v>
                </c:pt>
                <c:pt idx="3">
                  <c:v>Professionnels TIC</c:v>
                </c:pt>
                <c:pt idx="4">
                  <c:v>Autres</c:v>
                </c:pt>
              </c:strCache>
            </c:strRef>
          </c:cat>
          <c:val>
            <c:numRef>
              <c:f>Feuil1!$C$2:$C$6</c:f>
              <c:numCache>
                <c:formatCode>General</c:formatCode>
                <c:ptCount val="5"/>
                <c:pt idx="0">
                  <c:v>20</c:v>
                </c:pt>
                <c:pt idx="1">
                  <c:v>35</c:v>
                </c:pt>
                <c:pt idx="2">
                  <c:v>25</c:v>
                </c:pt>
                <c:pt idx="3">
                  <c:v>25</c:v>
                </c:pt>
                <c:pt idx="4">
                  <c:v>30</c:v>
                </c:pt>
              </c:numCache>
            </c:numRef>
          </c:val>
          <c:extLst>
            <c:ext xmlns:c16="http://schemas.microsoft.com/office/drawing/2014/chart" uri="{C3380CC4-5D6E-409C-BE32-E72D297353CC}">
              <c16:uniqueId val="{00000001-2BED-4937-9B5E-21B77EE91723}"/>
            </c:ext>
          </c:extLst>
        </c:ser>
        <c:ser>
          <c:idx val="2"/>
          <c:order val="2"/>
          <c:tx>
            <c:strRef>
              <c:f>Feuil1!$D$1</c:f>
              <c:strCache>
                <c:ptCount val="1"/>
                <c:pt idx="0">
                  <c:v>Total</c:v>
                </c:pt>
              </c:strCache>
            </c:strRef>
          </c:tx>
          <c:spPr>
            <a:solidFill>
              <a:schemeClr val="accent3"/>
            </a:solidFill>
            <a:ln>
              <a:noFill/>
            </a:ln>
            <a:effectLst/>
          </c:spPr>
          <c:invertIfNegative val="0"/>
          <c:cat>
            <c:strRef>
              <c:f>Feuil1!$A$2:$A$6</c:f>
              <c:strCache>
                <c:ptCount val="5"/>
                <c:pt idx="0">
                  <c:v>Enseignants</c:v>
                </c:pt>
                <c:pt idx="1">
                  <c:v>Apprenants</c:v>
                </c:pt>
                <c:pt idx="2">
                  <c:v>Parents</c:v>
                </c:pt>
                <c:pt idx="3">
                  <c:v>Professionnels TIC</c:v>
                </c:pt>
                <c:pt idx="4">
                  <c:v>Autres</c:v>
                </c:pt>
              </c:strCache>
            </c:strRef>
          </c:cat>
          <c:val>
            <c:numRef>
              <c:f>Feuil1!$D$2:$D$6</c:f>
              <c:numCache>
                <c:formatCode>General</c:formatCode>
                <c:ptCount val="5"/>
                <c:pt idx="0">
                  <c:v>50</c:v>
                </c:pt>
                <c:pt idx="1">
                  <c:v>70</c:v>
                </c:pt>
                <c:pt idx="2">
                  <c:v>60</c:v>
                </c:pt>
                <c:pt idx="3">
                  <c:v>60</c:v>
                </c:pt>
                <c:pt idx="4">
                  <c:v>60</c:v>
                </c:pt>
              </c:numCache>
            </c:numRef>
          </c:val>
          <c:extLst>
            <c:ext xmlns:c16="http://schemas.microsoft.com/office/drawing/2014/chart" uri="{C3380CC4-5D6E-409C-BE32-E72D297353CC}">
              <c16:uniqueId val="{00000002-2BED-4937-9B5E-21B77EE91723}"/>
            </c:ext>
          </c:extLst>
        </c:ser>
        <c:dLbls>
          <c:showLegendKey val="0"/>
          <c:showVal val="0"/>
          <c:showCatName val="0"/>
          <c:showSerName val="0"/>
          <c:showPercent val="0"/>
          <c:showBubbleSize val="0"/>
        </c:dLbls>
        <c:gapWidth val="182"/>
        <c:axId val="475195135"/>
        <c:axId val="475198015"/>
      </c:barChart>
      <c:catAx>
        <c:axId val="4751951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Repondants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5198015"/>
        <c:crosses val="autoZero"/>
        <c:auto val="1"/>
        <c:lblAlgn val="ctr"/>
        <c:lblOffset val="100"/>
        <c:noMultiLvlLbl val="0"/>
      </c:catAx>
      <c:valAx>
        <c:axId val="475198015"/>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5195135"/>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Perceptions des </a:t>
            </a:r>
            <a:r>
              <a:rPr lang="fr-CA" sz="1400" b="0" i="0" u="none" strike="noStrike" baseline="0">
                <a:solidFill>
                  <a:sysClr val="windowText" lastClr="000000"/>
                </a:solidFill>
                <a:effectLst/>
              </a:rPr>
              <a:t>enquêtés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Feuil1!$B$1</c:f>
              <c:strCache>
                <c:ptCount val="1"/>
                <c:pt idx="0">
                  <c:v>Perceptions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EE-4E19-938A-83D9298552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EE-4E19-938A-83D9298552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EE-4E19-938A-83D9298552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EE-4E19-938A-83D92985522F}"/>
              </c:ext>
            </c:extLst>
          </c:dPt>
          <c:dLbls>
            <c:dLbl>
              <c:idx val="0"/>
              <c:layout>
                <c:manualLayout>
                  <c:x val="1.5212264668812662E-3"/>
                  <c:y val="-5.98979110839656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EE-4E19-938A-83D92985522F}"/>
                </c:ext>
              </c:extLst>
            </c:dLbl>
            <c:dLbl>
              <c:idx val="1"/>
              <c:layout>
                <c:manualLayout>
                  <c:x val="1.1939475914646197E-2"/>
                  <c:y val="3.65322783289405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EE-4E19-938A-83D92985522F}"/>
                </c:ext>
              </c:extLst>
            </c:dLbl>
            <c:dLbl>
              <c:idx val="2"/>
              <c:layout>
                <c:manualLayout>
                  <c:x val="3.4821989275880393E-2"/>
                  <c:y val="1.61695196905418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EE-4E19-938A-83D9298552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Positive</c:v>
                </c:pt>
                <c:pt idx="1">
                  <c:v>Negative</c:v>
                </c:pt>
                <c:pt idx="2">
                  <c:v>mitigee</c:v>
                </c:pt>
              </c:strCache>
            </c:strRef>
          </c:cat>
          <c:val>
            <c:numRef>
              <c:f>Feuil1!$B$2:$B$5</c:f>
              <c:numCache>
                <c:formatCode>General</c:formatCode>
                <c:ptCount val="4"/>
                <c:pt idx="0">
                  <c:v>42</c:v>
                </c:pt>
                <c:pt idx="1">
                  <c:v>10</c:v>
                </c:pt>
                <c:pt idx="2">
                  <c:v>8</c:v>
                </c:pt>
              </c:numCache>
            </c:numRef>
          </c:val>
          <c:extLst>
            <c:ext xmlns:c16="http://schemas.microsoft.com/office/drawing/2014/chart" uri="{C3380CC4-5D6E-409C-BE32-E72D297353CC}">
              <c16:uniqueId val="{00000008-A6EE-4E19-938A-83D92985522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200">
                <a:solidFill>
                  <a:sysClr val="windowText" lastClr="000000"/>
                </a:solidFill>
                <a:latin typeface="Times New Roman" panose="02020603050405020304" pitchFamily="18" charset="0"/>
                <a:cs typeface="Times New Roman" panose="02020603050405020304" pitchFamily="18" charset="0"/>
              </a:rPr>
              <a:t>TIC et innovations ,</a:t>
            </a:r>
            <a:r>
              <a:rPr lang="en-CA" sz="1200" baseline="0">
                <a:solidFill>
                  <a:sysClr val="windowText" lastClr="000000"/>
                </a:solidFill>
                <a:latin typeface="Times New Roman" panose="02020603050405020304" pitchFamily="18" charset="0"/>
                <a:cs typeface="Times New Roman" panose="02020603050405020304" pitchFamily="18" charset="0"/>
              </a:rPr>
              <a:t> des solutions adapt</a:t>
            </a:r>
            <a:r>
              <a:rPr lang="fr-FR" sz="1200" b="0" i="0" u="none" strike="noStrike" baseline="0">
                <a:effectLst/>
                <a:latin typeface="Times New Roman" panose="02020603050405020304" pitchFamily="18" charset="0"/>
                <a:cs typeface="Times New Roman" panose="02020603050405020304" pitchFamily="18" charset="0"/>
              </a:rPr>
              <a:t>ées</a:t>
            </a:r>
            <a:r>
              <a:rPr lang="en-CA" sz="1200" baseline="0">
                <a:solidFill>
                  <a:sysClr val="windowText" lastClr="000000"/>
                </a:solidFill>
                <a:latin typeface="Times New Roman" panose="02020603050405020304" pitchFamily="18" charset="0"/>
                <a:cs typeface="Times New Roman" panose="02020603050405020304" pitchFamily="18" charset="0"/>
              </a:rPr>
              <a:t> pour l'</a:t>
            </a:r>
            <a:r>
              <a:rPr lang="fr-FR" sz="1200" b="0" i="0" u="none" strike="noStrike" baseline="0">
                <a:effectLst/>
                <a:latin typeface="Times New Roman" panose="02020603050405020304" pitchFamily="18" charset="0"/>
                <a:cs typeface="Times New Roman" panose="02020603050405020304" pitchFamily="18" charset="0"/>
              </a:rPr>
              <a:t>é</a:t>
            </a:r>
            <a:r>
              <a:rPr lang="en-CA" sz="1200" baseline="0">
                <a:solidFill>
                  <a:sysClr val="windowText" lastClr="000000"/>
                </a:solidFill>
                <a:latin typeface="Times New Roman" panose="02020603050405020304" pitchFamily="18" charset="0"/>
                <a:cs typeface="Times New Roman" panose="02020603050405020304" pitchFamily="18" charset="0"/>
              </a:rPr>
              <a:t>ducation ?</a:t>
            </a:r>
            <a:r>
              <a:rPr lang="en-CA" sz="1200">
                <a:solidFill>
                  <a:sysClr val="windowText" lastClr="000000"/>
                </a:solidFill>
                <a:latin typeface="Times New Roman" panose="02020603050405020304" pitchFamily="18" charset="0"/>
                <a:cs typeface="Times New Roman" panose="02020603050405020304" pitchFamily="18" charset="0"/>
              </a:rPr>
              <a:t> </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Feuil1!$B$1</c:f>
              <c:strCache>
                <c:ptCount val="1"/>
                <c:pt idx="0">
                  <c:v>Perceptions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6E-45F4-88A8-E8613A6903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6E-45F4-88A8-E8613A6903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6E-45F4-88A8-E8613A6903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6E-45F4-88A8-E8613A6903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6E-45F4-88A8-E8613A690313}"/>
              </c:ext>
            </c:extLst>
          </c:dPt>
          <c:dLbls>
            <c:dLbl>
              <c:idx val="0"/>
              <c:layout>
                <c:manualLayout>
                  <c:x val="1.5212264668812662E-3"/>
                  <c:y val="-5.98979110839656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6E-45F4-88A8-E8613A690313}"/>
                </c:ext>
              </c:extLst>
            </c:dLbl>
            <c:dLbl>
              <c:idx val="1"/>
              <c:layout>
                <c:manualLayout>
                  <c:x val="1.1939475914646197E-2"/>
                  <c:y val="3.65322783289405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6E-45F4-88A8-E8613A690313}"/>
                </c:ext>
              </c:extLst>
            </c:dLbl>
            <c:dLbl>
              <c:idx val="2"/>
              <c:layout>
                <c:manualLayout>
                  <c:x val="3.4821989275880393E-2"/>
                  <c:y val="1.61695196905418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6E-45F4-88A8-E8613A690313}"/>
                </c:ext>
              </c:extLst>
            </c:dLbl>
            <c:dLbl>
              <c:idx val="4"/>
              <c:layout>
                <c:manualLayout>
                  <c:x val="2.3808821650102726E-2"/>
                  <c:y val="1.12494485197897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6E-45F4-88A8-E8613A6903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Des solutions adaptées</c:v>
                </c:pt>
                <c:pt idx="1">
                  <c:v>Solitions pas adptées </c:v>
                </c:pt>
                <c:pt idx="4">
                  <c:v>Neutres</c:v>
                </c:pt>
              </c:strCache>
            </c:strRef>
          </c:cat>
          <c:val>
            <c:numRef>
              <c:f>Feuil1!$B$2:$B$6</c:f>
              <c:numCache>
                <c:formatCode>General</c:formatCode>
                <c:ptCount val="5"/>
                <c:pt idx="0">
                  <c:v>171</c:v>
                </c:pt>
                <c:pt idx="1">
                  <c:v>93</c:v>
                </c:pt>
                <c:pt idx="4">
                  <c:v>36</c:v>
                </c:pt>
              </c:numCache>
            </c:numRef>
          </c:val>
          <c:extLst>
            <c:ext xmlns:c16="http://schemas.microsoft.com/office/drawing/2014/chart" uri="{C3380CC4-5D6E-409C-BE32-E72D297353CC}">
              <c16:uniqueId val="{0000000A-8F6E-45F4-88A8-E8613A69031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'[Graphique dans Microsoft Word]Feuil1'!$C$2</c:f>
              <c:strCache>
                <c:ptCount val="1"/>
                <c:pt idx="0">
                  <c:v>EFFECTIFS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BF8-48CD-AD5C-C5DD00BBC00F}"/>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BF8-48CD-AD5C-C5DD00BBC00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in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'[Graphique dans Microsoft Word]Feuil1'!$B$3:$B$4</c:f>
              <c:strCache>
                <c:ptCount val="2"/>
                <c:pt idx="0">
                  <c:v>Féminin</c:v>
                </c:pt>
                <c:pt idx="1">
                  <c:v>Masculin</c:v>
                </c:pt>
              </c:strCache>
            </c:strRef>
          </c:cat>
          <c:val>
            <c:numRef>
              <c:f>'[Graphique dans Microsoft Word]Feuil1'!$C$3:$C$4</c:f>
              <c:numCache>
                <c:formatCode>General</c:formatCode>
                <c:ptCount val="2"/>
                <c:pt idx="0">
                  <c:v>90</c:v>
                </c:pt>
                <c:pt idx="1">
                  <c:v>164</c:v>
                </c:pt>
              </c:numCache>
            </c:numRef>
          </c:val>
          <c:extLst>
            <c:ext xmlns:c16="http://schemas.microsoft.com/office/drawing/2014/chart" uri="{C3380CC4-5D6E-409C-BE32-E72D297353CC}">
              <c16:uniqueId val="{00000004-7BF8-48CD-AD5C-C5DD00BBC00F}"/>
            </c:ext>
          </c:extLst>
        </c:ser>
        <c:ser>
          <c:idx val="1"/>
          <c:order val="1"/>
          <c:tx>
            <c:strRef>
              <c:f>'[Graphique dans Microsoft Word]Feuil1'!$D$2</c:f>
              <c:strCache>
                <c:ptCount val="1"/>
                <c:pt idx="0">
                  <c:v>POURCENTAGE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7BF8-48CD-AD5C-C5DD00BBC0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7BF8-48CD-AD5C-C5DD00BBC0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'[Graphique dans Microsoft Word]Feuil1'!$B$3:$B$4</c:f>
              <c:strCache>
                <c:ptCount val="2"/>
                <c:pt idx="0">
                  <c:v>Féminin</c:v>
                </c:pt>
                <c:pt idx="1">
                  <c:v>Masculin</c:v>
                </c:pt>
              </c:strCache>
            </c:strRef>
          </c:cat>
          <c:val>
            <c:numRef>
              <c:f>'[Graphique dans Microsoft Word]Feuil1'!$D$3:$D$4</c:f>
              <c:numCache>
                <c:formatCode>General</c:formatCode>
                <c:ptCount val="2"/>
                <c:pt idx="0">
                  <c:v>35.4</c:v>
                </c:pt>
                <c:pt idx="1">
                  <c:v>64.599999999999994</c:v>
                </c:pt>
              </c:numCache>
            </c:numRef>
          </c:val>
          <c:extLst>
            <c:ext xmlns:c16="http://schemas.microsoft.com/office/drawing/2014/chart" uri="{C3380CC4-5D6E-409C-BE32-E72D297353CC}">
              <c16:uniqueId val="{00000009-7BF8-48CD-AD5C-C5DD00BBC00F}"/>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8B6AA3C3-F973-4B75-BC9C-3CA63DD0F383}" type="VALUE">
                      <a:rPr lang="en-US"/>
                      <a:pPr/>
                      <a:t>[VALEUR]</a:t>
                    </a:fld>
                    <a:r>
                      <a:rPr lang="en-US"/>
                      <a:t>;</a:t>
                    </a:r>
                    <a:r>
                      <a:rPr lang="en-US" baseline="0"/>
                      <a:t> 5%</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D40-490A-9954-B2528E126078}"/>
                </c:ext>
              </c:extLst>
            </c:dLbl>
            <c:dLbl>
              <c:idx val="1"/>
              <c:tx>
                <c:rich>
                  <a:bodyPr/>
                  <a:lstStyle/>
                  <a:p>
                    <a:fld id="{2DDB92A9-D1BB-409B-A3E4-7DEA5954027A}" type="VALUE">
                      <a:rPr lang="en-US"/>
                      <a:pPr/>
                      <a:t>[VALEUR]</a:t>
                    </a:fld>
                    <a:r>
                      <a:rPr lang="en-US"/>
                      <a:t>; 67%</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40-490A-9954-B2528E126078}"/>
                </c:ext>
              </c:extLst>
            </c:dLbl>
            <c:dLbl>
              <c:idx val="2"/>
              <c:tx>
                <c:rich>
                  <a:bodyPr/>
                  <a:lstStyle/>
                  <a:p>
                    <a:fld id="{83A8C2D4-0A85-40C3-ADC0-71988F669356}" type="VALUE">
                      <a:rPr lang="en-US"/>
                      <a:pPr/>
                      <a:t>[VALEUR]</a:t>
                    </a:fld>
                    <a:r>
                      <a:rPr lang="en-US"/>
                      <a:t>;</a:t>
                    </a:r>
                    <a:r>
                      <a:rPr lang="en-US" baseline="0"/>
                      <a:t> 28%</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D40-490A-9954-B2528E1260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'[Graphique 2 dans Microsoft Word]Feuil1'!$B$20:$B$22</c:f>
              <c:strCache>
                <c:ptCount val="3"/>
                <c:pt idx="0">
                  <c:v>10 à 15</c:v>
                </c:pt>
                <c:pt idx="1">
                  <c:v>16 à 20</c:v>
                </c:pt>
                <c:pt idx="2">
                  <c:v>21 et Plus</c:v>
                </c:pt>
              </c:strCache>
            </c:strRef>
          </c:cat>
          <c:val>
            <c:numRef>
              <c:f>'[Graphique 2 dans Microsoft Word]Feuil1'!$C$20:$C$22</c:f>
              <c:numCache>
                <c:formatCode>General</c:formatCode>
                <c:ptCount val="3"/>
                <c:pt idx="0">
                  <c:v>13</c:v>
                </c:pt>
                <c:pt idx="1">
                  <c:v>170</c:v>
                </c:pt>
                <c:pt idx="2">
                  <c:v>71</c:v>
                </c:pt>
              </c:numCache>
            </c:numRef>
          </c:val>
          <c:extLst>
            <c:ext xmlns:c16="http://schemas.microsoft.com/office/drawing/2014/chart" uri="{C3380CC4-5D6E-409C-BE32-E72D297353CC}">
              <c16:uniqueId val="{00000003-ED40-490A-9954-B2528E126078}"/>
            </c:ext>
          </c:extLst>
        </c:ser>
        <c:dLbls>
          <c:dLblPos val="inEnd"/>
          <c:showLegendKey val="0"/>
          <c:showVal val="1"/>
          <c:showCatName val="0"/>
          <c:showSerName val="0"/>
          <c:showPercent val="0"/>
          <c:showBubbleSize val="0"/>
        </c:dLbls>
        <c:gapWidth val="219"/>
        <c:overlap val="-27"/>
        <c:axId val="528249664"/>
        <c:axId val="528251624"/>
      </c:barChart>
      <c:catAx>
        <c:axId val="52824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Tranches d'âge (ans)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28251624"/>
        <c:crosses val="autoZero"/>
        <c:auto val="1"/>
        <c:lblAlgn val="ctr"/>
        <c:lblOffset val="100"/>
        <c:noMultiLvlLbl val="0"/>
      </c:catAx>
      <c:valAx>
        <c:axId val="528251624"/>
        <c:scaling>
          <c:orientation val="minMax"/>
        </c:scaling>
        <c:delete val="0"/>
        <c:axPos val="l"/>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100" b="1">
                    <a:solidFill>
                      <a:sysClr val="windowText" lastClr="000000"/>
                    </a:solidFill>
                    <a:latin typeface="Times New Roman" panose="02020603050405020304" pitchFamily="18" charset="0"/>
                    <a:cs typeface="Times New Roman" panose="02020603050405020304" pitchFamily="18" charset="0"/>
                  </a:rPr>
                  <a:t>Effectifs</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282496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503284311684"/>
          <c:y val="0.16132069389483539"/>
          <c:w val="0.82020927939563115"/>
          <c:h val="0.43036129303080473"/>
        </c:manualLayout>
      </c:layout>
      <c:barChart>
        <c:barDir val="col"/>
        <c:grouping val="clustered"/>
        <c:varyColors val="0"/>
        <c:ser>
          <c:idx val="0"/>
          <c:order val="0"/>
          <c:tx>
            <c:strRef>
              <c:f>Feuil2!$D$457</c:f>
              <c:strCache>
                <c:ptCount val="1"/>
                <c:pt idx="0">
                  <c:v>EFFECTIFS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Feuil2!$C$459:$C$479</c:f>
              <c:strCache>
                <c:ptCount val="21"/>
                <c:pt idx="0">
                  <c:v>ALCOOLS (bière, bilbil,vin, alcool fort, liqueurs, matango, arqui)</c:v>
                </c:pt>
                <c:pt idx="1">
                  <c:v>CHICHA</c:v>
                </c:pt>
                <c:pt idx="2">
                  <c:v>BANGA</c:v>
                </c:pt>
                <c:pt idx="3">
                  <c:v>CIGARETTES</c:v>
                </c:pt>
                <c:pt idx="4">
                  <c:v>TRAMADOL</c:v>
                </c:pt>
                <c:pt idx="5">
                  <c:v>TABAC</c:v>
                </c:pt>
                <c:pt idx="6">
                  <c:v>DIAZEPAM</c:v>
                </c:pt>
                <c:pt idx="7">
                  <c:v>DROGUES INJECTEES</c:v>
                </c:pt>
                <c:pt idx="8">
                  <c:v>COCAINE</c:v>
                </c:pt>
                <c:pt idx="9">
                  <c:v>SOMNIFERES</c:v>
                </c:pt>
                <c:pt idx="10">
                  <c:v>MARIJUANA</c:v>
                </c:pt>
                <c:pt idx="11">
                  <c:v>CANNABIS</c:v>
                </c:pt>
                <c:pt idx="12">
                  <c:v>CHAMPIGNONS HALLUCINOGENES ET TAPIOCA</c:v>
                </c:pt>
                <c:pt idx="13">
                  <c:v>DILUANTS</c:v>
                </c:pt>
                <c:pt idx="14">
                  <c:v>HEROINE</c:v>
                </c:pt>
                <c:pt idx="15">
                  <c:v>BERRE ROUGE</c:v>
                </c:pt>
                <c:pt idx="16">
                  <c:v>COLLE</c:v>
                </c:pt>
                <c:pt idx="17">
                  <c:v>ENCRE</c:v>
                </c:pt>
                <c:pt idx="18">
                  <c:v>IBOGA ECORCE ET DECOCTION </c:v>
                </c:pt>
                <c:pt idx="19">
                  <c:v>AUTRES (panache, codéine, 46 oiseaux, kelinkelin, caillou, tchai, coucouma, solution, noix de muscade, caféine)</c:v>
                </c:pt>
                <c:pt idx="20">
                  <c:v>ELEVES QUI CONSOMMENT AU MOINS TROIS TYPES PARMI CES STUPEFIANTS</c:v>
                </c:pt>
              </c:strCache>
            </c:strRef>
          </c:cat>
          <c:val>
            <c:numRef>
              <c:f>Feuil2!$D$459:$D$479</c:f>
              <c:numCache>
                <c:formatCode>General</c:formatCode>
                <c:ptCount val="21"/>
                <c:pt idx="0">
                  <c:v>174</c:v>
                </c:pt>
                <c:pt idx="1">
                  <c:v>81</c:v>
                </c:pt>
                <c:pt idx="2">
                  <c:v>42</c:v>
                </c:pt>
                <c:pt idx="3">
                  <c:v>40</c:v>
                </c:pt>
                <c:pt idx="4">
                  <c:v>38</c:v>
                </c:pt>
                <c:pt idx="5">
                  <c:v>32</c:v>
                </c:pt>
                <c:pt idx="6">
                  <c:v>15</c:v>
                </c:pt>
                <c:pt idx="7">
                  <c:v>13</c:v>
                </c:pt>
                <c:pt idx="8">
                  <c:v>12</c:v>
                </c:pt>
                <c:pt idx="9">
                  <c:v>10</c:v>
                </c:pt>
                <c:pt idx="10">
                  <c:v>8</c:v>
                </c:pt>
                <c:pt idx="11">
                  <c:v>5</c:v>
                </c:pt>
                <c:pt idx="12">
                  <c:v>5</c:v>
                </c:pt>
                <c:pt idx="13">
                  <c:v>5</c:v>
                </c:pt>
                <c:pt idx="14">
                  <c:v>3</c:v>
                </c:pt>
                <c:pt idx="15">
                  <c:v>2</c:v>
                </c:pt>
                <c:pt idx="16">
                  <c:v>2</c:v>
                </c:pt>
                <c:pt idx="17">
                  <c:v>2</c:v>
                </c:pt>
                <c:pt idx="18">
                  <c:v>1</c:v>
                </c:pt>
                <c:pt idx="19">
                  <c:v>16</c:v>
                </c:pt>
                <c:pt idx="20">
                  <c:v>58</c:v>
                </c:pt>
              </c:numCache>
            </c:numRef>
          </c:val>
          <c:extLst>
            <c:ext xmlns:c16="http://schemas.microsoft.com/office/drawing/2014/chart" uri="{C3380CC4-5D6E-409C-BE32-E72D297353CC}">
              <c16:uniqueId val="{00000000-C19C-4F64-B628-B3791BB72EF9}"/>
            </c:ext>
          </c:extLst>
        </c:ser>
        <c:dLbls>
          <c:showLegendKey val="0"/>
          <c:showVal val="0"/>
          <c:showCatName val="0"/>
          <c:showSerName val="0"/>
          <c:showPercent val="0"/>
          <c:showBubbleSize val="0"/>
        </c:dLbls>
        <c:gapWidth val="100"/>
        <c:overlap val="-24"/>
        <c:axId val="534737312"/>
        <c:axId val="644361864"/>
      </c:barChart>
      <c:catAx>
        <c:axId val="534737312"/>
        <c:scaling>
          <c:orientation val="minMax"/>
        </c:scaling>
        <c:delete val="0"/>
        <c:axPos val="b"/>
        <c:minorGridlines>
          <c:spPr>
            <a:ln>
              <a:solidFill>
                <a:schemeClr val="tx2">
                  <a:lumMod val="5000"/>
                  <a:lumOff val="95000"/>
                </a:schemeClr>
              </a:solidFill>
            </a:ln>
            <a:effectLst/>
          </c:spPr>
        </c:minorGridlines>
        <c:title>
          <c:tx>
            <c:rich>
              <a:bodyPr/>
              <a:lstStyle/>
              <a:p>
                <a:pPr>
                  <a:defRPr>
                    <a:solidFill>
                      <a:sysClr val="windowText" lastClr="000000"/>
                    </a:solidFill>
                  </a:defRPr>
                </a:pPr>
                <a:r>
                  <a:rPr lang="fr-FR" sz="1100" b="1" i="0" u="none" strike="noStrike" kern="1200" baseline="0">
                    <a:solidFill>
                      <a:sysClr val="windowText" lastClr="000000"/>
                    </a:solidFill>
                    <a:latin typeface="Times New Roman" panose="02020603050405020304" pitchFamily="18" charset="0"/>
                    <a:cs typeface="Times New Roman" panose="02020603050405020304" pitchFamily="18" charset="0"/>
                  </a:rPr>
                  <a:t>Types de SPA consommés par les élèves</a:t>
                </a:r>
                <a:endParaRPr lang="fr-FR" sz="12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0009263547938861"/>
              <c:y val="0.95669193253957441"/>
            </c:manualLayout>
          </c:layout>
          <c:overlay val="0"/>
        </c:title>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644361864"/>
        <c:crosses val="autoZero"/>
        <c:auto val="1"/>
        <c:lblAlgn val="ctr"/>
        <c:lblOffset val="100"/>
        <c:noMultiLvlLbl val="0"/>
      </c:catAx>
      <c:valAx>
        <c:axId val="644361864"/>
        <c:scaling>
          <c:orientation val="minMax"/>
        </c:scaling>
        <c:delete val="0"/>
        <c:axPos val="l"/>
        <c:minorGridlines>
          <c:spPr>
            <a:ln>
              <a:solidFill>
                <a:schemeClr val="tx2">
                  <a:lumMod val="5000"/>
                  <a:lumOff val="95000"/>
                </a:schemeClr>
              </a:solidFill>
            </a:ln>
            <a:effectLst/>
          </c:spPr>
        </c:minorGridlines>
        <c:title>
          <c:tx>
            <c:rich>
              <a:bodyPr/>
              <a:lstStyle/>
              <a:p>
                <a:pPr>
                  <a:defRPr sz="1100"/>
                </a:pPr>
                <a:r>
                  <a:rPr lang="fr-FR" sz="1100">
                    <a:solidFill>
                      <a:sysClr val="windowText" lastClr="000000"/>
                    </a:solidFill>
                    <a:latin typeface="Times New Roman" panose="02020603050405020304" pitchFamily="18" charset="0"/>
                    <a:cs typeface="Times New Roman" panose="02020603050405020304" pitchFamily="18" charset="0"/>
                  </a:rPr>
                  <a:t>Effectifs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34737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2">
          <a:lumMod val="15000"/>
          <a:lumOff val="85000"/>
        </a:schemeClr>
      </a:solidFill>
      <a:round/>
    </a:ln>
    <a:effectLst/>
  </c:spPr>
  <c:txPr>
    <a:bodyPr/>
    <a:lstStyle/>
    <a:p>
      <a:pPr>
        <a:defRPr/>
      </a:pPr>
      <a:endParaRPr lang="fr-F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fr-FR"/>
              <a:t>Performances scolaires selon le niveau d'attention </a:t>
            </a:r>
          </a:p>
        </c:rich>
      </c:tx>
      <c:layout>
        <c:manualLayout>
          <c:xMode val="edge"/>
          <c:yMode val="edge"/>
          <c:x val="0.14379155730533683"/>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barChart>
        <c:barDir val="col"/>
        <c:grouping val="clustered"/>
        <c:varyColors val="0"/>
        <c:ser>
          <c:idx val="0"/>
          <c:order val="0"/>
          <c:tx>
            <c:strRef>
              <c:f>Feuil1!$F$10:$G$10</c:f>
              <c:strCache>
                <c:ptCount val="2"/>
                <c:pt idx="0">
                  <c:v>Durée de la prise en charge</c:v>
                </c:pt>
                <c:pt idx="1">
                  <c:v>Courte</c:v>
                </c:pt>
              </c:strCache>
            </c:strRef>
          </c:tx>
          <c:spPr>
            <a:solidFill>
              <a:schemeClr val="accent1"/>
            </a:solidFill>
            <a:ln>
              <a:noFill/>
            </a:ln>
            <a:effectLst/>
          </c:spPr>
          <c:invertIfNegative val="0"/>
          <c:cat>
            <c:strRef>
              <c:f>Feuil1!$H$9</c:f>
              <c:strCache>
                <c:ptCount val="1"/>
                <c:pt idx="0">
                  <c:v>Performances scolaire</c:v>
                </c:pt>
              </c:strCache>
            </c:strRef>
          </c:cat>
          <c:val>
            <c:numRef>
              <c:f>Feuil1!$H$10</c:f>
              <c:numCache>
                <c:formatCode>General</c:formatCode>
                <c:ptCount val="1"/>
                <c:pt idx="0">
                  <c:v>20</c:v>
                </c:pt>
              </c:numCache>
            </c:numRef>
          </c:val>
          <c:extLst>
            <c:ext xmlns:c16="http://schemas.microsoft.com/office/drawing/2014/chart" uri="{C3380CC4-5D6E-409C-BE32-E72D297353CC}">
              <c16:uniqueId val="{00000000-F1ED-40FF-B638-89367A79D490}"/>
            </c:ext>
          </c:extLst>
        </c:ser>
        <c:ser>
          <c:idx val="1"/>
          <c:order val="1"/>
          <c:tx>
            <c:strRef>
              <c:f>Feuil1!$F$11:$G$11</c:f>
              <c:strCache>
                <c:ptCount val="2"/>
                <c:pt idx="0">
                  <c:v>Durée de la prise en charge</c:v>
                </c:pt>
                <c:pt idx="1">
                  <c:v>Longue</c:v>
                </c:pt>
              </c:strCache>
            </c:strRef>
          </c:tx>
          <c:spPr>
            <a:solidFill>
              <a:schemeClr val="accent2"/>
            </a:solidFill>
            <a:ln>
              <a:noFill/>
            </a:ln>
            <a:effectLst/>
          </c:spPr>
          <c:invertIfNegative val="0"/>
          <c:cat>
            <c:strRef>
              <c:f>Feuil1!$H$9</c:f>
              <c:strCache>
                <c:ptCount val="1"/>
                <c:pt idx="0">
                  <c:v>Performances scolaire</c:v>
                </c:pt>
              </c:strCache>
            </c:strRef>
          </c:cat>
          <c:val>
            <c:numRef>
              <c:f>Feuil1!$H$11</c:f>
              <c:numCache>
                <c:formatCode>General</c:formatCode>
                <c:ptCount val="1"/>
                <c:pt idx="0">
                  <c:v>32</c:v>
                </c:pt>
              </c:numCache>
            </c:numRef>
          </c:val>
          <c:extLst>
            <c:ext xmlns:c16="http://schemas.microsoft.com/office/drawing/2014/chart" uri="{C3380CC4-5D6E-409C-BE32-E72D297353CC}">
              <c16:uniqueId val="{00000001-F1ED-40FF-B638-89367A79D490}"/>
            </c:ext>
          </c:extLst>
        </c:ser>
        <c:dLbls>
          <c:showLegendKey val="0"/>
          <c:showVal val="0"/>
          <c:showCatName val="0"/>
          <c:showSerName val="0"/>
          <c:showPercent val="0"/>
          <c:showBubbleSize val="0"/>
        </c:dLbls>
        <c:gapWidth val="267"/>
        <c:overlap val="-43"/>
        <c:axId val="576796880"/>
        <c:axId val="576798320"/>
      </c:barChart>
      <c:catAx>
        <c:axId val="576796880"/>
        <c:scaling>
          <c:orientation val="minMax"/>
        </c:scaling>
        <c:delete val="0"/>
        <c:axPos val="b"/>
        <c:majorGridlines>
          <c:spPr>
            <a:ln w="9525">
              <a:solidFill>
                <a:schemeClr val="dk1">
                  <a:lumMod val="15000"/>
                  <a:lumOff val="85000"/>
                </a:schemeClr>
              </a:solidFill>
              <a:round/>
            </a:ln>
            <a:effectLst/>
          </c:spPr>
        </c:majorGridlines>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576798320"/>
        <c:crosses val="autoZero"/>
        <c:auto val="1"/>
        <c:lblAlgn val="ctr"/>
        <c:lblOffset val="100"/>
        <c:noMultiLvlLbl val="0"/>
      </c:catAx>
      <c:valAx>
        <c:axId val="576798320"/>
        <c:scaling>
          <c:orientation val="minMax"/>
        </c:scaling>
        <c:delete val="0"/>
        <c:axPos val="l"/>
        <c:majorGridlines>
          <c:spPr>
            <a:ln w="9525">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5767968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fr-FR"/>
              <a:t>Durée</a:t>
            </a:r>
            <a:r>
              <a:rPr lang="fr-FR" baseline="0"/>
              <a:t> de la prise en charge et performances scolaires</a:t>
            </a:r>
            <a:endParaRPr lang="fr-FR"/>
          </a:p>
        </c:rich>
      </c:tx>
      <c:layout>
        <c:manualLayout>
          <c:xMode val="edge"/>
          <c:yMode val="edge"/>
          <c:x val="0.15025678040244966"/>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barChart>
        <c:barDir val="col"/>
        <c:grouping val="clustered"/>
        <c:varyColors val="0"/>
        <c:ser>
          <c:idx val="0"/>
          <c:order val="0"/>
          <c:tx>
            <c:strRef>
              <c:f>Feuil1!$F$10:$G$10</c:f>
              <c:strCache>
                <c:ptCount val="2"/>
                <c:pt idx="0">
                  <c:v>Durée de la prise en charge</c:v>
                </c:pt>
                <c:pt idx="1">
                  <c:v>Courte</c:v>
                </c:pt>
              </c:strCache>
            </c:strRef>
          </c:tx>
          <c:spPr>
            <a:solidFill>
              <a:schemeClr val="accent1"/>
            </a:solidFill>
            <a:ln>
              <a:noFill/>
            </a:ln>
            <a:effectLst/>
          </c:spPr>
          <c:invertIfNegative val="0"/>
          <c:cat>
            <c:strRef>
              <c:f>Feuil1!$H$9:$I$9</c:f>
              <c:strCache>
                <c:ptCount val="1"/>
                <c:pt idx="0">
                  <c:v>Performances scolaire</c:v>
                </c:pt>
              </c:strCache>
            </c:strRef>
          </c:cat>
          <c:val>
            <c:numRef>
              <c:f>Feuil1!$H$10:$I$10</c:f>
              <c:numCache>
                <c:formatCode>General</c:formatCode>
                <c:ptCount val="2"/>
                <c:pt idx="0">
                  <c:v>20</c:v>
                </c:pt>
              </c:numCache>
            </c:numRef>
          </c:val>
          <c:extLst>
            <c:ext xmlns:c16="http://schemas.microsoft.com/office/drawing/2014/chart" uri="{C3380CC4-5D6E-409C-BE32-E72D297353CC}">
              <c16:uniqueId val="{00000000-8940-4297-9AD2-8A157549609B}"/>
            </c:ext>
          </c:extLst>
        </c:ser>
        <c:ser>
          <c:idx val="1"/>
          <c:order val="1"/>
          <c:tx>
            <c:strRef>
              <c:f>Feuil1!$F$11:$G$11</c:f>
              <c:strCache>
                <c:ptCount val="2"/>
                <c:pt idx="0">
                  <c:v>Durée de la prise en charge</c:v>
                </c:pt>
                <c:pt idx="1">
                  <c:v>Longue</c:v>
                </c:pt>
              </c:strCache>
            </c:strRef>
          </c:tx>
          <c:spPr>
            <a:solidFill>
              <a:schemeClr val="accent2"/>
            </a:solidFill>
            <a:ln>
              <a:noFill/>
            </a:ln>
            <a:effectLst/>
          </c:spPr>
          <c:invertIfNegative val="0"/>
          <c:cat>
            <c:strRef>
              <c:f>Feuil1!$H$9:$I$9</c:f>
              <c:strCache>
                <c:ptCount val="1"/>
                <c:pt idx="0">
                  <c:v>Performances scolaire</c:v>
                </c:pt>
              </c:strCache>
            </c:strRef>
          </c:cat>
          <c:val>
            <c:numRef>
              <c:f>Feuil1!$H$11:$I$11</c:f>
              <c:numCache>
                <c:formatCode>General</c:formatCode>
                <c:ptCount val="2"/>
                <c:pt idx="0">
                  <c:v>32</c:v>
                </c:pt>
              </c:numCache>
            </c:numRef>
          </c:val>
          <c:extLst>
            <c:ext xmlns:c16="http://schemas.microsoft.com/office/drawing/2014/chart" uri="{C3380CC4-5D6E-409C-BE32-E72D297353CC}">
              <c16:uniqueId val="{00000001-8940-4297-9AD2-8A157549609B}"/>
            </c:ext>
          </c:extLst>
        </c:ser>
        <c:dLbls>
          <c:showLegendKey val="0"/>
          <c:showVal val="0"/>
          <c:showCatName val="0"/>
          <c:showSerName val="0"/>
          <c:showPercent val="0"/>
          <c:showBubbleSize val="0"/>
        </c:dLbls>
        <c:gapWidth val="267"/>
        <c:overlap val="-43"/>
        <c:axId val="569661472"/>
        <c:axId val="569657872"/>
      </c:barChart>
      <c:catAx>
        <c:axId val="569661472"/>
        <c:scaling>
          <c:orientation val="minMax"/>
        </c:scaling>
        <c:delete val="0"/>
        <c:axPos val="b"/>
        <c:majorGridlines>
          <c:spPr>
            <a:ln w="9525">
              <a:solidFill>
                <a:schemeClr val="dk1">
                  <a:lumMod val="15000"/>
                  <a:lumOff val="85000"/>
                </a:schemeClr>
              </a:solidFill>
              <a:round/>
            </a:ln>
            <a:effectLst/>
          </c:spPr>
        </c:majorGridlines>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569657872"/>
        <c:crosses val="autoZero"/>
        <c:auto val="1"/>
        <c:lblAlgn val="ctr"/>
        <c:lblOffset val="100"/>
        <c:noMultiLvlLbl val="0"/>
      </c:catAx>
      <c:valAx>
        <c:axId val="569657872"/>
        <c:scaling>
          <c:orientation val="minMax"/>
        </c:scaling>
        <c:delete val="0"/>
        <c:axPos val="l"/>
        <c:majorGridlines>
          <c:spPr>
            <a:ln w="9525">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5696614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dirty="0"/>
              <a:t>Figure n°2: Concerne</a:t>
            </a:r>
            <a:r>
              <a:rPr lang="fr-FR" baseline="0" dirty="0"/>
              <a:t> les instruments utilisés par les professeurs lors de l’évaluation diagnostique.</a:t>
            </a:r>
            <a:endParaRPr lang="fr-FR"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Feuil1!$B$6</c:f>
              <c:strCache>
                <c:ptCount val="1"/>
                <c:pt idx="0">
                  <c:v>Exercices</c:v>
                </c:pt>
              </c:strCache>
            </c:strRef>
          </c:tx>
          <c:spPr>
            <a:solidFill>
              <a:schemeClr val="accent1"/>
            </a:solidFill>
            <a:ln>
              <a:noFill/>
            </a:ln>
            <a:effectLst/>
          </c:spPr>
          <c:invertIfNegative val="0"/>
          <c:cat>
            <c:multiLvlStrRef>
              <c:f>Feuil1!$C$4:$I$5</c:f>
              <c:multiLvlStrCache>
                <c:ptCount val="7"/>
                <c:lvl>
                  <c:pt idx="0">
                    <c:v>PP</c:v>
                  </c:pt>
                  <c:pt idx="1">
                    <c:v>PT</c:v>
                  </c:pt>
                  <c:pt idx="2">
                    <c:v>PS</c:v>
                  </c:pt>
                  <c:pt idx="3">
                    <c:v>PP</c:v>
                  </c:pt>
                  <c:pt idx="4">
                    <c:v>PT</c:v>
                  </c:pt>
                  <c:pt idx="5">
                    <c:v>PS</c:v>
                  </c:pt>
                </c:lvl>
                <c:lvl>
                  <c:pt idx="0">
                    <c:v>Professeurs 1</c:v>
                  </c:pt>
                  <c:pt idx="3">
                    <c:v>Professeurs 2</c:v>
                  </c:pt>
                  <c:pt idx="6">
                    <c:v>Total</c:v>
                  </c:pt>
                </c:lvl>
              </c:multiLvlStrCache>
            </c:multiLvlStrRef>
          </c:cat>
          <c:val>
            <c:numRef>
              <c:f>Feuil1!$C$6:$I$6</c:f>
              <c:numCache>
                <c:formatCode>General</c:formatCode>
                <c:ptCount val="7"/>
                <c:pt idx="0">
                  <c:v>6</c:v>
                </c:pt>
                <c:pt idx="1">
                  <c:v>1</c:v>
                </c:pt>
                <c:pt idx="2">
                  <c:v>0</c:v>
                </c:pt>
                <c:pt idx="3">
                  <c:v>0</c:v>
                </c:pt>
                <c:pt idx="4">
                  <c:v>3</c:v>
                </c:pt>
                <c:pt idx="5">
                  <c:v>2</c:v>
                </c:pt>
                <c:pt idx="6">
                  <c:v>12</c:v>
                </c:pt>
              </c:numCache>
            </c:numRef>
          </c:val>
          <c:extLst>
            <c:ext xmlns:c16="http://schemas.microsoft.com/office/drawing/2014/chart" uri="{C3380CC4-5D6E-409C-BE32-E72D297353CC}">
              <c16:uniqueId val="{00000000-AE79-43FA-81DF-07FFB17550E8}"/>
            </c:ext>
          </c:extLst>
        </c:ser>
        <c:ser>
          <c:idx val="1"/>
          <c:order val="1"/>
          <c:tx>
            <c:strRef>
              <c:f>Feuil1!$B$7</c:f>
              <c:strCache>
                <c:ptCount val="1"/>
                <c:pt idx="0">
                  <c:v>Productions écrites</c:v>
                </c:pt>
              </c:strCache>
            </c:strRef>
          </c:tx>
          <c:spPr>
            <a:solidFill>
              <a:schemeClr val="accent2"/>
            </a:solidFill>
            <a:ln>
              <a:noFill/>
            </a:ln>
            <a:effectLst/>
          </c:spPr>
          <c:invertIfNegative val="0"/>
          <c:cat>
            <c:multiLvlStrRef>
              <c:f>Feuil1!$C$4:$I$5</c:f>
              <c:multiLvlStrCache>
                <c:ptCount val="7"/>
                <c:lvl>
                  <c:pt idx="0">
                    <c:v>PP</c:v>
                  </c:pt>
                  <c:pt idx="1">
                    <c:v>PT</c:v>
                  </c:pt>
                  <c:pt idx="2">
                    <c:v>PS</c:v>
                  </c:pt>
                  <c:pt idx="3">
                    <c:v>PP</c:v>
                  </c:pt>
                  <c:pt idx="4">
                    <c:v>PT</c:v>
                  </c:pt>
                  <c:pt idx="5">
                    <c:v>PS</c:v>
                  </c:pt>
                </c:lvl>
                <c:lvl>
                  <c:pt idx="0">
                    <c:v>Professeurs 1</c:v>
                  </c:pt>
                  <c:pt idx="3">
                    <c:v>Professeurs 2</c:v>
                  </c:pt>
                  <c:pt idx="6">
                    <c:v>Total</c:v>
                  </c:pt>
                </c:lvl>
              </c:multiLvlStrCache>
            </c:multiLvlStrRef>
          </c:cat>
          <c:val>
            <c:numRef>
              <c:f>Feuil1!$C$7:$I$7</c:f>
              <c:numCache>
                <c:formatCode>General</c:formatCode>
                <c:ptCount val="7"/>
                <c:pt idx="0">
                  <c:v>4</c:v>
                </c:pt>
                <c:pt idx="1">
                  <c:v>1</c:v>
                </c:pt>
                <c:pt idx="2">
                  <c:v>0</c:v>
                </c:pt>
                <c:pt idx="3">
                  <c:v>0</c:v>
                </c:pt>
                <c:pt idx="4">
                  <c:v>2</c:v>
                </c:pt>
                <c:pt idx="5">
                  <c:v>0</c:v>
                </c:pt>
                <c:pt idx="6">
                  <c:v>7</c:v>
                </c:pt>
              </c:numCache>
            </c:numRef>
          </c:val>
          <c:extLst>
            <c:ext xmlns:c16="http://schemas.microsoft.com/office/drawing/2014/chart" uri="{C3380CC4-5D6E-409C-BE32-E72D297353CC}">
              <c16:uniqueId val="{00000001-AE79-43FA-81DF-07FFB17550E8}"/>
            </c:ext>
          </c:extLst>
        </c:ser>
        <c:ser>
          <c:idx val="2"/>
          <c:order val="2"/>
          <c:tx>
            <c:strRef>
              <c:f>Feuil1!$B$8</c:f>
              <c:strCache>
                <c:ptCount val="1"/>
                <c:pt idx="0">
                  <c:v>Activiés orales</c:v>
                </c:pt>
              </c:strCache>
            </c:strRef>
          </c:tx>
          <c:spPr>
            <a:solidFill>
              <a:schemeClr val="accent3"/>
            </a:solidFill>
            <a:ln>
              <a:noFill/>
            </a:ln>
            <a:effectLst/>
          </c:spPr>
          <c:invertIfNegative val="0"/>
          <c:cat>
            <c:multiLvlStrRef>
              <c:f>Feuil1!$C$4:$I$5</c:f>
              <c:multiLvlStrCache>
                <c:ptCount val="7"/>
                <c:lvl>
                  <c:pt idx="0">
                    <c:v>PP</c:v>
                  </c:pt>
                  <c:pt idx="1">
                    <c:v>PT</c:v>
                  </c:pt>
                  <c:pt idx="2">
                    <c:v>PS</c:v>
                  </c:pt>
                  <c:pt idx="3">
                    <c:v>PP</c:v>
                  </c:pt>
                  <c:pt idx="4">
                    <c:v>PT</c:v>
                  </c:pt>
                  <c:pt idx="5">
                    <c:v>PS</c:v>
                  </c:pt>
                </c:lvl>
                <c:lvl>
                  <c:pt idx="0">
                    <c:v>Professeurs 1</c:v>
                  </c:pt>
                  <c:pt idx="3">
                    <c:v>Professeurs 2</c:v>
                  </c:pt>
                  <c:pt idx="6">
                    <c:v>Total</c:v>
                  </c:pt>
                </c:lvl>
              </c:multiLvlStrCache>
            </c:multiLvlStrRef>
          </c:cat>
          <c:val>
            <c:numRef>
              <c:f>Feuil1!$C$8:$I$8</c:f>
              <c:numCache>
                <c:formatCode>General</c:formatCode>
                <c:ptCount val="7"/>
                <c:pt idx="0">
                  <c:v>3</c:v>
                </c:pt>
                <c:pt idx="1">
                  <c:v>0</c:v>
                </c:pt>
                <c:pt idx="2">
                  <c:v>0</c:v>
                </c:pt>
                <c:pt idx="3">
                  <c:v>0</c:v>
                </c:pt>
                <c:pt idx="4">
                  <c:v>0</c:v>
                </c:pt>
                <c:pt idx="5">
                  <c:v>0</c:v>
                </c:pt>
                <c:pt idx="6">
                  <c:v>3</c:v>
                </c:pt>
              </c:numCache>
            </c:numRef>
          </c:val>
          <c:extLst>
            <c:ext xmlns:c16="http://schemas.microsoft.com/office/drawing/2014/chart" uri="{C3380CC4-5D6E-409C-BE32-E72D297353CC}">
              <c16:uniqueId val="{00000002-AE79-43FA-81DF-07FFB17550E8}"/>
            </c:ext>
          </c:extLst>
        </c:ser>
        <c:ser>
          <c:idx val="3"/>
          <c:order val="3"/>
          <c:tx>
            <c:strRef>
              <c:f>Feuil1!$B$9</c:f>
              <c:strCache>
                <c:ptCount val="1"/>
                <c:pt idx="0">
                  <c:v>Questions à choix multiples</c:v>
                </c:pt>
              </c:strCache>
            </c:strRef>
          </c:tx>
          <c:spPr>
            <a:solidFill>
              <a:schemeClr val="accent4"/>
            </a:solidFill>
            <a:ln>
              <a:noFill/>
            </a:ln>
            <a:effectLst/>
          </c:spPr>
          <c:invertIfNegative val="0"/>
          <c:cat>
            <c:multiLvlStrRef>
              <c:f>Feuil1!$C$4:$I$5</c:f>
              <c:multiLvlStrCache>
                <c:ptCount val="7"/>
                <c:lvl>
                  <c:pt idx="0">
                    <c:v>PP</c:v>
                  </c:pt>
                  <c:pt idx="1">
                    <c:v>PT</c:v>
                  </c:pt>
                  <c:pt idx="2">
                    <c:v>PS</c:v>
                  </c:pt>
                  <c:pt idx="3">
                    <c:v>PP</c:v>
                  </c:pt>
                  <c:pt idx="4">
                    <c:v>PT</c:v>
                  </c:pt>
                  <c:pt idx="5">
                    <c:v>PS</c:v>
                  </c:pt>
                </c:lvl>
                <c:lvl>
                  <c:pt idx="0">
                    <c:v>Professeurs 1</c:v>
                  </c:pt>
                  <c:pt idx="3">
                    <c:v>Professeurs 2</c:v>
                  </c:pt>
                  <c:pt idx="6">
                    <c:v>Total</c:v>
                  </c:pt>
                </c:lvl>
              </c:multiLvlStrCache>
            </c:multiLvlStrRef>
          </c:cat>
          <c:val>
            <c:numRef>
              <c:f>Feuil1!$C$9:$I$9</c:f>
              <c:numCache>
                <c:formatCode>General</c:formatCode>
                <c:ptCount val="7"/>
                <c:pt idx="0">
                  <c:v>5</c:v>
                </c:pt>
                <c:pt idx="1">
                  <c:v>5</c:v>
                </c:pt>
                <c:pt idx="2">
                  <c:v>0</c:v>
                </c:pt>
                <c:pt idx="3">
                  <c:v>1</c:v>
                </c:pt>
                <c:pt idx="4">
                  <c:v>4</c:v>
                </c:pt>
                <c:pt idx="5">
                  <c:v>0</c:v>
                </c:pt>
                <c:pt idx="6">
                  <c:v>15</c:v>
                </c:pt>
              </c:numCache>
            </c:numRef>
          </c:val>
          <c:extLst>
            <c:ext xmlns:c16="http://schemas.microsoft.com/office/drawing/2014/chart" uri="{C3380CC4-5D6E-409C-BE32-E72D297353CC}">
              <c16:uniqueId val="{00000003-AE79-43FA-81DF-07FFB17550E8}"/>
            </c:ext>
          </c:extLst>
        </c:ser>
        <c:ser>
          <c:idx val="4"/>
          <c:order val="4"/>
          <c:tx>
            <c:strRef>
              <c:f>Feuil1!$B$10</c:f>
              <c:strCache>
                <c:ptCount val="1"/>
                <c:pt idx="0">
                  <c:v>Questions directes</c:v>
                </c:pt>
              </c:strCache>
            </c:strRef>
          </c:tx>
          <c:spPr>
            <a:solidFill>
              <a:schemeClr val="accent5"/>
            </a:solidFill>
            <a:ln>
              <a:noFill/>
            </a:ln>
            <a:effectLst/>
          </c:spPr>
          <c:invertIfNegative val="0"/>
          <c:cat>
            <c:multiLvlStrRef>
              <c:f>Feuil1!$C$4:$I$5</c:f>
              <c:multiLvlStrCache>
                <c:ptCount val="7"/>
                <c:lvl>
                  <c:pt idx="0">
                    <c:v>PP</c:v>
                  </c:pt>
                  <c:pt idx="1">
                    <c:v>PT</c:v>
                  </c:pt>
                  <c:pt idx="2">
                    <c:v>PS</c:v>
                  </c:pt>
                  <c:pt idx="3">
                    <c:v>PP</c:v>
                  </c:pt>
                  <c:pt idx="4">
                    <c:v>PT</c:v>
                  </c:pt>
                  <c:pt idx="5">
                    <c:v>PS</c:v>
                  </c:pt>
                </c:lvl>
                <c:lvl>
                  <c:pt idx="0">
                    <c:v>Professeurs 1</c:v>
                  </c:pt>
                  <c:pt idx="3">
                    <c:v>Professeurs 2</c:v>
                  </c:pt>
                  <c:pt idx="6">
                    <c:v>Total</c:v>
                  </c:pt>
                </c:lvl>
              </c:multiLvlStrCache>
            </c:multiLvlStrRef>
          </c:cat>
          <c:val>
            <c:numRef>
              <c:f>Feuil1!$C$10:$I$10</c:f>
              <c:numCache>
                <c:formatCode>General</c:formatCode>
                <c:ptCount val="7"/>
                <c:pt idx="0">
                  <c:v>0</c:v>
                </c:pt>
                <c:pt idx="1">
                  <c:v>2</c:v>
                </c:pt>
                <c:pt idx="2">
                  <c:v>0</c:v>
                </c:pt>
                <c:pt idx="3">
                  <c:v>0</c:v>
                </c:pt>
                <c:pt idx="4">
                  <c:v>0</c:v>
                </c:pt>
                <c:pt idx="5">
                  <c:v>1</c:v>
                </c:pt>
                <c:pt idx="6">
                  <c:v>3</c:v>
                </c:pt>
              </c:numCache>
            </c:numRef>
          </c:val>
          <c:extLst>
            <c:ext xmlns:c16="http://schemas.microsoft.com/office/drawing/2014/chart" uri="{C3380CC4-5D6E-409C-BE32-E72D297353CC}">
              <c16:uniqueId val="{00000004-AE79-43FA-81DF-07FFB17550E8}"/>
            </c:ext>
          </c:extLst>
        </c:ser>
        <c:ser>
          <c:idx val="5"/>
          <c:order val="5"/>
          <c:tx>
            <c:strRef>
              <c:f>Feuil1!$B$11</c:f>
              <c:strCache>
                <c:ptCount val="1"/>
                <c:pt idx="0">
                  <c:v>Total</c:v>
                </c:pt>
              </c:strCache>
            </c:strRef>
          </c:tx>
          <c:spPr>
            <a:solidFill>
              <a:schemeClr val="accent6"/>
            </a:solidFill>
            <a:ln>
              <a:noFill/>
            </a:ln>
            <a:effectLst/>
          </c:spPr>
          <c:invertIfNegative val="0"/>
          <c:cat>
            <c:multiLvlStrRef>
              <c:f>Feuil1!$C$4:$I$5</c:f>
              <c:multiLvlStrCache>
                <c:ptCount val="7"/>
                <c:lvl>
                  <c:pt idx="0">
                    <c:v>PP</c:v>
                  </c:pt>
                  <c:pt idx="1">
                    <c:v>PT</c:v>
                  </c:pt>
                  <c:pt idx="2">
                    <c:v>PS</c:v>
                  </c:pt>
                  <c:pt idx="3">
                    <c:v>PP</c:v>
                  </c:pt>
                  <c:pt idx="4">
                    <c:v>PT</c:v>
                  </c:pt>
                  <c:pt idx="5">
                    <c:v>PS</c:v>
                  </c:pt>
                </c:lvl>
                <c:lvl>
                  <c:pt idx="0">
                    <c:v>Professeurs 1</c:v>
                  </c:pt>
                  <c:pt idx="3">
                    <c:v>Professeurs 2</c:v>
                  </c:pt>
                  <c:pt idx="6">
                    <c:v>Total</c:v>
                  </c:pt>
                </c:lvl>
              </c:multiLvlStrCache>
            </c:multiLvlStrRef>
          </c:cat>
          <c:val>
            <c:numRef>
              <c:f>Feuil1!$C$11:$I$11</c:f>
              <c:numCache>
                <c:formatCode>General</c:formatCode>
                <c:ptCount val="7"/>
                <c:pt idx="0">
                  <c:v>18</c:v>
                </c:pt>
                <c:pt idx="1">
                  <c:v>9</c:v>
                </c:pt>
                <c:pt idx="2">
                  <c:v>0</c:v>
                </c:pt>
                <c:pt idx="3">
                  <c:v>1</c:v>
                </c:pt>
                <c:pt idx="4">
                  <c:v>9</c:v>
                </c:pt>
                <c:pt idx="5">
                  <c:v>3</c:v>
                </c:pt>
                <c:pt idx="6">
                  <c:v>40</c:v>
                </c:pt>
              </c:numCache>
            </c:numRef>
          </c:val>
          <c:extLst>
            <c:ext xmlns:c16="http://schemas.microsoft.com/office/drawing/2014/chart" uri="{C3380CC4-5D6E-409C-BE32-E72D297353CC}">
              <c16:uniqueId val="{00000005-AE79-43FA-81DF-07FFB17550E8}"/>
            </c:ext>
          </c:extLst>
        </c:ser>
        <c:dLbls>
          <c:showLegendKey val="0"/>
          <c:showVal val="0"/>
          <c:showCatName val="0"/>
          <c:showSerName val="0"/>
          <c:showPercent val="0"/>
          <c:showBubbleSize val="0"/>
        </c:dLbls>
        <c:gapWidth val="219"/>
        <c:overlap val="-27"/>
        <c:axId val="486054256"/>
        <c:axId val="486055432"/>
      </c:barChart>
      <c:catAx>
        <c:axId val="4860542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6055432"/>
        <c:crosses val="autoZero"/>
        <c:auto val="1"/>
        <c:lblAlgn val="ctr"/>
        <c:lblOffset val="100"/>
        <c:noMultiLvlLbl val="0"/>
      </c:catAx>
      <c:valAx>
        <c:axId val="48605543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60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dirty="0"/>
              <a:t>Figure</a:t>
            </a:r>
            <a:r>
              <a:rPr lang="fr-FR" baseline="0" dirty="0"/>
              <a:t> n°3 : relatif à l’utilisation  des objectifs généraux au cours de l’évaluation diagnostique  en classe  </a:t>
            </a:r>
            <a:endParaRPr lang="fr-FR"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Feuil3!$A$7</c:f>
              <c:strCache>
                <c:ptCount val="1"/>
                <c:pt idx="0">
                  <c:v>Oui</c:v>
                </c:pt>
              </c:strCache>
            </c:strRef>
          </c:tx>
          <c:spPr>
            <a:solidFill>
              <a:schemeClr val="accent1"/>
            </a:solidFill>
            <a:ln>
              <a:noFill/>
            </a:ln>
            <a:effectLst/>
          </c:spPr>
          <c:invertIfNegative val="0"/>
          <c:cat>
            <c:multiLvlStrRef>
              <c:f>Feuil3!$B$5:$H$6</c:f>
              <c:multiLvlStrCache>
                <c:ptCount val="7"/>
                <c:lvl>
                  <c:pt idx="0">
                    <c:v>P.P</c:v>
                  </c:pt>
                  <c:pt idx="1">
                    <c:v>P.T</c:v>
                  </c:pt>
                  <c:pt idx="2">
                    <c:v>P.S</c:v>
                  </c:pt>
                  <c:pt idx="3">
                    <c:v>P.P</c:v>
                  </c:pt>
                  <c:pt idx="4">
                    <c:v>P.T</c:v>
                  </c:pt>
                  <c:pt idx="5">
                    <c:v>P.S</c:v>
                  </c:pt>
                  <c:pt idx="6">
                    <c:v>Total</c:v>
                  </c:pt>
                </c:lvl>
                <c:lvl>
                  <c:pt idx="0">
                    <c:v>Professeurs </c:v>
                  </c:pt>
                  <c:pt idx="3">
                    <c:v>Professeures</c:v>
                  </c:pt>
                </c:lvl>
              </c:multiLvlStrCache>
            </c:multiLvlStrRef>
          </c:cat>
          <c:val>
            <c:numRef>
              <c:f>Feuil3!$B$7:$H$7</c:f>
              <c:numCache>
                <c:formatCode>General</c:formatCode>
                <c:ptCount val="7"/>
                <c:pt idx="0">
                  <c:v>1</c:v>
                </c:pt>
                <c:pt idx="1">
                  <c:v>4</c:v>
                </c:pt>
                <c:pt idx="2">
                  <c:v>2</c:v>
                </c:pt>
                <c:pt idx="3">
                  <c:v>0</c:v>
                </c:pt>
                <c:pt idx="4">
                  <c:v>5</c:v>
                </c:pt>
                <c:pt idx="5">
                  <c:v>1</c:v>
                </c:pt>
                <c:pt idx="6">
                  <c:v>13</c:v>
                </c:pt>
              </c:numCache>
            </c:numRef>
          </c:val>
          <c:extLst>
            <c:ext xmlns:c16="http://schemas.microsoft.com/office/drawing/2014/chart" uri="{C3380CC4-5D6E-409C-BE32-E72D297353CC}">
              <c16:uniqueId val="{00000000-AAFE-43B6-81CC-ED84C72F4DC6}"/>
            </c:ext>
          </c:extLst>
        </c:ser>
        <c:ser>
          <c:idx val="1"/>
          <c:order val="1"/>
          <c:tx>
            <c:strRef>
              <c:f>Feuil3!$A$8</c:f>
              <c:strCache>
                <c:ptCount val="1"/>
                <c:pt idx="0">
                  <c:v>Non</c:v>
                </c:pt>
              </c:strCache>
            </c:strRef>
          </c:tx>
          <c:spPr>
            <a:solidFill>
              <a:schemeClr val="accent2"/>
            </a:solidFill>
            <a:ln>
              <a:noFill/>
            </a:ln>
            <a:effectLst/>
          </c:spPr>
          <c:invertIfNegative val="0"/>
          <c:cat>
            <c:multiLvlStrRef>
              <c:f>Feuil3!$B$5:$H$6</c:f>
              <c:multiLvlStrCache>
                <c:ptCount val="7"/>
                <c:lvl>
                  <c:pt idx="0">
                    <c:v>P.P</c:v>
                  </c:pt>
                  <c:pt idx="1">
                    <c:v>P.T</c:v>
                  </c:pt>
                  <c:pt idx="2">
                    <c:v>P.S</c:v>
                  </c:pt>
                  <c:pt idx="3">
                    <c:v>P.P</c:v>
                  </c:pt>
                  <c:pt idx="4">
                    <c:v>P.T</c:v>
                  </c:pt>
                  <c:pt idx="5">
                    <c:v>P.S</c:v>
                  </c:pt>
                  <c:pt idx="6">
                    <c:v>Total</c:v>
                  </c:pt>
                </c:lvl>
                <c:lvl>
                  <c:pt idx="0">
                    <c:v>Professeurs </c:v>
                  </c:pt>
                  <c:pt idx="3">
                    <c:v>Professeures</c:v>
                  </c:pt>
                </c:lvl>
              </c:multiLvlStrCache>
            </c:multiLvlStrRef>
          </c:cat>
          <c:val>
            <c:numRef>
              <c:f>Feuil3!$B$8:$H$8</c:f>
              <c:numCache>
                <c:formatCode>General</c:formatCode>
                <c:ptCount val="7"/>
                <c:pt idx="0">
                  <c:v>15</c:v>
                </c:pt>
                <c:pt idx="1">
                  <c:v>1</c:v>
                </c:pt>
                <c:pt idx="2">
                  <c:v>0</c:v>
                </c:pt>
                <c:pt idx="3">
                  <c:v>4</c:v>
                </c:pt>
                <c:pt idx="4">
                  <c:v>2</c:v>
                </c:pt>
                <c:pt idx="5">
                  <c:v>0</c:v>
                </c:pt>
                <c:pt idx="6">
                  <c:v>22</c:v>
                </c:pt>
              </c:numCache>
            </c:numRef>
          </c:val>
          <c:extLst>
            <c:ext xmlns:c16="http://schemas.microsoft.com/office/drawing/2014/chart" uri="{C3380CC4-5D6E-409C-BE32-E72D297353CC}">
              <c16:uniqueId val="{00000001-AAFE-43B6-81CC-ED84C72F4DC6}"/>
            </c:ext>
          </c:extLst>
        </c:ser>
        <c:dLbls>
          <c:showLegendKey val="0"/>
          <c:showVal val="0"/>
          <c:showCatName val="0"/>
          <c:showSerName val="0"/>
          <c:showPercent val="0"/>
          <c:showBubbleSize val="0"/>
        </c:dLbls>
        <c:gapWidth val="219"/>
        <c:overlap val="-27"/>
        <c:axId val="490852784"/>
        <c:axId val="490853568"/>
      </c:barChart>
      <c:lineChart>
        <c:grouping val="standard"/>
        <c:varyColors val="0"/>
        <c:ser>
          <c:idx val="2"/>
          <c:order val="2"/>
          <c:tx>
            <c:strRef>
              <c:f>Feuil3!$A$9</c:f>
              <c:strCache>
                <c:ptCount val="1"/>
                <c:pt idx="0">
                  <c:v>Total</c:v>
                </c:pt>
              </c:strCache>
            </c:strRef>
          </c:tx>
          <c:spPr>
            <a:ln w="28575" cap="rnd">
              <a:solidFill>
                <a:schemeClr val="accent3"/>
              </a:solidFill>
              <a:round/>
            </a:ln>
            <a:effectLst/>
          </c:spPr>
          <c:marker>
            <c:symbol val="none"/>
          </c:marker>
          <c:cat>
            <c:multiLvlStrRef>
              <c:f>Feuil3!$B$5:$H$6</c:f>
              <c:multiLvlStrCache>
                <c:ptCount val="7"/>
                <c:lvl>
                  <c:pt idx="0">
                    <c:v>P.P</c:v>
                  </c:pt>
                  <c:pt idx="1">
                    <c:v>P.T</c:v>
                  </c:pt>
                  <c:pt idx="2">
                    <c:v>P.S</c:v>
                  </c:pt>
                  <c:pt idx="3">
                    <c:v>P.P</c:v>
                  </c:pt>
                  <c:pt idx="4">
                    <c:v>P.T</c:v>
                  </c:pt>
                  <c:pt idx="5">
                    <c:v>P.S</c:v>
                  </c:pt>
                  <c:pt idx="6">
                    <c:v>Total</c:v>
                  </c:pt>
                </c:lvl>
                <c:lvl>
                  <c:pt idx="0">
                    <c:v>Professeurs </c:v>
                  </c:pt>
                  <c:pt idx="3">
                    <c:v>Professeures</c:v>
                  </c:pt>
                </c:lvl>
              </c:multiLvlStrCache>
            </c:multiLvlStrRef>
          </c:cat>
          <c:val>
            <c:numRef>
              <c:f>Feuil3!$B$9:$H$9</c:f>
              <c:numCache>
                <c:formatCode>General</c:formatCode>
                <c:ptCount val="7"/>
                <c:pt idx="0">
                  <c:v>16</c:v>
                </c:pt>
                <c:pt idx="1">
                  <c:v>5</c:v>
                </c:pt>
                <c:pt idx="2">
                  <c:v>2</c:v>
                </c:pt>
                <c:pt idx="3">
                  <c:v>4</c:v>
                </c:pt>
                <c:pt idx="4">
                  <c:v>7</c:v>
                </c:pt>
                <c:pt idx="5">
                  <c:v>1</c:v>
                </c:pt>
                <c:pt idx="6">
                  <c:v>35</c:v>
                </c:pt>
              </c:numCache>
            </c:numRef>
          </c:val>
          <c:smooth val="0"/>
          <c:extLst>
            <c:ext xmlns:c16="http://schemas.microsoft.com/office/drawing/2014/chart" uri="{C3380CC4-5D6E-409C-BE32-E72D297353CC}">
              <c16:uniqueId val="{00000002-AAFE-43B6-81CC-ED84C72F4DC6}"/>
            </c:ext>
          </c:extLst>
        </c:ser>
        <c:dLbls>
          <c:showLegendKey val="0"/>
          <c:showVal val="0"/>
          <c:showCatName val="0"/>
          <c:showSerName val="0"/>
          <c:showPercent val="0"/>
          <c:showBubbleSize val="0"/>
        </c:dLbls>
        <c:marker val="1"/>
        <c:smooth val="0"/>
        <c:axId val="84528184"/>
        <c:axId val="84528576"/>
      </c:lineChart>
      <c:catAx>
        <c:axId val="4908527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0853568"/>
        <c:crosses val="autoZero"/>
        <c:auto val="1"/>
        <c:lblAlgn val="ctr"/>
        <c:lblOffset val="100"/>
        <c:noMultiLvlLbl val="0"/>
      </c:catAx>
      <c:valAx>
        <c:axId val="49085356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0852784"/>
        <c:crosses val="autoZero"/>
        <c:crossBetween val="between"/>
      </c:valAx>
      <c:valAx>
        <c:axId val="845285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4528184"/>
        <c:crosses val="max"/>
        <c:crossBetween val="between"/>
      </c:valAx>
      <c:catAx>
        <c:axId val="84528184"/>
        <c:scaling>
          <c:orientation val="minMax"/>
        </c:scaling>
        <c:delete val="1"/>
        <c:axPos val="b"/>
        <c:numFmt formatCode="General" sourceLinked="1"/>
        <c:majorTickMark val="out"/>
        <c:minorTickMark val="none"/>
        <c:tickLblPos val="nextTo"/>
        <c:crossAx val="845285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dirty="0"/>
              <a:t>Figure</a:t>
            </a:r>
            <a:r>
              <a:rPr lang="fr-FR" baseline="0" dirty="0"/>
              <a:t> n° 4: relatif à la performance attendue des compétences visées par l’action d’évaluation.</a:t>
            </a:r>
            <a:endParaRPr lang="fr-FR"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Feuil4!$C$8</c:f>
              <c:strCache>
                <c:ptCount val="1"/>
                <c:pt idx="0">
                  <c:v>Oui</c:v>
                </c:pt>
              </c:strCache>
            </c:strRef>
          </c:tx>
          <c:spPr>
            <a:solidFill>
              <a:schemeClr val="accent1"/>
            </a:solidFill>
            <a:ln>
              <a:noFill/>
            </a:ln>
            <a:effectLst/>
          </c:spPr>
          <c:invertIfNegative val="0"/>
          <c:cat>
            <c:multiLvlStrRef>
              <c:f>Feuil4!$D$6:$J$7</c:f>
              <c:multiLvlStrCache>
                <c:ptCount val="7"/>
                <c:lvl>
                  <c:pt idx="0">
                    <c:v>P.P</c:v>
                  </c:pt>
                  <c:pt idx="1">
                    <c:v>P.T</c:v>
                  </c:pt>
                  <c:pt idx="2">
                    <c:v>P.S</c:v>
                  </c:pt>
                  <c:pt idx="3">
                    <c:v>P.P</c:v>
                  </c:pt>
                  <c:pt idx="4">
                    <c:v>P.T</c:v>
                  </c:pt>
                  <c:pt idx="5">
                    <c:v>P.S</c:v>
                  </c:pt>
                  <c:pt idx="6">
                    <c:v>Total</c:v>
                  </c:pt>
                </c:lvl>
                <c:lvl>
                  <c:pt idx="0">
                    <c:v> Professeurs </c:v>
                  </c:pt>
                  <c:pt idx="3">
                    <c:v>Professeures</c:v>
                  </c:pt>
                </c:lvl>
              </c:multiLvlStrCache>
            </c:multiLvlStrRef>
          </c:cat>
          <c:val>
            <c:numRef>
              <c:f>Feuil4!$D$8:$J$8</c:f>
              <c:numCache>
                <c:formatCode>General</c:formatCode>
                <c:ptCount val="7"/>
                <c:pt idx="0">
                  <c:v>0</c:v>
                </c:pt>
                <c:pt idx="1">
                  <c:v>5</c:v>
                </c:pt>
                <c:pt idx="2">
                  <c:v>1</c:v>
                </c:pt>
                <c:pt idx="3">
                  <c:v>12</c:v>
                </c:pt>
                <c:pt idx="4">
                  <c:v>2</c:v>
                </c:pt>
                <c:pt idx="5">
                  <c:v>0</c:v>
                </c:pt>
                <c:pt idx="6">
                  <c:v>20</c:v>
                </c:pt>
              </c:numCache>
            </c:numRef>
          </c:val>
          <c:extLst>
            <c:ext xmlns:c16="http://schemas.microsoft.com/office/drawing/2014/chart" uri="{C3380CC4-5D6E-409C-BE32-E72D297353CC}">
              <c16:uniqueId val="{00000000-FBBB-42B9-8CB3-84D288FE887A}"/>
            </c:ext>
          </c:extLst>
        </c:ser>
        <c:ser>
          <c:idx val="1"/>
          <c:order val="1"/>
          <c:tx>
            <c:strRef>
              <c:f>Feuil4!$C$9</c:f>
              <c:strCache>
                <c:ptCount val="1"/>
                <c:pt idx="0">
                  <c:v>Non</c:v>
                </c:pt>
              </c:strCache>
            </c:strRef>
          </c:tx>
          <c:spPr>
            <a:solidFill>
              <a:schemeClr val="accent2"/>
            </a:solidFill>
            <a:ln>
              <a:noFill/>
            </a:ln>
            <a:effectLst/>
          </c:spPr>
          <c:invertIfNegative val="0"/>
          <c:cat>
            <c:multiLvlStrRef>
              <c:f>Feuil4!$D$6:$J$7</c:f>
              <c:multiLvlStrCache>
                <c:ptCount val="7"/>
                <c:lvl>
                  <c:pt idx="0">
                    <c:v>P.P</c:v>
                  </c:pt>
                  <c:pt idx="1">
                    <c:v>P.T</c:v>
                  </c:pt>
                  <c:pt idx="2">
                    <c:v>P.S</c:v>
                  </c:pt>
                  <c:pt idx="3">
                    <c:v>P.P</c:v>
                  </c:pt>
                  <c:pt idx="4">
                    <c:v>P.T</c:v>
                  </c:pt>
                  <c:pt idx="5">
                    <c:v>P.S</c:v>
                  </c:pt>
                  <c:pt idx="6">
                    <c:v>Total</c:v>
                  </c:pt>
                </c:lvl>
                <c:lvl>
                  <c:pt idx="0">
                    <c:v> Professeurs </c:v>
                  </c:pt>
                  <c:pt idx="3">
                    <c:v>Professeures</c:v>
                  </c:pt>
                </c:lvl>
              </c:multiLvlStrCache>
            </c:multiLvlStrRef>
          </c:cat>
          <c:val>
            <c:numRef>
              <c:f>Feuil4!$D$9:$J$9</c:f>
              <c:numCache>
                <c:formatCode>General</c:formatCode>
                <c:ptCount val="7"/>
                <c:pt idx="0">
                  <c:v>1</c:v>
                </c:pt>
                <c:pt idx="1">
                  <c:v>4</c:v>
                </c:pt>
                <c:pt idx="2">
                  <c:v>2</c:v>
                </c:pt>
                <c:pt idx="3">
                  <c:v>7</c:v>
                </c:pt>
                <c:pt idx="4">
                  <c:v>1</c:v>
                </c:pt>
                <c:pt idx="5">
                  <c:v>0</c:v>
                </c:pt>
                <c:pt idx="6">
                  <c:v>15</c:v>
                </c:pt>
              </c:numCache>
            </c:numRef>
          </c:val>
          <c:extLst>
            <c:ext xmlns:c16="http://schemas.microsoft.com/office/drawing/2014/chart" uri="{C3380CC4-5D6E-409C-BE32-E72D297353CC}">
              <c16:uniqueId val="{00000001-FBBB-42B9-8CB3-84D288FE887A}"/>
            </c:ext>
          </c:extLst>
        </c:ser>
        <c:ser>
          <c:idx val="2"/>
          <c:order val="2"/>
          <c:tx>
            <c:strRef>
              <c:f>Feuil4!$C$10</c:f>
              <c:strCache>
                <c:ptCount val="1"/>
                <c:pt idx="0">
                  <c:v>Total</c:v>
                </c:pt>
              </c:strCache>
            </c:strRef>
          </c:tx>
          <c:spPr>
            <a:solidFill>
              <a:schemeClr val="accent3"/>
            </a:solidFill>
            <a:ln>
              <a:noFill/>
            </a:ln>
            <a:effectLst/>
          </c:spPr>
          <c:invertIfNegative val="0"/>
          <c:cat>
            <c:multiLvlStrRef>
              <c:f>Feuil4!$D$6:$J$7</c:f>
              <c:multiLvlStrCache>
                <c:ptCount val="7"/>
                <c:lvl>
                  <c:pt idx="0">
                    <c:v>P.P</c:v>
                  </c:pt>
                  <c:pt idx="1">
                    <c:v>P.T</c:v>
                  </c:pt>
                  <c:pt idx="2">
                    <c:v>P.S</c:v>
                  </c:pt>
                  <c:pt idx="3">
                    <c:v>P.P</c:v>
                  </c:pt>
                  <c:pt idx="4">
                    <c:v>P.T</c:v>
                  </c:pt>
                  <c:pt idx="5">
                    <c:v>P.S</c:v>
                  </c:pt>
                  <c:pt idx="6">
                    <c:v>Total</c:v>
                  </c:pt>
                </c:lvl>
                <c:lvl>
                  <c:pt idx="0">
                    <c:v> Professeurs </c:v>
                  </c:pt>
                  <c:pt idx="3">
                    <c:v>Professeures</c:v>
                  </c:pt>
                </c:lvl>
              </c:multiLvlStrCache>
            </c:multiLvlStrRef>
          </c:cat>
          <c:val>
            <c:numRef>
              <c:f>Feuil4!$D$10:$J$10</c:f>
              <c:numCache>
                <c:formatCode>General</c:formatCode>
                <c:ptCount val="7"/>
                <c:pt idx="0">
                  <c:v>1</c:v>
                </c:pt>
                <c:pt idx="1">
                  <c:v>9</c:v>
                </c:pt>
                <c:pt idx="2">
                  <c:v>3</c:v>
                </c:pt>
                <c:pt idx="3">
                  <c:v>19</c:v>
                </c:pt>
                <c:pt idx="4">
                  <c:v>3</c:v>
                </c:pt>
                <c:pt idx="5">
                  <c:v>0</c:v>
                </c:pt>
                <c:pt idx="6">
                  <c:v>35</c:v>
                </c:pt>
              </c:numCache>
            </c:numRef>
          </c:val>
          <c:extLst>
            <c:ext xmlns:c16="http://schemas.microsoft.com/office/drawing/2014/chart" uri="{C3380CC4-5D6E-409C-BE32-E72D297353CC}">
              <c16:uniqueId val="{00000002-FBBB-42B9-8CB3-84D288FE887A}"/>
            </c:ext>
          </c:extLst>
        </c:ser>
        <c:dLbls>
          <c:showLegendKey val="0"/>
          <c:showVal val="0"/>
          <c:showCatName val="0"/>
          <c:showSerName val="0"/>
          <c:showPercent val="0"/>
          <c:showBubbleSize val="0"/>
        </c:dLbls>
        <c:gapWidth val="219"/>
        <c:overlap val="-27"/>
        <c:axId val="509318880"/>
        <c:axId val="509320056"/>
      </c:barChart>
      <c:catAx>
        <c:axId val="5093188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320056"/>
        <c:crosses val="autoZero"/>
        <c:auto val="1"/>
        <c:lblAlgn val="ctr"/>
        <c:lblOffset val="100"/>
        <c:noMultiLvlLbl val="0"/>
      </c:catAx>
      <c:valAx>
        <c:axId val="50932005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31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dirty="0"/>
              <a:t>Figure</a:t>
            </a:r>
            <a:r>
              <a:rPr lang="fr-FR" baseline="0" dirty="0"/>
              <a:t> n° 5: concerne  la formation des objectifs intermédiaire au cours  de l’interaction en classe. </a:t>
            </a:r>
            <a:endParaRPr lang="fr-FR"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Feuil2!$C$9</c:f>
              <c:strCache>
                <c:ptCount val="1"/>
                <c:pt idx="0">
                  <c:v>Réponses</c:v>
                </c:pt>
              </c:strCache>
            </c:strRef>
          </c:tx>
          <c:spPr>
            <a:solidFill>
              <a:schemeClr val="accent1"/>
            </a:solidFill>
            <a:ln>
              <a:noFill/>
            </a:ln>
            <a:effectLst/>
          </c:spPr>
          <c:invertIfNegative val="0"/>
          <c:cat>
            <c:strRef>
              <c:f>Feuil2!$D$8:$J$8</c:f>
              <c:strCache>
                <c:ptCount val="4"/>
                <c:pt idx="0">
                  <c:v>Professeurs</c:v>
                </c:pt>
                <c:pt idx="3">
                  <c:v>Professeurs</c:v>
                </c:pt>
              </c:strCache>
            </c:strRef>
          </c:cat>
          <c:val>
            <c:numRef>
              <c:f>Feuil2!$D$9:$J$9</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BAC2-4D51-B915-194DB9927DD2}"/>
            </c:ext>
          </c:extLst>
        </c:ser>
        <c:ser>
          <c:idx val="1"/>
          <c:order val="1"/>
          <c:tx>
            <c:strRef>
              <c:f>Feuil2!$C$10</c:f>
              <c:strCache>
                <c:ptCount val="1"/>
                <c:pt idx="0">
                  <c:v>Oui</c:v>
                </c:pt>
              </c:strCache>
            </c:strRef>
          </c:tx>
          <c:spPr>
            <a:solidFill>
              <a:schemeClr val="accent2"/>
            </a:solidFill>
            <a:ln>
              <a:noFill/>
            </a:ln>
            <a:effectLst/>
          </c:spPr>
          <c:invertIfNegative val="0"/>
          <c:cat>
            <c:strRef>
              <c:f>Feuil2!$D$8:$J$8</c:f>
              <c:strCache>
                <c:ptCount val="4"/>
                <c:pt idx="0">
                  <c:v>Professeurs</c:v>
                </c:pt>
                <c:pt idx="3">
                  <c:v>Professeurs</c:v>
                </c:pt>
              </c:strCache>
            </c:strRef>
          </c:cat>
          <c:val>
            <c:numRef>
              <c:f>Feuil2!$D$10:$J$10</c:f>
              <c:numCache>
                <c:formatCode>General</c:formatCode>
                <c:ptCount val="7"/>
                <c:pt idx="0">
                  <c:v>1</c:v>
                </c:pt>
                <c:pt idx="1">
                  <c:v>5</c:v>
                </c:pt>
                <c:pt idx="2">
                  <c:v>2</c:v>
                </c:pt>
                <c:pt idx="3">
                  <c:v>0</c:v>
                </c:pt>
                <c:pt idx="4">
                  <c:v>4</c:v>
                </c:pt>
                <c:pt idx="5">
                  <c:v>1</c:v>
                </c:pt>
                <c:pt idx="6">
                  <c:v>12</c:v>
                </c:pt>
              </c:numCache>
            </c:numRef>
          </c:val>
          <c:extLst>
            <c:ext xmlns:c16="http://schemas.microsoft.com/office/drawing/2014/chart" uri="{C3380CC4-5D6E-409C-BE32-E72D297353CC}">
              <c16:uniqueId val="{00000001-BAC2-4D51-B915-194DB9927DD2}"/>
            </c:ext>
          </c:extLst>
        </c:ser>
        <c:ser>
          <c:idx val="2"/>
          <c:order val="2"/>
          <c:tx>
            <c:strRef>
              <c:f>Feuil2!$C$11</c:f>
              <c:strCache>
                <c:ptCount val="1"/>
                <c:pt idx="0">
                  <c:v>Non</c:v>
                </c:pt>
              </c:strCache>
            </c:strRef>
          </c:tx>
          <c:spPr>
            <a:solidFill>
              <a:schemeClr val="accent3"/>
            </a:solidFill>
            <a:ln>
              <a:noFill/>
            </a:ln>
            <a:effectLst/>
          </c:spPr>
          <c:invertIfNegative val="0"/>
          <c:cat>
            <c:strRef>
              <c:f>Feuil2!$D$8:$J$8</c:f>
              <c:strCache>
                <c:ptCount val="4"/>
                <c:pt idx="0">
                  <c:v>Professeurs</c:v>
                </c:pt>
                <c:pt idx="3">
                  <c:v>Professeurs</c:v>
                </c:pt>
              </c:strCache>
            </c:strRef>
          </c:cat>
          <c:val>
            <c:numRef>
              <c:f>Feuil2!$D$11:$J$11</c:f>
              <c:numCache>
                <c:formatCode>General</c:formatCode>
                <c:ptCount val="7"/>
                <c:pt idx="0">
                  <c:v>11</c:v>
                </c:pt>
                <c:pt idx="1">
                  <c:v>3</c:v>
                </c:pt>
                <c:pt idx="2">
                  <c:v>0</c:v>
                </c:pt>
                <c:pt idx="3">
                  <c:v>8</c:v>
                </c:pt>
                <c:pt idx="4">
                  <c:v>0</c:v>
                </c:pt>
                <c:pt idx="5">
                  <c:v>0</c:v>
                </c:pt>
                <c:pt idx="6">
                  <c:v>23</c:v>
                </c:pt>
              </c:numCache>
            </c:numRef>
          </c:val>
          <c:extLst>
            <c:ext xmlns:c16="http://schemas.microsoft.com/office/drawing/2014/chart" uri="{C3380CC4-5D6E-409C-BE32-E72D297353CC}">
              <c16:uniqueId val="{00000002-BAC2-4D51-B915-194DB9927DD2}"/>
            </c:ext>
          </c:extLst>
        </c:ser>
        <c:ser>
          <c:idx val="3"/>
          <c:order val="3"/>
          <c:tx>
            <c:strRef>
              <c:f>Feuil2!$C$12</c:f>
              <c:strCache>
                <c:ptCount val="1"/>
                <c:pt idx="0">
                  <c:v>Total</c:v>
                </c:pt>
              </c:strCache>
            </c:strRef>
          </c:tx>
          <c:spPr>
            <a:solidFill>
              <a:schemeClr val="accent4"/>
            </a:solidFill>
            <a:ln>
              <a:noFill/>
            </a:ln>
            <a:effectLst/>
          </c:spPr>
          <c:invertIfNegative val="0"/>
          <c:cat>
            <c:strRef>
              <c:f>Feuil2!$D$8:$J$8</c:f>
              <c:strCache>
                <c:ptCount val="4"/>
                <c:pt idx="0">
                  <c:v>Professeurs</c:v>
                </c:pt>
                <c:pt idx="3">
                  <c:v>Professeurs</c:v>
                </c:pt>
              </c:strCache>
            </c:strRef>
          </c:cat>
          <c:val>
            <c:numRef>
              <c:f>Feuil2!$D$12:$J$12</c:f>
              <c:numCache>
                <c:formatCode>General</c:formatCode>
                <c:ptCount val="7"/>
                <c:pt idx="0">
                  <c:v>12</c:v>
                </c:pt>
                <c:pt idx="1">
                  <c:v>8</c:v>
                </c:pt>
                <c:pt idx="2">
                  <c:v>2</c:v>
                </c:pt>
                <c:pt idx="3">
                  <c:v>8</c:v>
                </c:pt>
                <c:pt idx="4">
                  <c:v>4</c:v>
                </c:pt>
                <c:pt idx="5">
                  <c:v>1</c:v>
                </c:pt>
                <c:pt idx="6">
                  <c:v>35</c:v>
                </c:pt>
              </c:numCache>
            </c:numRef>
          </c:val>
          <c:extLst>
            <c:ext xmlns:c16="http://schemas.microsoft.com/office/drawing/2014/chart" uri="{C3380CC4-5D6E-409C-BE32-E72D297353CC}">
              <c16:uniqueId val="{00000003-BAC2-4D51-B915-194DB9927DD2}"/>
            </c:ext>
          </c:extLst>
        </c:ser>
        <c:dLbls>
          <c:showLegendKey val="0"/>
          <c:showVal val="0"/>
          <c:showCatName val="0"/>
          <c:showSerName val="0"/>
          <c:showPercent val="0"/>
          <c:showBubbleSize val="0"/>
        </c:dLbls>
        <c:gapWidth val="219"/>
        <c:overlap val="-27"/>
        <c:axId val="509321232"/>
        <c:axId val="509319664"/>
      </c:barChart>
      <c:catAx>
        <c:axId val="5093212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319664"/>
        <c:crosses val="autoZero"/>
        <c:auto val="1"/>
        <c:lblAlgn val="ctr"/>
        <c:lblOffset val="100"/>
        <c:noMultiLvlLbl val="0"/>
      </c:catAx>
      <c:valAx>
        <c:axId val="50931966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32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latin typeface="Times New Roman" panose="02020603050405020304" pitchFamily="18" charset="0"/>
                <a:cs typeface="Times New Roman" panose="02020603050405020304" pitchFamily="18" charset="0"/>
              </a:rPr>
              <a:t>Figure 6: Concerne</a:t>
            </a:r>
            <a:r>
              <a:rPr lang="fr-FR" baseline="0">
                <a:latin typeface="Times New Roman" panose="02020603050405020304" pitchFamily="18" charset="0"/>
                <a:cs typeface="Times New Roman" panose="02020603050405020304" pitchFamily="18" charset="0"/>
              </a:rPr>
              <a:t> l'établissement de grilles d'évaluation pour diagnostiquer le niveau des élèves en mathématiques.</a:t>
            </a:r>
            <a:endParaRPr lang="fr-FR">
              <a:latin typeface="Times New Roman" panose="02020603050405020304" pitchFamily="18" charset="0"/>
              <a:cs typeface="Times New Roman" panose="02020603050405020304" pitchFamily="18" charset="0"/>
            </a:endParaRPr>
          </a:p>
        </c:rich>
      </c:tx>
      <c:layout>
        <c:manualLayout>
          <c:xMode val="edge"/>
          <c:yMode val="edge"/>
          <c:x val="0.16016557794733491"/>
          <c:y val="3.1404217137729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 1'!$D$18</c:f>
              <c:strCache>
                <c:ptCount val="1"/>
                <c:pt idx="0">
                  <c:v>Femmes</c:v>
                </c:pt>
              </c:strCache>
            </c:strRef>
          </c:tx>
          <c:spPr>
            <a:solidFill>
              <a:schemeClr val="accent2"/>
            </a:solidFill>
            <a:ln>
              <a:noFill/>
            </a:ln>
            <a:effectLst/>
          </c:spPr>
          <c:invertIfNegative val="0"/>
          <c:cat>
            <c:multiLvlStrRef>
              <c:f>' 1'!$E$14:$M$16</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 1'!$E$18:$M$18</c:f>
              <c:numCache>
                <c:formatCode>General</c:formatCode>
                <c:ptCount val="9"/>
                <c:pt idx="0">
                  <c:v>1</c:v>
                </c:pt>
                <c:pt idx="1">
                  <c:v>3</c:v>
                </c:pt>
                <c:pt idx="2">
                  <c:v>1</c:v>
                </c:pt>
                <c:pt idx="3">
                  <c:v>0</c:v>
                </c:pt>
                <c:pt idx="4">
                  <c:v>6</c:v>
                </c:pt>
                <c:pt idx="5">
                  <c:v>2</c:v>
                </c:pt>
                <c:pt idx="6">
                  <c:v>1</c:v>
                </c:pt>
                <c:pt idx="7">
                  <c:v>9</c:v>
                </c:pt>
                <c:pt idx="8">
                  <c:v>3</c:v>
                </c:pt>
              </c:numCache>
            </c:numRef>
          </c:val>
          <c:extLst>
            <c:ext xmlns:c16="http://schemas.microsoft.com/office/drawing/2014/chart" uri="{C3380CC4-5D6E-409C-BE32-E72D297353CC}">
              <c16:uniqueId val="{00000000-8308-46F0-862B-665A2FB375BC}"/>
            </c:ext>
          </c:extLst>
        </c:ser>
        <c:ser>
          <c:idx val="2"/>
          <c:order val="2"/>
          <c:tx>
            <c:strRef>
              <c:f>' 1'!$D$19</c:f>
              <c:strCache>
                <c:ptCount val="1"/>
                <c:pt idx="0">
                  <c:v>Hommes</c:v>
                </c:pt>
              </c:strCache>
            </c:strRef>
          </c:tx>
          <c:spPr>
            <a:solidFill>
              <a:schemeClr val="accent3"/>
            </a:solidFill>
            <a:ln>
              <a:noFill/>
            </a:ln>
            <a:effectLst/>
          </c:spPr>
          <c:invertIfNegative val="0"/>
          <c:cat>
            <c:multiLvlStrRef>
              <c:f>' 1'!$E$14:$M$16</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 1'!$E$19:$M$19</c:f>
              <c:numCache>
                <c:formatCode>General</c:formatCode>
                <c:ptCount val="9"/>
                <c:pt idx="0">
                  <c:v>5</c:v>
                </c:pt>
                <c:pt idx="1">
                  <c:v>2</c:v>
                </c:pt>
                <c:pt idx="2">
                  <c:v>0</c:v>
                </c:pt>
                <c:pt idx="3">
                  <c:v>14</c:v>
                </c:pt>
                <c:pt idx="4">
                  <c:v>1</c:v>
                </c:pt>
                <c:pt idx="5">
                  <c:v>0</c:v>
                </c:pt>
                <c:pt idx="6">
                  <c:v>19</c:v>
                </c:pt>
                <c:pt idx="7">
                  <c:v>3</c:v>
                </c:pt>
                <c:pt idx="8">
                  <c:v>0</c:v>
                </c:pt>
              </c:numCache>
            </c:numRef>
          </c:val>
          <c:extLst>
            <c:ext xmlns:c16="http://schemas.microsoft.com/office/drawing/2014/chart" uri="{C3380CC4-5D6E-409C-BE32-E72D297353CC}">
              <c16:uniqueId val="{00000001-8308-46F0-862B-665A2FB375BC}"/>
            </c:ext>
          </c:extLst>
        </c:ser>
        <c:ser>
          <c:idx val="4"/>
          <c:order val="4"/>
          <c:tx>
            <c:strRef>
              <c:f>' 1'!$D$21</c:f>
              <c:strCache>
                <c:ptCount val="1"/>
                <c:pt idx="0">
                  <c:v>Effectifs</c:v>
                </c:pt>
              </c:strCache>
            </c:strRef>
          </c:tx>
          <c:spPr>
            <a:solidFill>
              <a:schemeClr val="accent5"/>
            </a:solidFill>
            <a:ln>
              <a:noFill/>
            </a:ln>
            <a:effectLst/>
          </c:spPr>
          <c:invertIfNegative val="0"/>
          <c:cat>
            <c:multiLvlStrRef>
              <c:f>' 1'!$E$14:$M$16</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 1'!$E$21:$M$21</c:f>
              <c:numCache>
                <c:formatCode>General</c:formatCode>
                <c:ptCount val="9"/>
                <c:pt idx="0">
                  <c:v>6</c:v>
                </c:pt>
                <c:pt idx="1">
                  <c:v>5</c:v>
                </c:pt>
                <c:pt idx="2">
                  <c:v>1</c:v>
                </c:pt>
                <c:pt idx="3">
                  <c:v>14</c:v>
                </c:pt>
                <c:pt idx="4">
                  <c:v>7</c:v>
                </c:pt>
                <c:pt idx="5">
                  <c:v>2</c:v>
                </c:pt>
                <c:pt idx="6">
                  <c:v>20</c:v>
                </c:pt>
                <c:pt idx="7">
                  <c:v>12</c:v>
                </c:pt>
                <c:pt idx="8">
                  <c:v>3</c:v>
                </c:pt>
              </c:numCache>
            </c:numRef>
          </c:val>
          <c:extLst>
            <c:ext xmlns:c16="http://schemas.microsoft.com/office/drawing/2014/chart" uri="{C3380CC4-5D6E-409C-BE32-E72D297353CC}">
              <c16:uniqueId val="{00000002-8308-46F0-862B-665A2FB375BC}"/>
            </c:ext>
          </c:extLst>
        </c:ser>
        <c:ser>
          <c:idx val="5"/>
          <c:order val="5"/>
          <c:tx>
            <c:strRef>
              <c:f>' 1'!$D$22</c:f>
              <c:strCache>
                <c:ptCount val="1"/>
                <c:pt idx="0">
                  <c:v>Total</c:v>
                </c:pt>
              </c:strCache>
            </c:strRef>
          </c:tx>
          <c:spPr>
            <a:solidFill>
              <a:schemeClr val="accent6"/>
            </a:solidFill>
            <a:ln>
              <a:noFill/>
            </a:ln>
            <a:effectLst/>
          </c:spPr>
          <c:invertIfNegative val="0"/>
          <c:cat>
            <c:multiLvlStrRef>
              <c:f>' 1'!$E$14:$M$16</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 1'!$E$22:$M$22</c:f>
              <c:numCache>
                <c:formatCode>General</c:formatCode>
                <c:ptCount val="9"/>
                <c:pt idx="0">
                  <c:v>12</c:v>
                </c:pt>
                <c:pt idx="3">
                  <c:v>23</c:v>
                </c:pt>
                <c:pt idx="6">
                  <c:v>35</c:v>
                </c:pt>
              </c:numCache>
            </c:numRef>
          </c:val>
          <c:extLst>
            <c:ext xmlns:c16="http://schemas.microsoft.com/office/drawing/2014/chart" uri="{C3380CC4-5D6E-409C-BE32-E72D297353CC}">
              <c16:uniqueId val="{00000003-8308-46F0-862B-665A2FB375BC}"/>
            </c:ext>
          </c:extLst>
        </c:ser>
        <c:dLbls>
          <c:showLegendKey val="0"/>
          <c:showVal val="0"/>
          <c:showCatName val="0"/>
          <c:showSerName val="0"/>
          <c:showPercent val="0"/>
          <c:showBubbleSize val="0"/>
        </c:dLbls>
        <c:gapWidth val="219"/>
        <c:overlap val="-27"/>
        <c:axId val="509320448"/>
        <c:axId val="509320840"/>
        <c:extLst>
          <c:ext xmlns:c15="http://schemas.microsoft.com/office/drawing/2012/chart" uri="{02D57815-91ED-43cb-92C2-25804820EDAC}">
            <c15:filteredBarSeries>
              <c15:ser>
                <c:idx val="0"/>
                <c:order val="0"/>
                <c:tx>
                  <c:strRef>
                    <c:extLst>
                      <c:ext uri="{02D57815-91ED-43cb-92C2-25804820EDAC}">
                        <c15:formulaRef>
                          <c15:sqref>' 1'!$D$17</c15:sqref>
                        </c15:formulaRef>
                      </c:ext>
                    </c:extLst>
                    <c:strCache>
                      <c:ptCount val="1"/>
                    </c:strCache>
                  </c:strRef>
                </c:tx>
                <c:spPr>
                  <a:solidFill>
                    <a:schemeClr val="accent1"/>
                  </a:solidFill>
                  <a:ln>
                    <a:noFill/>
                  </a:ln>
                  <a:effectLst/>
                </c:spPr>
                <c:invertIfNegative val="0"/>
                <c:cat>
                  <c:multiLvlStrRef>
                    <c:extLst>
                      <c:ext uri="{02D57815-91ED-43cb-92C2-25804820EDAC}">
                        <c15:formulaRef>
                          <c15:sqref>' 1'!$E$14:$M$16</c15:sqref>
                        </c15:formulaRef>
                      </c:ext>
                    </c:extLst>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extLst>
                      <c:ext uri="{02D57815-91ED-43cb-92C2-25804820EDAC}">
                        <c15:formulaRef>
                          <c15:sqref>' 1'!$E$17:$M$17</c15:sqref>
                        </c15:formulaRef>
                      </c:ext>
                    </c:extLst>
                    <c:numCache>
                      <c:formatCode>General</c:formatCode>
                      <c:ptCount val="9"/>
                    </c:numCache>
                  </c:numRef>
                </c:val>
                <c:extLst>
                  <c:ext xmlns:c16="http://schemas.microsoft.com/office/drawing/2014/chart" uri="{C3380CC4-5D6E-409C-BE32-E72D297353CC}">
                    <c16:uniqueId val="{00000004-8308-46F0-862B-665A2FB375B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 1'!$D$20</c15:sqref>
                        </c15:formulaRef>
                      </c:ext>
                    </c:extLst>
                    <c:strCache>
                      <c:ptCount val="1"/>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 1'!$E$14:$M$16</c15:sqref>
                        </c15:formulaRef>
                      </c:ext>
                    </c:extLst>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extLst xmlns:c15="http://schemas.microsoft.com/office/drawing/2012/chart">
                      <c:ext xmlns:c15="http://schemas.microsoft.com/office/drawing/2012/chart" uri="{02D57815-91ED-43cb-92C2-25804820EDAC}">
                        <c15:formulaRef>
                          <c15:sqref>' 1'!$E$20:$M$20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8308-46F0-862B-665A2FB375BC}"/>
                  </c:ext>
                </c:extLst>
              </c15:ser>
            </c15:filteredBarSeries>
          </c:ext>
        </c:extLst>
      </c:barChart>
      <c:catAx>
        <c:axId val="5093204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320840"/>
        <c:crosses val="autoZero"/>
        <c:auto val="1"/>
        <c:lblAlgn val="ctr"/>
        <c:lblOffset val="100"/>
        <c:noMultiLvlLbl val="0"/>
      </c:catAx>
      <c:valAx>
        <c:axId val="50932084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32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latin typeface="Times New Roman" panose="02020603050405020304" pitchFamily="18" charset="0"/>
                <a:cs typeface="Times New Roman" panose="02020603050405020304" pitchFamily="18" charset="0"/>
              </a:rPr>
              <a:t>Figure 7: Concerne l'utilisation des fiches de préparation dans les activités pédagogiques en</a:t>
            </a:r>
            <a:r>
              <a:rPr lang="fr-FR" baseline="0">
                <a:latin typeface="Times New Roman" panose="02020603050405020304" pitchFamily="18" charset="0"/>
                <a:cs typeface="Times New Roman" panose="02020603050405020304" pitchFamily="18" charset="0"/>
              </a:rPr>
              <a:t> mathématiques.  </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'2'!$B$12</c:f>
              <c:strCache>
                <c:ptCount val="1"/>
                <c:pt idx="0">
                  <c:v>Femmes</c:v>
                </c:pt>
              </c:strCache>
            </c:strRef>
          </c:tx>
          <c:spPr>
            <a:solidFill>
              <a:schemeClr val="accent2"/>
            </a:solidFill>
            <a:ln>
              <a:noFill/>
            </a:ln>
            <a:effectLst/>
          </c:spPr>
          <c:invertIfNegative val="0"/>
          <c:cat>
            <c:multiLvlStrRef>
              <c:f>'2'!$C$8:$K$10</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'2'!$C$12:$K$12</c:f>
              <c:numCache>
                <c:formatCode>General</c:formatCode>
                <c:ptCount val="9"/>
                <c:pt idx="0">
                  <c:v>0</c:v>
                </c:pt>
                <c:pt idx="1">
                  <c:v>6</c:v>
                </c:pt>
                <c:pt idx="2">
                  <c:v>3</c:v>
                </c:pt>
                <c:pt idx="3">
                  <c:v>1</c:v>
                </c:pt>
                <c:pt idx="4">
                  <c:v>3</c:v>
                </c:pt>
                <c:pt idx="6">
                  <c:v>1</c:v>
                </c:pt>
                <c:pt idx="7">
                  <c:v>9</c:v>
                </c:pt>
                <c:pt idx="8">
                  <c:v>3</c:v>
                </c:pt>
              </c:numCache>
            </c:numRef>
          </c:val>
          <c:extLst>
            <c:ext xmlns:c16="http://schemas.microsoft.com/office/drawing/2014/chart" uri="{C3380CC4-5D6E-409C-BE32-E72D297353CC}">
              <c16:uniqueId val="{00000000-6294-46AE-8280-9F6287C91C11}"/>
            </c:ext>
          </c:extLst>
        </c:ser>
        <c:ser>
          <c:idx val="2"/>
          <c:order val="2"/>
          <c:tx>
            <c:strRef>
              <c:f>'2'!$B$13</c:f>
              <c:strCache>
                <c:ptCount val="1"/>
                <c:pt idx="0">
                  <c:v>Hommes</c:v>
                </c:pt>
              </c:strCache>
            </c:strRef>
          </c:tx>
          <c:spPr>
            <a:solidFill>
              <a:schemeClr val="accent3"/>
            </a:solidFill>
            <a:ln>
              <a:noFill/>
            </a:ln>
            <a:effectLst/>
          </c:spPr>
          <c:invertIfNegative val="0"/>
          <c:cat>
            <c:multiLvlStrRef>
              <c:f>'2'!$C$8:$K$10</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'2'!$C$13:$K$13</c:f>
              <c:numCache>
                <c:formatCode>General</c:formatCode>
                <c:ptCount val="9"/>
                <c:pt idx="0">
                  <c:v>9</c:v>
                </c:pt>
                <c:pt idx="1">
                  <c:v>3</c:v>
                </c:pt>
                <c:pt idx="2">
                  <c:v>0</c:v>
                </c:pt>
                <c:pt idx="3">
                  <c:v>10</c:v>
                </c:pt>
                <c:pt idx="4">
                  <c:v>0</c:v>
                </c:pt>
                <c:pt idx="6">
                  <c:v>19</c:v>
                </c:pt>
                <c:pt idx="7">
                  <c:v>3</c:v>
                </c:pt>
                <c:pt idx="8">
                  <c:v>0</c:v>
                </c:pt>
              </c:numCache>
            </c:numRef>
          </c:val>
          <c:extLst>
            <c:ext xmlns:c16="http://schemas.microsoft.com/office/drawing/2014/chart" uri="{C3380CC4-5D6E-409C-BE32-E72D297353CC}">
              <c16:uniqueId val="{00000001-6294-46AE-8280-9F6287C91C11}"/>
            </c:ext>
          </c:extLst>
        </c:ser>
        <c:ser>
          <c:idx val="4"/>
          <c:order val="4"/>
          <c:tx>
            <c:strRef>
              <c:f>'2'!$B$15</c:f>
              <c:strCache>
                <c:ptCount val="1"/>
                <c:pt idx="0">
                  <c:v>Effectifs</c:v>
                </c:pt>
              </c:strCache>
            </c:strRef>
          </c:tx>
          <c:spPr>
            <a:solidFill>
              <a:schemeClr val="accent5"/>
            </a:solidFill>
            <a:ln>
              <a:noFill/>
            </a:ln>
            <a:effectLst/>
          </c:spPr>
          <c:invertIfNegative val="0"/>
          <c:cat>
            <c:multiLvlStrRef>
              <c:f>'2'!$C$8:$K$10</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'2'!$C$15:$K$15</c:f>
              <c:numCache>
                <c:formatCode>General</c:formatCode>
                <c:ptCount val="9"/>
                <c:pt idx="0">
                  <c:v>9</c:v>
                </c:pt>
                <c:pt idx="1">
                  <c:v>9</c:v>
                </c:pt>
                <c:pt idx="2">
                  <c:v>3</c:v>
                </c:pt>
                <c:pt idx="3">
                  <c:v>11</c:v>
                </c:pt>
                <c:pt idx="4">
                  <c:v>3</c:v>
                </c:pt>
                <c:pt idx="6">
                  <c:v>20</c:v>
                </c:pt>
                <c:pt idx="7">
                  <c:v>12</c:v>
                </c:pt>
                <c:pt idx="8">
                  <c:v>3</c:v>
                </c:pt>
              </c:numCache>
            </c:numRef>
          </c:val>
          <c:extLst>
            <c:ext xmlns:c16="http://schemas.microsoft.com/office/drawing/2014/chart" uri="{C3380CC4-5D6E-409C-BE32-E72D297353CC}">
              <c16:uniqueId val="{00000002-6294-46AE-8280-9F6287C91C11}"/>
            </c:ext>
          </c:extLst>
        </c:ser>
        <c:ser>
          <c:idx val="5"/>
          <c:order val="5"/>
          <c:tx>
            <c:strRef>
              <c:f>'2'!$B$16</c:f>
              <c:strCache>
                <c:ptCount val="1"/>
                <c:pt idx="0">
                  <c:v>Total</c:v>
                </c:pt>
              </c:strCache>
            </c:strRef>
          </c:tx>
          <c:spPr>
            <a:solidFill>
              <a:schemeClr val="accent6"/>
            </a:solidFill>
            <a:ln>
              <a:noFill/>
            </a:ln>
            <a:effectLst/>
          </c:spPr>
          <c:invertIfNegative val="0"/>
          <c:cat>
            <c:multiLvlStrRef>
              <c:f>'2'!$C$8:$K$10</c:f>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f>'2'!$C$16:$K$16</c:f>
              <c:numCache>
                <c:formatCode>General</c:formatCode>
                <c:ptCount val="9"/>
                <c:pt idx="0">
                  <c:v>21</c:v>
                </c:pt>
                <c:pt idx="3">
                  <c:v>14</c:v>
                </c:pt>
                <c:pt idx="6">
                  <c:v>35</c:v>
                </c:pt>
              </c:numCache>
            </c:numRef>
          </c:val>
          <c:extLst>
            <c:ext xmlns:c16="http://schemas.microsoft.com/office/drawing/2014/chart" uri="{C3380CC4-5D6E-409C-BE32-E72D297353CC}">
              <c16:uniqueId val="{00000003-6294-46AE-8280-9F6287C91C11}"/>
            </c:ext>
          </c:extLst>
        </c:ser>
        <c:dLbls>
          <c:showLegendKey val="0"/>
          <c:showVal val="0"/>
          <c:showCatName val="0"/>
          <c:showSerName val="0"/>
          <c:showPercent val="0"/>
          <c:showBubbleSize val="0"/>
        </c:dLbls>
        <c:gapWidth val="219"/>
        <c:overlap val="-27"/>
        <c:axId val="213923528"/>
        <c:axId val="213926272"/>
        <c:extLst>
          <c:ext xmlns:c15="http://schemas.microsoft.com/office/drawing/2012/chart" uri="{02D57815-91ED-43cb-92C2-25804820EDAC}">
            <c15:filteredBarSeries>
              <c15:ser>
                <c:idx val="0"/>
                <c:order val="0"/>
                <c:tx>
                  <c:strRef>
                    <c:extLst>
                      <c:ext uri="{02D57815-91ED-43cb-92C2-25804820EDAC}">
                        <c15:formulaRef>
                          <c15:sqref>'2'!$B$11</c15:sqref>
                        </c15:formulaRef>
                      </c:ext>
                    </c:extLst>
                    <c:strCache>
                      <c:ptCount val="1"/>
                    </c:strCache>
                  </c:strRef>
                </c:tx>
                <c:spPr>
                  <a:solidFill>
                    <a:schemeClr val="accent1"/>
                  </a:solidFill>
                  <a:ln>
                    <a:noFill/>
                  </a:ln>
                  <a:effectLst/>
                </c:spPr>
                <c:invertIfNegative val="0"/>
                <c:cat>
                  <c:multiLvlStrRef>
                    <c:extLst>
                      <c:ext uri="{02D57815-91ED-43cb-92C2-25804820EDAC}">
                        <c15:formulaRef>
                          <c15:sqref>'2'!$C$8:$K$10</c15:sqref>
                        </c15:formulaRef>
                      </c:ext>
                    </c:extLst>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extLst>
                      <c:ext uri="{02D57815-91ED-43cb-92C2-25804820EDAC}">
                        <c15:formulaRef>
                          <c15:sqref>'2'!$C$11:$K$11</c15:sqref>
                        </c15:formulaRef>
                      </c:ext>
                    </c:extLst>
                    <c:numCache>
                      <c:formatCode>General</c:formatCode>
                      <c:ptCount val="9"/>
                    </c:numCache>
                  </c:numRef>
                </c:val>
                <c:extLst>
                  <c:ext xmlns:c16="http://schemas.microsoft.com/office/drawing/2014/chart" uri="{C3380CC4-5D6E-409C-BE32-E72D297353CC}">
                    <c16:uniqueId val="{00000004-6294-46AE-8280-9F6287C91C1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'2'!$B$14</c15:sqref>
                        </c15:formulaRef>
                      </c:ext>
                    </c:extLst>
                    <c:strCache>
                      <c:ptCount val="1"/>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'2'!$C$8:$K$10</c15:sqref>
                        </c15:formulaRef>
                      </c:ext>
                    </c:extLst>
                    <c:multiLvlStrCache>
                      <c:ptCount val="9"/>
                      <c:lvl>
                        <c:pt idx="0">
                          <c:v>P.P</c:v>
                        </c:pt>
                        <c:pt idx="1">
                          <c:v>P. T</c:v>
                        </c:pt>
                        <c:pt idx="2">
                          <c:v>P.S</c:v>
                        </c:pt>
                        <c:pt idx="3">
                          <c:v>P.P</c:v>
                        </c:pt>
                        <c:pt idx="4">
                          <c:v>P.T</c:v>
                        </c:pt>
                        <c:pt idx="5">
                          <c:v>P.S</c:v>
                        </c:pt>
                        <c:pt idx="6">
                          <c:v>P.P</c:v>
                        </c:pt>
                        <c:pt idx="7">
                          <c:v>P.T</c:v>
                        </c:pt>
                        <c:pt idx="8">
                          <c:v>P.S</c:v>
                        </c:pt>
                      </c:lvl>
                      <c:lvl>
                        <c:pt idx="0">
                          <c:v>Oui</c:v>
                        </c:pt>
                        <c:pt idx="3">
                          <c:v>Non</c:v>
                        </c:pt>
                        <c:pt idx="6">
                          <c:v>Total </c:v>
                        </c:pt>
                      </c:lvl>
                    </c:multiLvlStrCache>
                  </c:multiLvlStrRef>
                </c:cat>
                <c:val>
                  <c:numRef>
                    <c:extLst xmlns:c15="http://schemas.microsoft.com/office/drawing/2012/chart">
                      <c:ext xmlns:c15="http://schemas.microsoft.com/office/drawing/2012/chart" uri="{02D57815-91ED-43cb-92C2-25804820EDAC}">
                        <c15:formulaRef>
                          <c15:sqref>'2'!$C$14:$K$14</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6294-46AE-8280-9F6287C91C11}"/>
                  </c:ext>
                </c:extLst>
              </c15:ser>
            </c15:filteredBarSeries>
          </c:ext>
        </c:extLst>
      </c:barChart>
      <c:catAx>
        <c:axId val="2139235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26272"/>
        <c:crosses val="autoZero"/>
        <c:auto val="1"/>
        <c:lblAlgn val="ctr"/>
        <c:lblOffset val="100"/>
        <c:noMultiLvlLbl val="0"/>
      </c:catAx>
      <c:valAx>
        <c:axId val="21392627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23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latin typeface="Times New Roman" panose="02020603050405020304" pitchFamily="18" charset="0"/>
                <a:cs typeface="Times New Roman" panose="02020603050405020304" pitchFamily="18" charset="0"/>
              </a:rPr>
              <a:t>Figure 8: relatif</a:t>
            </a:r>
            <a:r>
              <a:rPr lang="fr-FR" baseline="0">
                <a:latin typeface="Times New Roman" panose="02020603050405020304" pitchFamily="18" charset="0"/>
                <a:cs typeface="Times New Roman" panose="02020603050405020304" pitchFamily="18" charset="0"/>
              </a:rPr>
              <a:t> à la régulation lors du feeedback dans l'apprentissage de mathématiques.</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'3'!$B$11</c:f>
              <c:strCache>
                <c:ptCount val="1"/>
                <c:pt idx="0">
                  <c:v>Femmes</c:v>
                </c:pt>
              </c:strCache>
            </c:strRef>
          </c:tx>
          <c:spPr>
            <a:solidFill>
              <a:schemeClr val="accent2"/>
            </a:solidFill>
            <a:ln>
              <a:noFill/>
            </a:ln>
            <a:effectLst/>
          </c:spPr>
          <c:invertIfNegative val="0"/>
          <c:cat>
            <c:strRef>
              <c:f>'3'!$C$6:$N$9</c:f>
              <c:strCache>
                <c:ptCount val="12"/>
                <c:pt idx="0">
                  <c:v>    Immédiate </c:v>
                </c:pt>
                <c:pt idx="3">
                  <c:v>                 Différée </c:v>
                </c:pt>
                <c:pt idx="6">
                  <c:v>Option 3</c:v>
                </c:pt>
                <c:pt idx="9">
                  <c:v>Total</c:v>
                </c:pt>
              </c:strCache>
            </c:strRef>
          </c:cat>
          <c:val>
            <c:numRef>
              <c:f>'3'!$C$11:$N$11</c:f>
              <c:numCache>
                <c:formatCode>General</c:formatCode>
                <c:ptCount val="12"/>
                <c:pt idx="0">
                  <c:v>1</c:v>
                </c:pt>
                <c:pt idx="1">
                  <c:v>4</c:v>
                </c:pt>
                <c:pt idx="2">
                  <c:v>1</c:v>
                </c:pt>
                <c:pt idx="3">
                  <c:v>0</c:v>
                </c:pt>
                <c:pt idx="4">
                  <c:v>3</c:v>
                </c:pt>
                <c:pt idx="6">
                  <c:v>0</c:v>
                </c:pt>
                <c:pt idx="7">
                  <c:v>2</c:v>
                </c:pt>
                <c:pt idx="8">
                  <c:v>2</c:v>
                </c:pt>
                <c:pt idx="9">
                  <c:v>1</c:v>
                </c:pt>
                <c:pt idx="10">
                  <c:v>9</c:v>
                </c:pt>
                <c:pt idx="11">
                  <c:v>3</c:v>
                </c:pt>
              </c:numCache>
            </c:numRef>
          </c:val>
          <c:extLst>
            <c:ext xmlns:c16="http://schemas.microsoft.com/office/drawing/2014/chart" uri="{C3380CC4-5D6E-409C-BE32-E72D297353CC}">
              <c16:uniqueId val="{00000000-849B-40AC-9332-C7A9BDB9D2AD}"/>
            </c:ext>
          </c:extLst>
        </c:ser>
        <c:ser>
          <c:idx val="2"/>
          <c:order val="2"/>
          <c:tx>
            <c:strRef>
              <c:f>'3'!$B$12</c:f>
              <c:strCache>
                <c:ptCount val="1"/>
                <c:pt idx="0">
                  <c:v>Hommes</c:v>
                </c:pt>
              </c:strCache>
            </c:strRef>
          </c:tx>
          <c:spPr>
            <a:solidFill>
              <a:schemeClr val="accent3"/>
            </a:solidFill>
            <a:ln>
              <a:noFill/>
            </a:ln>
            <a:effectLst/>
          </c:spPr>
          <c:invertIfNegative val="0"/>
          <c:cat>
            <c:strRef>
              <c:f>'3'!$C$6:$N$9</c:f>
              <c:strCache>
                <c:ptCount val="12"/>
                <c:pt idx="0">
                  <c:v>    Immédiate </c:v>
                </c:pt>
                <c:pt idx="3">
                  <c:v>                 Différée </c:v>
                </c:pt>
                <c:pt idx="6">
                  <c:v>Option 3</c:v>
                </c:pt>
                <c:pt idx="9">
                  <c:v>Total</c:v>
                </c:pt>
              </c:strCache>
            </c:strRef>
          </c:cat>
          <c:val>
            <c:numRef>
              <c:f>'3'!$C$12:$N$12</c:f>
              <c:numCache>
                <c:formatCode>General</c:formatCode>
                <c:ptCount val="12"/>
                <c:pt idx="0">
                  <c:v>8</c:v>
                </c:pt>
                <c:pt idx="1">
                  <c:v>3</c:v>
                </c:pt>
                <c:pt idx="2">
                  <c:v>0</c:v>
                </c:pt>
                <c:pt idx="3">
                  <c:v>6</c:v>
                </c:pt>
                <c:pt idx="4">
                  <c:v>0</c:v>
                </c:pt>
                <c:pt idx="6">
                  <c:v>5</c:v>
                </c:pt>
                <c:pt idx="7">
                  <c:v>0</c:v>
                </c:pt>
                <c:pt idx="8">
                  <c:v>0</c:v>
                </c:pt>
                <c:pt idx="9">
                  <c:v>19</c:v>
                </c:pt>
                <c:pt idx="10">
                  <c:v>3</c:v>
                </c:pt>
                <c:pt idx="11">
                  <c:v>0</c:v>
                </c:pt>
              </c:numCache>
            </c:numRef>
          </c:val>
          <c:extLst>
            <c:ext xmlns:c16="http://schemas.microsoft.com/office/drawing/2014/chart" uri="{C3380CC4-5D6E-409C-BE32-E72D297353CC}">
              <c16:uniqueId val="{00000001-849B-40AC-9332-C7A9BDB9D2AD}"/>
            </c:ext>
          </c:extLst>
        </c:ser>
        <c:ser>
          <c:idx val="4"/>
          <c:order val="4"/>
          <c:tx>
            <c:strRef>
              <c:f>'3'!$B$14</c:f>
              <c:strCache>
                <c:ptCount val="1"/>
                <c:pt idx="0">
                  <c:v>Effectifs</c:v>
                </c:pt>
              </c:strCache>
            </c:strRef>
          </c:tx>
          <c:spPr>
            <a:solidFill>
              <a:schemeClr val="accent5"/>
            </a:solidFill>
            <a:ln>
              <a:noFill/>
            </a:ln>
            <a:effectLst/>
          </c:spPr>
          <c:invertIfNegative val="0"/>
          <c:cat>
            <c:strRef>
              <c:f>'3'!$C$6:$N$9</c:f>
              <c:strCache>
                <c:ptCount val="12"/>
                <c:pt idx="0">
                  <c:v>    Immédiate </c:v>
                </c:pt>
                <c:pt idx="3">
                  <c:v>                 Différée </c:v>
                </c:pt>
                <c:pt idx="6">
                  <c:v>Option 3</c:v>
                </c:pt>
                <c:pt idx="9">
                  <c:v>Total</c:v>
                </c:pt>
              </c:strCache>
            </c:strRef>
          </c:cat>
          <c:val>
            <c:numRef>
              <c:f>'3'!$C$14:$N$14</c:f>
              <c:numCache>
                <c:formatCode>General</c:formatCode>
                <c:ptCount val="12"/>
                <c:pt idx="0">
                  <c:v>9</c:v>
                </c:pt>
                <c:pt idx="1">
                  <c:v>7</c:v>
                </c:pt>
                <c:pt idx="2">
                  <c:v>1</c:v>
                </c:pt>
                <c:pt idx="3">
                  <c:v>6</c:v>
                </c:pt>
                <c:pt idx="4">
                  <c:v>3</c:v>
                </c:pt>
                <c:pt idx="6">
                  <c:v>5</c:v>
                </c:pt>
                <c:pt idx="7">
                  <c:v>2</c:v>
                </c:pt>
                <c:pt idx="8">
                  <c:v>2</c:v>
                </c:pt>
                <c:pt idx="9">
                  <c:v>20</c:v>
                </c:pt>
                <c:pt idx="10">
                  <c:v>12</c:v>
                </c:pt>
                <c:pt idx="11">
                  <c:v>3</c:v>
                </c:pt>
              </c:numCache>
            </c:numRef>
          </c:val>
          <c:extLst>
            <c:ext xmlns:c16="http://schemas.microsoft.com/office/drawing/2014/chart" uri="{C3380CC4-5D6E-409C-BE32-E72D297353CC}">
              <c16:uniqueId val="{00000002-849B-40AC-9332-C7A9BDB9D2AD}"/>
            </c:ext>
          </c:extLst>
        </c:ser>
        <c:ser>
          <c:idx val="5"/>
          <c:order val="5"/>
          <c:tx>
            <c:strRef>
              <c:f>'3'!$B$15</c:f>
              <c:strCache>
                <c:ptCount val="1"/>
                <c:pt idx="0">
                  <c:v>Total</c:v>
                </c:pt>
              </c:strCache>
            </c:strRef>
          </c:tx>
          <c:spPr>
            <a:solidFill>
              <a:schemeClr val="accent6"/>
            </a:solidFill>
            <a:ln>
              <a:noFill/>
            </a:ln>
            <a:effectLst/>
          </c:spPr>
          <c:invertIfNegative val="0"/>
          <c:cat>
            <c:strRef>
              <c:f>'3'!$C$6:$N$9</c:f>
              <c:strCache>
                <c:ptCount val="12"/>
                <c:pt idx="0">
                  <c:v>    Immédiate </c:v>
                </c:pt>
                <c:pt idx="3">
                  <c:v>                 Différée </c:v>
                </c:pt>
                <c:pt idx="6">
                  <c:v>Option 3</c:v>
                </c:pt>
                <c:pt idx="9">
                  <c:v>Total</c:v>
                </c:pt>
              </c:strCache>
            </c:strRef>
          </c:cat>
          <c:val>
            <c:numRef>
              <c:f>'3'!$C$15:$N$15</c:f>
              <c:numCache>
                <c:formatCode>General</c:formatCode>
                <c:ptCount val="12"/>
                <c:pt idx="0">
                  <c:v>17</c:v>
                </c:pt>
                <c:pt idx="3">
                  <c:v>9</c:v>
                </c:pt>
                <c:pt idx="6">
                  <c:v>9</c:v>
                </c:pt>
                <c:pt idx="9">
                  <c:v>35</c:v>
                </c:pt>
              </c:numCache>
            </c:numRef>
          </c:val>
          <c:extLst>
            <c:ext xmlns:c16="http://schemas.microsoft.com/office/drawing/2014/chart" uri="{C3380CC4-5D6E-409C-BE32-E72D297353CC}">
              <c16:uniqueId val="{00000003-849B-40AC-9332-C7A9BDB9D2AD}"/>
            </c:ext>
          </c:extLst>
        </c:ser>
        <c:dLbls>
          <c:showLegendKey val="0"/>
          <c:showVal val="0"/>
          <c:showCatName val="0"/>
          <c:showSerName val="0"/>
          <c:showPercent val="0"/>
          <c:showBubbleSize val="0"/>
        </c:dLbls>
        <c:gapWidth val="219"/>
        <c:overlap val="-27"/>
        <c:axId val="213926664"/>
        <c:axId val="213923920"/>
        <c:extLst>
          <c:ext xmlns:c15="http://schemas.microsoft.com/office/drawing/2012/chart" uri="{02D57815-91ED-43cb-92C2-25804820EDAC}">
            <c15:filteredBarSeries>
              <c15:ser>
                <c:idx val="0"/>
                <c:order val="0"/>
                <c:tx>
                  <c:strRef>
                    <c:extLst>
                      <c:ext uri="{02D57815-91ED-43cb-92C2-25804820EDAC}">
                        <c15:formulaRef>
                          <c15:sqref>'3'!$B$10</c15:sqref>
                        </c15:formulaRef>
                      </c:ext>
                    </c:extLst>
                    <c:strCache>
                      <c:ptCount val="1"/>
                    </c:strCache>
                  </c:strRef>
                </c:tx>
                <c:spPr>
                  <a:solidFill>
                    <a:schemeClr val="accent1"/>
                  </a:solidFill>
                  <a:ln>
                    <a:noFill/>
                  </a:ln>
                  <a:effectLst/>
                </c:spPr>
                <c:invertIfNegative val="0"/>
                <c:cat>
                  <c:strRef>
                    <c:extLst>
                      <c:ext uri="{02D57815-91ED-43cb-92C2-25804820EDAC}">
                        <c15:formulaRef>
                          <c15:sqref>'3'!$C$6:$N$9</c15:sqref>
                        </c15:formulaRef>
                      </c:ext>
                    </c:extLst>
                    <c:strCache>
                      <c:ptCount val="12"/>
                      <c:pt idx="0">
                        <c:v>    Immédiate </c:v>
                      </c:pt>
                      <c:pt idx="3">
                        <c:v>                 Différée </c:v>
                      </c:pt>
                      <c:pt idx="6">
                        <c:v>Option 3</c:v>
                      </c:pt>
                      <c:pt idx="9">
                        <c:v>Total</c:v>
                      </c:pt>
                    </c:strCache>
                  </c:strRef>
                </c:cat>
                <c:val>
                  <c:numRef>
                    <c:extLst>
                      <c:ext uri="{02D57815-91ED-43cb-92C2-25804820EDAC}">
                        <c15:formulaRef>
                          <c15:sqref>'3'!$C$10:$N$10</c15:sqref>
                        </c15:formulaRef>
                      </c:ext>
                    </c:extLst>
                    <c:numCache>
                      <c:formatCode>General</c:formatCode>
                      <c:ptCount val="12"/>
                    </c:numCache>
                  </c:numRef>
                </c:val>
                <c:extLst>
                  <c:ext xmlns:c16="http://schemas.microsoft.com/office/drawing/2014/chart" uri="{C3380CC4-5D6E-409C-BE32-E72D297353CC}">
                    <c16:uniqueId val="{00000004-849B-40AC-9332-C7A9BDB9D2A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'3'!$B$13</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'3'!$C$6:$N$9</c15:sqref>
                        </c15:formulaRef>
                      </c:ext>
                    </c:extLst>
                    <c:strCache>
                      <c:ptCount val="12"/>
                      <c:pt idx="0">
                        <c:v>    Immédiate </c:v>
                      </c:pt>
                      <c:pt idx="3">
                        <c:v>                 Différée </c:v>
                      </c:pt>
                      <c:pt idx="6">
                        <c:v>Option 3</c:v>
                      </c:pt>
                      <c:pt idx="9">
                        <c:v>Total</c:v>
                      </c:pt>
                    </c:strCache>
                  </c:strRef>
                </c:cat>
                <c:val>
                  <c:numRef>
                    <c:extLst xmlns:c15="http://schemas.microsoft.com/office/drawing/2012/chart">
                      <c:ext xmlns:c15="http://schemas.microsoft.com/office/drawing/2012/chart" uri="{02D57815-91ED-43cb-92C2-25804820EDAC}">
                        <c15:formulaRef>
                          <c15:sqref>'3'!$C$13:$N$13</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5-849B-40AC-9332-C7A9BDB9D2AD}"/>
                  </c:ext>
                </c:extLst>
              </c15:ser>
            </c15:filteredBarSeries>
          </c:ext>
        </c:extLst>
      </c:barChart>
      <c:catAx>
        <c:axId val="2139266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23920"/>
        <c:crosses val="autoZero"/>
        <c:auto val="1"/>
        <c:lblAlgn val="ctr"/>
        <c:lblOffset val="100"/>
        <c:noMultiLvlLbl val="0"/>
      </c:catAx>
      <c:valAx>
        <c:axId val="21392392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2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latin typeface="Times New Roman" panose="02020603050405020304" pitchFamily="18" charset="0"/>
                <a:cs typeface="Times New Roman" panose="02020603050405020304" pitchFamily="18" charset="0"/>
              </a:rPr>
              <a:t>Figure 9: concerne</a:t>
            </a:r>
            <a:r>
              <a:rPr lang="fr-FR" baseline="0">
                <a:latin typeface="Times New Roman" panose="02020603050405020304" pitchFamily="18" charset="0"/>
                <a:cs typeface="Times New Roman" panose="02020603050405020304" pitchFamily="18" charset="0"/>
              </a:rPr>
              <a:t> le choix d'évalutaion dans la régulation des apprentissages en mathématiques.</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'4'!$A$7</c:f>
              <c:strCache>
                <c:ptCount val="1"/>
              </c:strCache>
            </c:strRef>
          </c:tx>
          <c:spPr>
            <a:solidFill>
              <a:schemeClr val="accent1"/>
            </a:solidFill>
            <a:ln>
              <a:noFill/>
            </a:ln>
            <a:effectLst/>
          </c:spPr>
          <c:invertIfNegative val="0"/>
          <c:cat>
            <c:multiLvlStrRef>
              <c:f>'4'!$B$3:$P$6</c:f>
              <c:multiLvlStrCache>
                <c:ptCount val="15"/>
                <c:lvl>
                  <c:pt idx="0">
                    <c:v>P.P</c:v>
                  </c:pt>
                  <c:pt idx="1">
                    <c:v>P. T</c:v>
                  </c:pt>
                  <c:pt idx="2">
                    <c:v>P.S</c:v>
                  </c:pt>
                  <c:pt idx="3">
                    <c:v>P.P</c:v>
                  </c:pt>
                  <c:pt idx="4">
                    <c:v>P.T</c:v>
                  </c:pt>
                  <c:pt idx="5">
                    <c:v>P.S</c:v>
                  </c:pt>
                  <c:pt idx="6">
                    <c:v>P.P</c:v>
                  </c:pt>
                  <c:pt idx="7">
                    <c:v>P.T</c:v>
                  </c:pt>
                  <c:pt idx="8">
                    <c:v>P.S</c:v>
                  </c:pt>
                  <c:pt idx="9">
                    <c:v>P.P</c:v>
                  </c:pt>
                  <c:pt idx="10">
                    <c:v>P.T</c:v>
                  </c:pt>
                  <c:pt idx="11">
                    <c:v>P.S</c:v>
                  </c:pt>
                  <c:pt idx="12">
                    <c:v>P.P</c:v>
                  </c:pt>
                  <c:pt idx="13">
                    <c:v>P.T</c:v>
                  </c:pt>
                  <c:pt idx="14">
                    <c:v>P.S</c:v>
                  </c:pt>
                </c:lvl>
                <c:lvl>
                  <c:pt idx="0">
                    <c:v>Les consignes </c:v>
                  </c:pt>
                  <c:pt idx="3">
                    <c:v>Les alertes  </c:v>
                  </c:pt>
                  <c:pt idx="6">
                    <c:v>Les explications</c:v>
                  </c:pt>
                  <c:pt idx="9">
                    <c:v>Autre </c:v>
                  </c:pt>
                  <c:pt idx="12">
                    <c:v>Total </c:v>
                  </c:pt>
                </c:lvl>
              </c:multiLvlStrCache>
            </c:multiLvlStrRef>
          </c:cat>
          <c:val>
            <c:numRef>
              <c:f>'4'!$B$7:$P$7</c:f>
              <c:numCache>
                <c:formatCode>General</c:formatCode>
                <c:ptCount val="15"/>
              </c:numCache>
            </c:numRef>
          </c:val>
          <c:extLst>
            <c:ext xmlns:c16="http://schemas.microsoft.com/office/drawing/2014/chart" uri="{C3380CC4-5D6E-409C-BE32-E72D297353CC}">
              <c16:uniqueId val="{00000000-BB9C-4971-8391-D31E03A1EA4B}"/>
            </c:ext>
          </c:extLst>
        </c:ser>
        <c:ser>
          <c:idx val="1"/>
          <c:order val="1"/>
          <c:tx>
            <c:strRef>
              <c:f>'4'!$A$8</c:f>
              <c:strCache>
                <c:ptCount val="1"/>
                <c:pt idx="0">
                  <c:v>Femmes</c:v>
                </c:pt>
              </c:strCache>
            </c:strRef>
          </c:tx>
          <c:spPr>
            <a:solidFill>
              <a:schemeClr val="accent2"/>
            </a:solidFill>
            <a:ln>
              <a:noFill/>
            </a:ln>
            <a:effectLst/>
          </c:spPr>
          <c:invertIfNegative val="0"/>
          <c:cat>
            <c:multiLvlStrRef>
              <c:f>'4'!$B$3:$P$6</c:f>
              <c:multiLvlStrCache>
                <c:ptCount val="15"/>
                <c:lvl>
                  <c:pt idx="0">
                    <c:v>P.P</c:v>
                  </c:pt>
                  <c:pt idx="1">
                    <c:v>P. T</c:v>
                  </c:pt>
                  <c:pt idx="2">
                    <c:v>P.S</c:v>
                  </c:pt>
                  <c:pt idx="3">
                    <c:v>P.P</c:v>
                  </c:pt>
                  <c:pt idx="4">
                    <c:v>P.T</c:v>
                  </c:pt>
                  <c:pt idx="5">
                    <c:v>P.S</c:v>
                  </c:pt>
                  <c:pt idx="6">
                    <c:v>P.P</c:v>
                  </c:pt>
                  <c:pt idx="7">
                    <c:v>P.T</c:v>
                  </c:pt>
                  <c:pt idx="8">
                    <c:v>P.S</c:v>
                  </c:pt>
                  <c:pt idx="9">
                    <c:v>P.P</c:v>
                  </c:pt>
                  <c:pt idx="10">
                    <c:v>P.T</c:v>
                  </c:pt>
                  <c:pt idx="11">
                    <c:v>P.S</c:v>
                  </c:pt>
                  <c:pt idx="12">
                    <c:v>P.P</c:v>
                  </c:pt>
                  <c:pt idx="13">
                    <c:v>P.T</c:v>
                  </c:pt>
                  <c:pt idx="14">
                    <c:v>P.S</c:v>
                  </c:pt>
                </c:lvl>
                <c:lvl>
                  <c:pt idx="0">
                    <c:v>Les consignes </c:v>
                  </c:pt>
                  <c:pt idx="3">
                    <c:v>Les alertes  </c:v>
                  </c:pt>
                  <c:pt idx="6">
                    <c:v>Les explications</c:v>
                  </c:pt>
                  <c:pt idx="9">
                    <c:v>Autre </c:v>
                  </c:pt>
                  <c:pt idx="12">
                    <c:v>Total </c:v>
                  </c:pt>
                </c:lvl>
              </c:multiLvlStrCache>
            </c:multiLvlStrRef>
          </c:cat>
          <c:val>
            <c:numRef>
              <c:f>'4'!$B$8:$P$8</c:f>
              <c:numCache>
                <c:formatCode>General</c:formatCode>
                <c:ptCount val="15"/>
                <c:pt idx="0">
                  <c:v>1</c:v>
                </c:pt>
                <c:pt idx="1">
                  <c:v>4</c:v>
                </c:pt>
                <c:pt idx="2">
                  <c:v>1</c:v>
                </c:pt>
                <c:pt idx="3">
                  <c:v>0</c:v>
                </c:pt>
                <c:pt idx="4">
                  <c:v>0</c:v>
                </c:pt>
                <c:pt idx="5">
                  <c:v>0</c:v>
                </c:pt>
                <c:pt idx="6">
                  <c:v>0</c:v>
                </c:pt>
                <c:pt idx="7">
                  <c:v>5</c:v>
                </c:pt>
                <c:pt idx="8">
                  <c:v>2</c:v>
                </c:pt>
                <c:pt idx="12">
                  <c:v>1</c:v>
                </c:pt>
                <c:pt idx="13">
                  <c:v>9</c:v>
                </c:pt>
                <c:pt idx="14">
                  <c:v>3</c:v>
                </c:pt>
              </c:numCache>
            </c:numRef>
          </c:val>
          <c:extLst>
            <c:ext xmlns:c16="http://schemas.microsoft.com/office/drawing/2014/chart" uri="{C3380CC4-5D6E-409C-BE32-E72D297353CC}">
              <c16:uniqueId val="{00000001-BB9C-4971-8391-D31E03A1EA4B}"/>
            </c:ext>
          </c:extLst>
        </c:ser>
        <c:ser>
          <c:idx val="2"/>
          <c:order val="2"/>
          <c:tx>
            <c:strRef>
              <c:f>'4'!$A$9</c:f>
              <c:strCache>
                <c:ptCount val="1"/>
                <c:pt idx="0">
                  <c:v>Hommes</c:v>
                </c:pt>
              </c:strCache>
            </c:strRef>
          </c:tx>
          <c:spPr>
            <a:solidFill>
              <a:schemeClr val="accent3"/>
            </a:solidFill>
            <a:ln>
              <a:noFill/>
            </a:ln>
            <a:effectLst/>
          </c:spPr>
          <c:invertIfNegative val="0"/>
          <c:cat>
            <c:multiLvlStrRef>
              <c:f>'4'!$B$3:$P$6</c:f>
              <c:multiLvlStrCache>
                <c:ptCount val="15"/>
                <c:lvl>
                  <c:pt idx="0">
                    <c:v>P.P</c:v>
                  </c:pt>
                  <c:pt idx="1">
                    <c:v>P. T</c:v>
                  </c:pt>
                  <c:pt idx="2">
                    <c:v>P.S</c:v>
                  </c:pt>
                  <c:pt idx="3">
                    <c:v>P.P</c:v>
                  </c:pt>
                  <c:pt idx="4">
                    <c:v>P.T</c:v>
                  </c:pt>
                  <c:pt idx="5">
                    <c:v>P.S</c:v>
                  </c:pt>
                  <c:pt idx="6">
                    <c:v>P.P</c:v>
                  </c:pt>
                  <c:pt idx="7">
                    <c:v>P.T</c:v>
                  </c:pt>
                  <c:pt idx="8">
                    <c:v>P.S</c:v>
                  </c:pt>
                  <c:pt idx="9">
                    <c:v>P.P</c:v>
                  </c:pt>
                  <c:pt idx="10">
                    <c:v>P.T</c:v>
                  </c:pt>
                  <c:pt idx="11">
                    <c:v>P.S</c:v>
                  </c:pt>
                  <c:pt idx="12">
                    <c:v>P.P</c:v>
                  </c:pt>
                  <c:pt idx="13">
                    <c:v>P.T</c:v>
                  </c:pt>
                  <c:pt idx="14">
                    <c:v>P.S</c:v>
                  </c:pt>
                </c:lvl>
                <c:lvl>
                  <c:pt idx="0">
                    <c:v>Les consignes </c:v>
                  </c:pt>
                  <c:pt idx="3">
                    <c:v>Les alertes  </c:v>
                  </c:pt>
                  <c:pt idx="6">
                    <c:v>Les explications</c:v>
                  </c:pt>
                  <c:pt idx="9">
                    <c:v>Autre </c:v>
                  </c:pt>
                  <c:pt idx="12">
                    <c:v>Total </c:v>
                  </c:pt>
                </c:lvl>
              </c:multiLvlStrCache>
            </c:multiLvlStrRef>
          </c:cat>
          <c:val>
            <c:numRef>
              <c:f>'4'!$B$9:$P$9</c:f>
              <c:numCache>
                <c:formatCode>General</c:formatCode>
                <c:ptCount val="15"/>
                <c:pt idx="0">
                  <c:v>5</c:v>
                </c:pt>
                <c:pt idx="1">
                  <c:v>1</c:v>
                </c:pt>
                <c:pt idx="2">
                  <c:v>0</c:v>
                </c:pt>
                <c:pt idx="3">
                  <c:v>4</c:v>
                </c:pt>
                <c:pt idx="4">
                  <c:v>0</c:v>
                </c:pt>
                <c:pt idx="5">
                  <c:v>0</c:v>
                </c:pt>
                <c:pt idx="6">
                  <c:v>10</c:v>
                </c:pt>
                <c:pt idx="7">
                  <c:v>2</c:v>
                </c:pt>
                <c:pt idx="8">
                  <c:v>0</c:v>
                </c:pt>
                <c:pt idx="12">
                  <c:v>19</c:v>
                </c:pt>
                <c:pt idx="13">
                  <c:v>3</c:v>
                </c:pt>
                <c:pt idx="14">
                  <c:v>0</c:v>
                </c:pt>
              </c:numCache>
            </c:numRef>
          </c:val>
          <c:extLst>
            <c:ext xmlns:c16="http://schemas.microsoft.com/office/drawing/2014/chart" uri="{C3380CC4-5D6E-409C-BE32-E72D297353CC}">
              <c16:uniqueId val="{00000002-BB9C-4971-8391-D31E03A1EA4B}"/>
            </c:ext>
          </c:extLst>
        </c:ser>
        <c:ser>
          <c:idx val="3"/>
          <c:order val="3"/>
          <c:tx>
            <c:strRef>
              <c:f>'4'!$A$10</c:f>
              <c:strCache>
                <c:ptCount val="1"/>
              </c:strCache>
            </c:strRef>
          </c:tx>
          <c:spPr>
            <a:solidFill>
              <a:schemeClr val="accent4"/>
            </a:solidFill>
            <a:ln>
              <a:noFill/>
            </a:ln>
            <a:effectLst/>
          </c:spPr>
          <c:invertIfNegative val="0"/>
          <c:cat>
            <c:multiLvlStrRef>
              <c:f>'4'!$B$3:$P$6</c:f>
              <c:multiLvlStrCache>
                <c:ptCount val="15"/>
                <c:lvl>
                  <c:pt idx="0">
                    <c:v>P.P</c:v>
                  </c:pt>
                  <c:pt idx="1">
                    <c:v>P. T</c:v>
                  </c:pt>
                  <c:pt idx="2">
                    <c:v>P.S</c:v>
                  </c:pt>
                  <c:pt idx="3">
                    <c:v>P.P</c:v>
                  </c:pt>
                  <c:pt idx="4">
                    <c:v>P.T</c:v>
                  </c:pt>
                  <c:pt idx="5">
                    <c:v>P.S</c:v>
                  </c:pt>
                  <c:pt idx="6">
                    <c:v>P.P</c:v>
                  </c:pt>
                  <c:pt idx="7">
                    <c:v>P.T</c:v>
                  </c:pt>
                  <c:pt idx="8">
                    <c:v>P.S</c:v>
                  </c:pt>
                  <c:pt idx="9">
                    <c:v>P.P</c:v>
                  </c:pt>
                  <c:pt idx="10">
                    <c:v>P.T</c:v>
                  </c:pt>
                  <c:pt idx="11">
                    <c:v>P.S</c:v>
                  </c:pt>
                  <c:pt idx="12">
                    <c:v>P.P</c:v>
                  </c:pt>
                  <c:pt idx="13">
                    <c:v>P.T</c:v>
                  </c:pt>
                  <c:pt idx="14">
                    <c:v>P.S</c:v>
                  </c:pt>
                </c:lvl>
                <c:lvl>
                  <c:pt idx="0">
                    <c:v>Les consignes </c:v>
                  </c:pt>
                  <c:pt idx="3">
                    <c:v>Les alertes  </c:v>
                  </c:pt>
                  <c:pt idx="6">
                    <c:v>Les explications</c:v>
                  </c:pt>
                  <c:pt idx="9">
                    <c:v>Autre </c:v>
                  </c:pt>
                  <c:pt idx="12">
                    <c:v>Total </c:v>
                  </c:pt>
                </c:lvl>
              </c:multiLvlStrCache>
            </c:multiLvlStrRef>
          </c:cat>
          <c:val>
            <c:numRef>
              <c:f>'4'!$B$10:$P$10</c:f>
              <c:numCache>
                <c:formatCode>General</c:formatCode>
                <c:ptCount val="15"/>
              </c:numCache>
            </c:numRef>
          </c:val>
          <c:extLst>
            <c:ext xmlns:c16="http://schemas.microsoft.com/office/drawing/2014/chart" uri="{C3380CC4-5D6E-409C-BE32-E72D297353CC}">
              <c16:uniqueId val="{00000003-BB9C-4971-8391-D31E03A1EA4B}"/>
            </c:ext>
          </c:extLst>
        </c:ser>
        <c:ser>
          <c:idx val="4"/>
          <c:order val="4"/>
          <c:tx>
            <c:strRef>
              <c:f>'4'!$A$11</c:f>
              <c:strCache>
                <c:ptCount val="1"/>
                <c:pt idx="0">
                  <c:v>Effectifs</c:v>
                </c:pt>
              </c:strCache>
            </c:strRef>
          </c:tx>
          <c:spPr>
            <a:solidFill>
              <a:schemeClr val="accent5"/>
            </a:solidFill>
            <a:ln>
              <a:noFill/>
            </a:ln>
            <a:effectLst/>
          </c:spPr>
          <c:invertIfNegative val="0"/>
          <c:cat>
            <c:multiLvlStrRef>
              <c:f>'4'!$B$3:$P$6</c:f>
              <c:multiLvlStrCache>
                <c:ptCount val="15"/>
                <c:lvl>
                  <c:pt idx="0">
                    <c:v>P.P</c:v>
                  </c:pt>
                  <c:pt idx="1">
                    <c:v>P. T</c:v>
                  </c:pt>
                  <c:pt idx="2">
                    <c:v>P.S</c:v>
                  </c:pt>
                  <c:pt idx="3">
                    <c:v>P.P</c:v>
                  </c:pt>
                  <c:pt idx="4">
                    <c:v>P.T</c:v>
                  </c:pt>
                  <c:pt idx="5">
                    <c:v>P.S</c:v>
                  </c:pt>
                  <c:pt idx="6">
                    <c:v>P.P</c:v>
                  </c:pt>
                  <c:pt idx="7">
                    <c:v>P.T</c:v>
                  </c:pt>
                  <c:pt idx="8">
                    <c:v>P.S</c:v>
                  </c:pt>
                  <c:pt idx="9">
                    <c:v>P.P</c:v>
                  </c:pt>
                  <c:pt idx="10">
                    <c:v>P.T</c:v>
                  </c:pt>
                  <c:pt idx="11">
                    <c:v>P.S</c:v>
                  </c:pt>
                  <c:pt idx="12">
                    <c:v>P.P</c:v>
                  </c:pt>
                  <c:pt idx="13">
                    <c:v>P.T</c:v>
                  </c:pt>
                  <c:pt idx="14">
                    <c:v>P.S</c:v>
                  </c:pt>
                </c:lvl>
                <c:lvl>
                  <c:pt idx="0">
                    <c:v>Les consignes </c:v>
                  </c:pt>
                  <c:pt idx="3">
                    <c:v>Les alertes  </c:v>
                  </c:pt>
                  <c:pt idx="6">
                    <c:v>Les explications</c:v>
                  </c:pt>
                  <c:pt idx="9">
                    <c:v>Autre </c:v>
                  </c:pt>
                  <c:pt idx="12">
                    <c:v>Total </c:v>
                  </c:pt>
                </c:lvl>
              </c:multiLvlStrCache>
            </c:multiLvlStrRef>
          </c:cat>
          <c:val>
            <c:numRef>
              <c:f>'4'!$B$11:$P$11</c:f>
              <c:numCache>
                <c:formatCode>General</c:formatCode>
                <c:ptCount val="15"/>
                <c:pt idx="0">
                  <c:v>6</c:v>
                </c:pt>
                <c:pt idx="1">
                  <c:v>5</c:v>
                </c:pt>
                <c:pt idx="2">
                  <c:v>1</c:v>
                </c:pt>
                <c:pt idx="3">
                  <c:v>4</c:v>
                </c:pt>
                <c:pt idx="6">
                  <c:v>10</c:v>
                </c:pt>
                <c:pt idx="7">
                  <c:v>7</c:v>
                </c:pt>
                <c:pt idx="8">
                  <c:v>2</c:v>
                </c:pt>
                <c:pt idx="12">
                  <c:v>20</c:v>
                </c:pt>
                <c:pt idx="13">
                  <c:v>12</c:v>
                </c:pt>
                <c:pt idx="14">
                  <c:v>3</c:v>
                </c:pt>
              </c:numCache>
            </c:numRef>
          </c:val>
          <c:extLst>
            <c:ext xmlns:c16="http://schemas.microsoft.com/office/drawing/2014/chart" uri="{C3380CC4-5D6E-409C-BE32-E72D297353CC}">
              <c16:uniqueId val="{00000004-BB9C-4971-8391-D31E03A1EA4B}"/>
            </c:ext>
          </c:extLst>
        </c:ser>
        <c:ser>
          <c:idx val="5"/>
          <c:order val="5"/>
          <c:tx>
            <c:strRef>
              <c:f>'4'!$A$12</c:f>
              <c:strCache>
                <c:ptCount val="1"/>
                <c:pt idx="0">
                  <c:v>Total</c:v>
                </c:pt>
              </c:strCache>
            </c:strRef>
          </c:tx>
          <c:spPr>
            <a:solidFill>
              <a:schemeClr val="accent6"/>
            </a:solidFill>
            <a:ln>
              <a:noFill/>
            </a:ln>
            <a:effectLst/>
          </c:spPr>
          <c:invertIfNegative val="0"/>
          <c:cat>
            <c:multiLvlStrRef>
              <c:f>'4'!$B$3:$P$6</c:f>
              <c:multiLvlStrCache>
                <c:ptCount val="15"/>
                <c:lvl>
                  <c:pt idx="0">
                    <c:v>P.P</c:v>
                  </c:pt>
                  <c:pt idx="1">
                    <c:v>P. T</c:v>
                  </c:pt>
                  <c:pt idx="2">
                    <c:v>P.S</c:v>
                  </c:pt>
                  <c:pt idx="3">
                    <c:v>P.P</c:v>
                  </c:pt>
                  <c:pt idx="4">
                    <c:v>P.T</c:v>
                  </c:pt>
                  <c:pt idx="5">
                    <c:v>P.S</c:v>
                  </c:pt>
                  <c:pt idx="6">
                    <c:v>P.P</c:v>
                  </c:pt>
                  <c:pt idx="7">
                    <c:v>P.T</c:v>
                  </c:pt>
                  <c:pt idx="8">
                    <c:v>P.S</c:v>
                  </c:pt>
                  <c:pt idx="9">
                    <c:v>P.P</c:v>
                  </c:pt>
                  <c:pt idx="10">
                    <c:v>P.T</c:v>
                  </c:pt>
                  <c:pt idx="11">
                    <c:v>P.S</c:v>
                  </c:pt>
                  <c:pt idx="12">
                    <c:v>P.P</c:v>
                  </c:pt>
                  <c:pt idx="13">
                    <c:v>P.T</c:v>
                  </c:pt>
                  <c:pt idx="14">
                    <c:v>P.S</c:v>
                  </c:pt>
                </c:lvl>
                <c:lvl>
                  <c:pt idx="0">
                    <c:v>Les consignes </c:v>
                  </c:pt>
                  <c:pt idx="3">
                    <c:v>Les alertes  </c:v>
                  </c:pt>
                  <c:pt idx="6">
                    <c:v>Les explications</c:v>
                  </c:pt>
                  <c:pt idx="9">
                    <c:v>Autre </c:v>
                  </c:pt>
                  <c:pt idx="12">
                    <c:v>Total </c:v>
                  </c:pt>
                </c:lvl>
              </c:multiLvlStrCache>
            </c:multiLvlStrRef>
          </c:cat>
          <c:val>
            <c:numRef>
              <c:f>'4'!$B$12:$P$12</c:f>
              <c:numCache>
                <c:formatCode>General</c:formatCode>
                <c:ptCount val="15"/>
                <c:pt idx="0">
                  <c:v>12</c:v>
                </c:pt>
                <c:pt idx="3">
                  <c:v>4</c:v>
                </c:pt>
                <c:pt idx="6">
                  <c:v>19</c:v>
                </c:pt>
                <c:pt idx="9">
                  <c:v>0</c:v>
                </c:pt>
                <c:pt idx="12">
                  <c:v>35</c:v>
                </c:pt>
              </c:numCache>
            </c:numRef>
          </c:val>
          <c:extLst>
            <c:ext xmlns:c16="http://schemas.microsoft.com/office/drawing/2014/chart" uri="{C3380CC4-5D6E-409C-BE32-E72D297353CC}">
              <c16:uniqueId val="{00000005-BB9C-4971-8391-D31E03A1EA4B}"/>
            </c:ext>
          </c:extLst>
        </c:ser>
        <c:dLbls>
          <c:showLegendKey val="0"/>
          <c:showVal val="0"/>
          <c:showCatName val="0"/>
          <c:showSerName val="0"/>
          <c:showPercent val="0"/>
          <c:showBubbleSize val="0"/>
        </c:dLbls>
        <c:gapWidth val="219"/>
        <c:overlap val="-27"/>
        <c:axId val="213925096"/>
        <c:axId val="213925488"/>
      </c:barChart>
      <c:catAx>
        <c:axId val="2139250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25488"/>
        <c:crosses val="autoZero"/>
        <c:auto val="1"/>
        <c:lblAlgn val="ctr"/>
        <c:lblOffset val="100"/>
        <c:noMultiLvlLbl val="0"/>
      </c:catAx>
      <c:valAx>
        <c:axId val="2139254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92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round/>
      </a:ln>
    </cs:spPr>
  </cs:downBar>
  <cs:dropLine>
    <cs:lnRef idx="0"/>
    <cs:fillRef idx="0"/>
    <cs:effectRef idx="0"/>
    <cs:fontRef idx="minor">
      <a:schemeClr val="dk1"/>
    </cs:fontRef>
    <cs:spPr>
      <a:ln w="9525">
        <a:solidFill>
          <a:schemeClr val="dk1">
            <a:lumMod val="35000"/>
            <a:lumOff val="65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round/>
      </a:ln>
    </cs:spPr>
  </cs:hiLoLine>
  <cs:leaderLine>
    <cs:lnRef idx="0"/>
    <cs:fillRef idx="0"/>
    <cs:effectRef idx="0"/>
    <cs:fontRef idx="minor">
      <a:schemeClr val="dk1"/>
    </cs:fontRef>
    <cs:spPr>
      <a:ln w="9525">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round/>
      </a:ln>
    </cs:spPr>
  </cs:downBar>
  <cs:dropLine>
    <cs:lnRef idx="0"/>
    <cs:fillRef idx="0"/>
    <cs:effectRef idx="0"/>
    <cs:fontRef idx="minor">
      <a:schemeClr val="dk1"/>
    </cs:fontRef>
    <cs:spPr>
      <a:ln w="9525">
        <a:solidFill>
          <a:schemeClr val="dk1">
            <a:lumMod val="35000"/>
            <a:lumOff val="65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round/>
      </a:ln>
    </cs:spPr>
  </cs:hiLoLine>
  <cs:leaderLine>
    <cs:lnRef idx="0"/>
    <cs:fillRef idx="0"/>
    <cs:effectRef idx="0"/>
    <cs:fontRef idx="minor">
      <a:schemeClr val="dk1"/>
    </cs:fontRef>
    <cs:spPr>
      <a:ln w="9525">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369C9-BFB4-42AD-BAF7-F4A8E4E72E18}" type="doc">
      <dgm:prSet loTypeId="urn:microsoft.com/office/officeart/2005/8/layout/cycle7#1" loCatId="cycle" qsTypeId="urn:microsoft.com/office/officeart/2005/8/quickstyle/simple1" qsCatId="simple" csTypeId="urn:microsoft.com/office/officeart/2005/8/colors/accent0_1" csCatId="mainScheme" phldr="1"/>
      <dgm:spPr/>
      <dgm:t>
        <a:bodyPr/>
        <a:lstStyle/>
        <a:p>
          <a:endParaRPr lang="pt-PT"/>
        </a:p>
      </dgm:t>
    </dgm:pt>
    <dgm:pt modelId="{ABA50794-ED11-432E-AA1B-014045D43C5F}">
      <dgm:prSet phldrT="[Texto]" custT="1"/>
      <dgm:spPr/>
      <dgm:t>
        <a:bodyPr/>
        <a:lstStyle/>
        <a:p>
          <a:r>
            <a:rPr lang="pt-PT" sz="1000">
              <a:latin typeface="Times New Roman" pitchFamily="18" charset="0"/>
              <a:cs typeface="Times New Roman" pitchFamily="18" charset="0"/>
            </a:rPr>
            <a:t>Moment et  Lieu d'évaluation</a:t>
          </a:r>
        </a:p>
      </dgm:t>
    </dgm:pt>
    <dgm:pt modelId="{0161448D-5DD6-4090-9FB7-117FDF400F86}" type="parTrans" cxnId="{058A8BA0-7622-4BC9-B903-AD45DDE2B17B}">
      <dgm:prSet/>
      <dgm:spPr/>
      <dgm:t>
        <a:bodyPr/>
        <a:lstStyle/>
        <a:p>
          <a:endParaRPr lang="pt-PT"/>
        </a:p>
      </dgm:t>
    </dgm:pt>
    <dgm:pt modelId="{78710B96-FC3E-4DC2-A447-9D0FB675BD38}" type="sibTrans" cxnId="{058A8BA0-7622-4BC9-B903-AD45DDE2B17B}">
      <dgm:prSet/>
      <dgm:spPr/>
      <dgm:t>
        <a:bodyPr/>
        <a:lstStyle/>
        <a:p>
          <a:endParaRPr lang="pt-PT"/>
        </a:p>
      </dgm:t>
    </dgm:pt>
    <dgm:pt modelId="{06BC6B5D-43A4-49A6-8400-A12B53BE4B55}">
      <dgm:prSet phldrT="[Texto]" custT="1"/>
      <dgm:spPr/>
      <dgm:t>
        <a:bodyPr/>
        <a:lstStyle/>
        <a:p>
          <a:pPr algn="ctr"/>
          <a:r>
            <a:rPr lang="pt-PT" sz="1000">
              <a:latin typeface="Times New Roman" pitchFamily="18" charset="0"/>
              <a:cs typeface="Times New Roman" pitchFamily="18" charset="0"/>
            </a:rPr>
            <a:t>Objectifs et contenus d'évaluation</a:t>
          </a:r>
        </a:p>
      </dgm:t>
    </dgm:pt>
    <dgm:pt modelId="{28EC9EDA-CD30-4703-9EFB-FDA2DDBACC2D}" type="parTrans" cxnId="{52994C36-2A9E-45F3-9894-A244AA5DAE6D}">
      <dgm:prSet/>
      <dgm:spPr/>
      <dgm:t>
        <a:bodyPr/>
        <a:lstStyle/>
        <a:p>
          <a:endParaRPr lang="pt-PT"/>
        </a:p>
      </dgm:t>
    </dgm:pt>
    <dgm:pt modelId="{2D959752-3609-4D81-9603-2A5B9CE9005E}" type="sibTrans" cxnId="{52994C36-2A9E-45F3-9894-A244AA5DAE6D}">
      <dgm:prSet/>
      <dgm:spPr/>
      <dgm:t>
        <a:bodyPr/>
        <a:lstStyle/>
        <a:p>
          <a:endParaRPr lang="pt-PT"/>
        </a:p>
      </dgm:t>
    </dgm:pt>
    <dgm:pt modelId="{0F6348FA-F9EF-485A-B754-118E9F9413C0}">
      <dgm:prSet phldrT="[Texto]" custT="1"/>
      <dgm:spPr/>
      <dgm:t>
        <a:bodyPr/>
        <a:lstStyle/>
        <a:p>
          <a:r>
            <a:rPr lang="pt-PT" sz="1000">
              <a:latin typeface="Times New Roman" pitchFamily="18" charset="0"/>
              <a:cs typeface="Times New Roman" pitchFamily="18" charset="0"/>
            </a:rPr>
            <a:t>Types des questions</a:t>
          </a:r>
        </a:p>
      </dgm:t>
    </dgm:pt>
    <dgm:pt modelId="{09089A58-152C-4293-8875-8847C9C75217}" type="parTrans" cxnId="{483EB2D8-9FEA-4B58-8002-8ACDF0C6126B}">
      <dgm:prSet/>
      <dgm:spPr/>
      <dgm:t>
        <a:bodyPr/>
        <a:lstStyle/>
        <a:p>
          <a:endParaRPr lang="pt-PT"/>
        </a:p>
      </dgm:t>
    </dgm:pt>
    <dgm:pt modelId="{5AD3EDB5-5BA4-41E5-B26B-5B7DB1BB9C24}" type="sibTrans" cxnId="{483EB2D8-9FEA-4B58-8002-8ACDF0C6126B}">
      <dgm:prSet/>
      <dgm:spPr/>
      <dgm:t>
        <a:bodyPr/>
        <a:lstStyle/>
        <a:p>
          <a:endParaRPr lang="pt-PT"/>
        </a:p>
      </dgm:t>
    </dgm:pt>
    <dgm:pt modelId="{02CBE7A0-9E76-449C-81FE-ADA350962DB8}">
      <dgm:prSet phldrT="[Texto]" custT="1"/>
      <dgm:spPr/>
      <dgm:t>
        <a:bodyPr/>
        <a:lstStyle/>
        <a:p>
          <a:r>
            <a:rPr lang="pt-PT" sz="1000">
              <a:latin typeface="Times New Roman" pitchFamily="18" charset="0"/>
              <a:cs typeface="Times New Roman" pitchFamily="18" charset="0"/>
            </a:rPr>
            <a:t>Critères d'appréciation</a:t>
          </a:r>
        </a:p>
      </dgm:t>
    </dgm:pt>
    <dgm:pt modelId="{3A91D1A7-BD86-494A-86A2-219024B78BD1}" type="parTrans" cxnId="{A04EA02F-7C86-4320-ABCD-5119A2C40A39}">
      <dgm:prSet/>
      <dgm:spPr/>
      <dgm:t>
        <a:bodyPr/>
        <a:lstStyle/>
        <a:p>
          <a:endParaRPr lang="pt-PT"/>
        </a:p>
      </dgm:t>
    </dgm:pt>
    <dgm:pt modelId="{F0B8AE8F-61F4-45EF-9AA6-5835034D2A5B}" type="sibTrans" cxnId="{A04EA02F-7C86-4320-ABCD-5119A2C40A39}">
      <dgm:prSet/>
      <dgm:spPr/>
      <dgm:t>
        <a:bodyPr/>
        <a:lstStyle/>
        <a:p>
          <a:endParaRPr lang="pt-PT"/>
        </a:p>
      </dgm:t>
    </dgm:pt>
    <dgm:pt modelId="{2D85912E-8A32-49AA-9943-3EC3D64FE99B}">
      <dgm:prSet phldrT="[Texto]" custT="1"/>
      <dgm:spPr/>
      <dgm:t>
        <a:bodyPr/>
        <a:lstStyle/>
        <a:p>
          <a:r>
            <a:rPr lang="pt-PT" sz="1000">
              <a:latin typeface="Times New Roman" pitchFamily="18" charset="0"/>
              <a:cs typeface="Times New Roman" pitchFamily="18" charset="0"/>
            </a:rPr>
            <a:t>Temps alloué</a:t>
          </a:r>
        </a:p>
      </dgm:t>
    </dgm:pt>
    <dgm:pt modelId="{1F8A407D-9583-4B11-9EC4-EAEACE84229E}" type="parTrans" cxnId="{2B12075A-6BB3-4A59-ADE8-A109507D56CB}">
      <dgm:prSet/>
      <dgm:spPr/>
      <dgm:t>
        <a:bodyPr/>
        <a:lstStyle/>
        <a:p>
          <a:endParaRPr lang="pt-PT"/>
        </a:p>
      </dgm:t>
    </dgm:pt>
    <dgm:pt modelId="{6FF6CF78-9AF2-4150-98C2-6647CA706436}" type="sibTrans" cxnId="{2B12075A-6BB3-4A59-ADE8-A109507D56CB}">
      <dgm:prSet/>
      <dgm:spPr/>
      <dgm:t>
        <a:bodyPr/>
        <a:lstStyle/>
        <a:p>
          <a:endParaRPr lang="pt-PT"/>
        </a:p>
      </dgm:t>
    </dgm:pt>
    <dgm:pt modelId="{7EE319CB-76E2-4022-8BF2-DAB3015A9280}">
      <dgm:prSet phldrT="[Texto]" custT="1"/>
      <dgm:spPr/>
      <dgm:t>
        <a:bodyPr/>
        <a:lstStyle/>
        <a:p>
          <a:r>
            <a:rPr lang="pt-PT" sz="1000">
              <a:latin typeface="Times New Roman" pitchFamily="18" charset="0"/>
              <a:cs typeface="Times New Roman" pitchFamily="18" charset="0"/>
            </a:rPr>
            <a:t>Matériel nécessaire </a:t>
          </a:r>
        </a:p>
      </dgm:t>
    </dgm:pt>
    <dgm:pt modelId="{781BFF66-7DE3-4E26-8883-5B0421256572}" type="parTrans" cxnId="{84C382B0-4322-45D5-92C2-BEB174BC38D1}">
      <dgm:prSet/>
      <dgm:spPr/>
      <dgm:t>
        <a:bodyPr/>
        <a:lstStyle/>
        <a:p>
          <a:endParaRPr lang="pt-PT"/>
        </a:p>
      </dgm:t>
    </dgm:pt>
    <dgm:pt modelId="{46976849-FF5E-416B-B288-CEBA3F8BBE4A}" type="sibTrans" cxnId="{84C382B0-4322-45D5-92C2-BEB174BC38D1}">
      <dgm:prSet/>
      <dgm:spPr/>
      <dgm:t>
        <a:bodyPr/>
        <a:lstStyle/>
        <a:p>
          <a:endParaRPr lang="pt-PT"/>
        </a:p>
      </dgm:t>
    </dgm:pt>
    <dgm:pt modelId="{9C069CDF-63A6-459D-B1BB-3A682A59CC47}">
      <dgm:prSet phldrT="[Texto]" custT="1"/>
      <dgm:spPr/>
      <dgm:t>
        <a:bodyPr/>
        <a:lstStyle/>
        <a:p>
          <a:r>
            <a:rPr lang="pt-PT" sz="1000">
              <a:latin typeface="Times New Roman" pitchFamily="18" charset="0"/>
              <a:cs typeface="Times New Roman" pitchFamily="18" charset="0"/>
            </a:rPr>
            <a:t>Règlement d'évaluation</a:t>
          </a:r>
        </a:p>
      </dgm:t>
    </dgm:pt>
    <dgm:pt modelId="{8A1FC786-C4A6-45E2-85F3-A9B2454DB73C}" type="parTrans" cxnId="{F06E96C3-D5A1-4F17-98E2-C428E4537E6A}">
      <dgm:prSet/>
      <dgm:spPr/>
      <dgm:t>
        <a:bodyPr/>
        <a:lstStyle/>
        <a:p>
          <a:endParaRPr lang="pt-PT"/>
        </a:p>
      </dgm:t>
    </dgm:pt>
    <dgm:pt modelId="{BD5661BF-E349-4BFD-876A-96F06266AB2B}" type="sibTrans" cxnId="{F06E96C3-D5A1-4F17-98E2-C428E4537E6A}">
      <dgm:prSet/>
      <dgm:spPr/>
      <dgm:t>
        <a:bodyPr/>
        <a:lstStyle/>
        <a:p>
          <a:endParaRPr lang="pt-PT"/>
        </a:p>
      </dgm:t>
    </dgm:pt>
    <dgm:pt modelId="{362DC04E-8A24-4778-B729-188185E77373}" type="pres">
      <dgm:prSet presAssocID="{895369C9-BFB4-42AD-BAF7-F4A8E4E72E18}" presName="Name0" presStyleCnt="0">
        <dgm:presLayoutVars>
          <dgm:dir/>
          <dgm:resizeHandles val="exact"/>
        </dgm:presLayoutVars>
      </dgm:prSet>
      <dgm:spPr/>
    </dgm:pt>
    <dgm:pt modelId="{52F15B9E-D4CC-457A-A995-65C8C595C93D}" type="pres">
      <dgm:prSet presAssocID="{ABA50794-ED11-432E-AA1B-014045D43C5F}" presName="node" presStyleLbl="node1" presStyleIdx="0" presStyleCnt="7" custScaleX="137305">
        <dgm:presLayoutVars>
          <dgm:bulletEnabled val="1"/>
        </dgm:presLayoutVars>
      </dgm:prSet>
      <dgm:spPr/>
    </dgm:pt>
    <dgm:pt modelId="{12A274C1-A221-42CB-867F-628AB9CE37A8}" type="pres">
      <dgm:prSet presAssocID="{78710B96-FC3E-4DC2-A447-9D0FB675BD38}" presName="sibTrans" presStyleLbl="sibTrans2D1" presStyleIdx="0" presStyleCnt="7"/>
      <dgm:spPr/>
    </dgm:pt>
    <dgm:pt modelId="{ECC73A75-28F0-499A-AB26-74775C555B10}" type="pres">
      <dgm:prSet presAssocID="{78710B96-FC3E-4DC2-A447-9D0FB675BD38}" presName="connectorText" presStyleLbl="sibTrans2D1" presStyleIdx="0" presStyleCnt="7"/>
      <dgm:spPr/>
    </dgm:pt>
    <dgm:pt modelId="{CEC5C1A7-2D25-4E1F-96EA-A344AA57FD45}" type="pres">
      <dgm:prSet presAssocID="{06BC6B5D-43A4-49A6-8400-A12B53BE4B55}" presName="node" presStyleLbl="node1" presStyleIdx="1" presStyleCnt="7" custScaleX="133613" custScaleY="113922" custRadScaleRad="94851" custRadScaleInc="31460">
        <dgm:presLayoutVars>
          <dgm:bulletEnabled val="1"/>
        </dgm:presLayoutVars>
      </dgm:prSet>
      <dgm:spPr/>
    </dgm:pt>
    <dgm:pt modelId="{11C7DD4C-B909-4426-ADC7-7DAEFD927ED7}" type="pres">
      <dgm:prSet presAssocID="{2D959752-3609-4D81-9603-2A5B9CE9005E}" presName="sibTrans" presStyleLbl="sibTrans2D1" presStyleIdx="1" presStyleCnt="7"/>
      <dgm:spPr/>
    </dgm:pt>
    <dgm:pt modelId="{A7DD9351-BD9E-4886-BF15-00833EE99745}" type="pres">
      <dgm:prSet presAssocID="{2D959752-3609-4D81-9603-2A5B9CE9005E}" presName="connectorText" presStyleLbl="sibTrans2D1" presStyleIdx="1" presStyleCnt="7"/>
      <dgm:spPr/>
    </dgm:pt>
    <dgm:pt modelId="{A9065F79-B198-40A6-9C35-B1B9B72C593F}" type="pres">
      <dgm:prSet presAssocID="{0F6348FA-F9EF-485A-B754-118E9F9413C0}" presName="node" presStyleLbl="node1" presStyleIdx="2" presStyleCnt="7" custScaleX="126561" custRadScaleRad="108376" custRadScaleInc="-7298">
        <dgm:presLayoutVars>
          <dgm:bulletEnabled val="1"/>
        </dgm:presLayoutVars>
      </dgm:prSet>
      <dgm:spPr/>
    </dgm:pt>
    <dgm:pt modelId="{67F6CE78-825C-4690-B653-12FEF5634F3F}" type="pres">
      <dgm:prSet presAssocID="{5AD3EDB5-5BA4-41E5-B26B-5B7DB1BB9C24}" presName="sibTrans" presStyleLbl="sibTrans2D1" presStyleIdx="2" presStyleCnt="7"/>
      <dgm:spPr/>
    </dgm:pt>
    <dgm:pt modelId="{5A6CA1A8-E903-4425-B317-FDF294879CF5}" type="pres">
      <dgm:prSet presAssocID="{5AD3EDB5-5BA4-41E5-B26B-5B7DB1BB9C24}" presName="connectorText" presStyleLbl="sibTrans2D1" presStyleIdx="2" presStyleCnt="7"/>
      <dgm:spPr/>
    </dgm:pt>
    <dgm:pt modelId="{F2FB53AB-84E7-488D-92B9-AE8AE02A4DB5}" type="pres">
      <dgm:prSet presAssocID="{02CBE7A0-9E76-449C-81FE-ADA350962DB8}" presName="node" presStyleLbl="node1" presStyleIdx="3" presStyleCnt="7" custScaleX="132414" custRadScaleRad="105209" custRadScaleInc="-20253">
        <dgm:presLayoutVars>
          <dgm:bulletEnabled val="1"/>
        </dgm:presLayoutVars>
      </dgm:prSet>
      <dgm:spPr/>
    </dgm:pt>
    <dgm:pt modelId="{FE0B7B5E-26A9-411A-BF77-F381F63ECB87}" type="pres">
      <dgm:prSet presAssocID="{F0B8AE8F-61F4-45EF-9AA6-5835034D2A5B}" presName="sibTrans" presStyleLbl="sibTrans2D1" presStyleIdx="3" presStyleCnt="7"/>
      <dgm:spPr/>
    </dgm:pt>
    <dgm:pt modelId="{9E1B6E89-0DBE-4F5D-922E-F1E0FA6D0FAD}" type="pres">
      <dgm:prSet presAssocID="{F0B8AE8F-61F4-45EF-9AA6-5835034D2A5B}" presName="connectorText" presStyleLbl="sibTrans2D1" presStyleIdx="3" presStyleCnt="7"/>
      <dgm:spPr/>
    </dgm:pt>
    <dgm:pt modelId="{5384DC89-2F18-4C82-8B05-A8A53C911FAF}" type="pres">
      <dgm:prSet presAssocID="{2D85912E-8A32-49AA-9943-3EC3D64FE99B}" presName="node" presStyleLbl="node1" presStyleIdx="4" presStyleCnt="7" custScaleX="122093" custRadScaleRad="104179" custRadScaleInc="16522">
        <dgm:presLayoutVars>
          <dgm:bulletEnabled val="1"/>
        </dgm:presLayoutVars>
      </dgm:prSet>
      <dgm:spPr/>
    </dgm:pt>
    <dgm:pt modelId="{FD9030C4-94E4-466C-A3C0-0256326D3DDA}" type="pres">
      <dgm:prSet presAssocID="{6FF6CF78-9AF2-4150-98C2-6647CA706436}" presName="sibTrans" presStyleLbl="sibTrans2D1" presStyleIdx="4" presStyleCnt="7"/>
      <dgm:spPr/>
    </dgm:pt>
    <dgm:pt modelId="{375A38D6-4D4D-4788-8BEB-DF8C88494715}" type="pres">
      <dgm:prSet presAssocID="{6FF6CF78-9AF2-4150-98C2-6647CA706436}" presName="connectorText" presStyleLbl="sibTrans2D1" presStyleIdx="4" presStyleCnt="7"/>
      <dgm:spPr/>
    </dgm:pt>
    <dgm:pt modelId="{E9786233-8B25-423F-BB4F-02B015159F38}" type="pres">
      <dgm:prSet presAssocID="{7EE319CB-76E2-4022-8BF2-DAB3015A9280}" presName="node" presStyleLbl="node1" presStyleIdx="5" presStyleCnt="7" custScaleX="134720" custScaleY="111414" custRadScaleRad="108017" custRadScaleInc="14434">
        <dgm:presLayoutVars>
          <dgm:bulletEnabled val="1"/>
        </dgm:presLayoutVars>
      </dgm:prSet>
      <dgm:spPr/>
    </dgm:pt>
    <dgm:pt modelId="{A33C99F9-8FFA-4BAD-9B27-4536AEC35C91}" type="pres">
      <dgm:prSet presAssocID="{46976849-FF5E-416B-B288-CEBA3F8BBE4A}" presName="sibTrans" presStyleLbl="sibTrans2D1" presStyleIdx="5" presStyleCnt="7"/>
      <dgm:spPr/>
    </dgm:pt>
    <dgm:pt modelId="{B5644699-45B6-4CF6-8FB8-032944C9D33D}" type="pres">
      <dgm:prSet presAssocID="{46976849-FF5E-416B-B288-CEBA3F8BBE4A}" presName="connectorText" presStyleLbl="sibTrans2D1" presStyleIdx="5" presStyleCnt="7"/>
      <dgm:spPr/>
    </dgm:pt>
    <dgm:pt modelId="{8CCC0070-8798-4588-8DE8-4F63B0C7CC36}" type="pres">
      <dgm:prSet presAssocID="{9C069CDF-63A6-459D-B1BB-3A682A59CC47}" presName="node" presStyleLbl="node1" presStyleIdx="6" presStyleCnt="7" custScaleX="136820" custScaleY="121374" custRadScaleRad="91191" custRadScaleInc="-31961">
        <dgm:presLayoutVars>
          <dgm:bulletEnabled val="1"/>
        </dgm:presLayoutVars>
      </dgm:prSet>
      <dgm:spPr/>
    </dgm:pt>
    <dgm:pt modelId="{07730C8E-1BAD-4FD2-96E8-85CE7DE51DE8}" type="pres">
      <dgm:prSet presAssocID="{BD5661BF-E349-4BFD-876A-96F06266AB2B}" presName="sibTrans" presStyleLbl="sibTrans2D1" presStyleIdx="6" presStyleCnt="7"/>
      <dgm:spPr/>
    </dgm:pt>
    <dgm:pt modelId="{42A0805F-3E02-441C-A104-C9C7D093F4D1}" type="pres">
      <dgm:prSet presAssocID="{BD5661BF-E349-4BFD-876A-96F06266AB2B}" presName="connectorText" presStyleLbl="sibTrans2D1" presStyleIdx="6" presStyleCnt="7"/>
      <dgm:spPr/>
    </dgm:pt>
  </dgm:ptLst>
  <dgm:cxnLst>
    <dgm:cxn modelId="{0C348E06-A328-439F-BF3D-F594C3F42F26}" type="presOf" srcId="{9C069CDF-63A6-459D-B1BB-3A682A59CC47}" destId="{8CCC0070-8798-4588-8DE8-4F63B0C7CC36}" srcOrd="0" destOrd="0" presId="urn:microsoft.com/office/officeart/2005/8/layout/cycle7#1"/>
    <dgm:cxn modelId="{A04EA02F-7C86-4320-ABCD-5119A2C40A39}" srcId="{895369C9-BFB4-42AD-BAF7-F4A8E4E72E18}" destId="{02CBE7A0-9E76-449C-81FE-ADA350962DB8}" srcOrd="3" destOrd="0" parTransId="{3A91D1A7-BD86-494A-86A2-219024B78BD1}" sibTransId="{F0B8AE8F-61F4-45EF-9AA6-5835034D2A5B}"/>
    <dgm:cxn modelId="{04861136-C58B-4F7B-84DD-EBDA355A9177}" type="presOf" srcId="{6FF6CF78-9AF2-4150-98C2-6647CA706436}" destId="{375A38D6-4D4D-4788-8BEB-DF8C88494715}" srcOrd="1" destOrd="0" presId="urn:microsoft.com/office/officeart/2005/8/layout/cycle7#1"/>
    <dgm:cxn modelId="{52994C36-2A9E-45F3-9894-A244AA5DAE6D}" srcId="{895369C9-BFB4-42AD-BAF7-F4A8E4E72E18}" destId="{06BC6B5D-43A4-49A6-8400-A12B53BE4B55}" srcOrd="1" destOrd="0" parTransId="{28EC9EDA-CD30-4703-9EFB-FDA2DDBACC2D}" sibTransId="{2D959752-3609-4D81-9603-2A5B9CE9005E}"/>
    <dgm:cxn modelId="{7FCAAE40-0915-4FBD-94E0-9ACFDE89F78C}" type="presOf" srcId="{2D85912E-8A32-49AA-9943-3EC3D64FE99B}" destId="{5384DC89-2F18-4C82-8B05-A8A53C911FAF}" srcOrd="0" destOrd="0" presId="urn:microsoft.com/office/officeart/2005/8/layout/cycle7#1"/>
    <dgm:cxn modelId="{8D4FC245-373C-4BCE-B112-566183C4246F}" type="presOf" srcId="{F0B8AE8F-61F4-45EF-9AA6-5835034D2A5B}" destId="{9E1B6E89-0DBE-4F5D-922E-F1E0FA6D0FAD}" srcOrd="1" destOrd="0" presId="urn:microsoft.com/office/officeart/2005/8/layout/cycle7#1"/>
    <dgm:cxn modelId="{59AA644A-DA79-43D2-9A22-89152598EBA5}" type="presOf" srcId="{02CBE7A0-9E76-449C-81FE-ADA350962DB8}" destId="{F2FB53AB-84E7-488D-92B9-AE8AE02A4DB5}" srcOrd="0" destOrd="0" presId="urn:microsoft.com/office/officeart/2005/8/layout/cycle7#1"/>
    <dgm:cxn modelId="{FE63216D-219B-4D88-9456-DBDF83096BE6}" type="presOf" srcId="{46976849-FF5E-416B-B288-CEBA3F8BBE4A}" destId="{A33C99F9-8FFA-4BAD-9B27-4536AEC35C91}" srcOrd="0" destOrd="0" presId="urn:microsoft.com/office/officeart/2005/8/layout/cycle7#1"/>
    <dgm:cxn modelId="{B8FF2155-87E9-4963-90A2-C5DBE71489A6}" type="presOf" srcId="{ABA50794-ED11-432E-AA1B-014045D43C5F}" destId="{52F15B9E-D4CC-457A-A995-65C8C595C93D}" srcOrd="0" destOrd="0" presId="urn:microsoft.com/office/officeart/2005/8/layout/cycle7#1"/>
    <dgm:cxn modelId="{B4A6FA76-3A44-4844-B25C-6D1F5E71B721}" type="presOf" srcId="{6FF6CF78-9AF2-4150-98C2-6647CA706436}" destId="{FD9030C4-94E4-466C-A3C0-0256326D3DDA}" srcOrd="0" destOrd="0" presId="urn:microsoft.com/office/officeart/2005/8/layout/cycle7#1"/>
    <dgm:cxn modelId="{0C5CCC58-3E49-4ADA-8E14-658E23EAFCC6}" type="presOf" srcId="{F0B8AE8F-61F4-45EF-9AA6-5835034D2A5B}" destId="{FE0B7B5E-26A9-411A-BF77-F381F63ECB87}" srcOrd="0" destOrd="0" presId="urn:microsoft.com/office/officeart/2005/8/layout/cycle7#1"/>
    <dgm:cxn modelId="{2B12075A-6BB3-4A59-ADE8-A109507D56CB}" srcId="{895369C9-BFB4-42AD-BAF7-F4A8E4E72E18}" destId="{2D85912E-8A32-49AA-9943-3EC3D64FE99B}" srcOrd="4" destOrd="0" parTransId="{1F8A407D-9583-4B11-9EC4-EAEACE84229E}" sibTransId="{6FF6CF78-9AF2-4150-98C2-6647CA706436}"/>
    <dgm:cxn modelId="{C54EF37A-0ACA-48E1-B03B-81D816B82F6C}" type="presOf" srcId="{5AD3EDB5-5BA4-41E5-B26B-5B7DB1BB9C24}" destId="{67F6CE78-825C-4690-B653-12FEF5634F3F}" srcOrd="0" destOrd="0" presId="urn:microsoft.com/office/officeart/2005/8/layout/cycle7#1"/>
    <dgm:cxn modelId="{2C52E787-1C31-4332-8F01-0560C21288A5}" type="presOf" srcId="{BD5661BF-E349-4BFD-876A-96F06266AB2B}" destId="{07730C8E-1BAD-4FD2-96E8-85CE7DE51DE8}" srcOrd="0" destOrd="0" presId="urn:microsoft.com/office/officeart/2005/8/layout/cycle7#1"/>
    <dgm:cxn modelId="{6E00EE8F-329B-42EC-9FF3-A641D9FA0C9D}" type="presOf" srcId="{7EE319CB-76E2-4022-8BF2-DAB3015A9280}" destId="{E9786233-8B25-423F-BB4F-02B015159F38}" srcOrd="0" destOrd="0" presId="urn:microsoft.com/office/officeart/2005/8/layout/cycle7#1"/>
    <dgm:cxn modelId="{5D355591-039E-4B6C-8199-9C529553C6FF}" type="presOf" srcId="{46976849-FF5E-416B-B288-CEBA3F8BBE4A}" destId="{B5644699-45B6-4CF6-8FB8-032944C9D33D}" srcOrd="1" destOrd="0" presId="urn:microsoft.com/office/officeart/2005/8/layout/cycle7#1"/>
    <dgm:cxn modelId="{C6034B9B-503A-4890-A07C-176E7D677D9C}" type="presOf" srcId="{2D959752-3609-4D81-9603-2A5B9CE9005E}" destId="{11C7DD4C-B909-4426-ADC7-7DAEFD927ED7}" srcOrd="0" destOrd="0" presId="urn:microsoft.com/office/officeart/2005/8/layout/cycle7#1"/>
    <dgm:cxn modelId="{058A8BA0-7622-4BC9-B903-AD45DDE2B17B}" srcId="{895369C9-BFB4-42AD-BAF7-F4A8E4E72E18}" destId="{ABA50794-ED11-432E-AA1B-014045D43C5F}" srcOrd="0" destOrd="0" parTransId="{0161448D-5DD6-4090-9FB7-117FDF400F86}" sibTransId="{78710B96-FC3E-4DC2-A447-9D0FB675BD38}"/>
    <dgm:cxn modelId="{04F88AA5-100A-4168-89E4-E008F84512E3}" type="presOf" srcId="{78710B96-FC3E-4DC2-A447-9D0FB675BD38}" destId="{12A274C1-A221-42CB-867F-628AB9CE37A8}" srcOrd="0" destOrd="0" presId="urn:microsoft.com/office/officeart/2005/8/layout/cycle7#1"/>
    <dgm:cxn modelId="{2F3574A8-D6F9-43EF-9F99-9B0A4C95A345}" type="presOf" srcId="{2D959752-3609-4D81-9603-2A5B9CE9005E}" destId="{A7DD9351-BD9E-4886-BF15-00833EE99745}" srcOrd="1" destOrd="0" presId="urn:microsoft.com/office/officeart/2005/8/layout/cycle7#1"/>
    <dgm:cxn modelId="{314B04AD-7797-45CB-9D5A-A7FA40AD7D2E}" type="presOf" srcId="{0F6348FA-F9EF-485A-B754-118E9F9413C0}" destId="{A9065F79-B198-40A6-9C35-B1B9B72C593F}" srcOrd="0" destOrd="0" presId="urn:microsoft.com/office/officeart/2005/8/layout/cycle7#1"/>
    <dgm:cxn modelId="{84C382B0-4322-45D5-92C2-BEB174BC38D1}" srcId="{895369C9-BFB4-42AD-BAF7-F4A8E4E72E18}" destId="{7EE319CB-76E2-4022-8BF2-DAB3015A9280}" srcOrd="5" destOrd="0" parTransId="{781BFF66-7DE3-4E26-8883-5B0421256572}" sibTransId="{46976849-FF5E-416B-B288-CEBA3F8BBE4A}"/>
    <dgm:cxn modelId="{2E11A0BC-9944-4AF1-A5EB-B8682EFDF764}" type="presOf" srcId="{895369C9-BFB4-42AD-BAF7-F4A8E4E72E18}" destId="{362DC04E-8A24-4778-B729-188185E77373}" srcOrd="0" destOrd="0" presId="urn:microsoft.com/office/officeart/2005/8/layout/cycle7#1"/>
    <dgm:cxn modelId="{475F20BD-9BC5-49CE-A75F-2F19043A6706}" type="presOf" srcId="{5AD3EDB5-5BA4-41E5-B26B-5B7DB1BB9C24}" destId="{5A6CA1A8-E903-4425-B317-FDF294879CF5}" srcOrd="1" destOrd="0" presId="urn:microsoft.com/office/officeart/2005/8/layout/cycle7#1"/>
    <dgm:cxn modelId="{F06E96C3-D5A1-4F17-98E2-C428E4537E6A}" srcId="{895369C9-BFB4-42AD-BAF7-F4A8E4E72E18}" destId="{9C069CDF-63A6-459D-B1BB-3A682A59CC47}" srcOrd="6" destOrd="0" parTransId="{8A1FC786-C4A6-45E2-85F3-A9B2454DB73C}" sibTransId="{BD5661BF-E349-4BFD-876A-96F06266AB2B}"/>
    <dgm:cxn modelId="{483EB2D8-9FEA-4B58-8002-8ACDF0C6126B}" srcId="{895369C9-BFB4-42AD-BAF7-F4A8E4E72E18}" destId="{0F6348FA-F9EF-485A-B754-118E9F9413C0}" srcOrd="2" destOrd="0" parTransId="{09089A58-152C-4293-8875-8847C9C75217}" sibTransId="{5AD3EDB5-5BA4-41E5-B26B-5B7DB1BB9C24}"/>
    <dgm:cxn modelId="{DBCD6BE6-6C57-4A92-8D39-6EC48265747B}" type="presOf" srcId="{BD5661BF-E349-4BFD-876A-96F06266AB2B}" destId="{42A0805F-3E02-441C-A104-C9C7D093F4D1}" srcOrd="1" destOrd="0" presId="urn:microsoft.com/office/officeart/2005/8/layout/cycle7#1"/>
    <dgm:cxn modelId="{BC558EF5-A1DA-4E84-9E0C-976F1FB11796}" type="presOf" srcId="{78710B96-FC3E-4DC2-A447-9D0FB675BD38}" destId="{ECC73A75-28F0-499A-AB26-74775C555B10}" srcOrd="1" destOrd="0" presId="urn:microsoft.com/office/officeart/2005/8/layout/cycle7#1"/>
    <dgm:cxn modelId="{F8DFE7F9-FC41-4F6F-8E6D-A4DD36877E14}" type="presOf" srcId="{06BC6B5D-43A4-49A6-8400-A12B53BE4B55}" destId="{CEC5C1A7-2D25-4E1F-96EA-A344AA57FD45}" srcOrd="0" destOrd="0" presId="urn:microsoft.com/office/officeart/2005/8/layout/cycle7#1"/>
    <dgm:cxn modelId="{8EF887E5-70DC-488A-8D7F-2C64B3CA5FA5}" type="presParOf" srcId="{362DC04E-8A24-4778-B729-188185E77373}" destId="{52F15B9E-D4CC-457A-A995-65C8C595C93D}" srcOrd="0" destOrd="0" presId="urn:microsoft.com/office/officeart/2005/8/layout/cycle7#1"/>
    <dgm:cxn modelId="{A90EBD5A-C354-43D8-A2F1-16E69D1D4FEA}" type="presParOf" srcId="{362DC04E-8A24-4778-B729-188185E77373}" destId="{12A274C1-A221-42CB-867F-628AB9CE37A8}" srcOrd="1" destOrd="0" presId="urn:microsoft.com/office/officeart/2005/8/layout/cycle7#1"/>
    <dgm:cxn modelId="{5AC77556-4327-4187-8238-7DB1C6A1EE47}" type="presParOf" srcId="{12A274C1-A221-42CB-867F-628AB9CE37A8}" destId="{ECC73A75-28F0-499A-AB26-74775C555B10}" srcOrd="0" destOrd="0" presId="urn:microsoft.com/office/officeart/2005/8/layout/cycle7#1"/>
    <dgm:cxn modelId="{7E2E887B-8EEF-4477-A0DB-A344005B3FD4}" type="presParOf" srcId="{362DC04E-8A24-4778-B729-188185E77373}" destId="{CEC5C1A7-2D25-4E1F-96EA-A344AA57FD45}" srcOrd="2" destOrd="0" presId="urn:microsoft.com/office/officeart/2005/8/layout/cycle7#1"/>
    <dgm:cxn modelId="{29701090-E9BA-4058-A122-F52FBF6D9AB0}" type="presParOf" srcId="{362DC04E-8A24-4778-B729-188185E77373}" destId="{11C7DD4C-B909-4426-ADC7-7DAEFD927ED7}" srcOrd="3" destOrd="0" presId="urn:microsoft.com/office/officeart/2005/8/layout/cycle7#1"/>
    <dgm:cxn modelId="{7FADE62E-4095-4119-AB40-78CD3589F4D9}" type="presParOf" srcId="{11C7DD4C-B909-4426-ADC7-7DAEFD927ED7}" destId="{A7DD9351-BD9E-4886-BF15-00833EE99745}" srcOrd="0" destOrd="0" presId="urn:microsoft.com/office/officeart/2005/8/layout/cycle7#1"/>
    <dgm:cxn modelId="{FF1D0178-EBB1-41E8-940A-402D49438DEE}" type="presParOf" srcId="{362DC04E-8A24-4778-B729-188185E77373}" destId="{A9065F79-B198-40A6-9C35-B1B9B72C593F}" srcOrd="4" destOrd="0" presId="urn:microsoft.com/office/officeart/2005/8/layout/cycle7#1"/>
    <dgm:cxn modelId="{69A67991-AF71-46ED-8A1F-F32EA5F026EE}" type="presParOf" srcId="{362DC04E-8A24-4778-B729-188185E77373}" destId="{67F6CE78-825C-4690-B653-12FEF5634F3F}" srcOrd="5" destOrd="0" presId="urn:microsoft.com/office/officeart/2005/8/layout/cycle7#1"/>
    <dgm:cxn modelId="{8FD11E07-7C01-4D7B-AED5-B018C455189F}" type="presParOf" srcId="{67F6CE78-825C-4690-B653-12FEF5634F3F}" destId="{5A6CA1A8-E903-4425-B317-FDF294879CF5}" srcOrd="0" destOrd="0" presId="urn:microsoft.com/office/officeart/2005/8/layout/cycle7#1"/>
    <dgm:cxn modelId="{3F70E0DD-7660-4E65-8C7A-ECE02391DC75}" type="presParOf" srcId="{362DC04E-8A24-4778-B729-188185E77373}" destId="{F2FB53AB-84E7-488D-92B9-AE8AE02A4DB5}" srcOrd="6" destOrd="0" presId="urn:microsoft.com/office/officeart/2005/8/layout/cycle7#1"/>
    <dgm:cxn modelId="{5D1F6154-701D-4B1D-8675-800A612002F0}" type="presParOf" srcId="{362DC04E-8A24-4778-B729-188185E77373}" destId="{FE0B7B5E-26A9-411A-BF77-F381F63ECB87}" srcOrd="7" destOrd="0" presId="urn:microsoft.com/office/officeart/2005/8/layout/cycle7#1"/>
    <dgm:cxn modelId="{7FD136F5-7251-4AFC-B320-0D51C669FE45}" type="presParOf" srcId="{FE0B7B5E-26A9-411A-BF77-F381F63ECB87}" destId="{9E1B6E89-0DBE-4F5D-922E-F1E0FA6D0FAD}" srcOrd="0" destOrd="0" presId="urn:microsoft.com/office/officeart/2005/8/layout/cycle7#1"/>
    <dgm:cxn modelId="{7BC146C9-38EB-4C5B-B366-079ECC1D77E9}" type="presParOf" srcId="{362DC04E-8A24-4778-B729-188185E77373}" destId="{5384DC89-2F18-4C82-8B05-A8A53C911FAF}" srcOrd="8" destOrd="0" presId="urn:microsoft.com/office/officeart/2005/8/layout/cycle7#1"/>
    <dgm:cxn modelId="{ED2BF2F2-E4EC-401E-8D28-1E597DDB9E87}" type="presParOf" srcId="{362DC04E-8A24-4778-B729-188185E77373}" destId="{FD9030C4-94E4-466C-A3C0-0256326D3DDA}" srcOrd="9" destOrd="0" presId="urn:microsoft.com/office/officeart/2005/8/layout/cycle7#1"/>
    <dgm:cxn modelId="{FF7BF929-46CB-447A-95A0-815E1ABC53A0}" type="presParOf" srcId="{FD9030C4-94E4-466C-A3C0-0256326D3DDA}" destId="{375A38D6-4D4D-4788-8BEB-DF8C88494715}" srcOrd="0" destOrd="0" presId="urn:microsoft.com/office/officeart/2005/8/layout/cycle7#1"/>
    <dgm:cxn modelId="{6F81F19F-72C5-4ADE-AC76-1F4F5FFB12BB}" type="presParOf" srcId="{362DC04E-8A24-4778-B729-188185E77373}" destId="{E9786233-8B25-423F-BB4F-02B015159F38}" srcOrd="10" destOrd="0" presId="urn:microsoft.com/office/officeart/2005/8/layout/cycle7#1"/>
    <dgm:cxn modelId="{91F8EB5D-7F48-44F1-AE5B-8E69D6CB79EC}" type="presParOf" srcId="{362DC04E-8A24-4778-B729-188185E77373}" destId="{A33C99F9-8FFA-4BAD-9B27-4536AEC35C91}" srcOrd="11" destOrd="0" presId="urn:microsoft.com/office/officeart/2005/8/layout/cycle7#1"/>
    <dgm:cxn modelId="{BDCE707D-E3B7-46CD-BFA7-14B980AD8B8D}" type="presParOf" srcId="{A33C99F9-8FFA-4BAD-9B27-4536AEC35C91}" destId="{B5644699-45B6-4CF6-8FB8-032944C9D33D}" srcOrd="0" destOrd="0" presId="urn:microsoft.com/office/officeart/2005/8/layout/cycle7#1"/>
    <dgm:cxn modelId="{1E354D66-C170-44D6-9F0D-3CDA9E383C45}" type="presParOf" srcId="{362DC04E-8A24-4778-B729-188185E77373}" destId="{8CCC0070-8798-4588-8DE8-4F63B0C7CC36}" srcOrd="12" destOrd="0" presId="urn:microsoft.com/office/officeart/2005/8/layout/cycle7#1"/>
    <dgm:cxn modelId="{DFD21B7C-6B96-4679-8A41-2C8CF85AD43F}" type="presParOf" srcId="{362DC04E-8A24-4778-B729-188185E77373}" destId="{07730C8E-1BAD-4FD2-96E8-85CE7DE51DE8}" srcOrd="13" destOrd="0" presId="urn:microsoft.com/office/officeart/2005/8/layout/cycle7#1"/>
    <dgm:cxn modelId="{D8438892-BAA9-4C3D-8FF8-31A7CEDF129C}" type="presParOf" srcId="{07730C8E-1BAD-4FD2-96E8-85CE7DE51DE8}" destId="{42A0805F-3E02-441C-A104-C9C7D093F4D1}" srcOrd="0" destOrd="0" presId="urn:microsoft.com/office/officeart/2005/8/layout/cycle7#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15B9E-D4CC-457A-A995-65C8C595C93D}">
      <dsp:nvSpPr>
        <dsp:cNvPr id="0" name=""/>
        <dsp:cNvSpPr/>
      </dsp:nvSpPr>
      <dsp:spPr>
        <a:xfrm>
          <a:off x="2287693" y="2628"/>
          <a:ext cx="1478825" cy="5385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Moment et  Lieu d'évaluation</a:t>
          </a:r>
        </a:p>
      </dsp:txBody>
      <dsp:txXfrm>
        <a:off x="2303466" y="18401"/>
        <a:ext cx="1447279" cy="506972"/>
      </dsp:txXfrm>
    </dsp:sp>
    <dsp:sp modelId="{12A274C1-A221-42CB-867F-628AB9CE37A8}">
      <dsp:nvSpPr>
        <dsp:cNvPr id="0" name=""/>
        <dsp:cNvSpPr/>
      </dsp:nvSpPr>
      <dsp:spPr>
        <a:xfrm rot="1944320">
          <a:off x="3563302" y="726319"/>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a:off x="3619846" y="764015"/>
        <a:ext cx="543303" cy="113089"/>
      </dsp:txXfrm>
    </dsp:sp>
    <dsp:sp modelId="{CEC5C1A7-2D25-4E1F-96EA-A344AA57FD45}">
      <dsp:nvSpPr>
        <dsp:cNvPr id="0" name=""/>
        <dsp:cNvSpPr/>
      </dsp:nvSpPr>
      <dsp:spPr>
        <a:xfrm>
          <a:off x="4095416" y="1099973"/>
          <a:ext cx="1439060" cy="6134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Objectifs et contenus d'évaluation</a:t>
          </a:r>
        </a:p>
      </dsp:txBody>
      <dsp:txXfrm>
        <a:off x="4113385" y="1117942"/>
        <a:ext cx="1403122" cy="577552"/>
      </dsp:txXfrm>
    </dsp:sp>
    <dsp:sp modelId="{11C7DD4C-B909-4426-ADC7-7DAEFD927ED7}">
      <dsp:nvSpPr>
        <dsp:cNvPr id="0" name=""/>
        <dsp:cNvSpPr/>
      </dsp:nvSpPr>
      <dsp:spPr>
        <a:xfrm rot="4268270">
          <a:off x="4750041" y="2083146"/>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a:off x="4806585" y="2120842"/>
        <a:ext cx="543303" cy="113089"/>
      </dsp:txXfrm>
    </dsp:sp>
    <dsp:sp modelId="{A9065F79-B198-40A6-9C35-B1B9B72C593F}">
      <dsp:nvSpPr>
        <dsp:cNvPr id="0" name=""/>
        <dsp:cNvSpPr/>
      </dsp:nvSpPr>
      <dsp:spPr>
        <a:xfrm>
          <a:off x="4647166" y="2641309"/>
          <a:ext cx="1363108" cy="5385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Types des questions</a:t>
          </a:r>
        </a:p>
      </dsp:txBody>
      <dsp:txXfrm>
        <a:off x="4662939" y="2657082"/>
        <a:ext cx="1331562" cy="506972"/>
      </dsp:txXfrm>
    </dsp:sp>
    <dsp:sp modelId="{67F6CE78-825C-4690-B653-12FEF5634F3F}">
      <dsp:nvSpPr>
        <dsp:cNvPr id="0" name=""/>
        <dsp:cNvSpPr/>
      </dsp:nvSpPr>
      <dsp:spPr>
        <a:xfrm rot="7579942">
          <a:off x="4440958" y="3577183"/>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rot="10800000">
        <a:off x="4497502" y="3614879"/>
        <a:ext cx="543303" cy="113089"/>
      </dsp:txXfrm>
    </dsp:sp>
    <dsp:sp modelId="{F2FB53AB-84E7-488D-92B9-AE8AE02A4DB5}">
      <dsp:nvSpPr>
        <dsp:cNvPr id="0" name=""/>
        <dsp:cNvSpPr/>
      </dsp:nvSpPr>
      <dsp:spPr>
        <a:xfrm>
          <a:off x="3496513" y="4163021"/>
          <a:ext cx="1426147" cy="5385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Critères d'appréciation</a:t>
          </a:r>
        </a:p>
      </dsp:txBody>
      <dsp:txXfrm>
        <a:off x="3512286" y="4178794"/>
        <a:ext cx="1394601" cy="506972"/>
      </dsp:txXfrm>
    </dsp:sp>
    <dsp:sp modelId="{FE0B7B5E-26A9-411A-BF77-F381F63ECB87}">
      <dsp:nvSpPr>
        <dsp:cNvPr id="0" name=""/>
        <dsp:cNvSpPr/>
      </dsp:nvSpPr>
      <dsp:spPr>
        <a:xfrm rot="10800000">
          <a:off x="2693355" y="4338040"/>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rot="10800000">
        <a:off x="2749899" y="4375736"/>
        <a:ext cx="543303" cy="113089"/>
      </dsp:txXfrm>
    </dsp:sp>
    <dsp:sp modelId="{5384DC89-2F18-4C82-8B05-A8A53C911FAF}">
      <dsp:nvSpPr>
        <dsp:cNvPr id="0" name=""/>
        <dsp:cNvSpPr/>
      </dsp:nvSpPr>
      <dsp:spPr>
        <a:xfrm>
          <a:off x="1231602" y="4163021"/>
          <a:ext cx="1314986" cy="5385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Temps alloué</a:t>
          </a:r>
        </a:p>
      </dsp:txBody>
      <dsp:txXfrm>
        <a:off x="1247375" y="4178794"/>
        <a:ext cx="1283440" cy="506972"/>
      </dsp:txXfrm>
    </dsp:sp>
    <dsp:sp modelId="{FD9030C4-94E4-466C-A3C0-0256326D3DDA}">
      <dsp:nvSpPr>
        <dsp:cNvPr id="0" name=""/>
        <dsp:cNvSpPr/>
      </dsp:nvSpPr>
      <dsp:spPr>
        <a:xfrm rot="14036055">
          <a:off x="990289" y="3554554"/>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rot="10800000">
        <a:off x="1046833" y="3592250"/>
        <a:ext cx="543303" cy="113089"/>
      </dsp:txXfrm>
    </dsp:sp>
    <dsp:sp modelId="{E9786233-8B25-423F-BB4F-02B015159F38}">
      <dsp:nvSpPr>
        <dsp:cNvPr id="0" name=""/>
        <dsp:cNvSpPr/>
      </dsp:nvSpPr>
      <dsp:spPr>
        <a:xfrm>
          <a:off x="0" y="2534584"/>
          <a:ext cx="1450983" cy="59998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Matériel nécessaire </a:t>
          </a:r>
        </a:p>
      </dsp:txBody>
      <dsp:txXfrm>
        <a:off x="17573" y="2552157"/>
        <a:ext cx="1415837" cy="564838"/>
      </dsp:txXfrm>
    </dsp:sp>
    <dsp:sp modelId="{A33C99F9-8FFA-4BAD-9B27-4536AEC35C91}">
      <dsp:nvSpPr>
        <dsp:cNvPr id="0" name=""/>
        <dsp:cNvSpPr/>
      </dsp:nvSpPr>
      <dsp:spPr>
        <a:xfrm rot="17565823">
          <a:off x="681914" y="2062053"/>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a:off x="738458" y="2099749"/>
        <a:ext cx="543303" cy="113089"/>
      </dsp:txXfrm>
    </dsp:sp>
    <dsp:sp modelId="{8CCC0070-8798-4588-8DE8-4F63B0C7CC36}">
      <dsp:nvSpPr>
        <dsp:cNvPr id="0" name=""/>
        <dsp:cNvSpPr/>
      </dsp:nvSpPr>
      <dsp:spPr>
        <a:xfrm>
          <a:off x="569181" y="1124382"/>
          <a:ext cx="1473601" cy="6536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PT" sz="1000" kern="1200">
              <a:latin typeface="Times New Roman" pitchFamily="18" charset="0"/>
              <a:cs typeface="Times New Roman" pitchFamily="18" charset="0"/>
            </a:rPr>
            <a:t>Règlement d'évaluation</a:t>
          </a:r>
        </a:p>
      </dsp:txBody>
      <dsp:txXfrm>
        <a:off x="588325" y="1143526"/>
        <a:ext cx="1435313" cy="615333"/>
      </dsp:txXfrm>
    </dsp:sp>
    <dsp:sp modelId="{07730C8E-1BAD-4FD2-96E8-85CE7DE51DE8}">
      <dsp:nvSpPr>
        <dsp:cNvPr id="0" name=""/>
        <dsp:cNvSpPr/>
      </dsp:nvSpPr>
      <dsp:spPr>
        <a:xfrm rot="19534875">
          <a:off x="1880344" y="738523"/>
          <a:ext cx="656391" cy="18848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t-PT" sz="800" kern="1200"/>
        </a:p>
      </dsp:txBody>
      <dsp:txXfrm>
        <a:off x="1936888" y="776219"/>
        <a:ext cx="543303" cy="113089"/>
      </dsp:txXfrm>
    </dsp:sp>
  </dsp:spTree>
</dsp:drawing>
</file>

<file path=word/diagrams/layout1.xml><?xml version="1.0" encoding="utf-8"?>
<dgm:layoutDef xmlns:dgm="http://schemas.openxmlformats.org/drawingml/2006/diagram" xmlns:a="http://schemas.openxmlformats.org/drawingml/2006/main" uniqueId="urn:microsoft.com/office/officeart/2005/8/layout/cycle7#1">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panAng" val="360"/>
          <dgm:param type="stAng" val="0"/>
        </dgm:alg>
      </dgm:if>
      <dgm:else name="Name3">
        <dgm:alg type="cycle">
          <dgm:param type="spanAng" val="-360"/>
          <dgm:param type="stAng" val="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begSty" val="arr"/>
                    <dgm:param type="endPts" val="radial"/>
                    <dgm:param type="endSty" val="arr"/>
                  </dgm:alg>
                </dgm:if>
                <dgm:else name="Name8">
                  <dgm:alg type="conn">
                    <dgm:param type="begPts" val="auto"/>
                    <dgm:param type="begSty" val="arr"/>
                    <dgm:param type="endPts" val="auto"/>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Jar</b:Tag>
    <b:SourceType>JournalArticle</b:SourceType>
    <b:Guid>{6A75D9D3-17E8-4A7E-AB91-AEE5B4A6847C}</b:Guid>
    <b:Title>Corps et gestes professionnels de l'enseignant en contexte sensible</b:Title>
    <b:Author>
      <b:Author>
        <b:NameList>
          <b:Person>
            <b:Last>Jarro</b:Last>
            <b:First>Anne</b:First>
          </b:Person>
          <b:Person>
            <b:Last>Dangoulof</b:Last>
            <b:First>Natacha</b:First>
          </b:Person>
        </b:NameList>
      </b:Author>
    </b:Author>
    <b:JournalName>Recherche en éducation</b:JournalName>
    <b:Year>2018</b:Year>
    <b:RefOrder>1</b:RefOrder>
  </b:Source>
  <b:Source>
    <b:Tag>Buc09</b:Tag>
    <b:SourceType>ArticleInAPeriodical</b:SourceType>
    <b:Guid>{AA7DA7B7-E750-432A-A037-08B15608B935}</b:Guid>
    <b:Author>
      <b:Author>
        <b:NameList>
          <b:Person>
            <b:Last>Bucheton</b:Last>
            <b:First>Dominique</b:First>
          </b:Person>
          <b:Person>
            <b:Last>Soulé</b:Last>
            <b:First>Yves</b:First>
          </b:Person>
        </b:NameList>
      </b:Author>
    </b:Author>
    <b:Title>Les gestes professionnels et le jeu des podtures de l'enseignant dans la classe: un multi-agenda des préoccupations enchâssées</b:Title>
    <b:Year> 2009</b:Year>
    <b:Pages>29-48</b:Pages>
    <b:PeriodicalTitle>Éducation et didactique, vol 3 - n°3 </b:PeriodicalTitle>
    <b:Month>Octobre </b:Month>
    <b:RefOrder>2</b:RefOrder>
  </b:Source>
  <b:Source>
    <b:Tag>Sch051</b:Tag>
    <b:SourceType>ArticleInAPeriodical</b:SourceType>
    <b:Guid>{1F986A46-E485-43AD-A42E-1B37ECF55DBD}</b:Guid>
    <b:Author>
      <b:Author>
        <b:NameList>
          <b:Person>
            <b:Last>Schneuwly</b:Last>
            <b:First>Bernard</b:First>
          </b:Person>
          <b:Person>
            <b:Last>Cordeiro</b:Last>
            <b:First>Glaís</b:First>
            <b:Middle>Sales</b:Middle>
          </b:Person>
          <b:Person>
            <b:Last>Dolz</b:Last>
            <b:First>Joaquim</b:First>
          </b:Person>
        </b:NameList>
      </b:Author>
    </b:Author>
    <b:Title>A la recherche de l’objet enseigné : une démarche multifocale</b:Title>
    <b:PeriodicalTitle> Les dossiers des sciences de l'éducation, N°14</b:PeriodicalTitle>
    <b:Year>2005</b:Year>
    <b:Pages>77-93</b:Pages>
    <b:RefOrder>3</b:RefOrder>
  </b:Source>
  <b:Source>
    <b:Tag>Cur15</b:Tag>
    <b:SourceType>ArticleInAPeriodical</b:SourceType>
    <b:Guid>{A54C67B5-95A3-4F48-B54F-DE326FB25AB3}</b:Guid>
    <b:Author>
      <b:Author>
        <b:NameList>
          <b:Person>
            <b:Last>Curtet</b:Last>
            <b:First>Lydia</b:First>
          </b:Person>
          <b:Person>
            <b:Last>Périni</b:Last>
            <b:First>Dirk</b:First>
          </b:Person>
          <b:Person>
            <b:Last>Tissot</b:Last>
            <b:First>Sylvie</b:First>
          </b:Person>
        </b:NameList>
      </b:Author>
    </b:Author>
    <b:Title>Le questionnement: proposition d’un outil d’analyse d’une pratique ordinaire</b:Title>
    <b:PeriodicalTitle>Formation et pratiques d’enseignement en questions</b:PeriodicalTitle>
    <b:Year>2015 </b:Year>
    <b:Pages> 61-76</b:Pages>
    <b:RefOrder>4</b:RefOrder>
  </b:Source>
  <b:Source>
    <b:Tag>Sen00</b:Tag>
    <b:SourceType>ArticleInAPeriodical</b:SourceType>
    <b:Guid>{9E46DBD0-5BB7-4918-BA0F-1BEA0DEFE6A0}</b:Guid>
    <b:Author>
      <b:Author>
        <b:NameList>
          <b:Person>
            <b:Last>Sensevy</b:Last>
            <b:First>Gérard</b:First>
          </b:Person>
          <b:Person>
            <b:Last>Mercier</b:Last>
            <b:First>Alain</b:First>
          </b:Person>
          <b:Person>
            <b:Last>Schubauer-Leonie</b:Last>
            <b:First>Maria</b:First>
            <b:Middle>Luisa</b:Middle>
          </b:Person>
        </b:NameList>
      </b:Author>
    </b:Author>
    <b:Title>Vers un modèle de l'action didactique du professeur à propos de la course à 20</b:Title>
    <b:PeriodicalTitle>Recherche en didactique des mathématiques, vol. 20, n° 3</b:PeriodicalTitle>
    <b:Year>2000</b:Year>
    <b:Pages>263-304</b:Pages>
    <b:RefOrder>5</b:RefOrder>
  </b:Source>
  <b:Source>
    <b:Tag>Sen01</b:Tag>
    <b:SourceType>BookSection</b:SourceType>
    <b:Guid>{6838EA7B-9BFF-4647-BC49-2BF8AB70C8FC}</b:Guid>
    <b:Title>Théories de l’action et action du professeur</b:Title>
    <b:Year>2001, 2007</b:Year>
    <b:Pages>203 à 224</b:Pages>
    <b:Author>
      <b:Author>
        <b:NameList>
          <b:Person>
            <b:Last>Sensevy</b:Last>
            <b:First>Gérard</b:First>
          </b:Person>
        </b:NameList>
      </b:Author>
      <b:BookAuthor>
        <b:NameList>
          <b:Person>
            <b:Last>Baudouin</b:Last>
            <b:First>Jean-Michel</b:First>
          </b:Person>
          <b:Person>
            <b:Last>Friedrich</b:Last>
            <b:First>Janette</b:First>
          </b:Person>
        </b:NameList>
      </b:BookAuthor>
    </b:Author>
    <b:BookTitle>Théories de l'action et éducation</b:BookTitle>
    <b:City>Bruxelles</b:City>
    <b:Publisher>DE Boeck supérieur</b:Publisher>
    <b:RefOrder>6</b:RefOrder>
  </b:Source>
  <b:Source>
    <b:Tag>All88</b:Tag>
    <b:SourceType>BookSection</b:SourceType>
    <b:Guid>{59EED8BD-3659-4395-9152-E5D6AD767B50}</b:Guid>
    <b:Title>Vers un élargissement de la pédagogie de maîtrise : processus de régulation interaction, rétroactive et proactive</b:Title>
    <b:Year>1988</b:Year>
    <b:City>Neuchâtel</b:City>
    <b:Publisher>Delachaux et Niestlé</b:Publisher>
    <b:Author>
      <b:Author>
        <b:NameList>
          <b:Person>
            <b:Last>Allal</b:Last>
            <b:First>Linda</b:First>
          </b:Person>
        </b:NameList>
      </b:Author>
      <b:BookAuthor>
        <b:NameList>
          <b:Person>
            <b:Last>Huberman</b:Last>
            <b:First>Michael</b:First>
          </b:Person>
        </b:NameList>
      </b:BookAuthor>
    </b:Author>
    <b:BookTitle>Textes de base en pédagogie. Assurer la réussite des apprentissages scolaires? Les propositions de la pédagogie de maîtrise.</b:BookTitle>
    <b:Pages>90-126</b:Pages>
    <b:RefOrder>7</b:RefOrder>
  </b:Source>
  <b:Source>
    <b:Tag>Dur12</b:Tag>
    <b:SourceType>Book</b:SourceType>
    <b:Guid>{C0923E55-F2C3-493E-88C2-F41A44271775}</b:Guid>
    <b:Title>L'évaluation des apprentissages, de la planification de la démarche à la communication de résultats </b:Title>
    <b:Year>2012</b:Year>
    <b:City>Montréal (Québec)</b:City>
    <b:Publisher>Editions Marcel Didier </b:Publisher>
    <b:Author>
      <b:Author>
        <b:NameList>
          <b:Person>
            <b:Last>Durand</b:Last>
            <b:First>Micheline-Joanne</b:First>
          </b:Person>
          <b:Person>
            <b:Last>Chouinard</b:Last>
            <b:First>Roch</b:First>
          </b:Person>
        </b:NameList>
      </b:Author>
    </b:Author>
    <b:RefOrder>8</b:RefOrder>
  </b:Source>
  <b:Source>
    <b:Tag>Rod00</b:Tag>
    <b:SourceType>JournalArticle</b:SourceType>
    <b:Guid>{61EB7AC8-A4BF-43D6-B65A-8CA0193224DB}</b:Guid>
    <b:Title>La rétroaction, support d’apprentissage ?</b:Title>
    <b:Year>2000</b:Year>
    <b:Pages>44-74</b:Pages>
    <b:Author>
      <b:Author>
        <b:NameList>
          <b:Person>
            <b:Last>Rodet</b:Last>
            <b:First>Jacques</b:First>
          </b:Person>
        </b:NameList>
      </b:Author>
    </b:Author>
    <b:JournalName>Distances</b:JournalName>
    <b:RefOrder>9</b:RefOrder>
  </b:Source>
  <b:Source>
    <b:Tag>Cos10</b:Tag>
    <b:SourceType>BookSection</b:SourceType>
    <b:Guid>{D1D7F7A3-0DDB-4642-84D9-BFB7E49336E3}</b:Guid>
    <b:Title>L’apprentissage autorégulé : perspectives en formation d’adultes</b:Title>
    <b:Year>2010</b:Year>
    <b:City>Paris</b:City>
    <b:Publisher>L'Harmattan </b:Publisher>
    <b:Author>
      <b:Author>
        <b:NameList>
          <b:Person>
            <b:Last>Cosnefroy</b:Last>
            <b:First>Laurent</b:First>
          </b:Person>
        </b:NameList>
      </b:Author>
      <b:BookAuthor>
        <b:NameList>
          <b:Person>
            <b:Last>Perret</b:Last>
            <b:First>Cathy</b:First>
          </b:Person>
          <b:Person>
            <b:Last>Huard</b:Last>
            <b:First>Valérie</b:First>
          </b:Person>
          <b:Person>
            <b:Last>Demougeot-Lebel</b:Last>
            <b:First>Joëlle</b:First>
          </b:Person>
          <b:Person>
            <b:Last>Conjard</b:Last>
            <b:First>Patrick</b:First>
          </b:Person>
          <b:Person>
            <b:Last>Cosnefroy</b:Last>
            <b:First>Laurent</b:First>
          </b:Person>
        </b:NameList>
      </b:BookAuthor>
    </b:Author>
    <b:BookTitle>L’apprentissage autorégulé</b:BookTitle>
    <b:Pages>7-11</b:Pages>
    <b:RefOrder>10</b:RefOrder>
  </b:Source>
  <b:Source>
    <b:Tag>Bon15</b:Tag>
    <b:SourceType>Book</b:SourceType>
    <b:Guid>{83D96A4D-73FF-4BE2-8477-A7260DCC27F2}</b:Guid>
    <b:Title>Donner et recevoir du feedback</b:Title>
    <b:Year>2015</b:Year>
    <b:Author>
      <b:Author>
        <b:NameList>
          <b:Person>
            <b:Last>Bonckart</b:Last>
            <b:First>Véronique</b:First>
          </b:Person>
        </b:NameList>
      </b:Author>
    </b:Author>
    <b:City>Paris</b:City>
    <b:Publisher>50 minutes.fr</b:Publisher>
    <b:RefOrder>11</b:RefOrder>
  </b:Source>
  <b:Source>
    <b:Tag>Sai17</b:Tag>
    <b:SourceType>Book</b:SourceType>
    <b:Guid>{BC83B090-A39D-4BA3-846B-E53474C79795}</b:Guid>
    <b:Author>
      <b:Author>
        <b:NameList>
          <b:Person>
            <b:Last>Saint-Jean</b:Last>
            <b:First>Michèle</b:First>
          </b:Person>
          <b:Person>
            <b:Last>Lafranchise</b:Last>
            <b:First>Nathalie</b:First>
          </b:Person>
          <b:Person>
            <b:Last>Lepage</b:Last>
            <b:First>Chantale</b:First>
          </b:Person>
          <b:Person>
            <b:Last>Lafortune</b:Last>
            <b:First>Louise</b:First>
          </b:Person>
        </b:NameList>
      </b:Author>
    </b:Author>
    <b:Title>Regards croisés sur la rétroaction et le débriefing, Accompagner, former et professionnaliser</b:Title>
    <b:Year>2017</b:Year>
    <b:City> Québec</b:City>
    <b:Publisher>PUQ</b:Publisher>
    <b:RefOrder>12</b:RefOrder>
  </b:Source>
  <b:Source>
    <b:Tag>Leg88</b:Tag>
    <b:SourceType>Book</b:SourceType>
    <b:Guid>{6A65599B-344C-41F7-93D8-89E68BF8D44D}</b:Guid>
    <b:Author>
      <b:Author>
        <b:NameList>
          <b:Person>
            <b:Last>Legendre</b:Last>
            <b:First>Renald</b:First>
          </b:Person>
        </b:NameList>
      </b:Author>
    </b:Author>
    <b:Title>Dictionnaire actuel de l'éducation, 3e édition</b:Title>
    <b:Year>2005</b:Year>
    <b:City>Montréal</b:City>
    <b:Publisher>Guérin editions </b:Publisher>
    <b:RefOrder>13</b:RefOrder>
  </b:Source>
  <b:Source>
    <b:Tag>Ray14</b:Tag>
    <b:SourceType>Book</b:SourceType>
    <b:Guid>{564B40D3-B223-4A47-857F-F1F857E263B9}</b:Guid>
    <b:Title>Pédagogie, dictionnaire des concepts clés </b:Title>
    <b:Year>2014</b:Year>
    <b:Author>
      <b:Author>
        <b:NameList>
          <b:Person>
            <b:Last>Raynal</b:Last>
            <b:First>Françoise</b:First>
          </b:Person>
          <b:Person>
            <b:Last>Rieunier</b:Last>
            <b:First>Alain</b:First>
          </b:Person>
        </b:NameList>
      </b:Author>
    </b:Author>
    <b:City>Paris</b:City>
    <b:Publisher>ESF éditeur</b:Publisher>
    <b:RefOrder>14</b:RefOrder>
  </b:Source>
  <b:Source>
    <b:Tag>Arc17</b:Tag>
    <b:SourceType>Book</b:SourceType>
    <b:Guid>{6ACC8C2C-8C9E-432D-994B-37EE6164064B}</b:Guid>
    <b:Author>
      <b:Author>
        <b:NameList>
          <b:Person>
            <b:Last>Arcidiacono</b:Last>
            <b:First>Francesco  </b:First>
          </b:Person>
          <b:Person>
            <b:Last>Giglio</b:Last>
            <b:First>Marcelo </b:First>
          </b:Person>
        </b:NameList>
      </b:Author>
    </b:Author>
    <b:Title>Les interactions sociales en classe : réflexions et perspectives</b:Title>
    <b:Year>2017</b:Year>
    <b:City>Berne </b:City>
    <b:Publisher>Peter Lang</b:Publisher>
    <b:RefOrder>15</b:RefOrder>
  </b:Source>
  <b:Source>
    <b:Tag>Car17</b:Tag>
    <b:SourceType>Book</b:SourceType>
    <b:Guid>{F3897043-43D4-436A-9627-EED4C47F1A8C}</b:Guid>
    <b:Title>Soutien à l'apprentissage autorégulé en contexte scolaire, Perspectives francophones</b:Title>
    <b:Year>2017</b:Year>
    <b:Author>
      <b:Author>
        <b:NameList>
          <b:Person>
            <b:Last>Cartier</b:Last>
            <b:First>Sylvie</b:First>
            <b:Middle>C.</b:Middle>
          </b:Person>
          <b:Person>
            <b:Last>Mottier Lopez</b:Last>
            <b:First>Lucie</b:First>
          </b:Person>
        </b:NameList>
      </b:Author>
    </b:Author>
    <b:City>Québec</b:City>
    <b:Publisher>PUQ</b:Publisher>
    <b:RefOrder>16</b:RefOrder>
  </b:Source>
  <b:Source>
    <b:Tag>Fal16</b:Tag>
    <b:SourceType>Book</b:SourceType>
    <b:Guid>{DC8939D8-655C-4590-979F-EF1FF706BC26}</b:Guid>
    <b:Title>L'évaluation en classe de français, outil didactique et politique</b:Title>
    <b:Year>2016</b:Year>
    <b:City>Belgique</b:City>
    <b:Publisher>Presses universitaires de Nmur</b:Publisher>
    <b:Author>
      <b:Author>
        <b:NameList>
          <b:Person>
            <b:Last>Falardeau</b:Last>
            <b:First>Erick</b:First>
          </b:Person>
          <b:Person>
            <b:Last>Dolz</b:Last>
            <b:First>Joachim</b:First>
          </b:Person>
          <b:Person>
            <b:Last>Dumortier</b:Last>
            <b:First>Jean-Louis</b:First>
          </b:Person>
          <b:Person>
            <b:Last>Lefrançois</b:Last>
            <b:First>Pascale</b:First>
          </b:Person>
        </b:NameList>
      </b:Author>
    </b:Author>
    <b:RefOrder>17</b:RefOrder>
  </b:Source>
  <b:Source>
    <b:Tag>Vig15</b:Tag>
    <b:SourceType>JournalArticle</b:SourceType>
    <b:Guid>{6369DC71-286B-4E18-93A5-DA289A3D37BA}</b:Guid>
    <b:Author>
      <b:Author>
        <b:NameList>
          <b:Person>
            <b:Last>Vignes</b:Last>
            <b:First>Laurence</b:First>
          </b:Person>
        </b:NameList>
      </b:Author>
    </b:Author>
    <b:Title>Pour la beauté du geste : plaidoyer pour une didactique de la gestualité</b:Title>
    <b:JournalName>Synergies Europe n°10</b:JournalName>
    <b:Year>2015 </b:Year>
    <b:Pages>161-173</b:Pages>
    <b:RefOrder>18</b:RefOrder>
  </b:Source>
  <b:Source>
    <b:Tag>Ali10</b:Tag>
    <b:SourceType>JournalArticle</b:SourceType>
    <b:Guid>{1264F827-8A18-4F4B-AB19-90A55BE92D21}</b:Guid>
    <b:Author>
      <b:Author>
        <b:NameList>
          <b:Person>
            <b:Last>Alin</b:Last>
            <b:First>Christian</b:First>
          </b:Person>
        </b:NameList>
      </b:Author>
    </b:Author>
    <b:Title>Pour une approche anthropologique et sémiologique des pratiques professionnelles d'enseignement et de formation</b:Title>
    <b:JournalName>Actes du congrès de l’Actualité de la recherche en éducation et en formation (AREF)</b:JournalName>
    <b:Year>2010 </b:Year>
    <b:Pages>1-10</b:Pages>
    <b:RefOrder>19</b:RefOrder>
  </b:Source>
  <b:Source>
    <b:Tag>Don19</b:Tag>
    <b:SourceType>JournalArticle</b:SourceType>
    <b:Guid>{D554EC80-16C2-4B17-96CE-B5E435DFFE09}</b:Guid>
    <b:Title>L’effet des pratiques ostensives sur le rapport au savoir dans l’enseignement de la natation : deux études de cas</b:Title>
    <b:Year>2019</b:Year>
    <b:Author>
      <b:Author>
        <b:NameList>
          <b:Person>
            <b:Last>Donia</b:Last>
            <b:First>Sghaier</b:First>
          </b:Person>
          <b:Person>
            <b:Last>Hejer</b:Last>
            <b:First>Ben</b:First>
            <b:Middle>Jomâa</b:Middle>
          </b:Person>
          <b:Person>
            <b:Last>Mohamed</b:Last>
            <b:First>Mami,</b:First>
            <b:Middle>Georges, Kapazaï</b:Middle>
          </b:Person>
          <b:Person>
            <b:Last>Anissa</b:Last>
            <b:First>Bouassida</b:First>
          </b:Person>
        </b:NameList>
      </b:Author>
    </b:Author>
    <b:JournalName>eJRIEPS</b:JournalName>
    <b:Pages>http://journals.openedition.org/ejrieps/955</b:Pages>
    <b:RefOrder>20</b:RefOrder>
  </b:Source>
  <b:Source>
    <b:Tag>Ama02</b:Tag>
    <b:SourceType>ArticleInAPeriodical</b:SourceType>
    <b:Guid>{F9CEB2FE-9FF7-43D7-BAFA-6A4CFB39345F}</b:Guid>
    <b:Author>
      <b:Author>
        <b:NameList>
          <b:Person>
            <b:Last>Amade-Escot</b:Last>
            <b:First>Chantal</b:First>
          </b:Person>
          <b:Person>
            <b:Last>Verscheure</b:Last>
            <b:First>Ingrid</b:First>
          </b:Person>
          <b:Person>
            <b:Last>Devos</b:Last>
            <b:First>Odile</b:First>
          </b:Person>
        </b:NameList>
      </b:Author>
    </b:Author>
    <b:Title> “Milieu didactique” et “régulations” comme outils d’analyse de l’activité du professeur en éducation physique</b:Title>
    <b:PeriodicalTitle>Les dossiers des sciences de l'éducation, n°8</b:PeriodicalTitle>
    <b:Year>2002</b:Year>
    <b:Pages>87-97</b:Pages>
    <b:RefOrder>21</b:RefOrder>
  </b:Source>
  <b:Source>
    <b:Tag>Sch93</b:Tag>
    <b:SourceType>BookSection</b:SourceType>
    <b:Guid>{0F926493-C9FC-4AB8-A8EB-A179160CA81C}</b:Guid>
    <b:Title>Mécanismes de régulation des activités textuelles : stratégies d'intervention dans les séquences didactiques.</b:Title>
    <b:Year>1993</b:Year>
    <b:Pages>219-238</b:Pages>
    <b:Publisher>Delachaux et Niestlé</b:Publisher>
    <b:City> Neuchâtel </b:City>
    <b:BookTitle>Évaluation formative et didactique du français</b:BookTitle>
    <b:Author>
      <b:Author>
        <b:NameList>
          <b:Person>
            <b:Last>Schneuwly</b:Last>
            <b:First>Bernard</b:First>
          </b:Person>
          <b:Person>
            <b:Last>Bain</b:Last>
            <b:First>Daniel</b:First>
          </b:Person>
        </b:NameList>
      </b:Author>
      <b:BookAuthor>
        <b:NameList>
          <b:Person>
            <b:Last>L. Allal</b:Last>
            <b:First>D.</b:First>
            <b:Middle>Bain &amp; P. Perrenoud</b:Middle>
          </b:Person>
        </b:NameList>
      </b:BookAuthor>
    </b:Author>
    <b:RefOrder>22</b:RefOrder>
  </b:Source>
  <b:Source>
    <b:Tag>COR07</b:Tag>
    <b:SourceType>ArticleInAPeriodical</b:SourceType>
    <b:Guid>{AAF2C306-3E0D-4920-BAA6-C08109584BC5}</b:Guid>
    <b:Author>
      <b:Author>
        <b:NameList>
          <b:Person>
            <b:Last>Cordeiro Sales</b:Last>
            <b:First>Glais</b:First>
          </b:Person>
          <b:Person>
            <b:Last>Schneuwly</b:Last>
            <b:First>Bernard</b:First>
          </b:Person>
        </b:NameList>
      </b:Author>
    </b:Author>
    <b:Title>La construction de l'objet enseigné et les organisateurs du travail de l'enseignant</b:Title>
    <b:Year>2007</b:Year>
    <b:PeriodicalTitle>Recherche et formation, n° 56</b:PeriodicalTitle>
    <b:Pages>67-79</b:Pages>
    <b:RefOrder>23</b:RefOrder>
  </b:Source>
  <b:Source>
    <b:Tag>Yam17</b:Tag>
    <b:SourceType>Report</b:SourceType>
    <b:Guid>{86F527E2-4021-4E80-A955-E7A399921B79}</b:Guid>
    <b:Author>
      <b:Author>
        <b:NameList>
          <b:Person>
            <b:Last>Yaméogo</b:Last>
            <b:First>Alexandre</b:First>
          </b:Person>
        </b:NameList>
      </b:Author>
    </b:Author>
    <b:Title>La valorisation de la fonction enseignante par le profil de l’entrant et du sortant des écoles nationales des enseignants du primaire de niveau supérieur : diagnostic et perspective.</b:Title>
    <b:Year>2017</b:Year>
    <b:City>Koudougou-Burkina Faso</b:City>
    <b:Publisher>Mémoire de fin de formation à la fonction d’IEPD. </b:Publisher>
    <b:RefOrder>10</b:RefOrder>
  </b:Source>
  <b:Source>
    <b:Tag>Joh63</b:Tag>
    <b:SourceType>JournalArticle</b:SourceType>
    <b:Guid>{68D3ADFE-4334-4F36-8066-9D40283C68A7}</b:Guid>
    <b:Author>
      <b:Author>
        <b:NameList>
          <b:Person>
            <b:Last>Adams</b:Last>
            <b:First>John,</b:First>
            <b:Middle>Stacey</b:Middle>
          </b:Person>
        </b:NameList>
      </b:Author>
    </b:Author>
    <b:Title>Toward an understanding of inequity</b:Title>
    <b:JournalName>Journal of Abnormal and Social Psychology, 67(5)</b:JournalName>
    <b:Year>1963</b:Year>
    <b:Pages>422-436</b:Pages>
    <b:RefOrder>6</b:RefOrder>
  </b:Source>
  <b:Source>
    <b:Tag>Mar24</b:Tag>
    <b:SourceType>JournalArticle</b:SourceType>
    <b:Guid>{43BC262E-E375-4DDF-A607-7054206C5501}</b:Guid>
    <b:Author>
      <b:Author>
        <b:NameList>
          <b:Person>
            <b:Last>Marc</b:Last>
            <b:First>Holzer</b:First>
          </b:Person>
          <b:Person>
            <b:Last>Étienne</b:Last>
            <b:First>Charbonneau</b:First>
          </b:Person>
          <b:Person>
            <b:Last>Younhee</b:Last>
            <b:First>Kim</b:First>
          </b:Person>
        </b:NameList>
      </b:Author>
    </b:Author>
    <b:Title>La situation de l'amélioration de la qualité des services publics : Vingt-cinq années de tendances et de pratiques aux États-Unis</b:Title>
    <b:JournalName>Revue Internationale des Sciences Administratives. 3 vol. 90</b:JournalName>
    <b:Year>2024</b:Year>
    <b:Pages>443 à 460</b:Pages>
    <b:RefOrder>11</b:RefOrder>
  </b:Source>
  <b:Source>
    <b:Tag>Fra12</b:Tag>
    <b:SourceType>JournalArticle</b:SourceType>
    <b:Guid>{313DD819-D325-4EEB-9DD0-68341EEC4317}</b:Guid>
    <b:Author>
      <b:Author>
        <b:NameList>
          <b:Person>
            <b:Last>Owusu</b:Last>
            <b:First>Francis</b:First>
          </b:Person>
        </b:NameList>
      </b:Author>
    </b:Author>
    <b:Title>Organizational culture and public sector reforms in a post‐Washington consensus era: lessons from Ghana's good reformers</b:Title>
    <b:JournalName>Development Policy Review, volume 30, numéro 3</b:JournalName>
    <b:Year>2012</b:Year>
    <b:Pages>305-326</b:Pages>
    <b:RefOrder>3</b:RefOrder>
  </b:Source>
  <b:Source>
    <b:Tag>Ngw06</b:Tag>
    <b:SourceType>JournalArticle</b:SourceType>
    <b:Guid>{1606145F-99C7-451A-8217-85866F803731}</b:Guid>
    <b:Author>
      <b:Author>
        <b:NameList>
          <b:Person>
            <b:Last>Ngware</b:Last>
            <b:First>M.</b:First>
            <b:Middle>W.</b:Middle>
          </b:Person>
          <b:Person>
            <b:Last>Wamukuru</b:Last>
            <b:First>D.</b:First>
            <b:Middle>K.</b:Middle>
          </b:Person>
          <b:Person>
            <b:Last>Odebero</b:Last>
            <b:First>S.</b:First>
            <b:Middle>O.</b:Middle>
          </b:Person>
        </b:NameList>
      </b:Author>
    </b:Author>
    <b:Title>Total Quality Management in Secondary Schools in Kenya: Extent of Practice</b:Title>
    <b:JournalName>Quality Assurance in Education, 14(4)</b:JournalName>
    <b:Year>2006</b:Year>
    <b:Pages>339-362</b:Pages>
    <b:RefOrder>12</b:RefOrder>
  </b:Source>
  <b:Source>
    <b:Tag>BON24</b:Tag>
    <b:SourceType>Report</b:SourceType>
    <b:Guid>{1EA738B5-9CA4-4374-A42B-B052C0C3A52A}</b:Guid>
    <b:Author>
      <b:Author>
        <b:NameList>
          <b:Person>
            <b:Last>Bonkoungou</b:Last>
            <b:First>Martial</b:First>
          </b:Person>
        </b:NameList>
      </b:Author>
    </b:Author>
    <b:Title>Réformes institutionnelles au MENAPLN : implications sur les carrières, la motivation et l’efficacité des acteurs en détachement à l’INFPE</b:Title>
    <b:Year>2024</b:Year>
    <b:Publisher>Université Norbert ZONGO. Thèse de doctorat unique en psychologie des apprentissages et de l'éducation</b:Publisher>
    <b:City>Koudougou</b:City>
    <b:RefOrder>1</b:RefOrder>
  </b:Source>
  <b:Source>
    <b:Tag>Pré20</b:Tag>
    <b:SourceType>Report</b:SourceType>
    <b:Guid>{F08414E6-2693-4263-9761-990D75BCAA69}</b:Guid>
    <b:Author>
      <b:Author>
        <b:NameList>
          <b:Person>
            <b:Last>Présidence</b:Last>
            <b:First>du</b:First>
            <b:Middle>Faso</b:Middle>
          </b:Person>
        </b:NameList>
      </b:Author>
    </b:Author>
    <b:Title>Décret num 2020-0832/PRES/PM/MINEFID/MENAPLN portant création de l'INFPE</b:Title>
    <b:Year>2020</b:Year>
    <b:Publisher>Journal Officiel du Faso</b:Publisher>
    <b:City>Ouagadougou</b:City>
    <b:RefOrder>13</b:RefOrder>
  </b:Source>
  <b:Source>
    <b:Tag>Hal76</b:Tag>
    <b:SourceType>Book</b:SourceType>
    <b:Guid>{F4681AD9-6F82-4048-A39B-B21BB69D73AB}</b:Guid>
    <b:Author>
      <b:Author>
        <b:NameList>
          <b:Person>
            <b:Last>Douglas</b:Last>
            <b:First>T.,</b:First>
            <b:Middle>Hall</b:Middle>
          </b:Person>
        </b:NameList>
      </b:Author>
    </b:Author>
    <b:Title>Careers in Organizations</b:Title>
    <b:Year>1976</b:Year>
    <b:Publisher>oodyear Publishing</b:Publisher>
    <b:City>Californie</b:City>
    <b:RefOrder>4</b:RefOrder>
  </b:Source>
  <b:Source>
    <b:Tag>Oli03</b:Tag>
    <b:SourceType>Book</b:SourceType>
    <b:Guid>{F847FF62-EF1E-4341-AF53-82C1A8564862}</b:Guid>
    <b:Author>
      <b:Author>
        <b:NameList>
          <b:Person>
            <b:Last>Olivier de Sardan</b:Last>
            <b:First>J.-P.</b:First>
          </b:Person>
        </b:NameList>
      </b:Author>
    </b:Author>
    <b:Title>La rigueur du qualitatif : Les contraintes empiriques de l'interprétation socio-anthropologique</b:Title>
    <b:Year>2003</b:Year>
    <b:City>Louvain-la-Neuve</b:City>
    <b:Publisher>Academia-Bruylant</b:Publisher>
    <b:RefOrder>7</b:RefOrder>
  </b:Source>
  <b:Source>
    <b:Tag>Pre14</b:Tag>
    <b:SourceType>Report</b:SourceType>
    <b:Guid>{85B0007E-A5DF-449F-81EF-50C1EB176A5B}</b:Guid>
    <b:Title>Politique sectorielle de l'education au BF (PSE/BF)</b:Title>
    <b:Year>2014</b:Year>
    <b:Author>
      <b:Author>
        <b:NameList>
          <b:Person>
            <b:Last>Présidence du</b:Last>
            <b:First>Faso</b:First>
          </b:Person>
        </b:NameList>
      </b:Author>
    </b:Author>
    <b:Publisher>Journal officiel du Faso</b:Publisher>
    <b:City>Ouagadougou</b:City>
    <b:RefOrder>14</b:RefOrder>
  </b:Source>
  <b:Source>
    <b:Tag>MEN17</b:Tag>
    <b:SourceType>Report</b:SourceType>
    <b:Guid>{37A42AD0-342E-4963-8565-6194473DCF47}</b:Guid>
    <b:Author>
      <b:Author>
        <b:NameList>
          <b:Person>
            <b:Last>MENA</b:Last>
          </b:Person>
        </b:NameList>
      </b:Author>
    </b:Author>
    <b:Title>Arrêté ministériel n° 2017-0193/MENA/SG/DRH relatif aux conditions d'affectation dans l’Institut national de Formation des Personnels de l’Education (INFPE) ex écoles nationales des enseignants du primaire (ex-ENEP)</b:Title>
    <b:Year>2017</b:Year>
    <b:Publisher>INFPE</b:Publisher>
    <b:City>Ouagadougou</b:City>
    <b:RefOrder>2</b:RefOrder>
  </b:Source>
  <b:Source>
    <b:Tag>Ass08</b:Tag>
    <b:SourceType>Report</b:SourceType>
    <b:Guid>{55116B55-4E95-4E5B-A1D6-94601E52DDC9}</b:Guid>
    <b:Author>
      <b:Author>
        <b:NameList>
          <b:Person>
            <b:Last>AssembléeNationale</b:Last>
          </b:Person>
        </b:NameList>
      </b:Author>
    </b:Author>
    <b:Title>loi n°033-2008/AN du 22 mai 2008 portant régime juridique applicable aux emplois et aux agents des établissements publics de l’Etat</b:Title>
    <b:Year>2008</b:Year>
    <b:Publisher>Journal Officiel du Faso</b:Publisher>
    <b:City>Ouagadougou</b:City>
    <b:RefOrder>9</b:RefOrder>
  </b:Source>
  <b:Source>
    <b:Tag>MFP23</b:Tag>
    <b:SourceType>Report</b:SourceType>
    <b:Guid>{6289F795-6427-4CAC-B8F7-E69CE471E80F}</b:Guid>
    <b:Author>
      <b:Author>
        <b:NameList>
          <b:Person>
            <b:Last>MFPTPS/MENAPLN/MEFP</b:Last>
          </b:Person>
        </b:NameList>
      </b:Author>
    </b:Author>
    <b:Title>Arrêté conjoint N°2023-xxxx/MFPTPS/MENAPLN/MEFP portant organisation des emplois permanents de l’Institut national de Formation des Personnels de l’Education</b:Title>
    <b:Year>2023</b:Year>
    <b:Publisher>Journal Officiel du Faso</b:Publisher>
    <b:City>Ouagadougou</b:City>
    <b:RefOrder>8</b:RefOrder>
  </b:Source>
  <b:Source>
    <b:Tag>Sch78</b:Tag>
    <b:SourceType>JournalArticle</b:SourceType>
    <b:Guid>{1C98FA43-8976-49F5-924A-12EFE7556234}</b:Guid>
    <b:Author>
      <b:Author>
        <b:NameList>
          <b:Person>
            <b:Last>Schein</b:Last>
            <b:First>Edgar</b:First>
            <b:Middle>H.</b:Middle>
          </b:Person>
        </b:NameList>
      </b:Author>
    </b:Author>
    <b:Title>Career dynamics: Matching individual and organizational needs</b:Title>
    <b:Year>1978</b:Year>
    <b:JournalName>Addison-Wesley</b:JournalName>
    <b:RefOrder>5</b:RefOrder>
  </b:Source>
  <b:Source>
    <b:Tag>Her59</b:Tag>
    <b:SourceType>Report</b:SourceType>
    <b:Guid>{6005F37F-DFA0-4727-98EC-82F20D4DBC9C}</b:Guid>
    <b:Author>
      <b:Author>
        <b:NameList>
          <b:Person>
            <b:Last>Herzberg</b:Last>
            <b:First>F.</b:First>
          </b:Person>
          <b:Person>
            <b:Last>Mausner</b:Last>
            <b:First>B.</b:First>
          </b:Person>
          <b:Person>
            <b:Last>Snyderman</b:Last>
            <b:First>B.</b:First>
            <b:Middle>B.</b:Middle>
          </b:Person>
        </b:NameList>
      </b:Author>
    </b:Author>
    <b:Title> The Motivation to Work (2nd ed.). </b:Title>
    <b:Year>1959</b:Year>
    <b:Publisher>John Wiley &amp; Sons</b:Publisher>
    <b:City>New York</b:City>
    <b:RefOrder>15</b:RefOrder>
  </b:Source>
  <b:Source>
    <b:Tag>Dec85</b:Tag>
    <b:SourceType>Report</b:SourceType>
    <b:Guid>{E755DED3-F507-417E-A148-55CFC5E43B0D}</b:Guid>
    <b:Author>
      <b:Author>
        <b:NameList>
          <b:Person>
            <b:Last>Deci</b:Last>
            <b:First>E.</b:First>
            <b:Middle>L.</b:Middle>
          </b:Person>
          <b:Person>
            <b:Last>Ryan</b:Last>
            <b:First>R.</b:First>
            <b:Middle>M.</b:Middle>
          </b:Person>
        </b:NameList>
      </b:Author>
    </b:Author>
    <b:Title> Intrinsic Motivation and Self-Determination in Human Behavior. </b:Title>
    <b:Year>1985</b:Year>
    <b:Publisher>Springer</b:Publisher>
    <b:City>New York</b:City>
    <b:RefOrder>16</b:RefOrder>
  </b:Source>
  <b:Source>
    <b:Tag>Dia20</b:Tag>
    <b:SourceType>Report</b:SourceType>
    <b:Guid>{2A356241-88B1-442C-B804-5AC6D1009F55}</b:Guid>
    <b:Author>
      <b:Author>
        <b:NameList>
          <b:Person>
            <b:Last>Diagouraga</b:Last>
            <b:First>Y.</b:First>
          </b:Person>
          <b:Person>
            <b:Last>Ballo</b:Last>
            <b:First>I.</b:First>
          </b:Person>
          <b:Person>
            <b:Last>Diabaté</b:Last>
            <b:First>A.</b:First>
          </b:Person>
        </b:NameList>
      </b:Author>
    </b:Author>
    <b:Title>Gestion des carrières des agents de la fonction publique de l’État au Mali</b:Title>
    <b:Year>2020</b:Year>
    <b:Publisher>Revue Malienne de Gestion, 15(2), 45-60</b:Publisher>
    <b:City>Bamako</b:City>
    <b:RefOrder>17</b:RefOrder>
  </b:Source>
  <b:Source>
    <b:Tag>Kab19</b:Tag>
    <b:SourceType>Report</b:SourceType>
    <b:Guid>{534299CA-4891-4655-8603-A1FD4125E6FC}</b:Guid>
    <b:Author>
      <b:Author>
        <b:NameList>
          <b:Person>
            <b:Last>Kabasele Dyckoba</b:Last>
            <b:First>J.</b:First>
            <b:Middle>R.</b:Middle>
          </b:Person>
        </b:NameList>
      </b:Author>
    </b:Author>
    <b:Title>La mobilité professionnelle interne dans une institution publique : cas des affectations du personnel de la santé et hygiène publique. </b:Title>
    <b:Year> 2019</b:Year>
    <b:Publisher>Revue Congolaise d'Administration Publique, 8(1), 112-130 </b:Publisher>
    <b:City>Kinshasha</b:City>
    <b:RefOrder>18</b:RefOrder>
  </b:Source>
  <b:Source>
    <b:Tag>Bal08</b:Tag>
    <b:SourceType>Book</b:SourceType>
    <b:Guid>{6642D029-74D6-45BA-B605-2DF888749164}</b:Guid>
    <b:Title>The Education Debate</b:Title>
    <b:Year>2008</b:Year>
    <b:Publisher>Policy Press</b:Publisher>
    <b:City>Bristol</b:City>
    <b:Author>
      <b:Author>
        <b:NameList>
          <b:Person>
            <b:Last>Ball</b:Last>
            <b:First>S.</b:First>
            <b:Middle>J.</b:Middle>
          </b:Person>
        </b:NameList>
      </b:Author>
    </b:Author>
    <b:RefOrder>19</b:RefOrder>
  </b:Source>
  <b:Source>
    <b:Tag>Cen211</b:Tag>
    <b:SourceType>Report</b:SourceType>
    <b:Guid>{3A03A8DA-6EB3-4C99-B7FC-7874FED02D29}</b:Guid>
    <b:Author>
      <b:Author>
        <b:NameList>
          <b:Person>
            <b:Last>Centre d’Information et de Documentation Citoyennes</b:Last>
            <b:First>(Cidoc)</b:First>
          </b:Person>
        </b:NameList>
      </b:Author>
    </b:Author>
    <b:Title>État de mise en œuvre des réformes institutionnelles et électorales relatives à la refondation de l’État et l’amélioration de la gouvernance au Burkina Faso : Rapport de suivi citoyen. O</b:Title>
    <b:Year>2021</b:Year>
    <b:Publisher>Burkina Faso : Cidoc</b:Publisher>
    <b:City>Ouagadougou,</b:City>
    <b:RefOrder>20</b:RefOrder>
  </b:Source>
  <b:Source>
    <b:Tag>MEN9a</b:Tag>
    <b:SourceType>Report</b:SourceType>
    <b:Guid>{92A81CBA-9824-4CD9-86A9-B5516F0C128A}</b:Guid>
    <b:Author>
      <b:Author>
        <b:NameList>
          <b:Person>
            <b:Last>MENAPLN</b:Last>
          </b:Person>
        </b:NameList>
      </b:Author>
    </b:Author>
    <b:Title>Curriculum de Formation des Professeurs des Écoles.</b:Title>
    <b:Year> 2019a</b:Year>
    <b:City>Ouagadougou</b:City>
    <b:Publisher>DGEPFIC</b:Publisher>
    <b:RefOrder>21</b:RefOrder>
  </b:Source>
  <b:Source>
    <b:Tag>Jea512</b:Tag>
    <b:SourceType>Book</b:SourceType>
    <b:Guid>{6227DF7C-0F7E-4350-9AB4-B0DAC18996F2}</b:Guid>
    <b:Title>La didactique du français</b:Title>
    <b:Year>2002, p.51</b:Year>
    <b:Author>
      <b:Author>
        <b:NameList>
          <b:Person>
            <b:Last>Rosier</b:Last>
            <b:First>Jean-Maurice</b:First>
          </b:Person>
        </b:NameList>
      </b:Author>
    </b:Author>
    <b:Publisher> Paris, (que sais-je?)</b:Publisher>
    <b:RefOrder>1</b:RefOrder>
  </b:Source>
  <b:Source>
    <b:Tag>Yas24</b:Tag>
    <b:SourceType>Book</b:SourceType>
    <b:Guid>{D799E39E-B6B2-4217-B523-63D64CB32E19}</b:Guid>
    <b:Title>Styles et stratégies d'apprentissage et évaluation formative de la grammaire du FLE. en 2ème année universitaire.</b:Title>
    <b:Year>2019, p. 24</b:Year>
    <b:Author>
      <b:Author>
        <b:NameList>
          <b:Person>
            <b:Last>Khainnar</b:Last>
            <b:First>Yasmina</b:First>
          </b:Person>
        </b:NameList>
      </b:Author>
    </b:Author>
    <b:Publisher>Thèse de doctorat en didactique. Université constantine 1, Faculté des Lettres et des Langues.  Ecole doctorale de français,</b:Publisher>
    <b:RefOrder>2</b:RefOrder>
  </b:Source>
  <b:Source>
    <b:Tag>Rod79</b:Tag>
    <b:SourceType>JournalArticle</b:SourceType>
    <b:Guid>{FEECD237-0363-4185-A1AB-D4EA6CA733F7}</b:Guid>
    <b:Title>La pédagogie de la maitrise des apprentissages. volume 30, numero 2, automne. (une invitation au déppassement de soi.) </b:Title>
    <b:Year>2002, p. 179</b:Year>
    <b:Pages>(158- 187)</b:Pages>
    <b:Author>
      <b:Author>
        <b:NameList>
          <b:Person>
            <b:Last>Richard</b:Last>
            <b:First>Rodrigue</b:First>
            <b:Middle>Landry et Jean François</b:Middle>
          </b:Person>
        </b:NameList>
      </b:Author>
    </b:Author>
    <b:JournalName>Education et francophonie</b:JournalName>
    <b:RefOrder>3</b:RefOrder>
  </b:Source>
  <b:Source>
    <b:Tag>Stè26</b:Tag>
    <b:SourceType>JournalArticle</b:SourceType>
    <b:Guid>{3378A30C-5A17-4237-BE4D-86670C35F329}</b:Guid>
    <b:Author>
      <b:Author>
        <b:NameList>
          <b:Person>
            <b:Last>Stève Bissonnette</b:Last>
            <b:First>Mario-Richard,</b:First>
            <b:Middle>Clermont Gauthier et Carl Bouchard</b:Middle>
          </b:Person>
        </b:NameList>
      </b:Author>
    </b:Author>
    <b:Title>Quelles sont les stratégies d'enseignement efficaces favorisant les apprentissages fondamentaux auprès des élèves en difficulté de niveau élémentaire? Résultats d'une mega-analyse </b:Title>
    <b:JournalName>Revue de Recherche appliquée sur l'approche, vol3, article 1;</b:JournalName>
    <b:Year>2010, p.26</b:Year>
    <b:RefOrder>4</b:RefOrder>
  </b:Source>
  <b:Source>
    <b:Tag>Idr071</b:Tag>
    <b:SourceType>JournalArticle</b:SourceType>
    <b:Guid>{55FB786E-0B7D-4A8C-A96C-18AFB3F2CF5D}</b:Guid>
    <b:Author>
      <b:Author>
        <b:NameList>
          <b:Person>
            <b:Last>Traoré</b:Last>
            <b:First>Idrissa</b:First>
            <b:Middle>Soiba</b:Middle>
          </b:Person>
          <b:Person>
            <b:Last>Dembélé</b:Last>
            <b:First>Morikè</b:First>
          </b:Person>
          <b:Person>
            <b:Last>Loua</b:Last>
            <b:First>Seydou</b:First>
          </b:Person>
        </b:NameList>
      </b:Author>
    </b:Author>
    <b:Title>Les paramètres de l'évaluation au département d'enseignment et de recherche des sciences de l'éducation de l'Université des Lettres et des Sciences Humaines de Bamako</b:Title>
    <b:JournalName>Collection recherche et regards d'Afrique Vol 2n°5/octobre</b:JournalName>
    <b:Year>2023, p. 307</b:Year>
    <b:RefOrder>5</b:RefOrder>
  </b:Source>
  <b:Source>
    <b:Tag>Lisp5</b:Tag>
    <b:SourceType>JournalArticle</b:SourceType>
    <b:Guid>{190612D1-77FF-4990-83B3-161645B344C1}</b:Guid>
    <b:Author>
      <b:Author>
        <b:NameList>
          <b:Person>
            <b:Last>Gremion</b:Last>
            <b:First>Lise</b:First>
          </b:Person>
        </b:NameList>
      </b:Author>
    </b:Author>
    <b:Title>Formation des maîtres : tension entre théorie et pratique. quelques reflexions  d'une formatrice.</b:Title>
    <b:JournalName>Revista Dialogo Educacional, Curitiba, V.4; n°8</b:JournalName>
    <b:Year>2003, p.5</b:Year>
    <b:Pages>P.45-55</b:Pages>
    <b:RefOrder>6</b:RefOrder>
  </b:Source>
  <b:Source>
    <b:Tag>kod00</b:Tag>
    <b:SourceType>JournalArticle</b:SourceType>
    <b:Guid>{033B2E54-5222-4FFB-A920-5C9CBE3AC270}</b:Guid>
    <b:Title>les maths </b:Title>
    <b:Year>2000</b:Year>
    <b:Author>
      <b:Author>
        <b:NameList>
          <b:Person>
            <b:Last>kodio</b:Last>
          </b:Person>
        </b:NameList>
      </b:Author>
    </b:Author>
    <b:JournalName>le pays</b:JournalName>
    <b:Pages>16</b:Pages>
    <b:RefOrder>7</b:RefOrder>
  </b:Source>
  <b:Source>
    <b:Tag>Gli802</b:Tag>
    <b:SourceType>ArticleInAPeriodical</b:SourceType>
    <b:Guid>{0B44645A-3C50-41A5-91A7-D59BE9F6E64D}</b:Guid>
    <b:Title> The Developmental Approach to supervision</b:Title>
    <b:PeriodicalTitle>Educational Leadership</b:PeriodicalTitle>
    <b:Year>1980</b:Year>
    <b:Pages>178-180</b:Pages>
    <b:Author>
      <b:Author>
        <b:NameList>
          <b:Person>
            <b:Last>Glickman</b:Last>
            <b:First>D.</b:First>
            <b:Middle>C.</b:Middle>
          </b:Person>
        </b:NameList>
      </b:Author>
    </b:Author>
    <b:Volume>38</b:Volume>
    <b:Issue>2</b:Issue>
    <b:RefOrder>1</b:RefOrder>
  </b:Source>
  <b:Source>
    <b:Tag>Vyg851</b:Tag>
    <b:SourceType>Book</b:SourceType>
    <b:Guid>{F9276898-B1A2-4B58-8818-284F1C7C27B1}</b:Guid>
    <b:Title>Pensée et language ( F. Sève, Trad.)</b:Title>
    <b:Year>1985</b:Year>
    <b:City>Paris</b:City>
    <b:Publisher>Editions Sociales</b:Publisher>
    <b:Author>
      <b:Author>
        <b:NameList>
          <b:Person>
            <b:Last>Vygotski</b:Last>
            <b:First>L.</b:First>
            <b:Middle>S.</b:Middle>
          </b:Person>
        </b:NameList>
      </b:Author>
    </b:Author>
    <b:RefOrder>2</b:RefOrder>
  </b:Source>
  <b:Source>
    <b:Tag>Jaf20</b:Tag>
    <b:SourceType>Book</b:SourceType>
    <b:Guid>{959AD827-652E-4D11-8513-F61FAB8CABB5}</b:Guid>
    <b:Title>La pédagogie active: théories et pratiques</b:Title>
    <b:Year>2020</b:Year>
    <b:Publisher>Presses Universitaires</b:Publisher>
    <b:Author>
      <b:Author>
        <b:NameList>
          <b:Person>
            <b:Last>Jaffelot</b:Last>
            <b:First>A.</b:First>
          </b:Person>
        </b:NameList>
      </b:Author>
    </b:Author>
    <b:RefOrder>3</b:RefOrder>
  </b:Source>
  <b:Source>
    <b:Tag>Vyg02</b:Tag>
    <b:SourceType>Book</b:SourceType>
    <b:Guid>{DFE3A90D-7F51-4CB0-836C-B454B3F2DDA7}</b:Guid>
    <b:Title>Langage</b:Title>
    <b:Year>2002</b:Year>
    <b:Publisher>PUF</b:Publisher>
    <b:City>Paris</b:City>
    <b:Author>
      <b:Author>
        <b:NameList>
          <b:Person>
            <b:Last>Vygotski</b:Last>
            <b:First>L.</b:First>
            <b:Middle>E.</b:Middle>
          </b:Person>
        </b:NameList>
      </b:Author>
    </b:Author>
    <b:RefOrder>4</b:RefOrder>
  </b:Source>
  <b:Source>
    <b:Tag>Bru601</b:Tag>
    <b:SourceType>Book</b:SourceType>
    <b:Guid>{9A51D4DE-F1DD-4797-A8F5-9243014F9D3E}</b:Guid>
    <b:Title>The Process of education</b:Title>
    <b:Year>1960</b:Year>
    <b:Publisher>Harvard University Press. https:doi.org/10.4159/9780674028999</b:Publisher>
    <b:Author>
      <b:Author>
        <b:NameList>
          <b:Person>
            <b:Last>Bruner</b:Last>
            <b:First>J.</b:First>
            <b:Middle>S.</b:Middle>
          </b:Person>
        </b:NameList>
      </b:Author>
    </b:Author>
    <b:RefOrder>5</b:RefOrder>
  </b:Source>
  <b:Source>
    <b:Tag>Doi81</b:Tag>
    <b:SourceType>Book</b:SourceType>
    <b:Guid>{2EBDD574-C3F0-48B3-94B2-28C85CD83220}</b:Guid>
    <b:Title>Le développement social de l'intelligence</b:Title>
    <b:Year>1981</b:Year>
    <b:Publisher>InterEditions</b:Publisher>
    <b:Author>
      <b:Author>
        <b:NameList>
          <b:Person>
            <b:Last>Doise</b:Last>
            <b:First>W.</b:First>
          </b:Person>
          <b:Person>
            <b:Last>Mugny</b:Last>
            <b:First>G.</b:First>
          </b:Person>
        </b:NameList>
      </b:Author>
    </b:Author>
    <b:RefOrder>6</b:RefOrder>
  </b:Source>
  <b:Source>
    <b:Tag>Doi93</b:Tag>
    <b:SourceType>Book</b:SourceType>
    <b:Guid>{74518F32-35D5-4E22-A50D-447B044BFEEA}</b:Guid>
    <b:Title>Psychologie sociale et développement cognitif</b:Title>
    <b:Year>1993</b:Year>
    <b:Publisher>Armand Colin</b:Publisher>
    <b:Author>
      <b:Author>
        <b:NameList>
          <b:Person>
            <b:Last>Doise</b:Last>
            <b:First>W.</b:First>
          </b:Person>
          <b:Person>
            <b:Last>Mugny</b:Last>
            <b:First>G.</b:First>
          </b:Person>
        </b:NameList>
      </b:Author>
    </b:Author>
    <b:RefOrder>7</b:RefOrder>
  </b:Source>
  <b:Source>
    <b:Tag>Hub91</b:Tag>
    <b:SourceType>Book</b:SourceType>
    <b:Guid>{9400283A-74CC-49EF-BF97-827ECBF9C659}</b:Guid>
    <b:Title>Analyse des données qualitatives: recueil de nouvelles méthodes (  M. H. Rispal, Trad., 2e éd.)</b:Title>
    <b:Year>1991</b:Year>
    <b:Publisher>De Boeck</b:Publisher>
    <b:Author>
      <b:Author>
        <b:NameList>
          <b:Person>
            <b:Last>Huberman</b:Last>
            <b:First>M.A.</b:First>
          </b:Person>
          <b:Person>
            <b:Last>Miles</b:Last>
            <b:First>M.</b:First>
            <b:Middle>B.</b:Middle>
          </b:Person>
        </b:NameList>
      </b:Author>
    </b:Author>
    <b:RefOrder>8</b:RefOrder>
  </b:Source>
  <b:Source>
    <b:Tag>Qui061</b:Tag>
    <b:SourceType>Book</b:SourceType>
    <b:Guid>{B0C95C25-CF90-4B51-B7CE-5EE4159376DF}</b:Guid>
    <b:Title>Manuel de recherche en sciences sociales</b:Title>
    <b:Year>2006</b:Year>
    <b:Publisher>Dunod</b:Publisher>
    <b:Author>
      <b:Author>
        <b:NameList>
          <b:Person>
            <b:Last>Quivy</b:Last>
            <b:First>R.</b:First>
          </b:Person>
          <b:Person>
            <b:Last>Campendhout</b:Last>
            <b:First>L.</b:First>
            <b:Middle>V.</b:Middle>
          </b:Person>
        </b:NameList>
      </b:Author>
    </b:Author>
    <b:RefOrder>9</b:RefOrder>
  </b:Source>
  <b:Source>
    <b:Tag>Ray05</b:Tag>
    <b:SourceType>Book</b:SourceType>
    <b:Guid>{C47BDA6E-9D1D-4A54-9F60-B1BD3368F6A0}</b:Guid>
    <b:Title>Pédagogie: dictionnaire des concepts (5e éd.)</b:Title>
    <b:Year>2005</b:Year>
    <b:Publisher>Editions ESF</b:Publisher>
    <b:Author>
      <b:Author>
        <b:NameList>
          <b:Person>
            <b:Last>Raynal</b:Last>
            <b:First>F.</b:First>
          </b:Person>
          <b:Person>
            <b:Last>Rieunier</b:Last>
            <b:First>J.</b:First>
          </b:Person>
        </b:NameList>
      </b:Author>
    </b:Author>
    <b:RefOrder>10</b:RefOrder>
  </b:Source>
  <b:Source>
    <b:Tag>CME12</b:Tag>
    <b:SourceType>Report</b:SourceType>
    <b:Guid>{7A630562-4D8B-4BBF-BF5E-BC48AA114E17}</b:Guid>
    <b:Title>Combler le manque d'enseignants qualifiés</b:Title>
    <b:Year>2012</b:Year>
    <b:Author>
      <b:Author>
        <b:NameList>
          <b:Person>
            <b:Last>CME</b:Last>
          </b:Person>
        </b:NameList>
      </b:Author>
    </b:Author>
    <b:Publisher>Campagne Mondiale pour l'Education. https: //campaignforeducation.org/images/downloads/f1/1560/gce-ecnat-fr</b:Publisher>
    <b:RefOrder>11</b:RefOrder>
  </b:Source>
  <b:Source>
    <b:Tag>MEN18</b:Tag>
    <b:SourceType>Report</b:SourceType>
    <b:Guid>{C36BE2A4-46E1-4F2F-8E2F-EC6345B7EA5A}</b:Guid>
    <b:Title>Stratégie Intégrée de Renforcement de l'Encadrement Pédagogique</b:Title>
    <b:Year>2018</b:Year>
    <b:Publisher>MENAPLN. https://bop.bf/wp-content/uploads/SIREP-vf</b:Publisher>
    <b:Author>
      <b:Author>
        <b:NameList>
          <b:Person>
            <b:Last>DGEPFIC</b:Last>
          </b:Person>
        </b:NameList>
      </b:Author>
    </b:Author>
    <b:RefOrder>12</b:RefOrder>
  </b:Source>
  <b:Source>
    <b:Tag>MEN235</b:Tag>
    <b:SourceType>Report</b:SourceType>
    <b:Guid>{D6724444-868B-4EBC-BD0A-F059737C8F64}</b:Guid>
    <b:Title>Tableau de bord des enseignements post-primaire et secondaire</b:Title>
    <b:Year>2023</b:Year>
    <b:Publisher>DGESS</b:Publisher>
    <b:Author>
      <b:Author>
        <b:NameList>
          <b:Person>
            <b:Last>MENAPLN</b:Last>
          </b:Person>
        </b:NameList>
      </b:Author>
    </b:Author>
    <b:RefOrder>13</b:RefOrder>
  </b:Source>
  <b:Source>
    <b:Tag>Hou14</b:Tag>
    <b:SourceType>JournalArticle</b:SourceType>
    <b:Guid>{776DF817-DAB3-46F5-9ED4-9ACEE749AB68}</b:Guid>
    <b:Title>La pédagogie traditionnelle: Une histoire de la pédagogie.</b:Title>
    <b:Year>2014</b:Year>
    <b:JournalName>Recherches en éducation</b:JournalName>
    <b:Pages>67-78. https://doi.org/10.4000/ree.8409</b:Pages>
    <b:Author>
      <b:Author>
        <b:NameList>
          <b:Person>
            <b:Last>Houssaye</b:Last>
            <b:First>J.</b:First>
          </b:Person>
        </b:NameList>
      </b:Author>
    </b:Author>
    <b:Volume>19</b:Volume>
    <b:RefOrder>14</b:RefOrder>
  </b:Source>
  <b:Source>
    <b:Tag>Kou1</b:Tag>
    <b:SourceType>ArticleInAPeriodical</b:SourceType>
    <b:Guid>{EFC2E749-44BD-44A1-A446-C8E0B0959228}</b:Guid>
    <b:Title>Efficacité de l'encadrement pédagogique des professeurs d'allemand du secondaire en Côte d'Ivoire: Aspects psychologiques et perspectives</b:Title>
    <b:PeriodicalTitle>Ziglobitha, Revue des Arts, Linguistique, Littérature et Civilisation (RA2LC)</b:PeriodicalTitle>
    <b:Pages>159-172</b:Pages>
    <b:Author>
      <b:Author>
        <b:NameList>
          <b:Person>
            <b:Last>Kouadio</b:Last>
            <b:First>N.</b:First>
            <b:Middle>N.</b:Middle>
          </b:Person>
        </b:NameList>
      </b:Author>
    </b:Author>
    <b:Volume>08</b:Volume>
    <b:Year>2023</b:Year>
    <b:RefOrder>15</b:RefOrder>
  </b:Source>
  <b:Source>
    <b:Tag>Mul16</b:Tag>
    <b:SourceType>ArticleInAPeriodical</b:SourceType>
    <b:Guid>{EC33CE88-71F0-4B98-AE20-C85A3CF76E79}</b:Guid>
    <b:Title>Guided Paper on Developmental Supervision: Critical Review[ Guide sur l'encadrement développmental: analyse critique]</b:Title>
    <b:Year>2016</b:Year>
    <b:Author>
      <b:Author>
        <b:NameList>
          <b:Person>
            <b:Last>Mulatu</b:Last>
            <b:First>D.</b:First>
          </b:Person>
        </b:NameList>
      </b:Author>
    </b:Author>
    <b:Pages>39-53</b:Pages>
    <b:PeriodicalTitle>International Journal for Research in Applied Science</b:PeriodicalTitle>
    <b:Volume>2</b:Volume>
    <b:Issue>1</b:Issue>
    <b:RefOrder>16</b:RefOrder>
  </b:Source>
  <b:Source>
    <b:Tag>Ses202</b:Tag>
    <b:SourceType>Report</b:SourceType>
    <b:Guid>{43FB23A5-EB7A-483B-A75F-50A6040E5688}</b:Guid>
    <b:Title>Le refus des visites de clase par les enseignants du post-primaire et du secondaire de la région du Centre  au Burkina Faso [Mémoire de  Master en Sciences de l'Education non publié]</b:Title>
    <b:Year>2020</b:Year>
    <b:Publisher>IFRISSE</b:Publisher>
    <b:Author>
      <b:Author>
        <b:NameList>
          <b:Person>
            <b:Last>Sessouma</b:Last>
            <b:First>M.</b:First>
            <b:Middle>D.</b:Middle>
          </b:Person>
        </b:NameList>
      </b:Author>
    </b:Author>
    <b:RefOrder>17</b:RefOrder>
  </b:Source>
  <b:Source>
    <b:Tag>Vyg85</b:Tag>
    <b:SourceType>BookSection</b:SourceType>
    <b:Guid>{602DA316-939C-4014-9B5C-1A88BF778153}</b:Guid>
    <b:Title>Le problème de l'enseignement et du développment mental à l'âge scolaire</b:Title>
    <b:Year>1933/1985</b:Year>
    <b:Publisher>Librairie Droz</b:Publisher>
    <b:Author>
      <b:Author>
        <b:NameList>
          <b:Person>
            <b:Last>Vygotski</b:Last>
            <b:First>L.</b:First>
            <b:Middle>S.</b:Middle>
          </b:Person>
        </b:NameList>
      </b:Author>
      <b:BookAuthor>
        <b:NameList>
          <b:Person>
            <b:Last>Schneuwly</b:Last>
            <b:First>B.</b:First>
          </b:Person>
          <b:Person>
            <b:Last>Bronckart</b:Last>
            <b:First>J.-P.</b:First>
          </b:Person>
        </b:NameList>
      </b:BookAuthor>
    </b:Author>
    <b:BookTitle>Vygotski, aujourd'hui</b:BookTitle>
    <b:Pages>95-123</b:Pages>
    <b:RefOrder>18</b:RefOrder>
  </b:Source>
  <b:Source>
    <b:Tag>MEN202</b:Tag>
    <b:SourceType>Report</b:SourceType>
    <b:Guid>{CA302939-2CFE-41A3-AB77-3DD087408B05}</b:Guid>
    <b:Title>Arrêté n°2020-100/MENAPLN/SG/DGEPFIC du 24 avril 2020 portant  attributions, organisation et fonctionnement de la Direction Génrérale  de l'Encadrement Pédagogique et de la Formation Initiale et Continue</b:Title>
    <b:Year>2020</b:Year>
    <b:Publisher>MENAPLN</b:Publisher>
    <b:Author>
      <b:Author>
        <b:NameList>
          <b:Person>
            <b:Last>MENAPLN</b:Last>
          </b:Person>
        </b:NameList>
      </b:Author>
    </b:Author>
    <b:RefOrder>19</b:RefOrder>
  </b:Source>
  <b:Source>
    <b:Tag>PRE20</b:Tag>
    <b:SourceType>Report</b:SourceType>
    <b:Guid>{85FF27C0-E301-4BF8-97AD-0AD4500BB73A}</b:Guid>
    <b:Title>Décret n° 2020-0245/PRES/PM/MFPTPS/MINEFID/ du 30 mars 2020 portant statut particulier du métier éducation, formation et promotion de l'emploi</b:Title>
    <b:Year>2020</b:Year>
    <b:Publisher>PRESIDENCE DU FASO</b:Publisher>
    <b:Author>
      <b:Author>
        <b:NameList>
          <b:Person>
            <b:Last>PRES</b:Last>
          </b:Person>
        </b:NameList>
      </b:Author>
    </b:Author>
    <b:RefOrder>20</b:RefOrder>
  </b:Source>
  <b:Source>
    <b:Tag>PRE24</b:Tag>
    <b:SourceType>Report</b:SourceType>
    <b:Guid>{9F80272D-5B92-4E26-AA31-202ACFA67B1B}</b:Guid>
    <b:Title>Décret n° 2024-1385 /PRES/PM/MESFPT portant organisation du Ministère de l’Enseignement secondaire, de la Formation professionnelle et technique du 07 novembre 2024, 90 p</b:Title>
    <b:Year>2024</b:Year>
    <b:Publisher>Présidence du Faso</b:Publisher>
    <b:Author>
      <b:Author>
        <b:NameList>
          <b:Person>
            <b:Last>PRES</b:Last>
          </b:Person>
        </b:NameList>
      </b:Author>
    </b:Author>
    <b:Pages>pp1-90</b:Pages>
    <b:RefOrder>21</b:RefOrder>
  </b:Source>
  <b:Source>
    <b:Tag>Ade24</b:Tag>
    <b:SourceType>ArticleInAPeriodical</b:SourceType>
    <b:Guid>{9FDBA40F-BA24-491F-BD20-06A43EBC3FB2}</b:Guid>
    <b:Title>Mastering the Basics: A Guide to Research Methodology for Effective Writing and Pulication</b:Title>
    <b:Year>2024</b:Year>
    <b:PeriodicalTitle>Chalim Journal of Teaching and Learning</b:PeriodicalTitle>
    <b:Pages>30-41</b:Pages>
    <b:Author>
      <b:Author>
        <b:NameList>
          <b:Person>
            <b:Last>Adeoye</b:Last>
            <b:First>M.A.</b:First>
          </b:Person>
        </b:NameList>
      </b:Author>
    </b:Author>
    <b:Volume>4</b:Volume>
    <b:Issue>1</b:Issue>
    <b:RefOrder>22</b:RefOrder>
  </b:Source>
  <b:Source>
    <b:Tag>Yes23</b:Tag>
    <b:SourceType>ArticleInAPeriodical</b:SourceType>
    <b:Guid>{E1DC481B-241D-48B4-9A4F-6B433FECF650}</b:Guid>
    <b:Title>Suivi parental des apprenants du primaire au secondaire: tendances et incidences sur le rendement scolaire</b:Title>
    <b:Year>2023</b:Year>
    <b:Pages>238-254</b:Pages>
    <b:PeriodicalTitle>European journal of social science studies</b:PeriodicalTitle>
    <b:Author>
      <b:Author>
        <b:NameList>
          <b:Person>
            <b:Last>Yessoufou</b:Last>
            <b:First>Akimi</b:First>
          </b:Person>
          <b:Person>
            <b:Last>Amoussou</b:Last>
            <b:First>Gerard</b:First>
          </b:Person>
        </b:NameList>
      </b:Author>
    </b:Author>
    <b:Volume>7</b:Volume>
    <b:Issue>11</b:Issue>
    <b:RefOrder>1</b:RefOrder>
  </b:Source>
  <b:Source>
    <b:Tag>Tch20</b:Tag>
    <b:SourceType>ArticleInAPeriodical</b:SourceType>
    <b:Guid>{4904CBA9-D425-47D0-8FFB-98ED1B5464E5}</b:Guid>
    <b:Title>L'influence des facteurs socio -familiaux sur la reussite scolaire des eleves</b:Title>
    <b:PeriodicalTitle>revue africaine de sciences de l'education</b:PeriodicalTitle>
    <b:Year>2020</b:Year>
    <b:Pages>45-65</b:Pages>
    <b:Author>
      <b:Author>
        <b:NameList>
          <b:Person>
            <b:Last>Tchindjang</b:Last>
            <b:First>M</b:First>
          </b:Person>
          <b:Person>
            <b:Last>Ngoma P</b:Last>
          </b:Person>
        </b:NameList>
      </b:Author>
    </b:Author>
    <b:Volume>8</b:Volume>
    <b:Issue>2</b:Issue>
    <b:RefOrder>2</b:RefOrder>
  </b:Source>
  <b:Source>
    <b:Tag>Kou</b:Tag>
    <b:SourceType>BookSection</b:SourceType>
    <b:Guid>{6F67AF14-24C9-4A4A-B338-C566E53F01B0}</b:Guid>
    <b:Title>Difficulté de l'apprentissage .Dans J.Laurey</b:Title>
    <b:Author>
      <b:Author>
        <b:NameList>
          <b:Person>
            <b:Last>Koudou</b:Last>
            <b:First>Opadou</b:First>
          </b:Person>
        </b:NameList>
      </b:Author>
      <b:BookAuthor>
        <b:NameList>
          <b:Person>
            <b:Last>opadou</b:Last>
            <b:First>koudou</b:First>
          </b:Person>
        </b:NameList>
      </b:BookAuthor>
    </b:Author>
    <b:Year>2021</b:Year>
    <b:Publisher>Presse universitaire d'abidjan</b:Publisher>
    <b:Pages>194 -214</b:Pages>
    <b:BookTitle>la psychologie de l'education dans la formation des enseignants</b:BookTitle>
    <b:RefOrder>3</b:RefOrder>
  </b:Source>
  <b:Source>
    <b:Tag>Hey83</b:Tag>
    <b:SourceType>ArticleInAPeriodical</b:SourceType>
    <b:Guid>{73939229-48FE-4FC5-B192-501C5DB9C212}</b:Guid>
    <b:Title>L'effet de la qualité de l'ecole primaire sur la reussite academique dans 29 pays à revenu élevé et faible.</b:Title>
    <b:PeriodicalTitle>American journal of sociology</b:PeriodicalTitle>
    <b:Year>1983</b:Year>
    <b:Pages>1162-1194</b:Pages>
    <b:Author>
      <b:Author>
        <b:NameList>
          <b:Person>
            <b:Last>Heyneman</b:Last>
            <b:First>S</b:First>
          </b:Person>
          <b:Person>
            <b:Last>Loxley</b:Last>
            <b:First>W</b:First>
          </b:Person>
        </b:NameList>
      </b:Author>
    </b:Author>
    <b:Volume>88</b:Volume>
    <b:Issue>6</b:Issue>
    <b:RefOrder>4</b:RefOrder>
  </b:Source>
  <b:Source>
    <b:Tag>Dur96</b:Tag>
    <b:SourceType>Book</b:SourceType>
    <b:Guid>{41FAFDC9-A0CB-4C61-B33A-1B025D6A5DCB}</b:Guid>
    <b:Title>L'education morale</b:Title>
    <b:Year>1996</b:Year>
    <b:Publisher>Presse universitaire de france</b:Publisher>
    <b:Author>
      <b:Author>
        <b:NameList>
          <b:Person>
            <b:Last>Durkheim</b:Last>
            <b:First>Emile</b:First>
          </b:Person>
        </b:NameList>
      </b:Author>
    </b:Author>
    <b:RefOrder>5</b:RefOrder>
  </b:Source>
  <b:Source>
    <b:Tag>Die96</b:Tag>
    <b:SourceType>Report</b:SourceType>
    <b:Guid>{CC42EB3C-DB78-49E1-9837-6A1252895486}</b:Guid>
    <b:Title>Corruption en milieu scolaire et éducation des filles</b:Title>
    <b:Year>1996</b:Year>
    <b:Publisher>Reseau ouest et centre africain de recherche en education</b:Publisher>
    <b:Author>
      <b:Author>
        <b:NameList>
          <b:Person>
            <b:Last>Dieter </b:Last>
            <b:First>Michel</b:First>
          </b:Person>
        </b:NameList>
      </b:Author>
    </b:Author>
    <b:RefOrder>6</b:RefOrder>
  </b:Source>
  <b:Source>
    <b:Tag>Des04</b:Tag>
    <b:SourceType>ArticleInAPeriodical</b:SourceType>
    <b:Guid>{3183E70D-7D0A-401E-8FC8-E6FC9079F96B}</b:Guid>
    <b:Title>Motivations des parents a participer au suivi scolaire de leur enfant au primaire</b:Title>
    <b:Year>2004</b:Year>
    <b:PeriodicalTitle>Revue des sciences de l'education </b:PeriodicalTitle>
    <b:Pages>411-433</b:Pages>
    <b:Author>
      <b:Author>
        <b:NameList>
          <b:Person>
            <b:Last>Deslandes </b:Last>
            <b:First>Real</b:First>
          </b:Person>
          <b:Person>
            <b:Last>Bertrand</b:Last>
            <b:First>Réné</b:First>
          </b:Person>
        </b:NameList>
      </b:Author>
    </b:Author>
    <b:RefOrder>7</b:RefOrder>
  </b:Source>
  <b:Source>
    <b:Tag>Col88</b:Tag>
    <b:SourceType>ArticleInAPeriodical</b:SourceType>
    <b:Guid>{8105D20F-20A0-4097-92EB-1E6412D9FE61}</b:Guid>
    <b:Title>Social capital in the creation of human capital</b:Title>
    <b:Year>1988</b:Year>
    <b:Pages>95 -120</b:Pages>
    <b:Author>
      <b:Author>
        <b:NameList>
          <b:Person>
            <b:Last>Coleman</b:Last>
            <b:First>James S</b:First>
          </b:Person>
        </b:NameList>
      </b:Author>
    </b:Author>
    <b:PeriodicalTitle>American journal of sociology</b:PeriodicalTitle>
    <b:RefOrder>8</b:RefOrder>
  </b:Source>
  <b:Source>
    <b:Tag>Bornstein</b:Tag>
    <b:SourceType>Book</b:SourceType>
    <b:Guid>{F95AAC69-EE2F-4F15-A7BA-CF91216D4CF2}</b:Guid>
    <b:Title>Parenting infants</b:Title>
    <b:Year>2002</b:Year>
    <b:Publisher>Handbook of parenting: children and parenting</b:Publisher>
    <b:Author>
      <b:Author>
        <b:NameList>
          <b:Person>
            <b:Last>Bornstein</b:Last>
            <b:First>Marc</b:First>
            <b:Middle>H.</b:Middle>
          </b:Person>
        </b:NameList>
      </b:Author>
      <b:Editor>
        <b:NameList>
          <b:Person>
            <b:Last>Associates</b:Last>
            <b:First>Lawrence</b:First>
            <b:Middle>Erlbaum</b:Middle>
          </b:Person>
        </b:NameList>
      </b:Editor>
    </b:Author>
    <b:Volume>1</b:Volume>
    <b:Pages>3-43</b:Pages>
    <b:RefOrder>9</b:RefOrder>
  </b:Source>
  <b:Source>
    <b:Tag>DEC24</b:Tag>
    <b:SourceType>Report</b:SourceType>
    <b:Guid>{91114241-5FD6-4BC5-897E-3E06FE70637D}</b:Guid>
    <b:Title>Qualification et sanctions des candidats fraudeurs</b:Title>
    <b:Year>2024</b:Year>
    <b:Author>
      <b:Author>
        <b:NameList>
          <b:Person>
            <b:Last>Déco</b:Last>
          </b:Person>
        </b:NameList>
      </b:Author>
    </b:Author>
    <b:URL>http://WWW.men-deco.Org/actualité/actu-deco/resultats -des travaux de la commission nationale de discipline -cnd -session -2024</b:URL>
    <b:Publisher>Ministere de l'education nationale et de l'alphabetisation/ Déco</b:Publisher>
    <b:RefOrder>10</b:RefOrder>
  </b:Source>
  <b:Source>
    <b:Tag>NDA15</b:Tag>
    <b:SourceType>Book</b:SourceType>
    <b:Guid>{1C178329-9A15-4793-AF8A-37A01BC3A284}</b:Guid>
    <b:Title>Recherche et méthodologie en sciences sociales et humaines</b:Title>
    <b:Year>2015</b:Year>
    <b:Author>
      <b:Author>
        <b:NameList>
          <b:Person>
            <b:Last>N'da</b:Last>
            <b:First>P</b:First>
          </b:Person>
        </b:NameList>
      </b:Author>
    </b:Author>
    <b:Publisher>L'harmattan</b:Publisher>
    <b:RefOrder>11</b:RefOrder>
  </b:Source>
  <b:Source>
    <b:Tag>ban77</b:Tag>
    <b:SourceType>Book</b:SourceType>
    <b:Guid>{1252F760-0D9D-47A8-8F3C-ABF19FED7047}</b:Guid>
    <b:Title>Theorie de l'apprentissage social</b:Title>
    <b:Year>1977</b:Year>
    <b:Publisher>Prentice hall</b:Publisher>
    <b:Author>
      <b:Author>
        <b:NameList>
          <b:Person>
            <b:Last>Bandura</b:Last>
            <b:First>Albert</b:First>
          </b:Person>
        </b:NameList>
      </b:Author>
    </b:Author>
    <b:RefOrder>12</b:RefOrder>
  </b:Source>
  <b:Source>
    <b:Tag>Bou86</b:Tag>
    <b:SourceType>Book</b:SourceType>
    <b:Guid>{23587BC2-DB81-4944-8346-A9DA1FD1BB88}</b:Guid>
    <b:Title>Les formes du capital</b:Title>
    <b:Year>1986</b:Year>
    <b:Publisher>Manuel de theorie et de recherche en sociologie de l'education</b:Publisher>
    <b:Author>
      <b:Author>
        <b:NameList>
          <b:Person>
            <b:Last>Bourdieu </b:Last>
            <b:First>Pierre</b:First>
          </b:Person>
        </b:NameList>
      </b:Author>
    </b:Author>
    <b:Volume>1</b:Volume>
    <b:Pages>pp.241-258</b:Pages>
    <b:RefOrder>13</b:RefOrder>
  </b:Source>
  <b:Source>
    <b:Tag>Cre53</b:Tag>
    <b:SourceType>Book</b:SourceType>
    <b:Guid>{F24EF657-E84B-47E4-8249-47CFF65BCF4A}</b:Guid>
    <b:Title>L'argent des autres: etude sur la psychologie sociale de l'appropriation</b:Title>
    <b:Year>1953</b:Year>
    <b:Author>
      <b:Author>
        <b:NameList>
          <b:Person>
            <b:Last>Cressy </b:Last>
            <b:First>Donald</b:First>
          </b:Person>
        </b:NameList>
      </b:Author>
    </b:Author>
    <b:Publisher>Free press</b:Publisher>
    <b:RefOrder>14</b:RefOrder>
  </b:Source>
  <b:Source>
    <b:Tag>Dav05</b:Tag>
    <b:SourceType>ArticleInAPeriodical</b:SourceType>
    <b:Guid>{09110068-0580-4695-BE82-EFB1922041ED}</b:Guid>
    <b:Title>L'influence du niveau d'éducation des parents et du revenu familial sur la reussite des enfants: role indirect des attentes parentales et du milieu familial</b:Title>
    <b:PeriodicalTitle>journal of family psychology</b:PeriodicalTitle>
    <b:Year>2005</b:Year>
    <b:Pages>294-304</b:Pages>
    <b:Author>
      <b:Author>
        <b:NameList>
          <b:Person>
            <b:Last>Davis kean</b:Last>
            <b:First>P.E</b:First>
          </b:Person>
        </b:NameList>
      </b:Author>
    </b:Author>
    <b:Volume>2</b:Volume>
    <b:Issue>19</b:Issue>
    <b:RefOrder>15</b:RefOrder>
  </b:Source>
  <b:Source>
    <b:Tag>Fan01</b:Tag>
    <b:SourceType>ArticleInAPeriodical</b:SourceType>
    <b:Guid>{7E3A4034-7285-41F1-BF34-597880A9DCC1}</b:Guid>
    <b:Title>Implication parentale et reussite scolaire des eleves</b:Title>
    <b:Year>2001</b:Year>
    <b:PeriodicalTitle>revue de psychologie</b:PeriodicalTitle>
    <b:Pages>1-22</b:Pages>
    <b:Author>
      <b:Author>
        <b:NameList>
          <b:Person>
            <b:Last>Fan </b:Last>
            <b:First>Wei</b:First>
          </b:Person>
          <b:Person>
            <b:Last>Chen</b:Last>
            <b:First>Ming</b:First>
          </b:Person>
        </b:NameList>
      </b:Author>
    </b:Author>
    <b:Volume>13</b:Volume>
    <b:Issue>1</b:Issue>
    <b:RefOrder>16</b:RefOrder>
  </b:Source>
  <b:Source>
    <b:Tag>Gui09</b:Tag>
    <b:SourceType>ArticleInAPeriodical</b:SourceType>
    <b:Guid>{613555A7-D55B-4A1C-A276-6260C4878A78}</b:Guid>
    <b:Title>Les facteurs individuels et contextuels de la fraude aux examens universitaire</b:Title>
    <b:PeriodicalTitle>revue francaise de pédagogie</b:PeriodicalTitle>
    <b:Year>2009</b:Year>
    <b:Pages>43-52</b:Pages>
    <b:Author>
      <b:Author>
        <b:NameList>
          <b:Person>
            <b:Last>Guibert</b:Last>
            <b:First>P</b:First>
          </b:Person>
          <b:Person>
            <b:Last>Michaut</b:Last>
            <b:First>C</b:First>
          </b:Person>
        </b:NameList>
      </b:Author>
    </b:Author>
    <b:Volume>4</b:Volume>
    <b:Issue>169</b:Issue>
    <b:RefOrder>17</b:RefOrder>
  </b:Source>
  <b:Source>
    <b:Tag>Hal02</b:Tag>
    <b:SourceType>Report</b:SourceType>
    <b:Guid>{0F24D194-F27C-472C-B189-A8E982B31E65}</b:Guid>
    <b:Title>Corruption et éducation</b:Title>
    <b:Year>2002</b:Year>
    <b:Publisher>Unesco</b:Publisher>
    <b:Author>
      <b:Author>
        <b:NameList>
          <b:Person>
            <b:Last>Hallak</b:Last>
            <b:First>Jacques</b:First>
          </b:Person>
          <b:Person>
            <b:Last>Poisson</b:Last>
            <b:First>Michel</b:First>
          </b:Person>
        </b:NameList>
      </b:Author>
    </b:Author>
    <b:RefOrder>18</b:RefOrder>
  </b:Source>
  <b:Source>
    <b:Tag>Kof241</b:Tag>
    <b:SourceType>ArticleInAPeriodical</b:SourceType>
    <b:Guid>{D6A27C12-A8EE-4B9F-803F-B55C9A28B05C}</b:Guid>
    <b:Title>La tricherie aux examens scolaires par le recours aux technologies de l'information et de la communication a abidjan</b:Title>
    <b:PeriodicalTitle>revue des ciences de l'education lakisa</b:PeriodicalTitle>
    <b:Year>2024</b:Year>
    <b:Pages>121-132</b:Pages>
    <b:Author>
      <b:Author>
        <b:NameList>
          <b:Person>
            <b:Last>Koffi</b:Last>
            <b:First>N'guessan</b:First>
            <b:Middle>Williams</b:Middle>
          </b:Person>
        </b:NameList>
      </b:Author>
    </b:Author>
    <b:Volume>3</b:Volume>
    <b:Issue>7</b:Issue>
    <b:RefOrder>19</b:RefOrder>
  </b:Source>
  <b:Source>
    <b:Tag>Kof24</b:Tag>
    <b:SourceType>ArticleInAPeriodical</b:SourceType>
    <b:Guid>{ED1B6191-576E-424F-A005-6FB4968791FF}</b:Guid>
    <b:Title>Les pressions sociales et les attentes academiques comme facteurs de tricherie a l'ecole a abidjan</b:Title>
    <b:Year>2024</b:Year>
    <b:PeriodicalTitle>revue societés, education, santé</b:PeriodicalTitle>
    <b:Pages>643-661</b:Pages>
    <b:Author>
      <b:Author>
        <b:NameList>
          <b:Person>
            <b:Last>Koffi</b:Last>
            <b:First>N'guessan,</b:First>
            <b:Middle>Williams</b:Middle>
          </b:Person>
        </b:NameList>
      </b:Author>
    </b:Author>
    <b:Volume>1</b:Volume>
    <b:Issue>1</b:Issue>
    <b:RefOrder>20</b:RefOrder>
  </b:Source>
  <b:Source>
    <b:Tag>Men19</b:Tag>
    <b:SourceType>ArticleInAPeriodical</b:SourceType>
    <b:Guid>{C5868DEB-8726-4656-BD79-4BA50559E879}</b:Guid>
    <b:Title>Influence de l'implication parentale sur la reussite scolaire des eleves au ghana</b:Title>
    <b:Year>2019</b:Year>
    <b:Author>
      <b:Author>
        <b:NameList>
          <b:Person>
            <b:Last>Mensah</b:Last>
            <b:First>Patrick</b:First>
          </b:Person>
          <b:Person>
            <b:Last>agyeman </b:Last>
            <b:First>Kwame</b:First>
          </b:Person>
        </b:NameList>
      </b:Author>
    </b:Author>
    <b:PeriodicalTitle>african journal of educational studies</b:PeriodicalTitle>
    <b:Pages>12-28</b:Pages>
    <b:RefOrder>21</b:RefOrder>
  </b:Source>
  <b:Source>
    <b:Tag>Mor</b:Tag>
    <b:SourceType>BookSection</b:SourceType>
    <b:Guid>{A4F1D340-8451-4F59-BFA9-3488141E6AE9}</b:Guid>
    <b:Title>Consideration d'odre méthodologique</b:Title>
    <b:Pages>97 -109</b:Pages>
    <b:BookTitle>Recherche et méthodologie en sciences sociales et humaines</b:BookTitle>
    <b:Publisher>L'harmattan</b:Publisher>
    <b:Author>
      <b:Author>
        <b:NameList>
          <b:Person>
            <b:Last>Morse</b:Last>
            <b:First>J.M.</b:First>
          </b:Person>
        </b:NameList>
      </b:Author>
      <b:BookAuthor>
        <b:NameList>
          <b:Person>
            <b:Last>paul</b:Last>
            <b:First>N'da</b:First>
          </b:Person>
        </b:NameList>
      </b:BookAuthor>
    </b:Author>
    <b:RefOrder>22</b:RefOrder>
  </b:Source>
  <b:Source>
    <b:Tag>Mur06</b:Tag>
    <b:SourceType>ArticleInAPeriodical</b:SourceType>
    <b:Guid>{70AF3DDE-D7A7-4F60-B1BC-E4C02E687977}</b:Guid>
    <b:Title>Perspectives motivationnelles sur la tricherie des éleves: vers un modele integré de la malhonnéteté academique</b:Title>
    <b:Year>2006</b:Year>
    <b:Pages>487 -503</b:Pages>
    <b:PeriodicalTitle>Annual Review of psychology</b:PeriodicalTitle>
    <b:Author>
      <b:Author>
        <b:NameList>
          <b:Person>
            <b:Last>Murdock</b:Last>
            <b:First>Thomas </b:First>
          </b:Person>
          <b:Person>
            <b:Last>Anderman</b:Last>
            <b:First>Eric </b:First>
          </b:Person>
        </b:NameList>
      </b:Author>
    </b:Author>
    <b:Volume>41</b:Volume>
    <b:Issue>3</b:Issue>
    <b:RefOrder>23</b:RefOrder>
  </b:Source>
  <b:Source>
    <b:Tag>Phi96</b:Tag>
    <b:SourceType>Book</b:SourceType>
    <b:Guid>{1CE49D8D-99CB-406F-A7A6-3DFFEA011301}</b:Guid>
    <b:Title>Construire des competences dès l'école</b:Title>
    <b:Year>1996</b:Year>
    <b:Publisher>ESF</b:Publisher>
    <b:Author>
      <b:Author>
        <b:NameList>
          <b:Person>
            <b:Last>Phillipe</b:Last>
            <b:First>P</b:First>
          </b:Person>
        </b:NameList>
      </b:Author>
    </b:Author>
    <b:RefOrder>24</b:RefOrder>
  </b:Source>
  <b:Source>
    <b:Tag>Kof22</b:Tag>
    <b:SourceType>Book</b:SourceType>
    <b:Guid>{308661FE-2550-4267-95E4-DF6F5EEAB334}</b:Guid>
    <b:Title>La fraude en milieu scolaire lors des examens nationaux du BEPC et du BAC de 2010 -2020 : cas des communes d'abobo-Yopougon-cocody</b:Title>
    <b:Year>2022</b:Year>
    <b:Publisher>Univesité Alassane Ouattara de Bouaké</b:Publisher>
    <b:Author>
      <b:Author>
        <b:NameList>
          <b:Person>
            <b:Last>Koffi</b:Last>
            <b:First>N'guessan</b:First>
            <b:Middle>Williams</b:Middle>
          </b:Person>
        </b:NameList>
      </b:Author>
    </b:Author>
    <b:RefOrder>25</b:RefOrder>
  </b:Source>
</b:Sources>
</file>

<file path=customXml/itemProps1.xml><?xml version="1.0" encoding="utf-8"?>
<ds:datastoreItem xmlns:ds="http://schemas.openxmlformats.org/officeDocument/2006/customXml" ds:itemID="{3C2CE05A-0072-4F1A-A35E-9C3CBE27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342</Pages>
  <Words>156185</Words>
  <Characters>977724</Characters>
  <Application>Microsoft Office Word</Application>
  <DocSecurity>0</DocSecurity>
  <Lines>13212</Lines>
  <Paragraphs>2624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uf</dc:creator>
  <cp:lastModifiedBy>Ousseynou THIAM</cp:lastModifiedBy>
  <cp:revision>60</cp:revision>
  <cp:lastPrinted>2026-01-14T08:38:00Z</cp:lastPrinted>
  <dcterms:created xsi:type="dcterms:W3CDTF">2026-01-12T08:45:00Z</dcterms:created>
  <dcterms:modified xsi:type="dcterms:W3CDTF">2026-01-14T08:42:00Z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Creator">
    <vt:lpwstr>Microsoft® Word pour Microsoft 365</vt:lpwstr>
  </property>
  <property fmtid="{D5CDD505-2E9C-101B-9397-08002B2CF9AE}" pid="4" name="LastSaved">
    <vt:filetime>2025-01-14T00:00:00Z</vt:filetime>
  </property>
  <property fmtid="{D5CDD505-2E9C-101B-9397-08002B2CF9AE}" pid="5" name="Producer">
    <vt:lpwstr>Microsoft® Word pour Microsoft 365</vt:lpwstr>
  </property>
</Properties>
</file>